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360" w:lineRule="auto"/>
        <w:ind w:firstLine="235" w:firstLineChars="112"/>
        <w:jc w:val="center"/>
        <w:outlineLvl w:val="0"/>
      </w:pPr>
      <w:bookmarkStart w:id="0" w:name="_Toc25562"/>
      <w:bookmarkStart w:id="1" w:name="_Toc18171"/>
      <w:bookmarkStart w:id="2" w:name="_Toc9924"/>
      <w:bookmarkStart w:id="3" w:name="_Toc1814"/>
      <w:bookmarkStart w:id="4" w:name="_Toc24807"/>
      <w:bookmarkStart w:id="5" w:name="_Toc11354"/>
      <w:bookmarkStart w:id="6" w:name="_Toc3915"/>
      <w:r>
        <w:drawing>
          <wp:inline distT="0" distB="0" distL="114300" distR="114300">
            <wp:extent cx="5798820" cy="8255000"/>
            <wp:effectExtent l="0" t="0" r="1143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5"/>
                    <a:stretch>
                      <a:fillRect/>
                    </a:stretch>
                  </pic:blipFill>
                  <pic:spPr>
                    <a:xfrm>
                      <a:off x="0" y="0"/>
                      <a:ext cx="5798820" cy="8255000"/>
                    </a:xfrm>
                    <a:prstGeom prst="rect">
                      <a:avLst/>
                    </a:prstGeom>
                    <a:noFill/>
                    <a:ln>
                      <a:noFill/>
                    </a:ln>
                  </pic:spPr>
                </pic:pic>
              </a:graphicData>
            </a:graphic>
          </wp:inline>
        </w:drawing>
      </w:r>
    </w:p>
    <w:p>
      <w:r>
        <w:br w:type="page"/>
      </w:r>
    </w:p>
    <w:p>
      <w:pPr>
        <w:spacing w:before="88" w:line="360" w:lineRule="auto"/>
        <w:ind w:firstLine="378" w:firstLineChars="112"/>
        <w:jc w:val="center"/>
        <w:outlineLvl w:val="0"/>
        <w:rPr>
          <w:rFonts w:hint="eastAsia" w:ascii="仿宋" w:hAnsi="仿宋" w:eastAsia="仿宋" w:cs="仿宋"/>
          <w:color w:val="auto"/>
          <w:sz w:val="43"/>
          <w:szCs w:val="43"/>
          <w:highlight w:val="none"/>
        </w:rPr>
      </w:pPr>
      <w:r>
        <w:rPr>
          <w:rFonts w:hint="eastAsia" w:ascii="仿宋" w:hAnsi="仿宋" w:eastAsia="仿宋" w:cs="仿宋"/>
          <w:color w:val="auto"/>
          <w:spacing w:val="-46"/>
          <w:sz w:val="43"/>
          <w:szCs w:val="43"/>
          <w:highlight w:val="none"/>
          <w14:textOutline w14:w="7975" w14:cap="sq" w14:cmpd="sng" w14:algn="ctr">
            <w14:solidFill>
              <w14:srgbClr w14:val="000000"/>
            </w14:solidFill>
            <w14:prstDash w14:val="solid"/>
            <w14:bevel/>
          </w14:textOutline>
        </w:rPr>
        <w:t>目</w:t>
      </w:r>
      <w:r>
        <w:rPr>
          <w:rFonts w:hint="eastAsia" w:ascii="仿宋" w:hAnsi="仿宋" w:eastAsia="仿宋" w:cs="仿宋"/>
          <w:color w:val="auto"/>
          <w:spacing w:val="12"/>
          <w:sz w:val="43"/>
          <w:szCs w:val="43"/>
          <w:highlight w:val="none"/>
        </w:rPr>
        <w:t xml:space="preserve">  </w:t>
      </w:r>
      <w:r>
        <w:rPr>
          <w:rFonts w:hint="eastAsia" w:ascii="仿宋" w:hAnsi="仿宋" w:eastAsia="仿宋" w:cs="仿宋"/>
          <w:color w:val="auto"/>
          <w:spacing w:val="-46"/>
          <w:sz w:val="43"/>
          <w:szCs w:val="43"/>
          <w:highlight w:val="none"/>
          <w14:textOutline w14:w="7975" w14:cap="sq" w14:cmpd="sng" w14:algn="ctr">
            <w14:solidFill>
              <w14:srgbClr w14:val="000000"/>
            </w14:solidFill>
            <w14:prstDash w14:val="solid"/>
            <w14:bevel/>
          </w14:textOutline>
        </w:rPr>
        <w:t>录</w:t>
      </w:r>
      <w:bookmarkEnd w:id="0"/>
      <w:bookmarkEnd w:id="1"/>
      <w:bookmarkEnd w:id="2"/>
      <w:bookmarkEnd w:id="3"/>
      <w:bookmarkEnd w:id="4"/>
      <w:bookmarkEnd w:id="5"/>
      <w:bookmarkEnd w:id="6"/>
    </w:p>
    <w:sdt>
      <w:sdtPr>
        <w:rPr>
          <w:rFonts w:hint="eastAsia" w:ascii="仿宋" w:hAnsi="仿宋" w:eastAsia="仿宋" w:cs="仿宋"/>
          <w:snapToGrid/>
          <w:color w:val="auto"/>
          <w:sz w:val="20"/>
          <w:szCs w:val="20"/>
          <w:highlight w:val="none"/>
          <w:lang w:eastAsia="zh-CN"/>
        </w:rPr>
        <w:id w:val="147461890"/>
        <w15:color w:val="DBDBDB"/>
        <w:docPartObj>
          <w:docPartGallery w:val="Table of Contents"/>
          <w:docPartUnique/>
        </w:docPartObj>
      </w:sdtPr>
      <w:sdtEndPr>
        <w:rPr>
          <w:rFonts w:hint="eastAsia" w:ascii="仿宋" w:hAnsi="仿宋" w:eastAsia="仿宋" w:cs="仿宋"/>
          <w:snapToGrid/>
          <w:color w:val="auto"/>
          <w:sz w:val="20"/>
          <w:szCs w:val="20"/>
          <w:highlight w:val="none"/>
          <w:lang w:eastAsia="zh-CN"/>
        </w:rPr>
      </w:sdtEndPr>
      <w:sdtContent>
        <w:p>
          <w:pPr>
            <w:jc w:val="center"/>
            <w:rPr>
              <w:rFonts w:hint="eastAsia" w:ascii="仿宋" w:hAnsi="仿宋" w:eastAsia="仿宋" w:cs="仿宋"/>
              <w:color w:val="auto"/>
              <w:highlight w:val="none"/>
            </w:rPr>
          </w:pPr>
        </w:p>
        <w:p>
          <w:pPr>
            <w:pStyle w:val="10"/>
            <w:tabs>
              <w:tab w:val="right" w:leader="dot" w:pos="8995"/>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"1-3" \h \u </w:instrText>
          </w:r>
          <w:r>
            <w:rPr>
              <w:rFonts w:hint="eastAsia" w:ascii="仿宋" w:hAnsi="仿宋" w:eastAsia="仿宋" w:cs="仿宋"/>
              <w:color w:val="auto"/>
              <w:highlight w:val="none"/>
            </w:rPr>
            <w:fldChar w:fldCharType="separate"/>
          </w:r>
        </w:p>
        <w:p>
          <w:pPr>
            <w:pStyle w:val="10"/>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_Toc23390 </w:instrText>
          </w:r>
          <w:r>
            <w:rPr>
              <w:rFonts w:hint="eastAsia" w:ascii="仿宋" w:hAnsi="仿宋" w:eastAsia="仿宋" w:cs="仿宋"/>
              <w:color w:val="auto"/>
              <w:sz w:val="24"/>
              <w:szCs w:val="24"/>
              <w:highlight w:val="none"/>
            </w:rPr>
            <w:fldChar w:fldCharType="separate"/>
          </w:r>
          <w:r>
            <w:rPr>
              <w:rFonts w:ascii="仿宋" w:hAnsi="仿宋" w:eastAsia="仿宋" w:cs="仿宋"/>
              <w:color w:val="auto"/>
              <w:sz w:val="24"/>
              <w:szCs w:val="24"/>
              <w:highlight w:val="none"/>
            </w:rPr>
            <w:t>第一章  招标公告</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_Toc23390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_Toc16189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1．招标条件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_Toc16189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_Toc16975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2．项目概况与招标范围</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_Toc16975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_Toc8068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3．投标人资格要求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_Toc8068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_Toc23954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4．招标文件获取</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_Toc23954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_Toc11637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5．投标文件和保证金的递交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_Toc11637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_Toc4873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6.发布公告的媒介</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_Toc4873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_Toc4423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7.联系方式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_Toc4423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0"/>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_Toc15752 </w:instrText>
          </w:r>
          <w:r>
            <w:rPr>
              <w:rFonts w:hint="eastAsia" w:ascii="仿宋" w:hAnsi="仿宋" w:eastAsia="仿宋" w:cs="仿宋"/>
              <w:color w:val="auto"/>
              <w:sz w:val="24"/>
              <w:szCs w:val="24"/>
              <w:highlight w:val="none"/>
            </w:rPr>
            <w:fldChar w:fldCharType="separate"/>
          </w:r>
          <w:r>
            <w:rPr>
              <w:rFonts w:ascii="仿宋" w:hAnsi="仿宋" w:eastAsia="仿宋" w:cs="仿宋"/>
              <w:color w:val="auto"/>
              <w:sz w:val="24"/>
              <w:szCs w:val="24"/>
              <w:highlight w:val="none"/>
            </w:rPr>
            <w:t>第二章  投标人须知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_Toc15752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_Toc26627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rPr>
            <w:t>投标人须知前附表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_Toc26627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_Toc11849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1. 总则</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_Toc11849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_Toc20487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1.1 项目概况</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_Toc20487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_Toc31759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1.2 资金来源</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_Toc31759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_Toc14175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1.3 招标范围、计划工期和质量要求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_Toc14175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_Toc11690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1.4 投标人资格要求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_Toc11690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_Toc24262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1.5 费用承担</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_Toc24262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_Toc10599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1.6 保密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_Toc10599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_Toc8656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1.7 语言文字</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_Toc8656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_Toc6436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1.8 计量单位</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_Toc6436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_Toc5425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1.9 踏勘现场</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_Toc5425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_Toc12255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1.10 投标预备会</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_Toc12255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_Toc21635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1.11 分包</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_Toc21635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_Toc25856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1.12 偏离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_Toc25856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_Toc25338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2. 招标文件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_Toc25338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_Toc6829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2.1 招标文件的组成</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_Toc6829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_Toc24286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2.2 招标文件的递交截止时间</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_Toc24286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_Toc4063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2.3 招标文件的澄清和修改</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_Toc4063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_Toc1486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3. 投标文件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_Toc1486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_Toc17437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3.1 投标文件的组成</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_Toc17437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_Toc14353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3.2 资金来源</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_Toc14353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_Toc25087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3.3 投标有效期</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_Toc25087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_Toc23430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3.4 投标保证金</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_Toc23430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_Toc12014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3.5 资格审查资料</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_Toc12014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_Toc17134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3.6 投标文件的编制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_Toc17134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_Toc12730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4.投标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_Toc12730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_Toc9377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4.1 投标文件的密封和标记</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_Toc9377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_Toc3832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4.2 投标文件的递交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_Toc3832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_Toc17402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4.3 投标文件的修改与撤回</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_Toc17402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_Toc20815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5. 投标文件开启</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_Toc20815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_Toc19186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5.1 开启时间和地点</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_Toc19186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_Toc17683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5.2 开启程序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_Toc17683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_Toc32196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6. 评审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_Toc32196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_Toc2533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6.1 评审委员会</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_Toc2533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_Toc150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6.2 评审原则</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_Toc21045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6.3 评审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_Toc21045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_Toc26485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7.合同授予</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_Toc26485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_Toc18381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7.1 中标人确定方式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_Toc18381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_Toc19241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7.2 中标通知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_Toc19241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_Toc1498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7.3 履约担保（</w:t>
          </w:r>
          <w:r>
            <w:rPr>
              <w:rFonts w:hint="eastAsia" w:ascii="仿宋" w:hAnsi="仿宋" w:eastAsia="仿宋" w:cs="仿宋"/>
              <w:color w:val="auto"/>
              <w:spacing w:val="0"/>
              <w:sz w:val="24"/>
              <w:szCs w:val="24"/>
              <w:highlight w:val="none"/>
              <w:lang w:val="en-US" w:eastAsia="zh-CN"/>
            </w:rPr>
            <w:t>如有</w:t>
          </w:r>
          <w:r>
            <w:rPr>
              <w:rFonts w:hint="eastAsia" w:ascii="仿宋" w:hAnsi="仿宋" w:eastAsia="仿宋" w:cs="仿宋"/>
              <w:color w:val="auto"/>
              <w:spacing w:val="0"/>
              <w:sz w:val="24"/>
              <w:szCs w:val="24"/>
              <w:highlight w:val="none"/>
              <w:lang w:eastAsia="zh-CN"/>
            </w:rPr>
            <w:t>）</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_Toc1498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_Toc12713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7.4 签订合同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_Toc12713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_Toc23560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8. 重新招标和不再招标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_Toc23560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_Toc20281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8.1 重新招标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_Toc20281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_Toc27561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8.2 不再招标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_Toc27561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_Toc3453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9.纪律和监督</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_Toc3453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_Toc30473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9.1 对招标人的纪律要求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_Toc30473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_Toc28667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9.2 对投标人的纪律要求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_Toc28667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_Toc15444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9.3 对评审委员会成员的纪律要求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_Toc15444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_Toc27113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9.4 对与评审活动有关的工作人员的纪律要求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_Toc27113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_Toc16571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9.5 投诉</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_Toc16571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_Toc5949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10. 需要补充的其他内容</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_Toc5949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0"/>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_Toc21952 </w:instrText>
          </w:r>
          <w:r>
            <w:rPr>
              <w:rFonts w:hint="eastAsia" w:ascii="仿宋" w:hAnsi="仿宋" w:eastAsia="仿宋" w:cs="仿宋"/>
              <w:color w:val="auto"/>
              <w:sz w:val="24"/>
              <w:szCs w:val="24"/>
              <w:highlight w:val="none"/>
            </w:rPr>
            <w:fldChar w:fldCharType="separate"/>
          </w:r>
          <w:r>
            <w:rPr>
              <w:rFonts w:ascii="仿宋" w:hAnsi="仿宋" w:eastAsia="仿宋" w:cs="仿宋"/>
              <w:color w:val="auto"/>
              <w:sz w:val="24"/>
              <w:szCs w:val="24"/>
              <w:highlight w:val="none"/>
            </w:rPr>
            <w:t>第三章</w:t>
          </w: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评审办法</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_Toc21952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_Toc6993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rPr>
            <w:t>评审办法前附表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_Toc6993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_Toc12742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1.评审方法</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_Toc12742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_Toc14748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2.评审标准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_Toc14748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_Toc32358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2.1 初步评审标准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_Toc32358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_Toc8534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2.2 分值构成与评分标准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_Toc8534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_Toc4623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3. 评审程序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_Toc4623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_Toc27383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3.1 初步评审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_Toc27383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_Toc30713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3.2  详细评审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_Toc30713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_Toc32498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3.3  投标文件的澄清和补正</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_Toc32498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1"/>
            <w:tabs>
              <w:tab w:val="right" w:leader="dot" w:pos="8995"/>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_Toc16509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pacing w:val="0"/>
              <w:sz w:val="24"/>
              <w:szCs w:val="24"/>
              <w:highlight w:val="none"/>
              <w:lang w:eastAsia="zh-CN"/>
            </w:rPr>
            <w:t>3.4  评审结果</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_Toc16509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0"/>
            <w:tabs>
              <w:tab w:val="right" w:leader="dot" w:pos="8995"/>
            </w:tabs>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_Toc5924 </w:instrText>
          </w:r>
          <w:r>
            <w:rPr>
              <w:rFonts w:hint="eastAsia" w:ascii="仿宋" w:hAnsi="仿宋" w:eastAsia="仿宋" w:cs="仿宋"/>
              <w:color w:val="auto"/>
              <w:sz w:val="24"/>
              <w:szCs w:val="24"/>
              <w:highlight w:val="none"/>
            </w:rPr>
            <w:fldChar w:fldCharType="separate"/>
          </w:r>
          <w:r>
            <w:rPr>
              <w:rFonts w:ascii="仿宋" w:hAnsi="仿宋" w:eastAsia="仿宋" w:cs="仿宋"/>
              <w:color w:val="auto"/>
              <w:sz w:val="24"/>
              <w:szCs w:val="24"/>
              <w:highlight w:val="none"/>
            </w:rPr>
            <w:t>第四章</w:t>
          </w: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合同条款及格式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5</w:t>
          </w:r>
        </w:p>
        <w:p>
          <w:pPr>
            <w:pStyle w:val="10"/>
            <w:tabs>
              <w:tab w:val="right" w:leader="dot" w:pos="8995"/>
            </w:tabs>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_Toc29310 </w:instrText>
          </w:r>
          <w:r>
            <w:rPr>
              <w:rFonts w:hint="eastAsia" w:ascii="仿宋" w:hAnsi="仿宋" w:eastAsia="仿宋" w:cs="仿宋"/>
              <w:color w:val="auto"/>
              <w:sz w:val="24"/>
              <w:szCs w:val="24"/>
              <w:highlight w:val="none"/>
            </w:rPr>
            <w:fldChar w:fldCharType="separate"/>
          </w:r>
          <w:r>
            <w:rPr>
              <w:rFonts w:ascii="仿宋" w:hAnsi="仿宋" w:eastAsia="仿宋" w:cs="仿宋"/>
              <w:color w:val="auto"/>
              <w:sz w:val="24"/>
              <w:szCs w:val="24"/>
              <w:highlight w:val="none"/>
            </w:rPr>
            <w:t>第五章</w:t>
          </w: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7</w:t>
          </w:r>
        </w:p>
        <w:p>
          <w:pPr>
            <w:pStyle w:val="10"/>
            <w:tabs>
              <w:tab w:val="right" w:leader="dot" w:pos="8995"/>
            </w:tabs>
            <w:spacing w:line="360" w:lineRule="auto"/>
            <w:rPr>
              <w:rFonts w:hint="eastAsia" w:eastAsia="仿宋"/>
              <w:color w:val="auto"/>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_Toc17066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第六章 </w:t>
          </w:r>
          <w:r>
            <w:rPr>
              <w:rFonts w:ascii="仿宋" w:hAnsi="仿宋" w:eastAsia="仿宋" w:cs="仿宋"/>
              <w:color w:val="auto"/>
              <w:sz w:val="24"/>
              <w:szCs w:val="24"/>
              <w:highlight w:val="none"/>
            </w:rPr>
            <w:t>投标文件格式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1</w:t>
          </w:r>
        </w:p>
        <w:p>
          <w:pPr>
            <w:pStyle w:val="11"/>
            <w:tabs>
              <w:tab w:val="right" w:leader="dot" w:pos="8995"/>
            </w:tabs>
          </w:pPr>
        </w:p>
        <w:p>
          <w:r>
            <w:rPr>
              <w:rFonts w:hint="eastAsia" w:ascii="仿宋" w:hAnsi="仿宋" w:eastAsia="仿宋" w:cs="仿宋"/>
              <w:color w:val="auto"/>
              <w:highlight w:val="none"/>
            </w:rPr>
            <w:fldChar w:fldCharType="end"/>
          </w:r>
        </w:p>
      </w:sdtContent>
    </w:sdt>
    <w:sdt>
      <w:sdtPr>
        <w:rPr>
          <w:rFonts w:hint="eastAsia" w:ascii="仿宋" w:hAnsi="仿宋" w:eastAsia="仿宋" w:cs="仿宋"/>
          <w:snapToGrid/>
          <w:color w:val="auto"/>
          <w:sz w:val="20"/>
          <w:szCs w:val="20"/>
          <w:highlight w:val="none"/>
          <w:lang w:eastAsia="zh-CN"/>
        </w:rPr>
        <w:id w:val="147461890"/>
        <w15:color w:val="DBDBDB"/>
        <w:docPartObj>
          <w:docPartGallery w:val="Table of Contents"/>
          <w:docPartUnique/>
        </w:docPartObj>
      </w:sdtPr>
      <w:sdtEndPr>
        <w:rPr>
          <w:rFonts w:hint="eastAsia" w:ascii="仿宋" w:hAnsi="仿宋" w:eastAsia="仿宋" w:cs="仿宋"/>
          <w:snapToGrid/>
          <w:color w:val="auto"/>
          <w:sz w:val="20"/>
          <w:szCs w:val="20"/>
          <w:highlight w:val="none"/>
          <w:lang w:eastAsia="zh-CN"/>
        </w:rPr>
      </w:sdtEndPr>
      <w:sdtContent>
        <w:p>
          <w:pPr>
            <w:pStyle w:val="15"/>
            <w:rPr>
              <w:rFonts w:hint="eastAsia" w:ascii="仿宋" w:hAnsi="仿宋" w:eastAsia="仿宋" w:cs="仿宋"/>
              <w:color w:val="auto"/>
              <w:highlight w:val="none"/>
            </w:rPr>
            <w:sectPr>
              <w:footerReference r:id="rId3" w:type="default"/>
              <w:pgSz w:w="11900" w:h="16840"/>
              <w:pgMar w:top="1417" w:right="1337" w:bottom="1417" w:left="1568" w:header="57" w:footer="567" w:gutter="0"/>
              <w:pgNumType w:fmt="decimal" w:start="1"/>
              <w:cols w:space="720" w:num="1"/>
            </w:sectPr>
          </w:pPr>
          <w:bookmarkStart w:id="743" w:name="_GoBack"/>
          <w:bookmarkEnd w:id="743"/>
        </w:p>
      </w:sdtContent>
    </w:sdt>
    <w:p>
      <w:pPr>
        <w:pStyle w:val="3"/>
        <w:ind w:firstLine="0" w:firstLineChars="0"/>
        <w:jc w:val="center"/>
        <w:rPr>
          <w:rFonts w:hint="eastAsia" w:ascii="仿宋" w:hAnsi="仿宋" w:eastAsia="仿宋" w:cs="仿宋"/>
          <w:color w:val="auto"/>
          <w:highlight w:val="none"/>
        </w:rPr>
      </w:pPr>
      <w:bookmarkStart w:id="7" w:name="_Toc21056"/>
      <w:bookmarkStart w:id="8" w:name="_Toc16378"/>
      <w:bookmarkStart w:id="9" w:name="_Toc16162"/>
      <w:bookmarkStart w:id="10" w:name="_Toc24207"/>
      <w:bookmarkStart w:id="11" w:name="_Toc10545"/>
      <w:bookmarkStart w:id="12" w:name="_Toc23390"/>
      <w:bookmarkStart w:id="13" w:name="_Toc19996"/>
      <w:r>
        <w:rPr>
          <w:rFonts w:ascii="仿宋" w:hAnsi="仿宋" w:eastAsia="仿宋" w:cs="仿宋"/>
          <w:color w:val="auto"/>
          <w:highlight w:val="none"/>
        </w:rPr>
        <w:t>第一章  招标公告</w:t>
      </w:r>
      <w:bookmarkEnd w:id="7"/>
      <w:bookmarkEnd w:id="8"/>
      <w:bookmarkEnd w:id="9"/>
      <w:bookmarkEnd w:id="10"/>
      <w:bookmarkEnd w:id="11"/>
      <w:bookmarkEnd w:id="12"/>
      <w:bookmarkEnd w:id="13"/>
    </w:p>
    <w:p>
      <w:pPr>
        <w:spacing w:before="78"/>
        <w:jc w:val="center"/>
        <w:rPr>
          <w:rFonts w:hint="eastAsia" w:ascii="仿宋" w:hAnsi="仿宋" w:eastAsia="仿宋" w:cs="仿宋"/>
          <w:color w:val="auto"/>
          <w:spacing w:val="1"/>
          <w:position w:val="17"/>
          <w:sz w:val="28"/>
          <w:szCs w:val="28"/>
          <w:highlight w:val="none"/>
          <w:lang w:eastAsia="zh-CN"/>
          <w14:textOutline w14:w="4356" w14:cap="sq" w14:cmpd="sng" w14:algn="ctr">
            <w14:solidFill>
              <w14:srgbClr w14:val="000000"/>
            </w14:solidFill>
            <w14:prstDash w14:val="solid"/>
            <w14:bevel/>
          </w14:textOutline>
        </w:rPr>
      </w:pPr>
      <w:r>
        <w:rPr>
          <w:rFonts w:hint="eastAsia" w:ascii="仿宋" w:hAnsi="仿宋" w:eastAsia="仿宋" w:cs="仿宋"/>
          <w:color w:val="auto"/>
          <w:spacing w:val="1"/>
          <w:position w:val="17"/>
          <w:sz w:val="28"/>
          <w:szCs w:val="28"/>
          <w:highlight w:val="none"/>
          <w:lang w:eastAsia="zh-CN"/>
          <w14:textOutline w14:w="4356" w14:cap="sq" w14:cmpd="sng" w14:algn="ctr">
            <w14:solidFill>
              <w14:srgbClr w14:val="000000"/>
            </w14:solidFill>
            <w14:prstDash w14:val="solid"/>
            <w14:bevel/>
          </w14:textOutline>
        </w:rPr>
        <w:t>儋州市和庆镇全域土地综合整治（省级）试点项目（社会资本投资主体遴选）招标公告</w:t>
      </w:r>
    </w:p>
    <w:p>
      <w:pPr>
        <w:pStyle w:val="4"/>
        <w:spacing w:line="240" w:lineRule="auto"/>
        <w:rPr>
          <w:rFonts w:hint="eastAsia" w:ascii="仿宋" w:hAnsi="仿宋" w:eastAsia="仿宋" w:cs="仿宋"/>
          <w:color w:val="auto"/>
          <w:highlight w:val="none"/>
          <w:lang w:eastAsia="zh-CN"/>
        </w:rPr>
      </w:pPr>
      <w:bookmarkStart w:id="14" w:name="_Toc12612"/>
      <w:bookmarkStart w:id="15" w:name="_Toc26461"/>
      <w:bookmarkStart w:id="16" w:name="_Toc25716"/>
      <w:bookmarkStart w:id="17" w:name="_Toc26624"/>
      <w:bookmarkStart w:id="18" w:name="_Toc16654"/>
      <w:bookmarkStart w:id="19" w:name="_Toc10434"/>
      <w:bookmarkStart w:id="20" w:name="_Toc16189"/>
      <w:r>
        <w:rPr>
          <w:rFonts w:hint="eastAsia" w:ascii="仿宋" w:hAnsi="仿宋" w:eastAsia="仿宋" w:cs="仿宋"/>
          <w:color w:val="auto"/>
          <w:highlight w:val="none"/>
          <w:lang w:eastAsia="zh-CN"/>
        </w:rPr>
        <w:t>1．招标条件</w:t>
      </w:r>
      <w:bookmarkEnd w:id="14"/>
      <w:bookmarkEnd w:id="15"/>
      <w:bookmarkEnd w:id="16"/>
      <w:bookmarkEnd w:id="17"/>
      <w:bookmarkEnd w:id="18"/>
      <w:bookmarkEnd w:id="19"/>
      <w:bookmarkEnd w:id="20"/>
    </w:p>
    <w:p>
      <w:pPr>
        <w:spacing w:before="181" w:line="360" w:lineRule="auto"/>
        <w:ind w:right="4" w:firstLine="417" w:firstLineChars="177"/>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本招标项目</w:t>
      </w:r>
      <w:r>
        <w:rPr>
          <w:rFonts w:hint="eastAsia" w:ascii="仿宋" w:hAnsi="仿宋" w:eastAsia="仿宋" w:cs="仿宋"/>
          <w:color w:val="auto"/>
          <w:spacing w:val="-2"/>
          <w:sz w:val="24"/>
          <w:szCs w:val="24"/>
          <w:highlight w:val="none"/>
          <w:u w:val="single"/>
          <w:lang w:eastAsia="zh-CN"/>
        </w:rPr>
        <w:t xml:space="preserve"> 儋州市和庆镇全域土地综合整治（省级）试点项目（社会资本投资主体遴选）</w:t>
      </w:r>
      <w:r>
        <w:rPr>
          <w:rFonts w:hint="eastAsia" w:ascii="仿宋" w:hAnsi="仿宋" w:eastAsia="仿宋" w:cs="仿宋"/>
          <w:color w:val="auto"/>
          <w:spacing w:val="-1"/>
          <w:sz w:val="24"/>
          <w:szCs w:val="24"/>
          <w:highlight w:val="none"/>
          <w:lang w:eastAsia="zh-CN"/>
        </w:rPr>
        <w:t>已具备招标条件。建设资金来自</w:t>
      </w:r>
      <w:r>
        <w:rPr>
          <w:rFonts w:hint="eastAsia" w:ascii="仿宋" w:hAnsi="仿宋" w:eastAsia="仿宋" w:cs="仿宋"/>
          <w:color w:val="auto"/>
          <w:spacing w:val="-1"/>
          <w:sz w:val="24"/>
          <w:szCs w:val="24"/>
          <w:highlight w:val="none"/>
          <w:u w:val="single"/>
          <w:lang w:eastAsia="zh-CN"/>
        </w:rPr>
        <w:t>中选社会资本投资主体全额</w:t>
      </w:r>
      <w:r>
        <w:rPr>
          <w:rFonts w:hint="eastAsia" w:ascii="仿宋" w:hAnsi="仿宋" w:eastAsia="仿宋" w:cs="仿宋"/>
          <w:color w:val="auto"/>
          <w:spacing w:val="-2"/>
          <w:sz w:val="24"/>
          <w:szCs w:val="24"/>
          <w:highlight w:val="none"/>
          <w:u w:val="single"/>
          <w:lang w:eastAsia="zh-CN"/>
        </w:rPr>
        <w:t xml:space="preserve">投资 </w:t>
      </w:r>
      <w:r>
        <w:rPr>
          <w:rFonts w:hint="eastAsia" w:ascii="仿宋" w:hAnsi="仿宋" w:eastAsia="仿宋" w:cs="仿宋"/>
          <w:color w:val="auto"/>
          <w:spacing w:val="-2"/>
          <w:sz w:val="24"/>
          <w:szCs w:val="24"/>
          <w:highlight w:val="none"/>
          <w:lang w:eastAsia="zh-CN"/>
        </w:rPr>
        <w:t>,招标人为</w:t>
      </w:r>
      <w:r>
        <w:rPr>
          <w:rFonts w:hint="eastAsia" w:ascii="仿宋" w:hAnsi="仿宋" w:eastAsia="仿宋" w:cs="仿宋"/>
          <w:color w:val="auto"/>
          <w:spacing w:val="-2"/>
          <w:sz w:val="24"/>
          <w:szCs w:val="24"/>
          <w:highlight w:val="none"/>
          <w:u w:val="single"/>
          <w:lang w:eastAsia="zh-CN"/>
        </w:rPr>
        <w:t>儋州市和庆镇人民政府</w:t>
      </w:r>
      <w:r>
        <w:rPr>
          <w:rFonts w:hint="eastAsia" w:ascii="仿宋" w:hAnsi="仿宋" w:eastAsia="仿宋" w:cs="仿宋"/>
          <w:color w:val="auto"/>
          <w:spacing w:val="-2"/>
          <w:sz w:val="24"/>
          <w:szCs w:val="24"/>
          <w:highlight w:val="none"/>
          <w:lang w:eastAsia="zh-CN"/>
        </w:rPr>
        <w:t>。项目已具备招标条</w:t>
      </w:r>
      <w:r>
        <w:rPr>
          <w:rFonts w:hint="eastAsia" w:ascii="仿宋" w:hAnsi="仿宋" w:eastAsia="仿宋" w:cs="仿宋"/>
          <w:color w:val="auto"/>
          <w:spacing w:val="-3"/>
          <w:sz w:val="24"/>
          <w:szCs w:val="24"/>
          <w:highlight w:val="none"/>
          <w:lang w:eastAsia="zh-CN"/>
        </w:rPr>
        <w:t>件，现对该项目</w:t>
      </w:r>
      <w:r>
        <w:rPr>
          <w:rFonts w:hint="eastAsia" w:ascii="仿宋" w:hAnsi="仿宋" w:eastAsia="仿宋" w:cs="仿宋"/>
          <w:color w:val="auto"/>
          <w:spacing w:val="-3"/>
          <w:sz w:val="24"/>
          <w:szCs w:val="24"/>
          <w:highlight w:val="none"/>
          <w:u w:val="single"/>
          <w:lang w:eastAsia="zh-CN"/>
        </w:rPr>
        <w:t xml:space="preserve"> 儋州市和庆镇全域土地综合整治（省级）试点项目（社会资本投资主体遴选）</w:t>
      </w:r>
      <w:r>
        <w:rPr>
          <w:rFonts w:hint="eastAsia" w:ascii="仿宋" w:hAnsi="仿宋" w:eastAsia="仿宋" w:cs="仿宋"/>
          <w:color w:val="auto"/>
          <w:spacing w:val="-1"/>
          <w:sz w:val="24"/>
          <w:szCs w:val="24"/>
          <w:highlight w:val="none"/>
          <w:u w:val="single"/>
          <w:lang w:eastAsia="zh-CN"/>
        </w:rPr>
        <w:t xml:space="preserve"> </w:t>
      </w:r>
      <w:r>
        <w:rPr>
          <w:rFonts w:hint="eastAsia" w:ascii="仿宋" w:hAnsi="仿宋" w:eastAsia="仿宋" w:cs="仿宋"/>
          <w:color w:val="auto"/>
          <w:spacing w:val="-1"/>
          <w:sz w:val="24"/>
          <w:szCs w:val="24"/>
          <w:highlight w:val="none"/>
          <w:lang w:eastAsia="zh-CN"/>
        </w:rPr>
        <w:t>进行公开招标。</w:t>
      </w:r>
    </w:p>
    <w:p>
      <w:pPr>
        <w:pStyle w:val="4"/>
        <w:spacing w:line="240" w:lineRule="auto"/>
        <w:rPr>
          <w:rFonts w:hint="eastAsia" w:ascii="仿宋" w:hAnsi="仿宋" w:eastAsia="仿宋" w:cs="仿宋"/>
          <w:color w:val="auto"/>
          <w:highlight w:val="none"/>
          <w:lang w:eastAsia="zh-CN"/>
        </w:rPr>
      </w:pPr>
      <w:bookmarkStart w:id="21" w:name="_Toc25315"/>
      <w:bookmarkStart w:id="22" w:name="_Toc1245"/>
      <w:bookmarkStart w:id="23" w:name="_Toc16975"/>
      <w:bookmarkStart w:id="24" w:name="_Toc12852"/>
      <w:bookmarkStart w:id="25" w:name="_Toc19686"/>
      <w:bookmarkStart w:id="26" w:name="_Toc121"/>
      <w:bookmarkStart w:id="27" w:name="_Toc16540"/>
      <w:r>
        <w:rPr>
          <w:rFonts w:hint="eastAsia" w:ascii="仿宋" w:hAnsi="仿宋" w:eastAsia="仿宋" w:cs="仿宋"/>
          <w:color w:val="auto"/>
          <w:highlight w:val="none"/>
          <w:lang w:eastAsia="zh-CN"/>
        </w:rPr>
        <w:t>2．项目概况与招标范围</w:t>
      </w:r>
      <w:bookmarkEnd w:id="21"/>
      <w:bookmarkEnd w:id="22"/>
      <w:bookmarkEnd w:id="23"/>
      <w:bookmarkEnd w:id="24"/>
      <w:bookmarkEnd w:id="25"/>
      <w:bookmarkEnd w:id="26"/>
      <w:bookmarkEnd w:id="27"/>
    </w:p>
    <w:p>
      <w:pPr>
        <w:spacing w:before="181" w:line="360" w:lineRule="auto"/>
        <w:ind w:right="4" w:firstLine="417" w:firstLineChars="177"/>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2.1 项目名称：儋州市和庆镇全域土地综合整治（省级）试点项目（社会资本投资主体遴选）</w:t>
      </w:r>
    </w:p>
    <w:p>
      <w:pPr>
        <w:spacing w:before="181" w:line="360" w:lineRule="auto"/>
        <w:ind w:right="4" w:firstLine="417" w:firstLineChars="177"/>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2.2 项目编号：dzzw20240426004</w:t>
      </w:r>
      <w:r>
        <w:rPr>
          <w:rFonts w:hint="eastAsia" w:ascii="仿宋" w:hAnsi="仿宋" w:eastAsia="仿宋" w:cs="仿宋"/>
          <w:color w:val="auto"/>
          <w:spacing w:val="-2"/>
          <w:sz w:val="24"/>
          <w:szCs w:val="24"/>
          <w:highlight w:val="none"/>
          <w:lang w:val="en-US" w:eastAsia="zh-CN"/>
        </w:rPr>
        <w:t xml:space="preserve"> </w:t>
      </w:r>
    </w:p>
    <w:p>
      <w:pPr>
        <w:spacing w:before="181" w:line="360" w:lineRule="auto"/>
        <w:ind w:right="4" w:firstLine="417" w:firstLineChars="177"/>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2.3 招标方式：公开招标</w:t>
      </w:r>
    </w:p>
    <w:p>
      <w:pPr>
        <w:spacing w:before="181" w:line="360" w:lineRule="auto"/>
        <w:ind w:right="4" w:firstLine="417" w:firstLineChars="177"/>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2.4 授权主体：儋州市人民政府</w:t>
      </w:r>
    </w:p>
    <w:p>
      <w:pPr>
        <w:spacing w:before="181" w:line="360" w:lineRule="auto"/>
        <w:ind w:right="4" w:firstLine="417" w:firstLineChars="177"/>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2.5 招标单位：儋州市和庆镇人民政府</w:t>
      </w:r>
    </w:p>
    <w:p>
      <w:pPr>
        <w:spacing w:before="181" w:line="360" w:lineRule="auto"/>
        <w:ind w:right="4" w:firstLine="417" w:firstLineChars="177"/>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2.6 试点项目概况</w:t>
      </w:r>
    </w:p>
    <w:p>
      <w:pPr>
        <w:keepNext w:val="0"/>
        <w:keepLines w:val="0"/>
        <w:widowControl/>
        <w:suppressLineNumbers w:val="0"/>
        <w:spacing w:line="360" w:lineRule="auto"/>
        <w:jc w:val="left"/>
        <w:rPr>
          <w:rFonts w:hint="eastAsia" w:ascii="仿宋" w:hAnsi="仿宋" w:eastAsia="仿宋" w:cs="仿宋"/>
          <w:color w:val="auto"/>
          <w:spacing w:val="-7"/>
          <w:sz w:val="24"/>
          <w:szCs w:val="24"/>
          <w:highlight w:val="none"/>
          <w:lang w:val="en-US" w:eastAsia="zh-CN"/>
        </w:rPr>
      </w:pPr>
      <w:r>
        <w:rPr>
          <w:rFonts w:hint="eastAsia" w:ascii="仿宋" w:hAnsi="仿宋" w:eastAsia="仿宋" w:cs="仿宋"/>
          <w:color w:val="auto"/>
          <w:spacing w:val="-7"/>
          <w:sz w:val="24"/>
          <w:szCs w:val="24"/>
          <w:highlight w:val="none"/>
          <w:lang w:eastAsia="zh-CN"/>
        </w:rPr>
        <w:t>2.6.1 建设内容：</w:t>
      </w:r>
      <w:r>
        <w:rPr>
          <w:rFonts w:hint="eastAsia" w:ascii="仿宋" w:hAnsi="仿宋" w:eastAsia="仿宋" w:cs="仿宋"/>
          <w:color w:val="auto"/>
          <w:spacing w:val="-7"/>
          <w:sz w:val="24"/>
          <w:szCs w:val="24"/>
          <w:highlight w:val="none"/>
          <w:lang w:val="en-US" w:eastAsia="zh-CN"/>
        </w:rPr>
        <w:t>儋州市和庆镇，包含和庆居委会、美灵村委会、罗便村委会、美万村委会、木排村委会、和祥村委会、美敖村委会、文卷村委会、拱教村委会、美万新村村委会、新村村委会等11个行政村（社区）及3个镇办农场，总面积 16552.8848公顷（248293.272 亩），具体建设规模及范围以批复的《儋州市和庆镇全域土地综合整治（省级）试点项目实施方案》为准。项目总投资约 55400</w:t>
      </w:r>
      <w:r>
        <w:rPr>
          <w:rFonts w:hint="default" w:ascii="仿宋" w:hAnsi="仿宋" w:eastAsia="仿宋" w:cs="仿宋"/>
          <w:color w:val="auto"/>
          <w:spacing w:val="-7"/>
          <w:sz w:val="24"/>
          <w:szCs w:val="24"/>
          <w:highlight w:val="none"/>
          <w:lang w:val="en-US" w:eastAsia="zh-CN"/>
        </w:rPr>
        <w:t xml:space="preserve">.00 </w:t>
      </w:r>
      <w:r>
        <w:rPr>
          <w:rFonts w:hint="eastAsia" w:ascii="仿宋" w:hAnsi="仿宋" w:eastAsia="仿宋" w:cs="仿宋"/>
          <w:color w:val="auto"/>
          <w:spacing w:val="-7"/>
          <w:sz w:val="24"/>
          <w:szCs w:val="24"/>
          <w:highlight w:val="none"/>
          <w:lang w:val="en-US" w:eastAsia="zh-CN"/>
        </w:rPr>
        <w:t>万元</w:t>
      </w:r>
    </w:p>
    <w:p>
      <w:pPr>
        <w:pStyle w:val="6"/>
        <w:spacing w:line="360" w:lineRule="auto"/>
        <w:ind w:left="0" w:leftChars="0"/>
        <w:jc w:val="distribute"/>
        <w:rPr>
          <w:rFonts w:hint="eastAsia" w:ascii="仿宋" w:hAnsi="仿宋" w:eastAsia="仿宋" w:cs="仿宋"/>
          <w:snapToGrid w:val="0"/>
          <w:color w:val="auto"/>
          <w:spacing w:val="-7"/>
          <w:sz w:val="24"/>
          <w:szCs w:val="24"/>
          <w:highlight w:val="none"/>
          <w:lang w:val="en-US" w:eastAsia="zh-CN" w:bidi="ar-SA"/>
        </w:rPr>
      </w:pPr>
      <w:r>
        <w:rPr>
          <w:rFonts w:hint="eastAsia" w:ascii="仿宋" w:hAnsi="仿宋" w:eastAsia="仿宋" w:cs="仿宋"/>
          <w:snapToGrid w:val="0"/>
          <w:color w:val="auto"/>
          <w:spacing w:val="-7"/>
          <w:sz w:val="24"/>
          <w:szCs w:val="24"/>
          <w:highlight w:val="none"/>
          <w:lang w:val="en-US" w:eastAsia="zh-CN" w:bidi="ar-SA"/>
        </w:rPr>
        <w:t>2.6.2 运作模式：</w:t>
      </w:r>
      <w:bookmarkStart w:id="28" w:name="_Hlk156129635"/>
      <w:r>
        <w:rPr>
          <w:rFonts w:hint="eastAsia" w:ascii="仿宋" w:hAnsi="仿宋" w:eastAsia="仿宋" w:cs="仿宋"/>
          <w:snapToGrid w:val="0"/>
          <w:color w:val="auto"/>
          <w:spacing w:val="-7"/>
          <w:sz w:val="24"/>
          <w:szCs w:val="24"/>
          <w:highlight w:val="none"/>
          <w:lang w:val="en-US" w:eastAsia="zh-CN" w:bidi="ar-SA"/>
        </w:rPr>
        <w:t>项目按“不予不取 就地发展”及社会资本</w:t>
      </w:r>
      <w:r>
        <w:rPr>
          <w:rFonts w:hint="eastAsia" w:ascii="仿宋" w:hAnsi="仿宋" w:eastAsia="仿宋" w:cs="仿宋"/>
          <w:snapToGrid w:val="0"/>
          <w:color w:val="auto"/>
          <w:spacing w:val="-7"/>
          <w:sz w:val="24"/>
          <w:szCs w:val="24"/>
          <w:highlight w:val="none"/>
          <w:lang w:val="zh-TW" w:eastAsia="zh-TW" w:bidi="ar-SA"/>
        </w:rPr>
        <w:t>“全额投资、全程运作、全担风险”</w:t>
      </w:r>
      <w:r>
        <w:rPr>
          <w:rFonts w:hint="eastAsia" w:ascii="仿宋" w:hAnsi="仿宋" w:eastAsia="仿宋" w:cs="仿宋"/>
          <w:snapToGrid w:val="0"/>
          <w:color w:val="auto"/>
          <w:spacing w:val="-7"/>
          <w:sz w:val="24"/>
          <w:szCs w:val="24"/>
          <w:highlight w:val="none"/>
          <w:lang w:val="en-US" w:eastAsia="zh-CN" w:bidi="ar-SA"/>
        </w:rPr>
        <w:t>的原则，在分期实施中按约定比例优先开展农用地整理项目及人居环境整治等子项目。本项目投资成本包括工程费用、工程建设其他费用（含青苗补偿及土地流转、实施方案及可行性研究费、可研评审费、项目规划方案、初步设计及概算评审费、项目勘察费、水土保持、水资源论证编制费、项目设计与概算编制费、招标代理、工程监理费、施工图审查费、工程质量检测费、工程量清单及控制价编制费、全过程造价咨询费、耕地质量等别评定、新增耕地认定费、指标竣工验收费、结算审核费、三年后期管护费、业主管理费、不可预见费等。）具体以概算批复为准。全部由中标人承担。</w:t>
      </w:r>
    </w:p>
    <w:bookmarkEnd w:id="28"/>
    <w:p>
      <w:pPr>
        <w:spacing w:line="360" w:lineRule="auto"/>
        <w:jc w:val="left"/>
        <w:outlineLvl w:val="0"/>
        <w:rPr>
          <w:rFonts w:hint="eastAsia" w:ascii="仿宋" w:hAnsi="仿宋" w:eastAsia="仿宋" w:cs="仿宋"/>
          <w:color w:val="auto"/>
          <w:spacing w:val="-7"/>
          <w:sz w:val="24"/>
          <w:szCs w:val="24"/>
          <w:highlight w:val="none"/>
          <w:lang w:eastAsia="zh-CN"/>
        </w:rPr>
      </w:pPr>
      <w:bookmarkStart w:id="29" w:name="_Toc23950"/>
      <w:bookmarkStart w:id="30" w:name="_Toc16694"/>
      <w:r>
        <w:rPr>
          <w:rFonts w:hint="eastAsia" w:ascii="仿宋" w:hAnsi="仿宋" w:eastAsia="仿宋" w:cs="仿宋"/>
          <w:snapToGrid w:val="0"/>
          <w:color w:val="auto"/>
          <w:spacing w:val="-7"/>
          <w:sz w:val="24"/>
          <w:szCs w:val="24"/>
          <w:highlight w:val="none"/>
          <w:lang w:val="en-US" w:eastAsia="zh-CN" w:bidi="ar-SA"/>
        </w:rPr>
        <w:t>2.6.3 合作协议：招标人与中标社会资本签订《儋州市和庆镇全域土地综合整治（省级）</w:t>
      </w:r>
      <w:r>
        <w:rPr>
          <w:rFonts w:hint="eastAsia" w:ascii="仿宋" w:hAnsi="仿宋" w:eastAsia="仿宋" w:cs="仿宋"/>
          <w:color w:val="auto"/>
          <w:spacing w:val="-7"/>
          <w:sz w:val="24"/>
          <w:szCs w:val="24"/>
          <w:highlight w:val="none"/>
          <w:lang w:eastAsia="zh-CN"/>
        </w:rPr>
        <w:t>试点项目</w:t>
      </w:r>
      <w:r>
        <w:rPr>
          <w:rFonts w:hint="eastAsia" w:ascii="仿宋" w:hAnsi="仿宋" w:eastAsia="仿宋" w:cs="仿宋"/>
          <w:color w:val="auto"/>
          <w:spacing w:val="-7"/>
          <w:sz w:val="24"/>
          <w:szCs w:val="24"/>
          <w:highlight w:val="none"/>
          <w:lang w:val="en-US" w:eastAsia="zh-CN"/>
        </w:rPr>
        <w:t>投资</w:t>
      </w:r>
      <w:r>
        <w:rPr>
          <w:rFonts w:hint="eastAsia" w:ascii="仿宋" w:hAnsi="仿宋" w:eastAsia="仿宋" w:cs="仿宋"/>
          <w:color w:val="auto"/>
          <w:spacing w:val="-7"/>
          <w:sz w:val="24"/>
          <w:szCs w:val="24"/>
          <w:highlight w:val="none"/>
          <w:lang w:eastAsia="zh-CN"/>
        </w:rPr>
        <w:t>协议》（以下简称：“</w:t>
      </w:r>
      <w:r>
        <w:rPr>
          <w:rFonts w:hint="eastAsia" w:ascii="仿宋" w:hAnsi="仿宋" w:eastAsia="仿宋" w:cs="仿宋"/>
          <w:color w:val="auto"/>
          <w:spacing w:val="-7"/>
          <w:sz w:val="24"/>
          <w:szCs w:val="24"/>
          <w:highlight w:val="none"/>
          <w:lang w:val="en-US" w:eastAsia="zh-CN"/>
        </w:rPr>
        <w:t>投资</w:t>
      </w:r>
      <w:r>
        <w:rPr>
          <w:rFonts w:hint="eastAsia" w:ascii="仿宋" w:hAnsi="仿宋" w:eastAsia="仿宋" w:cs="仿宋"/>
          <w:color w:val="auto"/>
          <w:spacing w:val="-7"/>
          <w:sz w:val="24"/>
          <w:szCs w:val="24"/>
          <w:highlight w:val="none"/>
          <w:lang w:eastAsia="zh-CN"/>
        </w:rPr>
        <w:t>协议”），中标社会资本根据</w:t>
      </w:r>
      <w:r>
        <w:rPr>
          <w:rFonts w:hint="eastAsia" w:ascii="仿宋" w:hAnsi="仿宋" w:eastAsia="仿宋" w:cs="仿宋"/>
          <w:color w:val="auto"/>
          <w:spacing w:val="-7"/>
          <w:sz w:val="24"/>
          <w:szCs w:val="24"/>
          <w:highlight w:val="none"/>
          <w:lang w:val="en-US" w:eastAsia="zh-CN"/>
        </w:rPr>
        <w:t>投资</w:t>
      </w:r>
      <w:r>
        <w:rPr>
          <w:rFonts w:hint="eastAsia" w:ascii="仿宋" w:hAnsi="仿宋" w:eastAsia="仿宋" w:cs="仿宋"/>
          <w:color w:val="auto"/>
          <w:spacing w:val="-7"/>
          <w:sz w:val="24"/>
          <w:szCs w:val="24"/>
          <w:highlight w:val="none"/>
          <w:lang w:eastAsia="zh-CN"/>
        </w:rPr>
        <w:t>协议成立项目公司。</w:t>
      </w:r>
      <w:bookmarkEnd w:id="29"/>
      <w:bookmarkEnd w:id="30"/>
    </w:p>
    <w:p>
      <w:pPr>
        <w:spacing w:before="149" w:line="360" w:lineRule="auto"/>
        <w:ind w:right="4"/>
        <w:jc w:val="both"/>
        <w:outlineLvl w:val="2"/>
        <w:rPr>
          <w:rFonts w:hint="eastAsia" w:ascii="仿宋" w:hAnsi="仿宋" w:eastAsia="仿宋" w:cs="仿宋"/>
          <w:color w:val="auto"/>
          <w:spacing w:val="-7"/>
          <w:sz w:val="24"/>
          <w:szCs w:val="24"/>
          <w:highlight w:val="none"/>
          <w:lang w:eastAsia="zh-CN"/>
        </w:rPr>
      </w:pPr>
      <w:bookmarkStart w:id="31" w:name="_Toc18223"/>
      <w:bookmarkStart w:id="32" w:name="_Toc17662"/>
      <w:bookmarkStart w:id="33" w:name="_Toc29442"/>
      <w:bookmarkStart w:id="34" w:name="_Toc30882"/>
      <w:bookmarkStart w:id="35" w:name="_Toc27448"/>
      <w:bookmarkStart w:id="36" w:name="_Toc17211"/>
      <w:bookmarkStart w:id="37" w:name="_Toc18357"/>
      <w:r>
        <w:rPr>
          <w:rFonts w:hint="eastAsia" w:ascii="仿宋" w:hAnsi="仿宋" w:eastAsia="仿宋" w:cs="仿宋"/>
          <w:color w:val="auto"/>
          <w:spacing w:val="-7"/>
          <w:sz w:val="24"/>
          <w:szCs w:val="24"/>
          <w:highlight w:val="none"/>
          <w:lang w:eastAsia="zh-CN"/>
        </w:rPr>
        <w:t>2.6.4 项目投资收入来源及分配方式</w:t>
      </w:r>
      <w:bookmarkEnd w:id="31"/>
      <w:bookmarkEnd w:id="32"/>
      <w:bookmarkEnd w:id="33"/>
      <w:bookmarkEnd w:id="34"/>
      <w:bookmarkEnd w:id="35"/>
      <w:bookmarkEnd w:id="36"/>
      <w:bookmarkEnd w:id="37"/>
    </w:p>
    <w:p>
      <w:pPr>
        <w:pStyle w:val="6"/>
        <w:spacing w:line="360" w:lineRule="auto"/>
        <w:rPr>
          <w:rFonts w:hint="eastAsia" w:ascii="仿宋" w:hAnsi="仿宋" w:eastAsia="仿宋" w:cs="仿宋"/>
          <w:snapToGrid w:val="0"/>
          <w:color w:val="auto"/>
          <w:spacing w:val="-7"/>
          <w:sz w:val="24"/>
          <w:szCs w:val="24"/>
          <w:highlight w:val="none"/>
          <w:lang w:val="en-US" w:eastAsia="zh-CN" w:bidi="ar-SA"/>
        </w:rPr>
      </w:pPr>
      <w:r>
        <w:rPr>
          <w:rFonts w:hint="eastAsia" w:ascii="仿宋" w:hAnsi="仿宋" w:eastAsia="仿宋" w:cs="仿宋"/>
          <w:snapToGrid w:val="0"/>
          <w:color w:val="auto"/>
          <w:spacing w:val="-7"/>
          <w:sz w:val="24"/>
          <w:szCs w:val="24"/>
          <w:highlight w:val="none"/>
          <w:lang w:val="en-US" w:eastAsia="zh-CN" w:bidi="ar-SA"/>
        </w:rPr>
        <w:t>2.6.4.1项目产生的补充耕地指标收入作为社会资本投资成本及收益来源。中标社会资本的投资成本与投资利润通过处置试点项目指标收益及返投产业项目的投资获取。</w:t>
      </w:r>
    </w:p>
    <w:p>
      <w:pPr>
        <w:pStyle w:val="6"/>
        <w:spacing w:line="360" w:lineRule="auto"/>
        <w:rPr>
          <w:rFonts w:hint="eastAsia" w:ascii="仿宋" w:hAnsi="仿宋" w:eastAsia="仿宋" w:cs="仿宋"/>
          <w:snapToGrid w:val="0"/>
          <w:color w:val="auto"/>
          <w:spacing w:val="-7"/>
          <w:sz w:val="24"/>
          <w:szCs w:val="24"/>
          <w:highlight w:val="none"/>
          <w:lang w:val="en-US" w:eastAsia="zh-CN" w:bidi="ar-SA"/>
        </w:rPr>
      </w:pPr>
      <w:r>
        <w:rPr>
          <w:rFonts w:hint="eastAsia" w:ascii="仿宋" w:hAnsi="仿宋" w:eastAsia="仿宋" w:cs="仿宋"/>
          <w:snapToGrid w:val="0"/>
          <w:color w:val="auto"/>
          <w:spacing w:val="-7"/>
          <w:sz w:val="24"/>
          <w:szCs w:val="24"/>
          <w:highlight w:val="none"/>
          <w:lang w:val="en-US" w:eastAsia="zh-CN" w:bidi="ar-SA"/>
        </w:rPr>
        <w:fldChar w:fldCharType="begin"/>
      </w:r>
      <w:r>
        <w:rPr>
          <w:rFonts w:hint="eastAsia" w:ascii="仿宋" w:hAnsi="仿宋" w:eastAsia="仿宋" w:cs="仿宋"/>
          <w:snapToGrid w:val="0"/>
          <w:color w:val="auto"/>
          <w:spacing w:val="-7"/>
          <w:sz w:val="24"/>
          <w:szCs w:val="24"/>
          <w:highlight w:val="none"/>
          <w:lang w:val="en-US" w:eastAsia="zh-CN" w:bidi="ar-SA"/>
        </w:rPr>
        <w:instrText xml:space="preserve"> HYPERLINK "2.6.4.2" </w:instrText>
      </w:r>
      <w:r>
        <w:rPr>
          <w:rFonts w:hint="eastAsia" w:ascii="仿宋" w:hAnsi="仿宋" w:eastAsia="仿宋" w:cs="仿宋"/>
          <w:snapToGrid w:val="0"/>
          <w:color w:val="auto"/>
          <w:spacing w:val="-7"/>
          <w:sz w:val="24"/>
          <w:szCs w:val="24"/>
          <w:highlight w:val="none"/>
          <w:lang w:val="en-US" w:eastAsia="zh-CN" w:bidi="ar-SA"/>
        </w:rPr>
        <w:fldChar w:fldCharType="separate"/>
      </w:r>
      <w:r>
        <w:rPr>
          <w:rFonts w:hint="eastAsia" w:ascii="仿宋" w:hAnsi="仿宋" w:eastAsia="仿宋" w:cs="仿宋"/>
          <w:snapToGrid w:val="0"/>
          <w:color w:val="auto"/>
          <w:spacing w:val="-7"/>
          <w:sz w:val="24"/>
          <w:szCs w:val="24"/>
          <w:highlight w:val="none"/>
          <w:lang w:val="en-US" w:eastAsia="zh-CN" w:bidi="ar-SA"/>
        </w:rPr>
        <w:t>2.6.4.</w:t>
      </w:r>
      <w:r>
        <w:rPr>
          <w:rFonts w:hint="eastAsia" w:ascii="仿宋" w:hAnsi="仿宋" w:eastAsia="仿宋" w:cs="仿宋"/>
          <w:snapToGrid w:val="0"/>
          <w:color w:val="auto"/>
          <w:spacing w:val="-7"/>
          <w:sz w:val="24"/>
          <w:szCs w:val="24"/>
          <w:highlight w:val="none"/>
          <w:lang w:val="en-US" w:eastAsia="zh-CN" w:bidi="ar-SA"/>
        </w:rPr>
        <w:fldChar w:fldCharType="end"/>
      </w:r>
      <w:r>
        <w:rPr>
          <w:rFonts w:hint="eastAsia" w:ascii="仿宋" w:hAnsi="仿宋" w:eastAsia="仿宋" w:cs="仿宋"/>
          <w:snapToGrid w:val="0"/>
          <w:color w:val="auto"/>
          <w:spacing w:val="-7"/>
          <w:sz w:val="24"/>
          <w:szCs w:val="24"/>
          <w:highlight w:val="none"/>
          <w:lang w:val="en-US" w:eastAsia="zh-CN" w:bidi="ar-SA"/>
        </w:rPr>
        <w:t xml:space="preserve">2增减挂钩节余指标使用试点项目区域内城乡建设用地增减挂钩节余指标，按照省、市政府有关规定，自然资源部对试点工作奖补的计划指标归中标社会资本所有。本着“谁投资、谁受益”的原则，由市政府相关部门协助项目公司办理土地相关手续，用于试点项目区域内农村一、二、三产业融合发展用地。 </w:t>
      </w:r>
      <w:bookmarkStart w:id="38" w:name="_Toc19558"/>
      <w:bookmarkStart w:id="39" w:name="_Toc8068"/>
      <w:bookmarkStart w:id="40" w:name="_Toc26256"/>
      <w:bookmarkStart w:id="41" w:name="_Toc14147"/>
      <w:bookmarkStart w:id="42" w:name="_Toc23641"/>
    </w:p>
    <w:p>
      <w:pPr>
        <w:spacing w:before="149" w:line="360" w:lineRule="auto"/>
        <w:ind w:right="4" w:firstLine="418" w:firstLineChars="185"/>
        <w:jc w:val="both"/>
        <w:outlineLvl w:val="2"/>
        <w:rPr>
          <w:rFonts w:hint="eastAsia" w:ascii="仿宋" w:hAnsi="仿宋" w:eastAsia="仿宋" w:cs="仿宋"/>
          <w:color w:val="auto"/>
          <w:spacing w:val="-7"/>
          <w:sz w:val="24"/>
          <w:szCs w:val="24"/>
          <w:highlight w:val="none"/>
          <w:lang w:eastAsia="zh-CN"/>
        </w:rPr>
      </w:pPr>
      <w:bookmarkStart w:id="43" w:name="_Toc32559"/>
      <w:bookmarkStart w:id="44" w:name="_Toc26809"/>
      <w:r>
        <w:rPr>
          <w:rFonts w:hint="eastAsia" w:ascii="仿宋" w:hAnsi="仿宋" w:eastAsia="仿宋" w:cs="仿宋"/>
          <w:color w:val="auto"/>
          <w:spacing w:val="-7"/>
          <w:sz w:val="24"/>
          <w:szCs w:val="24"/>
          <w:highlight w:val="none"/>
          <w:lang w:eastAsia="zh-CN"/>
        </w:rPr>
        <w:t>3．投标人资格要求</w:t>
      </w:r>
      <w:bookmarkEnd w:id="38"/>
      <w:bookmarkEnd w:id="39"/>
      <w:bookmarkEnd w:id="40"/>
      <w:bookmarkEnd w:id="41"/>
      <w:bookmarkEnd w:id="42"/>
      <w:r>
        <w:rPr>
          <w:rFonts w:hint="eastAsia" w:ascii="仿宋" w:hAnsi="仿宋" w:eastAsia="仿宋" w:cs="仿宋"/>
          <w:color w:val="auto"/>
          <w:spacing w:val="-7"/>
          <w:sz w:val="24"/>
          <w:szCs w:val="24"/>
          <w:highlight w:val="none"/>
          <w:lang w:eastAsia="zh-CN"/>
        </w:rPr>
        <w:t>：</w:t>
      </w:r>
      <w:bookmarkEnd w:id="43"/>
      <w:bookmarkEnd w:id="44"/>
    </w:p>
    <w:p>
      <w:pPr>
        <w:spacing w:before="149" w:line="360" w:lineRule="auto"/>
        <w:ind w:right="4" w:firstLine="418" w:firstLineChars="185"/>
        <w:jc w:val="both"/>
        <w:outlineLvl w:val="2"/>
        <w:rPr>
          <w:rFonts w:hint="eastAsia" w:ascii="仿宋" w:hAnsi="仿宋" w:eastAsia="仿宋" w:cs="仿宋"/>
          <w:color w:val="auto"/>
          <w:spacing w:val="-7"/>
          <w:sz w:val="24"/>
          <w:szCs w:val="24"/>
          <w:highlight w:val="none"/>
          <w:lang w:eastAsia="zh-CN"/>
        </w:rPr>
      </w:pPr>
      <w:bookmarkStart w:id="45" w:name="_Toc13613"/>
      <w:bookmarkStart w:id="46" w:name="_Toc19773"/>
      <w:bookmarkStart w:id="47" w:name="_Toc25271"/>
      <w:bookmarkStart w:id="48" w:name="_Toc5422"/>
      <w:bookmarkStart w:id="49" w:name="_Toc31019"/>
      <w:bookmarkStart w:id="50" w:name="_Toc24437"/>
      <w:bookmarkStart w:id="51" w:name="_Toc5787"/>
      <w:r>
        <w:rPr>
          <w:rFonts w:hint="eastAsia" w:ascii="仿宋" w:hAnsi="仿宋" w:eastAsia="仿宋" w:cs="仿宋"/>
          <w:color w:val="auto"/>
          <w:spacing w:val="-7"/>
          <w:sz w:val="24"/>
          <w:szCs w:val="24"/>
          <w:highlight w:val="none"/>
          <w:lang w:eastAsia="zh-CN"/>
        </w:rPr>
        <w:t>3.1 符合《中华人民共和国招标投标法》相关规定；</w:t>
      </w:r>
      <w:bookmarkEnd w:id="45"/>
      <w:bookmarkEnd w:id="46"/>
      <w:bookmarkEnd w:id="47"/>
      <w:bookmarkEnd w:id="48"/>
      <w:bookmarkEnd w:id="49"/>
      <w:bookmarkEnd w:id="50"/>
      <w:bookmarkEnd w:id="51"/>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3.2 具有独立企业法人资格：提供三证合一代码的营业执照副本复印件；</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3.3 在“信用中国网</w:t>
      </w:r>
      <w:r>
        <w:rPr>
          <w:rFonts w:hint="eastAsia" w:ascii="仿宋" w:hAnsi="仿宋" w:eastAsia="仿宋" w:cs="仿宋"/>
          <w:color w:val="auto"/>
          <w:spacing w:val="-7"/>
          <w:sz w:val="24"/>
          <w:szCs w:val="24"/>
          <w:highlight w:val="none"/>
        </w:rPr>
        <w:fldChar w:fldCharType="begin"/>
      </w:r>
      <w:r>
        <w:rPr>
          <w:rFonts w:hint="eastAsia" w:ascii="仿宋" w:hAnsi="仿宋" w:eastAsia="仿宋" w:cs="仿宋"/>
          <w:color w:val="auto"/>
          <w:spacing w:val="-7"/>
          <w:sz w:val="24"/>
          <w:szCs w:val="24"/>
          <w:highlight w:val="none"/>
          <w:lang w:eastAsia="zh-CN"/>
        </w:rPr>
        <w:instrText xml:space="preserve"> HYPERLINK "http://www.creditchina.gov.cn/" </w:instrText>
      </w:r>
      <w:r>
        <w:rPr>
          <w:rFonts w:hint="eastAsia" w:ascii="仿宋" w:hAnsi="仿宋" w:eastAsia="仿宋" w:cs="仿宋"/>
          <w:color w:val="auto"/>
          <w:spacing w:val="-7"/>
          <w:sz w:val="24"/>
          <w:szCs w:val="24"/>
          <w:highlight w:val="none"/>
        </w:rPr>
        <w:fldChar w:fldCharType="separate"/>
      </w:r>
      <w:r>
        <w:rPr>
          <w:rFonts w:hint="eastAsia" w:ascii="仿宋" w:hAnsi="仿宋" w:eastAsia="仿宋" w:cs="仿宋"/>
          <w:color w:val="auto"/>
          <w:spacing w:val="-7"/>
          <w:sz w:val="24"/>
          <w:szCs w:val="24"/>
          <w:highlight w:val="none"/>
          <w:lang w:eastAsia="zh-CN"/>
        </w:rPr>
        <w:t>www.creditchina.gov.cn</w:t>
      </w:r>
      <w:r>
        <w:rPr>
          <w:rFonts w:hint="eastAsia" w:ascii="仿宋" w:hAnsi="仿宋" w:eastAsia="仿宋" w:cs="仿宋"/>
          <w:color w:val="auto"/>
          <w:spacing w:val="-7"/>
          <w:sz w:val="24"/>
          <w:szCs w:val="24"/>
          <w:highlight w:val="none"/>
        </w:rPr>
        <w:fldChar w:fldCharType="end"/>
      </w:r>
      <w:r>
        <w:rPr>
          <w:rFonts w:hint="eastAsia" w:ascii="仿宋" w:hAnsi="仿宋" w:eastAsia="仿宋" w:cs="仿宋"/>
          <w:color w:val="auto"/>
          <w:spacing w:val="-7"/>
          <w:sz w:val="24"/>
          <w:szCs w:val="24"/>
          <w:highlight w:val="none"/>
          <w:lang w:eastAsia="zh-CN"/>
        </w:rPr>
        <w:t xml:space="preserve"> ”未被列入失信被执行人、重大税收违法案件当事人名单、严重拖欠农民工工资失信主体、政府采购严重失信行为记录名单，且在“ 中国政府采购网 </w:t>
      </w:r>
      <w:r>
        <w:rPr>
          <w:rFonts w:hint="eastAsia" w:ascii="仿宋" w:hAnsi="仿宋" w:eastAsia="仿宋" w:cs="仿宋"/>
          <w:color w:val="auto"/>
          <w:spacing w:val="-7"/>
          <w:sz w:val="24"/>
          <w:szCs w:val="24"/>
          <w:highlight w:val="none"/>
        </w:rPr>
        <w:fldChar w:fldCharType="begin"/>
      </w:r>
      <w:r>
        <w:rPr>
          <w:rFonts w:hint="eastAsia" w:ascii="仿宋" w:hAnsi="仿宋" w:eastAsia="仿宋" w:cs="仿宋"/>
          <w:color w:val="auto"/>
          <w:spacing w:val="-7"/>
          <w:sz w:val="24"/>
          <w:szCs w:val="24"/>
          <w:highlight w:val="none"/>
          <w:lang w:eastAsia="zh-CN"/>
        </w:rPr>
        <w:instrText xml:space="preserve"> HYPERLINK "http://www.ccgp.gov.cn/" </w:instrText>
      </w:r>
      <w:r>
        <w:rPr>
          <w:rFonts w:hint="eastAsia" w:ascii="仿宋" w:hAnsi="仿宋" w:eastAsia="仿宋" w:cs="仿宋"/>
          <w:color w:val="auto"/>
          <w:spacing w:val="-7"/>
          <w:sz w:val="24"/>
          <w:szCs w:val="24"/>
          <w:highlight w:val="none"/>
        </w:rPr>
        <w:fldChar w:fldCharType="separate"/>
      </w:r>
      <w:r>
        <w:rPr>
          <w:rFonts w:hint="eastAsia" w:ascii="仿宋" w:hAnsi="仿宋" w:eastAsia="仿宋" w:cs="仿宋"/>
          <w:color w:val="auto"/>
          <w:spacing w:val="-7"/>
          <w:sz w:val="24"/>
          <w:szCs w:val="24"/>
          <w:highlight w:val="none"/>
          <w:lang w:eastAsia="zh-CN"/>
        </w:rPr>
        <w:t>www.ccgp.gov.cn</w:t>
      </w:r>
      <w:r>
        <w:rPr>
          <w:rFonts w:hint="eastAsia" w:ascii="仿宋" w:hAnsi="仿宋" w:eastAsia="仿宋" w:cs="仿宋"/>
          <w:color w:val="auto"/>
          <w:spacing w:val="-7"/>
          <w:sz w:val="24"/>
          <w:szCs w:val="24"/>
          <w:highlight w:val="none"/>
        </w:rPr>
        <w:fldChar w:fldCharType="end"/>
      </w:r>
      <w:r>
        <w:rPr>
          <w:rFonts w:hint="eastAsia" w:ascii="仿宋" w:hAnsi="仿宋" w:eastAsia="仿宋" w:cs="仿宋"/>
          <w:color w:val="auto"/>
          <w:spacing w:val="-7"/>
          <w:sz w:val="24"/>
          <w:szCs w:val="24"/>
          <w:highlight w:val="none"/>
          <w:lang w:eastAsia="zh-CN"/>
        </w:rPr>
        <w:t xml:space="preserve"> ”无严重违法失信行为信息记录（提供本公告发布之后的网站查询截图）；</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3.4 有依法缴纳税收和社会保障资金的良好记录：提供202</w:t>
      </w:r>
      <w:r>
        <w:rPr>
          <w:rFonts w:hint="eastAsia" w:ascii="仿宋" w:hAnsi="仿宋" w:eastAsia="仿宋" w:cs="仿宋"/>
          <w:color w:val="auto"/>
          <w:spacing w:val="-7"/>
          <w:sz w:val="24"/>
          <w:szCs w:val="24"/>
          <w:highlight w:val="none"/>
          <w:lang w:val="en-US" w:eastAsia="zh-CN"/>
        </w:rPr>
        <w:t>4</w:t>
      </w:r>
      <w:r>
        <w:rPr>
          <w:rFonts w:hint="eastAsia" w:ascii="仿宋" w:hAnsi="仿宋" w:eastAsia="仿宋" w:cs="仿宋"/>
          <w:color w:val="auto"/>
          <w:spacing w:val="-7"/>
          <w:sz w:val="24"/>
          <w:szCs w:val="24"/>
          <w:highlight w:val="none"/>
          <w:lang w:eastAsia="zh-CN"/>
        </w:rPr>
        <w:t>年</w:t>
      </w:r>
      <w:r>
        <w:rPr>
          <w:rFonts w:hint="eastAsia" w:ascii="仿宋" w:hAnsi="仿宋" w:eastAsia="仿宋" w:cs="仿宋"/>
          <w:color w:val="auto"/>
          <w:spacing w:val="-7"/>
          <w:sz w:val="24"/>
          <w:szCs w:val="24"/>
          <w:highlight w:val="none"/>
          <w:lang w:val="en-US" w:eastAsia="zh-CN"/>
        </w:rPr>
        <w:t>1</w:t>
      </w:r>
      <w:r>
        <w:rPr>
          <w:rFonts w:hint="eastAsia" w:ascii="仿宋" w:hAnsi="仿宋" w:eastAsia="仿宋" w:cs="仿宋"/>
          <w:color w:val="auto"/>
          <w:spacing w:val="-7"/>
          <w:sz w:val="24"/>
          <w:szCs w:val="24"/>
          <w:highlight w:val="none"/>
          <w:lang w:eastAsia="zh-CN"/>
        </w:rPr>
        <w:t>月1日至今连续三个月依法纳税缴交记录和社会保障资金缴交记录的证明复印件；</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3.5</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投标人特定资格条件：（联合体投标时指联合体中承担施工任务的成员）本次招标要求投标人须具备独立法人资格以及具备有效的安全生产许可证,同时具备建设行政主管部门核发的市政公用工程施工总承包</w:t>
      </w:r>
      <w:r>
        <w:rPr>
          <w:rFonts w:hint="eastAsia" w:ascii="仿宋" w:hAnsi="仿宋" w:eastAsia="仿宋" w:cs="仿宋"/>
          <w:color w:val="auto"/>
          <w:spacing w:val="-7"/>
          <w:sz w:val="24"/>
          <w:szCs w:val="24"/>
          <w:highlight w:val="none"/>
          <w:lang w:val="en-US" w:eastAsia="zh-CN"/>
        </w:rPr>
        <w:t>二</w:t>
      </w:r>
      <w:r>
        <w:rPr>
          <w:rFonts w:hint="eastAsia" w:ascii="仿宋" w:hAnsi="仿宋" w:eastAsia="仿宋" w:cs="仿宋"/>
          <w:color w:val="auto"/>
          <w:spacing w:val="-7"/>
          <w:sz w:val="24"/>
          <w:szCs w:val="24"/>
          <w:highlight w:val="none"/>
          <w:lang w:eastAsia="zh-CN"/>
        </w:rPr>
        <w:t>级（含以上级）资质和水利水电工程施工总承包</w:t>
      </w:r>
      <w:r>
        <w:rPr>
          <w:rFonts w:hint="eastAsia" w:ascii="仿宋" w:hAnsi="仿宋" w:eastAsia="仿宋" w:cs="仿宋"/>
          <w:color w:val="auto"/>
          <w:spacing w:val="-7"/>
          <w:sz w:val="24"/>
          <w:szCs w:val="24"/>
          <w:highlight w:val="none"/>
          <w:lang w:val="en-US" w:eastAsia="zh-CN"/>
        </w:rPr>
        <w:t>二</w:t>
      </w:r>
      <w:r>
        <w:rPr>
          <w:rFonts w:hint="eastAsia" w:ascii="仿宋" w:hAnsi="仿宋" w:eastAsia="仿宋" w:cs="仿宋"/>
          <w:color w:val="auto"/>
          <w:spacing w:val="-7"/>
          <w:sz w:val="24"/>
          <w:szCs w:val="24"/>
          <w:highlight w:val="none"/>
          <w:lang w:eastAsia="zh-CN"/>
        </w:rPr>
        <w:t>级（含以上级）资质和建筑工程施工总承包</w:t>
      </w:r>
      <w:r>
        <w:rPr>
          <w:rFonts w:hint="eastAsia" w:ascii="仿宋" w:hAnsi="仿宋" w:eastAsia="仿宋" w:cs="仿宋"/>
          <w:color w:val="auto"/>
          <w:spacing w:val="-7"/>
          <w:sz w:val="24"/>
          <w:szCs w:val="24"/>
          <w:highlight w:val="none"/>
          <w:lang w:val="en-US" w:eastAsia="zh-CN"/>
        </w:rPr>
        <w:t>二</w:t>
      </w:r>
      <w:r>
        <w:rPr>
          <w:rFonts w:hint="eastAsia" w:ascii="仿宋" w:hAnsi="仿宋" w:eastAsia="仿宋" w:cs="仿宋"/>
          <w:color w:val="auto"/>
          <w:spacing w:val="-7"/>
          <w:sz w:val="24"/>
          <w:szCs w:val="24"/>
          <w:highlight w:val="none"/>
          <w:lang w:eastAsia="zh-CN"/>
        </w:rPr>
        <w:t>级（含以上级）</w:t>
      </w:r>
      <w:r>
        <w:rPr>
          <w:rFonts w:hint="eastAsia" w:ascii="仿宋" w:hAnsi="仿宋" w:eastAsia="仿宋" w:cs="仿宋"/>
          <w:color w:val="auto"/>
          <w:spacing w:val="-7"/>
          <w:sz w:val="24"/>
          <w:szCs w:val="24"/>
          <w:highlight w:val="none"/>
          <w:lang w:val="en-US" w:eastAsia="zh-CN"/>
        </w:rPr>
        <w:t>资质</w:t>
      </w:r>
      <w:r>
        <w:rPr>
          <w:rFonts w:hint="eastAsia" w:ascii="仿宋" w:hAnsi="仿宋" w:eastAsia="仿宋" w:cs="仿宋"/>
          <w:color w:val="auto"/>
          <w:spacing w:val="-7"/>
          <w:sz w:val="24"/>
          <w:szCs w:val="24"/>
          <w:highlight w:val="none"/>
          <w:lang w:eastAsia="zh-CN"/>
        </w:rPr>
        <w:t>或根据《住房和城乡建设部关于印发建设工程企业资质管理制度改革方案的通知（【建市〔2020〕94 号】）的规定已换发新证取得相应等级资质，并在人员、设备、资金等方面具有相应的施工能力；</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6</w:t>
      </w:r>
      <w:r>
        <w:rPr>
          <w:rFonts w:hint="eastAsia" w:ascii="仿宋" w:hAnsi="仿宋" w:eastAsia="仿宋" w:cs="仿宋"/>
          <w:color w:val="auto"/>
          <w:spacing w:val="-7"/>
          <w:sz w:val="24"/>
          <w:szCs w:val="24"/>
          <w:highlight w:val="none"/>
          <w:lang w:eastAsia="zh-CN"/>
        </w:rPr>
        <w:t xml:space="preserve"> 投标人（或联合体成员）须为在中华人民共和国（含港澳台）依法成立、有效存续的独立法人，且与招标人及为完成本次招标所委托的咨询机构、代理机构或其附属机构没有任何隶属关系。单位负责人为同一人或者存在直接控股、管理关系的不同投标人，不得同时参加本项目的投标：</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3.7</w:t>
      </w:r>
      <w:r>
        <w:rPr>
          <w:rFonts w:hint="eastAsia" w:ascii="仿宋" w:hAnsi="仿宋" w:eastAsia="仿宋" w:cs="仿宋"/>
          <w:color w:val="auto"/>
          <w:spacing w:val="-7"/>
          <w:sz w:val="24"/>
          <w:szCs w:val="24"/>
          <w:highlight w:val="none"/>
          <w:lang w:eastAsia="zh-CN"/>
        </w:rPr>
        <w:t>本次招标接受联合体投标。联合体投标的，应满足下列要求：</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7</w:t>
      </w:r>
      <w:r>
        <w:rPr>
          <w:rFonts w:hint="eastAsia" w:ascii="仿宋" w:hAnsi="仿宋" w:eastAsia="仿宋" w:cs="仿宋"/>
          <w:color w:val="auto"/>
          <w:spacing w:val="-7"/>
          <w:sz w:val="24"/>
          <w:szCs w:val="24"/>
          <w:highlight w:val="none"/>
          <w:lang w:eastAsia="zh-CN"/>
        </w:rPr>
        <w:t>.1</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联合体的成员单位不得超过</w:t>
      </w:r>
      <w:r>
        <w:rPr>
          <w:rFonts w:hint="eastAsia" w:ascii="仿宋" w:hAnsi="仿宋" w:eastAsia="仿宋" w:cs="仿宋"/>
          <w:color w:val="auto"/>
          <w:spacing w:val="-7"/>
          <w:sz w:val="24"/>
          <w:szCs w:val="24"/>
          <w:highlight w:val="none"/>
          <w:lang w:val="en-US" w:eastAsia="zh-CN"/>
        </w:rPr>
        <w:t>3</w:t>
      </w:r>
      <w:r>
        <w:rPr>
          <w:rFonts w:hint="eastAsia" w:ascii="仿宋" w:hAnsi="仿宋" w:eastAsia="仿宋" w:cs="仿宋"/>
          <w:color w:val="auto"/>
          <w:spacing w:val="-7"/>
          <w:sz w:val="24"/>
          <w:szCs w:val="24"/>
          <w:highlight w:val="none"/>
          <w:lang w:eastAsia="zh-CN"/>
        </w:rPr>
        <w:t>个，且联合体各方均具有独立法人资格，联合体牵头人为主投资人，由牵头人负责获取招标文件及其他资料，办理投标事宜。</w:t>
      </w:r>
      <w:r>
        <w:rPr>
          <w:rFonts w:hint="eastAsia" w:ascii="仿宋" w:hAnsi="仿宋" w:eastAsia="仿宋" w:cs="仿宋"/>
          <w:color w:val="auto"/>
          <w:spacing w:val="-7"/>
          <w:sz w:val="24"/>
          <w:szCs w:val="24"/>
          <w:highlight w:val="none"/>
          <w:lang w:val="en-US" w:eastAsia="zh-CN"/>
        </w:rPr>
        <w:t>联合体成员单位为</w:t>
      </w:r>
      <w:r>
        <w:rPr>
          <w:rFonts w:hint="eastAsia" w:ascii="仿宋" w:hAnsi="仿宋" w:eastAsia="仿宋" w:cs="仿宋"/>
          <w:color w:val="auto"/>
          <w:spacing w:val="-7"/>
          <w:sz w:val="24"/>
          <w:szCs w:val="24"/>
          <w:highlight w:val="none"/>
          <w:lang w:eastAsia="zh-CN"/>
        </w:rPr>
        <w:t>承担施工任务的</w:t>
      </w:r>
      <w:r>
        <w:rPr>
          <w:rFonts w:hint="eastAsia" w:ascii="仿宋" w:hAnsi="仿宋" w:eastAsia="仿宋" w:cs="仿宋"/>
          <w:color w:val="auto"/>
          <w:spacing w:val="-7"/>
          <w:sz w:val="24"/>
          <w:szCs w:val="24"/>
          <w:highlight w:val="none"/>
          <w:lang w:val="en-US" w:eastAsia="zh-CN"/>
        </w:rPr>
        <w:t>单位。</w:t>
      </w:r>
      <w:r>
        <w:rPr>
          <w:rFonts w:hint="eastAsia" w:ascii="仿宋" w:hAnsi="仿宋" w:eastAsia="仿宋" w:cs="仿宋"/>
          <w:color w:val="auto"/>
          <w:spacing w:val="-7"/>
          <w:sz w:val="24"/>
          <w:szCs w:val="24"/>
          <w:highlight w:val="none"/>
          <w:lang w:eastAsia="zh-CN"/>
        </w:rPr>
        <w:t>联合体牵头人在投标文件中的所有承诺均代表联合体各成员，对联合体各成员均具有约束力；</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7</w:t>
      </w:r>
      <w:r>
        <w:rPr>
          <w:rFonts w:hint="eastAsia" w:ascii="仿宋" w:hAnsi="仿宋" w:eastAsia="仿宋" w:cs="仿宋"/>
          <w:color w:val="auto"/>
          <w:spacing w:val="-7"/>
          <w:sz w:val="24"/>
          <w:szCs w:val="24"/>
          <w:highlight w:val="none"/>
          <w:lang w:eastAsia="zh-CN"/>
        </w:rPr>
        <w:t>.2</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联合体须提供联合体协议书，明确联合体牵头人和各方权利义务，联合体牵头人代表联合体投标、签约及履行合同和协议中应承担的义务和法律责任，联合体协议书应随投标人文件一起提交，联合体中标后，联合体各方共同与招标单位签订合同；</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7</w:t>
      </w:r>
      <w:r>
        <w:rPr>
          <w:rFonts w:hint="eastAsia" w:ascii="仿宋" w:hAnsi="仿宋" w:eastAsia="仿宋" w:cs="仿宋"/>
          <w:color w:val="auto"/>
          <w:spacing w:val="-7"/>
          <w:sz w:val="24"/>
          <w:szCs w:val="24"/>
          <w:highlight w:val="none"/>
          <w:lang w:eastAsia="zh-CN"/>
        </w:rPr>
        <w:t>.3 联合体各方不得再以自己名义单独投标或参加其他联合体在本项目中投标。</w:t>
      </w:r>
    </w:p>
    <w:p>
      <w:pPr>
        <w:pStyle w:val="4"/>
        <w:spacing w:line="240" w:lineRule="auto"/>
        <w:rPr>
          <w:rFonts w:hint="eastAsia" w:ascii="仿宋" w:hAnsi="仿宋" w:eastAsia="仿宋" w:cs="仿宋"/>
          <w:color w:val="auto"/>
          <w:highlight w:val="none"/>
          <w:lang w:eastAsia="zh-CN"/>
        </w:rPr>
      </w:pPr>
      <w:bookmarkStart w:id="52" w:name="_Toc30672"/>
      <w:bookmarkStart w:id="53" w:name="_Toc19150"/>
      <w:bookmarkStart w:id="54" w:name="_Toc6722"/>
      <w:bookmarkStart w:id="55" w:name="_Toc1314"/>
      <w:bookmarkStart w:id="56" w:name="_Toc23954"/>
      <w:bookmarkStart w:id="57" w:name="_Toc13726"/>
      <w:bookmarkStart w:id="58" w:name="_Toc3567"/>
      <w:r>
        <w:rPr>
          <w:rFonts w:hint="eastAsia" w:ascii="仿宋" w:hAnsi="仿宋" w:eastAsia="仿宋" w:cs="仿宋"/>
          <w:color w:val="auto"/>
          <w:highlight w:val="none"/>
          <w:lang w:eastAsia="zh-CN"/>
        </w:rPr>
        <w:t>4．招标文件获取</w:t>
      </w:r>
      <w:bookmarkEnd w:id="52"/>
      <w:bookmarkEnd w:id="53"/>
      <w:bookmarkEnd w:id="54"/>
      <w:bookmarkEnd w:id="55"/>
      <w:bookmarkEnd w:id="56"/>
      <w:bookmarkEnd w:id="57"/>
      <w:bookmarkEnd w:id="58"/>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bookmarkStart w:id="59" w:name="_Toc9109"/>
      <w:bookmarkStart w:id="60" w:name="_Toc13095"/>
      <w:bookmarkStart w:id="61" w:name="_Toc29277"/>
      <w:bookmarkStart w:id="62" w:name="_Toc18339"/>
      <w:bookmarkStart w:id="63" w:name="_Toc11637"/>
      <w:r>
        <w:rPr>
          <w:rFonts w:hint="eastAsia" w:ascii="仿宋" w:hAnsi="仿宋" w:eastAsia="仿宋" w:cs="仿宋"/>
          <w:color w:val="auto"/>
          <w:spacing w:val="-7"/>
          <w:sz w:val="24"/>
          <w:szCs w:val="24"/>
          <w:highlight w:val="none"/>
          <w:lang w:val="en-US" w:eastAsia="zh-CN"/>
        </w:rPr>
        <w:t>4</w:t>
      </w:r>
      <w:r>
        <w:rPr>
          <w:rFonts w:hint="eastAsia" w:ascii="仿宋" w:hAnsi="仿宋" w:eastAsia="仿宋" w:cs="仿宋"/>
          <w:color w:val="auto"/>
          <w:spacing w:val="-7"/>
          <w:sz w:val="24"/>
          <w:szCs w:val="24"/>
          <w:highlight w:val="none"/>
          <w:lang w:eastAsia="zh-CN"/>
        </w:rPr>
        <w:t>.1 请于</w:t>
      </w:r>
      <w:r>
        <w:rPr>
          <w:rFonts w:hint="eastAsia" w:ascii="仿宋" w:hAnsi="仿宋" w:eastAsia="仿宋" w:cs="仿宋"/>
          <w:color w:val="auto"/>
          <w:spacing w:val="-7"/>
          <w:sz w:val="24"/>
          <w:szCs w:val="24"/>
          <w:highlight w:val="none"/>
          <w:lang w:val="en-US" w:eastAsia="zh-CN"/>
        </w:rPr>
        <w:t>2024</w:t>
      </w:r>
      <w:r>
        <w:rPr>
          <w:rFonts w:hint="eastAsia" w:ascii="仿宋" w:hAnsi="仿宋" w:eastAsia="仿宋" w:cs="仿宋"/>
          <w:color w:val="auto"/>
          <w:spacing w:val="-7"/>
          <w:sz w:val="24"/>
          <w:szCs w:val="24"/>
          <w:highlight w:val="none"/>
          <w:lang w:eastAsia="zh-CN"/>
        </w:rPr>
        <w:t>年</w:t>
      </w:r>
      <w:r>
        <w:rPr>
          <w:rFonts w:hint="eastAsia" w:ascii="仿宋" w:hAnsi="仿宋" w:eastAsia="仿宋" w:cs="仿宋"/>
          <w:color w:val="auto"/>
          <w:spacing w:val="-7"/>
          <w:sz w:val="24"/>
          <w:szCs w:val="24"/>
          <w:highlight w:val="none"/>
          <w:lang w:val="en-US" w:eastAsia="zh-CN"/>
        </w:rPr>
        <w:t>04</w:t>
      </w:r>
      <w:r>
        <w:rPr>
          <w:rFonts w:hint="eastAsia" w:ascii="仿宋" w:hAnsi="仿宋" w:eastAsia="仿宋" w:cs="仿宋"/>
          <w:color w:val="auto"/>
          <w:spacing w:val="-7"/>
          <w:sz w:val="24"/>
          <w:szCs w:val="24"/>
          <w:highlight w:val="none"/>
          <w:lang w:eastAsia="zh-CN"/>
        </w:rPr>
        <w:t>月</w:t>
      </w:r>
      <w:r>
        <w:rPr>
          <w:rFonts w:hint="eastAsia" w:ascii="仿宋" w:hAnsi="仿宋" w:eastAsia="仿宋" w:cs="仿宋"/>
          <w:color w:val="auto"/>
          <w:spacing w:val="-7"/>
          <w:sz w:val="24"/>
          <w:szCs w:val="24"/>
          <w:highlight w:val="none"/>
          <w:lang w:val="en-US" w:eastAsia="zh-CN"/>
        </w:rPr>
        <w:t>26</w:t>
      </w:r>
      <w:r>
        <w:rPr>
          <w:rFonts w:hint="eastAsia" w:ascii="仿宋" w:hAnsi="仿宋" w:eastAsia="仿宋" w:cs="仿宋"/>
          <w:color w:val="auto"/>
          <w:spacing w:val="-7"/>
          <w:sz w:val="24"/>
          <w:szCs w:val="24"/>
          <w:highlight w:val="none"/>
          <w:lang w:eastAsia="zh-CN"/>
        </w:rPr>
        <w:t>日</w:t>
      </w:r>
      <w:r>
        <w:rPr>
          <w:rFonts w:hint="eastAsia" w:ascii="仿宋" w:hAnsi="仿宋" w:eastAsia="仿宋" w:cs="仿宋"/>
          <w:color w:val="auto"/>
          <w:spacing w:val="-7"/>
          <w:sz w:val="24"/>
          <w:szCs w:val="24"/>
          <w:highlight w:val="none"/>
          <w:lang w:val="en-US" w:eastAsia="zh-CN"/>
        </w:rPr>
        <w:t>18</w:t>
      </w:r>
      <w:r>
        <w:rPr>
          <w:rFonts w:hint="eastAsia" w:ascii="仿宋" w:hAnsi="仿宋" w:eastAsia="仿宋" w:cs="仿宋"/>
          <w:color w:val="auto"/>
          <w:spacing w:val="-7"/>
          <w:sz w:val="24"/>
          <w:szCs w:val="24"/>
          <w:highlight w:val="none"/>
          <w:lang w:eastAsia="zh-CN"/>
        </w:rPr>
        <w:t>时</w:t>
      </w:r>
      <w:r>
        <w:rPr>
          <w:rFonts w:hint="eastAsia" w:ascii="仿宋" w:hAnsi="仿宋" w:eastAsia="仿宋" w:cs="仿宋"/>
          <w:color w:val="auto"/>
          <w:spacing w:val="-7"/>
          <w:sz w:val="24"/>
          <w:szCs w:val="24"/>
          <w:highlight w:val="none"/>
          <w:lang w:val="en-US" w:eastAsia="zh-CN"/>
        </w:rPr>
        <w:t>30</w:t>
      </w:r>
      <w:r>
        <w:rPr>
          <w:rFonts w:hint="eastAsia" w:ascii="仿宋" w:hAnsi="仿宋" w:eastAsia="仿宋" w:cs="仿宋"/>
          <w:color w:val="auto"/>
          <w:spacing w:val="-7"/>
          <w:sz w:val="24"/>
          <w:szCs w:val="24"/>
          <w:highlight w:val="none"/>
          <w:lang w:eastAsia="zh-CN"/>
        </w:rPr>
        <w:t>分至</w:t>
      </w:r>
      <w:r>
        <w:rPr>
          <w:rFonts w:hint="eastAsia" w:ascii="仿宋" w:hAnsi="仿宋" w:eastAsia="仿宋" w:cs="仿宋"/>
          <w:color w:val="auto"/>
          <w:spacing w:val="-7"/>
          <w:sz w:val="24"/>
          <w:szCs w:val="24"/>
          <w:highlight w:val="none"/>
          <w:lang w:val="en-US" w:eastAsia="zh-CN"/>
        </w:rPr>
        <w:t>2024</w:t>
      </w:r>
      <w:r>
        <w:rPr>
          <w:rFonts w:hint="eastAsia" w:ascii="仿宋" w:hAnsi="仿宋" w:eastAsia="仿宋" w:cs="仿宋"/>
          <w:color w:val="auto"/>
          <w:spacing w:val="-7"/>
          <w:sz w:val="24"/>
          <w:szCs w:val="24"/>
          <w:highlight w:val="none"/>
          <w:lang w:eastAsia="zh-CN"/>
        </w:rPr>
        <w:t>年</w:t>
      </w:r>
      <w:r>
        <w:rPr>
          <w:rFonts w:hint="eastAsia" w:ascii="仿宋" w:hAnsi="仿宋" w:eastAsia="仿宋" w:cs="仿宋"/>
          <w:color w:val="auto"/>
          <w:spacing w:val="-7"/>
          <w:sz w:val="24"/>
          <w:szCs w:val="24"/>
          <w:highlight w:val="none"/>
          <w:lang w:val="en-US" w:eastAsia="zh-CN"/>
        </w:rPr>
        <w:t>05</w:t>
      </w:r>
      <w:r>
        <w:rPr>
          <w:rFonts w:hint="eastAsia" w:ascii="仿宋" w:hAnsi="仿宋" w:eastAsia="仿宋" w:cs="仿宋"/>
          <w:color w:val="auto"/>
          <w:spacing w:val="-7"/>
          <w:sz w:val="24"/>
          <w:szCs w:val="24"/>
          <w:highlight w:val="none"/>
          <w:lang w:eastAsia="zh-CN"/>
        </w:rPr>
        <w:t>月</w:t>
      </w:r>
      <w:r>
        <w:rPr>
          <w:rFonts w:hint="eastAsia" w:ascii="仿宋" w:hAnsi="仿宋" w:eastAsia="仿宋" w:cs="仿宋"/>
          <w:color w:val="auto"/>
          <w:spacing w:val="-7"/>
          <w:sz w:val="24"/>
          <w:szCs w:val="24"/>
          <w:highlight w:val="none"/>
          <w:lang w:val="en-US" w:eastAsia="zh-CN"/>
        </w:rPr>
        <w:t>07</w:t>
      </w:r>
      <w:r>
        <w:rPr>
          <w:rFonts w:hint="eastAsia" w:ascii="仿宋" w:hAnsi="仿宋" w:eastAsia="仿宋" w:cs="仿宋"/>
          <w:color w:val="auto"/>
          <w:spacing w:val="-7"/>
          <w:sz w:val="24"/>
          <w:szCs w:val="24"/>
          <w:highlight w:val="none"/>
          <w:lang w:eastAsia="zh-CN"/>
        </w:rPr>
        <w:t>日</w:t>
      </w:r>
      <w:r>
        <w:rPr>
          <w:rFonts w:hint="eastAsia" w:ascii="仿宋" w:hAnsi="仿宋" w:eastAsia="仿宋" w:cs="仿宋"/>
          <w:color w:val="auto"/>
          <w:spacing w:val="-7"/>
          <w:sz w:val="24"/>
          <w:szCs w:val="24"/>
          <w:highlight w:val="none"/>
          <w:lang w:val="en-US" w:eastAsia="zh-CN"/>
        </w:rPr>
        <w:t>17</w:t>
      </w:r>
      <w:r>
        <w:rPr>
          <w:rFonts w:hint="eastAsia" w:ascii="仿宋" w:hAnsi="仿宋" w:eastAsia="仿宋" w:cs="仿宋"/>
          <w:color w:val="auto"/>
          <w:spacing w:val="-7"/>
          <w:sz w:val="24"/>
          <w:szCs w:val="24"/>
          <w:highlight w:val="none"/>
          <w:lang w:eastAsia="zh-CN"/>
        </w:rPr>
        <w:t>时</w:t>
      </w:r>
      <w:r>
        <w:rPr>
          <w:rFonts w:hint="eastAsia" w:ascii="仿宋" w:hAnsi="仿宋" w:eastAsia="仿宋" w:cs="仿宋"/>
          <w:color w:val="auto"/>
          <w:spacing w:val="-7"/>
          <w:sz w:val="24"/>
          <w:szCs w:val="24"/>
          <w:highlight w:val="none"/>
          <w:lang w:val="en-US" w:eastAsia="zh-CN"/>
        </w:rPr>
        <w:t>30</w:t>
      </w:r>
      <w:r>
        <w:rPr>
          <w:rFonts w:hint="eastAsia" w:ascii="仿宋" w:hAnsi="仿宋" w:eastAsia="仿宋" w:cs="仿宋"/>
          <w:color w:val="auto"/>
          <w:spacing w:val="-7"/>
          <w:sz w:val="24"/>
          <w:szCs w:val="24"/>
          <w:highlight w:val="none"/>
          <w:lang w:eastAsia="zh-CN"/>
        </w:rPr>
        <w:t>分(北京时间，法定节假日除外)，从</w:t>
      </w:r>
      <w:r>
        <w:rPr>
          <w:rFonts w:hint="eastAsia" w:ascii="仿宋" w:hAnsi="仿宋" w:eastAsia="仿宋" w:cs="仿宋"/>
          <w:color w:val="auto"/>
          <w:spacing w:val="-7"/>
          <w:sz w:val="24"/>
          <w:szCs w:val="24"/>
          <w:highlight w:val="none"/>
          <w:lang w:val="en-US" w:eastAsia="zh-CN"/>
        </w:rPr>
        <w:t xml:space="preserve">全国公共资源交易平台（海南省）（http://zw.hainan.gov.cn/ggzy/） </w:t>
      </w:r>
      <w:r>
        <w:rPr>
          <w:rFonts w:hint="eastAsia" w:ascii="仿宋" w:hAnsi="仿宋" w:eastAsia="仿宋" w:cs="仿宋"/>
          <w:color w:val="auto"/>
          <w:spacing w:val="-7"/>
          <w:sz w:val="24"/>
          <w:szCs w:val="24"/>
          <w:highlight w:val="none"/>
          <w:lang w:eastAsia="zh-CN"/>
        </w:rPr>
        <w:t>下载招标文件；</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4</w:t>
      </w:r>
      <w:r>
        <w:rPr>
          <w:rFonts w:hint="eastAsia" w:ascii="仿宋" w:hAnsi="仿宋" w:eastAsia="仿宋" w:cs="仿宋"/>
          <w:color w:val="auto"/>
          <w:spacing w:val="-7"/>
          <w:sz w:val="24"/>
          <w:szCs w:val="24"/>
          <w:highlight w:val="none"/>
          <w:lang w:eastAsia="zh-CN"/>
        </w:rPr>
        <w:t>.2 招标文件每套售价：0元，售后不退；</w:t>
      </w:r>
      <w:r>
        <w:rPr>
          <w:rFonts w:hint="eastAsia" w:ascii="仿宋" w:hAnsi="仿宋" w:eastAsia="仿宋" w:cs="仿宋"/>
          <w:color w:val="auto"/>
          <w:spacing w:val="-7"/>
          <w:sz w:val="24"/>
          <w:szCs w:val="24"/>
          <w:highlight w:val="none"/>
          <w:lang w:val="en-US" w:eastAsia="zh-CN"/>
        </w:rPr>
        <w:t>投标保证金的金额为： 200000.00 元</w:t>
      </w:r>
      <w:r>
        <w:rPr>
          <w:rFonts w:hint="eastAsia" w:ascii="仿宋" w:hAnsi="仿宋" w:eastAsia="仿宋" w:cs="仿宋"/>
          <w:color w:val="auto"/>
          <w:spacing w:val="-7"/>
          <w:sz w:val="24"/>
          <w:szCs w:val="24"/>
          <w:highlight w:val="none"/>
          <w:lang w:eastAsia="zh-CN"/>
        </w:rPr>
        <w:t>。</w:t>
      </w:r>
    </w:p>
    <w:p>
      <w:pPr>
        <w:spacing w:before="149" w:line="360" w:lineRule="auto"/>
        <w:ind w:right="4"/>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b/>
          <w:snapToGrid w:val="0"/>
          <w:color w:val="auto"/>
          <w:sz w:val="32"/>
          <w:szCs w:val="21"/>
          <w:highlight w:val="none"/>
          <w:lang w:val="en-US" w:eastAsia="zh-CN" w:bidi="ar-SA"/>
        </w:rPr>
        <w:t>5．投标文件和保证金的递交</w:t>
      </w:r>
      <w:bookmarkEnd w:id="59"/>
      <w:bookmarkEnd w:id="60"/>
      <w:bookmarkEnd w:id="61"/>
      <w:bookmarkEnd w:id="62"/>
      <w:bookmarkEnd w:id="63"/>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bookmarkStart w:id="64" w:name="_Toc1995"/>
      <w:bookmarkStart w:id="65" w:name="_Toc5258"/>
      <w:bookmarkStart w:id="66" w:name="_Toc888"/>
      <w:bookmarkStart w:id="67" w:name="_Toc27915"/>
      <w:bookmarkStart w:id="68" w:name="_Toc4873"/>
      <w:r>
        <w:rPr>
          <w:rFonts w:hint="eastAsia" w:ascii="仿宋" w:hAnsi="仿宋" w:eastAsia="仿宋" w:cs="仿宋"/>
          <w:color w:val="auto"/>
          <w:spacing w:val="-7"/>
          <w:sz w:val="24"/>
          <w:szCs w:val="24"/>
          <w:highlight w:val="none"/>
          <w:lang w:val="en-US" w:eastAsia="zh-CN"/>
        </w:rPr>
        <w:t>5</w:t>
      </w:r>
      <w:r>
        <w:rPr>
          <w:rFonts w:hint="eastAsia" w:ascii="仿宋" w:hAnsi="仿宋" w:eastAsia="仿宋" w:cs="仿宋"/>
          <w:color w:val="auto"/>
          <w:spacing w:val="-7"/>
          <w:sz w:val="24"/>
          <w:szCs w:val="24"/>
          <w:highlight w:val="none"/>
          <w:lang w:eastAsia="zh-CN"/>
        </w:rPr>
        <w:t>.1 投标文件递交的截止时间(投标截止时间，下同)</w:t>
      </w:r>
      <w:r>
        <w:rPr>
          <w:rFonts w:hint="eastAsia" w:ascii="仿宋" w:hAnsi="仿宋" w:eastAsia="仿宋" w:cs="仿宋"/>
          <w:color w:val="auto"/>
          <w:spacing w:val="-7"/>
          <w:sz w:val="24"/>
          <w:szCs w:val="24"/>
          <w:highlight w:val="none"/>
          <w:lang w:val="en-US" w:eastAsia="zh-CN"/>
        </w:rPr>
        <w:t>2024年05月20</w:t>
      </w:r>
      <w:r>
        <w:rPr>
          <w:rFonts w:hint="eastAsia" w:ascii="仿宋" w:hAnsi="仿宋" w:eastAsia="仿宋" w:cs="仿宋"/>
          <w:color w:val="auto"/>
          <w:spacing w:val="-7"/>
          <w:sz w:val="24"/>
          <w:szCs w:val="24"/>
          <w:highlight w:val="none"/>
          <w:lang w:eastAsia="zh-CN"/>
        </w:rPr>
        <w:t>日</w:t>
      </w:r>
      <w:r>
        <w:rPr>
          <w:rFonts w:hint="eastAsia" w:ascii="仿宋" w:hAnsi="仿宋" w:eastAsia="仿宋" w:cs="仿宋"/>
          <w:color w:val="auto"/>
          <w:spacing w:val="-7"/>
          <w:sz w:val="24"/>
          <w:szCs w:val="24"/>
          <w:highlight w:val="none"/>
          <w:lang w:val="en-US" w:eastAsia="zh-CN"/>
        </w:rPr>
        <w:t>08</w:t>
      </w:r>
      <w:r>
        <w:rPr>
          <w:rFonts w:hint="eastAsia" w:ascii="仿宋" w:hAnsi="仿宋" w:eastAsia="仿宋" w:cs="仿宋"/>
          <w:color w:val="auto"/>
          <w:spacing w:val="-7"/>
          <w:sz w:val="24"/>
          <w:szCs w:val="24"/>
          <w:highlight w:val="none"/>
          <w:lang w:eastAsia="zh-CN"/>
        </w:rPr>
        <w:t>时</w:t>
      </w:r>
      <w:r>
        <w:rPr>
          <w:rFonts w:hint="eastAsia" w:ascii="仿宋" w:hAnsi="仿宋" w:eastAsia="仿宋" w:cs="仿宋"/>
          <w:color w:val="auto"/>
          <w:spacing w:val="-7"/>
          <w:sz w:val="24"/>
          <w:szCs w:val="24"/>
          <w:highlight w:val="none"/>
          <w:lang w:val="en-US" w:eastAsia="zh-CN"/>
        </w:rPr>
        <w:t>30</w:t>
      </w:r>
      <w:r>
        <w:rPr>
          <w:rFonts w:hint="eastAsia" w:ascii="仿宋" w:hAnsi="仿宋" w:eastAsia="仿宋" w:cs="仿宋"/>
          <w:color w:val="auto"/>
          <w:spacing w:val="-7"/>
          <w:sz w:val="24"/>
          <w:szCs w:val="24"/>
          <w:highlight w:val="none"/>
          <w:lang w:eastAsia="zh-CN"/>
        </w:rPr>
        <w:t>分，地点：儋州市公共资源交易服务中心（儋州市那大镇怡心花园小区）儋州开标室</w:t>
      </w:r>
      <w:r>
        <w:rPr>
          <w:rFonts w:hint="eastAsia" w:ascii="仿宋" w:hAnsi="仿宋" w:eastAsia="仿宋" w:cs="仿宋"/>
          <w:color w:val="auto"/>
          <w:spacing w:val="-7"/>
          <w:sz w:val="24"/>
          <w:szCs w:val="24"/>
          <w:highlight w:val="none"/>
          <w:lang w:val="en-US" w:eastAsia="zh-CN"/>
        </w:rPr>
        <w:t>2</w:t>
      </w:r>
      <w:r>
        <w:rPr>
          <w:rFonts w:hint="eastAsia" w:ascii="仿宋" w:hAnsi="仿宋" w:eastAsia="仿宋" w:cs="仿宋"/>
          <w:color w:val="auto"/>
          <w:spacing w:val="-7"/>
          <w:sz w:val="24"/>
          <w:szCs w:val="24"/>
          <w:highlight w:val="none"/>
          <w:lang w:eastAsia="zh-CN"/>
        </w:rPr>
        <w:t>。（适用于现场递交）</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5</w:t>
      </w:r>
      <w:r>
        <w:rPr>
          <w:rFonts w:hint="eastAsia" w:ascii="仿宋" w:hAnsi="仿宋" w:eastAsia="仿宋" w:cs="仿宋"/>
          <w:color w:val="auto"/>
          <w:spacing w:val="-7"/>
          <w:sz w:val="24"/>
          <w:szCs w:val="24"/>
          <w:highlight w:val="none"/>
          <w:lang w:eastAsia="zh-CN"/>
        </w:rPr>
        <w:t>.2 投标文件递交的截止时间（投标截止时间，下同）</w:t>
      </w:r>
      <w:r>
        <w:rPr>
          <w:rFonts w:hint="eastAsia" w:ascii="仿宋" w:hAnsi="仿宋" w:eastAsia="仿宋" w:cs="仿宋"/>
          <w:color w:val="auto"/>
          <w:spacing w:val="-7"/>
          <w:sz w:val="24"/>
          <w:szCs w:val="24"/>
          <w:highlight w:val="none"/>
          <w:lang w:val="en-US" w:eastAsia="zh-CN"/>
        </w:rPr>
        <w:t>2024年05月20</w:t>
      </w:r>
      <w:r>
        <w:rPr>
          <w:rFonts w:hint="eastAsia" w:ascii="仿宋" w:hAnsi="仿宋" w:eastAsia="仿宋" w:cs="仿宋"/>
          <w:color w:val="auto"/>
          <w:spacing w:val="-7"/>
          <w:sz w:val="24"/>
          <w:szCs w:val="24"/>
          <w:highlight w:val="none"/>
          <w:lang w:eastAsia="zh-CN"/>
        </w:rPr>
        <w:t>日</w:t>
      </w:r>
      <w:r>
        <w:rPr>
          <w:rFonts w:hint="eastAsia" w:ascii="仿宋" w:hAnsi="仿宋" w:eastAsia="仿宋" w:cs="仿宋"/>
          <w:color w:val="auto"/>
          <w:spacing w:val="-7"/>
          <w:sz w:val="24"/>
          <w:szCs w:val="24"/>
          <w:highlight w:val="none"/>
          <w:lang w:val="en-US" w:eastAsia="zh-CN"/>
        </w:rPr>
        <w:t>08</w:t>
      </w:r>
      <w:r>
        <w:rPr>
          <w:rFonts w:hint="eastAsia" w:ascii="仿宋" w:hAnsi="仿宋" w:eastAsia="仿宋" w:cs="仿宋"/>
          <w:color w:val="auto"/>
          <w:spacing w:val="-7"/>
          <w:sz w:val="24"/>
          <w:szCs w:val="24"/>
          <w:highlight w:val="none"/>
          <w:lang w:eastAsia="zh-CN"/>
        </w:rPr>
        <w:t>时</w:t>
      </w:r>
      <w:r>
        <w:rPr>
          <w:rFonts w:hint="eastAsia" w:ascii="仿宋" w:hAnsi="仿宋" w:eastAsia="仿宋" w:cs="仿宋"/>
          <w:color w:val="auto"/>
          <w:spacing w:val="-7"/>
          <w:sz w:val="24"/>
          <w:szCs w:val="24"/>
          <w:highlight w:val="none"/>
          <w:lang w:val="en-US" w:eastAsia="zh-CN"/>
        </w:rPr>
        <w:t>30</w:t>
      </w:r>
      <w:r>
        <w:rPr>
          <w:rFonts w:hint="eastAsia" w:ascii="仿宋" w:hAnsi="仿宋" w:eastAsia="仿宋" w:cs="仿宋"/>
          <w:color w:val="auto"/>
          <w:spacing w:val="-7"/>
          <w:sz w:val="24"/>
          <w:szCs w:val="24"/>
          <w:highlight w:val="none"/>
          <w:lang w:eastAsia="zh-CN"/>
        </w:rPr>
        <w:t>分。</w:t>
      </w:r>
      <w:r>
        <w:rPr>
          <w:rFonts w:hint="eastAsia" w:ascii="仿宋" w:hAnsi="仿宋" w:eastAsia="仿宋" w:cs="仿宋"/>
          <w:color w:val="auto"/>
          <w:spacing w:val="-7"/>
          <w:sz w:val="24"/>
          <w:szCs w:val="24"/>
          <w:highlight w:val="none"/>
          <w:lang w:val="en-US" w:eastAsia="zh-CN"/>
        </w:rPr>
        <w:t>投标人应当通过数字身份认证锁登录全国公共资源交易平台（海南省）（http://zw.hainan.gov.cn/ggzy/）上传。（适用于网络递交）</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5.3 投标保证金到账截止日期：2024年05月20</w:t>
      </w:r>
      <w:r>
        <w:rPr>
          <w:rFonts w:hint="eastAsia" w:ascii="仿宋" w:hAnsi="仿宋" w:eastAsia="仿宋" w:cs="仿宋"/>
          <w:color w:val="auto"/>
          <w:spacing w:val="-7"/>
          <w:sz w:val="24"/>
          <w:szCs w:val="24"/>
          <w:highlight w:val="none"/>
          <w:lang w:eastAsia="zh-CN"/>
        </w:rPr>
        <w:t>日</w:t>
      </w:r>
      <w:r>
        <w:rPr>
          <w:rFonts w:hint="eastAsia" w:ascii="仿宋" w:hAnsi="仿宋" w:eastAsia="仿宋" w:cs="仿宋"/>
          <w:color w:val="auto"/>
          <w:spacing w:val="-7"/>
          <w:sz w:val="24"/>
          <w:szCs w:val="24"/>
          <w:highlight w:val="none"/>
          <w:lang w:val="en-US" w:eastAsia="zh-CN"/>
        </w:rPr>
        <w:t>08</w:t>
      </w:r>
      <w:r>
        <w:rPr>
          <w:rFonts w:hint="eastAsia" w:ascii="仿宋" w:hAnsi="仿宋" w:eastAsia="仿宋" w:cs="仿宋"/>
          <w:color w:val="auto"/>
          <w:spacing w:val="-7"/>
          <w:sz w:val="24"/>
          <w:szCs w:val="24"/>
          <w:highlight w:val="none"/>
          <w:lang w:eastAsia="zh-CN"/>
        </w:rPr>
        <w:t>时</w:t>
      </w:r>
      <w:r>
        <w:rPr>
          <w:rFonts w:hint="eastAsia" w:ascii="仿宋" w:hAnsi="仿宋" w:eastAsia="仿宋" w:cs="仿宋"/>
          <w:color w:val="auto"/>
          <w:spacing w:val="-7"/>
          <w:sz w:val="24"/>
          <w:szCs w:val="24"/>
          <w:highlight w:val="none"/>
          <w:lang w:val="en-US" w:eastAsia="zh-CN"/>
        </w:rPr>
        <w:t>30</w:t>
      </w:r>
      <w:r>
        <w:rPr>
          <w:rFonts w:hint="eastAsia" w:ascii="仿宋" w:hAnsi="仿宋" w:eastAsia="仿宋" w:cs="仿宋"/>
          <w:color w:val="auto"/>
          <w:spacing w:val="-7"/>
          <w:sz w:val="24"/>
          <w:szCs w:val="24"/>
          <w:highlight w:val="none"/>
          <w:lang w:eastAsia="zh-CN"/>
        </w:rPr>
        <w:t>分</w:t>
      </w:r>
      <w:r>
        <w:rPr>
          <w:rFonts w:hint="eastAsia" w:ascii="仿宋" w:hAnsi="仿宋" w:eastAsia="仿宋" w:cs="仿宋"/>
          <w:color w:val="auto"/>
          <w:spacing w:val="-7"/>
          <w:sz w:val="24"/>
          <w:szCs w:val="24"/>
          <w:highlight w:val="none"/>
          <w:lang w:val="en-US" w:eastAsia="zh-CN"/>
        </w:rPr>
        <w:t>，投标保证金的形式：网上支付或线下银行转账支付或银行保函、电子保函、建设工程投标保证保险支付，支付地址：http://zw.hainan.gov.cn/ggzy/。</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5.4逾期送达的或者未送达指定地点的投标文件，招标人不予受理。</w:t>
      </w:r>
    </w:p>
    <w:p>
      <w:pPr>
        <w:pStyle w:val="4"/>
        <w:spacing w:line="240" w:lineRule="auto"/>
        <w:rPr>
          <w:rFonts w:hint="eastAsia" w:ascii="仿宋" w:hAnsi="仿宋" w:eastAsia="仿宋" w:cs="仿宋"/>
          <w:color w:val="auto"/>
          <w:highlight w:val="none"/>
          <w:lang w:eastAsia="zh-CN"/>
        </w:rPr>
      </w:pPr>
      <w:bookmarkStart w:id="69" w:name="_Toc29336"/>
      <w:bookmarkStart w:id="70" w:name="_Toc9141"/>
      <w:r>
        <w:rPr>
          <w:rFonts w:hint="eastAsia" w:ascii="仿宋" w:hAnsi="仿宋" w:eastAsia="仿宋" w:cs="仿宋"/>
          <w:color w:val="auto"/>
          <w:highlight w:val="none"/>
          <w:lang w:eastAsia="zh-CN"/>
        </w:rPr>
        <w:t>6.发布公告的媒介</w:t>
      </w:r>
      <w:bookmarkEnd w:id="64"/>
      <w:bookmarkEnd w:id="65"/>
      <w:bookmarkEnd w:id="66"/>
      <w:bookmarkEnd w:id="67"/>
      <w:bookmarkEnd w:id="68"/>
      <w:bookmarkEnd w:id="69"/>
      <w:bookmarkEnd w:id="70"/>
    </w:p>
    <w:p>
      <w:pPr>
        <w:spacing w:before="149" w:line="360" w:lineRule="auto"/>
        <w:ind w:right="4" w:firstLine="418" w:firstLineChars="185"/>
        <w:jc w:val="both"/>
        <w:rPr>
          <w:rFonts w:hint="eastAsia" w:ascii="仿宋" w:hAnsi="仿宋" w:eastAsia="仿宋" w:cs="仿宋"/>
          <w:color w:val="auto"/>
          <w:spacing w:val="-7"/>
          <w:sz w:val="24"/>
          <w:szCs w:val="24"/>
          <w:highlight w:val="none"/>
          <w:lang w:val="en-US" w:eastAsia="zh-CN"/>
        </w:rPr>
      </w:pPr>
      <w:bookmarkStart w:id="71" w:name="_Toc12411"/>
      <w:bookmarkStart w:id="72" w:name="_Toc16168"/>
      <w:bookmarkStart w:id="73" w:name="_Toc4423"/>
      <w:bookmarkStart w:id="74" w:name="_Toc26758"/>
      <w:bookmarkStart w:id="75" w:name="_Toc29342"/>
      <w:r>
        <w:rPr>
          <w:rFonts w:hint="eastAsia" w:ascii="仿宋" w:hAnsi="仿宋" w:eastAsia="仿宋" w:cs="仿宋"/>
          <w:color w:val="auto"/>
          <w:spacing w:val="-7"/>
          <w:sz w:val="24"/>
          <w:szCs w:val="24"/>
          <w:highlight w:val="none"/>
          <w:lang w:val="en-US" w:eastAsia="zh-CN"/>
        </w:rPr>
        <w:t>本次招标公告在《全国公共资源交易平台（海南省）</w:t>
      </w:r>
      <w:r>
        <w:rPr>
          <w:rFonts w:hint="eastAsia" w:ascii="仿宋" w:hAnsi="仿宋" w:eastAsia="仿宋" w:cs="仿宋"/>
          <w:color w:val="auto"/>
          <w:spacing w:val="-7"/>
          <w:sz w:val="24"/>
          <w:szCs w:val="24"/>
          <w:highlight w:val="none"/>
          <w:u w:val="single"/>
          <w:lang w:val="en-US" w:eastAsia="zh-CN"/>
        </w:rPr>
        <w:t>、中国招标投标公共服务平台《全国公共资源交易平台（海南省）·儋州市</w:t>
      </w:r>
      <w:r>
        <w:rPr>
          <w:rFonts w:hint="eastAsia" w:ascii="仿宋" w:hAnsi="仿宋" w:eastAsia="仿宋" w:cs="仿宋"/>
          <w:color w:val="auto"/>
          <w:spacing w:val="-7"/>
          <w:sz w:val="24"/>
          <w:szCs w:val="24"/>
          <w:highlight w:val="none"/>
          <w:lang w:val="en-US" w:eastAsia="zh-CN"/>
        </w:rPr>
        <w:t>等媒介上发布。</w:t>
      </w:r>
    </w:p>
    <w:p>
      <w:pPr>
        <w:pStyle w:val="4"/>
        <w:spacing w:line="240" w:lineRule="auto"/>
        <w:rPr>
          <w:rFonts w:hint="eastAsia" w:ascii="仿宋" w:hAnsi="仿宋" w:eastAsia="仿宋" w:cs="仿宋"/>
          <w:color w:val="auto"/>
          <w:highlight w:val="none"/>
          <w:lang w:eastAsia="zh-CN"/>
        </w:rPr>
      </w:pPr>
      <w:bookmarkStart w:id="76" w:name="_Toc24083"/>
      <w:bookmarkStart w:id="77" w:name="_Toc8101"/>
      <w:r>
        <w:rPr>
          <w:rFonts w:hint="eastAsia" w:ascii="仿宋" w:hAnsi="仿宋" w:eastAsia="仿宋" w:cs="仿宋"/>
          <w:color w:val="auto"/>
          <w:highlight w:val="none"/>
          <w:lang w:eastAsia="zh-CN"/>
        </w:rPr>
        <w:t>7.联系方式</w:t>
      </w:r>
      <w:bookmarkEnd w:id="71"/>
      <w:bookmarkEnd w:id="72"/>
      <w:bookmarkEnd w:id="73"/>
      <w:bookmarkEnd w:id="74"/>
      <w:bookmarkEnd w:id="75"/>
      <w:bookmarkEnd w:id="76"/>
      <w:bookmarkEnd w:id="77"/>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招标人：儋州市和庆镇人民政府</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地址：</w:t>
      </w:r>
      <w:r>
        <w:rPr>
          <w:rFonts w:hint="eastAsia" w:ascii="仿宋" w:hAnsi="仿宋" w:eastAsia="仿宋" w:cs="仿宋"/>
          <w:i w:val="0"/>
          <w:iCs w:val="0"/>
          <w:caps w:val="0"/>
          <w:color w:val="auto"/>
          <w:spacing w:val="-7"/>
          <w:sz w:val="24"/>
          <w:szCs w:val="24"/>
          <w:highlight w:val="none"/>
          <w:shd w:val="clear"/>
          <w:lang w:eastAsia="zh-CN"/>
        </w:rPr>
        <w:t>儋州市和庆镇人民政府</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联系人：陈先生</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电话：0898-23360701</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 xml:space="preserve">招标代理机构：致瑞（海南）项目管理有限公司 </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地址：</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i w:val="0"/>
          <w:iCs w:val="0"/>
          <w:caps w:val="0"/>
          <w:color w:val="auto"/>
          <w:spacing w:val="-7"/>
          <w:sz w:val="24"/>
          <w:szCs w:val="24"/>
          <w:highlight w:val="none"/>
          <w:shd w:val="clear"/>
          <w:lang w:eastAsia="zh-CN"/>
        </w:rPr>
        <w:t>海南省三亚市吉阳区迎宾路蓝立方苏商大厦1205室</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val="en-US" w:eastAsia="zh-CN"/>
        </w:rPr>
      </w:pPr>
      <w:r>
        <w:rPr>
          <w:rFonts w:hint="eastAsia" w:ascii="仿宋" w:hAnsi="仿宋" w:eastAsia="仿宋" w:cs="仿宋"/>
          <w:color w:val="auto"/>
          <w:spacing w:val="-7"/>
          <w:sz w:val="24"/>
          <w:szCs w:val="24"/>
          <w:highlight w:val="none"/>
          <w:lang w:eastAsia="zh-CN"/>
        </w:rPr>
        <w:t>联系人：胡工</w:t>
      </w:r>
    </w:p>
    <w:p>
      <w:pPr>
        <w:spacing w:before="149" w:line="360" w:lineRule="auto"/>
        <w:ind w:right="4" w:firstLine="418" w:firstLineChars="185"/>
        <w:jc w:val="both"/>
        <w:rPr>
          <w:rFonts w:hint="eastAsia" w:ascii="仿宋" w:hAnsi="仿宋" w:eastAsia="仿宋" w:cs="仿宋"/>
          <w:color w:val="auto"/>
          <w:spacing w:val="-7"/>
          <w:sz w:val="24"/>
          <w:szCs w:val="24"/>
          <w:highlight w:val="none"/>
          <w:lang w:val="en-US" w:eastAsia="zh-CN"/>
        </w:rPr>
        <w:sectPr>
          <w:footerReference r:id="rId4" w:type="default"/>
          <w:pgSz w:w="11900" w:h="16840"/>
          <w:pgMar w:top="1417" w:right="1701" w:bottom="1417" w:left="1701" w:header="0" w:footer="567" w:gutter="0"/>
          <w:pgNumType w:fmt="decimal"/>
          <w:cols w:space="720" w:num="1"/>
        </w:sectPr>
      </w:pPr>
      <w:r>
        <w:rPr>
          <w:rFonts w:hint="eastAsia" w:ascii="仿宋" w:hAnsi="仿宋" w:eastAsia="仿宋" w:cs="仿宋"/>
          <w:color w:val="auto"/>
          <w:spacing w:val="-7"/>
          <w:sz w:val="24"/>
          <w:szCs w:val="24"/>
          <w:highlight w:val="none"/>
          <w:lang w:eastAsia="zh-CN"/>
        </w:rPr>
        <w:t>电话：</w:t>
      </w:r>
      <w:r>
        <w:rPr>
          <w:rFonts w:hint="eastAsia" w:ascii="仿宋" w:hAnsi="仿宋" w:eastAsia="仿宋" w:cs="仿宋"/>
          <w:color w:val="auto"/>
          <w:spacing w:val="-7"/>
          <w:sz w:val="24"/>
          <w:szCs w:val="24"/>
          <w:highlight w:val="none"/>
          <w:lang w:val="en-US" w:eastAsia="zh-CN"/>
        </w:rPr>
        <w:t>0898-38210812</w:t>
      </w:r>
    </w:p>
    <w:p>
      <w:pPr>
        <w:pStyle w:val="3"/>
        <w:jc w:val="left"/>
        <w:rPr>
          <w:rFonts w:hint="eastAsia" w:ascii="仿宋" w:hAnsi="仿宋" w:eastAsia="仿宋" w:cs="仿宋"/>
          <w:color w:val="auto"/>
          <w:highlight w:val="none"/>
        </w:rPr>
      </w:pPr>
      <w:bookmarkStart w:id="78" w:name="_Toc15752"/>
      <w:bookmarkStart w:id="79" w:name="_Toc14978"/>
      <w:bookmarkStart w:id="80" w:name="_Toc8809"/>
      <w:bookmarkStart w:id="81" w:name="_Toc21683"/>
      <w:bookmarkStart w:id="82" w:name="_Toc31899"/>
      <w:bookmarkStart w:id="83" w:name="_Toc131"/>
      <w:bookmarkStart w:id="84" w:name="_Toc30894"/>
      <w:r>
        <w:rPr>
          <w:rFonts w:ascii="仿宋" w:hAnsi="仿宋" w:eastAsia="仿宋" w:cs="仿宋"/>
          <w:color w:val="auto"/>
          <w:highlight w:val="none"/>
        </w:rPr>
        <w:t>第二章  投标人须知</w:t>
      </w:r>
      <w:bookmarkEnd w:id="78"/>
      <w:bookmarkEnd w:id="79"/>
      <w:bookmarkEnd w:id="80"/>
      <w:bookmarkEnd w:id="81"/>
      <w:bookmarkEnd w:id="82"/>
      <w:bookmarkEnd w:id="83"/>
      <w:bookmarkEnd w:id="84"/>
    </w:p>
    <w:p>
      <w:pPr>
        <w:spacing w:before="78" w:line="360" w:lineRule="auto"/>
        <w:ind w:firstLine="266" w:firstLineChars="112"/>
        <w:jc w:val="center"/>
        <w:outlineLvl w:val="1"/>
        <w:rPr>
          <w:rFonts w:hint="eastAsia" w:ascii="仿宋" w:hAnsi="仿宋" w:eastAsia="仿宋" w:cs="仿宋"/>
          <w:color w:val="auto"/>
          <w:highlight w:val="none"/>
        </w:rPr>
      </w:pPr>
      <w:bookmarkStart w:id="85" w:name="_Toc5130"/>
      <w:bookmarkStart w:id="86" w:name="_Toc5651"/>
      <w:bookmarkStart w:id="87" w:name="_Toc23263"/>
      <w:bookmarkStart w:id="88" w:name="_Toc26627"/>
      <w:bookmarkStart w:id="89" w:name="_Toc711"/>
      <w:bookmarkStart w:id="90" w:name="_Toc25050"/>
      <w:bookmarkStart w:id="91" w:name="_Toc26710"/>
      <w:r>
        <w:rPr>
          <w:rFonts w:hint="eastAsia" w:ascii="仿宋" w:hAnsi="仿宋" w:eastAsia="仿宋" w:cs="仿宋"/>
          <w:color w:val="auto"/>
          <w:spacing w:val="-1"/>
          <w:sz w:val="24"/>
          <w:szCs w:val="24"/>
          <w:highlight w:val="none"/>
          <w14:textOutline w14:w="4356" w14:cap="sq" w14:cmpd="sng" w14:algn="ctr">
            <w14:solidFill>
              <w14:srgbClr w14:val="000000"/>
            </w14:solidFill>
            <w14:prstDash w14:val="solid"/>
            <w14:bevel/>
          </w14:textOutline>
        </w:rPr>
        <w:t>投标人须知前附表</w:t>
      </w:r>
      <w:bookmarkEnd w:id="85"/>
      <w:bookmarkEnd w:id="86"/>
      <w:bookmarkEnd w:id="87"/>
      <w:bookmarkEnd w:id="88"/>
      <w:bookmarkEnd w:id="89"/>
      <w:bookmarkEnd w:id="90"/>
      <w:bookmarkEnd w:id="91"/>
    </w:p>
    <w:tbl>
      <w:tblPr>
        <w:tblStyle w:val="16"/>
        <w:tblW w:w="888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1569"/>
        <w:gridCol w:w="62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jc w:val="center"/>
        </w:trPr>
        <w:tc>
          <w:tcPr>
            <w:tcW w:w="1060" w:type="dxa"/>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条款号</w:t>
            </w:r>
          </w:p>
        </w:tc>
        <w:tc>
          <w:tcPr>
            <w:tcW w:w="1569" w:type="dxa"/>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条 款 名 称</w:t>
            </w:r>
          </w:p>
        </w:tc>
        <w:tc>
          <w:tcPr>
            <w:tcW w:w="6253" w:type="dxa"/>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5"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w:t>
            </w:r>
          </w:p>
        </w:tc>
        <w:tc>
          <w:tcPr>
            <w:tcW w:w="1569" w:type="dxa"/>
            <w:vAlign w:val="center"/>
          </w:tcPr>
          <w:p>
            <w:pPr>
              <w:spacing w:line="44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招标</w:t>
            </w:r>
            <w:r>
              <w:rPr>
                <w:rFonts w:hint="eastAsia" w:ascii="仿宋" w:hAnsi="仿宋" w:eastAsia="仿宋" w:cs="仿宋"/>
                <w:color w:val="auto"/>
                <w:sz w:val="24"/>
                <w:szCs w:val="24"/>
                <w:highlight w:val="none"/>
                <w:lang w:val="en-US" w:eastAsia="zh-CN"/>
              </w:rPr>
              <w:t>人</w:t>
            </w:r>
          </w:p>
        </w:tc>
        <w:tc>
          <w:tcPr>
            <w:tcW w:w="6253" w:type="dxa"/>
            <w:vAlign w:val="center"/>
          </w:tcPr>
          <w:p>
            <w:pPr>
              <w:spacing w:line="440" w:lineRule="exact"/>
              <w:ind w:firstLine="218" w:firstLineChars="91"/>
              <w:rPr>
                <w:rFonts w:hint="eastAsia" w:ascii="仿宋" w:hAnsi="仿宋" w:eastAsia="仿宋" w:cs="仿宋"/>
                <w:color w:val="auto"/>
                <w:sz w:val="21"/>
                <w:szCs w:val="21"/>
                <w:highlight w:val="none"/>
                <w:lang w:eastAsia="zh-CN"/>
              </w:rPr>
            </w:pPr>
            <w:r>
              <w:rPr>
                <w:rFonts w:hint="eastAsia" w:ascii="仿宋" w:hAnsi="仿宋" w:eastAsia="仿宋" w:cs="仿宋"/>
                <w:color w:val="auto"/>
                <w:sz w:val="24"/>
                <w:szCs w:val="24"/>
                <w:highlight w:val="none"/>
                <w:lang w:eastAsia="zh-CN"/>
              </w:rPr>
              <w:t>名称</w:t>
            </w:r>
            <w:r>
              <w:rPr>
                <w:rFonts w:hint="eastAsia" w:ascii="仿宋" w:hAnsi="仿宋" w:eastAsia="仿宋" w:cs="仿宋"/>
                <w:color w:val="auto"/>
                <w:sz w:val="21"/>
                <w:szCs w:val="21"/>
                <w:highlight w:val="none"/>
                <w:lang w:eastAsia="zh-CN"/>
              </w:rPr>
              <w:t>：儋州市和庆镇人民政府</w:t>
            </w:r>
          </w:p>
          <w:p>
            <w:pPr>
              <w:spacing w:line="440" w:lineRule="exact"/>
              <w:ind w:firstLine="191" w:firstLineChars="91"/>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地址：</w:t>
            </w:r>
            <w:r>
              <w:rPr>
                <w:rFonts w:hint="eastAsia" w:ascii="仿宋" w:hAnsi="仿宋" w:eastAsia="仿宋" w:cs="仿宋"/>
                <w:i w:val="0"/>
                <w:iCs w:val="0"/>
                <w:caps w:val="0"/>
                <w:color w:val="auto"/>
                <w:spacing w:val="0"/>
                <w:sz w:val="21"/>
                <w:szCs w:val="21"/>
                <w:highlight w:val="none"/>
                <w:shd w:val="clear"/>
                <w:lang w:eastAsia="zh-CN"/>
              </w:rPr>
              <w:t>儋州市和庆镇人民政府</w:t>
            </w:r>
          </w:p>
          <w:p>
            <w:pPr>
              <w:spacing w:line="440" w:lineRule="exact"/>
              <w:ind w:firstLine="191" w:firstLineChars="91"/>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联系人：陈先生</w:t>
            </w:r>
          </w:p>
          <w:p>
            <w:pPr>
              <w:spacing w:line="440" w:lineRule="exact"/>
              <w:ind w:firstLine="191" w:firstLineChars="91"/>
              <w:rPr>
                <w:rFonts w:hint="eastAsia" w:ascii="仿宋" w:hAnsi="仿宋" w:eastAsia="仿宋" w:cs="仿宋"/>
                <w:color w:val="auto"/>
                <w:sz w:val="24"/>
                <w:szCs w:val="24"/>
                <w:highlight w:val="none"/>
                <w:lang w:eastAsia="zh-CN"/>
              </w:rPr>
            </w:pPr>
            <w:r>
              <w:rPr>
                <w:rFonts w:hint="eastAsia" w:ascii="仿宋" w:hAnsi="仿宋" w:eastAsia="仿宋" w:cs="仿宋"/>
                <w:color w:val="auto"/>
                <w:sz w:val="21"/>
                <w:szCs w:val="21"/>
                <w:highlight w:val="none"/>
                <w:lang w:eastAsia="zh-CN"/>
              </w:rPr>
              <w:t>电话：0898-23360701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5"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招标代理机构</w:t>
            </w:r>
          </w:p>
        </w:tc>
        <w:tc>
          <w:tcPr>
            <w:tcW w:w="6253" w:type="dxa"/>
            <w:vAlign w:val="center"/>
          </w:tcPr>
          <w:p>
            <w:pPr>
              <w:spacing w:before="0" w:line="440" w:lineRule="exact"/>
              <w:ind w:right="0" w:firstLine="191" w:firstLineChars="91"/>
              <w:jc w:val="left"/>
              <w:rPr>
                <w:rFonts w:hint="eastAsia" w:ascii="仿宋" w:hAnsi="仿宋" w:eastAsia="仿宋" w:cs="仿宋"/>
                <w:color w:val="auto"/>
                <w:spacing w:val="0"/>
                <w:sz w:val="21"/>
                <w:szCs w:val="21"/>
                <w:highlight w:val="none"/>
                <w:lang w:eastAsia="zh-CN"/>
              </w:rPr>
            </w:pPr>
            <w:r>
              <w:rPr>
                <w:rFonts w:hint="eastAsia" w:ascii="仿宋" w:hAnsi="仿宋" w:eastAsia="仿宋" w:cs="仿宋"/>
                <w:color w:val="auto"/>
                <w:sz w:val="21"/>
                <w:szCs w:val="21"/>
                <w:highlight w:val="none"/>
                <w:lang w:eastAsia="zh-CN"/>
              </w:rPr>
              <w:t>名称：</w:t>
            </w:r>
            <w:r>
              <w:rPr>
                <w:rFonts w:hint="eastAsia" w:ascii="仿宋" w:hAnsi="仿宋" w:eastAsia="仿宋" w:cs="仿宋"/>
                <w:color w:val="auto"/>
                <w:spacing w:val="0"/>
                <w:sz w:val="21"/>
                <w:szCs w:val="21"/>
                <w:highlight w:val="none"/>
                <w:lang w:eastAsia="zh-CN"/>
              </w:rPr>
              <w:t xml:space="preserve">致瑞（海南）项目管理有限公司 </w:t>
            </w:r>
          </w:p>
          <w:p>
            <w:pPr>
              <w:spacing w:before="0" w:line="440" w:lineRule="exact"/>
              <w:ind w:right="0" w:firstLine="191" w:firstLineChars="91"/>
              <w:jc w:val="left"/>
              <w:rPr>
                <w:rFonts w:hint="eastAsia" w:ascii="仿宋" w:hAnsi="仿宋" w:eastAsia="仿宋" w:cs="仿宋"/>
                <w:color w:val="auto"/>
                <w:spacing w:val="0"/>
                <w:sz w:val="21"/>
                <w:szCs w:val="21"/>
                <w:highlight w:val="none"/>
                <w:lang w:eastAsia="zh-CN"/>
              </w:rPr>
            </w:pPr>
            <w:r>
              <w:rPr>
                <w:rFonts w:hint="eastAsia" w:ascii="仿宋" w:hAnsi="仿宋" w:eastAsia="仿宋" w:cs="仿宋"/>
                <w:color w:val="auto"/>
                <w:spacing w:val="0"/>
                <w:sz w:val="21"/>
                <w:szCs w:val="21"/>
                <w:highlight w:val="none"/>
                <w:lang w:eastAsia="zh-CN"/>
              </w:rPr>
              <w:t>地址：</w:t>
            </w:r>
            <w:r>
              <w:rPr>
                <w:rFonts w:hint="eastAsia" w:ascii="仿宋" w:hAnsi="仿宋" w:eastAsia="仿宋" w:cs="仿宋"/>
                <w:color w:val="auto"/>
                <w:spacing w:val="0"/>
                <w:sz w:val="21"/>
                <w:szCs w:val="21"/>
                <w:highlight w:val="none"/>
                <w:lang w:val="en-US" w:eastAsia="zh-CN"/>
              </w:rPr>
              <w:t xml:space="preserve"> </w:t>
            </w:r>
            <w:r>
              <w:rPr>
                <w:rFonts w:hint="eastAsia" w:ascii="仿宋" w:hAnsi="仿宋" w:eastAsia="仿宋" w:cs="仿宋"/>
                <w:i w:val="0"/>
                <w:iCs w:val="0"/>
                <w:caps w:val="0"/>
                <w:color w:val="auto"/>
                <w:spacing w:val="0"/>
                <w:sz w:val="21"/>
                <w:szCs w:val="21"/>
                <w:highlight w:val="none"/>
                <w:shd w:val="clear"/>
                <w:lang w:eastAsia="zh-CN"/>
              </w:rPr>
              <w:t>海南省三亚市吉阳区迎宾路蓝立方苏商大厦1205室</w:t>
            </w:r>
          </w:p>
          <w:p>
            <w:pPr>
              <w:spacing w:before="0" w:line="440" w:lineRule="exact"/>
              <w:ind w:right="0" w:firstLine="191" w:firstLineChars="91"/>
              <w:jc w:val="left"/>
              <w:rPr>
                <w:rFonts w:hint="eastAsia" w:ascii="仿宋" w:hAnsi="仿宋" w:eastAsia="仿宋" w:cs="仿宋"/>
                <w:color w:val="auto"/>
                <w:spacing w:val="0"/>
                <w:sz w:val="21"/>
                <w:szCs w:val="21"/>
                <w:highlight w:val="none"/>
                <w:lang w:val="en-US" w:eastAsia="zh-CN"/>
              </w:rPr>
            </w:pPr>
            <w:r>
              <w:rPr>
                <w:rFonts w:hint="eastAsia" w:ascii="仿宋" w:hAnsi="仿宋" w:eastAsia="仿宋" w:cs="仿宋"/>
                <w:color w:val="auto"/>
                <w:spacing w:val="0"/>
                <w:sz w:val="21"/>
                <w:szCs w:val="21"/>
                <w:highlight w:val="none"/>
                <w:lang w:eastAsia="zh-CN"/>
              </w:rPr>
              <w:t>联系人：胡工</w:t>
            </w:r>
          </w:p>
          <w:p>
            <w:pPr>
              <w:spacing w:line="440" w:lineRule="exact"/>
              <w:ind w:firstLine="210" w:firstLineChars="100"/>
              <w:rPr>
                <w:rFonts w:hint="eastAsia" w:ascii="仿宋" w:hAnsi="仿宋" w:eastAsia="仿宋" w:cs="仿宋"/>
                <w:color w:val="auto"/>
                <w:sz w:val="24"/>
                <w:szCs w:val="24"/>
                <w:highlight w:val="none"/>
              </w:rPr>
            </w:pPr>
            <w:r>
              <w:rPr>
                <w:rFonts w:hint="eastAsia" w:ascii="仿宋" w:hAnsi="仿宋" w:eastAsia="仿宋" w:cs="仿宋"/>
                <w:color w:val="auto"/>
                <w:spacing w:val="0"/>
                <w:sz w:val="21"/>
                <w:szCs w:val="21"/>
                <w:highlight w:val="none"/>
                <w:lang w:eastAsia="zh-CN"/>
              </w:rPr>
              <w:t>电话：</w:t>
            </w:r>
            <w:r>
              <w:rPr>
                <w:rFonts w:hint="eastAsia" w:ascii="仿宋" w:hAnsi="仿宋" w:eastAsia="仿宋" w:cs="仿宋"/>
                <w:color w:val="auto"/>
                <w:spacing w:val="0"/>
                <w:sz w:val="21"/>
                <w:szCs w:val="21"/>
                <w:highlight w:val="none"/>
                <w:lang w:val="en-US" w:eastAsia="zh-CN"/>
              </w:rPr>
              <w:t>0898-38210812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253" w:type="dxa"/>
            <w:vAlign w:val="center"/>
          </w:tcPr>
          <w:p>
            <w:pPr>
              <w:spacing w:line="440" w:lineRule="exact"/>
              <w:ind w:firstLine="218" w:firstLineChars="9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儋州市和庆镇全域土地综合整治（省级）试点项目（社会资本投资主体遴选）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建设地点</w:t>
            </w:r>
          </w:p>
        </w:tc>
        <w:tc>
          <w:tcPr>
            <w:tcW w:w="6253" w:type="dxa"/>
            <w:vAlign w:val="center"/>
          </w:tcPr>
          <w:p>
            <w:pPr>
              <w:spacing w:line="440" w:lineRule="exact"/>
              <w:ind w:firstLine="218" w:firstLineChars="9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儋州市和庆镇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w:t>
            </w:r>
          </w:p>
        </w:tc>
        <w:tc>
          <w:tcPr>
            <w:tcW w:w="6253" w:type="dxa"/>
            <w:vAlign w:val="center"/>
          </w:tcPr>
          <w:p>
            <w:pPr>
              <w:spacing w:line="440" w:lineRule="exact"/>
              <w:ind w:firstLine="218" w:firstLineChars="9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由中标社会资本投资主体全额投资</w:t>
            </w:r>
          </w:p>
        </w:tc>
      </w:tr>
      <w:tr>
        <w:tblPrEx>
          <w:tblCellMar>
            <w:top w:w="0" w:type="dxa"/>
            <w:left w:w="0" w:type="dxa"/>
            <w:bottom w:w="0" w:type="dxa"/>
            <w:right w:w="0" w:type="dxa"/>
          </w:tblCellMar>
        </w:tblPrEx>
        <w:trPr>
          <w:trHeight w:val="625"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招标范围</w:t>
            </w:r>
          </w:p>
        </w:tc>
        <w:tc>
          <w:tcPr>
            <w:tcW w:w="6253" w:type="dxa"/>
            <w:vAlign w:val="center"/>
          </w:tcPr>
          <w:p>
            <w:pPr>
              <w:spacing w:line="440" w:lineRule="exact"/>
              <w:ind w:firstLine="218" w:firstLineChars="9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遴选社会资本投资主体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质量要求</w:t>
            </w:r>
          </w:p>
        </w:tc>
        <w:tc>
          <w:tcPr>
            <w:tcW w:w="6253" w:type="dxa"/>
            <w:vAlign w:val="center"/>
          </w:tcPr>
          <w:p>
            <w:pPr>
              <w:spacing w:line="440" w:lineRule="exact"/>
              <w:ind w:firstLine="218" w:firstLineChars="9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符合国家相关验收合格标准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1060" w:type="dxa"/>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1.3.3</w:t>
            </w:r>
          </w:p>
        </w:tc>
        <w:tc>
          <w:tcPr>
            <w:tcW w:w="1569" w:type="dxa"/>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建设周期</w:t>
            </w:r>
          </w:p>
        </w:tc>
        <w:tc>
          <w:tcPr>
            <w:tcW w:w="6253" w:type="dxa"/>
            <w:vAlign w:val="center"/>
          </w:tcPr>
          <w:p>
            <w:pPr>
              <w:spacing w:line="440" w:lineRule="exact"/>
              <w:ind w:firstLine="218" w:firstLineChars="91"/>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7" w:hRule="atLeast"/>
          <w:jc w:val="center"/>
        </w:trPr>
        <w:tc>
          <w:tcPr>
            <w:tcW w:w="1060"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w:t>
            </w:r>
          </w:p>
        </w:tc>
        <w:tc>
          <w:tcPr>
            <w:tcW w:w="1569" w:type="dxa"/>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投标人资格要求</w:t>
            </w:r>
          </w:p>
        </w:tc>
        <w:tc>
          <w:tcPr>
            <w:tcW w:w="6253" w:type="dxa"/>
            <w:vAlign w:val="center"/>
          </w:tcPr>
          <w:p>
            <w:pPr>
              <w:spacing w:before="149" w:line="240" w:lineRule="auto"/>
              <w:ind w:right="4" w:firstLine="418" w:firstLineChars="185"/>
              <w:jc w:val="both"/>
              <w:outlineLvl w:val="2"/>
              <w:rPr>
                <w:rFonts w:hint="eastAsia" w:ascii="仿宋" w:hAnsi="仿宋" w:eastAsia="仿宋" w:cs="仿宋"/>
                <w:color w:val="auto"/>
                <w:spacing w:val="-7"/>
                <w:sz w:val="24"/>
                <w:szCs w:val="24"/>
                <w:highlight w:val="none"/>
                <w:lang w:eastAsia="zh-CN"/>
              </w:rPr>
            </w:pPr>
            <w:bookmarkStart w:id="92" w:name="_Toc26665"/>
            <w:bookmarkStart w:id="93" w:name="_Toc31975"/>
            <w:r>
              <w:rPr>
                <w:rFonts w:hint="eastAsia" w:ascii="仿宋" w:hAnsi="仿宋" w:eastAsia="仿宋" w:cs="仿宋"/>
                <w:color w:val="auto"/>
                <w:spacing w:val="-7"/>
                <w:sz w:val="24"/>
                <w:szCs w:val="24"/>
                <w:highlight w:val="none"/>
                <w:lang w:eastAsia="zh-CN"/>
              </w:rPr>
              <w:t>3.1 符合《中华人民共和国招标投标法》相关规定；</w:t>
            </w:r>
            <w:bookmarkEnd w:id="92"/>
            <w:bookmarkEnd w:id="93"/>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3.2 具有独立企业法人资格：提供三证合一代码的营业执照副本复印件；</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3.3 在“信用中国网</w:t>
            </w:r>
            <w:r>
              <w:rPr>
                <w:rFonts w:hint="eastAsia" w:ascii="仿宋" w:hAnsi="仿宋" w:eastAsia="仿宋" w:cs="仿宋"/>
                <w:color w:val="auto"/>
                <w:spacing w:val="-7"/>
                <w:sz w:val="24"/>
                <w:szCs w:val="24"/>
                <w:highlight w:val="none"/>
              </w:rPr>
              <w:fldChar w:fldCharType="begin"/>
            </w:r>
            <w:r>
              <w:rPr>
                <w:rFonts w:hint="eastAsia" w:ascii="仿宋" w:hAnsi="仿宋" w:eastAsia="仿宋" w:cs="仿宋"/>
                <w:color w:val="auto"/>
                <w:spacing w:val="-7"/>
                <w:sz w:val="24"/>
                <w:szCs w:val="24"/>
                <w:highlight w:val="none"/>
                <w:lang w:eastAsia="zh-CN"/>
              </w:rPr>
              <w:instrText xml:space="preserve"> HYPERLINK "http://www.creditchina.gov.cn/" </w:instrText>
            </w:r>
            <w:r>
              <w:rPr>
                <w:rFonts w:hint="eastAsia" w:ascii="仿宋" w:hAnsi="仿宋" w:eastAsia="仿宋" w:cs="仿宋"/>
                <w:color w:val="auto"/>
                <w:spacing w:val="-7"/>
                <w:sz w:val="24"/>
                <w:szCs w:val="24"/>
                <w:highlight w:val="none"/>
              </w:rPr>
              <w:fldChar w:fldCharType="separate"/>
            </w:r>
            <w:r>
              <w:rPr>
                <w:rFonts w:hint="eastAsia" w:ascii="仿宋" w:hAnsi="仿宋" w:eastAsia="仿宋" w:cs="仿宋"/>
                <w:color w:val="auto"/>
                <w:spacing w:val="-7"/>
                <w:sz w:val="24"/>
                <w:szCs w:val="24"/>
                <w:highlight w:val="none"/>
                <w:lang w:eastAsia="zh-CN"/>
              </w:rPr>
              <w:t>www.creditchina.gov.cn</w:t>
            </w:r>
            <w:r>
              <w:rPr>
                <w:rFonts w:hint="eastAsia" w:ascii="仿宋" w:hAnsi="仿宋" w:eastAsia="仿宋" w:cs="仿宋"/>
                <w:color w:val="auto"/>
                <w:spacing w:val="-7"/>
                <w:sz w:val="24"/>
                <w:szCs w:val="24"/>
                <w:highlight w:val="none"/>
              </w:rPr>
              <w:fldChar w:fldCharType="end"/>
            </w:r>
            <w:r>
              <w:rPr>
                <w:rFonts w:hint="eastAsia" w:ascii="仿宋" w:hAnsi="仿宋" w:eastAsia="仿宋" w:cs="仿宋"/>
                <w:color w:val="auto"/>
                <w:spacing w:val="-7"/>
                <w:sz w:val="24"/>
                <w:szCs w:val="24"/>
                <w:highlight w:val="none"/>
                <w:lang w:eastAsia="zh-CN"/>
              </w:rPr>
              <w:t xml:space="preserve"> ”未被列入失信被执行人、重大税收违法案件当事人名单、严重拖欠农民工工资失信主体、政府采购严重失信行为记录名单，且在“ 中国政府采购网 </w:t>
            </w:r>
            <w:r>
              <w:rPr>
                <w:rFonts w:hint="eastAsia" w:ascii="仿宋" w:hAnsi="仿宋" w:eastAsia="仿宋" w:cs="仿宋"/>
                <w:color w:val="auto"/>
                <w:spacing w:val="-7"/>
                <w:sz w:val="24"/>
                <w:szCs w:val="24"/>
                <w:highlight w:val="none"/>
              </w:rPr>
              <w:fldChar w:fldCharType="begin"/>
            </w:r>
            <w:r>
              <w:rPr>
                <w:rFonts w:hint="eastAsia" w:ascii="仿宋" w:hAnsi="仿宋" w:eastAsia="仿宋" w:cs="仿宋"/>
                <w:color w:val="auto"/>
                <w:spacing w:val="-7"/>
                <w:sz w:val="24"/>
                <w:szCs w:val="24"/>
                <w:highlight w:val="none"/>
                <w:lang w:eastAsia="zh-CN"/>
              </w:rPr>
              <w:instrText xml:space="preserve"> HYPERLINK "http://www.ccgp.gov.cn/" </w:instrText>
            </w:r>
            <w:r>
              <w:rPr>
                <w:rFonts w:hint="eastAsia" w:ascii="仿宋" w:hAnsi="仿宋" w:eastAsia="仿宋" w:cs="仿宋"/>
                <w:color w:val="auto"/>
                <w:spacing w:val="-7"/>
                <w:sz w:val="24"/>
                <w:szCs w:val="24"/>
                <w:highlight w:val="none"/>
              </w:rPr>
              <w:fldChar w:fldCharType="separate"/>
            </w:r>
            <w:r>
              <w:rPr>
                <w:rFonts w:hint="eastAsia" w:ascii="仿宋" w:hAnsi="仿宋" w:eastAsia="仿宋" w:cs="仿宋"/>
                <w:color w:val="auto"/>
                <w:spacing w:val="-7"/>
                <w:sz w:val="24"/>
                <w:szCs w:val="24"/>
                <w:highlight w:val="none"/>
                <w:lang w:eastAsia="zh-CN"/>
              </w:rPr>
              <w:t>www.ccgp.gov.cn</w:t>
            </w:r>
            <w:r>
              <w:rPr>
                <w:rFonts w:hint="eastAsia" w:ascii="仿宋" w:hAnsi="仿宋" w:eastAsia="仿宋" w:cs="仿宋"/>
                <w:color w:val="auto"/>
                <w:spacing w:val="-7"/>
                <w:sz w:val="24"/>
                <w:szCs w:val="24"/>
                <w:highlight w:val="none"/>
              </w:rPr>
              <w:fldChar w:fldCharType="end"/>
            </w:r>
            <w:r>
              <w:rPr>
                <w:rFonts w:hint="eastAsia" w:ascii="仿宋" w:hAnsi="仿宋" w:eastAsia="仿宋" w:cs="仿宋"/>
                <w:color w:val="auto"/>
                <w:spacing w:val="-7"/>
                <w:sz w:val="24"/>
                <w:szCs w:val="24"/>
                <w:highlight w:val="none"/>
                <w:lang w:eastAsia="zh-CN"/>
              </w:rPr>
              <w:t xml:space="preserve"> ”无严重违法失信行为信息记录（提供本公告发布之后的网站查询截图）；</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3.4 有依法缴纳税收和社会保障资金的良好记录：提供202</w:t>
            </w:r>
            <w:r>
              <w:rPr>
                <w:rFonts w:hint="eastAsia" w:ascii="仿宋" w:hAnsi="仿宋" w:eastAsia="仿宋" w:cs="仿宋"/>
                <w:color w:val="auto"/>
                <w:spacing w:val="-7"/>
                <w:sz w:val="24"/>
                <w:szCs w:val="24"/>
                <w:highlight w:val="none"/>
                <w:lang w:val="en-US" w:eastAsia="zh-CN"/>
              </w:rPr>
              <w:t>4</w:t>
            </w:r>
            <w:r>
              <w:rPr>
                <w:rFonts w:hint="eastAsia" w:ascii="仿宋" w:hAnsi="仿宋" w:eastAsia="仿宋" w:cs="仿宋"/>
                <w:color w:val="auto"/>
                <w:spacing w:val="-7"/>
                <w:sz w:val="24"/>
                <w:szCs w:val="24"/>
                <w:highlight w:val="none"/>
                <w:lang w:eastAsia="zh-CN"/>
              </w:rPr>
              <w:t>年</w:t>
            </w:r>
            <w:r>
              <w:rPr>
                <w:rFonts w:hint="eastAsia" w:ascii="仿宋" w:hAnsi="仿宋" w:eastAsia="仿宋" w:cs="仿宋"/>
                <w:color w:val="auto"/>
                <w:spacing w:val="-7"/>
                <w:sz w:val="24"/>
                <w:szCs w:val="24"/>
                <w:highlight w:val="none"/>
                <w:lang w:val="en-US" w:eastAsia="zh-CN"/>
              </w:rPr>
              <w:t>1</w:t>
            </w:r>
            <w:r>
              <w:rPr>
                <w:rFonts w:hint="eastAsia" w:ascii="仿宋" w:hAnsi="仿宋" w:eastAsia="仿宋" w:cs="仿宋"/>
                <w:color w:val="auto"/>
                <w:spacing w:val="-7"/>
                <w:sz w:val="24"/>
                <w:szCs w:val="24"/>
                <w:highlight w:val="none"/>
                <w:lang w:eastAsia="zh-CN"/>
              </w:rPr>
              <w:t>月1日至今连续三个月依法纳税缴交记录和社会保障资金缴交记录的证明复印件；</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3.5</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投标人特定资格条件：（联合体投标时指联合体中承担施工任务的成员）本次招标要求投标人须具备独立法人资格以及具备有效的安全生产许可证,同时具备建设行政主管部门核发的市政公用工程施工总承包</w:t>
            </w:r>
            <w:r>
              <w:rPr>
                <w:rFonts w:hint="eastAsia" w:ascii="仿宋" w:hAnsi="仿宋" w:eastAsia="仿宋" w:cs="仿宋"/>
                <w:color w:val="auto"/>
                <w:spacing w:val="-7"/>
                <w:sz w:val="24"/>
                <w:szCs w:val="24"/>
                <w:highlight w:val="none"/>
                <w:lang w:val="en-US" w:eastAsia="zh-CN"/>
              </w:rPr>
              <w:t>二</w:t>
            </w:r>
            <w:r>
              <w:rPr>
                <w:rFonts w:hint="eastAsia" w:ascii="仿宋" w:hAnsi="仿宋" w:eastAsia="仿宋" w:cs="仿宋"/>
                <w:color w:val="auto"/>
                <w:spacing w:val="-7"/>
                <w:sz w:val="24"/>
                <w:szCs w:val="24"/>
                <w:highlight w:val="none"/>
                <w:lang w:eastAsia="zh-CN"/>
              </w:rPr>
              <w:t>级（含以上级）资质和水利水电工程施工总承包</w:t>
            </w:r>
            <w:r>
              <w:rPr>
                <w:rFonts w:hint="eastAsia" w:ascii="仿宋" w:hAnsi="仿宋" w:eastAsia="仿宋" w:cs="仿宋"/>
                <w:color w:val="auto"/>
                <w:spacing w:val="-7"/>
                <w:sz w:val="24"/>
                <w:szCs w:val="24"/>
                <w:highlight w:val="none"/>
                <w:lang w:val="en-US" w:eastAsia="zh-CN"/>
              </w:rPr>
              <w:t>二</w:t>
            </w:r>
            <w:r>
              <w:rPr>
                <w:rFonts w:hint="eastAsia" w:ascii="仿宋" w:hAnsi="仿宋" w:eastAsia="仿宋" w:cs="仿宋"/>
                <w:color w:val="auto"/>
                <w:spacing w:val="-7"/>
                <w:sz w:val="24"/>
                <w:szCs w:val="24"/>
                <w:highlight w:val="none"/>
                <w:lang w:eastAsia="zh-CN"/>
              </w:rPr>
              <w:t>级（含以上级）资质和建筑工程施工总承包</w:t>
            </w:r>
            <w:r>
              <w:rPr>
                <w:rFonts w:hint="eastAsia" w:ascii="仿宋" w:hAnsi="仿宋" w:eastAsia="仿宋" w:cs="仿宋"/>
                <w:color w:val="auto"/>
                <w:spacing w:val="-7"/>
                <w:sz w:val="24"/>
                <w:szCs w:val="24"/>
                <w:highlight w:val="none"/>
                <w:lang w:val="en-US" w:eastAsia="zh-CN"/>
              </w:rPr>
              <w:t>二</w:t>
            </w:r>
            <w:r>
              <w:rPr>
                <w:rFonts w:hint="eastAsia" w:ascii="仿宋" w:hAnsi="仿宋" w:eastAsia="仿宋" w:cs="仿宋"/>
                <w:color w:val="auto"/>
                <w:spacing w:val="-7"/>
                <w:sz w:val="24"/>
                <w:szCs w:val="24"/>
                <w:highlight w:val="none"/>
                <w:lang w:eastAsia="zh-CN"/>
              </w:rPr>
              <w:t>级（含以上级）</w:t>
            </w:r>
            <w:r>
              <w:rPr>
                <w:rFonts w:hint="eastAsia" w:ascii="仿宋" w:hAnsi="仿宋" w:eastAsia="仿宋" w:cs="仿宋"/>
                <w:color w:val="auto"/>
                <w:spacing w:val="-7"/>
                <w:sz w:val="24"/>
                <w:szCs w:val="24"/>
                <w:highlight w:val="none"/>
                <w:lang w:val="en-US" w:eastAsia="zh-CN"/>
              </w:rPr>
              <w:t>资质</w:t>
            </w:r>
            <w:r>
              <w:rPr>
                <w:rFonts w:hint="eastAsia" w:ascii="仿宋" w:hAnsi="仿宋" w:eastAsia="仿宋" w:cs="仿宋"/>
                <w:color w:val="auto"/>
                <w:spacing w:val="-7"/>
                <w:sz w:val="24"/>
                <w:szCs w:val="24"/>
                <w:highlight w:val="none"/>
                <w:lang w:eastAsia="zh-CN"/>
              </w:rPr>
              <w:t>或根据《住房和城乡建设部关于印发建设工程企业资质管理制度改革方案的通知（【建市〔2020〕94 号】）的规定已换发新证取得相应等级资质，并在人员、设备、资金等方面具有相应的施工能力；</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6</w:t>
            </w:r>
            <w:r>
              <w:rPr>
                <w:rFonts w:hint="eastAsia" w:ascii="仿宋" w:hAnsi="仿宋" w:eastAsia="仿宋" w:cs="仿宋"/>
                <w:color w:val="auto"/>
                <w:spacing w:val="-7"/>
                <w:sz w:val="24"/>
                <w:szCs w:val="24"/>
                <w:highlight w:val="none"/>
                <w:lang w:eastAsia="zh-CN"/>
              </w:rPr>
              <w:t xml:space="preserve"> 投标人（或联合体成员）须为在中华人民共和国（含港澳台）依法成立、有效存续的独立法人，且与招标人及为完成本次招标所委托的咨询机构、代理机构或其附属机构没有任何隶属关系。单位负责人为同一人或者存在直接控股、管理关系的不同投标人，不得同时参加本项目的投标；</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val="en-US" w:eastAsia="zh-CN"/>
              </w:rPr>
              <w:t>3.7</w:t>
            </w:r>
            <w:r>
              <w:rPr>
                <w:rFonts w:hint="eastAsia" w:ascii="仿宋" w:hAnsi="仿宋" w:eastAsia="仿宋" w:cs="仿宋"/>
                <w:color w:val="auto"/>
                <w:spacing w:val="-7"/>
                <w:sz w:val="24"/>
                <w:szCs w:val="24"/>
                <w:highlight w:val="none"/>
                <w:lang w:eastAsia="zh-CN"/>
              </w:rPr>
              <w:t>本次招标接受联合体投标。联合体投标的，应满足下列要求：</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7</w:t>
            </w:r>
            <w:r>
              <w:rPr>
                <w:rFonts w:hint="eastAsia" w:ascii="仿宋" w:hAnsi="仿宋" w:eastAsia="仿宋" w:cs="仿宋"/>
                <w:color w:val="auto"/>
                <w:spacing w:val="-7"/>
                <w:sz w:val="24"/>
                <w:szCs w:val="24"/>
                <w:highlight w:val="none"/>
                <w:lang w:eastAsia="zh-CN"/>
              </w:rPr>
              <w:t>.1</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联合体的成员单位不得超过</w:t>
            </w:r>
            <w:r>
              <w:rPr>
                <w:rFonts w:hint="eastAsia" w:ascii="仿宋" w:hAnsi="仿宋" w:eastAsia="仿宋" w:cs="仿宋"/>
                <w:color w:val="auto"/>
                <w:spacing w:val="-7"/>
                <w:sz w:val="24"/>
                <w:szCs w:val="24"/>
                <w:highlight w:val="none"/>
                <w:lang w:val="en-US" w:eastAsia="zh-CN"/>
              </w:rPr>
              <w:t>3</w:t>
            </w:r>
            <w:r>
              <w:rPr>
                <w:rFonts w:hint="eastAsia" w:ascii="仿宋" w:hAnsi="仿宋" w:eastAsia="仿宋" w:cs="仿宋"/>
                <w:color w:val="auto"/>
                <w:spacing w:val="-7"/>
                <w:sz w:val="24"/>
                <w:szCs w:val="24"/>
                <w:highlight w:val="none"/>
                <w:lang w:eastAsia="zh-CN"/>
              </w:rPr>
              <w:t>个，且联合体各方均具有独立法人资格，联合体牵头人为投资人，由牵头人负责获取招标文件及其他资料，办理投标事宜。</w:t>
            </w:r>
            <w:r>
              <w:rPr>
                <w:rFonts w:hint="eastAsia" w:ascii="仿宋" w:hAnsi="仿宋" w:eastAsia="仿宋" w:cs="仿宋"/>
                <w:color w:val="auto"/>
                <w:spacing w:val="-7"/>
                <w:sz w:val="24"/>
                <w:szCs w:val="24"/>
                <w:highlight w:val="none"/>
                <w:lang w:val="en-US" w:eastAsia="zh-CN"/>
              </w:rPr>
              <w:t>联合体成员单位为</w:t>
            </w:r>
            <w:r>
              <w:rPr>
                <w:rFonts w:hint="eastAsia" w:ascii="仿宋" w:hAnsi="仿宋" w:eastAsia="仿宋" w:cs="仿宋"/>
                <w:color w:val="auto"/>
                <w:spacing w:val="-7"/>
                <w:sz w:val="24"/>
                <w:szCs w:val="24"/>
                <w:highlight w:val="none"/>
                <w:lang w:eastAsia="zh-CN"/>
              </w:rPr>
              <w:t>承担施工任务的</w:t>
            </w:r>
            <w:r>
              <w:rPr>
                <w:rFonts w:hint="eastAsia" w:ascii="仿宋" w:hAnsi="仿宋" w:eastAsia="仿宋" w:cs="仿宋"/>
                <w:color w:val="auto"/>
                <w:spacing w:val="-7"/>
                <w:sz w:val="24"/>
                <w:szCs w:val="24"/>
                <w:highlight w:val="none"/>
                <w:lang w:val="en-US" w:eastAsia="zh-CN"/>
              </w:rPr>
              <w:t>单位。</w:t>
            </w:r>
            <w:r>
              <w:rPr>
                <w:rFonts w:hint="eastAsia" w:ascii="仿宋" w:hAnsi="仿宋" w:eastAsia="仿宋" w:cs="仿宋"/>
                <w:color w:val="auto"/>
                <w:spacing w:val="-7"/>
                <w:sz w:val="24"/>
                <w:szCs w:val="24"/>
                <w:highlight w:val="none"/>
                <w:lang w:eastAsia="zh-CN"/>
              </w:rPr>
              <w:t>联合体牵头人在投标文件中的所有承诺均代表联合体各成员，对联合体各成员均具有约束力；</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7</w:t>
            </w:r>
            <w:r>
              <w:rPr>
                <w:rFonts w:hint="eastAsia" w:ascii="仿宋" w:hAnsi="仿宋" w:eastAsia="仿宋" w:cs="仿宋"/>
                <w:color w:val="auto"/>
                <w:spacing w:val="-7"/>
                <w:sz w:val="24"/>
                <w:szCs w:val="24"/>
                <w:highlight w:val="none"/>
                <w:lang w:eastAsia="zh-CN"/>
              </w:rPr>
              <w:t>.2</w:t>
            </w:r>
            <w:r>
              <w:rPr>
                <w:rFonts w:hint="eastAsia" w:ascii="仿宋" w:hAnsi="仿宋" w:eastAsia="仿宋" w:cs="仿宋"/>
                <w:color w:val="auto"/>
                <w:spacing w:val="-7"/>
                <w:sz w:val="24"/>
                <w:szCs w:val="24"/>
                <w:highlight w:val="none"/>
                <w:lang w:val="en-US" w:eastAsia="zh-CN"/>
              </w:rPr>
              <w:t xml:space="preserve"> </w:t>
            </w:r>
            <w:r>
              <w:rPr>
                <w:rFonts w:hint="eastAsia" w:ascii="仿宋" w:hAnsi="仿宋" w:eastAsia="仿宋" w:cs="仿宋"/>
                <w:color w:val="auto"/>
                <w:spacing w:val="-7"/>
                <w:sz w:val="24"/>
                <w:szCs w:val="24"/>
                <w:highlight w:val="none"/>
                <w:lang w:eastAsia="zh-CN"/>
              </w:rPr>
              <w:t>联合体须提供联合体协议书，明确联合体牵头人和各方权利义务，联合体牵头人代表联合体投标、签约及履行合同和协议中应承担的义务和法律责任，联合体协议书应随投标人文件一起提交，联合体中标后，联合体各方共同与招标单位签订合同；</w:t>
            </w:r>
          </w:p>
          <w:p>
            <w:pPr>
              <w:spacing w:before="149" w:line="240" w:lineRule="auto"/>
              <w:ind w:right="4" w:firstLine="418" w:firstLineChars="185"/>
              <w:jc w:val="both"/>
              <w:rPr>
                <w:rFonts w:hint="eastAsia" w:ascii="仿宋" w:hAnsi="仿宋" w:eastAsia="仿宋" w:cs="仿宋"/>
                <w:color w:val="auto"/>
                <w:spacing w:val="-7"/>
                <w:sz w:val="24"/>
                <w:szCs w:val="24"/>
                <w:highlight w:val="none"/>
                <w:lang w:eastAsia="zh-CN"/>
              </w:rPr>
            </w:pPr>
            <w:r>
              <w:rPr>
                <w:rFonts w:hint="eastAsia" w:ascii="仿宋" w:hAnsi="仿宋" w:eastAsia="仿宋" w:cs="仿宋"/>
                <w:color w:val="auto"/>
                <w:spacing w:val="-7"/>
                <w:sz w:val="24"/>
                <w:szCs w:val="24"/>
                <w:highlight w:val="none"/>
                <w:lang w:eastAsia="zh-CN"/>
              </w:rPr>
              <w:t>3.</w:t>
            </w:r>
            <w:r>
              <w:rPr>
                <w:rFonts w:hint="eastAsia" w:ascii="仿宋" w:hAnsi="仿宋" w:eastAsia="仿宋" w:cs="仿宋"/>
                <w:color w:val="auto"/>
                <w:spacing w:val="-7"/>
                <w:sz w:val="24"/>
                <w:szCs w:val="24"/>
                <w:highlight w:val="none"/>
                <w:lang w:val="en-US" w:eastAsia="zh-CN"/>
              </w:rPr>
              <w:t>7</w:t>
            </w:r>
            <w:r>
              <w:rPr>
                <w:rFonts w:hint="eastAsia" w:ascii="仿宋" w:hAnsi="仿宋" w:eastAsia="仿宋" w:cs="仿宋"/>
                <w:color w:val="auto"/>
                <w:spacing w:val="-7"/>
                <w:sz w:val="24"/>
                <w:szCs w:val="24"/>
                <w:highlight w:val="none"/>
                <w:lang w:eastAsia="zh-CN"/>
              </w:rPr>
              <w:t>.3 联合体各方不得再以自己名义单独投标或参加其他联合体在本项目中投标。</w:t>
            </w:r>
          </w:p>
          <w:p>
            <w:pPr>
              <w:spacing w:before="149" w:line="240" w:lineRule="auto"/>
              <w:ind w:right="4" w:firstLine="444" w:firstLineChars="185"/>
              <w:jc w:val="both"/>
              <w:rPr>
                <w:rFonts w:hint="eastAsia" w:ascii="仿宋" w:hAnsi="仿宋" w:eastAsia="仿宋" w:cs="仿宋"/>
                <w:color w:val="auto"/>
                <w:sz w:val="24"/>
                <w:szCs w:val="24"/>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1.9</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踏勘现场</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sym w:font="Wingdings 2" w:char="00A3"/>
            </w:r>
            <w:r>
              <w:rPr>
                <w:rFonts w:hint="eastAsia" w:ascii="仿宋" w:hAnsi="仿宋" w:eastAsia="仿宋" w:cs="仿宋"/>
                <w:color w:val="auto"/>
                <w:highlight w:val="none"/>
                <w:lang w:eastAsia="zh-CN"/>
              </w:rPr>
              <w:t xml:space="preserve">组织   </w:t>
            </w:r>
          </w:p>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sym w:font="Wingdings 2" w:char="0052"/>
            </w:r>
            <w:r>
              <w:rPr>
                <w:rFonts w:hint="eastAsia" w:ascii="仿宋" w:hAnsi="仿宋" w:eastAsia="仿宋" w:cs="仿宋"/>
                <w:color w:val="auto"/>
                <w:highlight w:val="none"/>
              </w:rPr>
              <w:t>不组织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spacing w:val="-10"/>
                <w:highlight w:val="none"/>
              </w:rPr>
            </w:pPr>
            <w:r>
              <w:rPr>
                <w:rFonts w:hint="eastAsia" w:ascii="仿宋" w:hAnsi="仿宋" w:eastAsia="仿宋" w:cs="仿宋"/>
                <w:color w:val="auto"/>
                <w:highlight w:val="none"/>
              </w:rPr>
              <w:t>1.10</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投标预备会</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rPr>
              <w:sym w:font="Wingdings 2" w:char="00A3"/>
            </w:r>
            <w:r>
              <w:rPr>
                <w:rFonts w:hint="eastAsia" w:ascii="仿宋" w:hAnsi="仿宋" w:eastAsia="仿宋" w:cs="仿宋"/>
                <w:color w:val="auto"/>
                <w:highlight w:val="none"/>
                <w:lang w:eastAsia="zh-CN"/>
              </w:rPr>
              <w:t xml:space="preserve">召开  </w:t>
            </w:r>
          </w:p>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sym w:font="Wingdings 2" w:char="0052"/>
            </w:r>
            <w:r>
              <w:rPr>
                <w:rFonts w:hint="eastAsia" w:ascii="仿宋" w:hAnsi="仿宋" w:eastAsia="仿宋" w:cs="仿宋"/>
                <w:color w:val="auto"/>
                <w:highlight w:val="none"/>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1.11</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3"/>
                <w:highlight w:val="none"/>
              </w:rPr>
            </w:pPr>
            <w:r>
              <w:rPr>
                <w:rFonts w:hint="eastAsia" w:ascii="仿宋" w:hAnsi="仿宋" w:eastAsia="仿宋" w:cs="仿宋"/>
                <w:color w:val="auto"/>
                <w:highlight w:val="none"/>
              </w:rPr>
              <w:t>分包</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sym w:font="Wingdings 2" w:char="0052"/>
            </w:r>
            <w:r>
              <w:rPr>
                <w:rFonts w:hint="eastAsia" w:ascii="仿宋" w:hAnsi="仿宋" w:eastAsia="仿宋" w:cs="仿宋"/>
                <w:color w:val="auto"/>
                <w:highlight w:val="none"/>
                <w:lang w:eastAsia="zh-CN"/>
              </w:rPr>
              <w:t>允许，主体结构的施工必须由承包人自行完成</w:t>
            </w:r>
          </w:p>
          <w:p>
            <w:pPr>
              <w:pStyle w:val="17"/>
              <w:spacing w:line="240" w:lineRule="auto"/>
              <w:rPr>
                <w:rFonts w:hint="eastAsia" w:ascii="仿宋" w:hAnsi="仿宋" w:eastAsia="仿宋" w:cs="仿宋"/>
                <w:color w:val="auto"/>
                <w:highlight w:val="none"/>
              </w:rPr>
            </w:pPr>
            <w:r>
              <w:rPr>
                <w:rFonts w:hint="eastAsia" w:ascii="仿宋" w:hAnsi="仿宋" w:eastAsia="仿宋" w:cs="仿宋"/>
                <w:color w:val="auto"/>
                <w:highlight w:val="none"/>
              </w:rPr>
              <w:sym w:font="Wingdings 2" w:char="00A3"/>
            </w:r>
            <w:r>
              <w:rPr>
                <w:rFonts w:hint="eastAsia" w:ascii="仿宋" w:hAnsi="仿宋" w:eastAsia="仿宋" w:cs="仿宋"/>
                <w:color w:val="auto"/>
                <w:highlight w:val="none"/>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1.12</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7"/>
                <w:highlight w:val="none"/>
              </w:rPr>
            </w:pPr>
            <w:r>
              <w:rPr>
                <w:rFonts w:hint="eastAsia" w:ascii="仿宋" w:hAnsi="仿宋" w:eastAsia="仿宋" w:cs="仿宋"/>
                <w:color w:val="auto"/>
                <w:highlight w:val="none"/>
              </w:rPr>
              <w:t>偏离</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rPr>
              <w:sym w:font="Wingdings 2" w:char="00A3"/>
            </w:r>
            <w:r>
              <w:rPr>
                <w:rFonts w:hint="eastAsia" w:ascii="仿宋" w:hAnsi="仿宋" w:eastAsia="仿宋" w:cs="仿宋"/>
                <w:color w:val="auto"/>
                <w:highlight w:val="none"/>
                <w:lang w:eastAsia="zh-CN"/>
              </w:rPr>
              <w:t xml:space="preserve">允许   </w:t>
            </w:r>
          </w:p>
          <w:p>
            <w:pPr>
              <w:pStyle w:val="17"/>
              <w:spacing w:line="240" w:lineRule="auto"/>
              <w:rPr>
                <w:rFonts w:hint="eastAsia" w:ascii="仿宋" w:hAnsi="仿宋" w:eastAsia="仿宋" w:cs="仿宋"/>
                <w:color w:val="auto"/>
                <w:highlight w:val="none"/>
              </w:rPr>
            </w:pPr>
            <w:r>
              <w:rPr>
                <w:rFonts w:hint="eastAsia" w:ascii="仿宋" w:hAnsi="仿宋" w:eastAsia="仿宋" w:cs="仿宋"/>
                <w:color w:val="auto"/>
                <w:highlight w:val="none"/>
                <w:lang w:eastAsia="zh-CN"/>
              </w:rPr>
              <w:sym w:font="Wingdings 2" w:char="0052"/>
            </w:r>
            <w:r>
              <w:rPr>
                <w:rFonts w:hint="eastAsia" w:ascii="仿宋" w:hAnsi="仿宋" w:eastAsia="仿宋" w:cs="仿宋"/>
                <w:color w:val="auto"/>
                <w:highlight w:val="none"/>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spacing w:val="-7"/>
                <w:highlight w:val="none"/>
              </w:rPr>
            </w:pPr>
            <w:r>
              <w:rPr>
                <w:rFonts w:hint="eastAsia" w:ascii="仿宋" w:hAnsi="仿宋" w:eastAsia="仿宋" w:cs="仿宋"/>
                <w:color w:val="auto"/>
                <w:highlight w:val="none"/>
              </w:rPr>
              <w:t>2.2</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5"/>
                <w:highlight w:val="none"/>
              </w:rPr>
            </w:pPr>
            <w:r>
              <w:rPr>
                <w:rFonts w:hint="eastAsia" w:ascii="仿宋" w:hAnsi="仿宋" w:eastAsia="仿宋" w:cs="仿宋"/>
                <w:color w:val="auto"/>
                <w:highlight w:val="none"/>
              </w:rPr>
              <w:t>投标截止时间</w:t>
            </w:r>
          </w:p>
        </w:tc>
        <w:tc>
          <w:tcPr>
            <w:tcW w:w="6253" w:type="dxa"/>
            <w:vAlign w:val="center"/>
          </w:tcPr>
          <w:p>
            <w:pPr>
              <w:pStyle w:val="17"/>
              <w:spacing w:line="440" w:lineRule="exact"/>
              <w:rPr>
                <w:rFonts w:hint="eastAsia" w:ascii="仿宋" w:hAnsi="仿宋" w:eastAsia="仿宋" w:cs="仿宋"/>
                <w:color w:val="auto"/>
                <w:spacing w:val="-9"/>
                <w:highlight w:val="none"/>
              </w:rPr>
            </w:pPr>
            <w:r>
              <w:rPr>
                <w:rFonts w:hint="eastAsia" w:ascii="仿宋" w:hAnsi="仿宋" w:eastAsia="仿宋" w:cs="仿宋"/>
                <w:color w:val="auto"/>
                <w:spacing w:val="0"/>
                <w:highlight w:val="none"/>
                <w:u w:val="none"/>
              </w:rPr>
              <w:t>202</w:t>
            </w:r>
            <w:r>
              <w:rPr>
                <w:rFonts w:hint="eastAsia" w:ascii="仿宋" w:hAnsi="仿宋" w:eastAsia="仿宋" w:cs="仿宋"/>
                <w:color w:val="auto"/>
                <w:spacing w:val="0"/>
                <w:highlight w:val="none"/>
                <w:u w:val="none"/>
                <w:lang w:eastAsia="zh-CN"/>
              </w:rPr>
              <w:t>4</w:t>
            </w:r>
            <w:r>
              <w:rPr>
                <w:rFonts w:hint="eastAsia" w:ascii="仿宋" w:hAnsi="仿宋" w:eastAsia="仿宋" w:cs="仿宋"/>
                <w:color w:val="auto"/>
                <w:spacing w:val="0"/>
                <w:highlight w:val="none"/>
              </w:rPr>
              <w:t>年</w:t>
            </w:r>
            <w:r>
              <w:rPr>
                <w:rFonts w:hint="eastAsia" w:ascii="仿宋" w:hAnsi="仿宋" w:eastAsia="仿宋" w:cs="仿宋"/>
                <w:color w:val="auto"/>
                <w:spacing w:val="0"/>
                <w:highlight w:val="none"/>
                <w:lang w:val="en-US" w:eastAsia="zh-CN"/>
              </w:rPr>
              <w:t>05</w:t>
            </w:r>
            <w:r>
              <w:rPr>
                <w:rFonts w:hint="eastAsia" w:ascii="仿宋" w:hAnsi="仿宋" w:eastAsia="仿宋" w:cs="仿宋"/>
                <w:color w:val="auto"/>
                <w:spacing w:val="0"/>
                <w:highlight w:val="none"/>
              </w:rPr>
              <w:t>月</w:t>
            </w:r>
            <w:r>
              <w:rPr>
                <w:rFonts w:hint="eastAsia" w:ascii="仿宋" w:hAnsi="仿宋" w:eastAsia="仿宋" w:cs="仿宋"/>
                <w:color w:val="auto"/>
                <w:spacing w:val="-60"/>
                <w:highlight w:val="none"/>
                <w:lang w:val="en-US" w:eastAsia="zh-CN"/>
              </w:rPr>
              <w:t xml:space="preserve"> 20   </w:t>
            </w:r>
            <w:r>
              <w:rPr>
                <w:rFonts w:hint="eastAsia" w:ascii="仿宋" w:hAnsi="仿宋" w:eastAsia="仿宋" w:cs="仿宋"/>
                <w:color w:val="auto"/>
                <w:spacing w:val="0"/>
                <w:highlight w:val="none"/>
              </w:rPr>
              <w:t>日</w:t>
            </w:r>
            <w:r>
              <w:rPr>
                <w:rFonts w:hint="eastAsia" w:ascii="仿宋" w:hAnsi="仿宋" w:eastAsia="仿宋" w:cs="仿宋"/>
                <w:color w:val="auto"/>
                <w:spacing w:val="0"/>
                <w:highlight w:val="none"/>
                <w:lang w:val="en-US" w:eastAsia="zh-CN"/>
              </w:rPr>
              <w:t>08</w:t>
            </w:r>
            <w:r>
              <w:rPr>
                <w:rFonts w:hint="eastAsia" w:ascii="仿宋" w:hAnsi="仿宋" w:eastAsia="仿宋" w:cs="仿宋"/>
                <w:color w:val="auto"/>
                <w:spacing w:val="0"/>
                <w:highlight w:val="none"/>
              </w:rPr>
              <w:t>时</w:t>
            </w:r>
            <w:r>
              <w:rPr>
                <w:rFonts w:hint="eastAsia" w:ascii="仿宋" w:hAnsi="仿宋" w:eastAsia="仿宋" w:cs="仿宋"/>
                <w:color w:val="auto"/>
                <w:spacing w:val="0"/>
                <w:highlight w:val="none"/>
                <w:lang w:val="en-US" w:eastAsia="zh-CN"/>
              </w:rPr>
              <w:t>30</w:t>
            </w:r>
            <w:r>
              <w:rPr>
                <w:rFonts w:hint="eastAsia" w:ascii="仿宋" w:hAnsi="仿宋" w:eastAsia="仿宋" w:cs="仿宋"/>
                <w:color w:val="auto"/>
                <w:spacing w:val="0"/>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1"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2.3</w:t>
            </w:r>
          </w:p>
        </w:tc>
        <w:tc>
          <w:tcPr>
            <w:tcW w:w="1569" w:type="dxa"/>
            <w:vAlign w:val="center"/>
          </w:tcPr>
          <w:p>
            <w:pPr>
              <w:pStyle w:val="17"/>
              <w:spacing w:line="440" w:lineRule="exact"/>
              <w:ind w:firstLine="0" w:firstLineChars="0"/>
              <w:jc w:val="both"/>
              <w:rPr>
                <w:rFonts w:hint="eastAsia" w:ascii="仿宋" w:hAnsi="仿宋" w:eastAsia="仿宋" w:cs="仿宋"/>
                <w:color w:val="auto"/>
                <w:highlight w:val="none"/>
                <w:lang w:eastAsia="zh-CN"/>
              </w:rPr>
            </w:pPr>
            <w:r>
              <w:rPr>
                <w:rFonts w:hint="eastAsia" w:ascii="仿宋" w:hAnsi="仿宋" w:eastAsia="仿宋" w:cs="仿宋"/>
                <w:color w:val="auto"/>
                <w:spacing w:val="-2"/>
                <w:highlight w:val="none"/>
                <w:lang w:eastAsia="zh-CN"/>
              </w:rPr>
              <w:t>投标人提问截止</w:t>
            </w:r>
            <w:r>
              <w:rPr>
                <w:rFonts w:hint="eastAsia" w:ascii="仿宋" w:hAnsi="仿宋" w:eastAsia="仿宋" w:cs="仿宋"/>
                <w:color w:val="auto"/>
                <w:highlight w:val="none"/>
                <w:lang w:eastAsia="zh-CN"/>
              </w:rPr>
              <w:t>时间及招标单位</w:t>
            </w:r>
            <w:r>
              <w:rPr>
                <w:rFonts w:hint="eastAsia" w:ascii="仿宋" w:hAnsi="仿宋" w:eastAsia="仿宋" w:cs="仿宋"/>
                <w:color w:val="auto"/>
                <w:spacing w:val="-4"/>
                <w:highlight w:val="none"/>
                <w:lang w:eastAsia="zh-CN"/>
              </w:rPr>
              <w:t>书面澄清</w:t>
            </w:r>
          </w:p>
        </w:tc>
        <w:tc>
          <w:tcPr>
            <w:tcW w:w="6253" w:type="dxa"/>
            <w:vAlign w:val="center"/>
          </w:tcPr>
          <w:p>
            <w:pPr>
              <w:pStyle w:val="17"/>
              <w:spacing w:line="240" w:lineRule="auto"/>
              <w:ind w:firstLine="218" w:firstLineChars="91"/>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1.投标人提出问题的截止时间：应当在投标截止时间10</w:t>
            </w:r>
            <w:r>
              <w:rPr>
                <w:rFonts w:hint="eastAsia" w:ascii="仿宋" w:hAnsi="仿宋" w:eastAsia="仿宋" w:cs="仿宋"/>
                <w:color w:val="auto"/>
                <w:spacing w:val="-13"/>
                <w:highlight w:val="none"/>
                <w:lang w:eastAsia="zh-CN"/>
              </w:rPr>
              <w:t>日前提出；</w:t>
            </w:r>
          </w:p>
          <w:p>
            <w:pPr>
              <w:pStyle w:val="17"/>
              <w:spacing w:line="240" w:lineRule="auto"/>
              <w:ind w:firstLine="218" w:firstLineChars="91"/>
              <w:rPr>
                <w:rFonts w:hint="eastAsia" w:ascii="仿宋" w:hAnsi="仿宋" w:eastAsia="仿宋" w:cs="仿宋"/>
                <w:color w:val="auto"/>
                <w:spacing w:val="-11"/>
                <w:highlight w:val="none"/>
                <w:u w:val="single"/>
                <w:lang w:eastAsia="zh-CN"/>
              </w:rPr>
            </w:pPr>
            <w:r>
              <w:rPr>
                <w:rFonts w:hint="eastAsia" w:ascii="仿宋" w:hAnsi="仿宋" w:eastAsia="仿宋" w:cs="仿宋"/>
                <w:snapToGrid w:val="0"/>
                <w:color w:val="auto"/>
                <w:spacing w:val="0"/>
                <w:sz w:val="24"/>
                <w:szCs w:val="24"/>
                <w:highlight w:val="none"/>
                <w:lang w:val="en-US" w:eastAsia="zh-CN" w:bidi="ar-SA"/>
              </w:rPr>
              <w:t>2.招标单位书面澄清的时间：招标文件要求提交投标文件截止时间至少15日前，以书面形式通知所有招标文件收受人</w:t>
            </w:r>
            <w:r>
              <w:rPr>
                <w:rFonts w:hint="eastAsia" w:ascii="仿宋" w:hAnsi="仿宋" w:eastAsia="仿宋" w:cs="仿宋"/>
                <w:color w:val="auto"/>
                <w:spacing w:val="-5"/>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3.1</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构成投标文件的</w:t>
            </w:r>
            <w:r>
              <w:rPr>
                <w:rFonts w:hint="eastAsia" w:ascii="仿宋" w:hAnsi="仿宋" w:eastAsia="仿宋" w:cs="仿宋"/>
                <w:color w:val="auto"/>
                <w:spacing w:val="-3"/>
                <w:highlight w:val="none"/>
                <w:lang w:eastAsia="zh-CN"/>
              </w:rPr>
              <w:t>其他材料</w:t>
            </w:r>
          </w:p>
        </w:tc>
        <w:tc>
          <w:tcPr>
            <w:tcW w:w="6253" w:type="dxa"/>
            <w:vAlign w:val="center"/>
          </w:tcPr>
          <w:p>
            <w:pPr>
              <w:pStyle w:val="17"/>
              <w:spacing w:line="240" w:lineRule="auto"/>
              <w:ind w:firstLine="218" w:firstLineChars="91"/>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1.</w:t>
            </w:r>
            <w:r>
              <w:rPr>
                <w:rFonts w:hint="eastAsia" w:ascii="仿宋" w:hAnsi="仿宋" w:eastAsia="仿宋" w:cs="仿宋"/>
                <w:color w:val="auto"/>
                <w:spacing w:val="-37"/>
                <w:highlight w:val="none"/>
                <w:lang w:eastAsia="zh-CN"/>
              </w:rPr>
              <w:t xml:space="preserve"> </w:t>
            </w:r>
            <w:r>
              <w:rPr>
                <w:rFonts w:hint="eastAsia" w:ascii="仿宋" w:hAnsi="仿宋" w:eastAsia="仿宋" w:cs="仿宋"/>
                <w:color w:val="auto"/>
                <w:highlight w:val="none"/>
                <w:lang w:eastAsia="zh-CN"/>
              </w:rPr>
              <w:t>补充通知（如有</w:t>
            </w:r>
            <w:r>
              <w:rPr>
                <w:rFonts w:hint="eastAsia" w:ascii="仿宋" w:hAnsi="仿宋" w:eastAsia="仿宋" w:cs="仿宋"/>
                <w:color w:val="auto"/>
                <w:spacing w:val="-65"/>
                <w:highlight w:val="none"/>
                <w:lang w:eastAsia="zh-CN"/>
              </w:rPr>
              <w:t>）</w:t>
            </w:r>
          </w:p>
          <w:p>
            <w:pPr>
              <w:pStyle w:val="17"/>
              <w:spacing w:line="240" w:lineRule="auto"/>
              <w:ind w:firstLine="218" w:firstLineChars="91"/>
              <w:rPr>
                <w:rFonts w:hint="eastAsia" w:ascii="仿宋" w:hAnsi="仿宋" w:eastAsia="仿宋" w:cs="仿宋"/>
                <w:color w:val="auto"/>
                <w:spacing w:val="-3"/>
                <w:highlight w:val="none"/>
                <w:lang w:eastAsia="zh-CN"/>
              </w:rPr>
            </w:pPr>
            <w:r>
              <w:rPr>
                <w:rFonts w:hint="eastAsia" w:ascii="仿宋" w:hAnsi="仿宋" w:eastAsia="仿宋" w:cs="仿宋"/>
                <w:color w:val="auto"/>
                <w:highlight w:val="none"/>
                <w:lang w:eastAsia="zh-CN"/>
              </w:rPr>
              <w:t>2.</w:t>
            </w:r>
            <w:r>
              <w:rPr>
                <w:rFonts w:hint="eastAsia" w:ascii="仿宋" w:hAnsi="仿宋" w:eastAsia="仿宋" w:cs="仿宋"/>
                <w:color w:val="auto"/>
                <w:spacing w:val="-26"/>
                <w:highlight w:val="none"/>
                <w:lang w:eastAsia="zh-CN"/>
              </w:rPr>
              <w:t xml:space="preserve"> </w:t>
            </w:r>
            <w:r>
              <w:rPr>
                <w:rFonts w:hint="eastAsia" w:ascii="仿宋" w:hAnsi="仿宋" w:eastAsia="仿宋" w:cs="仿宋"/>
                <w:color w:val="auto"/>
                <w:highlight w:val="none"/>
                <w:lang w:eastAsia="zh-CN"/>
              </w:rPr>
              <w:t>投标人认为其他所需要补充的内容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3.</w:t>
            </w:r>
            <w:r>
              <w:rPr>
                <w:rFonts w:hint="eastAsia" w:ascii="仿宋" w:hAnsi="仿宋" w:eastAsia="仿宋" w:cs="仿宋"/>
                <w:color w:val="auto"/>
                <w:highlight w:val="none"/>
                <w:lang w:eastAsia="zh-CN"/>
              </w:rPr>
              <w:t>2</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2"/>
                <w:highlight w:val="none"/>
              </w:rPr>
            </w:pPr>
            <w:r>
              <w:rPr>
                <w:rFonts w:hint="eastAsia" w:ascii="仿宋" w:hAnsi="仿宋" w:eastAsia="仿宋" w:cs="仿宋"/>
                <w:color w:val="auto"/>
                <w:highlight w:val="none"/>
              </w:rPr>
              <w:t>投标有效期</w:t>
            </w:r>
          </w:p>
        </w:tc>
        <w:tc>
          <w:tcPr>
            <w:tcW w:w="6253" w:type="dxa"/>
            <w:vAlign w:val="center"/>
          </w:tcPr>
          <w:p>
            <w:pPr>
              <w:pStyle w:val="17"/>
              <w:spacing w:line="440" w:lineRule="exact"/>
              <w:ind w:firstLine="218" w:firstLineChars="91"/>
              <w:jc w:val="both"/>
              <w:rPr>
                <w:rFonts w:hint="eastAsia" w:ascii="仿宋" w:hAnsi="仿宋" w:eastAsia="仿宋" w:cs="仿宋"/>
                <w:color w:val="auto"/>
                <w:spacing w:val="-2"/>
                <w:highlight w:val="none"/>
              </w:rPr>
            </w:pPr>
            <w:r>
              <w:rPr>
                <w:rFonts w:hint="eastAsia" w:ascii="仿宋" w:hAnsi="仿宋" w:eastAsia="仿宋" w:cs="仿宋"/>
                <w:color w:val="auto"/>
                <w:highlight w:val="none"/>
                <w:lang w:eastAsia="zh-CN"/>
              </w:rPr>
              <w:t>90天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 w:hRule="atLeast"/>
          <w:jc w:val="center"/>
        </w:trPr>
        <w:tc>
          <w:tcPr>
            <w:tcW w:w="1060" w:type="dxa"/>
            <w:vAlign w:val="center"/>
          </w:tcPr>
          <w:p>
            <w:pPr>
              <w:pStyle w:val="17"/>
              <w:spacing w:line="440" w:lineRule="exact"/>
              <w:ind w:left="0" w:leftChars="0" w:firstLine="0" w:firstLineChars="0"/>
              <w:jc w:val="left"/>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3.4.1</w:t>
            </w:r>
          </w:p>
        </w:tc>
        <w:tc>
          <w:tcPr>
            <w:tcW w:w="1569" w:type="dxa"/>
            <w:vAlign w:val="center"/>
          </w:tcPr>
          <w:p>
            <w:pPr>
              <w:pStyle w:val="17"/>
              <w:spacing w:line="440" w:lineRule="exact"/>
              <w:ind w:firstLine="0" w:firstLineChars="0"/>
              <w:jc w:val="left"/>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投标保证金</w:t>
            </w:r>
          </w:p>
        </w:tc>
        <w:tc>
          <w:tcPr>
            <w:tcW w:w="6253" w:type="dxa"/>
            <w:vAlign w:val="center"/>
          </w:tcPr>
          <w:p>
            <w:pPr>
              <w:spacing w:before="149" w:line="360" w:lineRule="auto"/>
              <w:ind w:right="4"/>
              <w:jc w:val="both"/>
              <w:rPr>
                <w:rFonts w:hint="default"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投标保证金：200000元</w:t>
            </w:r>
          </w:p>
          <w:p>
            <w:pPr>
              <w:spacing w:before="149" w:line="360" w:lineRule="auto"/>
              <w:ind w:right="4"/>
              <w:jc w:val="both"/>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投标保证金的形式：网上支付或线下银行转账支付或银行保函、电子保函、建设工程投标保证保险支付，支付地址：http://zw.hainan.gov.cn/ggzy/。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060" w:type="dxa"/>
            <w:vAlign w:val="center"/>
          </w:tcPr>
          <w:p>
            <w:pPr>
              <w:pStyle w:val="17"/>
              <w:ind w:firstLine="218" w:firstLineChars="91"/>
              <w:jc w:val="center"/>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3.4.2</w:t>
            </w:r>
          </w:p>
        </w:tc>
        <w:tc>
          <w:tcPr>
            <w:tcW w:w="1569" w:type="dxa"/>
            <w:vAlign w:val="center"/>
          </w:tcPr>
          <w:p>
            <w:pPr>
              <w:pStyle w:val="17"/>
              <w:spacing w:line="240" w:lineRule="auto"/>
              <w:ind w:firstLine="0" w:firstLineChars="0"/>
              <w:jc w:val="center"/>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近年财务状况的年份要求</w:t>
            </w:r>
          </w:p>
        </w:tc>
        <w:tc>
          <w:tcPr>
            <w:tcW w:w="6253" w:type="dxa"/>
            <w:vAlign w:val="center"/>
          </w:tcPr>
          <w:p>
            <w:pPr>
              <w:pStyle w:val="6"/>
              <w:rPr>
                <w:rFonts w:hint="eastAsia" w:eastAsia="宋体"/>
                <w:color w:val="auto"/>
                <w:highlight w:val="none"/>
                <w:lang w:eastAsia="zh-CN"/>
              </w:rPr>
            </w:pPr>
            <w:r>
              <w:rPr>
                <w:rFonts w:hint="eastAsia" w:ascii="仿宋" w:hAnsi="仿宋" w:eastAsia="仿宋" w:cs="仿宋"/>
                <w:snapToGrid w:val="0"/>
                <w:color w:val="auto"/>
                <w:sz w:val="24"/>
                <w:szCs w:val="24"/>
                <w:highlight w:val="none"/>
                <w:lang w:val="en-US" w:eastAsia="zh-CN" w:bidi="ar-SA"/>
              </w:rPr>
              <w:t>2022年财务审计报告</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任意一名联合体成员单位提供即可</w:t>
            </w:r>
            <w:r>
              <w:rPr>
                <w:rFonts w:hint="eastAsia" w:ascii="仿宋" w:hAnsi="仿宋" w:eastAsia="仿宋" w:cs="仿宋"/>
                <w:color w:val="auto"/>
                <w:sz w:val="24"/>
                <w:szCs w:val="24"/>
                <w:highlight w:val="none"/>
                <w:lang w:eastAsia="zh-CN"/>
              </w:rPr>
              <w:t>）</w:t>
            </w:r>
          </w:p>
          <w:p>
            <w:pPr>
              <w:pStyle w:val="17"/>
              <w:spacing w:line="240" w:lineRule="auto"/>
              <w:ind w:firstLine="218" w:firstLineChars="91"/>
              <w:jc w:val="both"/>
              <w:rPr>
                <w:rFonts w:hint="eastAsia" w:ascii="仿宋" w:hAnsi="仿宋" w:eastAsia="仿宋" w:cs="仿宋"/>
                <w:snapToGrid w:val="0"/>
                <w:color w:val="auto"/>
                <w:sz w:val="24"/>
                <w:szCs w:val="24"/>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3.7.1</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3"/>
                <w:highlight w:val="none"/>
              </w:rPr>
            </w:pPr>
            <w:r>
              <w:rPr>
                <w:rFonts w:hint="eastAsia" w:ascii="仿宋" w:hAnsi="仿宋" w:eastAsia="仿宋" w:cs="仿宋"/>
                <w:color w:val="auto"/>
                <w:highlight w:val="none"/>
              </w:rPr>
              <w:t>签字或盖章要求</w:t>
            </w:r>
          </w:p>
        </w:tc>
        <w:tc>
          <w:tcPr>
            <w:tcW w:w="6253" w:type="dxa"/>
            <w:vAlign w:val="center"/>
          </w:tcPr>
          <w:p>
            <w:pPr>
              <w:pStyle w:val="17"/>
              <w:spacing w:line="440" w:lineRule="exact"/>
              <w:ind w:firstLine="209" w:firstLineChars="91"/>
              <w:rPr>
                <w:rFonts w:hint="eastAsia" w:ascii="仿宋" w:hAnsi="仿宋" w:eastAsia="仿宋" w:cs="仿宋"/>
                <w:color w:val="auto"/>
                <w:spacing w:val="-5"/>
                <w:highlight w:val="none"/>
                <w:lang w:eastAsia="zh-CN"/>
              </w:rPr>
            </w:pPr>
            <w:r>
              <w:rPr>
                <w:rFonts w:hint="eastAsia" w:ascii="仿宋" w:hAnsi="仿宋" w:eastAsia="仿宋" w:cs="仿宋"/>
                <w:color w:val="auto"/>
                <w:spacing w:val="-5"/>
                <w:highlight w:val="none"/>
                <w:lang w:eastAsia="zh-CN"/>
              </w:rPr>
              <w:t>1、纸质投标文件打印应用不褪色的墨水书写或打印，字迹应易于辨认并在需要签字或盖章处应由投标人的法定代表人或委托代理人签字或盖单位章。由委托代理人签字的，投标文件中应附有法定代表人授权委托书。</w:t>
            </w:r>
          </w:p>
          <w:p>
            <w:pPr>
              <w:pStyle w:val="17"/>
              <w:spacing w:line="440" w:lineRule="exact"/>
              <w:ind w:firstLine="209" w:firstLineChars="91"/>
              <w:rPr>
                <w:rFonts w:hint="eastAsia" w:ascii="仿宋" w:hAnsi="仿宋" w:eastAsia="仿宋" w:cs="仿宋"/>
                <w:color w:val="auto"/>
                <w:spacing w:val="-5"/>
                <w:highlight w:val="none"/>
                <w:lang w:eastAsia="zh-CN"/>
              </w:rPr>
            </w:pPr>
            <w:r>
              <w:rPr>
                <w:rFonts w:hint="eastAsia" w:ascii="仿宋" w:hAnsi="仿宋" w:eastAsia="仿宋" w:cs="仿宋"/>
                <w:color w:val="auto"/>
                <w:spacing w:val="-5"/>
                <w:highlight w:val="none"/>
                <w:lang w:eastAsia="zh-CN"/>
              </w:rPr>
              <w:t>2、纸质版投标文件打印书脊（书脊内容：项目名称及投标人名称）和加盖骑缝章。</w:t>
            </w:r>
          </w:p>
          <w:p>
            <w:pPr>
              <w:pStyle w:val="17"/>
              <w:spacing w:line="440" w:lineRule="exact"/>
              <w:ind w:firstLine="209" w:firstLineChars="91"/>
              <w:rPr>
                <w:rFonts w:hint="eastAsia" w:ascii="仿宋" w:hAnsi="仿宋" w:eastAsia="仿宋" w:cs="仿宋"/>
                <w:color w:val="auto"/>
                <w:spacing w:val="-5"/>
                <w:highlight w:val="none"/>
                <w:lang w:eastAsia="zh-CN"/>
              </w:rPr>
            </w:pPr>
            <w:r>
              <w:rPr>
                <w:rFonts w:hint="eastAsia" w:ascii="仿宋" w:hAnsi="仿宋" w:eastAsia="仿宋" w:cs="仿宋"/>
                <w:color w:val="auto"/>
                <w:spacing w:val="-5"/>
                <w:highlight w:val="none"/>
                <w:lang w:eastAsia="zh-CN"/>
              </w:rPr>
              <w:t>3、投标文件格式要求盖章的；投标文件逐页盖章，改动之处应加盖单位章或由投标人的法定代表人或其授权的代理人签字确认。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3.7.2</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2"/>
                <w:highlight w:val="none"/>
              </w:rPr>
            </w:pPr>
            <w:r>
              <w:rPr>
                <w:rFonts w:hint="eastAsia" w:ascii="仿宋" w:hAnsi="仿宋" w:eastAsia="仿宋" w:cs="仿宋"/>
                <w:color w:val="auto"/>
                <w:highlight w:val="none"/>
              </w:rPr>
              <w:t>投标文件份数</w:t>
            </w:r>
          </w:p>
        </w:tc>
        <w:tc>
          <w:tcPr>
            <w:tcW w:w="6253" w:type="dxa"/>
            <w:vAlign w:val="center"/>
          </w:tcPr>
          <w:p>
            <w:pPr>
              <w:pStyle w:val="17"/>
              <w:spacing w:line="440" w:lineRule="exact"/>
              <w:rPr>
                <w:rFonts w:hint="eastAsia" w:ascii="仿宋" w:hAnsi="仿宋" w:eastAsia="仿宋" w:cs="仿宋"/>
                <w:color w:val="auto"/>
                <w:spacing w:val="-1"/>
                <w:highlight w:val="none"/>
                <w:lang w:eastAsia="zh-CN"/>
              </w:rPr>
            </w:pPr>
            <w:r>
              <w:rPr>
                <w:rFonts w:hint="eastAsia" w:ascii="仿宋" w:hAnsi="仿宋" w:eastAsia="仿宋" w:cs="仿宋"/>
                <w:color w:val="auto"/>
                <w:highlight w:val="none"/>
              </w:rPr>
              <w:t>正本：壹份，副本：</w:t>
            </w:r>
            <w:r>
              <w:rPr>
                <w:rFonts w:hint="eastAsia" w:ascii="仿宋" w:hAnsi="仿宋" w:eastAsia="仿宋" w:cs="仿宋"/>
                <w:color w:val="auto"/>
                <w:highlight w:val="none"/>
                <w:lang w:eastAsia="zh-CN"/>
              </w:rPr>
              <w:t>肆</w:t>
            </w:r>
            <w:r>
              <w:rPr>
                <w:rFonts w:hint="eastAsia" w:ascii="仿宋" w:hAnsi="仿宋" w:eastAsia="仿宋" w:cs="仿宋"/>
                <w:color w:val="auto"/>
                <w:highlight w:val="none"/>
              </w:rPr>
              <w:t>份。</w:t>
            </w:r>
            <w:r>
              <w:rPr>
                <w:rFonts w:hint="eastAsia" w:ascii="仿宋" w:hAnsi="仿宋" w:eastAsia="仿宋" w:cs="仿宋"/>
                <w:color w:val="auto"/>
                <w:highlight w:val="none"/>
                <w:lang w:eastAsia="zh-CN"/>
              </w:rPr>
              <w:t>电子版（格式为PDF版，以电子光盘</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lang w:eastAsia="zh-CN"/>
              </w:rPr>
              <w:t>U盘的形式提供1份）。副本可以是正本的复印件</w:t>
            </w:r>
            <w:r>
              <w:rPr>
                <w:rFonts w:hint="eastAsia" w:ascii="仿宋" w:hAnsi="仿宋" w:eastAsia="仿宋" w:cs="仿宋"/>
                <w:color w:val="auto"/>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3.7.3</w:t>
            </w:r>
          </w:p>
        </w:tc>
        <w:tc>
          <w:tcPr>
            <w:tcW w:w="1569"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装订要求</w:t>
            </w:r>
          </w:p>
        </w:tc>
        <w:tc>
          <w:tcPr>
            <w:tcW w:w="6253" w:type="dxa"/>
            <w:vAlign w:val="center"/>
          </w:tcPr>
          <w:p>
            <w:pPr>
              <w:pStyle w:val="17"/>
              <w:spacing w:line="240" w:lineRule="auto"/>
              <w:ind w:firstLine="228" w:firstLineChars="100"/>
              <w:rPr>
                <w:rFonts w:hint="eastAsia" w:ascii="仿宋" w:hAnsi="仿宋" w:eastAsia="仿宋" w:cs="仿宋"/>
                <w:color w:val="auto"/>
                <w:spacing w:val="-6"/>
                <w:highlight w:val="none"/>
                <w:lang w:eastAsia="zh-CN"/>
              </w:rPr>
            </w:pPr>
            <w:r>
              <w:rPr>
                <w:rFonts w:hint="eastAsia" w:ascii="仿宋" w:hAnsi="仿宋" w:eastAsia="仿宋" w:cs="仿宋"/>
                <w:color w:val="auto"/>
                <w:spacing w:val="-6"/>
                <w:highlight w:val="none"/>
                <w:lang w:eastAsia="zh-CN"/>
              </w:rPr>
              <w:sym w:font="Wingdings 2" w:char="00A3"/>
            </w:r>
            <w:r>
              <w:rPr>
                <w:rFonts w:hint="eastAsia" w:ascii="仿宋" w:hAnsi="仿宋" w:eastAsia="仿宋" w:cs="仿宋"/>
                <w:color w:val="auto"/>
                <w:spacing w:val="-6"/>
                <w:highlight w:val="none"/>
                <w:lang w:eastAsia="zh-CN"/>
              </w:rPr>
              <w:t>不分册装订</w:t>
            </w:r>
          </w:p>
          <w:p>
            <w:pPr>
              <w:pStyle w:val="17"/>
              <w:spacing w:line="240" w:lineRule="auto"/>
              <w:ind w:firstLine="228" w:firstLineChars="100"/>
              <w:rPr>
                <w:rFonts w:hint="default" w:ascii="仿宋" w:hAnsi="仿宋" w:eastAsia="仿宋" w:cs="仿宋"/>
                <w:color w:val="auto"/>
                <w:spacing w:val="-6"/>
                <w:highlight w:val="none"/>
                <w:lang w:val="en-US" w:eastAsia="zh-CN"/>
              </w:rPr>
            </w:pPr>
            <w:r>
              <w:rPr>
                <w:rFonts w:hint="eastAsia" w:ascii="仿宋" w:hAnsi="仿宋" w:eastAsia="仿宋" w:cs="仿宋"/>
                <w:color w:val="auto"/>
                <w:spacing w:val="-6"/>
                <w:highlight w:val="none"/>
                <w:lang w:eastAsia="zh-CN"/>
              </w:rPr>
              <w:sym w:font="Wingdings 2" w:char="0052"/>
            </w:r>
            <w:r>
              <w:rPr>
                <w:rFonts w:hint="eastAsia" w:ascii="仿宋" w:hAnsi="仿宋" w:eastAsia="仿宋" w:cs="仿宋"/>
                <w:color w:val="auto"/>
                <w:spacing w:val="-6"/>
                <w:highlight w:val="none"/>
                <w:lang w:eastAsia="zh-CN"/>
              </w:rPr>
              <w:t>分册装订，</w:t>
            </w:r>
            <w:r>
              <w:rPr>
                <w:rFonts w:hint="eastAsia" w:ascii="仿宋" w:hAnsi="仿宋" w:eastAsia="仿宋" w:cs="仿宋"/>
                <w:color w:val="auto"/>
                <w:spacing w:val="-6"/>
                <w:highlight w:val="none"/>
                <w:lang w:val="en-US" w:eastAsia="zh-CN"/>
              </w:rPr>
              <w:t>分为两册，商务部分一册，技术部分一册。</w:t>
            </w:r>
          </w:p>
          <w:p>
            <w:pPr>
              <w:pStyle w:val="17"/>
              <w:spacing w:line="240" w:lineRule="auto"/>
              <w:rPr>
                <w:rFonts w:hint="eastAsia" w:ascii="仿宋" w:hAnsi="仿宋" w:eastAsia="仿宋" w:cs="仿宋"/>
                <w:color w:val="auto"/>
                <w:spacing w:val="-6"/>
                <w:highlight w:val="none"/>
                <w:lang w:eastAsia="zh-CN"/>
              </w:rPr>
            </w:pPr>
            <w:r>
              <w:rPr>
                <w:rFonts w:hint="eastAsia" w:ascii="仿宋" w:hAnsi="仿宋" w:eastAsia="仿宋" w:cs="仿宋"/>
                <w:color w:val="auto"/>
                <w:spacing w:val="-6"/>
                <w:highlight w:val="none"/>
                <w:lang w:eastAsia="zh-CN"/>
              </w:rPr>
              <w:t>每份采用</w:t>
            </w:r>
            <w:r>
              <w:rPr>
                <w:rFonts w:hint="eastAsia" w:ascii="仿宋" w:hAnsi="仿宋" w:eastAsia="仿宋" w:cs="仿宋"/>
                <w:b/>
                <w:bCs/>
                <w:color w:val="auto"/>
                <w:spacing w:val="-6"/>
                <w:highlight w:val="none"/>
                <w:u w:val="single"/>
                <w:lang w:eastAsia="zh-CN"/>
              </w:rPr>
              <w:t xml:space="preserve"> 胶装 </w:t>
            </w:r>
            <w:r>
              <w:rPr>
                <w:rFonts w:hint="eastAsia" w:ascii="仿宋" w:hAnsi="仿宋" w:eastAsia="仿宋" w:cs="仿宋"/>
                <w:color w:val="auto"/>
                <w:spacing w:val="-6"/>
                <w:highlight w:val="none"/>
                <w:lang w:eastAsia="zh-CN"/>
              </w:rPr>
              <w:t>方式装订，装订应牢固、不易拆散和换页，不得采用活页装订。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6" w:hRule="atLeast"/>
          <w:jc w:val="center"/>
        </w:trPr>
        <w:tc>
          <w:tcPr>
            <w:tcW w:w="1060" w:type="dxa"/>
            <w:vAlign w:val="center"/>
          </w:tcPr>
          <w:p>
            <w:pPr>
              <w:pStyle w:val="17"/>
              <w:spacing w:line="440" w:lineRule="exact"/>
              <w:rPr>
                <w:rFonts w:hint="eastAsia" w:ascii="仿宋" w:hAnsi="仿宋" w:eastAsia="仿宋" w:cs="仿宋"/>
                <w:color w:val="auto"/>
                <w:spacing w:val="-3"/>
                <w:highlight w:val="none"/>
              </w:rPr>
            </w:pPr>
            <w:r>
              <w:rPr>
                <w:rFonts w:hint="eastAsia" w:ascii="仿宋" w:hAnsi="仿宋" w:eastAsia="仿宋" w:cs="仿宋"/>
                <w:color w:val="auto"/>
                <w:highlight w:val="none"/>
              </w:rPr>
              <w:t>4.1.</w:t>
            </w:r>
            <w:r>
              <w:rPr>
                <w:rFonts w:hint="eastAsia" w:ascii="仿宋" w:hAnsi="仿宋" w:eastAsia="仿宋" w:cs="仿宋"/>
                <w:color w:val="auto"/>
                <w:highlight w:val="none"/>
                <w:lang w:val="en-US" w:eastAsia="zh-CN"/>
              </w:rPr>
              <w:t>1</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3"/>
                <w:highlight w:val="none"/>
              </w:rPr>
            </w:pPr>
            <w:r>
              <w:rPr>
                <w:rFonts w:hint="eastAsia" w:ascii="仿宋" w:hAnsi="仿宋" w:eastAsia="仿宋" w:cs="仿宋"/>
                <w:color w:val="auto"/>
                <w:highlight w:val="none"/>
              </w:rPr>
              <w:t>封套上写明</w:t>
            </w:r>
          </w:p>
        </w:tc>
        <w:tc>
          <w:tcPr>
            <w:tcW w:w="6253" w:type="dxa"/>
            <w:vAlign w:val="center"/>
          </w:tcPr>
          <w:p>
            <w:pPr>
              <w:pStyle w:val="17"/>
              <w:spacing w:line="44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投标人名称：</w:t>
            </w:r>
          </w:p>
          <w:p>
            <w:pPr>
              <w:pStyle w:val="17"/>
              <w:spacing w:line="44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（项目名称）</w:t>
            </w:r>
            <w:r>
              <w:rPr>
                <w:rFonts w:hint="eastAsia" w:ascii="仿宋" w:hAnsi="仿宋" w:eastAsia="仿宋" w:cs="仿宋"/>
                <w:color w:val="auto"/>
                <w:spacing w:val="-101"/>
                <w:highlight w:val="none"/>
                <w:lang w:eastAsia="zh-CN"/>
              </w:rPr>
              <w:t xml:space="preserve"> </w:t>
            </w:r>
            <w:r>
              <w:rPr>
                <w:rFonts w:hint="eastAsia" w:ascii="仿宋" w:hAnsi="仿宋" w:eastAsia="仿宋" w:cs="仿宋"/>
                <w:color w:val="auto"/>
                <w:highlight w:val="none"/>
                <w:lang w:eastAsia="zh-CN"/>
              </w:rPr>
              <w:t>投标文件</w:t>
            </w:r>
          </w:p>
          <w:p>
            <w:pPr>
              <w:pStyle w:val="17"/>
              <w:spacing w:line="44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在年月日时分前不得开启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仿宋" w:hAnsi="仿宋" w:eastAsia="仿宋" w:cs="仿宋"/>
                <w:color w:val="auto"/>
                <w:highlight w:val="none"/>
                <w:lang w:eastAsia="zh-CN"/>
              </w:rPr>
              <w:t>1</w:t>
            </w:r>
            <w:r>
              <w:rPr>
                <w:rFonts w:hint="eastAsia" w:ascii="仿宋" w:hAnsi="仿宋" w:eastAsia="仿宋" w:cs="仿宋"/>
                <w:color w:val="auto"/>
                <w:highlight w:val="none"/>
              </w:rPr>
              <w:t>.2</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递交投标文件</w:t>
            </w:r>
            <w:r>
              <w:rPr>
                <w:rFonts w:hint="eastAsia" w:ascii="仿宋" w:hAnsi="仿宋" w:eastAsia="仿宋" w:cs="仿宋"/>
                <w:color w:val="auto"/>
                <w:spacing w:val="-5"/>
                <w:highlight w:val="none"/>
              </w:rPr>
              <w:t>地点</w:t>
            </w:r>
          </w:p>
        </w:tc>
        <w:tc>
          <w:tcPr>
            <w:tcW w:w="6253" w:type="dxa"/>
            <w:vAlign w:val="center"/>
          </w:tcPr>
          <w:p>
            <w:pPr>
              <w:pStyle w:val="17"/>
              <w:spacing w:line="440" w:lineRule="exact"/>
              <w:ind w:firstLine="0" w:firstLineChars="0"/>
              <w:rPr>
                <w:rFonts w:hint="default" w:ascii="仿宋" w:hAnsi="仿宋" w:eastAsia="仿宋" w:cs="仿宋"/>
                <w:color w:val="auto"/>
                <w:highlight w:val="none"/>
                <w:lang w:val="en-US" w:eastAsia="zh-CN"/>
              </w:rPr>
            </w:pPr>
            <w:r>
              <w:rPr>
                <w:rFonts w:hint="eastAsia" w:ascii="仿宋" w:hAnsi="仿宋" w:eastAsia="仿宋" w:cs="仿宋"/>
                <w:color w:val="auto"/>
                <w:spacing w:val="-7"/>
                <w:sz w:val="24"/>
                <w:szCs w:val="24"/>
                <w:highlight w:val="none"/>
                <w:lang w:eastAsia="zh-CN"/>
              </w:rPr>
              <w:t>儋州市公共资源交易服务中心（儋州市那大镇怡心花园小区）儋州开标室</w:t>
            </w:r>
            <w:r>
              <w:rPr>
                <w:rFonts w:hint="eastAsia" w:ascii="仿宋" w:hAnsi="仿宋" w:eastAsia="仿宋" w:cs="仿宋"/>
                <w:color w:val="auto"/>
                <w:spacing w:val="-7"/>
                <w:sz w:val="24"/>
                <w:szCs w:val="24"/>
                <w:highlight w:val="no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4.2.3</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是否退还投标文件</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rPr>
              <w:sym w:font="Wingdings 2" w:char="00A3"/>
            </w:r>
            <w:r>
              <w:rPr>
                <w:rFonts w:hint="eastAsia" w:ascii="仿宋" w:hAnsi="仿宋" w:eastAsia="仿宋" w:cs="仿宋"/>
                <w:color w:val="auto"/>
                <w:highlight w:val="none"/>
                <w:lang w:eastAsia="zh-CN"/>
              </w:rPr>
              <w:t xml:space="preserve">是   </w:t>
            </w:r>
          </w:p>
          <w:p>
            <w:pPr>
              <w:pStyle w:val="17"/>
              <w:spacing w:line="240" w:lineRule="auto"/>
              <w:rPr>
                <w:rFonts w:hint="eastAsia" w:ascii="仿宋" w:hAnsi="仿宋" w:eastAsia="仿宋" w:cs="仿宋"/>
                <w:color w:val="auto"/>
                <w:spacing w:val="-3"/>
                <w:highlight w:val="none"/>
              </w:rPr>
            </w:pPr>
            <w:r>
              <w:rPr>
                <w:rFonts w:hint="eastAsia" w:ascii="仿宋" w:hAnsi="仿宋" w:eastAsia="仿宋" w:cs="仿宋"/>
                <w:color w:val="auto"/>
                <w:highlight w:val="none"/>
                <w:lang w:eastAsia="zh-CN"/>
              </w:rPr>
              <w:sym w:font="Wingdings 2" w:char="0052"/>
            </w:r>
            <w:r>
              <w:rPr>
                <w:rFonts w:hint="eastAsia" w:ascii="仿宋" w:hAnsi="仿宋" w:eastAsia="仿宋" w:cs="仿宋"/>
                <w:color w:val="auto"/>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spacing w:val="-2"/>
                <w:highlight w:val="none"/>
              </w:rPr>
            </w:pPr>
            <w:r>
              <w:rPr>
                <w:rFonts w:hint="eastAsia" w:ascii="仿宋" w:hAnsi="仿宋" w:eastAsia="仿宋" w:cs="仿宋"/>
                <w:color w:val="auto"/>
                <w:highlight w:val="none"/>
              </w:rPr>
              <w:t>5.1</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开启时间和地点</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开启时间：同投标截止时间</w:t>
            </w:r>
          </w:p>
          <w:p>
            <w:pPr>
              <w:pStyle w:val="17"/>
              <w:spacing w:line="240" w:lineRule="auto"/>
              <w:rPr>
                <w:rFonts w:hint="eastAsia" w:ascii="仿宋" w:hAnsi="仿宋" w:eastAsia="仿宋" w:cs="仿宋"/>
                <w:color w:val="auto"/>
                <w:spacing w:val="-17"/>
                <w:highlight w:val="none"/>
                <w:lang w:eastAsia="zh-CN"/>
              </w:rPr>
            </w:pPr>
            <w:r>
              <w:rPr>
                <w:rFonts w:hint="eastAsia" w:ascii="仿宋" w:hAnsi="仿宋" w:eastAsia="仿宋" w:cs="仿宋"/>
                <w:color w:val="auto"/>
                <w:highlight w:val="none"/>
                <w:lang w:eastAsia="zh-CN"/>
              </w:rPr>
              <w:t>开启地点：同递交投标文件地点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spacing w:val="-5"/>
                <w:highlight w:val="none"/>
              </w:rPr>
            </w:pPr>
            <w:r>
              <w:rPr>
                <w:rFonts w:hint="eastAsia" w:ascii="仿宋" w:hAnsi="仿宋" w:eastAsia="仿宋" w:cs="仿宋"/>
                <w:color w:val="auto"/>
                <w:highlight w:val="none"/>
              </w:rPr>
              <w:t>5.2.1</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2"/>
                <w:highlight w:val="none"/>
              </w:rPr>
            </w:pPr>
            <w:r>
              <w:rPr>
                <w:rFonts w:hint="eastAsia" w:ascii="仿宋" w:hAnsi="仿宋" w:eastAsia="仿宋" w:cs="仿宋"/>
                <w:color w:val="auto"/>
                <w:highlight w:val="none"/>
              </w:rPr>
              <w:t>开启程序</w:t>
            </w:r>
          </w:p>
        </w:tc>
        <w:tc>
          <w:tcPr>
            <w:tcW w:w="6253" w:type="dxa"/>
            <w:vAlign w:val="center"/>
          </w:tcPr>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密封检查：由投标人代表检查投标文件的密封情况；</w:t>
            </w:r>
          </w:p>
          <w:p>
            <w:pPr>
              <w:pStyle w:val="17"/>
              <w:spacing w:line="24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开启顺序：按投标文件递交的顺序开启；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highlight w:val="none"/>
              </w:rPr>
            </w:pPr>
            <w:r>
              <w:rPr>
                <w:rFonts w:hint="eastAsia" w:ascii="仿宋" w:hAnsi="仿宋" w:eastAsia="仿宋" w:cs="仿宋"/>
                <w:color w:val="auto"/>
                <w:highlight w:val="none"/>
              </w:rPr>
              <w:t>6.1.1</w:t>
            </w:r>
          </w:p>
        </w:tc>
        <w:tc>
          <w:tcPr>
            <w:tcW w:w="1569" w:type="dxa"/>
            <w:vAlign w:val="center"/>
          </w:tcPr>
          <w:p>
            <w:pPr>
              <w:pStyle w:val="17"/>
              <w:spacing w:line="440" w:lineRule="exact"/>
              <w:ind w:firstLine="0" w:firstLineChars="0"/>
              <w:jc w:val="center"/>
              <w:rPr>
                <w:rFonts w:hint="eastAsia" w:ascii="仿宋" w:hAnsi="仿宋" w:eastAsia="仿宋" w:cs="仿宋"/>
                <w:color w:val="auto"/>
                <w:spacing w:val="-3"/>
                <w:highlight w:val="none"/>
              </w:rPr>
            </w:pPr>
            <w:r>
              <w:rPr>
                <w:rFonts w:hint="eastAsia" w:ascii="仿宋" w:hAnsi="仿宋" w:eastAsia="仿宋" w:cs="仿宋"/>
                <w:color w:val="auto"/>
                <w:highlight w:val="none"/>
              </w:rPr>
              <w:t>评审委员会的</w:t>
            </w:r>
            <w:r>
              <w:rPr>
                <w:rFonts w:hint="eastAsia" w:ascii="仿宋" w:hAnsi="仿宋" w:eastAsia="仿宋" w:cs="仿宋"/>
                <w:color w:val="auto"/>
                <w:spacing w:val="-7"/>
                <w:highlight w:val="none"/>
              </w:rPr>
              <w:t>组建</w:t>
            </w:r>
          </w:p>
        </w:tc>
        <w:tc>
          <w:tcPr>
            <w:tcW w:w="6253" w:type="dxa"/>
            <w:vAlign w:val="center"/>
          </w:tcPr>
          <w:p>
            <w:pPr>
              <w:pStyle w:val="17"/>
              <w:spacing w:line="440" w:lineRule="exact"/>
              <w:rPr>
                <w:rFonts w:hint="eastAsia" w:ascii="仿宋" w:hAnsi="仿宋" w:eastAsia="仿宋" w:cs="仿宋"/>
                <w:color w:val="auto"/>
                <w:spacing w:val="-1"/>
                <w:highlight w:val="none"/>
                <w:lang w:eastAsia="zh-CN"/>
              </w:rPr>
            </w:pPr>
            <w:r>
              <w:rPr>
                <w:rFonts w:hint="eastAsia" w:ascii="仿宋" w:hAnsi="仿宋" w:eastAsia="仿宋" w:cs="仿宋"/>
                <w:color w:val="auto"/>
                <w:spacing w:val="-1"/>
                <w:highlight w:val="none"/>
                <w:lang w:val="zh-TW" w:eastAsia="zh-CN"/>
              </w:rPr>
              <w:t>由</w:t>
            </w:r>
            <w:r>
              <w:rPr>
                <w:rFonts w:hint="eastAsia" w:ascii="仿宋" w:hAnsi="仿宋" w:eastAsia="仿宋" w:cs="仿宋"/>
                <w:color w:val="auto"/>
                <w:spacing w:val="-1"/>
                <w:highlight w:val="none"/>
                <w:lang w:val="en-US" w:eastAsia="zh-CN"/>
              </w:rPr>
              <w:t>7名</w:t>
            </w:r>
            <w:r>
              <w:rPr>
                <w:rFonts w:hint="eastAsia" w:ascii="仿宋" w:hAnsi="仿宋" w:eastAsia="仿宋" w:cs="仿宋"/>
                <w:color w:val="auto"/>
                <w:spacing w:val="-1"/>
                <w:highlight w:val="none"/>
                <w:lang w:val="zh-TW" w:eastAsia="zh-CN"/>
              </w:rPr>
              <w:t>相关专业的专家组成，其中业主代表</w:t>
            </w:r>
            <w:r>
              <w:rPr>
                <w:rFonts w:hint="eastAsia" w:ascii="仿宋" w:hAnsi="仿宋" w:eastAsia="仿宋" w:cs="仿宋"/>
                <w:color w:val="auto"/>
                <w:spacing w:val="-1"/>
                <w:highlight w:val="none"/>
                <w:lang w:val="en-US" w:eastAsia="zh-CN"/>
              </w:rPr>
              <w:t>2</w:t>
            </w:r>
            <w:r>
              <w:rPr>
                <w:rFonts w:hint="eastAsia" w:ascii="仿宋" w:hAnsi="仿宋" w:eastAsia="仿宋" w:cs="仿宋"/>
                <w:color w:val="auto"/>
                <w:spacing w:val="-1"/>
                <w:highlight w:val="none"/>
                <w:lang w:val="zh-TW" w:eastAsia="zh-CN"/>
              </w:rPr>
              <w:t>人，其余</w:t>
            </w:r>
            <w:r>
              <w:rPr>
                <w:rFonts w:hint="eastAsia" w:ascii="仿宋" w:hAnsi="仿宋" w:eastAsia="仿宋" w:cs="仿宋"/>
                <w:color w:val="auto"/>
                <w:spacing w:val="-1"/>
                <w:highlight w:val="none"/>
                <w:lang w:val="en-US" w:eastAsia="zh-CN"/>
              </w:rPr>
              <w:t>5人</w:t>
            </w:r>
            <w:r>
              <w:rPr>
                <w:rFonts w:hint="eastAsia" w:ascii="仿宋" w:hAnsi="仿宋" w:eastAsia="仿宋" w:cs="仿宋"/>
                <w:color w:val="auto"/>
                <w:spacing w:val="-1"/>
                <w:highlight w:val="none"/>
                <w:lang w:val="zh-TW" w:eastAsia="zh-CN"/>
              </w:rPr>
              <w:t>从海南省综合评标专家库中随机抽取。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eastAsia" w:ascii="仿宋" w:hAnsi="仿宋" w:eastAsia="仿宋" w:cs="仿宋"/>
                <w:color w:val="auto"/>
                <w:spacing w:val="-3"/>
                <w:highlight w:val="none"/>
              </w:rPr>
            </w:pPr>
            <w:r>
              <w:rPr>
                <w:rFonts w:hint="eastAsia" w:ascii="仿宋" w:hAnsi="仿宋" w:eastAsia="仿宋" w:cs="仿宋"/>
                <w:color w:val="auto"/>
                <w:highlight w:val="none"/>
              </w:rPr>
              <w:t>7.1</w:t>
            </w:r>
          </w:p>
        </w:tc>
        <w:tc>
          <w:tcPr>
            <w:tcW w:w="1569" w:type="dxa"/>
            <w:vAlign w:val="center"/>
          </w:tcPr>
          <w:p>
            <w:pPr>
              <w:pStyle w:val="17"/>
              <w:spacing w:line="440" w:lineRule="exact"/>
              <w:ind w:firstLine="0" w:firstLineChars="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是否授权评审委</w:t>
            </w:r>
            <w:r>
              <w:rPr>
                <w:rFonts w:hint="eastAsia" w:ascii="仿宋" w:hAnsi="仿宋" w:eastAsia="仿宋" w:cs="仿宋"/>
                <w:color w:val="auto"/>
                <w:spacing w:val="-3"/>
                <w:highlight w:val="none"/>
                <w:lang w:eastAsia="zh-CN"/>
              </w:rPr>
              <w:t>员会确定中标人</w:t>
            </w:r>
          </w:p>
        </w:tc>
        <w:tc>
          <w:tcPr>
            <w:tcW w:w="6253" w:type="dxa"/>
            <w:vAlign w:val="center"/>
          </w:tcPr>
          <w:p>
            <w:pPr>
              <w:pStyle w:val="17"/>
              <w:spacing w:line="440" w:lineRule="exact"/>
              <w:rPr>
                <w:rFonts w:hint="eastAsia" w:ascii="仿宋" w:hAnsi="仿宋" w:eastAsia="仿宋" w:cs="仿宋"/>
                <w:color w:val="auto"/>
                <w:spacing w:val="-5"/>
                <w:highlight w:val="none"/>
                <w:lang w:eastAsia="zh-CN"/>
              </w:rPr>
            </w:pPr>
            <w:r>
              <w:rPr>
                <w:rFonts w:hint="eastAsia" w:ascii="仿宋" w:hAnsi="仿宋" w:eastAsia="仿宋" w:cs="仿宋"/>
                <w:color w:val="auto"/>
                <w:highlight w:val="none"/>
                <w:lang w:eastAsia="zh-CN"/>
              </w:rPr>
              <w:t>■否，推荐的中标候选人数不超过</w:t>
            </w:r>
            <w:r>
              <w:rPr>
                <w:rFonts w:hint="eastAsia" w:ascii="仿宋" w:hAnsi="仿宋" w:eastAsia="仿宋" w:cs="仿宋"/>
                <w:color w:val="auto"/>
                <w:spacing w:val="-36"/>
                <w:highlight w:val="none"/>
                <w:lang w:eastAsia="zh-CN"/>
              </w:rPr>
              <w:t xml:space="preserve"> </w:t>
            </w:r>
            <w:r>
              <w:rPr>
                <w:rFonts w:hint="eastAsia" w:ascii="仿宋" w:hAnsi="仿宋" w:eastAsia="仿宋" w:cs="仿宋"/>
                <w:color w:val="auto"/>
                <w:highlight w:val="none"/>
                <w:u w:val="single"/>
                <w:lang w:eastAsia="zh-CN"/>
              </w:rPr>
              <w:t>3</w:t>
            </w:r>
            <w:r>
              <w:rPr>
                <w:rFonts w:hint="eastAsia" w:ascii="仿宋" w:hAnsi="仿宋" w:eastAsia="仿宋" w:cs="仿宋"/>
                <w:color w:val="auto"/>
                <w:spacing w:val="-47"/>
                <w:highlight w:val="none"/>
                <w:u w:val="single"/>
                <w:lang w:eastAsia="zh-CN"/>
              </w:rPr>
              <w:t xml:space="preserve"> </w:t>
            </w:r>
            <w:r>
              <w:rPr>
                <w:rFonts w:hint="eastAsia" w:ascii="仿宋" w:hAnsi="仿宋" w:eastAsia="仿宋" w:cs="仿宋"/>
                <w:color w:val="auto"/>
                <w:highlight w:val="none"/>
                <w:lang w:eastAsia="zh-CN"/>
              </w:rPr>
              <w:t>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jc w:val="center"/>
        </w:trPr>
        <w:tc>
          <w:tcPr>
            <w:tcW w:w="1060" w:type="dxa"/>
            <w:vAlign w:val="center"/>
          </w:tcPr>
          <w:p>
            <w:pPr>
              <w:pStyle w:val="17"/>
              <w:spacing w:line="440" w:lineRule="exact"/>
              <w:ind w:firstLine="0" w:firstLineChars="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8</w:t>
            </w:r>
          </w:p>
        </w:tc>
        <w:tc>
          <w:tcPr>
            <w:tcW w:w="1569" w:type="dxa"/>
            <w:vAlign w:val="center"/>
          </w:tcPr>
          <w:p>
            <w:pPr>
              <w:pStyle w:val="17"/>
              <w:spacing w:line="440" w:lineRule="exact"/>
              <w:rPr>
                <w:rFonts w:hint="eastAsia" w:ascii="仿宋" w:hAnsi="仿宋" w:eastAsia="仿宋" w:cs="仿宋"/>
                <w:color w:val="auto"/>
                <w:spacing w:val="-2"/>
                <w:highlight w:val="none"/>
                <w:lang w:eastAsia="zh-CN"/>
              </w:rPr>
            </w:pPr>
            <w:r>
              <w:rPr>
                <w:rFonts w:hint="eastAsia" w:ascii="仿宋" w:hAnsi="仿宋" w:eastAsia="仿宋" w:cs="仿宋"/>
                <w:color w:val="auto"/>
                <w:highlight w:val="none"/>
                <w:lang w:eastAsia="zh-CN"/>
              </w:rPr>
              <w:t>付款方式</w:t>
            </w:r>
          </w:p>
        </w:tc>
        <w:tc>
          <w:tcPr>
            <w:tcW w:w="6253" w:type="dxa"/>
            <w:vAlign w:val="center"/>
          </w:tcPr>
          <w:p>
            <w:pPr>
              <w:pStyle w:val="6"/>
              <w:rPr>
                <w:rFonts w:hint="eastAsia" w:ascii="仿宋" w:hAnsi="仿宋" w:eastAsia="仿宋" w:cs="仿宋"/>
                <w:color w:val="auto"/>
                <w:highlight w:val="none"/>
                <w:lang w:eastAsia="zh-CN"/>
              </w:rPr>
            </w:pPr>
            <w:r>
              <w:rPr>
                <w:rFonts w:hint="eastAsia" w:ascii="仿宋" w:hAnsi="仿宋" w:eastAsia="仿宋" w:cs="仿宋"/>
                <w:snapToGrid w:val="0"/>
                <w:color w:val="auto"/>
                <w:spacing w:val="-1"/>
                <w:sz w:val="24"/>
                <w:szCs w:val="24"/>
                <w:highlight w:val="none"/>
                <w:lang w:val="zh-TW" w:eastAsia="zh-CN" w:bidi="ar-SA"/>
              </w:rPr>
              <w:t>项目指标收入进入共管账户30日内，</w:t>
            </w:r>
            <w:r>
              <w:rPr>
                <w:rFonts w:hint="eastAsia" w:ascii="仿宋" w:hAnsi="仿宋" w:eastAsia="仿宋" w:cs="仿宋"/>
                <w:snapToGrid w:val="0"/>
                <w:color w:val="auto"/>
                <w:spacing w:val="-1"/>
                <w:sz w:val="24"/>
                <w:szCs w:val="24"/>
                <w:highlight w:val="none"/>
                <w:lang w:val="zh-TW" w:eastAsia="zh-TW" w:bidi="ar-SA"/>
              </w:rPr>
              <w:t>将</w:t>
            </w:r>
            <w:r>
              <w:rPr>
                <w:rFonts w:hint="eastAsia" w:ascii="仿宋" w:hAnsi="仿宋" w:eastAsia="仿宋" w:cs="仿宋"/>
                <w:snapToGrid w:val="0"/>
                <w:color w:val="auto"/>
                <w:spacing w:val="-1"/>
                <w:sz w:val="24"/>
                <w:szCs w:val="24"/>
                <w:highlight w:val="none"/>
                <w:lang w:val="en-US" w:eastAsia="zh-CN" w:bidi="ar-SA"/>
              </w:rPr>
              <w:t>投资成本一次性</w:t>
            </w:r>
            <w:r>
              <w:rPr>
                <w:rFonts w:hint="eastAsia" w:ascii="仿宋" w:hAnsi="仿宋" w:eastAsia="仿宋" w:cs="仿宋"/>
                <w:snapToGrid w:val="0"/>
                <w:color w:val="auto"/>
                <w:spacing w:val="-1"/>
                <w:sz w:val="24"/>
                <w:szCs w:val="24"/>
                <w:highlight w:val="none"/>
                <w:lang w:val="zh-TW" w:eastAsia="zh-TW" w:bidi="ar-SA"/>
              </w:rPr>
              <w:t>支付给</w:t>
            </w:r>
            <w:r>
              <w:rPr>
                <w:rFonts w:hint="eastAsia" w:ascii="仿宋" w:hAnsi="仿宋" w:eastAsia="仿宋" w:cs="仿宋"/>
                <w:color w:val="auto"/>
                <w:sz w:val="24"/>
                <w:szCs w:val="24"/>
                <w:highlight w:val="none"/>
                <w:lang w:eastAsia="zh-CN"/>
              </w:rPr>
              <w:t>社会资本投资主体</w:t>
            </w:r>
            <w:r>
              <w:rPr>
                <w:rFonts w:hint="eastAsia" w:ascii="仿宋" w:hAnsi="仿宋" w:eastAsia="仿宋" w:cs="仿宋"/>
                <w:snapToGrid w:val="0"/>
                <w:color w:val="auto"/>
                <w:spacing w:val="-1"/>
                <w:sz w:val="24"/>
                <w:szCs w:val="24"/>
                <w:highlight w:val="none"/>
                <w:lang w:val="zh-TW" w:eastAsia="zh-CN" w:bidi="ar-SA"/>
              </w:rPr>
              <w:t>，</w:t>
            </w:r>
            <w:r>
              <w:rPr>
                <w:rFonts w:hint="eastAsia" w:ascii="仿宋" w:hAnsi="仿宋" w:eastAsia="仿宋" w:cs="仿宋"/>
                <w:snapToGrid w:val="0"/>
                <w:color w:val="auto"/>
                <w:spacing w:val="-1"/>
                <w:sz w:val="24"/>
                <w:szCs w:val="24"/>
                <w:highlight w:val="none"/>
                <w:lang w:val="zh-TW" w:eastAsia="zh-TW" w:bidi="ar-SA"/>
              </w:rPr>
              <w:t>作为</w:t>
            </w:r>
            <w:r>
              <w:rPr>
                <w:rFonts w:hint="eastAsia" w:ascii="仿宋" w:hAnsi="仿宋" w:eastAsia="仿宋" w:cs="仿宋"/>
                <w:color w:val="auto"/>
                <w:sz w:val="24"/>
                <w:szCs w:val="24"/>
                <w:highlight w:val="none"/>
                <w:lang w:eastAsia="zh-CN"/>
              </w:rPr>
              <w:t>社会资本投资主体</w:t>
            </w:r>
            <w:r>
              <w:rPr>
                <w:rFonts w:hint="eastAsia" w:ascii="仿宋" w:hAnsi="仿宋" w:eastAsia="仿宋" w:cs="仿宋"/>
                <w:snapToGrid w:val="0"/>
                <w:color w:val="auto"/>
                <w:spacing w:val="-1"/>
                <w:sz w:val="24"/>
                <w:szCs w:val="24"/>
                <w:highlight w:val="none"/>
                <w:lang w:val="en-US" w:eastAsia="zh-CN" w:bidi="ar-SA"/>
              </w:rPr>
              <w:t>产业项目</w:t>
            </w:r>
            <w:r>
              <w:rPr>
                <w:rFonts w:hint="eastAsia" w:ascii="仿宋" w:hAnsi="仿宋" w:eastAsia="仿宋" w:cs="仿宋"/>
                <w:snapToGrid w:val="0"/>
                <w:color w:val="auto"/>
                <w:spacing w:val="-1"/>
                <w:sz w:val="24"/>
                <w:szCs w:val="24"/>
                <w:highlight w:val="none"/>
                <w:lang w:val="zh-TW" w:eastAsia="zh-TW" w:bidi="ar-SA"/>
              </w:rPr>
              <w:t>投资滚动开发的资金</w:t>
            </w:r>
            <w:r>
              <w:rPr>
                <w:rFonts w:hint="eastAsia" w:eastAsia="宋体"/>
                <w:color w:val="auto"/>
                <w:sz w:val="24"/>
                <w:highlight w:val="none"/>
                <w:lang w:val="zh-TW"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jc w:val="center"/>
        </w:trPr>
        <w:tc>
          <w:tcPr>
            <w:tcW w:w="1060" w:type="dxa"/>
            <w:vAlign w:val="center"/>
          </w:tcPr>
          <w:p>
            <w:pPr>
              <w:pStyle w:val="17"/>
              <w:spacing w:line="440" w:lineRule="exact"/>
              <w:ind w:firstLine="0" w:firstLineChars="0"/>
              <w:jc w:val="center"/>
              <w:rPr>
                <w:rFonts w:hint="eastAsia" w:ascii="仿宋" w:hAnsi="仿宋" w:eastAsia="仿宋" w:cs="仿宋"/>
                <w:color w:val="auto"/>
                <w:spacing w:val="-6"/>
                <w:highlight w:val="none"/>
              </w:rPr>
            </w:pPr>
            <w:r>
              <w:rPr>
                <w:rFonts w:hint="eastAsia" w:ascii="仿宋" w:hAnsi="仿宋" w:eastAsia="仿宋" w:cs="仿宋"/>
                <w:color w:val="auto"/>
                <w:highlight w:val="none"/>
              </w:rPr>
              <w:t>9</w:t>
            </w:r>
          </w:p>
        </w:tc>
        <w:tc>
          <w:tcPr>
            <w:tcW w:w="1569" w:type="dxa"/>
            <w:vAlign w:val="center"/>
          </w:tcPr>
          <w:p>
            <w:pPr>
              <w:pStyle w:val="17"/>
              <w:spacing w:line="440" w:lineRule="exact"/>
              <w:rPr>
                <w:rFonts w:hint="eastAsia" w:ascii="仿宋" w:hAnsi="仿宋" w:eastAsia="仿宋" w:cs="仿宋"/>
                <w:color w:val="auto"/>
                <w:spacing w:val="-2"/>
                <w:highlight w:val="none"/>
              </w:rPr>
            </w:pPr>
            <w:r>
              <w:rPr>
                <w:rFonts w:hint="eastAsia" w:ascii="仿宋" w:hAnsi="仿宋" w:eastAsia="仿宋" w:cs="仿宋"/>
                <w:color w:val="auto"/>
                <w:highlight w:val="none"/>
              </w:rPr>
              <w:t>监督部门</w:t>
            </w:r>
          </w:p>
        </w:tc>
        <w:tc>
          <w:tcPr>
            <w:tcW w:w="6253" w:type="dxa"/>
            <w:vAlign w:val="center"/>
          </w:tcPr>
          <w:p>
            <w:pPr>
              <w:pStyle w:val="17"/>
              <w:spacing w:line="440" w:lineRule="exact"/>
              <w:rPr>
                <w:rFonts w:hint="eastAsia" w:ascii="仿宋" w:hAnsi="仿宋" w:eastAsia="仿宋" w:cs="仿宋"/>
                <w:color w:val="auto"/>
                <w:highlight w:val="none"/>
              </w:rPr>
            </w:pPr>
            <w:r>
              <w:rPr>
                <w:rFonts w:ascii="仿宋" w:hAnsi="仿宋" w:eastAsia="仿宋" w:cs="仿宋"/>
                <w:color w:val="auto"/>
                <w:highlight w:val="none"/>
              </w:rPr>
              <w:t>儋州市自然资源和规划局。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1060" w:type="dxa"/>
            <w:vAlign w:val="center"/>
          </w:tcPr>
          <w:p>
            <w:pPr>
              <w:pStyle w:val="17"/>
              <w:spacing w:line="440" w:lineRule="exact"/>
              <w:ind w:firstLine="0" w:firstLineChars="0"/>
              <w:jc w:val="center"/>
              <w:rPr>
                <w:rFonts w:hint="eastAsia" w:ascii="仿宋" w:hAnsi="仿宋" w:eastAsia="仿宋" w:cs="仿宋"/>
                <w:color w:val="auto"/>
                <w:spacing w:val="-4"/>
                <w:highlight w:val="none"/>
              </w:rPr>
            </w:pPr>
            <w:r>
              <w:rPr>
                <w:rFonts w:hint="eastAsia" w:ascii="仿宋" w:hAnsi="仿宋" w:eastAsia="仿宋" w:cs="仿宋"/>
                <w:color w:val="auto"/>
                <w:highlight w:val="none"/>
              </w:rPr>
              <w:t>10</w:t>
            </w:r>
          </w:p>
        </w:tc>
        <w:tc>
          <w:tcPr>
            <w:tcW w:w="7822" w:type="dxa"/>
            <w:gridSpan w:val="2"/>
            <w:vAlign w:val="center"/>
          </w:tcPr>
          <w:p>
            <w:pPr>
              <w:pStyle w:val="17"/>
              <w:spacing w:line="440" w:lineRule="exact"/>
              <w:rPr>
                <w:rFonts w:hint="eastAsia" w:ascii="仿宋" w:hAnsi="仿宋" w:eastAsia="仿宋" w:cs="仿宋"/>
                <w:color w:val="auto"/>
                <w:spacing w:val="-1"/>
                <w:highlight w:val="none"/>
              </w:rPr>
            </w:pPr>
            <w:r>
              <w:rPr>
                <w:rFonts w:hint="eastAsia" w:ascii="仿宋" w:hAnsi="仿宋" w:eastAsia="仿宋" w:cs="仿宋"/>
                <w:color w:val="auto"/>
                <w:highlight w:val="none"/>
              </w:rPr>
              <w:t>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060" w:type="dxa"/>
            <w:vAlign w:val="center"/>
          </w:tcPr>
          <w:p>
            <w:pPr>
              <w:pStyle w:val="17"/>
              <w:spacing w:line="440" w:lineRule="exact"/>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10.1</w:t>
            </w:r>
          </w:p>
        </w:tc>
        <w:tc>
          <w:tcPr>
            <w:tcW w:w="7822" w:type="dxa"/>
            <w:gridSpan w:val="2"/>
            <w:vAlign w:val="center"/>
          </w:tcPr>
          <w:p>
            <w:pPr>
              <w:pStyle w:val="17"/>
              <w:autoSpaceDE/>
              <w:autoSpaceDN/>
              <w:spacing w:line="400" w:lineRule="exact"/>
              <w:rPr>
                <w:rFonts w:hint="default" w:ascii="仿宋" w:hAnsi="仿宋" w:eastAsia="仿宋" w:cs="仿宋"/>
                <w:color w:val="auto"/>
                <w:spacing w:val="0"/>
                <w:highlight w:val="none"/>
                <w:lang w:eastAsia="zh-CN"/>
              </w:rPr>
            </w:pPr>
            <w:r>
              <w:rPr>
                <w:rFonts w:ascii="仿宋" w:hAnsi="仿宋" w:eastAsia="仿宋" w:cs="仿宋"/>
                <w:snapToGrid w:val="0"/>
                <w:color w:val="auto"/>
                <w:sz w:val="24"/>
                <w:szCs w:val="24"/>
                <w:highlight w:val="none"/>
                <w:lang w:val="en-US" w:eastAsia="en-US" w:bidi="ar-SA"/>
              </w:rPr>
              <w:t>投标人提供的实施方案不得超过500页，否则由评标委员会在评审中予以扣分。</w:t>
            </w:r>
          </w:p>
        </w:tc>
      </w:tr>
    </w:tbl>
    <w:p>
      <w:pPr>
        <w:pStyle w:val="4"/>
        <w:spacing w:line="240" w:lineRule="auto"/>
        <w:rPr>
          <w:rFonts w:hint="eastAsia" w:ascii="仿宋" w:hAnsi="仿宋" w:eastAsia="仿宋" w:cs="仿宋"/>
          <w:color w:val="auto"/>
          <w:highlight w:val="none"/>
          <w:lang w:eastAsia="zh-CN"/>
        </w:rPr>
      </w:pPr>
      <w:bookmarkStart w:id="94" w:name="_Toc18389"/>
      <w:bookmarkStart w:id="95" w:name="_Toc11372"/>
      <w:bookmarkStart w:id="96" w:name="_Toc13597"/>
      <w:bookmarkStart w:id="97" w:name="_Toc11849"/>
      <w:bookmarkStart w:id="98" w:name="_Toc4810"/>
      <w:bookmarkStart w:id="99" w:name="_Toc15727"/>
      <w:bookmarkStart w:id="100" w:name="_Toc12947"/>
      <w:r>
        <w:rPr>
          <w:rFonts w:hint="eastAsia" w:ascii="仿宋" w:hAnsi="仿宋" w:eastAsia="仿宋" w:cs="仿宋"/>
          <w:color w:val="auto"/>
          <w:highlight w:val="none"/>
          <w:lang w:eastAsia="zh-CN"/>
        </w:rPr>
        <w:t>1. 总则</w:t>
      </w:r>
      <w:bookmarkEnd w:id="94"/>
      <w:bookmarkEnd w:id="95"/>
      <w:bookmarkEnd w:id="96"/>
      <w:bookmarkEnd w:id="97"/>
      <w:bookmarkEnd w:id="98"/>
      <w:bookmarkEnd w:id="99"/>
      <w:bookmarkEnd w:id="100"/>
    </w:p>
    <w:p>
      <w:pPr>
        <w:spacing w:before="115" w:line="440" w:lineRule="exact"/>
        <w:ind w:firstLine="255" w:firstLineChars="112"/>
        <w:outlineLvl w:val="2"/>
        <w:rPr>
          <w:rFonts w:hint="eastAsia" w:ascii="仿宋" w:hAnsi="仿宋" w:eastAsia="仿宋" w:cs="仿宋"/>
          <w:color w:val="auto"/>
          <w:sz w:val="24"/>
          <w:szCs w:val="24"/>
          <w:highlight w:val="none"/>
          <w:lang w:eastAsia="zh-CN"/>
        </w:rPr>
      </w:pPr>
      <w:bookmarkStart w:id="101" w:name="_Toc6657"/>
      <w:bookmarkStart w:id="102" w:name="_Toc20487"/>
      <w:bookmarkStart w:id="103" w:name="_Toc1484"/>
      <w:bookmarkStart w:id="104" w:name="_Toc15343"/>
      <w:bookmarkStart w:id="105" w:name="_Toc20340"/>
      <w:bookmarkStart w:id="106" w:name="_Toc2687"/>
      <w:bookmarkStart w:id="107" w:name="_Toc29276"/>
      <w:r>
        <w:rPr>
          <w:rFonts w:hint="eastAsia" w:ascii="仿宋" w:hAnsi="仿宋" w:eastAsia="仿宋" w:cs="仿宋"/>
          <w:color w:val="auto"/>
          <w:spacing w:val="-6"/>
          <w:sz w:val="24"/>
          <w:szCs w:val="24"/>
          <w:highlight w:val="none"/>
          <w:lang w:eastAsia="zh-CN"/>
          <w14:textOutline w14:w="4356" w14:cap="sq" w14:cmpd="sng" w14:algn="ctr">
            <w14:solidFill>
              <w14:srgbClr w14:val="000000"/>
            </w14:solidFill>
            <w14:prstDash w14:val="solid"/>
            <w14:bevel/>
          </w14:textOutline>
        </w:rPr>
        <w:t>1.1</w:t>
      </w:r>
      <w:r>
        <w:rPr>
          <w:rFonts w:hint="eastAsia" w:ascii="仿宋" w:hAnsi="仿宋" w:eastAsia="仿宋" w:cs="仿宋"/>
          <w:color w:val="auto"/>
          <w:spacing w:val="21"/>
          <w:sz w:val="24"/>
          <w:szCs w:val="24"/>
          <w:highlight w:val="none"/>
          <w:lang w:eastAsia="zh-CN"/>
        </w:rPr>
        <w:t xml:space="preserve"> </w:t>
      </w:r>
      <w:r>
        <w:rPr>
          <w:rFonts w:hint="eastAsia" w:ascii="仿宋" w:hAnsi="仿宋" w:eastAsia="仿宋" w:cs="仿宋"/>
          <w:color w:val="auto"/>
          <w:spacing w:val="-6"/>
          <w:sz w:val="24"/>
          <w:szCs w:val="24"/>
          <w:highlight w:val="none"/>
          <w:lang w:eastAsia="zh-CN"/>
          <w14:textOutline w14:w="4356" w14:cap="sq" w14:cmpd="sng" w14:algn="ctr">
            <w14:solidFill>
              <w14:srgbClr w14:val="000000"/>
            </w14:solidFill>
            <w14:prstDash w14:val="solid"/>
            <w14:bevel/>
          </w14:textOutline>
        </w:rPr>
        <w:t>项目概况</w:t>
      </w:r>
      <w:bookmarkEnd w:id="101"/>
      <w:bookmarkEnd w:id="102"/>
      <w:bookmarkEnd w:id="103"/>
      <w:bookmarkEnd w:id="104"/>
      <w:bookmarkEnd w:id="105"/>
      <w:bookmarkEnd w:id="106"/>
      <w:bookmarkEnd w:id="107"/>
    </w:p>
    <w:p>
      <w:pPr>
        <w:spacing w:before="112"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1.1.1 根据项目工作计划，按公开、公平、公正、择优的原则依法进行招标。</w:t>
      </w:r>
    </w:p>
    <w:p>
      <w:pPr>
        <w:spacing w:before="116"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1.1.2 本招标项目招标人：见投标人须知</w:t>
      </w:r>
      <w:r>
        <w:rPr>
          <w:rFonts w:hint="eastAsia" w:ascii="仿宋" w:hAnsi="仿宋" w:eastAsia="仿宋" w:cs="仿宋"/>
          <w:color w:val="auto"/>
          <w:spacing w:val="-2"/>
          <w:sz w:val="24"/>
          <w:szCs w:val="24"/>
          <w:highlight w:val="none"/>
          <w:lang w:eastAsia="zh-CN"/>
        </w:rPr>
        <w:t>前附表。</w:t>
      </w:r>
    </w:p>
    <w:p>
      <w:pPr>
        <w:spacing w:before="116"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1.1.3 本招标项目招标代理机构：见投标人须知前附表。</w:t>
      </w:r>
    </w:p>
    <w:p>
      <w:pPr>
        <w:spacing w:before="113"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1.1.4 本招标项目名称：见投标人须</w:t>
      </w:r>
      <w:r>
        <w:rPr>
          <w:rFonts w:hint="eastAsia" w:ascii="仿宋" w:hAnsi="仿宋" w:eastAsia="仿宋" w:cs="仿宋"/>
          <w:color w:val="auto"/>
          <w:spacing w:val="-2"/>
          <w:sz w:val="24"/>
          <w:szCs w:val="24"/>
          <w:highlight w:val="none"/>
          <w:lang w:eastAsia="zh-CN"/>
        </w:rPr>
        <w:t>知前附表。</w:t>
      </w:r>
    </w:p>
    <w:p>
      <w:pPr>
        <w:spacing w:before="116"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1.1.5 本招标项目建设地点：见投标人须知前</w:t>
      </w:r>
      <w:r>
        <w:rPr>
          <w:rFonts w:hint="eastAsia" w:ascii="仿宋" w:hAnsi="仿宋" w:eastAsia="仿宋" w:cs="仿宋"/>
          <w:color w:val="auto"/>
          <w:spacing w:val="-2"/>
          <w:sz w:val="24"/>
          <w:szCs w:val="24"/>
          <w:highlight w:val="none"/>
          <w:lang w:eastAsia="zh-CN"/>
        </w:rPr>
        <w:t>附表。</w:t>
      </w:r>
    </w:p>
    <w:p>
      <w:pPr>
        <w:spacing w:before="117" w:line="440" w:lineRule="exact"/>
        <w:ind w:firstLine="253" w:firstLineChars="112"/>
        <w:outlineLvl w:val="2"/>
        <w:rPr>
          <w:rFonts w:hint="eastAsia" w:ascii="仿宋" w:hAnsi="仿宋" w:eastAsia="仿宋" w:cs="仿宋"/>
          <w:color w:val="auto"/>
          <w:sz w:val="24"/>
          <w:szCs w:val="24"/>
          <w:highlight w:val="none"/>
          <w:lang w:eastAsia="zh-CN"/>
        </w:rPr>
      </w:pPr>
      <w:bookmarkStart w:id="108" w:name="_Toc2913"/>
      <w:bookmarkStart w:id="109" w:name="_Toc24276"/>
      <w:bookmarkStart w:id="110" w:name="_Toc15181"/>
      <w:bookmarkStart w:id="111" w:name="_Toc31759"/>
      <w:bookmarkStart w:id="112" w:name="_Toc2676"/>
      <w:bookmarkStart w:id="113" w:name="_Toc11252"/>
      <w:bookmarkStart w:id="114" w:name="_Toc19059"/>
      <w:r>
        <w:rPr>
          <w:rFonts w:hint="eastAsia" w:ascii="仿宋" w:hAnsi="仿宋" w:eastAsia="仿宋" w:cs="仿宋"/>
          <w:color w:val="auto"/>
          <w:spacing w:val="-7"/>
          <w:sz w:val="24"/>
          <w:szCs w:val="24"/>
          <w:highlight w:val="none"/>
          <w:lang w:eastAsia="zh-CN"/>
          <w14:textOutline w14:w="4356" w14:cap="sq" w14:cmpd="sng" w14:algn="ctr">
            <w14:solidFill>
              <w14:srgbClr w14:val="000000"/>
            </w14:solidFill>
            <w14:prstDash w14:val="solid"/>
            <w14:bevel/>
          </w14:textOutline>
        </w:rPr>
        <w:t>1.2</w:t>
      </w:r>
      <w:r>
        <w:rPr>
          <w:rFonts w:hint="eastAsia" w:ascii="仿宋" w:hAnsi="仿宋" w:eastAsia="仿宋" w:cs="仿宋"/>
          <w:color w:val="auto"/>
          <w:spacing w:val="28"/>
          <w:sz w:val="24"/>
          <w:szCs w:val="24"/>
          <w:highlight w:val="none"/>
          <w:lang w:eastAsia="zh-CN"/>
        </w:rPr>
        <w:t xml:space="preserve"> </w:t>
      </w:r>
      <w:r>
        <w:rPr>
          <w:rFonts w:hint="eastAsia" w:ascii="仿宋" w:hAnsi="仿宋" w:eastAsia="仿宋" w:cs="仿宋"/>
          <w:color w:val="auto"/>
          <w:spacing w:val="-7"/>
          <w:sz w:val="24"/>
          <w:szCs w:val="24"/>
          <w:highlight w:val="none"/>
          <w:lang w:eastAsia="zh-CN"/>
          <w14:textOutline w14:w="4356" w14:cap="sq" w14:cmpd="sng" w14:algn="ctr">
            <w14:solidFill>
              <w14:srgbClr w14:val="000000"/>
            </w14:solidFill>
            <w14:prstDash w14:val="solid"/>
            <w14:bevel/>
          </w14:textOutline>
        </w:rPr>
        <w:t>资金来源</w:t>
      </w:r>
      <w:bookmarkEnd w:id="108"/>
      <w:bookmarkEnd w:id="109"/>
      <w:bookmarkEnd w:id="110"/>
      <w:bookmarkEnd w:id="111"/>
      <w:bookmarkEnd w:id="112"/>
      <w:bookmarkEnd w:id="113"/>
      <w:bookmarkEnd w:id="114"/>
    </w:p>
    <w:p>
      <w:pPr>
        <w:spacing w:before="112"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本招标项目的资金来源：见投标人须知前附表。</w:t>
      </w:r>
    </w:p>
    <w:p>
      <w:pPr>
        <w:spacing w:before="117" w:line="440" w:lineRule="exact"/>
        <w:ind w:firstLine="266" w:firstLineChars="112"/>
        <w:outlineLvl w:val="2"/>
        <w:rPr>
          <w:rFonts w:hint="eastAsia" w:ascii="仿宋" w:hAnsi="仿宋" w:eastAsia="仿宋" w:cs="仿宋"/>
          <w:color w:val="auto"/>
          <w:sz w:val="24"/>
          <w:szCs w:val="24"/>
          <w:highlight w:val="none"/>
          <w:lang w:eastAsia="zh-CN"/>
        </w:rPr>
      </w:pPr>
      <w:bookmarkStart w:id="115" w:name="_Toc12385"/>
      <w:bookmarkStart w:id="116" w:name="_Toc25356"/>
      <w:bookmarkStart w:id="117" w:name="_Toc17857"/>
      <w:bookmarkStart w:id="118" w:name="_Toc25735"/>
      <w:bookmarkStart w:id="119" w:name="_Toc11587"/>
      <w:bookmarkStart w:id="120" w:name="_Toc8658"/>
      <w:bookmarkStart w:id="121" w:name="_Toc14175"/>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1.3</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招标范围、计划工期和质量要求</w:t>
      </w:r>
      <w:bookmarkEnd w:id="115"/>
      <w:bookmarkEnd w:id="116"/>
      <w:bookmarkEnd w:id="117"/>
      <w:bookmarkEnd w:id="118"/>
      <w:bookmarkEnd w:id="119"/>
      <w:bookmarkEnd w:id="120"/>
      <w:bookmarkEnd w:id="121"/>
    </w:p>
    <w:p>
      <w:pPr>
        <w:spacing w:before="114"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1.3.1 本次招标范围：见投标人须知前附表。</w:t>
      </w:r>
    </w:p>
    <w:p>
      <w:pPr>
        <w:spacing w:before="114"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1.3.2 本标段的质量要求：见投标人须知</w:t>
      </w:r>
      <w:r>
        <w:rPr>
          <w:rFonts w:hint="eastAsia" w:ascii="仿宋" w:hAnsi="仿宋" w:eastAsia="仿宋" w:cs="仿宋"/>
          <w:color w:val="auto"/>
          <w:spacing w:val="-2"/>
          <w:sz w:val="24"/>
          <w:szCs w:val="24"/>
          <w:highlight w:val="none"/>
          <w:lang w:eastAsia="zh-CN"/>
        </w:rPr>
        <w:t>前附表。</w:t>
      </w:r>
    </w:p>
    <w:p>
      <w:pPr>
        <w:spacing w:before="117" w:line="440" w:lineRule="exact"/>
        <w:ind w:firstLine="264" w:firstLineChars="112"/>
        <w:outlineLvl w:val="2"/>
        <w:rPr>
          <w:rFonts w:hint="eastAsia" w:ascii="仿宋" w:hAnsi="仿宋" w:eastAsia="仿宋" w:cs="仿宋"/>
          <w:color w:val="auto"/>
          <w:sz w:val="24"/>
          <w:szCs w:val="24"/>
          <w:highlight w:val="none"/>
          <w:lang w:eastAsia="zh-CN"/>
        </w:rPr>
      </w:pPr>
      <w:bookmarkStart w:id="122" w:name="_Toc2810"/>
      <w:bookmarkStart w:id="123" w:name="_Toc5632"/>
      <w:bookmarkStart w:id="124" w:name="_Toc5385"/>
      <w:bookmarkStart w:id="125" w:name="_Toc28156"/>
      <w:bookmarkStart w:id="126" w:name="_Toc31772"/>
      <w:bookmarkStart w:id="127" w:name="_Toc16658"/>
      <w:bookmarkStart w:id="128" w:name="_Toc11690"/>
      <w:r>
        <w:rPr>
          <w:rFonts w:hint="eastAsia" w:ascii="仿宋" w:hAnsi="仿宋" w:eastAsia="仿宋" w:cs="仿宋"/>
          <w:color w:val="auto"/>
          <w:spacing w:val="-2"/>
          <w:sz w:val="24"/>
          <w:szCs w:val="24"/>
          <w:highlight w:val="none"/>
          <w:lang w:eastAsia="zh-CN"/>
          <w14:textOutline w14:w="4356" w14:cap="sq" w14:cmpd="sng" w14:algn="ctr">
            <w14:solidFill>
              <w14:srgbClr w14:val="000000"/>
            </w14:solidFill>
            <w14:prstDash w14:val="solid"/>
            <w14:bevel/>
          </w14:textOutline>
        </w:rPr>
        <w:t>1.4</w:t>
      </w:r>
      <w:r>
        <w:rPr>
          <w:rFonts w:hint="eastAsia" w:ascii="仿宋" w:hAnsi="仿宋" w:eastAsia="仿宋" w:cs="仿宋"/>
          <w:color w:val="auto"/>
          <w:spacing w:val="-2"/>
          <w:sz w:val="24"/>
          <w:szCs w:val="24"/>
          <w:highlight w:val="none"/>
          <w:lang w:eastAsia="zh-CN"/>
        </w:rPr>
        <w:t xml:space="preserve"> </w:t>
      </w:r>
      <w:r>
        <w:rPr>
          <w:rFonts w:hint="eastAsia" w:ascii="仿宋" w:hAnsi="仿宋" w:eastAsia="仿宋" w:cs="仿宋"/>
          <w:color w:val="auto"/>
          <w:spacing w:val="-2"/>
          <w:sz w:val="24"/>
          <w:szCs w:val="24"/>
          <w:highlight w:val="none"/>
          <w:lang w:eastAsia="zh-CN"/>
          <w14:textOutline w14:w="4356" w14:cap="sq" w14:cmpd="sng" w14:algn="ctr">
            <w14:solidFill>
              <w14:srgbClr w14:val="000000"/>
            </w14:solidFill>
            <w14:prstDash w14:val="solid"/>
            <w14:bevel/>
          </w14:textOutline>
        </w:rPr>
        <w:t>投标人资格要求</w:t>
      </w:r>
      <w:bookmarkEnd w:id="122"/>
      <w:bookmarkEnd w:id="123"/>
      <w:bookmarkEnd w:id="124"/>
      <w:bookmarkEnd w:id="125"/>
      <w:bookmarkEnd w:id="126"/>
      <w:bookmarkEnd w:id="127"/>
      <w:bookmarkEnd w:id="128"/>
    </w:p>
    <w:p>
      <w:pPr>
        <w:spacing w:before="115"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见投标人须知前附表</w:t>
      </w:r>
    </w:p>
    <w:p>
      <w:pPr>
        <w:spacing w:before="115" w:line="440" w:lineRule="exact"/>
        <w:ind w:firstLine="253" w:firstLineChars="112"/>
        <w:outlineLvl w:val="2"/>
        <w:rPr>
          <w:rFonts w:hint="eastAsia" w:ascii="仿宋" w:hAnsi="仿宋" w:eastAsia="仿宋" w:cs="仿宋"/>
          <w:color w:val="auto"/>
          <w:sz w:val="24"/>
          <w:szCs w:val="24"/>
          <w:highlight w:val="none"/>
          <w:lang w:eastAsia="zh-CN"/>
        </w:rPr>
      </w:pPr>
      <w:bookmarkStart w:id="129" w:name="_Toc5334"/>
      <w:bookmarkStart w:id="130" w:name="_Toc17374"/>
      <w:bookmarkStart w:id="131" w:name="_Toc10475"/>
      <w:bookmarkStart w:id="132" w:name="_Toc24262"/>
      <w:bookmarkStart w:id="133" w:name="_Toc29985"/>
      <w:bookmarkStart w:id="134" w:name="_Toc21647"/>
      <w:bookmarkStart w:id="135" w:name="_Toc20544"/>
      <w:r>
        <w:rPr>
          <w:rFonts w:hint="eastAsia" w:ascii="仿宋" w:hAnsi="仿宋" w:eastAsia="仿宋" w:cs="仿宋"/>
          <w:color w:val="auto"/>
          <w:spacing w:val="-7"/>
          <w:sz w:val="24"/>
          <w:szCs w:val="24"/>
          <w:highlight w:val="none"/>
          <w:lang w:eastAsia="zh-CN"/>
          <w14:textOutline w14:w="4356" w14:cap="sq" w14:cmpd="sng" w14:algn="ctr">
            <w14:solidFill>
              <w14:srgbClr w14:val="000000"/>
            </w14:solidFill>
            <w14:prstDash w14:val="solid"/>
            <w14:bevel/>
          </w14:textOutline>
        </w:rPr>
        <w:t>1.5</w:t>
      </w:r>
      <w:r>
        <w:rPr>
          <w:rFonts w:hint="eastAsia" w:ascii="仿宋" w:hAnsi="仿宋" w:eastAsia="仿宋" w:cs="仿宋"/>
          <w:color w:val="auto"/>
          <w:spacing w:val="28"/>
          <w:sz w:val="24"/>
          <w:szCs w:val="24"/>
          <w:highlight w:val="none"/>
          <w:lang w:eastAsia="zh-CN"/>
        </w:rPr>
        <w:t xml:space="preserve"> </w:t>
      </w:r>
      <w:r>
        <w:rPr>
          <w:rFonts w:hint="eastAsia" w:ascii="仿宋" w:hAnsi="仿宋" w:eastAsia="仿宋" w:cs="仿宋"/>
          <w:color w:val="auto"/>
          <w:spacing w:val="-7"/>
          <w:sz w:val="24"/>
          <w:szCs w:val="24"/>
          <w:highlight w:val="none"/>
          <w:lang w:eastAsia="zh-CN"/>
          <w14:textOutline w14:w="4356" w14:cap="sq" w14:cmpd="sng" w14:algn="ctr">
            <w14:solidFill>
              <w14:srgbClr w14:val="000000"/>
            </w14:solidFill>
            <w14:prstDash w14:val="solid"/>
            <w14:bevel/>
          </w14:textOutline>
        </w:rPr>
        <w:t>费用承担</w:t>
      </w:r>
      <w:bookmarkEnd w:id="129"/>
      <w:bookmarkEnd w:id="130"/>
      <w:bookmarkEnd w:id="131"/>
      <w:bookmarkEnd w:id="132"/>
      <w:bookmarkEnd w:id="133"/>
      <w:bookmarkEnd w:id="134"/>
      <w:bookmarkEnd w:id="135"/>
    </w:p>
    <w:p>
      <w:pPr>
        <w:spacing w:before="115"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投标人投标活动发生的费用自理。</w:t>
      </w:r>
    </w:p>
    <w:p>
      <w:pPr>
        <w:spacing w:before="115" w:line="440" w:lineRule="exact"/>
        <w:ind w:firstLine="250" w:firstLineChars="112"/>
        <w:outlineLvl w:val="2"/>
        <w:rPr>
          <w:rFonts w:hint="eastAsia" w:ascii="仿宋" w:hAnsi="仿宋" w:eastAsia="仿宋" w:cs="仿宋"/>
          <w:color w:val="auto"/>
          <w:sz w:val="24"/>
          <w:szCs w:val="24"/>
          <w:highlight w:val="none"/>
          <w:lang w:eastAsia="zh-CN"/>
        </w:rPr>
      </w:pPr>
      <w:bookmarkStart w:id="136" w:name="_Toc13166"/>
      <w:bookmarkStart w:id="137" w:name="_Toc19855"/>
      <w:bookmarkStart w:id="138" w:name="_Toc22053"/>
      <w:bookmarkStart w:id="139" w:name="_Toc31132"/>
      <w:bookmarkStart w:id="140" w:name="_Toc16141"/>
      <w:bookmarkStart w:id="141" w:name="_Toc1256"/>
      <w:bookmarkStart w:id="142" w:name="_Toc10599"/>
      <w:r>
        <w:rPr>
          <w:rFonts w:hint="eastAsia" w:ascii="仿宋" w:hAnsi="仿宋" w:eastAsia="仿宋" w:cs="仿宋"/>
          <w:color w:val="auto"/>
          <w:spacing w:val="-8"/>
          <w:sz w:val="24"/>
          <w:szCs w:val="24"/>
          <w:highlight w:val="none"/>
          <w:lang w:eastAsia="zh-CN"/>
          <w14:textOutline w14:w="4356" w14:cap="sq" w14:cmpd="sng" w14:algn="ctr">
            <w14:solidFill>
              <w14:srgbClr w14:val="000000"/>
            </w14:solidFill>
            <w14:prstDash w14:val="solid"/>
            <w14:bevel/>
          </w14:textOutline>
        </w:rPr>
        <w:t>1.6</w:t>
      </w:r>
      <w:r>
        <w:rPr>
          <w:rFonts w:hint="eastAsia" w:ascii="仿宋" w:hAnsi="仿宋" w:eastAsia="仿宋" w:cs="仿宋"/>
          <w:color w:val="auto"/>
          <w:spacing w:val="16"/>
          <w:sz w:val="24"/>
          <w:szCs w:val="24"/>
          <w:highlight w:val="none"/>
          <w:lang w:eastAsia="zh-CN"/>
        </w:rPr>
        <w:t xml:space="preserve"> </w:t>
      </w:r>
      <w:r>
        <w:rPr>
          <w:rFonts w:hint="eastAsia" w:ascii="仿宋" w:hAnsi="仿宋" w:eastAsia="仿宋" w:cs="仿宋"/>
          <w:color w:val="auto"/>
          <w:spacing w:val="-8"/>
          <w:sz w:val="24"/>
          <w:szCs w:val="24"/>
          <w:highlight w:val="none"/>
          <w:lang w:eastAsia="zh-CN"/>
          <w14:textOutline w14:w="4356" w14:cap="sq" w14:cmpd="sng" w14:algn="ctr">
            <w14:solidFill>
              <w14:srgbClr w14:val="000000"/>
            </w14:solidFill>
            <w14:prstDash w14:val="solid"/>
            <w14:bevel/>
          </w14:textOutline>
        </w:rPr>
        <w:t>保密</w:t>
      </w:r>
      <w:bookmarkEnd w:id="136"/>
      <w:bookmarkEnd w:id="137"/>
      <w:bookmarkEnd w:id="138"/>
      <w:bookmarkEnd w:id="139"/>
      <w:bookmarkEnd w:id="140"/>
      <w:bookmarkEnd w:id="141"/>
      <w:bookmarkEnd w:id="142"/>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参与招标投标活动的各方应对招标文件和投标文件中的商业和技术等秘密保密，违者应对由此造成的后果承担法律责任。</w:t>
      </w:r>
    </w:p>
    <w:p>
      <w:pPr>
        <w:spacing w:before="116" w:line="440" w:lineRule="exact"/>
        <w:ind w:firstLine="257" w:firstLineChars="112"/>
        <w:outlineLvl w:val="2"/>
        <w:rPr>
          <w:rFonts w:hint="eastAsia" w:ascii="仿宋" w:hAnsi="仿宋" w:eastAsia="仿宋" w:cs="仿宋"/>
          <w:color w:val="auto"/>
          <w:sz w:val="24"/>
          <w:szCs w:val="24"/>
          <w:highlight w:val="none"/>
          <w:lang w:eastAsia="zh-CN"/>
        </w:rPr>
      </w:pPr>
      <w:bookmarkStart w:id="143" w:name="_Toc24145"/>
      <w:bookmarkStart w:id="144" w:name="_Toc9372"/>
      <w:bookmarkStart w:id="145" w:name="_Toc8656"/>
      <w:bookmarkStart w:id="146" w:name="_Toc26244"/>
      <w:bookmarkStart w:id="147" w:name="_Toc7266"/>
      <w:bookmarkStart w:id="148" w:name="_Toc5722"/>
      <w:bookmarkStart w:id="149" w:name="_Toc10131"/>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1.7</w:t>
      </w:r>
      <w:r>
        <w:rPr>
          <w:rFonts w:hint="eastAsia" w:ascii="仿宋" w:hAnsi="仿宋" w:eastAsia="仿宋" w:cs="仿宋"/>
          <w:color w:val="auto"/>
          <w:spacing w:val="14"/>
          <w:sz w:val="24"/>
          <w:szCs w:val="24"/>
          <w:highlight w:val="none"/>
          <w:lang w:eastAsia="zh-CN"/>
        </w:rPr>
        <w:t xml:space="preserve"> </w:t>
      </w:r>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语言文字</w:t>
      </w:r>
      <w:bookmarkEnd w:id="143"/>
      <w:bookmarkEnd w:id="144"/>
      <w:bookmarkEnd w:id="145"/>
      <w:bookmarkEnd w:id="146"/>
      <w:bookmarkEnd w:id="147"/>
      <w:bookmarkEnd w:id="148"/>
      <w:bookmarkEnd w:id="149"/>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除专用术语外，与招标投标有关的语言均使用中文。必要时专用术语应附有中文注释。</w:t>
      </w:r>
    </w:p>
    <w:p>
      <w:pPr>
        <w:spacing w:before="116" w:line="440" w:lineRule="exact"/>
        <w:ind w:firstLine="257" w:firstLineChars="112"/>
        <w:outlineLvl w:val="2"/>
        <w:rPr>
          <w:rFonts w:hint="eastAsia" w:ascii="仿宋" w:hAnsi="仿宋" w:eastAsia="仿宋" w:cs="仿宋"/>
          <w:color w:val="auto"/>
          <w:sz w:val="24"/>
          <w:szCs w:val="24"/>
          <w:highlight w:val="none"/>
          <w:lang w:eastAsia="zh-CN"/>
        </w:rPr>
      </w:pPr>
      <w:bookmarkStart w:id="150" w:name="_Toc10473"/>
      <w:bookmarkStart w:id="151" w:name="_Toc22551"/>
      <w:bookmarkStart w:id="152" w:name="_Toc5919"/>
      <w:bookmarkStart w:id="153" w:name="_Toc4195"/>
      <w:bookmarkStart w:id="154" w:name="_Toc9738"/>
      <w:bookmarkStart w:id="155" w:name="_Toc6436"/>
      <w:bookmarkStart w:id="156" w:name="_Toc24197"/>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1.8</w:t>
      </w:r>
      <w:r>
        <w:rPr>
          <w:rFonts w:hint="eastAsia" w:ascii="仿宋" w:hAnsi="仿宋" w:eastAsia="仿宋" w:cs="仿宋"/>
          <w:color w:val="auto"/>
          <w:spacing w:val="14"/>
          <w:sz w:val="24"/>
          <w:szCs w:val="24"/>
          <w:highlight w:val="none"/>
          <w:lang w:eastAsia="zh-CN"/>
        </w:rPr>
        <w:t xml:space="preserve"> </w:t>
      </w:r>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计量单位</w:t>
      </w:r>
      <w:bookmarkEnd w:id="150"/>
      <w:bookmarkEnd w:id="151"/>
      <w:bookmarkEnd w:id="152"/>
      <w:bookmarkEnd w:id="153"/>
      <w:bookmarkEnd w:id="154"/>
      <w:bookmarkEnd w:id="155"/>
      <w:bookmarkEnd w:id="156"/>
    </w:p>
    <w:p>
      <w:pPr>
        <w:spacing w:before="112"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所有计量均采用中华人民共和国法定计量单位。</w:t>
      </w:r>
    </w:p>
    <w:p>
      <w:pPr>
        <w:spacing w:before="117" w:line="440" w:lineRule="exact"/>
        <w:ind w:firstLine="257" w:firstLineChars="112"/>
        <w:outlineLvl w:val="2"/>
        <w:rPr>
          <w:rFonts w:hint="eastAsia" w:ascii="仿宋" w:hAnsi="仿宋" w:eastAsia="仿宋" w:cs="仿宋"/>
          <w:color w:val="auto"/>
          <w:sz w:val="24"/>
          <w:szCs w:val="24"/>
          <w:highlight w:val="none"/>
          <w:lang w:eastAsia="zh-CN"/>
        </w:rPr>
      </w:pPr>
      <w:bookmarkStart w:id="157" w:name="_Toc7026"/>
      <w:bookmarkStart w:id="158" w:name="_Toc5425"/>
      <w:bookmarkStart w:id="159" w:name="_Toc32352"/>
      <w:bookmarkStart w:id="160" w:name="_Toc10051"/>
      <w:bookmarkStart w:id="161" w:name="_Toc24914"/>
      <w:bookmarkStart w:id="162" w:name="_Toc11878"/>
      <w:bookmarkStart w:id="163" w:name="_Toc27466"/>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1.9</w:t>
      </w:r>
      <w:r>
        <w:rPr>
          <w:rFonts w:hint="eastAsia" w:ascii="仿宋" w:hAnsi="仿宋" w:eastAsia="仿宋" w:cs="仿宋"/>
          <w:color w:val="auto"/>
          <w:spacing w:val="14"/>
          <w:sz w:val="24"/>
          <w:szCs w:val="24"/>
          <w:highlight w:val="none"/>
          <w:lang w:eastAsia="zh-CN"/>
        </w:rPr>
        <w:t xml:space="preserve"> </w:t>
      </w:r>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踏勘现场</w:t>
      </w:r>
      <w:bookmarkEnd w:id="157"/>
      <w:bookmarkEnd w:id="158"/>
      <w:bookmarkEnd w:id="159"/>
      <w:bookmarkEnd w:id="160"/>
      <w:bookmarkEnd w:id="161"/>
      <w:bookmarkEnd w:id="162"/>
      <w:bookmarkEnd w:id="163"/>
    </w:p>
    <w:p>
      <w:pPr>
        <w:spacing w:before="116"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投标人自行踏勘。</w:t>
      </w:r>
    </w:p>
    <w:p>
      <w:pPr>
        <w:spacing w:before="113" w:line="440" w:lineRule="exact"/>
        <w:ind w:firstLine="264" w:firstLineChars="112"/>
        <w:outlineLvl w:val="2"/>
        <w:rPr>
          <w:rFonts w:hint="eastAsia" w:ascii="仿宋" w:hAnsi="仿宋" w:eastAsia="仿宋" w:cs="仿宋"/>
          <w:color w:val="auto"/>
          <w:sz w:val="24"/>
          <w:szCs w:val="24"/>
          <w:highlight w:val="none"/>
          <w:lang w:eastAsia="zh-CN"/>
        </w:rPr>
      </w:pPr>
      <w:bookmarkStart w:id="164" w:name="_Toc12837"/>
      <w:bookmarkStart w:id="165" w:name="_Toc24403"/>
      <w:bookmarkStart w:id="166" w:name="_Toc9730"/>
      <w:bookmarkStart w:id="167" w:name="_Toc12255"/>
      <w:bookmarkStart w:id="168" w:name="_Toc14638"/>
      <w:bookmarkStart w:id="169" w:name="_Toc10892"/>
      <w:bookmarkStart w:id="170" w:name="_Toc1991"/>
      <w:r>
        <w:rPr>
          <w:rFonts w:hint="eastAsia" w:ascii="仿宋" w:hAnsi="仿宋" w:eastAsia="仿宋" w:cs="仿宋"/>
          <w:color w:val="auto"/>
          <w:spacing w:val="-2"/>
          <w:sz w:val="24"/>
          <w:szCs w:val="24"/>
          <w:highlight w:val="none"/>
          <w:lang w:eastAsia="zh-CN"/>
          <w14:textOutline w14:w="4356" w14:cap="sq" w14:cmpd="sng" w14:algn="ctr">
            <w14:solidFill>
              <w14:srgbClr w14:val="000000"/>
            </w14:solidFill>
            <w14:prstDash w14:val="solid"/>
            <w14:bevel/>
          </w14:textOutline>
        </w:rPr>
        <w:t>1.10</w:t>
      </w:r>
      <w:r>
        <w:rPr>
          <w:rFonts w:hint="eastAsia" w:ascii="仿宋" w:hAnsi="仿宋" w:eastAsia="仿宋" w:cs="仿宋"/>
          <w:color w:val="auto"/>
          <w:spacing w:val="-2"/>
          <w:sz w:val="24"/>
          <w:szCs w:val="24"/>
          <w:highlight w:val="none"/>
          <w:lang w:eastAsia="zh-CN"/>
        </w:rPr>
        <w:t xml:space="preserve"> </w:t>
      </w:r>
      <w:r>
        <w:rPr>
          <w:rFonts w:hint="eastAsia" w:ascii="仿宋" w:hAnsi="仿宋" w:eastAsia="仿宋" w:cs="仿宋"/>
          <w:color w:val="auto"/>
          <w:spacing w:val="-2"/>
          <w:sz w:val="24"/>
          <w:szCs w:val="24"/>
          <w:highlight w:val="none"/>
          <w:lang w:eastAsia="zh-CN"/>
          <w14:textOutline w14:w="4356" w14:cap="sq" w14:cmpd="sng" w14:algn="ctr">
            <w14:solidFill>
              <w14:srgbClr w14:val="000000"/>
            </w14:solidFill>
            <w14:prstDash w14:val="solid"/>
            <w14:bevel/>
          </w14:textOutline>
        </w:rPr>
        <w:t>投标预备会</w:t>
      </w:r>
      <w:bookmarkEnd w:id="164"/>
      <w:bookmarkEnd w:id="165"/>
      <w:bookmarkEnd w:id="166"/>
      <w:bookmarkEnd w:id="167"/>
      <w:bookmarkEnd w:id="168"/>
      <w:bookmarkEnd w:id="169"/>
      <w:bookmarkEnd w:id="170"/>
    </w:p>
    <w:p>
      <w:pPr>
        <w:spacing w:before="117" w:line="440" w:lineRule="exact"/>
        <w:ind w:firstLine="259"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4"/>
          <w:sz w:val="24"/>
          <w:szCs w:val="24"/>
          <w:highlight w:val="none"/>
          <w:lang w:eastAsia="zh-CN"/>
        </w:rPr>
        <w:t>不组织。</w:t>
      </w:r>
    </w:p>
    <w:p>
      <w:pPr>
        <w:spacing w:before="112" w:line="440" w:lineRule="exact"/>
        <w:ind w:firstLine="255" w:firstLineChars="112"/>
        <w:outlineLvl w:val="2"/>
        <w:rPr>
          <w:rFonts w:hint="eastAsia" w:ascii="仿宋" w:hAnsi="仿宋" w:eastAsia="仿宋" w:cs="仿宋"/>
          <w:color w:val="auto"/>
          <w:sz w:val="24"/>
          <w:szCs w:val="24"/>
          <w:highlight w:val="none"/>
          <w:lang w:eastAsia="zh-CN"/>
        </w:rPr>
      </w:pPr>
      <w:bookmarkStart w:id="171" w:name="_Toc27990"/>
      <w:bookmarkStart w:id="172" w:name="_Toc22734"/>
      <w:bookmarkStart w:id="173" w:name="_Toc14477"/>
      <w:bookmarkStart w:id="174" w:name="_Toc3926"/>
      <w:bookmarkStart w:id="175" w:name="_Toc12581"/>
      <w:bookmarkStart w:id="176" w:name="_Toc5274"/>
      <w:bookmarkStart w:id="177" w:name="_Toc21635"/>
      <w:r>
        <w:rPr>
          <w:rFonts w:hint="eastAsia" w:ascii="仿宋" w:hAnsi="仿宋" w:eastAsia="仿宋" w:cs="仿宋"/>
          <w:color w:val="auto"/>
          <w:spacing w:val="-6"/>
          <w:sz w:val="24"/>
          <w:szCs w:val="24"/>
          <w:highlight w:val="none"/>
          <w:lang w:eastAsia="zh-CN"/>
          <w14:textOutline w14:w="4356" w14:cap="sq" w14:cmpd="sng" w14:algn="ctr">
            <w14:solidFill>
              <w14:srgbClr w14:val="000000"/>
            </w14:solidFill>
            <w14:prstDash w14:val="solid"/>
            <w14:bevel/>
          </w14:textOutline>
        </w:rPr>
        <w:t>1.11</w:t>
      </w:r>
      <w:r>
        <w:rPr>
          <w:rFonts w:hint="eastAsia" w:ascii="仿宋" w:hAnsi="仿宋" w:eastAsia="仿宋" w:cs="仿宋"/>
          <w:color w:val="auto"/>
          <w:spacing w:val="12"/>
          <w:sz w:val="24"/>
          <w:szCs w:val="24"/>
          <w:highlight w:val="none"/>
          <w:lang w:eastAsia="zh-CN"/>
        </w:rPr>
        <w:t xml:space="preserve"> </w:t>
      </w:r>
      <w:r>
        <w:rPr>
          <w:rFonts w:hint="eastAsia" w:ascii="仿宋" w:hAnsi="仿宋" w:eastAsia="仿宋" w:cs="仿宋"/>
          <w:color w:val="auto"/>
          <w:spacing w:val="-6"/>
          <w:sz w:val="24"/>
          <w:szCs w:val="24"/>
          <w:highlight w:val="none"/>
          <w:lang w:eastAsia="zh-CN"/>
          <w14:textOutline w14:w="4356" w14:cap="sq" w14:cmpd="sng" w14:algn="ctr">
            <w14:solidFill>
              <w14:srgbClr w14:val="000000"/>
            </w14:solidFill>
            <w14:prstDash w14:val="solid"/>
            <w14:bevel/>
          </w14:textOutline>
        </w:rPr>
        <w:t>分包</w:t>
      </w:r>
      <w:bookmarkEnd w:id="171"/>
      <w:bookmarkEnd w:id="172"/>
      <w:bookmarkEnd w:id="173"/>
      <w:bookmarkEnd w:id="174"/>
      <w:bookmarkEnd w:id="175"/>
      <w:bookmarkEnd w:id="176"/>
      <w:bookmarkEnd w:id="177"/>
    </w:p>
    <w:p>
      <w:pPr>
        <w:spacing w:before="112"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本项目允许分包。</w:t>
      </w:r>
    </w:p>
    <w:p>
      <w:pPr>
        <w:spacing w:before="117" w:line="440" w:lineRule="exact"/>
        <w:ind w:firstLine="255" w:firstLineChars="112"/>
        <w:outlineLvl w:val="2"/>
        <w:rPr>
          <w:rFonts w:hint="eastAsia" w:ascii="仿宋" w:hAnsi="仿宋" w:eastAsia="仿宋" w:cs="仿宋"/>
          <w:color w:val="auto"/>
          <w:sz w:val="24"/>
          <w:szCs w:val="24"/>
          <w:highlight w:val="none"/>
          <w:lang w:eastAsia="zh-CN"/>
        </w:rPr>
      </w:pPr>
      <w:bookmarkStart w:id="178" w:name="_Toc30009"/>
      <w:bookmarkStart w:id="179" w:name="_Toc8021"/>
      <w:bookmarkStart w:id="180" w:name="_Toc12375"/>
      <w:bookmarkStart w:id="181" w:name="_Toc25856"/>
      <w:bookmarkStart w:id="182" w:name="_Toc26378"/>
      <w:bookmarkStart w:id="183" w:name="_Toc13864"/>
      <w:bookmarkStart w:id="184" w:name="_Toc19147"/>
      <w:r>
        <w:rPr>
          <w:rFonts w:hint="eastAsia" w:ascii="仿宋" w:hAnsi="仿宋" w:eastAsia="仿宋" w:cs="仿宋"/>
          <w:color w:val="auto"/>
          <w:spacing w:val="-6"/>
          <w:sz w:val="24"/>
          <w:szCs w:val="24"/>
          <w:highlight w:val="none"/>
          <w:lang w:eastAsia="zh-CN"/>
          <w14:textOutline w14:w="4356" w14:cap="sq" w14:cmpd="sng" w14:algn="ctr">
            <w14:solidFill>
              <w14:srgbClr w14:val="000000"/>
            </w14:solidFill>
            <w14:prstDash w14:val="solid"/>
            <w14:bevel/>
          </w14:textOutline>
        </w:rPr>
        <w:t>1.12</w:t>
      </w:r>
      <w:r>
        <w:rPr>
          <w:rFonts w:hint="eastAsia" w:ascii="仿宋" w:hAnsi="仿宋" w:eastAsia="仿宋" w:cs="仿宋"/>
          <w:color w:val="auto"/>
          <w:spacing w:val="12"/>
          <w:sz w:val="24"/>
          <w:szCs w:val="24"/>
          <w:highlight w:val="none"/>
          <w:lang w:eastAsia="zh-CN"/>
        </w:rPr>
        <w:t xml:space="preserve"> </w:t>
      </w:r>
      <w:r>
        <w:rPr>
          <w:rFonts w:hint="eastAsia" w:ascii="仿宋" w:hAnsi="仿宋" w:eastAsia="仿宋" w:cs="仿宋"/>
          <w:color w:val="auto"/>
          <w:spacing w:val="-6"/>
          <w:sz w:val="24"/>
          <w:szCs w:val="24"/>
          <w:highlight w:val="none"/>
          <w:lang w:eastAsia="zh-CN"/>
          <w14:textOutline w14:w="4356" w14:cap="sq" w14:cmpd="sng" w14:algn="ctr">
            <w14:solidFill>
              <w14:srgbClr w14:val="000000"/>
            </w14:solidFill>
            <w14:prstDash w14:val="solid"/>
            <w14:bevel/>
          </w14:textOutline>
        </w:rPr>
        <w:t>偏离</w:t>
      </w:r>
      <w:bookmarkEnd w:id="178"/>
      <w:bookmarkEnd w:id="179"/>
      <w:bookmarkEnd w:id="180"/>
      <w:bookmarkEnd w:id="181"/>
      <w:bookmarkEnd w:id="182"/>
      <w:bookmarkEnd w:id="183"/>
      <w:bookmarkEnd w:id="184"/>
    </w:p>
    <w:p>
      <w:pPr>
        <w:spacing w:before="116" w:line="440" w:lineRule="exact"/>
        <w:ind w:firstLine="259"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4"/>
          <w:sz w:val="24"/>
          <w:szCs w:val="24"/>
          <w:highlight w:val="none"/>
          <w:lang w:eastAsia="zh-CN"/>
        </w:rPr>
        <w:t>不允许。</w:t>
      </w:r>
    </w:p>
    <w:p>
      <w:pPr>
        <w:pStyle w:val="4"/>
        <w:spacing w:line="240" w:lineRule="auto"/>
        <w:rPr>
          <w:rFonts w:hint="eastAsia" w:ascii="仿宋" w:hAnsi="仿宋" w:eastAsia="仿宋" w:cs="仿宋"/>
          <w:color w:val="auto"/>
          <w:highlight w:val="none"/>
          <w:lang w:eastAsia="zh-CN"/>
        </w:rPr>
      </w:pPr>
      <w:bookmarkStart w:id="185" w:name="_Toc1634"/>
      <w:bookmarkStart w:id="186" w:name="_Toc9321"/>
      <w:bookmarkStart w:id="187" w:name="_Toc16511"/>
      <w:bookmarkStart w:id="188" w:name="_Toc22652"/>
      <w:bookmarkStart w:id="189" w:name="_Toc31312"/>
      <w:bookmarkStart w:id="190" w:name="_Toc25338"/>
      <w:bookmarkStart w:id="191" w:name="_Toc19803"/>
      <w:r>
        <w:rPr>
          <w:rFonts w:hint="eastAsia" w:ascii="仿宋" w:hAnsi="仿宋" w:eastAsia="仿宋" w:cs="仿宋"/>
          <w:color w:val="auto"/>
          <w:highlight w:val="none"/>
          <w:lang w:eastAsia="zh-CN"/>
        </w:rPr>
        <w:t>2. 招标文件</w:t>
      </w:r>
      <w:bookmarkEnd w:id="185"/>
      <w:bookmarkEnd w:id="186"/>
      <w:bookmarkEnd w:id="187"/>
      <w:bookmarkEnd w:id="188"/>
      <w:bookmarkEnd w:id="189"/>
      <w:bookmarkEnd w:id="190"/>
      <w:bookmarkEnd w:id="191"/>
    </w:p>
    <w:p>
      <w:pPr>
        <w:spacing w:before="116" w:line="440" w:lineRule="exact"/>
        <w:ind w:firstLine="266" w:firstLineChars="112"/>
        <w:outlineLvl w:val="2"/>
        <w:rPr>
          <w:rFonts w:hint="eastAsia" w:ascii="仿宋" w:hAnsi="仿宋" w:eastAsia="仿宋" w:cs="仿宋"/>
          <w:color w:val="auto"/>
          <w:sz w:val="24"/>
          <w:szCs w:val="24"/>
          <w:highlight w:val="none"/>
          <w:lang w:eastAsia="zh-CN"/>
        </w:rPr>
      </w:pPr>
      <w:bookmarkStart w:id="192" w:name="_Toc1933"/>
      <w:bookmarkStart w:id="193" w:name="_Toc6829"/>
      <w:bookmarkStart w:id="194" w:name="_Toc8427"/>
      <w:bookmarkStart w:id="195" w:name="_Toc19110"/>
      <w:bookmarkStart w:id="196" w:name="_Toc875"/>
      <w:bookmarkStart w:id="197" w:name="_Toc16274"/>
      <w:bookmarkStart w:id="198" w:name="_Toc30439"/>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2.1</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招标文件的组成</w:t>
      </w:r>
      <w:bookmarkEnd w:id="192"/>
      <w:bookmarkEnd w:id="193"/>
      <w:bookmarkEnd w:id="194"/>
      <w:bookmarkEnd w:id="195"/>
      <w:bookmarkEnd w:id="196"/>
      <w:bookmarkEnd w:id="197"/>
      <w:bookmarkEnd w:id="198"/>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本招标文件包括：</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（1）招标公告；</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（2）投标人须知；</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（3）评审办法；</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（4）合同条款及格式；</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（5）项目需求；</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（6）投标文件格式；</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根据本章第1.10款、第2.2款和第2.3款对招标文件所作的澄清、修改，构成招标文件的组成部分。</w:t>
      </w:r>
    </w:p>
    <w:p>
      <w:pPr>
        <w:spacing w:before="114" w:line="440" w:lineRule="exact"/>
        <w:ind w:firstLine="266" w:firstLineChars="112"/>
        <w:outlineLvl w:val="2"/>
        <w:rPr>
          <w:rFonts w:hint="eastAsia" w:ascii="仿宋" w:hAnsi="仿宋" w:eastAsia="仿宋" w:cs="仿宋"/>
          <w:color w:val="auto"/>
          <w:sz w:val="24"/>
          <w:szCs w:val="24"/>
          <w:highlight w:val="none"/>
          <w:lang w:eastAsia="zh-CN"/>
        </w:rPr>
      </w:pPr>
      <w:bookmarkStart w:id="199" w:name="_Toc24286"/>
      <w:bookmarkStart w:id="200" w:name="_Toc14078"/>
      <w:bookmarkStart w:id="201" w:name="_Toc14625"/>
      <w:bookmarkStart w:id="202" w:name="_Toc4900"/>
      <w:bookmarkStart w:id="203" w:name="_Toc29075"/>
      <w:bookmarkStart w:id="204" w:name="_Toc29874"/>
      <w:bookmarkStart w:id="205" w:name="_Toc13933"/>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2.2</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招标文件的递交截止时间</w:t>
      </w:r>
      <w:bookmarkEnd w:id="199"/>
      <w:bookmarkEnd w:id="200"/>
      <w:bookmarkEnd w:id="201"/>
      <w:bookmarkEnd w:id="202"/>
      <w:bookmarkEnd w:id="203"/>
      <w:bookmarkEnd w:id="204"/>
      <w:bookmarkEnd w:id="205"/>
    </w:p>
    <w:p>
      <w:pPr>
        <w:spacing w:before="115"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见投标人须知前附表。</w:t>
      </w:r>
    </w:p>
    <w:p>
      <w:pPr>
        <w:spacing w:before="114" w:line="440" w:lineRule="exact"/>
        <w:ind w:firstLine="266" w:firstLineChars="112"/>
        <w:outlineLvl w:val="2"/>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pPr>
      <w:bookmarkStart w:id="206" w:name="_Toc3807"/>
      <w:bookmarkStart w:id="207" w:name="_Toc4063"/>
      <w:bookmarkStart w:id="208" w:name="_Toc28126"/>
      <w:bookmarkStart w:id="209" w:name="_Toc9960"/>
      <w:bookmarkStart w:id="210" w:name="_Toc28042"/>
      <w:bookmarkStart w:id="211" w:name="_Toc18824"/>
      <w:bookmarkStart w:id="212" w:name="_Toc14154"/>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2.3 招标文件的澄清和修改</w:t>
      </w:r>
      <w:bookmarkEnd w:id="206"/>
      <w:bookmarkEnd w:id="207"/>
      <w:bookmarkEnd w:id="208"/>
      <w:bookmarkEnd w:id="209"/>
      <w:bookmarkEnd w:id="210"/>
      <w:bookmarkEnd w:id="211"/>
      <w:bookmarkEnd w:id="212"/>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2.3.1 在投标截止时间10天前，招标人将澄清和修改招标文件内容发给所有购买招标文件的投标人。如果澄清和修改内容影响到投标文件编制的，澄清和修改招标文件的时间距投标截止时间不足15天，相应延长投标截止时间。</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2.3.2 当招标文件（含评审、定标办法）、补充通知、答疑纪要，内容相互矛盾时，以最后发出的通知（或纪要）为准。</w:t>
      </w:r>
    </w:p>
    <w:p>
      <w:pPr>
        <w:pStyle w:val="4"/>
        <w:spacing w:line="240" w:lineRule="auto"/>
        <w:rPr>
          <w:rFonts w:hint="eastAsia" w:ascii="仿宋" w:hAnsi="仿宋" w:eastAsia="仿宋" w:cs="仿宋"/>
          <w:color w:val="auto"/>
          <w:highlight w:val="none"/>
          <w:lang w:eastAsia="zh-CN"/>
        </w:rPr>
      </w:pPr>
      <w:bookmarkStart w:id="213" w:name="_Toc9842"/>
      <w:bookmarkStart w:id="214" w:name="_Toc18503"/>
      <w:bookmarkStart w:id="215" w:name="_Toc18594"/>
      <w:bookmarkStart w:id="216" w:name="_Toc153"/>
      <w:bookmarkStart w:id="217" w:name="_Toc6680"/>
      <w:bookmarkStart w:id="218" w:name="_Toc1486"/>
      <w:bookmarkStart w:id="219" w:name="_Toc5013"/>
      <w:r>
        <w:rPr>
          <w:rFonts w:hint="eastAsia" w:ascii="仿宋" w:hAnsi="仿宋" w:eastAsia="仿宋" w:cs="仿宋"/>
          <w:color w:val="auto"/>
          <w:highlight w:val="none"/>
          <w:lang w:eastAsia="zh-CN"/>
        </w:rPr>
        <w:t>3. 投标文件</w:t>
      </w:r>
      <w:bookmarkEnd w:id="213"/>
      <w:bookmarkEnd w:id="214"/>
      <w:bookmarkEnd w:id="215"/>
      <w:bookmarkEnd w:id="216"/>
      <w:bookmarkEnd w:id="217"/>
      <w:bookmarkEnd w:id="218"/>
      <w:bookmarkEnd w:id="219"/>
    </w:p>
    <w:p>
      <w:pPr>
        <w:spacing w:before="113" w:line="440" w:lineRule="exact"/>
        <w:ind w:firstLine="266" w:firstLineChars="112"/>
        <w:outlineLvl w:val="2"/>
        <w:rPr>
          <w:rFonts w:hint="eastAsia" w:ascii="仿宋" w:hAnsi="仿宋" w:eastAsia="仿宋" w:cs="仿宋"/>
          <w:color w:val="auto"/>
          <w:sz w:val="24"/>
          <w:szCs w:val="24"/>
          <w:highlight w:val="none"/>
          <w:lang w:eastAsia="zh-CN"/>
        </w:rPr>
      </w:pPr>
      <w:bookmarkStart w:id="220" w:name="_Toc12164"/>
      <w:bookmarkStart w:id="221" w:name="_Toc22982"/>
      <w:bookmarkStart w:id="222" w:name="_Toc14400"/>
      <w:bookmarkStart w:id="223" w:name="_Toc17437"/>
      <w:bookmarkStart w:id="224" w:name="_Toc30650"/>
      <w:bookmarkStart w:id="225" w:name="_Toc7277"/>
      <w:bookmarkStart w:id="226" w:name="_Toc30885"/>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3.1</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投标文件的组成</w:t>
      </w:r>
      <w:bookmarkEnd w:id="220"/>
      <w:bookmarkEnd w:id="221"/>
      <w:bookmarkEnd w:id="222"/>
      <w:bookmarkEnd w:id="223"/>
      <w:bookmarkEnd w:id="224"/>
      <w:bookmarkEnd w:id="225"/>
      <w:bookmarkEnd w:id="226"/>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position w:val="0"/>
          <w:sz w:val="24"/>
          <w:szCs w:val="24"/>
          <w:highlight w:val="none"/>
          <w:lang w:eastAsia="zh-CN"/>
        </w:rPr>
        <w:t>投标文件应包括下列内容（具体见第六章“投标文件格式 ”</w:t>
      </w:r>
      <w:r>
        <w:rPr>
          <w:rFonts w:hint="eastAsia" w:ascii="仿宋" w:hAnsi="仿宋" w:eastAsia="仿宋" w:cs="仿宋"/>
          <w:color w:val="auto"/>
          <w:spacing w:val="-2"/>
          <w:w w:val="100"/>
          <w:position w:val="0"/>
          <w:sz w:val="24"/>
          <w:szCs w:val="24"/>
          <w:highlight w:val="none"/>
          <w:lang w:eastAsia="zh-CN"/>
        </w:rPr>
        <w:t>）：</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一、投标函</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二、投资承诺书</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三、法定代表人身份证明</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四、授权委托书</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五、联合体协议书</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六、投标保证金凭证</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七、投标人基本情况表</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position w:val="0"/>
          <w:sz w:val="24"/>
          <w:szCs w:val="24"/>
          <w:highlight w:val="none"/>
          <w:lang w:eastAsia="zh-CN"/>
        </w:rPr>
        <w:t>八、拟组建项目组织机构（提供承诺）</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九</w:t>
      </w:r>
      <w:r>
        <w:rPr>
          <w:rFonts w:hint="eastAsia" w:ascii="仿宋" w:hAnsi="仿宋" w:eastAsia="仿宋" w:cs="仿宋"/>
          <w:color w:val="auto"/>
          <w:spacing w:val="-2"/>
          <w:sz w:val="24"/>
          <w:szCs w:val="24"/>
          <w:highlight w:val="none"/>
          <w:lang w:eastAsia="zh-CN"/>
        </w:rPr>
        <w:t>、健全的财务会计制度</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position w:val="0"/>
          <w:sz w:val="24"/>
          <w:szCs w:val="24"/>
          <w:highlight w:val="none"/>
          <w:lang w:eastAsia="zh-CN"/>
        </w:rPr>
        <w:t>十、缴纳税收和社会保障资金的相关材料</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十</w:t>
      </w:r>
      <w:r>
        <w:rPr>
          <w:rFonts w:hint="eastAsia" w:ascii="仿宋" w:hAnsi="仿宋" w:eastAsia="仿宋" w:cs="仿宋"/>
          <w:color w:val="auto"/>
          <w:spacing w:val="-2"/>
          <w:sz w:val="24"/>
          <w:szCs w:val="24"/>
          <w:highlight w:val="none"/>
          <w:lang w:val="en-US" w:eastAsia="zh-CN"/>
        </w:rPr>
        <w:t>一</w:t>
      </w:r>
      <w:r>
        <w:rPr>
          <w:rFonts w:hint="eastAsia" w:ascii="仿宋" w:hAnsi="仿宋" w:eastAsia="仿宋" w:cs="仿宋"/>
          <w:color w:val="auto"/>
          <w:spacing w:val="-2"/>
          <w:sz w:val="24"/>
          <w:szCs w:val="24"/>
          <w:highlight w:val="none"/>
          <w:lang w:eastAsia="zh-CN"/>
        </w:rPr>
        <w:t>、项目业绩一览表及证明文件</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position w:val="0"/>
          <w:sz w:val="24"/>
          <w:szCs w:val="24"/>
          <w:highlight w:val="none"/>
          <w:lang w:eastAsia="zh-CN"/>
        </w:rPr>
        <w:t>十</w:t>
      </w:r>
      <w:r>
        <w:rPr>
          <w:rFonts w:hint="eastAsia" w:ascii="仿宋" w:hAnsi="仿宋" w:eastAsia="仿宋" w:cs="仿宋"/>
          <w:color w:val="auto"/>
          <w:spacing w:val="-2"/>
          <w:position w:val="0"/>
          <w:sz w:val="24"/>
          <w:szCs w:val="24"/>
          <w:highlight w:val="none"/>
          <w:lang w:val="en-US" w:eastAsia="zh-CN"/>
        </w:rPr>
        <w:t>二</w:t>
      </w:r>
      <w:r>
        <w:rPr>
          <w:rFonts w:hint="eastAsia" w:ascii="仿宋" w:hAnsi="仿宋" w:eastAsia="仿宋" w:cs="仿宋"/>
          <w:color w:val="auto"/>
          <w:spacing w:val="-2"/>
          <w:position w:val="0"/>
          <w:sz w:val="24"/>
          <w:szCs w:val="24"/>
          <w:highlight w:val="none"/>
          <w:lang w:eastAsia="zh-CN"/>
        </w:rPr>
        <w:t>、良好商业信誉证明材料</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十</w:t>
      </w:r>
      <w:r>
        <w:rPr>
          <w:rFonts w:hint="eastAsia" w:ascii="仿宋" w:hAnsi="仿宋" w:eastAsia="仿宋" w:cs="仿宋"/>
          <w:color w:val="auto"/>
          <w:spacing w:val="-2"/>
          <w:sz w:val="24"/>
          <w:szCs w:val="24"/>
          <w:highlight w:val="none"/>
          <w:lang w:val="en-US" w:eastAsia="zh-CN"/>
        </w:rPr>
        <w:t>三</w:t>
      </w:r>
      <w:r>
        <w:rPr>
          <w:rFonts w:hint="eastAsia" w:ascii="仿宋" w:hAnsi="仿宋" w:eastAsia="仿宋" w:cs="仿宋"/>
          <w:color w:val="auto"/>
          <w:spacing w:val="-2"/>
          <w:sz w:val="24"/>
          <w:szCs w:val="24"/>
          <w:highlight w:val="none"/>
          <w:lang w:eastAsia="zh-CN"/>
        </w:rPr>
        <w:t>、投标人认为需要提交的其它资料</w:t>
      </w:r>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十</w:t>
      </w:r>
      <w:r>
        <w:rPr>
          <w:rFonts w:hint="eastAsia" w:ascii="仿宋" w:hAnsi="仿宋" w:eastAsia="仿宋" w:cs="仿宋"/>
          <w:color w:val="auto"/>
          <w:spacing w:val="-2"/>
          <w:sz w:val="24"/>
          <w:szCs w:val="24"/>
          <w:highlight w:val="none"/>
          <w:lang w:val="en-US" w:eastAsia="zh-CN"/>
        </w:rPr>
        <w:t>四</w:t>
      </w:r>
      <w:r>
        <w:rPr>
          <w:rFonts w:hint="eastAsia" w:ascii="仿宋" w:hAnsi="仿宋" w:eastAsia="仿宋" w:cs="仿宋"/>
          <w:color w:val="auto"/>
          <w:spacing w:val="-2"/>
          <w:sz w:val="24"/>
          <w:szCs w:val="24"/>
          <w:highlight w:val="none"/>
          <w:lang w:eastAsia="zh-CN"/>
        </w:rPr>
        <w:t>、项目实施计划</w:t>
      </w:r>
    </w:p>
    <w:p>
      <w:pPr>
        <w:spacing w:before="47" w:line="440" w:lineRule="exact"/>
        <w:ind w:firstLine="257" w:firstLineChars="112"/>
        <w:outlineLvl w:val="2"/>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pPr>
      <w:bookmarkStart w:id="227" w:name="_Toc20594"/>
      <w:bookmarkStart w:id="228" w:name="_Toc12974"/>
      <w:bookmarkStart w:id="229" w:name="_Toc26791"/>
      <w:bookmarkStart w:id="230" w:name="_Toc14353"/>
      <w:bookmarkStart w:id="231" w:name="_Toc5108"/>
      <w:bookmarkStart w:id="232" w:name="_Toc235"/>
      <w:bookmarkStart w:id="233" w:name="_Toc17959"/>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3.2</w:t>
      </w:r>
      <w:r>
        <w:rPr>
          <w:rFonts w:hint="eastAsia" w:ascii="仿宋" w:hAnsi="仿宋" w:eastAsia="仿宋" w:cs="仿宋"/>
          <w:color w:val="auto"/>
          <w:spacing w:val="27"/>
          <w:sz w:val="24"/>
          <w:szCs w:val="24"/>
          <w:highlight w:val="none"/>
          <w:lang w:eastAsia="zh-CN"/>
        </w:rPr>
        <w:t xml:space="preserve"> </w:t>
      </w:r>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资金来源</w:t>
      </w:r>
      <w:bookmarkEnd w:id="227"/>
      <w:bookmarkEnd w:id="228"/>
      <w:bookmarkEnd w:id="229"/>
      <w:bookmarkEnd w:id="230"/>
      <w:bookmarkEnd w:id="231"/>
      <w:bookmarkEnd w:id="232"/>
      <w:bookmarkEnd w:id="233"/>
    </w:p>
    <w:p>
      <w:pPr>
        <w:spacing w:before="47"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3.2.1</w:t>
      </w:r>
      <w:r>
        <w:rPr>
          <w:rFonts w:hint="eastAsia" w:ascii="仿宋" w:hAnsi="仿宋" w:eastAsia="仿宋" w:cs="仿宋"/>
          <w:color w:val="auto"/>
          <w:spacing w:val="-35"/>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本项目由中标社会投资主体出资完成建设，出资比例为</w:t>
      </w:r>
      <w:r>
        <w:rPr>
          <w:rFonts w:hint="eastAsia" w:ascii="仿宋" w:hAnsi="仿宋" w:eastAsia="仿宋" w:cs="仿宋"/>
          <w:color w:val="auto"/>
          <w:spacing w:val="-33"/>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100%。</w:t>
      </w:r>
    </w:p>
    <w:p>
      <w:pPr>
        <w:spacing w:before="116" w:line="440" w:lineRule="exact"/>
        <w:ind w:firstLine="262" w:firstLineChars="112"/>
        <w:outlineLvl w:val="2"/>
        <w:rPr>
          <w:rFonts w:hint="eastAsia" w:ascii="仿宋" w:hAnsi="仿宋" w:eastAsia="仿宋" w:cs="仿宋"/>
          <w:color w:val="auto"/>
          <w:sz w:val="24"/>
          <w:szCs w:val="24"/>
          <w:highlight w:val="none"/>
          <w:lang w:eastAsia="zh-CN"/>
        </w:rPr>
      </w:pPr>
      <w:bookmarkStart w:id="234" w:name="_Toc25087"/>
      <w:bookmarkStart w:id="235" w:name="_Toc17754"/>
      <w:bookmarkStart w:id="236" w:name="_Toc15904"/>
      <w:bookmarkStart w:id="237" w:name="_Toc21883"/>
      <w:bookmarkStart w:id="238" w:name="_Toc3533"/>
      <w:bookmarkStart w:id="239" w:name="_Toc4553"/>
      <w:bookmarkStart w:id="240" w:name="_Toc13557"/>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3.3</w:t>
      </w:r>
      <w:r>
        <w:rPr>
          <w:rFonts w:hint="eastAsia" w:ascii="仿宋" w:hAnsi="仿宋" w:eastAsia="仿宋" w:cs="仿宋"/>
          <w:color w:val="auto"/>
          <w:spacing w:val="16"/>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投标有效期</w:t>
      </w:r>
      <w:bookmarkEnd w:id="234"/>
      <w:bookmarkEnd w:id="235"/>
      <w:bookmarkEnd w:id="236"/>
      <w:bookmarkEnd w:id="237"/>
      <w:bookmarkEnd w:id="238"/>
      <w:bookmarkEnd w:id="239"/>
      <w:bookmarkEnd w:id="240"/>
    </w:p>
    <w:p>
      <w:pPr>
        <w:spacing w:before="4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3.3.1 在投标人须知前附表规定的投标有效期内，投标人不得要求撤销或修改其投标文件。</w:t>
      </w:r>
    </w:p>
    <w:p>
      <w:pPr>
        <w:spacing w:before="47" w:line="440" w:lineRule="exact"/>
        <w:ind w:firstLine="264"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2"/>
          <w:sz w:val="24"/>
          <w:szCs w:val="24"/>
          <w:highlight w:val="none"/>
          <w:lang w:eastAsia="zh-CN"/>
        </w:rPr>
        <w:t>3.3.2 出现特殊情况需要延长投标有效期的，投标人同意延长的，应相应延长其投标保证金的有效期，但不得要求或被允许修改或撤销其投标文件；投标人拒绝延长的，</w:t>
      </w:r>
      <w:r>
        <w:rPr>
          <w:rFonts w:hint="eastAsia" w:ascii="仿宋" w:hAnsi="仿宋" w:eastAsia="仿宋" w:cs="仿宋"/>
          <w:color w:val="auto"/>
          <w:spacing w:val="-1"/>
          <w:sz w:val="24"/>
          <w:szCs w:val="24"/>
          <w:highlight w:val="none"/>
          <w:lang w:eastAsia="zh-CN"/>
        </w:rPr>
        <w:t>其投标失效，但投标人有权收回其投标保证金。</w:t>
      </w:r>
    </w:p>
    <w:p>
      <w:pPr>
        <w:spacing w:before="116" w:line="440" w:lineRule="exact"/>
        <w:ind w:firstLine="262" w:firstLineChars="112"/>
        <w:outlineLvl w:val="2"/>
        <w:rPr>
          <w:rFonts w:hint="eastAsia" w:ascii="仿宋" w:hAnsi="仿宋" w:eastAsia="仿宋" w:cs="仿宋"/>
          <w:color w:val="auto"/>
          <w:sz w:val="24"/>
          <w:szCs w:val="24"/>
          <w:highlight w:val="none"/>
          <w:lang w:eastAsia="zh-CN"/>
        </w:rPr>
      </w:pPr>
      <w:bookmarkStart w:id="241" w:name="_Toc32021"/>
      <w:bookmarkStart w:id="242" w:name="_Toc9325"/>
      <w:bookmarkStart w:id="243" w:name="_Toc29601"/>
      <w:bookmarkStart w:id="244" w:name="_Toc23430"/>
      <w:bookmarkStart w:id="245" w:name="_Toc31282"/>
      <w:bookmarkStart w:id="246" w:name="_Toc20935"/>
      <w:bookmarkStart w:id="247" w:name="_Toc28772"/>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3.4</w:t>
      </w:r>
      <w:r>
        <w:rPr>
          <w:rFonts w:hint="eastAsia" w:ascii="仿宋" w:hAnsi="仿宋" w:eastAsia="仿宋" w:cs="仿宋"/>
          <w:color w:val="auto"/>
          <w:spacing w:val="18"/>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投标保证金</w:t>
      </w:r>
      <w:bookmarkEnd w:id="241"/>
      <w:bookmarkEnd w:id="242"/>
      <w:bookmarkEnd w:id="243"/>
      <w:bookmarkEnd w:id="244"/>
      <w:bookmarkEnd w:id="245"/>
      <w:bookmarkEnd w:id="246"/>
      <w:bookmarkEnd w:id="247"/>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3.4.1 投标人应按投标人须知前附表规定缴纳投标保证金。</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3.4.2 投标人不按要求提交投标保证金的，不接收其投标文件。</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3.4.3 投标保证金的退还：</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（1）中标公示期满没有质疑或投诉的，5个工作日内退还非中标人的投标保证金。</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（2）在书面合同生效后5个工作日内退还中标人的投标保证金。</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（3）项目招标不成功或终止招标的，在此后5个工作日内退还投标保证金。</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（4）相关投标人有违法违规行为的项目，其投标保证金暂不退还，待行政监督部门对相关情况处置后，按照有关规定办理。</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（5）退还投标保证金，以转账方式一次性退还至投标保证金的原提交账户。</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3.4.4 投标人有下列情形之一的，不予退还投标保证金：</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（1）在招标文件要求提交招标文件的截止时间后至招标文件有效期满前撤回投标的；</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（2）中标通知书发出后，中标人无故放弃中标项目或无正当理由在规定时间内不与招标人签订合同；</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 xml:space="preserve">（3）投标人在招标活动中弄虚作假，骗取中标并经行政监督部门调查核实的； </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（4）拒绝履行合同义务的；</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（5）相关法律、法规规定不予退还的其它情形。</w:t>
      </w:r>
    </w:p>
    <w:p>
      <w:pPr>
        <w:spacing w:before="116" w:line="440" w:lineRule="exact"/>
        <w:ind w:firstLine="262" w:firstLineChars="112"/>
        <w:outlineLvl w:val="2"/>
        <w:rPr>
          <w:rFonts w:hint="eastAsia" w:ascii="仿宋" w:hAnsi="仿宋" w:eastAsia="仿宋" w:cs="仿宋"/>
          <w:color w:val="auto"/>
          <w:sz w:val="24"/>
          <w:szCs w:val="24"/>
          <w:highlight w:val="none"/>
          <w:lang w:eastAsia="zh-CN"/>
        </w:rPr>
      </w:pPr>
      <w:bookmarkStart w:id="248" w:name="_Toc30105"/>
      <w:bookmarkStart w:id="249" w:name="_Toc12014"/>
      <w:bookmarkStart w:id="250" w:name="_Toc14568"/>
      <w:bookmarkStart w:id="251" w:name="_Toc23233"/>
      <w:bookmarkStart w:id="252" w:name="_Toc8456"/>
      <w:bookmarkStart w:id="253" w:name="_Toc23176"/>
      <w:bookmarkStart w:id="254" w:name="_Toc32572"/>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3.5</w:t>
      </w:r>
      <w:r>
        <w:rPr>
          <w:rFonts w:hint="eastAsia" w:ascii="仿宋" w:hAnsi="仿宋" w:eastAsia="仿宋" w:cs="仿宋"/>
          <w:color w:val="auto"/>
          <w:spacing w:val="22"/>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资格审查资料</w:t>
      </w:r>
      <w:bookmarkEnd w:id="248"/>
      <w:bookmarkEnd w:id="249"/>
      <w:bookmarkEnd w:id="250"/>
      <w:bookmarkEnd w:id="251"/>
      <w:bookmarkEnd w:id="252"/>
      <w:bookmarkEnd w:id="253"/>
      <w:bookmarkEnd w:id="254"/>
    </w:p>
    <w:p>
      <w:pPr>
        <w:spacing w:before="113" w:line="440" w:lineRule="exact"/>
        <w:ind w:firstLine="255"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6"/>
          <w:sz w:val="24"/>
          <w:szCs w:val="24"/>
          <w:highlight w:val="none"/>
          <w:lang w:eastAsia="zh-CN"/>
        </w:rPr>
        <w:t>见招标公告及《投标人须知前附表》。</w:t>
      </w:r>
    </w:p>
    <w:p>
      <w:pPr>
        <w:spacing w:before="118" w:line="440" w:lineRule="exact"/>
        <w:ind w:firstLine="264" w:firstLineChars="112"/>
        <w:outlineLvl w:val="2"/>
        <w:rPr>
          <w:rFonts w:hint="eastAsia" w:ascii="仿宋" w:hAnsi="仿宋" w:eastAsia="仿宋" w:cs="仿宋"/>
          <w:color w:val="auto"/>
          <w:sz w:val="24"/>
          <w:szCs w:val="24"/>
          <w:highlight w:val="none"/>
          <w:lang w:eastAsia="zh-CN"/>
        </w:rPr>
      </w:pPr>
      <w:bookmarkStart w:id="255" w:name="_Toc20549"/>
      <w:bookmarkStart w:id="256" w:name="_Toc25433"/>
      <w:bookmarkStart w:id="257" w:name="_Toc23513"/>
      <w:bookmarkStart w:id="258" w:name="_Toc17726"/>
      <w:bookmarkStart w:id="259" w:name="_Toc17134"/>
      <w:bookmarkStart w:id="260" w:name="_Toc30187"/>
      <w:bookmarkStart w:id="261" w:name="_Toc20870"/>
      <w:r>
        <w:rPr>
          <w:rFonts w:hint="eastAsia" w:ascii="仿宋" w:hAnsi="仿宋" w:eastAsia="仿宋" w:cs="仿宋"/>
          <w:color w:val="auto"/>
          <w:spacing w:val="-2"/>
          <w:sz w:val="24"/>
          <w:szCs w:val="24"/>
          <w:highlight w:val="none"/>
          <w:lang w:eastAsia="zh-CN"/>
          <w14:textOutline w14:w="4356" w14:cap="sq" w14:cmpd="sng" w14:algn="ctr">
            <w14:solidFill>
              <w14:srgbClr w14:val="000000"/>
            </w14:solidFill>
            <w14:prstDash w14:val="solid"/>
            <w14:bevel/>
          </w14:textOutline>
        </w:rPr>
        <w:t>3.6</w:t>
      </w:r>
      <w:r>
        <w:rPr>
          <w:rFonts w:hint="eastAsia" w:ascii="仿宋" w:hAnsi="仿宋" w:eastAsia="仿宋" w:cs="仿宋"/>
          <w:color w:val="auto"/>
          <w:spacing w:val="-46"/>
          <w:sz w:val="24"/>
          <w:szCs w:val="24"/>
          <w:highlight w:val="none"/>
          <w:lang w:eastAsia="zh-CN"/>
        </w:rPr>
        <w:t xml:space="preserve"> </w:t>
      </w:r>
      <w:r>
        <w:rPr>
          <w:rFonts w:hint="eastAsia" w:ascii="仿宋" w:hAnsi="仿宋" w:eastAsia="仿宋" w:cs="仿宋"/>
          <w:color w:val="auto"/>
          <w:spacing w:val="-2"/>
          <w:sz w:val="24"/>
          <w:szCs w:val="24"/>
          <w:highlight w:val="none"/>
          <w:lang w:eastAsia="zh-CN"/>
          <w14:textOutline w14:w="4356" w14:cap="sq" w14:cmpd="sng" w14:algn="ctr">
            <w14:solidFill>
              <w14:srgbClr w14:val="000000"/>
            </w14:solidFill>
            <w14:prstDash w14:val="solid"/>
            <w14:bevel/>
          </w14:textOutline>
        </w:rPr>
        <w:t>投标文件的编制</w:t>
      </w:r>
      <w:bookmarkEnd w:id="255"/>
      <w:bookmarkEnd w:id="256"/>
      <w:bookmarkEnd w:id="257"/>
      <w:bookmarkEnd w:id="258"/>
      <w:bookmarkEnd w:id="259"/>
      <w:bookmarkEnd w:id="260"/>
      <w:bookmarkEnd w:id="261"/>
    </w:p>
    <w:p>
      <w:pPr>
        <w:spacing w:before="116"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见投标文件格式。</w:t>
      </w:r>
    </w:p>
    <w:p>
      <w:pPr>
        <w:pStyle w:val="4"/>
        <w:spacing w:line="240" w:lineRule="auto"/>
        <w:rPr>
          <w:rFonts w:hint="eastAsia" w:ascii="仿宋" w:hAnsi="仿宋" w:eastAsia="仿宋" w:cs="仿宋"/>
          <w:color w:val="auto"/>
          <w:highlight w:val="none"/>
          <w:lang w:eastAsia="zh-CN"/>
        </w:rPr>
      </w:pPr>
      <w:bookmarkStart w:id="262" w:name="_Toc10267"/>
      <w:bookmarkStart w:id="263" w:name="_Toc9178"/>
      <w:bookmarkStart w:id="264" w:name="_Toc27906"/>
      <w:bookmarkStart w:id="265" w:name="_Toc12730"/>
      <w:bookmarkStart w:id="266" w:name="_Toc21504"/>
      <w:bookmarkStart w:id="267" w:name="_Toc12619"/>
      <w:bookmarkStart w:id="268" w:name="_Toc25662"/>
      <w:r>
        <w:rPr>
          <w:rFonts w:hint="eastAsia" w:ascii="仿宋" w:hAnsi="仿宋" w:eastAsia="仿宋" w:cs="仿宋"/>
          <w:color w:val="auto"/>
          <w:highlight w:val="none"/>
          <w:lang w:eastAsia="zh-CN"/>
        </w:rPr>
        <w:t>4.投标</w:t>
      </w:r>
      <w:bookmarkEnd w:id="262"/>
      <w:bookmarkEnd w:id="263"/>
      <w:bookmarkEnd w:id="264"/>
      <w:bookmarkEnd w:id="265"/>
      <w:bookmarkEnd w:id="266"/>
      <w:bookmarkEnd w:id="267"/>
      <w:bookmarkEnd w:id="268"/>
    </w:p>
    <w:p>
      <w:pPr>
        <w:spacing w:before="116" w:line="440" w:lineRule="exact"/>
        <w:ind w:firstLine="268" w:firstLineChars="112"/>
        <w:outlineLvl w:val="2"/>
        <w:rPr>
          <w:rFonts w:hint="eastAsia" w:ascii="仿宋" w:hAnsi="仿宋" w:eastAsia="仿宋" w:cs="仿宋"/>
          <w:color w:val="auto"/>
          <w:sz w:val="24"/>
          <w:szCs w:val="24"/>
          <w:highlight w:val="none"/>
          <w:lang w:eastAsia="zh-CN"/>
        </w:rPr>
      </w:pPr>
      <w:bookmarkStart w:id="269" w:name="_Toc14910"/>
      <w:bookmarkStart w:id="270" w:name="_Toc22249"/>
      <w:bookmarkStart w:id="271" w:name="_Toc9377"/>
      <w:bookmarkStart w:id="272" w:name="_Toc25532"/>
      <w:bookmarkStart w:id="273" w:name="_Toc1715"/>
      <w:bookmarkStart w:id="274" w:name="_Toc23664"/>
      <w:bookmarkStart w:id="275" w:name="_Toc12763"/>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4.1</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投标文件的密封和标记</w:t>
      </w:r>
      <w:bookmarkEnd w:id="269"/>
      <w:bookmarkEnd w:id="270"/>
      <w:bookmarkEnd w:id="271"/>
      <w:bookmarkEnd w:id="272"/>
      <w:bookmarkEnd w:id="273"/>
      <w:bookmarkEnd w:id="274"/>
      <w:bookmarkEnd w:id="275"/>
    </w:p>
    <w:p>
      <w:pPr>
        <w:spacing w:before="112" w:line="440" w:lineRule="exact"/>
        <w:ind w:firstLine="255"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6"/>
          <w:sz w:val="24"/>
          <w:szCs w:val="24"/>
          <w:highlight w:val="none"/>
          <w:lang w:eastAsia="zh-CN"/>
        </w:rPr>
        <w:t xml:space="preserve">4.1.1 </w:t>
      </w:r>
      <w:r>
        <w:rPr>
          <w:rFonts w:hint="eastAsia" w:ascii="仿宋" w:hAnsi="仿宋" w:eastAsia="仿宋" w:cs="仿宋"/>
          <w:color w:val="auto"/>
          <w:spacing w:val="-1"/>
          <w:sz w:val="24"/>
          <w:szCs w:val="24"/>
          <w:highlight w:val="none"/>
          <w:lang w:eastAsia="zh-CN"/>
        </w:rPr>
        <w:t>投标文件的正本、</w:t>
      </w:r>
      <w:r>
        <w:rPr>
          <w:rFonts w:hint="eastAsia" w:ascii="仿宋" w:hAnsi="仿宋" w:eastAsia="仿宋" w:cs="仿宋"/>
          <w:color w:val="auto"/>
          <w:spacing w:val="-1"/>
          <w:sz w:val="24"/>
          <w:szCs w:val="24"/>
          <w:highlight w:val="none"/>
          <w:lang w:val="en-US" w:eastAsia="zh-CN"/>
        </w:rPr>
        <w:t>电子版密封在</w:t>
      </w:r>
      <w:r>
        <w:rPr>
          <w:rFonts w:hint="eastAsia" w:ascii="仿宋" w:hAnsi="仿宋" w:eastAsia="仿宋" w:cs="仿宋"/>
          <w:color w:val="auto"/>
          <w:spacing w:val="-1"/>
          <w:sz w:val="24"/>
          <w:szCs w:val="24"/>
          <w:highlight w:val="none"/>
          <w:lang w:eastAsia="zh-CN"/>
        </w:rPr>
        <w:t>1个包，副本</w:t>
      </w:r>
      <w:r>
        <w:rPr>
          <w:rFonts w:hint="eastAsia" w:ascii="仿宋" w:hAnsi="仿宋" w:eastAsia="仿宋" w:cs="仿宋"/>
          <w:color w:val="auto"/>
          <w:spacing w:val="-1"/>
          <w:sz w:val="24"/>
          <w:szCs w:val="24"/>
          <w:highlight w:val="none"/>
          <w:lang w:val="en-US" w:eastAsia="zh-CN"/>
        </w:rPr>
        <w:t>密封在1个包，共2个包装，均</w:t>
      </w:r>
      <w:r>
        <w:rPr>
          <w:rFonts w:hint="eastAsia" w:ascii="仿宋" w:hAnsi="仿宋" w:eastAsia="仿宋" w:cs="仿宋"/>
          <w:color w:val="auto"/>
          <w:spacing w:val="-1"/>
          <w:sz w:val="24"/>
          <w:szCs w:val="24"/>
          <w:highlight w:val="none"/>
          <w:lang w:eastAsia="zh-CN"/>
        </w:rPr>
        <w:t>加贴封条，并在封套的封口处加盖投标人（或联合体牵头人）单位章。</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4.1.2 投标文件的封套上应清楚地标记“</w:t>
      </w:r>
      <w:r>
        <w:rPr>
          <w:rFonts w:hint="eastAsia" w:ascii="仿宋" w:hAnsi="仿宋" w:eastAsia="仿宋" w:cs="仿宋"/>
          <w:color w:val="auto"/>
          <w:spacing w:val="-1"/>
          <w:sz w:val="24"/>
          <w:szCs w:val="24"/>
          <w:highlight w:val="none"/>
          <w:lang w:val="en-US" w:eastAsia="zh-CN"/>
        </w:rPr>
        <w:t>投标文件</w:t>
      </w:r>
      <w:r>
        <w:rPr>
          <w:rFonts w:hint="eastAsia" w:ascii="仿宋" w:hAnsi="仿宋" w:eastAsia="仿宋" w:cs="仿宋"/>
          <w:color w:val="auto"/>
          <w:spacing w:val="-1"/>
          <w:sz w:val="24"/>
          <w:szCs w:val="24"/>
          <w:highlight w:val="none"/>
          <w:lang w:eastAsia="zh-CN"/>
        </w:rPr>
        <w:t xml:space="preserve"> ”字样，封套上应写明的内容见投标人须知前附表。</w:t>
      </w:r>
    </w:p>
    <w:p>
      <w:pPr>
        <w:spacing w:before="112" w:line="440" w:lineRule="exact"/>
        <w:ind w:firstLine="266"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4.1.3 未按本章第4.1.1项或第4.1.2项要求密封或者加写标记的投标文件，招标人将拒收。</w:t>
      </w:r>
    </w:p>
    <w:p>
      <w:pPr>
        <w:spacing w:before="116" w:line="440" w:lineRule="exact"/>
        <w:ind w:firstLine="268" w:firstLineChars="112"/>
        <w:outlineLvl w:val="2"/>
        <w:rPr>
          <w:rFonts w:hint="eastAsia" w:ascii="仿宋" w:hAnsi="仿宋" w:eastAsia="仿宋" w:cs="仿宋"/>
          <w:color w:val="auto"/>
          <w:sz w:val="24"/>
          <w:szCs w:val="24"/>
          <w:highlight w:val="none"/>
          <w:lang w:eastAsia="zh-CN"/>
        </w:rPr>
      </w:pPr>
      <w:bookmarkStart w:id="276" w:name="_Toc5558"/>
      <w:bookmarkStart w:id="277" w:name="_Toc3832"/>
      <w:bookmarkStart w:id="278" w:name="_Toc20652"/>
      <w:bookmarkStart w:id="279" w:name="_Toc9524"/>
      <w:bookmarkStart w:id="280" w:name="_Toc11029"/>
      <w:bookmarkStart w:id="281" w:name="_Toc7731"/>
      <w:bookmarkStart w:id="282" w:name="_Toc23670"/>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4.2</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投标文件的递交</w:t>
      </w:r>
      <w:bookmarkEnd w:id="276"/>
      <w:bookmarkEnd w:id="277"/>
      <w:bookmarkEnd w:id="278"/>
      <w:bookmarkEnd w:id="279"/>
      <w:bookmarkEnd w:id="280"/>
      <w:bookmarkEnd w:id="281"/>
      <w:bookmarkEnd w:id="282"/>
    </w:p>
    <w:p>
      <w:pPr>
        <w:spacing w:before="115"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4.2.1 投标人应在本章第</w:t>
      </w:r>
      <w:r>
        <w:rPr>
          <w:rFonts w:hint="eastAsia" w:ascii="仿宋" w:hAnsi="仿宋" w:eastAsia="仿宋" w:cs="仿宋"/>
          <w:color w:val="auto"/>
          <w:spacing w:val="-48"/>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2.2</w:t>
      </w:r>
      <w:r>
        <w:rPr>
          <w:rFonts w:hint="eastAsia" w:ascii="仿宋" w:hAnsi="仿宋" w:eastAsia="仿宋" w:cs="仿宋"/>
          <w:color w:val="auto"/>
          <w:spacing w:val="-47"/>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项规定的投标截止时间前递交投标文件。</w:t>
      </w:r>
    </w:p>
    <w:p>
      <w:pPr>
        <w:spacing w:before="114" w:line="440" w:lineRule="exact"/>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4.2.2 投标人递交投标文件的地点：</w:t>
      </w:r>
      <w:r>
        <w:rPr>
          <w:rFonts w:hint="eastAsia" w:ascii="仿宋" w:hAnsi="仿宋" w:eastAsia="仿宋" w:cs="仿宋"/>
          <w:color w:val="auto"/>
          <w:spacing w:val="-1"/>
          <w:sz w:val="24"/>
          <w:szCs w:val="24"/>
          <w:highlight w:val="none"/>
          <w:lang w:eastAsia="zh-CN"/>
        </w:rPr>
        <w:t>见投标人须知前附表。</w:t>
      </w:r>
    </w:p>
    <w:p>
      <w:pPr>
        <w:spacing w:before="116" w:line="440" w:lineRule="exact"/>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4.2.3 除投标人须知前附表另有规定外，投标人所递交</w:t>
      </w:r>
      <w:r>
        <w:rPr>
          <w:rFonts w:hint="eastAsia" w:ascii="仿宋" w:hAnsi="仿宋" w:eastAsia="仿宋" w:cs="仿宋"/>
          <w:color w:val="auto"/>
          <w:spacing w:val="-1"/>
          <w:sz w:val="24"/>
          <w:szCs w:val="24"/>
          <w:highlight w:val="none"/>
          <w:lang w:eastAsia="zh-CN"/>
        </w:rPr>
        <w:t>的投标文件不予退还。</w:t>
      </w:r>
    </w:p>
    <w:p>
      <w:pPr>
        <w:spacing w:before="117"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4.2.4 招标人收到投标文件后，向投标人出具签收凭证。</w:t>
      </w:r>
    </w:p>
    <w:p>
      <w:pPr>
        <w:spacing w:before="114" w:line="440" w:lineRule="exact"/>
        <w:ind w:firstLine="268" w:firstLineChars="11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z w:val="24"/>
          <w:szCs w:val="24"/>
          <w:highlight w:val="none"/>
          <w:lang w:eastAsia="zh-CN"/>
        </w:rPr>
        <w:t>4.2.5 逾期送达的或者未送达指定地点的投标文</w:t>
      </w:r>
      <w:r>
        <w:rPr>
          <w:rFonts w:hint="eastAsia" w:ascii="仿宋" w:hAnsi="仿宋" w:eastAsia="仿宋" w:cs="仿宋"/>
          <w:color w:val="auto"/>
          <w:spacing w:val="-1"/>
          <w:sz w:val="24"/>
          <w:szCs w:val="24"/>
          <w:highlight w:val="none"/>
          <w:lang w:eastAsia="zh-CN"/>
        </w:rPr>
        <w:t>件，招标人不予受理。</w:t>
      </w:r>
    </w:p>
    <w:p>
      <w:pPr>
        <w:spacing w:before="114"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4.2.6 在特殊情况下，招标人如果决定延后递交投标文件截止</w:t>
      </w:r>
      <w:r>
        <w:rPr>
          <w:rFonts w:hint="eastAsia" w:ascii="仿宋" w:hAnsi="仿宋" w:eastAsia="仿宋" w:cs="仿宋"/>
          <w:color w:val="auto"/>
          <w:spacing w:val="-1"/>
          <w:sz w:val="24"/>
          <w:szCs w:val="24"/>
          <w:highlight w:val="none"/>
          <w:lang w:val="en-US" w:eastAsia="zh-CN"/>
        </w:rPr>
        <w:t>日</w:t>
      </w:r>
      <w:r>
        <w:rPr>
          <w:rFonts w:hint="eastAsia" w:ascii="仿宋" w:hAnsi="仿宋" w:eastAsia="仿宋" w:cs="仿宋"/>
          <w:color w:val="auto"/>
          <w:spacing w:val="-1"/>
          <w:sz w:val="24"/>
          <w:szCs w:val="24"/>
          <w:highlight w:val="none"/>
          <w:lang w:eastAsia="zh-CN"/>
        </w:rPr>
        <w:t>期，至少应在招标人</w:t>
      </w:r>
      <w:r>
        <w:rPr>
          <w:rFonts w:hint="eastAsia" w:ascii="仿宋" w:hAnsi="仿宋" w:eastAsia="仿宋" w:cs="仿宋"/>
          <w:color w:val="auto"/>
          <w:spacing w:val="1"/>
          <w:sz w:val="24"/>
          <w:szCs w:val="24"/>
          <w:highlight w:val="none"/>
          <w:lang w:eastAsia="zh-CN"/>
        </w:rPr>
        <w:t>须知前附表规定的天数前将此决定通知送达所有的投标</w:t>
      </w:r>
      <w:r>
        <w:rPr>
          <w:rFonts w:hint="eastAsia" w:ascii="仿宋" w:hAnsi="仿宋" w:eastAsia="仿宋" w:cs="仿宋"/>
          <w:color w:val="auto"/>
          <w:sz w:val="24"/>
          <w:szCs w:val="24"/>
          <w:highlight w:val="none"/>
          <w:lang w:eastAsia="zh-CN"/>
        </w:rPr>
        <w:t>人。在此情况下，招标人和投标</w:t>
      </w:r>
      <w:r>
        <w:rPr>
          <w:rFonts w:hint="eastAsia" w:ascii="仿宋" w:hAnsi="仿宋" w:eastAsia="仿宋" w:cs="仿宋"/>
          <w:color w:val="auto"/>
          <w:spacing w:val="-1"/>
          <w:sz w:val="24"/>
          <w:szCs w:val="24"/>
          <w:highlight w:val="none"/>
          <w:lang w:eastAsia="zh-CN"/>
        </w:rPr>
        <w:t>人的权利和义务相应延后至新的投标截止</w:t>
      </w:r>
      <w:r>
        <w:rPr>
          <w:rFonts w:hint="eastAsia" w:ascii="仿宋" w:hAnsi="仿宋" w:eastAsia="仿宋" w:cs="仿宋"/>
          <w:color w:val="auto"/>
          <w:spacing w:val="-1"/>
          <w:sz w:val="24"/>
          <w:szCs w:val="24"/>
          <w:highlight w:val="none"/>
          <w:lang w:val="en-US" w:eastAsia="zh-CN"/>
        </w:rPr>
        <w:t>日</w:t>
      </w:r>
      <w:r>
        <w:rPr>
          <w:rFonts w:hint="eastAsia" w:ascii="仿宋" w:hAnsi="仿宋" w:eastAsia="仿宋" w:cs="仿宋"/>
          <w:color w:val="auto"/>
          <w:spacing w:val="-1"/>
          <w:sz w:val="24"/>
          <w:szCs w:val="24"/>
          <w:highlight w:val="none"/>
          <w:lang w:eastAsia="zh-CN"/>
        </w:rPr>
        <w:t>期。</w:t>
      </w:r>
    </w:p>
    <w:p>
      <w:pPr>
        <w:spacing w:before="117" w:line="440" w:lineRule="exact"/>
        <w:ind w:firstLine="268" w:firstLineChars="112"/>
        <w:outlineLvl w:val="2"/>
        <w:rPr>
          <w:rFonts w:hint="eastAsia" w:ascii="仿宋" w:hAnsi="仿宋" w:eastAsia="仿宋" w:cs="仿宋"/>
          <w:color w:val="auto"/>
          <w:sz w:val="24"/>
          <w:szCs w:val="24"/>
          <w:highlight w:val="none"/>
          <w:lang w:eastAsia="zh-CN"/>
        </w:rPr>
      </w:pPr>
      <w:bookmarkStart w:id="283" w:name="_Toc17402"/>
      <w:bookmarkStart w:id="284" w:name="_Toc17819"/>
      <w:bookmarkStart w:id="285" w:name="_Toc20626"/>
      <w:bookmarkStart w:id="286" w:name="_Toc28751"/>
      <w:bookmarkStart w:id="287" w:name="_Toc25209"/>
      <w:bookmarkStart w:id="288" w:name="_Toc32476"/>
      <w:bookmarkStart w:id="289" w:name="_Toc21444"/>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4.3</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投标文件的修改与撤回</w:t>
      </w:r>
      <w:bookmarkEnd w:id="283"/>
      <w:bookmarkEnd w:id="284"/>
      <w:bookmarkEnd w:id="285"/>
      <w:bookmarkEnd w:id="286"/>
      <w:bookmarkEnd w:id="287"/>
      <w:bookmarkEnd w:id="288"/>
      <w:bookmarkEnd w:id="289"/>
    </w:p>
    <w:p>
      <w:pPr>
        <w:spacing w:before="116" w:line="440" w:lineRule="exact"/>
        <w:ind w:right="2" w:firstLine="266" w:firstLineChars="112"/>
        <w:jc w:val="both"/>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4.3.1 在本章第2.2项规定的投标截止时间前，投标人可以修改或撤回已递交的投标文件，但应以书面形式通知招标人。</w:t>
      </w:r>
    </w:p>
    <w:p>
      <w:pPr>
        <w:spacing w:before="116" w:line="440" w:lineRule="exact"/>
        <w:ind w:right="2" w:firstLine="266" w:firstLineChars="112"/>
        <w:jc w:val="both"/>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4.3.2 投标人修改或撤回已递交投标文件的书面通知应按照要求签字或盖章。招标人收到书面通知后，向投标人出具签收凭证。</w:t>
      </w:r>
    </w:p>
    <w:p>
      <w:pPr>
        <w:spacing w:before="116" w:line="440" w:lineRule="exact"/>
        <w:ind w:right="2" w:firstLine="266" w:firstLineChars="112"/>
        <w:jc w:val="both"/>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4.3.3 修改的内容为投标文件的组成部分。修改的投标文件应按照本章第3条、第4条规定进行编制、密封、标记和递交，并标明“修改 ”字样。</w:t>
      </w:r>
    </w:p>
    <w:p>
      <w:pPr>
        <w:pStyle w:val="4"/>
        <w:spacing w:line="240" w:lineRule="auto"/>
        <w:rPr>
          <w:rFonts w:hint="eastAsia" w:ascii="仿宋" w:hAnsi="仿宋" w:eastAsia="仿宋" w:cs="仿宋"/>
          <w:color w:val="auto"/>
          <w:szCs w:val="24"/>
          <w:highlight w:val="none"/>
          <w:lang w:eastAsia="zh-CN"/>
        </w:rPr>
      </w:pPr>
      <w:bookmarkStart w:id="290" w:name="_Toc20374"/>
      <w:bookmarkStart w:id="291" w:name="_Toc16589"/>
      <w:bookmarkStart w:id="292" w:name="_Toc20815"/>
      <w:bookmarkStart w:id="293" w:name="_Toc13354"/>
      <w:bookmarkStart w:id="294" w:name="_Toc16748"/>
      <w:bookmarkStart w:id="295" w:name="_Toc18994"/>
      <w:bookmarkStart w:id="296" w:name="_Toc32439"/>
      <w:r>
        <w:rPr>
          <w:rFonts w:hint="eastAsia" w:ascii="仿宋" w:hAnsi="仿宋" w:eastAsia="仿宋" w:cs="仿宋"/>
          <w:color w:val="auto"/>
          <w:highlight w:val="none"/>
          <w:lang w:eastAsia="zh-CN"/>
        </w:rPr>
        <w:t>5. 投标文件开启</w:t>
      </w:r>
      <w:bookmarkEnd w:id="290"/>
      <w:bookmarkEnd w:id="291"/>
      <w:bookmarkEnd w:id="292"/>
      <w:bookmarkEnd w:id="293"/>
      <w:bookmarkEnd w:id="294"/>
      <w:bookmarkEnd w:id="295"/>
      <w:bookmarkEnd w:id="296"/>
    </w:p>
    <w:p>
      <w:pPr>
        <w:spacing w:before="113" w:line="440" w:lineRule="exact"/>
        <w:ind w:firstLine="266" w:firstLineChars="112"/>
        <w:outlineLvl w:val="2"/>
        <w:rPr>
          <w:rFonts w:hint="eastAsia" w:ascii="仿宋" w:hAnsi="仿宋" w:eastAsia="仿宋" w:cs="仿宋"/>
          <w:color w:val="auto"/>
          <w:sz w:val="24"/>
          <w:szCs w:val="24"/>
          <w:highlight w:val="none"/>
          <w:lang w:eastAsia="zh-CN"/>
        </w:rPr>
      </w:pPr>
      <w:bookmarkStart w:id="297" w:name="_Toc31418"/>
      <w:bookmarkStart w:id="298" w:name="_Toc4925"/>
      <w:bookmarkStart w:id="299" w:name="_Toc9892"/>
      <w:bookmarkStart w:id="300" w:name="_Toc18699"/>
      <w:bookmarkStart w:id="301" w:name="_Toc19186"/>
      <w:bookmarkStart w:id="302" w:name="_Toc2622"/>
      <w:bookmarkStart w:id="303" w:name="_Toc29341"/>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5.1</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开启时间和地点</w:t>
      </w:r>
      <w:bookmarkEnd w:id="297"/>
      <w:bookmarkEnd w:id="298"/>
      <w:bookmarkEnd w:id="299"/>
      <w:bookmarkEnd w:id="300"/>
      <w:bookmarkEnd w:id="301"/>
      <w:bookmarkEnd w:id="302"/>
      <w:bookmarkEnd w:id="303"/>
    </w:p>
    <w:p>
      <w:pPr>
        <w:spacing w:before="114" w:line="440" w:lineRule="exact"/>
        <w:ind w:right="2" w:firstLine="264" w:firstLineChars="112"/>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招标人在本章第</w:t>
      </w:r>
      <w:r>
        <w:rPr>
          <w:rFonts w:hint="eastAsia" w:ascii="仿宋" w:hAnsi="仿宋" w:eastAsia="仿宋" w:cs="仿宋"/>
          <w:color w:val="auto"/>
          <w:spacing w:val="-30"/>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2.2</w:t>
      </w:r>
      <w:r>
        <w:rPr>
          <w:rFonts w:hint="eastAsia" w:ascii="仿宋" w:hAnsi="仿宋" w:eastAsia="仿宋" w:cs="仿宋"/>
          <w:color w:val="auto"/>
          <w:spacing w:val="-47"/>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项规定的投标截止时间（开启时间）和投标人须知前附表规定</w:t>
      </w:r>
      <w:r>
        <w:rPr>
          <w:rFonts w:hint="eastAsia" w:ascii="仿宋" w:hAnsi="仿宋" w:eastAsia="仿宋" w:cs="仿宋"/>
          <w:color w:val="auto"/>
          <w:spacing w:val="1"/>
          <w:sz w:val="24"/>
          <w:szCs w:val="24"/>
          <w:highlight w:val="none"/>
          <w:lang w:eastAsia="zh-CN"/>
        </w:rPr>
        <w:t>的地点公开开启，开启会由招标人主持，并邀请有关主管部门和</w:t>
      </w:r>
      <w:r>
        <w:rPr>
          <w:rFonts w:hint="eastAsia" w:ascii="仿宋" w:hAnsi="仿宋" w:eastAsia="仿宋" w:cs="仿宋"/>
          <w:color w:val="auto"/>
          <w:sz w:val="24"/>
          <w:szCs w:val="24"/>
          <w:highlight w:val="none"/>
          <w:lang w:eastAsia="zh-CN"/>
        </w:rPr>
        <w:t xml:space="preserve">所有投标人的法定代表 </w:t>
      </w:r>
      <w:r>
        <w:rPr>
          <w:rFonts w:hint="eastAsia" w:ascii="仿宋" w:hAnsi="仿宋" w:eastAsia="仿宋" w:cs="仿宋"/>
          <w:color w:val="auto"/>
          <w:spacing w:val="-1"/>
          <w:sz w:val="24"/>
          <w:szCs w:val="24"/>
          <w:highlight w:val="none"/>
          <w:lang w:eastAsia="zh-CN"/>
        </w:rPr>
        <w:t>人或其委托代理人准时参加。</w:t>
      </w:r>
    </w:p>
    <w:p>
      <w:pPr>
        <w:spacing w:before="115" w:line="440" w:lineRule="exact"/>
        <w:ind w:firstLine="262" w:firstLineChars="112"/>
        <w:outlineLvl w:val="2"/>
        <w:rPr>
          <w:rFonts w:hint="eastAsia" w:ascii="仿宋" w:hAnsi="仿宋" w:eastAsia="仿宋" w:cs="仿宋"/>
          <w:color w:val="auto"/>
          <w:sz w:val="24"/>
          <w:szCs w:val="24"/>
          <w:highlight w:val="none"/>
          <w:lang w:eastAsia="zh-CN"/>
        </w:rPr>
      </w:pPr>
      <w:bookmarkStart w:id="304" w:name="bookmark46"/>
      <w:bookmarkEnd w:id="304"/>
      <w:bookmarkStart w:id="305" w:name="_Toc20267"/>
      <w:bookmarkStart w:id="306" w:name="_Toc16964"/>
      <w:bookmarkStart w:id="307" w:name="_Toc32687"/>
      <w:bookmarkStart w:id="308" w:name="_Toc16632"/>
      <w:bookmarkStart w:id="309" w:name="_Toc15602"/>
      <w:bookmarkStart w:id="310" w:name="_Toc10235"/>
      <w:bookmarkStart w:id="311" w:name="_Toc17683"/>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5.2</w:t>
      </w:r>
      <w:r>
        <w:rPr>
          <w:rFonts w:hint="eastAsia" w:ascii="仿宋" w:hAnsi="仿宋" w:eastAsia="仿宋" w:cs="仿宋"/>
          <w:color w:val="auto"/>
          <w:spacing w:val="13"/>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开启程序</w:t>
      </w:r>
      <w:bookmarkEnd w:id="305"/>
      <w:bookmarkEnd w:id="306"/>
      <w:bookmarkEnd w:id="307"/>
      <w:bookmarkEnd w:id="308"/>
      <w:bookmarkEnd w:id="309"/>
      <w:bookmarkEnd w:id="310"/>
      <w:bookmarkEnd w:id="311"/>
    </w:p>
    <w:p>
      <w:pPr>
        <w:spacing w:before="115"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position w:val="11"/>
          <w:sz w:val="24"/>
          <w:szCs w:val="24"/>
          <w:highlight w:val="none"/>
          <w:lang w:eastAsia="zh-CN"/>
        </w:rPr>
        <w:t>5.2.1</w:t>
      </w:r>
      <w:r>
        <w:rPr>
          <w:rFonts w:hint="eastAsia" w:ascii="仿宋" w:hAnsi="仿宋" w:eastAsia="仿宋" w:cs="仿宋"/>
          <w:color w:val="auto"/>
          <w:spacing w:val="-40"/>
          <w:position w:val="11"/>
          <w:sz w:val="24"/>
          <w:szCs w:val="24"/>
          <w:highlight w:val="none"/>
          <w:lang w:eastAsia="zh-CN"/>
        </w:rPr>
        <w:t xml:space="preserve"> </w:t>
      </w:r>
      <w:r>
        <w:rPr>
          <w:rFonts w:hint="eastAsia" w:ascii="仿宋" w:hAnsi="仿宋" w:eastAsia="仿宋" w:cs="仿宋"/>
          <w:color w:val="auto"/>
          <w:spacing w:val="-2"/>
          <w:position w:val="11"/>
          <w:sz w:val="24"/>
          <w:szCs w:val="24"/>
          <w:highlight w:val="none"/>
          <w:lang w:eastAsia="zh-CN"/>
        </w:rPr>
        <w:t>主持人按下列程序进行开启：</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（1）宣布开启纪律；</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（2）公布在投标截止时间前投标文件的递交情况；</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（3）宣布开启人、唱标人、记录人、监标人等有关人员姓名；</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（4）按照投标人须知前附表规定检查投标文件的密封情况；</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（5）按照投标人须知前附表的规定确定并宣布投标文件开启顺序；</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（6）按照宣布的开启顺序当众开启，公布投标人名称、合同段名称、投标报价、评审价及其他内容，并记录在案；</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 xml:space="preserve">（7）投标人代表、招标人代表、监标人、记录人等有关人员在开启记录上签字确认； </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（8）开启结束。</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5.2.2 若招标人宣读的内容与投标文件不符时，投标人有权在开启现场提出异议，经监标人当场核查确认之后，可重新宣读其投标文件。若投标人现场未提出异议，则认为投标人已确认招标人宣读的内容。</w:t>
      </w:r>
    </w:p>
    <w:p>
      <w:pPr>
        <w:pStyle w:val="4"/>
        <w:spacing w:line="240" w:lineRule="auto"/>
        <w:rPr>
          <w:rFonts w:hint="eastAsia" w:ascii="仿宋" w:hAnsi="仿宋" w:eastAsia="仿宋" w:cs="仿宋"/>
          <w:color w:val="auto"/>
          <w:highlight w:val="none"/>
          <w:lang w:eastAsia="zh-CN"/>
        </w:rPr>
      </w:pPr>
      <w:bookmarkStart w:id="312" w:name="bookmark48"/>
      <w:bookmarkEnd w:id="312"/>
      <w:bookmarkStart w:id="313" w:name="bookmark47"/>
      <w:bookmarkEnd w:id="313"/>
      <w:bookmarkStart w:id="314" w:name="_Toc2685"/>
      <w:bookmarkStart w:id="315" w:name="_Toc27757"/>
      <w:bookmarkStart w:id="316" w:name="_Toc25259"/>
      <w:bookmarkStart w:id="317" w:name="_Toc21896"/>
      <w:bookmarkStart w:id="318" w:name="_Toc21095"/>
      <w:bookmarkStart w:id="319" w:name="_Toc30478"/>
      <w:bookmarkStart w:id="320" w:name="_Toc32196"/>
      <w:r>
        <w:rPr>
          <w:rFonts w:hint="eastAsia" w:ascii="仿宋" w:hAnsi="仿宋" w:eastAsia="仿宋" w:cs="仿宋"/>
          <w:color w:val="auto"/>
          <w:highlight w:val="none"/>
          <w:lang w:eastAsia="zh-CN"/>
        </w:rPr>
        <w:t>6. 评审</w:t>
      </w:r>
      <w:bookmarkEnd w:id="314"/>
      <w:bookmarkEnd w:id="315"/>
      <w:bookmarkEnd w:id="316"/>
      <w:bookmarkEnd w:id="317"/>
      <w:bookmarkEnd w:id="318"/>
      <w:bookmarkEnd w:id="319"/>
      <w:bookmarkEnd w:id="320"/>
    </w:p>
    <w:p>
      <w:pPr>
        <w:spacing w:before="114" w:line="440" w:lineRule="exact"/>
        <w:ind w:firstLine="266" w:firstLineChars="112"/>
        <w:outlineLvl w:val="2"/>
        <w:rPr>
          <w:rFonts w:hint="eastAsia" w:ascii="仿宋" w:hAnsi="仿宋" w:eastAsia="仿宋" w:cs="仿宋"/>
          <w:color w:val="auto"/>
          <w:sz w:val="24"/>
          <w:szCs w:val="24"/>
          <w:highlight w:val="none"/>
          <w:lang w:eastAsia="zh-CN"/>
        </w:rPr>
      </w:pPr>
      <w:bookmarkStart w:id="321" w:name="_Toc5779"/>
      <w:bookmarkStart w:id="322" w:name="_Toc32669"/>
      <w:bookmarkStart w:id="323" w:name="_Toc12182"/>
      <w:bookmarkStart w:id="324" w:name="_Toc3499"/>
      <w:bookmarkStart w:id="325" w:name="_Toc2533"/>
      <w:bookmarkStart w:id="326" w:name="_Toc12992"/>
      <w:bookmarkStart w:id="327" w:name="_Toc27025"/>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6.1</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评审委员会</w:t>
      </w:r>
      <w:bookmarkEnd w:id="321"/>
      <w:bookmarkEnd w:id="322"/>
      <w:bookmarkEnd w:id="323"/>
      <w:bookmarkEnd w:id="324"/>
      <w:bookmarkEnd w:id="325"/>
      <w:bookmarkEnd w:id="326"/>
      <w:bookmarkEnd w:id="327"/>
    </w:p>
    <w:p>
      <w:pPr>
        <w:spacing w:before="114" w:line="440" w:lineRule="exact"/>
        <w:ind w:right="2" w:firstLine="271"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1"/>
          <w:sz w:val="24"/>
          <w:szCs w:val="24"/>
          <w:highlight w:val="none"/>
          <w:lang w:eastAsia="zh-CN"/>
        </w:rPr>
        <w:t>6.1.1 评审由招标人依法组建的评审委员会负责。评</w:t>
      </w:r>
      <w:r>
        <w:rPr>
          <w:rFonts w:hint="eastAsia" w:ascii="仿宋" w:hAnsi="仿宋" w:eastAsia="仿宋" w:cs="仿宋"/>
          <w:color w:val="auto"/>
          <w:sz w:val="24"/>
          <w:szCs w:val="24"/>
          <w:highlight w:val="none"/>
          <w:lang w:eastAsia="zh-CN"/>
        </w:rPr>
        <w:t>审委员会由招标人或其委托的</w:t>
      </w:r>
      <w:r>
        <w:rPr>
          <w:rFonts w:hint="eastAsia" w:ascii="仿宋" w:hAnsi="仿宋" w:eastAsia="仿宋" w:cs="仿宋"/>
          <w:color w:val="auto"/>
          <w:spacing w:val="1"/>
          <w:sz w:val="24"/>
          <w:szCs w:val="24"/>
          <w:highlight w:val="none"/>
          <w:lang w:eastAsia="zh-CN"/>
        </w:rPr>
        <w:t>招标代理机构熟悉相关业务的代表，以及有关技术、经济等</w:t>
      </w:r>
      <w:r>
        <w:rPr>
          <w:rFonts w:hint="eastAsia" w:ascii="仿宋" w:hAnsi="仿宋" w:eastAsia="仿宋" w:cs="仿宋"/>
          <w:color w:val="auto"/>
          <w:sz w:val="24"/>
          <w:szCs w:val="24"/>
          <w:highlight w:val="none"/>
          <w:lang w:eastAsia="zh-CN"/>
        </w:rPr>
        <w:t>方面的专家组成</w:t>
      </w:r>
      <w:r>
        <w:rPr>
          <w:rFonts w:hint="eastAsia" w:ascii="仿宋" w:hAnsi="仿宋" w:eastAsia="仿宋" w:cs="仿宋"/>
          <w:color w:val="auto"/>
          <w:spacing w:val="-2"/>
          <w:sz w:val="24"/>
          <w:szCs w:val="24"/>
          <w:highlight w:val="none"/>
          <w:lang w:eastAsia="zh-CN"/>
        </w:rPr>
        <w:t>。</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6.1.2 评审委员会成员有下列情形之一的，应当回避：</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（1）招标人或投标人的主要负责人的近亲属；</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（2）项目主管部门或者行政监督部门的人员；</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（3）与投标人有经济利益关系，可能影响对投标公正评审的；</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（4）曾因在招标、评审以及其他与招标投标有关活动中从事违法行为而受过行政处罚或刑事处罚的。</w:t>
      </w:r>
    </w:p>
    <w:p>
      <w:pPr>
        <w:spacing w:before="112" w:line="440" w:lineRule="exact"/>
        <w:ind w:firstLine="266" w:firstLineChars="112"/>
        <w:outlineLvl w:val="2"/>
        <w:rPr>
          <w:rFonts w:hint="eastAsia" w:ascii="仿宋" w:hAnsi="仿宋" w:eastAsia="仿宋" w:cs="仿宋"/>
          <w:color w:val="auto"/>
          <w:sz w:val="24"/>
          <w:szCs w:val="24"/>
          <w:highlight w:val="none"/>
          <w:lang w:eastAsia="zh-CN"/>
        </w:rPr>
      </w:pPr>
      <w:bookmarkStart w:id="328" w:name="bookmark49"/>
      <w:bookmarkEnd w:id="328"/>
      <w:bookmarkStart w:id="329" w:name="bookmark50"/>
      <w:bookmarkEnd w:id="329"/>
      <w:bookmarkStart w:id="330" w:name="_Toc26395"/>
      <w:bookmarkStart w:id="331" w:name="_Toc30027"/>
      <w:bookmarkStart w:id="332" w:name="_Toc150"/>
      <w:bookmarkStart w:id="333" w:name="_Toc25946"/>
      <w:bookmarkStart w:id="334" w:name="_Toc704"/>
      <w:bookmarkStart w:id="335" w:name="_Toc18213"/>
      <w:bookmarkStart w:id="336" w:name="_Toc26516"/>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6.2</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评审原则</w:t>
      </w:r>
      <w:bookmarkEnd w:id="330"/>
      <w:bookmarkEnd w:id="331"/>
      <w:bookmarkEnd w:id="332"/>
      <w:bookmarkEnd w:id="333"/>
      <w:bookmarkEnd w:id="334"/>
      <w:bookmarkEnd w:id="335"/>
      <w:bookmarkEnd w:id="336"/>
    </w:p>
    <w:p>
      <w:pPr>
        <w:spacing w:before="114" w:line="440" w:lineRule="exact"/>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评审活动遵循公平、公正、科学和择优的原则。</w:t>
      </w:r>
    </w:p>
    <w:p>
      <w:pPr>
        <w:spacing w:before="117" w:line="440" w:lineRule="exact"/>
        <w:ind w:firstLine="259" w:firstLineChars="112"/>
        <w:outlineLvl w:val="2"/>
        <w:rPr>
          <w:rFonts w:hint="eastAsia" w:ascii="仿宋" w:hAnsi="仿宋" w:eastAsia="仿宋" w:cs="仿宋"/>
          <w:color w:val="auto"/>
          <w:sz w:val="24"/>
          <w:szCs w:val="24"/>
          <w:highlight w:val="none"/>
          <w:lang w:eastAsia="zh-CN"/>
        </w:rPr>
      </w:pPr>
      <w:bookmarkStart w:id="337" w:name="_Toc21045"/>
      <w:bookmarkStart w:id="338" w:name="_Toc7104"/>
      <w:bookmarkStart w:id="339" w:name="_Toc25727"/>
      <w:bookmarkStart w:id="340" w:name="_Toc4313"/>
      <w:bookmarkStart w:id="341" w:name="_Toc29838"/>
      <w:bookmarkStart w:id="342" w:name="_Toc5802"/>
      <w:bookmarkStart w:id="343" w:name="_Toc15255"/>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6.3</w:t>
      </w:r>
      <w:r>
        <w:rPr>
          <w:rFonts w:hint="eastAsia" w:ascii="仿宋" w:hAnsi="仿宋" w:eastAsia="仿宋" w:cs="仿宋"/>
          <w:color w:val="auto"/>
          <w:spacing w:val="12"/>
          <w:sz w:val="24"/>
          <w:szCs w:val="24"/>
          <w:highlight w:val="none"/>
          <w:lang w:eastAsia="zh-CN"/>
        </w:rPr>
        <w:t xml:space="preserve"> </w:t>
      </w:r>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评审</w:t>
      </w:r>
      <w:bookmarkEnd w:id="337"/>
      <w:bookmarkEnd w:id="338"/>
      <w:bookmarkEnd w:id="339"/>
      <w:bookmarkEnd w:id="340"/>
      <w:bookmarkEnd w:id="341"/>
      <w:bookmarkEnd w:id="342"/>
      <w:bookmarkEnd w:id="343"/>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评审委员会按照第三章“评审办法 ”规定的方法、评审因素、标准和程序对投标文件进行评审。</w:t>
      </w:r>
    </w:p>
    <w:p>
      <w:pPr>
        <w:pStyle w:val="4"/>
        <w:spacing w:line="240" w:lineRule="auto"/>
        <w:rPr>
          <w:rFonts w:hint="eastAsia" w:ascii="仿宋" w:hAnsi="仿宋" w:eastAsia="仿宋" w:cs="仿宋"/>
          <w:color w:val="auto"/>
          <w:highlight w:val="none"/>
          <w:lang w:eastAsia="zh-CN"/>
        </w:rPr>
      </w:pPr>
      <w:bookmarkStart w:id="344" w:name="bookmark51"/>
      <w:bookmarkEnd w:id="344"/>
      <w:bookmarkStart w:id="345" w:name="bookmark52"/>
      <w:bookmarkEnd w:id="345"/>
      <w:bookmarkStart w:id="346" w:name="_Toc8927"/>
      <w:bookmarkStart w:id="347" w:name="_Toc15291"/>
      <w:bookmarkStart w:id="348" w:name="_Toc30929"/>
      <w:bookmarkStart w:id="349" w:name="_Toc26313"/>
      <w:bookmarkStart w:id="350" w:name="_Toc26485"/>
      <w:bookmarkStart w:id="351" w:name="_Toc19245"/>
      <w:bookmarkStart w:id="352" w:name="_Toc21723"/>
      <w:r>
        <w:rPr>
          <w:rFonts w:hint="eastAsia" w:ascii="仿宋" w:hAnsi="仿宋" w:eastAsia="仿宋" w:cs="仿宋"/>
          <w:color w:val="auto"/>
          <w:highlight w:val="none"/>
          <w:lang w:eastAsia="zh-CN"/>
        </w:rPr>
        <w:t>7.合同授予</w:t>
      </w:r>
      <w:bookmarkEnd w:id="346"/>
      <w:bookmarkEnd w:id="347"/>
      <w:bookmarkEnd w:id="348"/>
      <w:bookmarkEnd w:id="349"/>
      <w:bookmarkEnd w:id="350"/>
      <w:bookmarkEnd w:id="351"/>
      <w:bookmarkEnd w:id="352"/>
    </w:p>
    <w:p>
      <w:pPr>
        <w:spacing w:before="111" w:line="440" w:lineRule="exact"/>
        <w:ind w:firstLine="259" w:firstLineChars="112"/>
        <w:outlineLvl w:val="2"/>
        <w:rPr>
          <w:rFonts w:hint="eastAsia" w:ascii="仿宋" w:hAnsi="仿宋" w:eastAsia="仿宋" w:cs="仿宋"/>
          <w:color w:val="auto"/>
          <w:sz w:val="24"/>
          <w:szCs w:val="24"/>
          <w:highlight w:val="none"/>
          <w:lang w:eastAsia="zh-CN"/>
        </w:rPr>
      </w:pPr>
      <w:bookmarkStart w:id="353" w:name="bookmark53"/>
      <w:bookmarkEnd w:id="353"/>
      <w:bookmarkStart w:id="354" w:name="_Toc17089"/>
      <w:bookmarkStart w:id="355" w:name="_Toc21129"/>
      <w:bookmarkStart w:id="356" w:name="_Toc23367"/>
      <w:bookmarkStart w:id="357" w:name="_Toc22232"/>
      <w:bookmarkStart w:id="358" w:name="_Toc18381"/>
      <w:bookmarkStart w:id="359" w:name="_Toc6926"/>
      <w:bookmarkStart w:id="360" w:name="_Toc18107"/>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7.1</w:t>
      </w:r>
      <w:r>
        <w:rPr>
          <w:rFonts w:hint="eastAsia" w:ascii="仿宋" w:hAnsi="仿宋" w:eastAsia="仿宋" w:cs="仿宋"/>
          <w:color w:val="auto"/>
          <w:spacing w:val="34"/>
          <w:sz w:val="24"/>
          <w:szCs w:val="24"/>
          <w:highlight w:val="none"/>
          <w:lang w:eastAsia="zh-CN"/>
        </w:rPr>
        <w:t xml:space="preserve"> </w:t>
      </w:r>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中标人确定方式</w:t>
      </w:r>
      <w:bookmarkEnd w:id="354"/>
      <w:bookmarkEnd w:id="355"/>
      <w:bookmarkEnd w:id="356"/>
      <w:bookmarkEnd w:id="357"/>
      <w:bookmarkEnd w:id="358"/>
      <w:bookmarkEnd w:id="359"/>
      <w:bookmarkEnd w:id="360"/>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除投标人须知前附表规定评审委员会直接确定中标人外，招标人依据评审委员会推荐的中标人顺序确定中标人，评审委员会推荐中标人的人数见投标人须知前附表。</w:t>
      </w:r>
    </w:p>
    <w:p>
      <w:pPr>
        <w:spacing w:before="114" w:line="440" w:lineRule="exact"/>
        <w:ind w:firstLine="253" w:firstLineChars="112"/>
        <w:outlineLvl w:val="2"/>
        <w:rPr>
          <w:rFonts w:hint="eastAsia" w:ascii="仿宋" w:hAnsi="仿宋" w:eastAsia="仿宋" w:cs="仿宋"/>
          <w:color w:val="auto"/>
          <w:sz w:val="24"/>
          <w:szCs w:val="24"/>
          <w:highlight w:val="none"/>
          <w:lang w:eastAsia="zh-CN"/>
        </w:rPr>
      </w:pPr>
      <w:bookmarkStart w:id="361" w:name="_Toc17297"/>
      <w:bookmarkStart w:id="362" w:name="_Toc4456"/>
      <w:bookmarkStart w:id="363" w:name="_Toc14676"/>
      <w:bookmarkStart w:id="364" w:name="_Toc8177"/>
      <w:bookmarkStart w:id="365" w:name="_Toc11859"/>
      <w:bookmarkStart w:id="366" w:name="_Toc19241"/>
      <w:bookmarkStart w:id="367" w:name="_Toc23942"/>
      <w:r>
        <w:rPr>
          <w:rFonts w:hint="eastAsia" w:ascii="仿宋" w:hAnsi="仿宋" w:eastAsia="仿宋" w:cs="仿宋"/>
          <w:color w:val="auto"/>
          <w:spacing w:val="-7"/>
          <w:sz w:val="24"/>
          <w:szCs w:val="24"/>
          <w:highlight w:val="none"/>
          <w:lang w:eastAsia="zh-CN"/>
          <w14:textOutline w14:w="4356" w14:cap="sq" w14:cmpd="sng" w14:algn="ctr">
            <w14:solidFill>
              <w14:srgbClr w14:val="000000"/>
            </w14:solidFill>
            <w14:prstDash w14:val="solid"/>
            <w14:bevel/>
          </w14:textOutline>
        </w:rPr>
        <w:t>7.2</w:t>
      </w:r>
      <w:r>
        <w:rPr>
          <w:rFonts w:hint="eastAsia" w:ascii="仿宋" w:hAnsi="仿宋" w:eastAsia="仿宋" w:cs="仿宋"/>
          <w:color w:val="auto"/>
          <w:spacing w:val="37"/>
          <w:sz w:val="24"/>
          <w:szCs w:val="24"/>
          <w:highlight w:val="none"/>
          <w:lang w:eastAsia="zh-CN"/>
        </w:rPr>
        <w:t xml:space="preserve"> </w:t>
      </w:r>
      <w:r>
        <w:rPr>
          <w:rFonts w:hint="eastAsia" w:ascii="仿宋" w:hAnsi="仿宋" w:eastAsia="仿宋" w:cs="仿宋"/>
          <w:color w:val="auto"/>
          <w:spacing w:val="-7"/>
          <w:sz w:val="24"/>
          <w:szCs w:val="24"/>
          <w:highlight w:val="none"/>
          <w:lang w:eastAsia="zh-CN"/>
          <w14:textOutline w14:w="4356" w14:cap="sq" w14:cmpd="sng" w14:algn="ctr">
            <w14:solidFill>
              <w14:srgbClr w14:val="000000"/>
            </w14:solidFill>
            <w14:prstDash w14:val="solid"/>
            <w14:bevel/>
          </w14:textOutline>
        </w:rPr>
        <w:t>中标通知</w:t>
      </w:r>
      <w:bookmarkEnd w:id="361"/>
      <w:bookmarkEnd w:id="362"/>
      <w:bookmarkEnd w:id="363"/>
      <w:bookmarkEnd w:id="364"/>
      <w:bookmarkEnd w:id="365"/>
      <w:bookmarkEnd w:id="366"/>
      <w:bookmarkEnd w:id="367"/>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在本章第3.3款规定的投标有效期内，招标人同时以书面形式或电子邮件形式向中标人发出中标通知书，同时将中标结果通知未中标的投标人。</w:t>
      </w:r>
    </w:p>
    <w:p>
      <w:pPr>
        <w:spacing w:before="115" w:line="440" w:lineRule="exact"/>
        <w:ind w:firstLine="259" w:firstLineChars="112"/>
        <w:outlineLvl w:val="2"/>
        <w:rPr>
          <w:rFonts w:hint="eastAsia" w:ascii="仿宋" w:hAnsi="仿宋" w:eastAsia="仿宋" w:cs="仿宋"/>
          <w:color w:val="auto"/>
          <w:sz w:val="24"/>
          <w:szCs w:val="24"/>
          <w:highlight w:val="none"/>
          <w:lang w:eastAsia="zh-CN"/>
        </w:rPr>
      </w:pPr>
      <w:bookmarkStart w:id="368" w:name="_Toc19485"/>
      <w:bookmarkStart w:id="369" w:name="_Toc25870"/>
      <w:bookmarkStart w:id="370" w:name="_Toc17340"/>
      <w:bookmarkStart w:id="371" w:name="_Toc28741"/>
      <w:bookmarkStart w:id="372" w:name="_Toc1498"/>
      <w:bookmarkStart w:id="373" w:name="_Toc27153"/>
      <w:bookmarkStart w:id="374" w:name="_Toc21429"/>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7.3</w:t>
      </w:r>
      <w:r>
        <w:rPr>
          <w:rFonts w:hint="eastAsia" w:ascii="仿宋" w:hAnsi="仿宋" w:eastAsia="仿宋" w:cs="仿宋"/>
          <w:color w:val="auto"/>
          <w:spacing w:val="19"/>
          <w:sz w:val="24"/>
          <w:szCs w:val="24"/>
          <w:highlight w:val="none"/>
          <w:lang w:eastAsia="zh-CN"/>
        </w:rPr>
        <w:t xml:space="preserve"> </w:t>
      </w:r>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履约担保</w:t>
      </w:r>
      <w:bookmarkEnd w:id="368"/>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w:t>
      </w:r>
      <w:r>
        <w:rPr>
          <w:rFonts w:hint="eastAsia" w:ascii="仿宋" w:hAnsi="仿宋" w:eastAsia="仿宋" w:cs="仿宋"/>
          <w:color w:val="auto"/>
          <w:spacing w:val="-4"/>
          <w:sz w:val="24"/>
          <w:szCs w:val="24"/>
          <w:highlight w:val="none"/>
          <w:lang w:val="en-US" w:eastAsia="zh-CN"/>
          <w14:textOutline w14:w="4356" w14:cap="sq" w14:cmpd="sng" w14:algn="ctr">
            <w14:solidFill>
              <w14:srgbClr w14:val="000000"/>
            </w14:solidFill>
            <w14:prstDash w14:val="solid"/>
            <w14:bevel/>
          </w14:textOutline>
        </w:rPr>
        <w:t>如有</w:t>
      </w:r>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w:t>
      </w:r>
      <w:bookmarkEnd w:id="369"/>
      <w:bookmarkEnd w:id="370"/>
      <w:bookmarkEnd w:id="371"/>
      <w:bookmarkEnd w:id="372"/>
      <w:bookmarkEnd w:id="373"/>
      <w:bookmarkEnd w:id="374"/>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7.3.1 在签订合同前，中标人应按投标人须知前附表规定的金额、担保形式向招标人提交履约担保。</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7.3.2 中标人不能按本章第7.3.1项要求提交履约担保的，视为放弃中标，其投标保证金不予退还，给招标人造成的损失超过投标保证金数额的，中标人还应当对超过部</w:t>
      </w:r>
      <w:bookmarkStart w:id="375" w:name="bookmark54"/>
      <w:bookmarkEnd w:id="375"/>
      <w:r>
        <w:rPr>
          <w:rFonts w:hint="eastAsia" w:ascii="仿宋" w:hAnsi="仿宋" w:eastAsia="仿宋" w:cs="仿宋"/>
          <w:color w:val="auto"/>
          <w:spacing w:val="-2"/>
          <w:sz w:val="24"/>
          <w:szCs w:val="24"/>
          <w:highlight w:val="none"/>
          <w:lang w:eastAsia="zh-CN"/>
        </w:rPr>
        <w:t>分予以赔偿。</w:t>
      </w:r>
    </w:p>
    <w:p>
      <w:pPr>
        <w:spacing w:before="48" w:line="440" w:lineRule="exact"/>
        <w:ind w:firstLine="262" w:firstLineChars="112"/>
        <w:outlineLvl w:val="2"/>
        <w:rPr>
          <w:rFonts w:hint="eastAsia" w:ascii="仿宋" w:hAnsi="仿宋" w:eastAsia="仿宋" w:cs="仿宋"/>
          <w:color w:val="auto"/>
          <w:sz w:val="24"/>
          <w:szCs w:val="24"/>
          <w:highlight w:val="none"/>
          <w:lang w:eastAsia="zh-CN"/>
        </w:rPr>
      </w:pPr>
      <w:bookmarkStart w:id="376" w:name="_Toc12713"/>
      <w:bookmarkStart w:id="377" w:name="_Toc12320"/>
      <w:bookmarkStart w:id="378" w:name="_Toc6391"/>
      <w:bookmarkStart w:id="379" w:name="_Toc6683"/>
      <w:bookmarkStart w:id="380" w:name="_Toc14253"/>
      <w:bookmarkStart w:id="381" w:name="_Toc27807"/>
      <w:bookmarkStart w:id="382" w:name="_Toc11941"/>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7.4</w:t>
      </w:r>
      <w:r>
        <w:rPr>
          <w:rFonts w:hint="eastAsia" w:ascii="仿宋" w:hAnsi="仿宋" w:eastAsia="仿宋" w:cs="仿宋"/>
          <w:color w:val="auto"/>
          <w:spacing w:val="12"/>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签订合同</w:t>
      </w:r>
      <w:bookmarkEnd w:id="376"/>
      <w:bookmarkEnd w:id="377"/>
      <w:bookmarkEnd w:id="378"/>
      <w:bookmarkEnd w:id="379"/>
      <w:bookmarkEnd w:id="380"/>
      <w:bookmarkEnd w:id="381"/>
      <w:bookmarkEnd w:id="382"/>
    </w:p>
    <w:p>
      <w:pPr>
        <w:pStyle w:val="6"/>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7.4.1 招标人和中标人应当根据中标通知书、招标文件和中标人的投标文件订立《</w:t>
      </w:r>
      <w:r>
        <w:rPr>
          <w:rFonts w:hint="eastAsia" w:ascii="仿宋" w:hAnsi="仿宋" w:eastAsia="仿宋" w:cs="仿宋"/>
          <w:color w:val="auto"/>
          <w:spacing w:val="-2"/>
          <w:sz w:val="24"/>
          <w:szCs w:val="24"/>
          <w:highlight w:val="none"/>
          <w:lang w:val="en-US" w:eastAsia="zh-CN"/>
        </w:rPr>
        <w:t>投资合作协议》</w:t>
      </w:r>
      <w:r>
        <w:rPr>
          <w:rFonts w:hint="eastAsia" w:ascii="仿宋" w:hAnsi="仿宋" w:eastAsia="仿宋" w:cs="仿宋"/>
          <w:color w:val="auto"/>
          <w:spacing w:val="-2"/>
          <w:sz w:val="24"/>
          <w:szCs w:val="24"/>
          <w:highlight w:val="none"/>
          <w:lang w:eastAsia="zh-CN"/>
        </w:rPr>
        <w:t>。中标人无正当理由拒签合同的，招标人取消其中标资格，其投标保证金不予退还；给招标人造成的损失超过投标保证金数额的，中标人还应当对超过部分予以赔偿。</w:t>
      </w:r>
    </w:p>
    <w:p>
      <w:pPr>
        <w:pStyle w:val="6"/>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7.4.2 发出中标通知书后，招标人无正当理由拒签《</w:t>
      </w:r>
      <w:r>
        <w:rPr>
          <w:rFonts w:hint="eastAsia" w:ascii="仿宋" w:hAnsi="仿宋" w:eastAsia="仿宋" w:cs="仿宋"/>
          <w:color w:val="auto"/>
          <w:spacing w:val="-2"/>
          <w:sz w:val="24"/>
          <w:szCs w:val="24"/>
          <w:highlight w:val="none"/>
          <w:lang w:val="en-US" w:eastAsia="zh-CN"/>
        </w:rPr>
        <w:t>投资合作协议》</w:t>
      </w:r>
      <w:r>
        <w:rPr>
          <w:rFonts w:hint="eastAsia" w:ascii="仿宋" w:hAnsi="仿宋" w:eastAsia="仿宋" w:cs="仿宋"/>
          <w:color w:val="auto"/>
          <w:spacing w:val="-2"/>
          <w:sz w:val="24"/>
          <w:szCs w:val="24"/>
          <w:highlight w:val="none"/>
          <w:lang w:eastAsia="zh-CN"/>
        </w:rPr>
        <w:t>的，招标人向中标人退还投标保证金；给中标人造成损失的，还应当赔偿损失。</w:t>
      </w:r>
    </w:p>
    <w:p>
      <w:pPr>
        <w:pStyle w:val="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7.4.3 《</w:t>
      </w:r>
      <w:r>
        <w:rPr>
          <w:rFonts w:hint="eastAsia" w:ascii="仿宋" w:hAnsi="仿宋" w:eastAsia="仿宋" w:cs="仿宋"/>
          <w:color w:val="auto"/>
          <w:spacing w:val="-2"/>
          <w:sz w:val="24"/>
          <w:szCs w:val="24"/>
          <w:highlight w:val="none"/>
          <w:lang w:val="en-US" w:eastAsia="zh-CN"/>
        </w:rPr>
        <w:t>投资合作协议》</w:t>
      </w:r>
      <w:r>
        <w:rPr>
          <w:rFonts w:hint="eastAsia" w:ascii="仿宋" w:hAnsi="仿宋" w:eastAsia="仿宋" w:cs="仿宋"/>
          <w:color w:val="auto"/>
          <w:spacing w:val="-2"/>
          <w:sz w:val="24"/>
          <w:szCs w:val="24"/>
          <w:highlight w:val="none"/>
          <w:lang w:eastAsia="zh-CN"/>
        </w:rPr>
        <w:t>经双方法定代表人或其授权的代理人签署并加盖单位章后生效。</w:t>
      </w:r>
    </w:p>
    <w:p>
      <w:pPr>
        <w:pStyle w:val="4"/>
        <w:spacing w:line="240" w:lineRule="auto"/>
        <w:rPr>
          <w:rFonts w:hint="eastAsia" w:ascii="仿宋" w:hAnsi="仿宋" w:eastAsia="仿宋" w:cs="仿宋"/>
          <w:color w:val="auto"/>
          <w:highlight w:val="none"/>
          <w:lang w:eastAsia="zh-CN"/>
        </w:rPr>
      </w:pPr>
      <w:bookmarkStart w:id="383" w:name="bookmark56"/>
      <w:bookmarkEnd w:id="383"/>
      <w:bookmarkStart w:id="384" w:name="bookmark55"/>
      <w:bookmarkEnd w:id="384"/>
      <w:bookmarkStart w:id="385" w:name="_Toc23560"/>
      <w:bookmarkStart w:id="386" w:name="_Toc10411"/>
      <w:bookmarkStart w:id="387" w:name="_Toc220"/>
      <w:bookmarkStart w:id="388" w:name="_Toc7938"/>
      <w:bookmarkStart w:id="389" w:name="_Toc32096"/>
      <w:bookmarkStart w:id="390" w:name="_Toc31324"/>
      <w:bookmarkStart w:id="391" w:name="_Toc11885"/>
      <w:r>
        <w:rPr>
          <w:rFonts w:hint="eastAsia" w:ascii="仿宋" w:hAnsi="仿宋" w:eastAsia="仿宋" w:cs="仿宋"/>
          <w:color w:val="auto"/>
          <w:highlight w:val="none"/>
          <w:lang w:eastAsia="zh-CN"/>
        </w:rPr>
        <w:t>8. 重新招标和不再招标</w:t>
      </w:r>
      <w:bookmarkEnd w:id="385"/>
      <w:bookmarkEnd w:id="386"/>
      <w:bookmarkEnd w:id="387"/>
      <w:bookmarkEnd w:id="388"/>
      <w:bookmarkEnd w:id="389"/>
      <w:bookmarkEnd w:id="390"/>
      <w:bookmarkEnd w:id="391"/>
    </w:p>
    <w:p>
      <w:pPr>
        <w:spacing w:before="112" w:line="440" w:lineRule="exact"/>
        <w:ind w:firstLine="262" w:firstLineChars="112"/>
        <w:outlineLvl w:val="2"/>
        <w:rPr>
          <w:rFonts w:hint="eastAsia" w:ascii="仿宋" w:hAnsi="仿宋" w:eastAsia="仿宋" w:cs="仿宋"/>
          <w:color w:val="auto"/>
          <w:sz w:val="24"/>
          <w:szCs w:val="24"/>
          <w:highlight w:val="none"/>
          <w:lang w:eastAsia="zh-CN"/>
        </w:rPr>
      </w:pPr>
      <w:bookmarkStart w:id="392" w:name="_Toc11709"/>
      <w:bookmarkStart w:id="393" w:name="_Toc25283"/>
      <w:bookmarkStart w:id="394" w:name="_Toc26045"/>
      <w:bookmarkStart w:id="395" w:name="_Toc823"/>
      <w:bookmarkStart w:id="396" w:name="_Toc3894"/>
      <w:bookmarkStart w:id="397" w:name="_Toc21463"/>
      <w:bookmarkStart w:id="398" w:name="_Toc20281"/>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8.1</w:t>
      </w:r>
      <w:r>
        <w:rPr>
          <w:rFonts w:hint="eastAsia" w:ascii="仿宋" w:hAnsi="仿宋" w:eastAsia="仿宋" w:cs="仿宋"/>
          <w:color w:val="auto"/>
          <w:spacing w:val="14"/>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重新招标</w:t>
      </w:r>
      <w:bookmarkEnd w:id="392"/>
      <w:bookmarkEnd w:id="393"/>
      <w:bookmarkEnd w:id="394"/>
      <w:bookmarkEnd w:id="395"/>
      <w:bookmarkEnd w:id="396"/>
      <w:bookmarkEnd w:id="397"/>
      <w:bookmarkEnd w:id="398"/>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有下列情形之一的，招标人将重新招标：</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（1）投标截止时间止，没有投标人的；</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（2）经评审委员会评审后否决所有投标的；</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（3）中标候选人均未与招标人签订合同的；</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（4）法律规定的其他情形。</w:t>
      </w:r>
    </w:p>
    <w:p>
      <w:pPr>
        <w:spacing w:before="113" w:line="440" w:lineRule="exact"/>
        <w:ind w:firstLine="259" w:firstLineChars="112"/>
        <w:outlineLvl w:val="2"/>
        <w:rPr>
          <w:rFonts w:hint="eastAsia" w:ascii="仿宋" w:hAnsi="仿宋" w:eastAsia="仿宋" w:cs="仿宋"/>
          <w:color w:val="auto"/>
          <w:sz w:val="24"/>
          <w:szCs w:val="24"/>
          <w:highlight w:val="none"/>
          <w:lang w:eastAsia="zh-CN"/>
        </w:rPr>
      </w:pPr>
      <w:bookmarkStart w:id="399" w:name="bookmark57"/>
      <w:bookmarkEnd w:id="399"/>
      <w:bookmarkStart w:id="400" w:name="_Toc17133"/>
      <w:bookmarkStart w:id="401" w:name="_Toc19392"/>
      <w:bookmarkStart w:id="402" w:name="_Toc20333"/>
      <w:bookmarkStart w:id="403" w:name="_Toc29010"/>
      <w:bookmarkStart w:id="404" w:name="_Toc27561"/>
      <w:bookmarkStart w:id="405" w:name="_Toc3434"/>
      <w:bookmarkStart w:id="406" w:name="_Toc9770"/>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8.2</w:t>
      </w:r>
      <w:r>
        <w:rPr>
          <w:rFonts w:hint="eastAsia" w:ascii="仿宋" w:hAnsi="仿宋" w:eastAsia="仿宋" w:cs="仿宋"/>
          <w:color w:val="auto"/>
          <w:spacing w:val="21"/>
          <w:sz w:val="24"/>
          <w:szCs w:val="24"/>
          <w:highlight w:val="none"/>
          <w:lang w:eastAsia="zh-CN"/>
        </w:rPr>
        <w:t xml:space="preserve"> </w:t>
      </w:r>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不再招标</w:t>
      </w:r>
      <w:bookmarkEnd w:id="400"/>
      <w:bookmarkEnd w:id="401"/>
      <w:bookmarkEnd w:id="402"/>
      <w:bookmarkEnd w:id="403"/>
      <w:bookmarkEnd w:id="404"/>
      <w:bookmarkEnd w:id="405"/>
      <w:bookmarkEnd w:id="406"/>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重新招标后仍没有投标人或者所有投标被否决的，将不再进行招标或以其他形式选择投资人。</w:t>
      </w:r>
    </w:p>
    <w:p>
      <w:pPr>
        <w:pStyle w:val="4"/>
        <w:spacing w:line="240" w:lineRule="auto"/>
        <w:rPr>
          <w:rFonts w:hint="eastAsia" w:ascii="仿宋" w:hAnsi="仿宋" w:eastAsia="仿宋" w:cs="仿宋"/>
          <w:color w:val="auto"/>
          <w:highlight w:val="none"/>
          <w:lang w:eastAsia="zh-CN"/>
        </w:rPr>
      </w:pPr>
      <w:bookmarkStart w:id="407" w:name="bookmark58"/>
      <w:bookmarkEnd w:id="407"/>
      <w:bookmarkStart w:id="408" w:name="bookmark59"/>
      <w:bookmarkEnd w:id="408"/>
      <w:bookmarkStart w:id="409" w:name="_Toc19009"/>
      <w:bookmarkStart w:id="410" w:name="_Toc32632"/>
      <w:bookmarkStart w:id="411" w:name="_Toc3453"/>
      <w:bookmarkStart w:id="412" w:name="_Toc17844"/>
      <w:bookmarkStart w:id="413" w:name="_Toc13329"/>
      <w:bookmarkStart w:id="414" w:name="_Toc6644"/>
      <w:bookmarkStart w:id="415" w:name="_Toc12397"/>
      <w:r>
        <w:rPr>
          <w:rFonts w:hint="eastAsia" w:ascii="仿宋" w:hAnsi="仿宋" w:eastAsia="仿宋" w:cs="仿宋"/>
          <w:color w:val="auto"/>
          <w:highlight w:val="none"/>
          <w:lang w:eastAsia="zh-CN"/>
        </w:rPr>
        <w:t>9.纪律和监督</w:t>
      </w:r>
      <w:bookmarkEnd w:id="409"/>
      <w:bookmarkEnd w:id="410"/>
      <w:bookmarkEnd w:id="411"/>
      <w:bookmarkEnd w:id="412"/>
      <w:bookmarkEnd w:id="413"/>
      <w:bookmarkEnd w:id="414"/>
      <w:bookmarkEnd w:id="415"/>
    </w:p>
    <w:p>
      <w:pPr>
        <w:spacing w:before="116" w:line="440" w:lineRule="exact"/>
        <w:ind w:firstLine="268" w:firstLineChars="112"/>
        <w:outlineLvl w:val="2"/>
        <w:rPr>
          <w:rFonts w:hint="eastAsia" w:ascii="仿宋" w:hAnsi="仿宋" w:eastAsia="仿宋" w:cs="仿宋"/>
          <w:color w:val="auto"/>
          <w:sz w:val="24"/>
          <w:szCs w:val="24"/>
          <w:highlight w:val="none"/>
          <w:lang w:eastAsia="zh-CN"/>
        </w:rPr>
      </w:pPr>
      <w:bookmarkStart w:id="416" w:name="bookmark60"/>
      <w:bookmarkEnd w:id="416"/>
      <w:bookmarkStart w:id="417" w:name="_Toc29629"/>
      <w:bookmarkStart w:id="418" w:name="_Toc25758"/>
      <w:bookmarkStart w:id="419" w:name="_Toc30473"/>
      <w:bookmarkStart w:id="420" w:name="_Toc20608"/>
      <w:bookmarkStart w:id="421" w:name="_Toc16595"/>
      <w:bookmarkStart w:id="422" w:name="_Toc1171"/>
      <w:bookmarkStart w:id="423" w:name="_Toc12449"/>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9.1</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对招标人的纪律要求</w:t>
      </w:r>
      <w:bookmarkEnd w:id="417"/>
      <w:bookmarkEnd w:id="418"/>
      <w:bookmarkEnd w:id="419"/>
      <w:bookmarkEnd w:id="420"/>
      <w:bookmarkEnd w:id="421"/>
      <w:bookmarkEnd w:id="422"/>
      <w:bookmarkEnd w:id="423"/>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招标人不得泄漏招标投标活动中应当保密的情况和资料，不得与投标人串通损害国家利益、社会公共利益或者他人合法权益。</w:t>
      </w:r>
    </w:p>
    <w:p>
      <w:pPr>
        <w:spacing w:before="117" w:line="440" w:lineRule="exact"/>
        <w:ind w:firstLine="268" w:firstLineChars="112"/>
        <w:outlineLvl w:val="2"/>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pPr>
      <w:bookmarkStart w:id="424" w:name="_Toc824"/>
      <w:bookmarkStart w:id="425" w:name="_Toc20257"/>
      <w:bookmarkStart w:id="426" w:name="_Toc11005"/>
      <w:bookmarkStart w:id="427" w:name="_Toc5801"/>
      <w:bookmarkStart w:id="428" w:name="_Toc619"/>
      <w:bookmarkStart w:id="429" w:name="_Toc28158"/>
      <w:bookmarkStart w:id="430" w:name="_Toc28667"/>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9.2</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对投标人的纪律要求</w:t>
      </w:r>
      <w:bookmarkEnd w:id="424"/>
      <w:bookmarkEnd w:id="425"/>
      <w:bookmarkEnd w:id="426"/>
      <w:bookmarkEnd w:id="427"/>
      <w:bookmarkEnd w:id="428"/>
      <w:bookmarkEnd w:id="429"/>
      <w:bookmarkEnd w:id="430"/>
    </w:p>
    <w:p>
      <w:pPr>
        <w:spacing w:before="117" w:line="440" w:lineRule="exact"/>
        <w:ind w:firstLine="264" w:firstLineChars="112"/>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投标人不得相互串通投标或者与招标人串通投标，不得向招标人或者评审委员会成员行贿谋取中标，不得以他人名义投标或者以其他方式弄虚作假骗取中标；投标人不得以任何方式干扰、影响评审工作。</w:t>
      </w:r>
    </w:p>
    <w:p>
      <w:pPr>
        <w:spacing w:before="116" w:line="440" w:lineRule="exact"/>
        <w:ind w:firstLine="268" w:firstLineChars="112"/>
        <w:outlineLvl w:val="2"/>
        <w:rPr>
          <w:rFonts w:hint="eastAsia" w:ascii="仿宋" w:hAnsi="仿宋" w:eastAsia="仿宋" w:cs="仿宋"/>
          <w:color w:val="auto"/>
          <w:sz w:val="24"/>
          <w:szCs w:val="24"/>
          <w:highlight w:val="none"/>
          <w:lang w:eastAsia="zh-CN"/>
        </w:rPr>
      </w:pPr>
      <w:bookmarkStart w:id="431" w:name="bookmark61"/>
      <w:bookmarkEnd w:id="431"/>
      <w:bookmarkStart w:id="432" w:name="_Toc13828"/>
      <w:bookmarkStart w:id="433" w:name="_Toc10121"/>
      <w:bookmarkStart w:id="434" w:name="_Toc1608"/>
      <w:bookmarkStart w:id="435" w:name="_Toc20785"/>
      <w:bookmarkStart w:id="436" w:name="_Toc27099"/>
      <w:bookmarkStart w:id="437" w:name="_Toc26358"/>
      <w:bookmarkStart w:id="438" w:name="_Toc15444"/>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9.3</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对评审委员会成员的纪律要求</w:t>
      </w:r>
      <w:bookmarkEnd w:id="432"/>
      <w:bookmarkEnd w:id="433"/>
      <w:bookmarkEnd w:id="434"/>
      <w:bookmarkEnd w:id="435"/>
      <w:bookmarkEnd w:id="436"/>
      <w:bookmarkEnd w:id="437"/>
      <w:bookmarkEnd w:id="438"/>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评审委员会成员不得收受他人的财物或者其他好处，不得向他人透漏对投标文件的评审和比较、中标候选人的推荐情况以及评审有关的其他情况。在评审活动中，评审委员会成员不得擅离职守，影响评审程序正常进行，不得使用第三章“评审办法”没有规定的评审因素和标准进行评审。</w:t>
      </w:r>
    </w:p>
    <w:p>
      <w:pPr>
        <w:spacing w:before="116" w:line="440" w:lineRule="exact"/>
        <w:ind w:firstLine="268" w:firstLineChars="112"/>
        <w:outlineLvl w:val="2"/>
        <w:rPr>
          <w:rFonts w:hint="eastAsia" w:ascii="仿宋" w:hAnsi="仿宋" w:eastAsia="仿宋" w:cs="仿宋"/>
          <w:color w:val="auto"/>
          <w:sz w:val="24"/>
          <w:szCs w:val="24"/>
          <w:highlight w:val="none"/>
          <w:lang w:eastAsia="zh-CN"/>
        </w:rPr>
      </w:pPr>
      <w:bookmarkStart w:id="439" w:name="bookmark62"/>
      <w:bookmarkEnd w:id="439"/>
      <w:bookmarkStart w:id="440" w:name="_Toc13079"/>
      <w:bookmarkStart w:id="441" w:name="_Toc14654"/>
      <w:bookmarkStart w:id="442" w:name="_Toc29625"/>
      <w:bookmarkStart w:id="443" w:name="_Toc14159"/>
      <w:bookmarkStart w:id="444" w:name="_Toc19821"/>
      <w:bookmarkStart w:id="445" w:name="_Toc27113"/>
      <w:bookmarkStart w:id="446" w:name="_Toc10464"/>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9.4</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lang w:eastAsia="zh-CN"/>
          <w14:textOutline w14:w="4356" w14:cap="sq" w14:cmpd="sng" w14:algn="ctr">
            <w14:solidFill>
              <w14:srgbClr w14:val="000000"/>
            </w14:solidFill>
            <w14:prstDash w14:val="solid"/>
            <w14:bevel/>
          </w14:textOutline>
        </w:rPr>
        <w:t>对与评审活动有关的工作人员的纪律要求</w:t>
      </w:r>
      <w:bookmarkEnd w:id="440"/>
      <w:bookmarkEnd w:id="441"/>
      <w:bookmarkEnd w:id="442"/>
      <w:bookmarkEnd w:id="443"/>
      <w:bookmarkEnd w:id="444"/>
      <w:bookmarkEnd w:id="445"/>
      <w:bookmarkEnd w:id="446"/>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p>
    <w:p>
      <w:pPr>
        <w:spacing w:before="116" w:line="440" w:lineRule="exact"/>
        <w:ind w:firstLine="257" w:firstLineChars="112"/>
        <w:outlineLvl w:val="2"/>
        <w:rPr>
          <w:rFonts w:hint="eastAsia" w:ascii="仿宋" w:hAnsi="仿宋" w:eastAsia="仿宋" w:cs="仿宋"/>
          <w:color w:val="auto"/>
          <w:sz w:val="24"/>
          <w:szCs w:val="24"/>
          <w:highlight w:val="none"/>
          <w:lang w:eastAsia="zh-CN"/>
        </w:rPr>
      </w:pPr>
      <w:bookmarkStart w:id="447" w:name="bookmark63"/>
      <w:bookmarkEnd w:id="447"/>
      <w:bookmarkStart w:id="448" w:name="_Toc10799"/>
      <w:bookmarkStart w:id="449" w:name="_Toc10649"/>
      <w:bookmarkStart w:id="450" w:name="_Toc18715"/>
      <w:bookmarkStart w:id="451" w:name="_Toc16571"/>
      <w:bookmarkStart w:id="452" w:name="_Toc1895"/>
      <w:bookmarkStart w:id="453" w:name="_Toc4784"/>
      <w:bookmarkStart w:id="454" w:name="_Toc15392"/>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9.5</w:t>
      </w:r>
      <w:r>
        <w:rPr>
          <w:rFonts w:hint="eastAsia" w:ascii="仿宋" w:hAnsi="仿宋" w:eastAsia="仿宋" w:cs="仿宋"/>
          <w:color w:val="auto"/>
          <w:spacing w:val="18"/>
          <w:sz w:val="24"/>
          <w:szCs w:val="24"/>
          <w:highlight w:val="none"/>
          <w:lang w:eastAsia="zh-CN"/>
        </w:rPr>
        <w:t xml:space="preserve"> </w:t>
      </w:r>
      <w:r>
        <w:rPr>
          <w:rFonts w:hint="eastAsia" w:ascii="仿宋" w:hAnsi="仿宋" w:eastAsia="仿宋" w:cs="仿宋"/>
          <w:color w:val="auto"/>
          <w:spacing w:val="-5"/>
          <w:sz w:val="24"/>
          <w:szCs w:val="24"/>
          <w:highlight w:val="none"/>
          <w:lang w:eastAsia="zh-CN"/>
          <w14:textOutline w14:w="4356" w14:cap="sq" w14:cmpd="sng" w14:algn="ctr">
            <w14:solidFill>
              <w14:srgbClr w14:val="000000"/>
            </w14:solidFill>
            <w14:prstDash w14:val="solid"/>
            <w14:bevel/>
          </w14:textOutline>
        </w:rPr>
        <w:t>投诉</w:t>
      </w:r>
      <w:bookmarkEnd w:id="448"/>
      <w:bookmarkEnd w:id="449"/>
      <w:bookmarkEnd w:id="450"/>
      <w:bookmarkEnd w:id="451"/>
      <w:bookmarkEnd w:id="452"/>
      <w:bookmarkEnd w:id="453"/>
      <w:bookmarkEnd w:id="454"/>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投标人和其他利害关系人认为本次招标活动违反法律、法规和规章规定的，有权向有关行政监督部门投诉。监督部门的联系方式见投标人须知前附表。</w:t>
      </w:r>
    </w:p>
    <w:p>
      <w:pPr>
        <w:pStyle w:val="4"/>
        <w:spacing w:line="240" w:lineRule="auto"/>
        <w:rPr>
          <w:rFonts w:hint="eastAsia" w:ascii="仿宋" w:hAnsi="仿宋" w:eastAsia="仿宋" w:cs="仿宋"/>
          <w:color w:val="auto"/>
          <w:highlight w:val="none"/>
          <w:lang w:eastAsia="zh-CN"/>
        </w:rPr>
      </w:pPr>
      <w:bookmarkStart w:id="455" w:name="bookmark64"/>
      <w:bookmarkEnd w:id="455"/>
      <w:bookmarkStart w:id="456" w:name="_Toc10378"/>
      <w:bookmarkStart w:id="457" w:name="_Toc5949"/>
      <w:bookmarkStart w:id="458" w:name="_Toc28377"/>
      <w:bookmarkStart w:id="459" w:name="_Toc23036"/>
      <w:bookmarkStart w:id="460" w:name="_Toc21743"/>
      <w:bookmarkStart w:id="461" w:name="_Toc12173"/>
      <w:bookmarkStart w:id="462" w:name="_Toc17800"/>
      <w:r>
        <w:rPr>
          <w:rFonts w:hint="eastAsia" w:ascii="仿宋" w:hAnsi="仿宋" w:eastAsia="仿宋" w:cs="仿宋"/>
          <w:color w:val="auto"/>
          <w:highlight w:val="none"/>
          <w:lang w:eastAsia="zh-CN"/>
        </w:rPr>
        <w:t>10. 需要补充的其他内容</w:t>
      </w:r>
      <w:bookmarkEnd w:id="456"/>
      <w:bookmarkEnd w:id="457"/>
      <w:bookmarkEnd w:id="458"/>
      <w:bookmarkEnd w:id="459"/>
      <w:bookmarkEnd w:id="460"/>
      <w:bookmarkEnd w:id="461"/>
      <w:bookmarkEnd w:id="462"/>
    </w:p>
    <w:p>
      <w:pPr>
        <w:spacing w:before="115" w:line="440" w:lineRule="exact"/>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需要补充的其他内容：见投标人须知前附表。</w:t>
      </w:r>
    </w:p>
    <w:p>
      <w:pPr>
        <w:spacing w:line="360" w:lineRule="auto"/>
        <w:ind w:firstLine="268" w:firstLineChars="112"/>
        <w:rPr>
          <w:rFonts w:hint="eastAsia" w:ascii="仿宋" w:hAnsi="仿宋" w:eastAsia="仿宋" w:cs="仿宋"/>
          <w:color w:val="auto"/>
          <w:sz w:val="24"/>
          <w:szCs w:val="24"/>
          <w:highlight w:val="none"/>
          <w:lang w:eastAsia="zh-CN"/>
        </w:rPr>
        <w:sectPr>
          <w:footerReference r:id="rId5" w:type="default"/>
          <w:pgSz w:w="11900" w:h="16840"/>
          <w:pgMar w:top="1417" w:right="1701" w:bottom="1417" w:left="1701" w:header="0" w:footer="567" w:gutter="0"/>
          <w:pgNumType w:fmt="decimal"/>
          <w:cols w:space="720" w:num="1"/>
        </w:sectPr>
      </w:pPr>
    </w:p>
    <w:p>
      <w:pPr>
        <w:pStyle w:val="3"/>
        <w:ind w:firstLine="0" w:firstLineChars="0"/>
        <w:jc w:val="center"/>
        <w:rPr>
          <w:rFonts w:hint="eastAsia" w:ascii="仿宋" w:hAnsi="仿宋" w:eastAsia="仿宋" w:cs="仿宋"/>
          <w:color w:val="auto"/>
          <w:highlight w:val="none"/>
        </w:rPr>
      </w:pPr>
      <w:bookmarkStart w:id="463" w:name="bookmark66"/>
      <w:bookmarkEnd w:id="463"/>
      <w:bookmarkStart w:id="464" w:name="bookmark65"/>
      <w:bookmarkEnd w:id="464"/>
      <w:bookmarkStart w:id="465" w:name="_Toc14038"/>
      <w:bookmarkStart w:id="466" w:name="_Toc9390"/>
      <w:bookmarkStart w:id="467" w:name="_Toc7867"/>
      <w:bookmarkStart w:id="468" w:name="_Toc21952"/>
      <w:bookmarkStart w:id="469" w:name="_Toc6522"/>
      <w:bookmarkStart w:id="470" w:name="_Toc11985"/>
      <w:bookmarkStart w:id="471" w:name="_Toc14356"/>
      <w:r>
        <w:rPr>
          <w:rFonts w:ascii="仿宋" w:hAnsi="仿宋" w:eastAsia="仿宋" w:cs="仿宋"/>
          <w:color w:val="auto"/>
          <w:highlight w:val="none"/>
        </w:rPr>
        <w:t>第三章</w:t>
      </w:r>
      <w:r>
        <w:rPr>
          <w:rFonts w:hint="eastAsia" w:ascii="仿宋" w:hAnsi="仿宋" w:eastAsia="仿宋" w:cs="仿宋"/>
          <w:color w:val="auto"/>
          <w:highlight w:val="none"/>
        </w:rPr>
        <w:t xml:space="preserve">  </w:t>
      </w:r>
      <w:r>
        <w:rPr>
          <w:rFonts w:ascii="仿宋" w:hAnsi="仿宋" w:eastAsia="仿宋" w:cs="仿宋"/>
          <w:color w:val="auto"/>
          <w:highlight w:val="none"/>
        </w:rPr>
        <w:t>评审办法</w:t>
      </w:r>
      <w:bookmarkEnd w:id="465"/>
      <w:bookmarkEnd w:id="466"/>
      <w:bookmarkEnd w:id="467"/>
      <w:bookmarkEnd w:id="468"/>
      <w:bookmarkEnd w:id="469"/>
      <w:bookmarkEnd w:id="470"/>
      <w:bookmarkEnd w:id="471"/>
    </w:p>
    <w:p>
      <w:pPr>
        <w:spacing w:before="101" w:line="360" w:lineRule="auto"/>
        <w:ind w:firstLine="356" w:firstLineChars="112"/>
        <w:jc w:val="center"/>
        <w:outlineLvl w:val="1"/>
        <w:rPr>
          <w:rFonts w:hint="eastAsia" w:ascii="仿宋" w:hAnsi="仿宋" w:eastAsia="仿宋" w:cs="仿宋"/>
          <w:color w:val="auto"/>
          <w:sz w:val="31"/>
          <w:szCs w:val="31"/>
          <w:highlight w:val="none"/>
        </w:rPr>
      </w:pPr>
      <w:bookmarkStart w:id="472" w:name="_Toc9667"/>
      <w:bookmarkStart w:id="473" w:name="_Toc8259"/>
      <w:bookmarkStart w:id="474" w:name="_Toc6993"/>
      <w:bookmarkStart w:id="475" w:name="_Toc20566"/>
      <w:bookmarkStart w:id="476" w:name="_Toc32587"/>
      <w:bookmarkStart w:id="477" w:name="_Toc9901"/>
      <w:bookmarkStart w:id="478" w:name="_Toc12973"/>
      <w:r>
        <w:rPr>
          <w:rFonts w:hint="eastAsia" w:ascii="仿宋" w:hAnsi="仿宋" w:eastAsia="仿宋" w:cs="仿宋"/>
          <w:color w:val="auto"/>
          <w:spacing w:val="4"/>
          <w:sz w:val="31"/>
          <w:szCs w:val="31"/>
          <w:highlight w:val="none"/>
          <w14:textOutline w14:w="5791" w14:cap="sq" w14:cmpd="sng" w14:algn="ctr">
            <w14:solidFill>
              <w14:srgbClr w14:val="000000"/>
            </w14:solidFill>
            <w14:prstDash w14:val="solid"/>
            <w14:bevel/>
          </w14:textOutline>
        </w:rPr>
        <w:t>评审办法前附表</w:t>
      </w:r>
      <w:bookmarkEnd w:id="472"/>
      <w:bookmarkEnd w:id="473"/>
      <w:bookmarkEnd w:id="474"/>
      <w:bookmarkEnd w:id="475"/>
      <w:bookmarkEnd w:id="476"/>
      <w:bookmarkEnd w:id="477"/>
      <w:bookmarkEnd w:id="478"/>
    </w:p>
    <w:tbl>
      <w:tblPr>
        <w:tblStyle w:val="16"/>
        <w:tblW w:w="92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9"/>
        <w:gridCol w:w="961"/>
        <w:gridCol w:w="519"/>
        <w:gridCol w:w="20"/>
        <w:gridCol w:w="1624"/>
        <w:gridCol w:w="5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jc w:val="center"/>
        </w:trPr>
        <w:tc>
          <w:tcPr>
            <w:tcW w:w="1450" w:type="dxa"/>
            <w:gridSpan w:val="2"/>
            <w:vAlign w:val="center"/>
          </w:tcPr>
          <w:p>
            <w:pPr>
              <w:pStyle w:val="17"/>
              <w:rPr>
                <w:rFonts w:hint="eastAsia" w:ascii="仿宋" w:hAnsi="仿宋" w:eastAsia="仿宋" w:cs="仿宋"/>
                <w:b/>
                <w:bCs/>
                <w:color w:val="auto"/>
                <w:highlight w:val="none"/>
              </w:rPr>
            </w:pPr>
            <w:r>
              <w:rPr>
                <w:rFonts w:hint="eastAsia" w:ascii="仿宋" w:hAnsi="仿宋" w:eastAsia="仿宋" w:cs="仿宋"/>
                <w:b/>
                <w:bCs/>
                <w:color w:val="auto"/>
                <w:highlight w:val="none"/>
              </w:rPr>
              <w:t>条款号</w:t>
            </w:r>
          </w:p>
        </w:tc>
        <w:tc>
          <w:tcPr>
            <w:tcW w:w="2163" w:type="dxa"/>
            <w:gridSpan w:val="3"/>
            <w:vAlign w:val="center"/>
          </w:tcPr>
          <w:p>
            <w:pPr>
              <w:pStyle w:val="17"/>
              <w:ind w:firstLine="0" w:firstLineChars="0"/>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评审因素</w:t>
            </w:r>
          </w:p>
        </w:tc>
        <w:tc>
          <w:tcPr>
            <w:tcW w:w="5681" w:type="dxa"/>
            <w:vAlign w:val="center"/>
          </w:tcPr>
          <w:p>
            <w:pPr>
              <w:pStyle w:val="17"/>
              <w:ind w:firstLine="0" w:firstLineChars="0"/>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1450" w:type="dxa"/>
            <w:gridSpan w:val="2"/>
            <w:vMerge w:val="restart"/>
            <w:tcBorders>
              <w:bottom w:val="nil"/>
            </w:tcBorders>
            <w:vAlign w:val="center"/>
          </w:tcPr>
          <w:p>
            <w:pPr>
              <w:spacing w:before="115"/>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2.1.1</w:t>
            </w:r>
          </w:p>
        </w:tc>
        <w:tc>
          <w:tcPr>
            <w:tcW w:w="519" w:type="dxa"/>
            <w:vMerge w:val="restart"/>
            <w:tcBorders>
              <w:bottom w:val="nil"/>
            </w:tcBorders>
            <w:vAlign w:val="center"/>
          </w:tcPr>
          <w:p>
            <w:pPr>
              <w:spacing w:before="115"/>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形式评审标准</w:t>
            </w: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投标人名称</w:t>
            </w:r>
          </w:p>
        </w:tc>
        <w:tc>
          <w:tcPr>
            <w:tcW w:w="5681" w:type="dxa"/>
            <w:vAlign w:val="center"/>
          </w:tcPr>
          <w:p>
            <w:pPr>
              <w:ind w:firstLine="219" w:firstLineChars="93"/>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与营业执照一致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jc w:val="center"/>
        </w:trPr>
        <w:tc>
          <w:tcPr>
            <w:tcW w:w="1450" w:type="dxa"/>
            <w:gridSpan w:val="2"/>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rPr>
            </w:pPr>
          </w:p>
        </w:tc>
        <w:tc>
          <w:tcPr>
            <w:tcW w:w="519" w:type="dxa"/>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投标文件的签字盖章</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符合第六章“投标文件格式 ”的要求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50" w:type="dxa"/>
            <w:gridSpan w:val="2"/>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投标文件格式</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符合第六章“投标文件格式 ”的要求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450" w:type="dxa"/>
            <w:gridSpan w:val="2"/>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报价唯一</w:t>
            </w:r>
          </w:p>
        </w:tc>
        <w:tc>
          <w:tcPr>
            <w:tcW w:w="5681" w:type="dxa"/>
            <w:vAlign w:val="center"/>
          </w:tcPr>
          <w:p>
            <w:pPr>
              <w:ind w:firstLine="219" w:firstLineChars="93"/>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jc w:val="center"/>
        </w:trPr>
        <w:tc>
          <w:tcPr>
            <w:tcW w:w="1450" w:type="dxa"/>
            <w:gridSpan w:val="2"/>
            <w:vMerge w:val="continue"/>
            <w:tcBorders>
              <w:top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rPr>
            </w:pPr>
          </w:p>
        </w:tc>
        <w:tc>
          <w:tcPr>
            <w:tcW w:w="519" w:type="dxa"/>
            <w:vMerge w:val="continue"/>
            <w:tcBorders>
              <w:top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投标文件数量</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正本、副本数量符合第二章“投标人须知 ”规定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jc w:val="center"/>
        </w:trPr>
        <w:tc>
          <w:tcPr>
            <w:tcW w:w="1450" w:type="dxa"/>
            <w:gridSpan w:val="2"/>
            <w:vMerge w:val="restart"/>
            <w:tcBorders>
              <w:bottom w:val="nil"/>
            </w:tcBorders>
            <w:vAlign w:val="center"/>
          </w:tcPr>
          <w:p>
            <w:pPr>
              <w:spacing w:before="115"/>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2.1.2</w:t>
            </w:r>
          </w:p>
        </w:tc>
        <w:tc>
          <w:tcPr>
            <w:tcW w:w="519" w:type="dxa"/>
            <w:vMerge w:val="restart"/>
            <w:tcBorders>
              <w:bottom w:val="nil"/>
            </w:tcBorders>
            <w:vAlign w:val="center"/>
          </w:tcPr>
          <w:p>
            <w:pPr>
              <w:spacing w:before="115"/>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资格评审标准</w:t>
            </w: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营业执照</w:t>
            </w:r>
          </w:p>
        </w:tc>
        <w:tc>
          <w:tcPr>
            <w:tcW w:w="5681" w:type="dxa"/>
            <w:vAlign w:val="center"/>
          </w:tcPr>
          <w:p>
            <w:pPr>
              <w:ind w:firstLine="219" w:firstLineChars="93"/>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jc w:val="center"/>
        </w:trPr>
        <w:tc>
          <w:tcPr>
            <w:tcW w:w="1450" w:type="dxa"/>
            <w:gridSpan w:val="2"/>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rPr>
            </w:pPr>
          </w:p>
        </w:tc>
        <w:tc>
          <w:tcPr>
            <w:tcW w:w="519" w:type="dxa"/>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信誉要求</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jc w:val="center"/>
        </w:trPr>
        <w:tc>
          <w:tcPr>
            <w:tcW w:w="1450" w:type="dxa"/>
            <w:gridSpan w:val="2"/>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vAlign w:val="center"/>
          </w:tcPr>
          <w:p>
            <w:pPr>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缴纳税收和社会保障资金</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jc w:val="center"/>
        </w:trPr>
        <w:tc>
          <w:tcPr>
            <w:tcW w:w="1450" w:type="dxa"/>
            <w:gridSpan w:val="2"/>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nil"/>
              <w:bottom w:val="nil"/>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其他要求</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1450" w:type="dxa"/>
            <w:gridSpan w:val="2"/>
            <w:vMerge w:val="continue"/>
            <w:tcBorders>
              <w:top w:val="nil"/>
              <w:bottom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nil"/>
              <w:bottom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联合体投标人</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450"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115"/>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2.1.3</w:t>
            </w:r>
          </w:p>
        </w:tc>
        <w:tc>
          <w:tcPr>
            <w:tcW w:w="519" w:type="dxa"/>
            <w:vMerge w:val="restart"/>
            <w:tcBorders>
              <w:top w:val="single" w:color="auto" w:sz="4" w:space="0"/>
              <w:left w:val="single" w:color="auto" w:sz="4" w:space="0"/>
              <w:bottom w:val="single" w:color="auto" w:sz="4" w:space="0"/>
              <w:right w:val="single" w:color="auto" w:sz="4" w:space="0"/>
            </w:tcBorders>
            <w:vAlign w:val="center"/>
          </w:tcPr>
          <w:p>
            <w:pPr>
              <w:spacing w:before="115"/>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投标性评审标准</w:t>
            </w:r>
          </w:p>
        </w:tc>
        <w:tc>
          <w:tcPr>
            <w:tcW w:w="1644" w:type="dxa"/>
            <w:gridSpan w:val="2"/>
            <w:tcBorders>
              <w:left w:val="single" w:color="auto" w:sz="4" w:space="0"/>
            </w:tcBorders>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投标范围</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 ”第 1.3.1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tcBorders>
              <w:left w:val="single" w:color="auto" w:sz="4" w:space="0"/>
            </w:tcBorders>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工程质量</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 ”第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tcBorders>
              <w:left w:val="single" w:color="auto" w:sz="4" w:space="0"/>
            </w:tcBorders>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投标有效期</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 ”第 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519" w:type="dxa"/>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jc w:val="center"/>
              <w:rPr>
                <w:rFonts w:hint="eastAsia" w:ascii="仿宋" w:hAnsi="仿宋" w:eastAsia="仿宋" w:cs="仿宋"/>
                <w:color w:val="auto"/>
                <w:spacing w:val="-2"/>
                <w:sz w:val="24"/>
                <w:szCs w:val="24"/>
                <w:highlight w:val="none"/>
                <w:lang w:eastAsia="zh-CN"/>
              </w:rPr>
            </w:pPr>
          </w:p>
        </w:tc>
        <w:tc>
          <w:tcPr>
            <w:tcW w:w="1644" w:type="dxa"/>
            <w:gridSpan w:val="2"/>
            <w:tcBorders>
              <w:left w:val="single" w:color="auto" w:sz="4" w:space="0"/>
            </w:tcBorders>
            <w:vAlign w:val="center"/>
          </w:tcPr>
          <w:p>
            <w:pPr>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投标保证金</w:t>
            </w:r>
          </w:p>
        </w:tc>
        <w:tc>
          <w:tcPr>
            <w:tcW w:w="5681" w:type="dxa"/>
            <w:vAlign w:val="center"/>
          </w:tcPr>
          <w:p>
            <w:pPr>
              <w:ind w:firstLine="219" w:firstLineChars="93"/>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符合第二章“投标人须知 ”第 3.4.1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jc w:val="center"/>
        </w:trPr>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rPr>
                <w:rFonts w:hint="eastAsia" w:ascii="仿宋" w:hAnsi="仿宋" w:eastAsia="仿宋" w:cs="仿宋"/>
                <w:color w:val="auto"/>
                <w:spacing w:val="-2"/>
                <w:sz w:val="24"/>
                <w:szCs w:val="24"/>
                <w:highlight w:val="none"/>
                <w:lang w:eastAsia="zh-CN"/>
              </w:rPr>
            </w:pPr>
          </w:p>
        </w:tc>
        <w:tc>
          <w:tcPr>
            <w:tcW w:w="519" w:type="dxa"/>
            <w:vMerge w:val="continue"/>
            <w:tcBorders>
              <w:top w:val="single" w:color="auto" w:sz="4" w:space="0"/>
              <w:left w:val="single" w:color="auto" w:sz="4" w:space="0"/>
              <w:bottom w:val="single" w:color="auto" w:sz="4" w:space="0"/>
              <w:right w:val="single" w:color="auto" w:sz="4" w:space="0"/>
            </w:tcBorders>
            <w:vAlign w:val="center"/>
          </w:tcPr>
          <w:p>
            <w:pPr>
              <w:spacing w:before="115"/>
              <w:ind w:firstLine="264" w:firstLineChars="112"/>
              <w:rPr>
                <w:rFonts w:hint="eastAsia" w:ascii="仿宋" w:hAnsi="仿宋" w:eastAsia="仿宋" w:cs="仿宋"/>
                <w:color w:val="auto"/>
                <w:spacing w:val="-2"/>
                <w:sz w:val="24"/>
                <w:szCs w:val="24"/>
                <w:highlight w:val="none"/>
                <w:lang w:eastAsia="zh-CN"/>
              </w:rPr>
            </w:pPr>
          </w:p>
        </w:tc>
        <w:tc>
          <w:tcPr>
            <w:tcW w:w="7325" w:type="dxa"/>
            <w:gridSpan w:val="3"/>
            <w:tcBorders>
              <w:left w:val="single" w:color="auto" w:sz="4" w:space="0"/>
            </w:tcBorders>
            <w:vAlign w:val="center"/>
          </w:tcPr>
          <w:p>
            <w:pPr>
              <w:spacing w:before="115"/>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投标文件不符合以上条件之一的，评审委员会应认为其存在重大偏差，该投标文件视为无效。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before="114" w:line="440" w:lineRule="exact"/>
              <w:ind w:right="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分值构成（总分 100分）</w:t>
            </w:r>
          </w:p>
        </w:tc>
        <w:tc>
          <w:tcPr>
            <w:tcW w:w="7844" w:type="dxa"/>
            <w:gridSpan w:val="4"/>
            <w:tcBorders>
              <w:left w:val="single" w:color="auto" w:sz="4" w:space="0"/>
            </w:tcBorders>
            <w:vAlign w:val="center"/>
          </w:tcPr>
          <w:p>
            <w:pPr>
              <w:spacing w:before="114" w:line="440" w:lineRule="exact"/>
              <w:ind w:right="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人员配置:</w:t>
            </w:r>
            <w:r>
              <w:rPr>
                <w:rFonts w:hint="eastAsia" w:ascii="仿宋" w:hAnsi="仿宋" w:eastAsia="仿宋" w:cs="仿宋"/>
                <w:color w:val="auto"/>
                <w:spacing w:val="-2"/>
                <w:sz w:val="24"/>
                <w:szCs w:val="24"/>
                <w:highlight w:val="none"/>
                <w:lang w:val="en-US" w:eastAsia="zh-CN"/>
              </w:rPr>
              <w:t>5</w:t>
            </w:r>
            <w:r>
              <w:rPr>
                <w:rFonts w:hint="eastAsia" w:ascii="仿宋" w:hAnsi="仿宋" w:eastAsia="仿宋" w:cs="仿宋"/>
                <w:color w:val="auto"/>
                <w:spacing w:val="-2"/>
                <w:sz w:val="24"/>
                <w:szCs w:val="24"/>
                <w:highlight w:val="none"/>
                <w:lang w:eastAsia="zh-CN"/>
              </w:rPr>
              <w:t>分</w:t>
            </w:r>
          </w:p>
          <w:p>
            <w:pPr>
              <w:spacing w:before="114" w:line="440" w:lineRule="exact"/>
              <w:ind w:right="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综合能力：</w:t>
            </w:r>
            <w:r>
              <w:rPr>
                <w:rFonts w:hint="eastAsia" w:ascii="仿宋" w:hAnsi="仿宋" w:eastAsia="仿宋" w:cs="仿宋"/>
                <w:color w:val="auto"/>
                <w:spacing w:val="-2"/>
                <w:sz w:val="24"/>
                <w:szCs w:val="24"/>
                <w:highlight w:val="none"/>
                <w:lang w:val="en-US" w:eastAsia="zh-CN"/>
              </w:rPr>
              <w:t>35</w:t>
            </w:r>
            <w:r>
              <w:rPr>
                <w:rFonts w:hint="eastAsia" w:ascii="仿宋" w:hAnsi="仿宋" w:eastAsia="仿宋" w:cs="仿宋"/>
                <w:color w:val="auto"/>
                <w:spacing w:val="-2"/>
                <w:sz w:val="24"/>
                <w:szCs w:val="24"/>
                <w:highlight w:val="none"/>
                <w:lang w:eastAsia="zh-CN"/>
              </w:rPr>
              <w:t>分</w:t>
            </w:r>
          </w:p>
          <w:p>
            <w:pPr>
              <w:spacing w:before="114" w:line="440" w:lineRule="exact"/>
              <w:ind w:right="2"/>
              <w:jc w:val="both"/>
              <w:rPr>
                <w:rFonts w:hint="default"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类似业绩：10分</w:t>
            </w:r>
          </w:p>
          <w:p>
            <w:pPr>
              <w:spacing w:before="114" w:line="440" w:lineRule="exact"/>
              <w:ind w:right="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实施计划：50分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before="115"/>
              <w:jc w:val="center"/>
              <w:rPr>
                <w:rFonts w:hint="eastAsia" w:ascii="仿宋" w:hAnsi="仿宋" w:eastAsia="仿宋" w:cs="仿宋"/>
                <w:b/>
                <w:bCs/>
                <w:color w:val="auto"/>
                <w:spacing w:val="-2"/>
                <w:sz w:val="24"/>
                <w:szCs w:val="24"/>
                <w:highlight w:val="none"/>
              </w:rPr>
            </w:pPr>
            <w:r>
              <w:rPr>
                <w:rFonts w:hint="eastAsia" w:ascii="仿宋" w:hAnsi="仿宋" w:eastAsia="仿宋" w:cs="仿宋"/>
                <w:b/>
                <w:bCs/>
                <w:color w:val="auto"/>
                <w:spacing w:val="-2"/>
                <w:sz w:val="24"/>
                <w:szCs w:val="24"/>
                <w:highlight w:val="none"/>
              </w:rPr>
              <w:t>评审项目</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spacing w:before="115"/>
              <w:jc w:val="center"/>
              <w:rPr>
                <w:rFonts w:hint="eastAsia" w:ascii="仿宋" w:hAnsi="仿宋" w:eastAsia="仿宋" w:cs="仿宋"/>
                <w:b/>
                <w:bCs/>
                <w:color w:val="auto"/>
                <w:spacing w:val="-2"/>
                <w:sz w:val="24"/>
                <w:szCs w:val="24"/>
                <w:highlight w:val="none"/>
                <w:lang w:eastAsia="zh-CN"/>
              </w:rPr>
            </w:pPr>
            <w:r>
              <w:rPr>
                <w:rFonts w:hint="eastAsia" w:ascii="仿宋" w:hAnsi="仿宋" w:eastAsia="仿宋" w:cs="仿宋"/>
                <w:b/>
                <w:bCs/>
                <w:color w:val="auto"/>
                <w:spacing w:val="-2"/>
                <w:sz w:val="24"/>
                <w:szCs w:val="24"/>
                <w:highlight w:val="none"/>
                <w:lang w:eastAsia="zh-CN"/>
              </w:rPr>
              <w:t>分值</w:t>
            </w:r>
          </w:p>
        </w:tc>
        <w:tc>
          <w:tcPr>
            <w:tcW w:w="7305" w:type="dxa"/>
            <w:gridSpan w:val="2"/>
            <w:tcBorders>
              <w:left w:val="single" w:color="auto" w:sz="4" w:space="0"/>
            </w:tcBorders>
            <w:vAlign w:val="center"/>
          </w:tcPr>
          <w:p>
            <w:pPr>
              <w:spacing w:before="115"/>
              <w:ind w:firstLine="237" w:firstLineChars="100"/>
              <w:jc w:val="both"/>
              <w:rPr>
                <w:rFonts w:hint="eastAsia" w:ascii="仿宋" w:hAnsi="仿宋" w:eastAsia="仿宋" w:cs="仿宋"/>
                <w:b/>
                <w:bCs/>
                <w:color w:val="auto"/>
                <w:spacing w:val="-2"/>
                <w:sz w:val="24"/>
                <w:szCs w:val="24"/>
                <w:highlight w:val="none"/>
              </w:rPr>
            </w:pPr>
            <w:r>
              <w:rPr>
                <w:rFonts w:hint="eastAsia" w:ascii="仿宋" w:hAnsi="仿宋" w:eastAsia="仿宋" w:cs="仿宋"/>
                <w:b/>
                <w:bCs/>
                <w:color w:val="auto"/>
                <w:spacing w:val="-2"/>
                <w:sz w:val="24"/>
                <w:szCs w:val="24"/>
                <w:highlight w:val="no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before="11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人员配置</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spacing w:before="115"/>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5</w:t>
            </w:r>
            <w:r>
              <w:rPr>
                <w:rFonts w:hint="eastAsia" w:ascii="仿宋" w:hAnsi="仿宋" w:eastAsia="仿宋" w:cs="仿宋"/>
                <w:color w:val="auto"/>
                <w:spacing w:val="-2"/>
                <w:sz w:val="24"/>
                <w:szCs w:val="24"/>
                <w:highlight w:val="none"/>
                <w:lang w:eastAsia="zh-CN"/>
              </w:rPr>
              <w:t>分</w:t>
            </w:r>
          </w:p>
        </w:tc>
        <w:tc>
          <w:tcPr>
            <w:tcW w:w="7305" w:type="dxa"/>
            <w:gridSpan w:val="2"/>
            <w:tcBorders>
              <w:left w:val="single" w:color="auto" w:sz="4" w:space="0"/>
            </w:tcBorders>
            <w:vAlign w:val="center"/>
          </w:tcPr>
          <w:p>
            <w:pPr>
              <w:spacing w:before="115"/>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投标单位承诺：中标后项目管理机构人员配备满足项目需求，（</w:t>
            </w:r>
            <w:r>
              <w:rPr>
                <w:rFonts w:hint="eastAsia" w:ascii="仿宋" w:hAnsi="仿宋" w:eastAsia="仿宋" w:cs="仿宋"/>
                <w:color w:val="auto"/>
                <w:spacing w:val="-2"/>
                <w:sz w:val="24"/>
                <w:szCs w:val="24"/>
                <w:highlight w:val="none"/>
                <w:lang w:val="en-US" w:eastAsia="zh-CN"/>
              </w:rPr>
              <w:t>市政、水利、建筑</w:t>
            </w:r>
            <w:r>
              <w:rPr>
                <w:rFonts w:hint="eastAsia" w:ascii="仿宋" w:hAnsi="仿宋" w:eastAsia="仿宋" w:cs="仿宋"/>
                <w:color w:val="auto"/>
                <w:spacing w:val="-2"/>
                <w:sz w:val="24"/>
                <w:szCs w:val="24"/>
                <w:highlight w:val="none"/>
                <w:lang w:eastAsia="zh-CN"/>
              </w:rPr>
              <w:t>）</w:t>
            </w:r>
            <w:r>
              <w:rPr>
                <w:rFonts w:hint="eastAsia" w:ascii="仿宋" w:hAnsi="仿宋" w:eastAsia="仿宋" w:cs="仿宋"/>
                <w:color w:val="auto"/>
                <w:spacing w:val="-2"/>
                <w:sz w:val="24"/>
                <w:szCs w:val="24"/>
                <w:highlight w:val="none"/>
                <w:lang w:val="en-US" w:eastAsia="zh-CN"/>
              </w:rPr>
              <w:t>以上专业施工</w:t>
            </w:r>
            <w:r>
              <w:rPr>
                <w:rFonts w:hint="eastAsia" w:ascii="仿宋" w:hAnsi="仿宋" w:eastAsia="仿宋" w:cs="仿宋"/>
                <w:color w:val="auto"/>
                <w:spacing w:val="-2"/>
                <w:sz w:val="24"/>
                <w:szCs w:val="24"/>
                <w:highlight w:val="none"/>
                <w:lang w:eastAsia="zh-CN"/>
              </w:rPr>
              <w:t>项目负责人在</w:t>
            </w:r>
            <w:r>
              <w:rPr>
                <w:rFonts w:hint="eastAsia" w:ascii="仿宋" w:hAnsi="仿宋" w:eastAsia="仿宋" w:cs="仿宋"/>
                <w:color w:val="auto"/>
                <w:spacing w:val="-2"/>
                <w:sz w:val="24"/>
                <w:szCs w:val="24"/>
                <w:highlight w:val="none"/>
                <w:lang w:val="en-US" w:eastAsia="zh-CN"/>
              </w:rPr>
              <w:t>承诺</w:t>
            </w:r>
            <w:r>
              <w:rPr>
                <w:rFonts w:hint="eastAsia" w:ascii="仿宋" w:hAnsi="仿宋" w:eastAsia="仿宋" w:cs="仿宋"/>
                <w:color w:val="auto"/>
                <w:spacing w:val="-2"/>
                <w:sz w:val="24"/>
                <w:szCs w:val="24"/>
                <w:highlight w:val="none"/>
                <w:lang w:eastAsia="zh-CN"/>
              </w:rPr>
              <w:t>本单位注册且未担任其他在施建设工程项目。</w:t>
            </w:r>
          </w:p>
          <w:p>
            <w:pPr>
              <w:spacing w:before="115"/>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证明材料：提供承诺函，格式自拟。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资金保障能力</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25</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left w:val="single" w:color="auto" w:sz="4" w:space="0"/>
              <w:bottom w:val="single" w:color="auto" w:sz="4" w:space="0"/>
              <w:right w:val="single" w:color="auto" w:sz="4" w:space="0"/>
            </w:tcBorders>
            <w:vAlign w:val="center"/>
          </w:tcPr>
          <w:p>
            <w:pPr>
              <w:spacing w:before="0"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1、</w:t>
            </w:r>
            <w:r>
              <w:rPr>
                <w:rFonts w:hint="eastAsia" w:ascii="仿宋" w:hAnsi="仿宋" w:eastAsia="仿宋" w:cs="仿宋"/>
                <w:color w:val="auto"/>
                <w:spacing w:val="-2"/>
                <w:sz w:val="24"/>
                <w:szCs w:val="24"/>
                <w:highlight w:val="none"/>
                <w:lang w:eastAsia="zh-CN"/>
              </w:rPr>
              <w:t>自有资金≥</w:t>
            </w:r>
            <w:r>
              <w:rPr>
                <w:rFonts w:hint="eastAsia" w:ascii="仿宋" w:hAnsi="仿宋" w:eastAsia="仿宋" w:cs="仿宋"/>
                <w:color w:val="auto"/>
                <w:spacing w:val="-2"/>
                <w:sz w:val="24"/>
                <w:szCs w:val="24"/>
                <w:highlight w:val="none"/>
                <w:lang w:val="en-US" w:eastAsia="zh-CN"/>
              </w:rPr>
              <w:t>5000万</w:t>
            </w:r>
            <w:r>
              <w:rPr>
                <w:rFonts w:hint="eastAsia" w:ascii="仿宋" w:hAnsi="仿宋" w:eastAsia="仿宋" w:cs="仿宋"/>
                <w:color w:val="auto"/>
                <w:spacing w:val="-2"/>
                <w:sz w:val="24"/>
                <w:szCs w:val="24"/>
                <w:highlight w:val="none"/>
                <w:lang w:eastAsia="zh-CN"/>
              </w:rPr>
              <w:t>元，得1</w:t>
            </w:r>
            <w:r>
              <w:rPr>
                <w:rFonts w:hint="eastAsia" w:ascii="仿宋" w:hAnsi="仿宋" w:eastAsia="仿宋" w:cs="仿宋"/>
                <w:color w:val="auto"/>
                <w:spacing w:val="-2"/>
                <w:sz w:val="24"/>
                <w:szCs w:val="24"/>
                <w:highlight w:val="none"/>
                <w:lang w:val="en-US" w:eastAsia="zh-CN"/>
              </w:rPr>
              <w:t>5</w:t>
            </w:r>
            <w:r>
              <w:rPr>
                <w:rFonts w:hint="eastAsia" w:ascii="仿宋" w:hAnsi="仿宋" w:eastAsia="仿宋" w:cs="仿宋"/>
                <w:color w:val="auto"/>
                <w:spacing w:val="-2"/>
                <w:sz w:val="24"/>
                <w:szCs w:val="24"/>
                <w:highlight w:val="none"/>
                <w:lang w:eastAsia="zh-CN"/>
              </w:rPr>
              <w:t>分；</w:t>
            </w:r>
          </w:p>
          <w:p>
            <w:pPr>
              <w:spacing w:before="0"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3</w:t>
            </w:r>
            <w:r>
              <w:rPr>
                <w:rFonts w:hint="eastAsia" w:ascii="仿宋" w:hAnsi="仿宋" w:eastAsia="仿宋" w:cs="仿宋"/>
                <w:color w:val="auto"/>
                <w:spacing w:val="-2"/>
                <w:sz w:val="24"/>
                <w:szCs w:val="24"/>
                <w:highlight w:val="none"/>
                <w:lang w:eastAsia="zh-CN"/>
              </w:rPr>
              <w:t>000万元≤自有资金＜</w:t>
            </w:r>
            <w:r>
              <w:rPr>
                <w:rFonts w:hint="eastAsia" w:ascii="仿宋" w:hAnsi="仿宋" w:eastAsia="仿宋" w:cs="仿宋"/>
                <w:color w:val="auto"/>
                <w:spacing w:val="-2"/>
                <w:sz w:val="24"/>
                <w:szCs w:val="24"/>
                <w:highlight w:val="none"/>
                <w:lang w:val="en-US" w:eastAsia="zh-CN"/>
              </w:rPr>
              <w:t>5000万</w:t>
            </w:r>
            <w:r>
              <w:rPr>
                <w:rFonts w:hint="eastAsia" w:ascii="仿宋" w:hAnsi="仿宋" w:eastAsia="仿宋" w:cs="仿宋"/>
                <w:color w:val="auto"/>
                <w:spacing w:val="-2"/>
                <w:sz w:val="24"/>
                <w:szCs w:val="24"/>
                <w:highlight w:val="none"/>
                <w:lang w:eastAsia="zh-CN"/>
              </w:rPr>
              <w:t>元，得</w:t>
            </w:r>
            <w:r>
              <w:rPr>
                <w:rFonts w:hint="eastAsia" w:ascii="仿宋" w:hAnsi="仿宋" w:eastAsia="仿宋" w:cs="仿宋"/>
                <w:color w:val="auto"/>
                <w:spacing w:val="-2"/>
                <w:sz w:val="24"/>
                <w:szCs w:val="24"/>
                <w:highlight w:val="none"/>
                <w:lang w:val="en-US" w:eastAsia="zh-CN"/>
              </w:rPr>
              <w:t>10</w:t>
            </w:r>
            <w:r>
              <w:rPr>
                <w:rFonts w:hint="eastAsia" w:ascii="仿宋" w:hAnsi="仿宋" w:eastAsia="仿宋" w:cs="仿宋"/>
                <w:color w:val="auto"/>
                <w:spacing w:val="-2"/>
                <w:sz w:val="24"/>
                <w:szCs w:val="24"/>
                <w:highlight w:val="none"/>
                <w:lang w:eastAsia="zh-CN"/>
              </w:rPr>
              <w:t>分；</w:t>
            </w:r>
          </w:p>
          <w:p>
            <w:pPr>
              <w:spacing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自有资金＜</w:t>
            </w:r>
            <w:r>
              <w:rPr>
                <w:rFonts w:hint="eastAsia" w:ascii="仿宋" w:hAnsi="仿宋" w:eastAsia="仿宋" w:cs="仿宋"/>
                <w:color w:val="auto"/>
                <w:spacing w:val="-2"/>
                <w:sz w:val="24"/>
                <w:szCs w:val="24"/>
                <w:highlight w:val="none"/>
                <w:lang w:val="en-US" w:eastAsia="zh-CN"/>
              </w:rPr>
              <w:t>3</w:t>
            </w:r>
            <w:r>
              <w:rPr>
                <w:rFonts w:hint="eastAsia" w:ascii="仿宋" w:hAnsi="仿宋" w:eastAsia="仿宋" w:cs="仿宋"/>
                <w:color w:val="auto"/>
                <w:spacing w:val="-2"/>
                <w:sz w:val="24"/>
                <w:szCs w:val="24"/>
                <w:highlight w:val="none"/>
                <w:lang w:eastAsia="zh-CN"/>
              </w:rPr>
              <w:t>0</w:t>
            </w:r>
            <w:r>
              <w:rPr>
                <w:rFonts w:hint="eastAsia" w:ascii="仿宋" w:hAnsi="仿宋" w:eastAsia="仿宋" w:cs="仿宋"/>
                <w:color w:val="auto"/>
                <w:spacing w:val="-2"/>
                <w:sz w:val="24"/>
                <w:szCs w:val="24"/>
                <w:highlight w:val="none"/>
                <w:lang w:val="en-US" w:eastAsia="zh-CN"/>
              </w:rPr>
              <w:t>00</w:t>
            </w:r>
            <w:r>
              <w:rPr>
                <w:rFonts w:hint="eastAsia" w:ascii="仿宋" w:hAnsi="仿宋" w:eastAsia="仿宋" w:cs="仿宋"/>
                <w:color w:val="auto"/>
                <w:spacing w:val="-2"/>
                <w:sz w:val="24"/>
                <w:szCs w:val="24"/>
                <w:highlight w:val="none"/>
                <w:lang w:eastAsia="zh-CN"/>
              </w:rPr>
              <w:t>万元，得</w:t>
            </w:r>
            <w:r>
              <w:rPr>
                <w:rFonts w:hint="eastAsia" w:ascii="仿宋" w:hAnsi="仿宋" w:eastAsia="仿宋" w:cs="仿宋"/>
                <w:color w:val="auto"/>
                <w:spacing w:val="-2"/>
                <w:sz w:val="24"/>
                <w:szCs w:val="24"/>
                <w:highlight w:val="none"/>
                <w:lang w:val="en-US" w:eastAsia="zh-CN"/>
              </w:rPr>
              <w:t>5</w:t>
            </w:r>
            <w:r>
              <w:rPr>
                <w:rFonts w:hint="eastAsia" w:ascii="仿宋" w:hAnsi="仿宋" w:eastAsia="仿宋" w:cs="仿宋"/>
                <w:color w:val="auto"/>
                <w:spacing w:val="-2"/>
                <w:sz w:val="24"/>
                <w:szCs w:val="24"/>
                <w:highlight w:val="none"/>
                <w:lang w:eastAsia="zh-CN"/>
              </w:rPr>
              <w:t>分；</w:t>
            </w:r>
          </w:p>
          <w:p>
            <w:pPr>
              <w:spacing w:before="0"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无自有资金的，得0分。</w:t>
            </w:r>
          </w:p>
          <w:p>
            <w:pPr>
              <w:spacing w:before="0"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证明材料:自有资金证明以本项目招标公告发布之日后由</w:t>
            </w:r>
            <w:r>
              <w:rPr>
                <w:rFonts w:hint="eastAsia" w:ascii="仿宋" w:hAnsi="仿宋" w:eastAsia="仿宋" w:cs="仿宋"/>
                <w:color w:val="auto"/>
                <w:spacing w:val="-2"/>
                <w:sz w:val="24"/>
                <w:szCs w:val="24"/>
                <w:highlight w:val="none"/>
                <w:lang w:val="en-US" w:eastAsia="zh-CN"/>
              </w:rPr>
              <w:t>银行</w:t>
            </w:r>
            <w:r>
              <w:rPr>
                <w:rFonts w:hint="eastAsia" w:ascii="仿宋" w:hAnsi="仿宋" w:eastAsia="仿宋" w:cs="仿宋"/>
                <w:color w:val="auto"/>
                <w:spacing w:val="-2"/>
                <w:sz w:val="24"/>
                <w:szCs w:val="24"/>
                <w:highlight w:val="none"/>
                <w:lang w:eastAsia="zh-CN"/>
              </w:rPr>
              <w:t>出具的有效期内的银行存款证明为准</w:t>
            </w:r>
          </w:p>
          <w:p>
            <w:pPr>
              <w:spacing w:before="0" w:line="440" w:lineRule="exact"/>
              <w:jc w:val="both"/>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2、提供不低于人民币1亿元的银行授信或银行融资意向文件，得10分，</w:t>
            </w:r>
          </w:p>
          <w:p>
            <w:pPr>
              <w:spacing w:before="0"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证明材料:银行出具的授信或银行融资意向文件复印件加盖公章。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before="115"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rPr>
              <w:t>项目推进能力</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spacing w:before="115" w:line="440" w:lineRule="exact"/>
              <w:jc w:val="both"/>
              <w:rPr>
                <w:rFonts w:hint="default"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10</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left w:val="single" w:color="auto" w:sz="4" w:space="0"/>
              <w:bottom w:val="single" w:color="auto" w:sz="4" w:space="0"/>
              <w:right w:val="single" w:color="auto" w:sz="4" w:space="0"/>
            </w:tcBorders>
            <w:vAlign w:val="center"/>
          </w:tcPr>
          <w:p>
            <w:pPr>
              <w:spacing w:before="0" w:line="440" w:lineRule="exact"/>
              <w:jc w:val="both"/>
              <w:rPr>
                <w:rFonts w:hint="default"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eastAsia="zh-CN"/>
              </w:rPr>
              <w:t>投标人（或联合体任一成员）与项目</w:t>
            </w:r>
            <w:r>
              <w:rPr>
                <w:rFonts w:hint="eastAsia" w:ascii="仿宋" w:hAnsi="仿宋" w:eastAsia="仿宋" w:cs="仿宋"/>
                <w:color w:val="auto"/>
                <w:spacing w:val="-2"/>
                <w:sz w:val="24"/>
                <w:szCs w:val="24"/>
                <w:highlight w:val="none"/>
                <w:lang w:val="en-US" w:eastAsia="zh-CN"/>
              </w:rPr>
              <w:t>涉及地1个</w:t>
            </w:r>
            <w:r>
              <w:rPr>
                <w:rFonts w:hint="eastAsia" w:ascii="仿宋" w:hAnsi="仿宋" w:eastAsia="仿宋" w:cs="仿宋"/>
                <w:color w:val="auto"/>
                <w:spacing w:val="-2"/>
                <w:sz w:val="24"/>
                <w:szCs w:val="24"/>
                <w:highlight w:val="none"/>
                <w:lang w:eastAsia="zh-CN"/>
              </w:rPr>
              <w:t>村民委员会（或实际使用单位）达成合作意向或协议的得</w:t>
            </w:r>
            <w:r>
              <w:rPr>
                <w:rFonts w:hint="eastAsia" w:ascii="仿宋" w:hAnsi="仿宋" w:eastAsia="仿宋" w:cs="仿宋"/>
                <w:color w:val="auto"/>
                <w:spacing w:val="-2"/>
                <w:sz w:val="24"/>
                <w:szCs w:val="24"/>
                <w:highlight w:val="none"/>
                <w:lang w:val="en-US" w:eastAsia="zh-CN"/>
              </w:rPr>
              <w:t>2</w:t>
            </w:r>
            <w:r>
              <w:rPr>
                <w:rFonts w:hint="eastAsia" w:ascii="仿宋" w:hAnsi="仿宋" w:eastAsia="仿宋" w:cs="仿宋"/>
                <w:color w:val="auto"/>
                <w:spacing w:val="-2"/>
                <w:sz w:val="24"/>
                <w:szCs w:val="24"/>
                <w:highlight w:val="none"/>
                <w:lang w:eastAsia="zh-CN"/>
              </w:rPr>
              <w:t>分（</w:t>
            </w:r>
            <w:r>
              <w:rPr>
                <w:rFonts w:hint="eastAsia" w:ascii="仿宋" w:hAnsi="仿宋" w:eastAsia="仿宋" w:cs="仿宋"/>
                <w:color w:val="auto"/>
                <w:spacing w:val="-2"/>
                <w:sz w:val="24"/>
                <w:szCs w:val="24"/>
                <w:highlight w:val="none"/>
                <w:lang w:val="en-US" w:eastAsia="zh-CN"/>
              </w:rPr>
              <w:t>满分10分）</w:t>
            </w:r>
          </w:p>
          <w:p>
            <w:pPr>
              <w:spacing w:before="0" w:line="440" w:lineRule="exact"/>
              <w:jc w:val="both"/>
              <w:rPr>
                <w:rFonts w:hint="eastAsia" w:ascii="仿宋" w:hAnsi="仿宋" w:eastAsia="仿宋" w:cs="仿宋"/>
                <w:color w:val="auto"/>
                <w:spacing w:val="-2"/>
                <w:sz w:val="24"/>
                <w:szCs w:val="24"/>
                <w:highlight w:val="none"/>
                <w:lang w:val="zh-TW" w:eastAsia="zh-TW"/>
              </w:rPr>
            </w:pPr>
            <w:r>
              <w:rPr>
                <w:rFonts w:hint="eastAsia" w:ascii="仿宋" w:hAnsi="仿宋" w:eastAsia="仿宋" w:cs="仿宋"/>
                <w:color w:val="auto"/>
                <w:spacing w:val="-2"/>
                <w:sz w:val="24"/>
                <w:szCs w:val="24"/>
                <w:highlight w:val="none"/>
                <w:lang w:val="zh-TW" w:eastAsia="zh-TW"/>
              </w:rPr>
              <w:t>证明材料：</w:t>
            </w:r>
            <w:r>
              <w:rPr>
                <w:rFonts w:hint="eastAsia" w:ascii="仿宋" w:hAnsi="仿宋" w:eastAsia="仿宋" w:cs="仿宋"/>
                <w:color w:val="auto"/>
                <w:spacing w:val="-2"/>
                <w:sz w:val="24"/>
                <w:szCs w:val="24"/>
                <w:highlight w:val="none"/>
                <w:lang w:val="zh-TW" w:eastAsia="zh-CN"/>
              </w:rPr>
              <w:t>相关合作</w:t>
            </w:r>
            <w:r>
              <w:rPr>
                <w:rFonts w:hint="eastAsia" w:ascii="仿宋" w:hAnsi="仿宋" w:eastAsia="仿宋" w:cs="仿宋"/>
                <w:color w:val="auto"/>
                <w:spacing w:val="-2"/>
                <w:sz w:val="24"/>
                <w:szCs w:val="24"/>
                <w:highlight w:val="none"/>
                <w:lang w:val="en-US" w:eastAsia="zh-CN"/>
              </w:rPr>
              <w:t>意向或</w:t>
            </w:r>
            <w:r>
              <w:rPr>
                <w:rFonts w:hint="eastAsia" w:ascii="仿宋" w:hAnsi="仿宋" w:eastAsia="仿宋" w:cs="仿宋"/>
                <w:color w:val="auto"/>
                <w:spacing w:val="-2"/>
                <w:sz w:val="24"/>
                <w:szCs w:val="24"/>
                <w:highlight w:val="none"/>
                <w:lang w:val="zh-TW" w:eastAsia="zh-CN"/>
              </w:rPr>
              <w:t>协议</w:t>
            </w:r>
            <w:r>
              <w:rPr>
                <w:rFonts w:hint="eastAsia" w:ascii="仿宋" w:hAnsi="仿宋" w:eastAsia="仿宋" w:cs="仿宋"/>
                <w:color w:val="auto"/>
                <w:spacing w:val="-2"/>
                <w:sz w:val="24"/>
                <w:szCs w:val="24"/>
                <w:highlight w:val="none"/>
                <w:lang w:eastAsia="zh-CN"/>
              </w:rPr>
              <w:t>复印件加盖公章（包括实际使用单位与村民委员会达成的相关协议）</w:t>
            </w:r>
            <w:r>
              <w:rPr>
                <w:rFonts w:hint="eastAsia" w:ascii="仿宋" w:hAnsi="仿宋" w:eastAsia="仿宋" w:cs="仿宋"/>
                <w:color w:val="auto"/>
                <w:spacing w:val="-2"/>
                <w:sz w:val="24"/>
                <w:szCs w:val="24"/>
                <w:highlight w:val="none"/>
                <w:lang w:val="zh-TW" w:eastAsia="zh-TW"/>
              </w:rPr>
              <w:t>。</w:t>
            </w:r>
          </w:p>
          <w:p>
            <w:pPr>
              <w:spacing w:before="0"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注：</w:t>
            </w:r>
            <w:r>
              <w:rPr>
                <w:rFonts w:hint="eastAsia" w:ascii="仿宋" w:hAnsi="仿宋" w:eastAsia="仿宋" w:cs="仿宋"/>
                <w:color w:val="auto"/>
                <w:spacing w:val="-2"/>
                <w:sz w:val="24"/>
                <w:szCs w:val="24"/>
                <w:highlight w:val="none"/>
                <w:lang w:val="zh-TW" w:eastAsia="zh-CN"/>
              </w:rPr>
              <w:t>合作</w:t>
            </w:r>
            <w:r>
              <w:rPr>
                <w:rFonts w:hint="eastAsia" w:ascii="仿宋" w:hAnsi="仿宋" w:eastAsia="仿宋" w:cs="仿宋"/>
                <w:color w:val="auto"/>
                <w:spacing w:val="-2"/>
                <w:sz w:val="24"/>
                <w:szCs w:val="24"/>
                <w:highlight w:val="none"/>
                <w:lang w:val="en-US" w:eastAsia="zh-CN"/>
              </w:rPr>
              <w:t>意向或</w:t>
            </w:r>
            <w:r>
              <w:rPr>
                <w:rFonts w:hint="eastAsia" w:ascii="仿宋" w:hAnsi="仿宋" w:eastAsia="仿宋" w:cs="仿宋"/>
                <w:color w:val="auto"/>
                <w:spacing w:val="-2"/>
                <w:sz w:val="24"/>
                <w:szCs w:val="24"/>
                <w:highlight w:val="none"/>
                <w:lang w:val="zh-TW" w:eastAsia="zh-CN"/>
              </w:rPr>
              <w:t>协议</w:t>
            </w:r>
            <w:r>
              <w:rPr>
                <w:rFonts w:hint="eastAsia" w:ascii="仿宋" w:hAnsi="仿宋" w:eastAsia="仿宋" w:cs="仿宋"/>
                <w:color w:val="auto"/>
                <w:spacing w:val="-2"/>
                <w:sz w:val="24"/>
                <w:szCs w:val="24"/>
                <w:highlight w:val="none"/>
                <w:lang w:val="en-US" w:eastAsia="zh-CN"/>
              </w:rPr>
              <w:t>无固定格式要求</w:t>
            </w:r>
            <w:r>
              <w:rPr>
                <w:rFonts w:hint="eastAsia" w:ascii="仿宋" w:hAnsi="仿宋" w:eastAsia="仿宋" w:cs="仿宋"/>
                <w:color w:val="auto"/>
                <w:spacing w:val="-2"/>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50"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类似</w:t>
            </w:r>
          </w:p>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业绩</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10</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bottom w:val="single" w:color="auto" w:sz="4" w:space="0"/>
            </w:tcBorders>
            <w:vAlign w:val="center"/>
          </w:tcPr>
          <w:p>
            <w:pPr>
              <w:spacing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1.</w:t>
            </w:r>
            <w:r>
              <w:rPr>
                <w:rFonts w:hint="eastAsia" w:ascii="仿宋" w:hAnsi="仿宋" w:eastAsia="仿宋" w:cs="仿宋"/>
                <w:color w:val="auto"/>
                <w:spacing w:val="-2"/>
                <w:sz w:val="24"/>
                <w:szCs w:val="24"/>
                <w:highlight w:val="none"/>
                <w:lang w:eastAsia="zh-CN"/>
              </w:rPr>
              <w:t>2020年1月1日至今投标人（</w:t>
            </w:r>
            <w:r>
              <w:rPr>
                <w:rFonts w:hint="eastAsia" w:ascii="仿宋" w:hAnsi="仿宋" w:eastAsia="仿宋" w:cs="仿宋"/>
                <w:color w:val="auto"/>
                <w:spacing w:val="-2"/>
                <w:sz w:val="24"/>
                <w:szCs w:val="24"/>
                <w:highlight w:val="none"/>
                <w:lang w:val="en-US" w:eastAsia="zh-CN"/>
              </w:rPr>
              <w:t>牵头单位或联合体成员单位</w:t>
            </w:r>
            <w:r>
              <w:rPr>
                <w:rFonts w:hint="eastAsia" w:ascii="仿宋" w:hAnsi="仿宋" w:eastAsia="仿宋" w:cs="仿宋"/>
                <w:color w:val="auto"/>
                <w:spacing w:val="-2"/>
                <w:sz w:val="24"/>
                <w:szCs w:val="24"/>
                <w:highlight w:val="none"/>
                <w:lang w:eastAsia="zh-CN"/>
              </w:rPr>
              <w:t>）承接过全域土地综合整治项目或承接过土地整治项目或承接过高标准农田建设项目的业绩，每提供</w:t>
            </w:r>
            <w:r>
              <w:rPr>
                <w:rFonts w:hint="eastAsia" w:ascii="仿宋" w:hAnsi="仿宋" w:eastAsia="仿宋" w:cs="仿宋"/>
                <w:color w:val="auto"/>
                <w:spacing w:val="-2"/>
                <w:sz w:val="24"/>
                <w:szCs w:val="24"/>
                <w:highlight w:val="none"/>
                <w:lang w:val="en-US" w:eastAsia="zh-CN"/>
              </w:rPr>
              <w:t>1</w:t>
            </w:r>
            <w:r>
              <w:rPr>
                <w:rFonts w:hint="eastAsia" w:ascii="仿宋" w:hAnsi="仿宋" w:eastAsia="仿宋" w:cs="仿宋"/>
                <w:color w:val="auto"/>
                <w:spacing w:val="-2"/>
                <w:sz w:val="24"/>
                <w:szCs w:val="24"/>
                <w:highlight w:val="none"/>
                <w:lang w:eastAsia="zh-CN"/>
              </w:rPr>
              <w:t>个得</w:t>
            </w:r>
            <w:r>
              <w:rPr>
                <w:rFonts w:hint="eastAsia" w:ascii="仿宋" w:hAnsi="仿宋" w:eastAsia="仿宋" w:cs="仿宋"/>
                <w:color w:val="auto"/>
                <w:spacing w:val="-2"/>
                <w:sz w:val="24"/>
                <w:szCs w:val="24"/>
                <w:highlight w:val="none"/>
                <w:lang w:val="en-US" w:eastAsia="zh-CN"/>
              </w:rPr>
              <w:t>10</w:t>
            </w:r>
            <w:r>
              <w:rPr>
                <w:rFonts w:hint="eastAsia" w:ascii="仿宋" w:hAnsi="仿宋" w:eastAsia="仿宋" w:cs="仿宋"/>
                <w:color w:val="auto"/>
                <w:spacing w:val="-2"/>
                <w:sz w:val="24"/>
                <w:szCs w:val="24"/>
                <w:highlight w:val="none"/>
                <w:lang w:eastAsia="zh-CN"/>
              </w:rPr>
              <w:t>分（满分</w:t>
            </w:r>
            <w:r>
              <w:rPr>
                <w:rFonts w:hint="eastAsia" w:ascii="仿宋" w:hAnsi="仿宋" w:eastAsia="仿宋" w:cs="仿宋"/>
                <w:color w:val="auto"/>
                <w:spacing w:val="-2"/>
                <w:sz w:val="24"/>
                <w:szCs w:val="24"/>
                <w:highlight w:val="none"/>
                <w:lang w:val="en-US" w:eastAsia="zh-CN"/>
              </w:rPr>
              <w:t>10</w:t>
            </w:r>
            <w:r>
              <w:rPr>
                <w:rFonts w:hint="eastAsia" w:ascii="仿宋" w:hAnsi="仿宋" w:eastAsia="仿宋" w:cs="仿宋"/>
                <w:color w:val="auto"/>
                <w:spacing w:val="-2"/>
                <w:sz w:val="24"/>
                <w:szCs w:val="24"/>
                <w:highlight w:val="none"/>
                <w:lang w:eastAsia="zh-CN"/>
              </w:rPr>
              <w:t>分）。</w:t>
            </w:r>
          </w:p>
          <w:p>
            <w:pPr>
              <w:spacing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z w:val="24"/>
                <w:highlight w:val="none"/>
                <w:lang w:eastAsia="zh-CN"/>
              </w:rPr>
              <w:t>证明材料：需提供合同关键页复印件</w:t>
            </w:r>
            <w:r>
              <w:rPr>
                <w:rFonts w:hint="eastAsia" w:ascii="仿宋" w:hAnsi="仿宋" w:eastAsia="仿宋" w:cs="仿宋"/>
                <w:color w:val="auto"/>
                <w:spacing w:val="-2"/>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jc w:val="center"/>
        </w:trPr>
        <w:tc>
          <w:tcPr>
            <w:tcW w:w="489" w:type="dxa"/>
            <w:vMerge w:val="restart"/>
            <w:tcBorders>
              <w:top w:val="single" w:color="auto" w:sz="4" w:space="0"/>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实施方案</w:t>
            </w:r>
          </w:p>
        </w:tc>
        <w:tc>
          <w:tcPr>
            <w:tcW w:w="961" w:type="dxa"/>
            <w:tcBorders>
              <w:top w:val="single" w:color="auto" w:sz="4" w:space="0"/>
              <w:left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项目总体分析</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7分</w:t>
            </w:r>
          </w:p>
        </w:tc>
        <w:tc>
          <w:tcPr>
            <w:tcW w:w="7305" w:type="dxa"/>
            <w:gridSpan w:val="2"/>
            <w:tcBorders>
              <w:top w:val="single" w:color="auto" w:sz="4" w:space="0"/>
              <w:bottom w:val="single" w:color="auto" w:sz="4" w:space="0"/>
            </w:tcBorders>
            <w:vAlign w:val="center"/>
          </w:tcPr>
          <w:p>
            <w:pPr>
              <w:spacing w:before="115" w:line="440" w:lineRule="exact"/>
              <w:rPr>
                <w:rFonts w:hint="eastAsia" w:ascii="仿宋" w:hAnsi="仿宋" w:eastAsia="仿宋" w:cs="仿宋"/>
                <w:color w:val="auto"/>
                <w:sz w:val="24"/>
                <w:highlight w:val="none"/>
                <w:lang w:eastAsia="zh-CN"/>
              </w:rPr>
            </w:pPr>
            <w:r>
              <w:rPr>
                <w:rFonts w:hint="eastAsia" w:ascii="仿宋" w:hAnsi="仿宋" w:eastAsia="仿宋" w:cs="仿宋"/>
                <w:color w:val="auto"/>
                <w:spacing w:val="-2"/>
                <w:sz w:val="24"/>
                <w:szCs w:val="24"/>
                <w:highlight w:val="none"/>
                <w:lang w:eastAsia="zh-CN"/>
              </w:rPr>
              <w:t>根据对项目总体分析（包括但不限于现状分析、政策分析、实施重难点分析、风险分析、实施目标及实施效果分析）的详实性、科学性、合理可行性打分。</w:t>
            </w:r>
            <w:r>
              <w:rPr>
                <w:rFonts w:hint="eastAsia" w:ascii="仿宋" w:hAnsi="仿宋" w:eastAsia="仿宋" w:cs="仿宋"/>
                <w:color w:val="auto"/>
                <w:spacing w:val="-2"/>
                <w:sz w:val="24"/>
                <w:szCs w:val="24"/>
                <w:highlight w:val="none"/>
              </w:rPr>
              <w:t>优得4.6-7.0分，良得2.2-4.5分，一般得0-2.2分。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5"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top w:val="single" w:color="auto" w:sz="4" w:space="0"/>
              <w:left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农用地整治方案</w:t>
            </w:r>
          </w:p>
        </w:tc>
        <w:tc>
          <w:tcPr>
            <w:tcW w:w="519" w:type="dxa"/>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5分</w:t>
            </w:r>
          </w:p>
        </w:tc>
        <w:tc>
          <w:tcPr>
            <w:tcW w:w="7325" w:type="dxa"/>
            <w:gridSpan w:val="3"/>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lang w:val="zh-CN" w:eastAsia="zh-CN"/>
              </w:rPr>
              <w:t>能准确分析说明土地利用现状，</w:t>
            </w:r>
            <w:r>
              <w:rPr>
                <w:rFonts w:hint="eastAsia" w:ascii="仿宋" w:hAnsi="仿宋" w:eastAsia="仿宋" w:cs="仿宋"/>
                <w:color w:val="auto"/>
                <w:spacing w:val="-2"/>
                <w:sz w:val="24"/>
                <w:szCs w:val="24"/>
                <w:highlight w:val="none"/>
                <w:lang w:eastAsia="zh-CN"/>
              </w:rPr>
              <w:t>能够提出合理且具备针对性的整治措施，</w:t>
            </w:r>
            <w:r>
              <w:rPr>
                <w:rFonts w:hint="eastAsia" w:ascii="仿宋" w:hAnsi="仿宋" w:eastAsia="仿宋" w:cs="仿宋"/>
                <w:color w:val="auto"/>
                <w:spacing w:val="-2"/>
                <w:sz w:val="24"/>
                <w:szCs w:val="24"/>
                <w:highlight w:val="none"/>
                <w:lang w:val="zh-CN" w:eastAsia="zh-CN"/>
              </w:rPr>
              <w:t>准确描述项目任务和目标。框架结构清晰，体系完整，对该项目需求解读准确且思路明确，切合项目实施要求。</w:t>
            </w:r>
            <w:r>
              <w:rPr>
                <w:rFonts w:hint="eastAsia" w:ascii="仿宋" w:hAnsi="仿宋" w:eastAsia="仿宋" w:cs="仿宋"/>
                <w:color w:val="auto"/>
                <w:spacing w:val="-2"/>
                <w:sz w:val="24"/>
                <w:szCs w:val="24"/>
                <w:highlight w:val="none"/>
                <w:lang w:eastAsia="zh-CN"/>
              </w:rPr>
              <w:t>根据方案的健全度、满足度、科学性、合理可行性打分。</w:t>
            </w:r>
            <w:r>
              <w:rPr>
                <w:rFonts w:hint="eastAsia" w:ascii="仿宋" w:hAnsi="仿宋" w:eastAsia="仿宋" w:cs="仿宋"/>
                <w:color w:val="auto"/>
                <w:spacing w:val="-2"/>
                <w:sz w:val="24"/>
                <w:szCs w:val="24"/>
                <w:highlight w:val="none"/>
              </w:rPr>
              <w:t>优得4.0-5.0分，良得3.0-3.9分，一般得0-2.9分。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top w:val="single" w:color="auto" w:sz="4" w:space="0"/>
              <w:left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建设用地整治方案</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lang w:val="zh-CN" w:eastAsia="zh-CN"/>
              </w:rPr>
              <w:t>能准确分析说明土地利用现状，</w:t>
            </w:r>
            <w:r>
              <w:rPr>
                <w:rFonts w:hint="eastAsia" w:ascii="仿宋" w:hAnsi="仿宋" w:eastAsia="仿宋" w:cs="仿宋"/>
                <w:color w:val="auto"/>
                <w:spacing w:val="-2"/>
                <w:sz w:val="24"/>
                <w:szCs w:val="24"/>
                <w:highlight w:val="none"/>
                <w:lang w:eastAsia="zh-CN"/>
              </w:rPr>
              <w:t>能够提出合理且具备针对性的整治措施，能够</w:t>
            </w:r>
            <w:r>
              <w:rPr>
                <w:rFonts w:hint="eastAsia" w:ascii="仿宋" w:hAnsi="仿宋" w:eastAsia="仿宋" w:cs="仿宋"/>
                <w:color w:val="auto"/>
                <w:spacing w:val="-2"/>
                <w:sz w:val="24"/>
                <w:szCs w:val="24"/>
                <w:highlight w:val="none"/>
                <w:lang w:val="zh-CN" w:eastAsia="zh-CN"/>
              </w:rPr>
              <w:t>准确描述项目任务和目标。框架结构清晰，体系完整，对该项目需求解读准确且思路明确，切合项目实施要求。</w:t>
            </w:r>
            <w:r>
              <w:rPr>
                <w:rFonts w:hint="eastAsia" w:ascii="仿宋" w:hAnsi="仿宋" w:eastAsia="仿宋" w:cs="仿宋"/>
                <w:color w:val="auto"/>
                <w:spacing w:val="-2"/>
                <w:sz w:val="24"/>
                <w:szCs w:val="24"/>
                <w:highlight w:val="none"/>
                <w:lang w:eastAsia="zh-CN"/>
              </w:rPr>
              <w:t>根据方案的健全度、满足度、科学性、合理可行性打分。</w:t>
            </w:r>
            <w:r>
              <w:rPr>
                <w:rFonts w:hint="eastAsia" w:ascii="仿宋" w:hAnsi="仿宋" w:eastAsia="仿宋" w:cs="仿宋"/>
                <w:color w:val="auto"/>
                <w:spacing w:val="-2"/>
                <w:sz w:val="24"/>
                <w:szCs w:val="24"/>
                <w:highlight w:val="none"/>
              </w:rPr>
              <w:t>优得4.0-5.0分，良得3.0-3.9分，一般得0-2.9分。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top w:val="single" w:color="auto" w:sz="4" w:space="0"/>
              <w:left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生态修复方案</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5分</w:t>
            </w:r>
          </w:p>
        </w:tc>
        <w:tc>
          <w:tcPr>
            <w:tcW w:w="7305" w:type="dxa"/>
            <w:gridSpan w:val="2"/>
            <w:tcBorders>
              <w:top w:val="single" w:color="auto" w:sz="4" w:space="0"/>
              <w:bottom w:val="single" w:color="auto" w:sz="4" w:space="0"/>
            </w:tcBorders>
            <w:vAlign w:val="center"/>
          </w:tcPr>
          <w:p>
            <w:pPr>
              <w:spacing w:before="115" w:line="440" w:lineRule="exact"/>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能够完整阐述项目范围内生态破坏现状，生态修复措施具备针对性及可行性。根据方案的健全度、满足度、科学性、合理可行性打分。优得4.0-5.0分，良得3.0-3.9分，一般得0-2.9分。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0" w:hRule="atLeast"/>
          <w:jc w:val="center"/>
        </w:trPr>
        <w:tc>
          <w:tcPr>
            <w:tcW w:w="489" w:type="dxa"/>
            <w:vMerge w:val="continue"/>
            <w:tcBorders>
              <w:bottom w:val="single" w:color="auto" w:sz="4" w:space="0"/>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top w:val="single" w:color="auto" w:sz="4" w:space="0"/>
              <w:left w:val="single" w:color="auto" w:sz="4" w:space="0"/>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产业导入方案</w:t>
            </w:r>
          </w:p>
        </w:tc>
        <w:tc>
          <w:tcPr>
            <w:tcW w:w="539" w:type="dxa"/>
            <w:gridSpan w:val="2"/>
            <w:tcBorders>
              <w:top w:val="single" w:color="auto" w:sz="4" w:space="0"/>
              <w:left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根据产业导入方案中导入的产业适应性、产业布局与设计合理性、资金来源的可靠性、实际可操作性为基础打分。优得4.0-5.0分，良得3.0-3.9分，一般得0-2.9分。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jc w:val="center"/>
        </w:trPr>
        <w:tc>
          <w:tcPr>
            <w:tcW w:w="489" w:type="dxa"/>
            <w:vMerge w:val="restart"/>
            <w:tcBorders>
              <w:top w:val="single" w:color="auto" w:sz="4" w:space="0"/>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right w:val="single" w:color="auto" w:sz="4" w:space="0"/>
            </w:tcBorders>
            <w:vAlign w:val="center"/>
          </w:tcPr>
          <w:p>
            <w:pPr>
              <w:spacing w:before="115" w:line="440" w:lineRule="exact"/>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后期管护方案</w:t>
            </w:r>
          </w:p>
        </w:tc>
        <w:tc>
          <w:tcPr>
            <w:tcW w:w="539" w:type="dxa"/>
            <w:gridSpan w:val="2"/>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5分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对补充耕地后期管护基本原则，管护内容、管护方式、管护主体权利和责任进行阐述及规划安排，优得4.0-5.0分，良得3.0-3.9分，一般得0-2.9分。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实施乡村振兴战略方案</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5分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lang w:eastAsia="zh-CN"/>
              </w:rPr>
              <w:t>能够全面识别适用于本项目的乡村振兴政策，能够清晰、完整阐述对相关乡村振兴政策的理解与运用。根据方案合理性、科学性、实际可操作性为基础打分。</w:t>
            </w:r>
            <w:r>
              <w:rPr>
                <w:rFonts w:hint="eastAsia" w:ascii="仿宋" w:hAnsi="仿宋" w:eastAsia="仿宋" w:cs="仿宋"/>
                <w:color w:val="auto"/>
                <w:spacing w:val="-2"/>
                <w:sz w:val="24"/>
                <w:szCs w:val="24"/>
                <w:highlight w:val="none"/>
              </w:rPr>
              <w:t>优得4.0-5.0分，良得3.0-3.9分，一般得0-2.9分。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项目公司组建方案</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rPr>
              <w:t>3</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kern w:val="0"/>
                <w:sz w:val="24"/>
                <w:szCs w:val="24"/>
                <w:highlight w:val="none"/>
                <w:lang w:eastAsia="zh-CN"/>
              </w:rPr>
              <w:t>项目公司管理组织机构设置</w:t>
            </w:r>
            <w:r>
              <w:rPr>
                <w:rFonts w:hint="eastAsia" w:ascii="仿宋" w:hAnsi="仿宋" w:eastAsia="仿宋" w:cs="仿宋"/>
                <w:color w:val="auto"/>
                <w:spacing w:val="-2"/>
                <w:sz w:val="24"/>
                <w:szCs w:val="24"/>
                <w:highlight w:val="none"/>
                <w:lang w:eastAsia="zh-CN"/>
              </w:rPr>
              <w:t>，</w:t>
            </w:r>
            <w:r>
              <w:rPr>
                <w:rFonts w:hint="eastAsia" w:ascii="仿宋" w:hAnsi="仿宋" w:eastAsia="仿宋" w:cs="仿宋"/>
                <w:color w:val="auto"/>
                <w:spacing w:val="-2"/>
                <w:kern w:val="0"/>
                <w:sz w:val="24"/>
                <w:szCs w:val="24"/>
                <w:highlight w:val="none"/>
                <w:lang w:eastAsia="zh-CN"/>
              </w:rPr>
              <w:t>部门设置合理，各部门分工明确、责任清晰，相关管理人员专业对口，具有类似工作经验丰富，管理对象划分科学合理，满足本项目的管理、协调要求</w:t>
            </w:r>
            <w:r>
              <w:rPr>
                <w:rFonts w:hint="eastAsia" w:ascii="仿宋" w:hAnsi="仿宋" w:eastAsia="仿宋" w:cs="仿宋"/>
                <w:color w:val="auto"/>
                <w:spacing w:val="-2"/>
                <w:sz w:val="24"/>
                <w:szCs w:val="24"/>
                <w:highlight w:val="none"/>
                <w:lang w:eastAsia="zh-CN"/>
              </w:rPr>
              <w:t>。根据方案的详实性、科学性、合理可行性打分。</w:t>
            </w:r>
            <w:r>
              <w:rPr>
                <w:rFonts w:hint="eastAsia" w:ascii="仿宋" w:hAnsi="仿宋" w:eastAsia="仿宋" w:cs="仿宋"/>
                <w:color w:val="auto"/>
                <w:spacing w:val="-2"/>
                <w:sz w:val="24"/>
                <w:szCs w:val="24"/>
                <w:highlight w:val="none"/>
              </w:rPr>
              <w:t>优得优得2.4-3.0分，良得1.8-2.3分，一般得0-1.7分。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投资方案</w:t>
            </w:r>
          </w:p>
        </w:tc>
        <w:tc>
          <w:tcPr>
            <w:tcW w:w="539" w:type="dxa"/>
            <w:gridSpan w:val="2"/>
            <w:tcBorders>
              <w:top w:val="single" w:color="auto" w:sz="4" w:space="0"/>
              <w:bottom w:val="single" w:color="auto" w:sz="4" w:space="0"/>
            </w:tcBorders>
            <w:vAlign w:val="center"/>
          </w:tcPr>
          <w:p>
            <w:pPr>
              <w:spacing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lang w:val="zh-CN" w:eastAsia="zh-CN"/>
              </w:rPr>
              <w:t>投标人提供自身资金能力情况，</w:t>
            </w:r>
            <w:r>
              <w:rPr>
                <w:rFonts w:hint="eastAsia" w:ascii="仿宋" w:hAnsi="仿宋" w:eastAsia="仿宋" w:cs="仿宋"/>
                <w:color w:val="auto"/>
                <w:spacing w:val="-2"/>
                <w:sz w:val="24"/>
                <w:szCs w:val="24"/>
                <w:highlight w:val="none"/>
                <w:lang w:eastAsia="zh-CN"/>
              </w:rPr>
              <w:t>费用估算准确合理，使用计划清晰准确</w:t>
            </w:r>
            <w:r>
              <w:rPr>
                <w:rFonts w:hint="eastAsia" w:ascii="仿宋" w:hAnsi="仿宋" w:eastAsia="仿宋" w:cs="仿宋"/>
                <w:color w:val="auto"/>
                <w:spacing w:val="-2"/>
                <w:sz w:val="24"/>
                <w:szCs w:val="24"/>
                <w:highlight w:val="none"/>
                <w:lang w:val="zh-CN" w:eastAsia="zh-CN"/>
              </w:rPr>
              <w:t>，</w:t>
            </w:r>
            <w:r>
              <w:rPr>
                <w:rFonts w:hint="eastAsia" w:ascii="仿宋" w:hAnsi="仿宋" w:eastAsia="仿宋" w:cs="仿宋"/>
                <w:color w:val="auto"/>
                <w:spacing w:val="-2"/>
                <w:kern w:val="0"/>
                <w:sz w:val="24"/>
                <w:szCs w:val="24"/>
                <w:highlight w:val="none"/>
                <w:lang w:val="zh-CN" w:eastAsia="zh-CN"/>
              </w:rPr>
              <w:t>资本金及筹措资金到位安排及资金使用计划清晰准确。</w:t>
            </w:r>
            <w:r>
              <w:rPr>
                <w:rFonts w:hint="eastAsia" w:ascii="仿宋" w:hAnsi="仿宋" w:eastAsia="仿宋" w:cs="仿宋"/>
                <w:color w:val="auto"/>
                <w:spacing w:val="-2"/>
                <w:sz w:val="24"/>
                <w:szCs w:val="24"/>
                <w:highlight w:val="none"/>
                <w:lang w:val="zh-CN" w:eastAsia="zh-CN"/>
              </w:rPr>
              <w:t>根</w:t>
            </w:r>
            <w:r>
              <w:rPr>
                <w:rFonts w:hint="eastAsia" w:ascii="仿宋" w:hAnsi="仿宋" w:eastAsia="仿宋" w:cs="仿宋"/>
                <w:color w:val="auto"/>
                <w:spacing w:val="-2"/>
                <w:sz w:val="24"/>
                <w:szCs w:val="24"/>
                <w:highlight w:val="none"/>
                <w:lang w:eastAsia="zh-CN"/>
              </w:rPr>
              <w:t>据方案的详实性、科学性、合理可行性打分。</w:t>
            </w:r>
            <w:r>
              <w:rPr>
                <w:rFonts w:hint="eastAsia" w:ascii="仿宋" w:hAnsi="仿宋" w:eastAsia="仿宋" w:cs="仿宋"/>
                <w:color w:val="auto"/>
                <w:spacing w:val="-2"/>
                <w:sz w:val="24"/>
                <w:szCs w:val="24"/>
                <w:highlight w:val="none"/>
              </w:rPr>
              <w:t>优得2.4-3.0分，良得1.8-2.3分，一般得0-1.7分。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施工</w:t>
            </w:r>
            <w:r>
              <w:rPr>
                <w:rFonts w:hint="eastAsia" w:ascii="仿宋" w:hAnsi="仿宋" w:eastAsia="仿宋" w:cs="仿宋"/>
                <w:color w:val="auto"/>
                <w:spacing w:val="-2"/>
                <w:sz w:val="24"/>
                <w:szCs w:val="24"/>
                <w:highlight w:val="none"/>
              </w:rPr>
              <w:t>进度控制措施</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rPr>
              <w:t>2</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lang w:val="zh-CN" w:eastAsia="zh-CN"/>
              </w:rPr>
              <w:t>项目组织、进度安排、时间点控制，组织实施计划：项目组织及实施计划安排合理、完善，进度安排及时间点控制合理、准确。</w:t>
            </w:r>
            <w:r>
              <w:rPr>
                <w:rFonts w:hint="eastAsia" w:ascii="仿宋" w:hAnsi="仿宋" w:eastAsia="仿宋" w:cs="仿宋"/>
                <w:color w:val="auto"/>
                <w:spacing w:val="-2"/>
                <w:sz w:val="24"/>
                <w:szCs w:val="24"/>
                <w:highlight w:val="none"/>
                <w:lang w:eastAsia="zh-CN"/>
              </w:rPr>
              <w:t>根据进度控制措施的健全度、满足度、科学性、合理可行性打分。</w:t>
            </w:r>
            <w:r>
              <w:rPr>
                <w:rFonts w:hint="eastAsia" w:ascii="仿宋" w:hAnsi="仿宋" w:eastAsia="仿宋" w:cs="仿宋"/>
                <w:color w:val="auto"/>
                <w:spacing w:val="-2"/>
                <w:sz w:val="24"/>
                <w:szCs w:val="24"/>
                <w:highlight w:val="none"/>
              </w:rPr>
              <w:t>优得1.6-2.0分，良得1.1-1.5分，一般得0-1分。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风险分析及控制措施</w:t>
            </w:r>
          </w:p>
        </w:tc>
        <w:tc>
          <w:tcPr>
            <w:tcW w:w="539" w:type="dxa"/>
            <w:gridSpan w:val="2"/>
            <w:tcBorders>
              <w:top w:val="single" w:color="auto" w:sz="4" w:space="0"/>
              <w:bottom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3</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bottom w:val="single" w:color="auto" w:sz="4" w:space="0"/>
            </w:tcBorders>
            <w:vAlign w:val="center"/>
          </w:tcPr>
          <w:p>
            <w:pPr>
              <w:spacing w:line="440" w:lineRule="exact"/>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lang w:val="zh-CN" w:eastAsia="zh-CN"/>
              </w:rPr>
              <w:t>能够根据项目特性完整、准确识别项目全生命周期内潜在的主要风险，各类风险及其对应风控措施合理且完备，风险应急措施合理且完备。</w:t>
            </w:r>
            <w:r>
              <w:rPr>
                <w:rFonts w:hint="eastAsia" w:ascii="仿宋" w:hAnsi="仿宋" w:eastAsia="仿宋" w:cs="仿宋"/>
                <w:color w:val="auto"/>
                <w:spacing w:val="-2"/>
                <w:sz w:val="24"/>
                <w:szCs w:val="24"/>
                <w:highlight w:val="none"/>
                <w:lang w:eastAsia="zh-CN"/>
              </w:rPr>
              <w:t>根据风险分析控制措施的健全度、满足度、科学性、合理可行性打分。</w:t>
            </w:r>
            <w:r>
              <w:rPr>
                <w:rFonts w:hint="eastAsia" w:ascii="仿宋" w:hAnsi="仿宋" w:eastAsia="仿宋" w:cs="仿宋"/>
                <w:color w:val="auto"/>
                <w:spacing w:val="-2"/>
                <w:sz w:val="24"/>
                <w:szCs w:val="24"/>
                <w:highlight w:val="none"/>
              </w:rPr>
              <w:t>优得2.4-3.0分，良得1.8-2.3分，一般得0-1.7分。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jc w:val="center"/>
        </w:trPr>
        <w:tc>
          <w:tcPr>
            <w:tcW w:w="489" w:type="dxa"/>
            <w:vMerge w:val="continue"/>
            <w:tcBorders>
              <w:righ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p>
        </w:tc>
        <w:tc>
          <w:tcPr>
            <w:tcW w:w="961" w:type="dxa"/>
            <w:tcBorders>
              <w:left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竣工验收资料整理方案</w:t>
            </w:r>
          </w:p>
        </w:tc>
        <w:tc>
          <w:tcPr>
            <w:tcW w:w="539" w:type="dxa"/>
            <w:gridSpan w:val="2"/>
            <w:tcBorders>
              <w:top w:val="single" w:color="auto" w:sz="4" w:space="0"/>
            </w:tcBorders>
            <w:vAlign w:val="center"/>
          </w:tcPr>
          <w:p>
            <w:pPr>
              <w:spacing w:before="115" w:line="440" w:lineRule="exact"/>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2</w:t>
            </w:r>
            <w:r>
              <w:rPr>
                <w:rFonts w:hint="eastAsia" w:ascii="仿宋" w:hAnsi="仿宋" w:eastAsia="仿宋" w:cs="仿宋"/>
                <w:color w:val="auto"/>
                <w:spacing w:val="-2"/>
                <w:sz w:val="24"/>
                <w:szCs w:val="24"/>
                <w:highlight w:val="none"/>
                <w:lang w:eastAsia="zh-CN"/>
              </w:rPr>
              <w:t>分</w:t>
            </w:r>
          </w:p>
        </w:tc>
        <w:tc>
          <w:tcPr>
            <w:tcW w:w="7305" w:type="dxa"/>
            <w:gridSpan w:val="2"/>
            <w:tcBorders>
              <w:top w:val="single" w:color="auto" w:sz="4" w:space="0"/>
            </w:tcBorders>
            <w:vAlign w:val="center"/>
          </w:tcPr>
          <w:p>
            <w:pPr>
              <w:spacing w:line="440" w:lineRule="exact"/>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根据竣工验收资料整理方案的健全度、满足度、科学性、合理可行性打分。优得1.6-2.0分，良得1.1-1.5分，一般得0-1分。</w:t>
            </w:r>
          </w:p>
        </w:tc>
      </w:tr>
    </w:tbl>
    <w:p>
      <w:pPr>
        <w:spacing w:before="115" w:line="440" w:lineRule="exact"/>
        <w:ind w:firstLine="264" w:firstLineChars="112"/>
        <w:rPr>
          <w:rFonts w:hint="eastAsia" w:ascii="仿宋" w:hAnsi="仿宋" w:eastAsia="仿宋" w:cs="仿宋"/>
          <w:color w:val="auto"/>
          <w:spacing w:val="-2"/>
          <w:sz w:val="24"/>
          <w:szCs w:val="24"/>
          <w:highlight w:val="none"/>
          <w:lang w:eastAsia="zh-CN"/>
        </w:rPr>
      </w:pPr>
    </w:p>
    <w:p>
      <w:pPr>
        <w:spacing w:before="115" w:line="440" w:lineRule="exact"/>
        <w:ind w:firstLine="270" w:firstLineChars="112"/>
        <w:rPr>
          <w:rFonts w:hint="eastAsia" w:ascii="宋体" w:hAnsi="宋体" w:cs="宋体"/>
          <w:b/>
          <w:bCs/>
          <w:color w:val="auto"/>
          <w:sz w:val="24"/>
          <w:highlight w:val="none"/>
        </w:rPr>
      </w:pPr>
      <w:r>
        <w:rPr>
          <w:rFonts w:hint="eastAsia" w:ascii="宋体" w:hAnsi="宋体" w:eastAsia="宋体" w:cs="宋体"/>
          <w:b/>
          <w:bCs/>
          <w:color w:val="auto"/>
          <w:sz w:val="24"/>
          <w:highlight w:val="none"/>
          <w:lang w:val="en-US" w:eastAsia="zh-CN"/>
        </w:rPr>
        <w:t>注：</w:t>
      </w:r>
      <w:r>
        <w:rPr>
          <w:rFonts w:hint="eastAsia" w:ascii="宋体" w:hAnsi="宋体" w:cs="宋体"/>
          <w:b/>
          <w:bCs/>
          <w:color w:val="auto"/>
          <w:sz w:val="24"/>
          <w:highlight w:val="none"/>
        </w:rPr>
        <w:t>投标人提供的实施方案不得超过</w:t>
      </w:r>
      <w:r>
        <w:rPr>
          <w:rFonts w:hint="eastAsia" w:ascii="宋体" w:hAnsi="宋体" w:eastAsia="宋体" w:cs="宋体"/>
          <w:b/>
          <w:bCs/>
          <w:color w:val="auto"/>
          <w:sz w:val="24"/>
          <w:highlight w:val="none"/>
          <w:lang w:val="en-US" w:eastAsia="zh-CN"/>
        </w:rPr>
        <w:t>5</w:t>
      </w:r>
      <w:r>
        <w:rPr>
          <w:rFonts w:hint="eastAsia" w:ascii="宋体" w:hAnsi="宋体" w:cs="宋体"/>
          <w:b/>
          <w:bCs/>
          <w:color w:val="auto"/>
          <w:sz w:val="24"/>
          <w:highlight w:val="none"/>
        </w:rPr>
        <w:t>00页，否则由评标委员会在评审中予以扣分。</w:t>
      </w:r>
    </w:p>
    <w:p>
      <w:pPr>
        <w:pStyle w:val="4"/>
        <w:spacing w:line="240" w:lineRule="auto"/>
        <w:rPr>
          <w:rFonts w:hint="eastAsia" w:ascii="仿宋" w:hAnsi="仿宋" w:eastAsia="仿宋" w:cs="仿宋"/>
          <w:color w:val="auto"/>
          <w:highlight w:val="none"/>
          <w:lang w:eastAsia="zh-CN"/>
        </w:rPr>
      </w:pPr>
      <w:bookmarkStart w:id="479" w:name="bookmark67"/>
      <w:bookmarkEnd w:id="479"/>
      <w:bookmarkStart w:id="480" w:name="_Toc3817"/>
      <w:bookmarkStart w:id="481" w:name="_Toc5965"/>
      <w:bookmarkStart w:id="482" w:name="_Toc5068"/>
      <w:bookmarkStart w:id="483" w:name="_Toc23953"/>
      <w:bookmarkStart w:id="484" w:name="_Toc22090"/>
      <w:bookmarkStart w:id="485" w:name="_Toc7853"/>
      <w:bookmarkStart w:id="486" w:name="_Toc12742"/>
      <w:r>
        <w:rPr>
          <w:rFonts w:hint="eastAsia" w:ascii="仿宋" w:hAnsi="仿宋" w:eastAsia="仿宋" w:cs="仿宋"/>
          <w:color w:val="auto"/>
          <w:highlight w:val="none"/>
          <w:lang w:eastAsia="zh-CN"/>
        </w:rPr>
        <w:t>1.评审方法</w:t>
      </w:r>
      <w:bookmarkEnd w:id="480"/>
      <w:bookmarkEnd w:id="481"/>
      <w:bookmarkEnd w:id="482"/>
      <w:bookmarkEnd w:id="483"/>
      <w:bookmarkEnd w:id="484"/>
      <w:bookmarkEnd w:id="485"/>
      <w:bookmarkEnd w:id="486"/>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本次评审采用综合评分法。评审委员会对满足招标文件实质要求的投标文件，对通过初步评审和投标性评审的投标人根据本章第2.2款规定的评分标准进行打分，并按得分由高到低顺序排名推荐不超过3家中标候选人。</w:t>
      </w:r>
    </w:p>
    <w:p>
      <w:pPr>
        <w:pStyle w:val="4"/>
        <w:spacing w:line="240" w:lineRule="auto"/>
        <w:rPr>
          <w:rFonts w:hint="eastAsia" w:ascii="仿宋" w:hAnsi="仿宋" w:eastAsia="仿宋" w:cs="仿宋"/>
          <w:color w:val="auto"/>
          <w:highlight w:val="none"/>
          <w:lang w:eastAsia="zh-CN"/>
        </w:rPr>
      </w:pPr>
      <w:bookmarkStart w:id="487" w:name="bookmark86"/>
      <w:bookmarkEnd w:id="487"/>
      <w:bookmarkStart w:id="488" w:name="bookmark69"/>
      <w:bookmarkEnd w:id="488"/>
      <w:bookmarkStart w:id="489" w:name="bookmark68"/>
      <w:bookmarkEnd w:id="489"/>
      <w:bookmarkStart w:id="490" w:name="bookmark87"/>
      <w:bookmarkEnd w:id="490"/>
      <w:bookmarkStart w:id="491" w:name="_Toc18062"/>
      <w:bookmarkStart w:id="492" w:name="_Toc14748"/>
      <w:bookmarkStart w:id="493" w:name="_Toc20707"/>
      <w:bookmarkStart w:id="494" w:name="_Toc27004"/>
      <w:bookmarkStart w:id="495" w:name="_Toc17082"/>
      <w:bookmarkStart w:id="496" w:name="_Toc9936"/>
      <w:bookmarkStart w:id="497" w:name="_Toc9917"/>
      <w:r>
        <w:rPr>
          <w:rFonts w:hint="eastAsia" w:ascii="仿宋" w:hAnsi="仿宋" w:eastAsia="仿宋" w:cs="仿宋"/>
          <w:color w:val="auto"/>
          <w:highlight w:val="none"/>
          <w:lang w:eastAsia="zh-CN"/>
        </w:rPr>
        <w:t>2.评审标准</w:t>
      </w:r>
      <w:bookmarkEnd w:id="491"/>
      <w:bookmarkEnd w:id="492"/>
      <w:bookmarkEnd w:id="493"/>
      <w:bookmarkEnd w:id="494"/>
      <w:bookmarkEnd w:id="495"/>
      <w:bookmarkEnd w:id="496"/>
      <w:bookmarkEnd w:id="497"/>
    </w:p>
    <w:p>
      <w:pPr>
        <w:spacing w:before="153" w:line="240" w:lineRule="auto"/>
        <w:ind w:firstLine="266" w:firstLineChars="112"/>
        <w:outlineLvl w:val="2"/>
        <w:rPr>
          <w:rFonts w:hint="eastAsia" w:ascii="仿宋" w:hAnsi="仿宋" w:eastAsia="仿宋" w:cs="仿宋"/>
          <w:color w:val="auto"/>
          <w:sz w:val="24"/>
          <w:szCs w:val="24"/>
          <w:highlight w:val="none"/>
          <w:lang w:eastAsia="zh-CN"/>
        </w:rPr>
      </w:pPr>
      <w:bookmarkStart w:id="498" w:name="_Toc32358"/>
      <w:bookmarkStart w:id="499" w:name="_Toc17946"/>
      <w:bookmarkStart w:id="500" w:name="_Toc16039"/>
      <w:bookmarkStart w:id="501" w:name="_Toc17526"/>
      <w:bookmarkStart w:id="502" w:name="_Toc27245"/>
      <w:bookmarkStart w:id="503" w:name="_Toc4406"/>
      <w:bookmarkStart w:id="504" w:name="_Toc15982"/>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2.1</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初步评审标准</w:t>
      </w:r>
      <w:bookmarkEnd w:id="498"/>
      <w:bookmarkEnd w:id="499"/>
      <w:bookmarkEnd w:id="500"/>
      <w:bookmarkEnd w:id="501"/>
      <w:bookmarkEnd w:id="502"/>
      <w:bookmarkEnd w:id="503"/>
      <w:bookmarkEnd w:id="504"/>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2.1.1 形式评审标准：见评审办法前附表。</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2.1.2 投标性评审标准：见评审办法前附表。</w:t>
      </w:r>
    </w:p>
    <w:p>
      <w:pPr>
        <w:spacing w:before="311" w:line="240" w:lineRule="auto"/>
        <w:ind w:firstLine="266" w:firstLineChars="112"/>
        <w:outlineLvl w:val="2"/>
        <w:rPr>
          <w:rFonts w:hint="eastAsia" w:ascii="仿宋" w:hAnsi="仿宋" w:eastAsia="仿宋" w:cs="仿宋"/>
          <w:color w:val="auto"/>
          <w:sz w:val="24"/>
          <w:szCs w:val="24"/>
          <w:highlight w:val="none"/>
          <w:lang w:eastAsia="zh-CN"/>
        </w:rPr>
      </w:pPr>
      <w:bookmarkStart w:id="505" w:name="bookmark70"/>
      <w:bookmarkEnd w:id="505"/>
      <w:bookmarkStart w:id="506" w:name="_Toc41"/>
      <w:bookmarkStart w:id="507" w:name="_Toc30533"/>
      <w:bookmarkStart w:id="508" w:name="_Toc31919"/>
      <w:bookmarkStart w:id="509" w:name="_Toc24000"/>
      <w:bookmarkStart w:id="510" w:name="_Toc8534"/>
      <w:bookmarkStart w:id="511" w:name="_Toc5107"/>
      <w:bookmarkStart w:id="512" w:name="_Toc32611"/>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2.2</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分值构成与评分标准</w:t>
      </w:r>
      <w:bookmarkEnd w:id="506"/>
      <w:bookmarkEnd w:id="507"/>
      <w:bookmarkEnd w:id="508"/>
      <w:bookmarkEnd w:id="509"/>
      <w:bookmarkEnd w:id="510"/>
      <w:bookmarkEnd w:id="511"/>
      <w:bookmarkEnd w:id="512"/>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2.2.1 分值构成</w:t>
      </w:r>
    </w:p>
    <w:p>
      <w:pPr>
        <w:spacing w:before="114" w:line="440" w:lineRule="exact"/>
        <w:ind w:right="2" w:firstLine="236" w:firstLineChars="100"/>
        <w:jc w:val="left"/>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人员配置:</w:t>
      </w:r>
      <w:r>
        <w:rPr>
          <w:rFonts w:hint="eastAsia" w:ascii="仿宋" w:hAnsi="仿宋" w:eastAsia="仿宋" w:cs="仿宋"/>
          <w:color w:val="auto"/>
          <w:spacing w:val="-2"/>
          <w:sz w:val="24"/>
          <w:szCs w:val="24"/>
          <w:highlight w:val="none"/>
          <w:lang w:val="en-US" w:eastAsia="zh-CN"/>
        </w:rPr>
        <w:t>5</w:t>
      </w:r>
      <w:r>
        <w:rPr>
          <w:rFonts w:hint="eastAsia" w:ascii="仿宋" w:hAnsi="仿宋" w:eastAsia="仿宋" w:cs="仿宋"/>
          <w:color w:val="auto"/>
          <w:spacing w:val="-2"/>
          <w:sz w:val="24"/>
          <w:szCs w:val="24"/>
          <w:highlight w:val="none"/>
          <w:lang w:eastAsia="zh-CN"/>
        </w:rPr>
        <w:t>分</w:t>
      </w:r>
    </w:p>
    <w:p>
      <w:pPr>
        <w:spacing w:before="114" w:line="440" w:lineRule="exact"/>
        <w:ind w:right="2" w:firstLine="236" w:firstLineChars="100"/>
        <w:jc w:val="left"/>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综合能力：</w:t>
      </w:r>
      <w:r>
        <w:rPr>
          <w:rFonts w:hint="eastAsia" w:ascii="仿宋" w:hAnsi="仿宋" w:eastAsia="仿宋" w:cs="仿宋"/>
          <w:color w:val="auto"/>
          <w:spacing w:val="-2"/>
          <w:sz w:val="24"/>
          <w:szCs w:val="24"/>
          <w:highlight w:val="none"/>
          <w:lang w:val="en-US" w:eastAsia="zh-CN"/>
        </w:rPr>
        <w:t>35</w:t>
      </w:r>
      <w:r>
        <w:rPr>
          <w:rFonts w:hint="eastAsia" w:ascii="仿宋" w:hAnsi="仿宋" w:eastAsia="仿宋" w:cs="仿宋"/>
          <w:color w:val="auto"/>
          <w:spacing w:val="-2"/>
          <w:sz w:val="24"/>
          <w:szCs w:val="24"/>
          <w:highlight w:val="none"/>
          <w:lang w:eastAsia="zh-CN"/>
        </w:rPr>
        <w:t>分</w:t>
      </w:r>
    </w:p>
    <w:p>
      <w:pPr>
        <w:spacing w:before="114" w:line="440" w:lineRule="exact"/>
        <w:ind w:right="2" w:firstLine="236" w:firstLineChars="100"/>
        <w:jc w:val="left"/>
        <w:rPr>
          <w:rFonts w:hint="default"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类似业绩：10分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实施计划：50分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见评审办法前附表。</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2.2.2 评审基准价计算</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评审基准价计算方法：见评审办法前附表。</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2.2.3 投标报价的偏差率计算</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投标报价的偏差率计算公式：见评审办法前附表。</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2.2.4 评分标准：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（1）投资能力评分标准：见评审办法前附表。</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（2）综合能力评分标准：见评审办法前附表。</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（3）实施方案评分标准：见评审办法前附表。</w:t>
      </w:r>
    </w:p>
    <w:p>
      <w:pPr>
        <w:pStyle w:val="4"/>
        <w:spacing w:after="0" w:line="240" w:lineRule="auto"/>
        <w:rPr>
          <w:rFonts w:hint="eastAsia" w:ascii="仿宋" w:hAnsi="仿宋" w:eastAsia="仿宋" w:cs="仿宋"/>
          <w:color w:val="auto"/>
          <w:highlight w:val="none"/>
          <w:lang w:eastAsia="zh-CN"/>
        </w:rPr>
      </w:pPr>
      <w:bookmarkStart w:id="513" w:name="bookmark72"/>
      <w:bookmarkEnd w:id="513"/>
      <w:bookmarkStart w:id="514" w:name="bookmark71"/>
      <w:bookmarkEnd w:id="514"/>
      <w:bookmarkStart w:id="515" w:name="_Toc32595"/>
      <w:bookmarkStart w:id="516" w:name="_Toc3141"/>
      <w:bookmarkStart w:id="517" w:name="_Toc28708"/>
      <w:bookmarkStart w:id="518" w:name="_Toc20277"/>
      <w:bookmarkStart w:id="519" w:name="_Toc4623"/>
    </w:p>
    <w:p>
      <w:pPr>
        <w:pStyle w:val="4"/>
        <w:spacing w:after="0" w:line="240" w:lineRule="auto"/>
        <w:rPr>
          <w:rFonts w:hint="eastAsia" w:ascii="仿宋" w:hAnsi="仿宋" w:eastAsia="仿宋" w:cs="仿宋"/>
          <w:color w:val="auto"/>
          <w:highlight w:val="none"/>
          <w:lang w:eastAsia="zh-CN"/>
        </w:rPr>
      </w:pPr>
      <w:bookmarkStart w:id="520" w:name="_Toc27054"/>
      <w:bookmarkStart w:id="521" w:name="_Toc14653"/>
      <w:r>
        <w:rPr>
          <w:rFonts w:hint="eastAsia" w:ascii="仿宋" w:hAnsi="仿宋" w:eastAsia="仿宋" w:cs="仿宋"/>
          <w:color w:val="auto"/>
          <w:highlight w:val="none"/>
          <w:lang w:eastAsia="zh-CN"/>
        </w:rPr>
        <w:t>3. 评审程序</w:t>
      </w:r>
      <w:bookmarkEnd w:id="515"/>
      <w:bookmarkEnd w:id="516"/>
      <w:bookmarkEnd w:id="517"/>
      <w:bookmarkEnd w:id="518"/>
      <w:bookmarkEnd w:id="519"/>
      <w:bookmarkEnd w:id="520"/>
      <w:bookmarkEnd w:id="521"/>
    </w:p>
    <w:p>
      <w:pPr>
        <w:spacing w:line="240" w:lineRule="auto"/>
        <w:ind w:firstLine="266" w:firstLineChars="112"/>
        <w:outlineLvl w:val="2"/>
        <w:rPr>
          <w:rFonts w:hint="eastAsia" w:ascii="仿宋" w:hAnsi="仿宋" w:eastAsia="仿宋" w:cs="仿宋"/>
          <w:color w:val="auto"/>
          <w:sz w:val="24"/>
          <w:szCs w:val="24"/>
          <w:highlight w:val="none"/>
          <w:lang w:eastAsia="zh-CN"/>
        </w:rPr>
      </w:pPr>
      <w:bookmarkStart w:id="522" w:name="_Toc4845"/>
      <w:bookmarkStart w:id="523" w:name="_Toc2339"/>
      <w:bookmarkStart w:id="524" w:name="_Toc27383"/>
      <w:bookmarkStart w:id="525" w:name="_Toc26415"/>
      <w:bookmarkStart w:id="526" w:name="_Toc8496"/>
      <w:bookmarkStart w:id="527" w:name="_Toc6221"/>
      <w:bookmarkStart w:id="528" w:name="_Toc1870"/>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3.1</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初步评审</w:t>
      </w:r>
      <w:bookmarkEnd w:id="522"/>
      <w:bookmarkEnd w:id="523"/>
      <w:bookmarkEnd w:id="524"/>
      <w:bookmarkEnd w:id="525"/>
      <w:bookmarkEnd w:id="526"/>
      <w:bookmarkEnd w:id="527"/>
      <w:bookmarkEnd w:id="528"/>
    </w:p>
    <w:p>
      <w:pPr>
        <w:spacing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3.1.1 评审委员会依据本章第2.1.1项、第2.1.2项规定的标准对投标文件进行初步评审。有一项不符合评审标准的，作废标处理。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3.1.2 投标人有以下情形之一的，其投标作废标处理：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（1）串通投标或弄虚作假或有其他违法行为的；</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（2）不按评审委员会要求澄清、说明或补正的。</w:t>
      </w:r>
    </w:p>
    <w:p>
      <w:pPr>
        <w:spacing w:before="311" w:line="240" w:lineRule="auto"/>
        <w:ind w:firstLine="259" w:firstLineChars="112"/>
        <w:outlineLvl w:val="2"/>
        <w:rPr>
          <w:rFonts w:hint="eastAsia" w:ascii="仿宋" w:hAnsi="仿宋" w:eastAsia="仿宋" w:cs="仿宋"/>
          <w:color w:val="auto"/>
          <w:sz w:val="24"/>
          <w:szCs w:val="24"/>
          <w:highlight w:val="none"/>
          <w:lang w:eastAsia="zh-CN"/>
        </w:rPr>
      </w:pPr>
      <w:bookmarkStart w:id="529" w:name="bookmark73"/>
      <w:bookmarkEnd w:id="529"/>
      <w:bookmarkStart w:id="530" w:name="_Toc21636"/>
      <w:bookmarkStart w:id="531" w:name="_Toc4207"/>
      <w:bookmarkStart w:id="532" w:name="_Toc1596"/>
      <w:bookmarkStart w:id="533" w:name="_Toc20442"/>
      <w:bookmarkStart w:id="534" w:name="_Toc7274"/>
      <w:bookmarkStart w:id="535" w:name="_Toc10095"/>
      <w:bookmarkStart w:id="536" w:name="_Toc30713"/>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3.2</w:t>
      </w:r>
      <w:r>
        <w:rPr>
          <w:rFonts w:hint="eastAsia" w:ascii="仿宋" w:hAnsi="仿宋" w:eastAsia="仿宋" w:cs="仿宋"/>
          <w:color w:val="auto"/>
          <w:spacing w:val="10"/>
          <w:sz w:val="24"/>
          <w:szCs w:val="24"/>
          <w:highlight w:val="none"/>
          <w:lang w:eastAsia="zh-CN"/>
        </w:rPr>
        <w:t xml:space="preserve">  </w:t>
      </w:r>
      <w:r>
        <w:rPr>
          <w:rFonts w:hint="eastAsia" w:ascii="仿宋" w:hAnsi="仿宋" w:eastAsia="仿宋" w:cs="仿宋"/>
          <w:color w:val="auto"/>
          <w:spacing w:val="-4"/>
          <w:sz w:val="24"/>
          <w:szCs w:val="24"/>
          <w:highlight w:val="none"/>
          <w:lang w:eastAsia="zh-CN"/>
          <w14:textOutline w14:w="4356" w14:cap="sq" w14:cmpd="sng" w14:algn="ctr">
            <w14:solidFill>
              <w14:srgbClr w14:val="000000"/>
            </w14:solidFill>
            <w14:prstDash w14:val="solid"/>
            <w14:bevel/>
          </w14:textOutline>
        </w:rPr>
        <w:t>详细评审</w:t>
      </w:r>
      <w:bookmarkEnd w:id="530"/>
      <w:bookmarkEnd w:id="531"/>
      <w:bookmarkEnd w:id="532"/>
      <w:bookmarkEnd w:id="533"/>
      <w:bookmarkEnd w:id="534"/>
      <w:bookmarkEnd w:id="535"/>
      <w:bookmarkEnd w:id="536"/>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3.2.1 评审委员会按本章第 2.2 款规定的评审因素和分值计算出得分；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3.2.2 评分分值计算保留小数点后二位，小数点后第三位“ 四舍五入 ”。</w:t>
      </w:r>
    </w:p>
    <w:p>
      <w:pPr>
        <w:spacing w:before="312" w:line="240" w:lineRule="auto"/>
        <w:ind w:firstLine="266" w:firstLineChars="112"/>
        <w:outlineLvl w:val="2"/>
        <w:rPr>
          <w:rFonts w:hint="eastAsia" w:ascii="仿宋" w:hAnsi="仿宋" w:eastAsia="仿宋" w:cs="仿宋"/>
          <w:color w:val="auto"/>
          <w:sz w:val="24"/>
          <w:szCs w:val="24"/>
          <w:highlight w:val="none"/>
          <w:lang w:eastAsia="zh-CN"/>
        </w:rPr>
      </w:pPr>
      <w:bookmarkStart w:id="537" w:name="bookmark77"/>
      <w:bookmarkEnd w:id="537"/>
      <w:bookmarkStart w:id="538" w:name="bookmark74"/>
      <w:bookmarkEnd w:id="538"/>
      <w:bookmarkStart w:id="539" w:name="_Toc11552"/>
      <w:bookmarkStart w:id="540" w:name="_Toc28163"/>
      <w:bookmarkStart w:id="541" w:name="_Toc32498"/>
      <w:bookmarkStart w:id="542" w:name="_Toc21917"/>
      <w:bookmarkStart w:id="543" w:name="_Toc7235"/>
      <w:bookmarkStart w:id="544" w:name="_Toc18875"/>
      <w:bookmarkStart w:id="545" w:name="_Toc5590"/>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3.3</w:t>
      </w:r>
      <w:r>
        <w:rPr>
          <w:rFonts w:hint="eastAsia" w:ascii="仿宋" w:hAnsi="仿宋" w:eastAsia="仿宋" w:cs="仿宋"/>
          <w:color w:val="auto"/>
          <w:spacing w:val="-1"/>
          <w:sz w:val="24"/>
          <w:szCs w:val="24"/>
          <w:highlight w:val="none"/>
          <w:lang w:eastAsia="zh-CN"/>
        </w:rPr>
        <w:t xml:space="preserve">  </w:t>
      </w:r>
      <w:r>
        <w:rPr>
          <w:rFonts w:hint="eastAsia" w:ascii="仿宋" w:hAnsi="仿宋" w:eastAsia="仿宋" w:cs="仿宋"/>
          <w:color w:val="auto"/>
          <w:spacing w:val="-1"/>
          <w:sz w:val="24"/>
          <w:szCs w:val="24"/>
          <w:highlight w:val="none"/>
          <w:lang w:eastAsia="zh-CN"/>
          <w14:textOutline w14:w="4356" w14:cap="sq" w14:cmpd="sng" w14:algn="ctr">
            <w14:solidFill>
              <w14:srgbClr w14:val="000000"/>
            </w14:solidFill>
            <w14:prstDash w14:val="solid"/>
            <w14:bevel/>
          </w14:textOutline>
        </w:rPr>
        <w:t>投标文件的澄清和补正</w:t>
      </w:r>
      <w:bookmarkEnd w:id="539"/>
      <w:bookmarkEnd w:id="540"/>
      <w:bookmarkEnd w:id="541"/>
      <w:bookmarkEnd w:id="542"/>
      <w:bookmarkEnd w:id="543"/>
      <w:bookmarkEnd w:id="544"/>
      <w:bookmarkEnd w:id="545"/>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3.3.1 在评审过程中，评审委员会可以书面形式要求投标人对所提交投标文件中不明确的内容进行书面澄清或说明，或者对细微偏差进行补正。评审委员会不接受投标人主动提出的澄清、说明或补正。</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eastAsia="zh-CN"/>
        </w:rPr>
        <w:t>3.3.2 澄清、说</w:t>
      </w:r>
      <w:r>
        <w:rPr>
          <w:rFonts w:hint="eastAsia" w:ascii="仿宋" w:hAnsi="仿宋" w:eastAsia="仿宋" w:cs="仿宋"/>
          <w:color w:val="auto"/>
          <w:spacing w:val="-2"/>
          <w:sz w:val="24"/>
          <w:szCs w:val="24"/>
          <w:highlight w:val="none"/>
          <w:lang w:val="en-US" w:eastAsia="zh-CN"/>
        </w:rPr>
        <w:t>明和补正不得改变投标文件的实质性内容（算术性错误修正的除外）。投标人的书面澄清、说明和补正属于投标文件的组成部分。</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val="en-US" w:eastAsia="zh-CN"/>
        </w:rPr>
        <w:t>3.3.3 评审委员会对投标人提交的澄清</w:t>
      </w:r>
      <w:r>
        <w:rPr>
          <w:rFonts w:hint="eastAsia" w:ascii="Arial" w:hAnsi="Arial" w:eastAsia="Arial" w:cs="Arial"/>
          <w:snapToGrid w:val="0"/>
          <w:color w:val="auto"/>
          <w:sz w:val="21"/>
          <w:szCs w:val="21"/>
          <w:highlight w:val="none"/>
          <w:lang w:val="en-US" w:eastAsia="zh-CN" w:bidi="ar-SA"/>
        </w:rPr>
        <w:t>、说</w:t>
      </w:r>
      <w:r>
        <w:rPr>
          <w:rFonts w:hint="eastAsia" w:ascii="仿宋" w:hAnsi="仿宋" w:eastAsia="仿宋" w:cs="仿宋"/>
          <w:color w:val="auto"/>
          <w:spacing w:val="-2"/>
          <w:sz w:val="24"/>
          <w:szCs w:val="24"/>
          <w:highlight w:val="none"/>
          <w:lang w:eastAsia="zh-CN"/>
        </w:rPr>
        <w:t>明或补正有疑问的，可以要求投标人进一步澄清、说明或补正，直至满足评审委员会的要求。</w:t>
      </w:r>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3.3.4 凡超出招标文件规定的或给发包人带来未曾要求的利益的变化、偏差或其他因素在评审时不予考虑。</w:t>
      </w:r>
    </w:p>
    <w:p>
      <w:pPr>
        <w:spacing w:before="311" w:line="240" w:lineRule="auto"/>
        <w:ind w:firstLine="262" w:firstLineChars="112"/>
        <w:outlineLvl w:val="2"/>
        <w:rPr>
          <w:rFonts w:hint="eastAsia" w:ascii="仿宋" w:hAnsi="仿宋" w:eastAsia="仿宋" w:cs="仿宋"/>
          <w:color w:val="auto"/>
          <w:sz w:val="24"/>
          <w:szCs w:val="24"/>
          <w:highlight w:val="none"/>
          <w:lang w:eastAsia="zh-CN"/>
        </w:rPr>
      </w:pPr>
      <w:bookmarkStart w:id="546" w:name="bookmark75"/>
      <w:bookmarkEnd w:id="546"/>
      <w:bookmarkStart w:id="547" w:name="_Toc10681"/>
      <w:bookmarkStart w:id="548" w:name="_Toc17434"/>
      <w:bookmarkStart w:id="549" w:name="_Toc31593"/>
      <w:bookmarkStart w:id="550" w:name="_Toc16509"/>
      <w:bookmarkStart w:id="551" w:name="_Toc15100"/>
      <w:bookmarkStart w:id="552" w:name="_Toc24323"/>
      <w:bookmarkStart w:id="553" w:name="_Toc26925"/>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3.4</w:t>
      </w:r>
      <w:r>
        <w:rPr>
          <w:rFonts w:hint="eastAsia" w:ascii="仿宋" w:hAnsi="仿宋" w:eastAsia="仿宋" w:cs="仿宋"/>
          <w:color w:val="auto"/>
          <w:spacing w:val="6"/>
          <w:sz w:val="24"/>
          <w:szCs w:val="24"/>
          <w:highlight w:val="none"/>
          <w:lang w:eastAsia="zh-CN"/>
        </w:rPr>
        <w:t xml:space="preserve">  </w:t>
      </w:r>
      <w:r>
        <w:rPr>
          <w:rFonts w:hint="eastAsia" w:ascii="仿宋" w:hAnsi="仿宋" w:eastAsia="仿宋" w:cs="仿宋"/>
          <w:color w:val="auto"/>
          <w:spacing w:val="-3"/>
          <w:sz w:val="24"/>
          <w:szCs w:val="24"/>
          <w:highlight w:val="none"/>
          <w:lang w:eastAsia="zh-CN"/>
          <w14:textOutline w14:w="4356" w14:cap="sq" w14:cmpd="sng" w14:algn="ctr">
            <w14:solidFill>
              <w14:srgbClr w14:val="000000"/>
            </w14:solidFill>
            <w14:prstDash w14:val="solid"/>
            <w14:bevel/>
          </w14:textOutline>
        </w:rPr>
        <w:t>评审结果</w:t>
      </w:r>
      <w:bookmarkEnd w:id="547"/>
      <w:bookmarkEnd w:id="548"/>
      <w:bookmarkEnd w:id="549"/>
      <w:bookmarkEnd w:id="550"/>
      <w:bookmarkEnd w:id="551"/>
      <w:bookmarkEnd w:id="552"/>
      <w:bookmarkEnd w:id="553"/>
    </w:p>
    <w:p>
      <w:pPr>
        <w:spacing w:before="114" w:line="440" w:lineRule="exact"/>
        <w:ind w:right="2" w:firstLine="264" w:firstLineChars="112"/>
        <w:jc w:val="both"/>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3.4.1 除第二章“投标人须知 ”前附表授权直接确定中标人外，评审委员会按照得分由高到低的顺序推荐中标候选人。</w:t>
      </w:r>
    </w:p>
    <w:p>
      <w:pPr>
        <w:spacing w:before="114" w:line="440" w:lineRule="exact"/>
        <w:ind w:right="2" w:firstLine="264" w:firstLineChars="112"/>
        <w:jc w:val="both"/>
        <w:outlineLvl w:val="9"/>
        <w:rPr>
          <w:rFonts w:hint="eastAsia" w:ascii="仿宋" w:hAnsi="仿宋" w:eastAsia="仿宋" w:cs="仿宋"/>
          <w:color w:val="auto"/>
          <w:spacing w:val="-2"/>
          <w:sz w:val="24"/>
          <w:szCs w:val="24"/>
          <w:highlight w:val="none"/>
          <w:lang w:eastAsia="zh-CN"/>
        </w:rPr>
      </w:pPr>
      <w:bookmarkStart w:id="554" w:name="_Toc23066"/>
      <w:r>
        <w:rPr>
          <w:rFonts w:hint="eastAsia" w:ascii="仿宋" w:hAnsi="仿宋" w:eastAsia="仿宋" w:cs="仿宋"/>
          <w:color w:val="auto"/>
          <w:spacing w:val="-2"/>
          <w:sz w:val="24"/>
          <w:szCs w:val="24"/>
          <w:highlight w:val="none"/>
          <w:lang w:eastAsia="zh-CN"/>
        </w:rPr>
        <w:t>3.4.2 评审委员会完成评审后，应当向招标人提交书面评审报告。</w:t>
      </w:r>
      <w:bookmarkEnd w:id="554"/>
      <w:bookmarkStart w:id="555" w:name="bookmark76"/>
      <w:bookmarkEnd w:id="555"/>
    </w:p>
    <w:p>
      <w:pPr>
        <w:spacing w:before="114" w:line="440" w:lineRule="exact"/>
        <w:ind w:right="2" w:firstLine="264" w:firstLineChars="112"/>
        <w:jc w:val="both"/>
        <w:outlineLvl w:val="9"/>
        <w:rPr>
          <w:rFonts w:hint="eastAsia" w:ascii="仿宋" w:hAnsi="仿宋" w:eastAsia="仿宋" w:cs="仿宋"/>
          <w:color w:val="auto"/>
          <w:spacing w:val="-2"/>
          <w:sz w:val="24"/>
          <w:szCs w:val="24"/>
          <w:highlight w:val="none"/>
          <w:lang w:eastAsia="zh-CN"/>
        </w:rPr>
      </w:pPr>
    </w:p>
    <w:p>
      <w:pPr>
        <w:spacing w:before="0" w:line="240" w:lineRule="auto"/>
        <w:ind w:firstLine="0" w:firstLineChars="0"/>
        <w:outlineLvl w:val="9"/>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br w:type="page"/>
      </w:r>
    </w:p>
    <w:p>
      <w:pPr>
        <w:pStyle w:val="2"/>
        <w:rPr>
          <w:rFonts w:hint="eastAsia"/>
          <w:lang w:val="en-US" w:eastAsia="zh-CN"/>
        </w:rPr>
      </w:pPr>
    </w:p>
    <w:p>
      <w:pPr>
        <w:pStyle w:val="3"/>
        <w:numPr>
          <w:ilvl w:val="0"/>
          <w:numId w:val="1"/>
        </w:numPr>
        <w:ind w:firstLine="0" w:firstLineChars="0"/>
        <w:jc w:val="center"/>
        <w:rPr>
          <w:rFonts w:ascii="仿宋" w:hAnsi="仿宋" w:eastAsia="仿宋" w:cs="仿宋"/>
          <w:color w:val="auto"/>
          <w:highlight w:val="none"/>
        </w:rPr>
      </w:pPr>
      <w:bookmarkStart w:id="556" w:name="_Toc5924"/>
      <w:bookmarkStart w:id="557" w:name="_Toc2171"/>
      <w:bookmarkStart w:id="558" w:name="_Toc29828"/>
      <w:bookmarkStart w:id="559" w:name="_Toc12577"/>
      <w:bookmarkStart w:id="560" w:name="_Toc30739"/>
      <w:bookmarkStart w:id="561" w:name="_Toc24810"/>
      <w:bookmarkStart w:id="562" w:name="_Toc25364"/>
      <w:r>
        <w:rPr>
          <w:rFonts w:ascii="仿宋" w:hAnsi="仿宋" w:eastAsia="仿宋" w:cs="仿宋"/>
          <w:color w:val="auto"/>
          <w:highlight w:val="none"/>
        </w:rPr>
        <w:t>合同条款及格式</w:t>
      </w:r>
      <w:bookmarkEnd w:id="556"/>
      <w:bookmarkEnd w:id="557"/>
      <w:bookmarkEnd w:id="558"/>
      <w:bookmarkEnd w:id="559"/>
      <w:bookmarkEnd w:id="560"/>
      <w:bookmarkEnd w:id="561"/>
      <w:bookmarkEnd w:id="562"/>
    </w:p>
    <w:p>
      <w:pPr>
        <w:numPr>
          <w:ilvl w:val="0"/>
          <w:numId w:val="0"/>
        </w:numPr>
        <w:rPr>
          <w:rFonts w:hint="eastAsia"/>
          <w:color w:val="auto"/>
          <w:highlight w:val="none"/>
        </w:rPr>
      </w:pPr>
      <w:r>
        <w:rPr>
          <w:rFonts w:hint="eastAsia"/>
          <w:color w:val="auto"/>
          <w:highlight w:val="none"/>
        </w:rPr>
        <w:t>说明：</w:t>
      </w:r>
    </w:p>
    <w:p>
      <w:pPr>
        <w:numPr>
          <w:ilvl w:val="0"/>
          <w:numId w:val="0"/>
        </w:numPr>
        <w:rPr>
          <w:rFonts w:hint="eastAsia"/>
          <w:color w:val="auto"/>
          <w:highlight w:val="none"/>
        </w:rPr>
      </w:pPr>
      <w:r>
        <w:rPr>
          <w:rFonts w:hint="eastAsia"/>
          <w:color w:val="auto"/>
          <w:highlight w:val="none"/>
        </w:rPr>
        <w:t>1. 以下协议或合同仅供签订正式协议或合同时参考用，正式协议或合同书应包括且不限于此参考格式的内容。</w:t>
      </w:r>
    </w:p>
    <w:p>
      <w:pPr>
        <w:numPr>
          <w:ilvl w:val="0"/>
          <w:numId w:val="0"/>
        </w:numPr>
        <w:rPr>
          <w:rFonts w:hint="eastAsia"/>
          <w:color w:val="auto"/>
          <w:highlight w:val="none"/>
        </w:rPr>
      </w:pPr>
      <w:r>
        <w:rPr>
          <w:rFonts w:hint="eastAsia"/>
          <w:color w:val="auto"/>
          <w:highlight w:val="none"/>
        </w:rPr>
        <w:t>2. 协议或合同签订双方可根据项目的具体要求进行修订，但其中条款不得与招标文件和中标人投标文件有实质性偏离，也不得违背法律和政府相关规定。</w:t>
      </w:r>
    </w:p>
    <w:p>
      <w:pPr>
        <w:snapToGrid w:val="0"/>
        <w:spacing w:line="560" w:lineRule="exact"/>
        <w:rPr>
          <w:rFonts w:hint="eastAsia" w:ascii="仿宋" w:hAnsi="仿宋" w:eastAsia="仿宋" w:cs="仿宋"/>
          <w:b/>
          <w:color w:val="auto"/>
          <w:sz w:val="24"/>
          <w:szCs w:val="24"/>
          <w:highlight w:val="none"/>
        </w:rPr>
      </w:pPr>
      <w:bookmarkStart w:id="563" w:name="_Toc29001"/>
      <w:bookmarkStart w:id="564" w:name="_Toc5420"/>
    </w:p>
    <w:p>
      <w:pPr>
        <w:pStyle w:val="2"/>
        <w:rPr>
          <w:color w:val="auto"/>
          <w:sz w:val="20"/>
          <w:highlight w:val="none"/>
        </w:rPr>
      </w:pPr>
      <w:bookmarkStart w:id="565" w:name="海口市美兰区大致坡镇全域土地综合整治（省级）试点项目招商"/>
      <w:bookmarkEnd w:id="565"/>
      <w:bookmarkStart w:id="566" w:name="_Toc29310"/>
      <w:bookmarkStart w:id="567" w:name="_Toc26999"/>
      <w:bookmarkStart w:id="568" w:name="_Toc22641"/>
    </w:p>
    <w:p>
      <w:pPr>
        <w:pStyle w:val="2"/>
        <w:spacing w:before="1"/>
        <w:rPr>
          <w:color w:val="auto"/>
          <w:sz w:val="25"/>
          <w:highlight w:val="none"/>
        </w:rPr>
      </w:pPr>
    </w:p>
    <w:p>
      <w:pPr>
        <w:pStyle w:val="3"/>
        <w:spacing w:before="28" w:line="364" w:lineRule="auto"/>
        <w:ind w:left="105"/>
        <w:jc w:val="center"/>
        <w:rPr>
          <w:color w:val="auto"/>
          <w:highlight w:val="none"/>
        </w:rPr>
      </w:pPr>
      <w:bookmarkStart w:id="569" w:name="_Toc31263"/>
      <w:bookmarkStart w:id="570" w:name="_Toc30325"/>
      <w:r>
        <w:rPr>
          <w:rFonts w:hint="eastAsia"/>
          <w:color w:val="auto"/>
          <w:highlight w:val="none"/>
          <w:lang w:val="en-US" w:eastAsia="zh-CN"/>
        </w:rPr>
        <w:t>儋州</w:t>
      </w:r>
      <w:r>
        <w:rPr>
          <w:color w:val="auto"/>
          <w:highlight w:val="none"/>
        </w:rPr>
        <w:t>市</w:t>
      </w:r>
      <w:r>
        <w:rPr>
          <w:rFonts w:hint="eastAsia"/>
          <w:color w:val="auto"/>
          <w:highlight w:val="none"/>
          <w:lang w:val="en-US" w:eastAsia="zh-CN"/>
        </w:rPr>
        <w:t>和庆</w:t>
      </w:r>
      <w:r>
        <w:rPr>
          <w:color w:val="auto"/>
          <w:highlight w:val="none"/>
        </w:rPr>
        <w:t>镇全域土地综合整治</w:t>
      </w:r>
      <w:bookmarkEnd w:id="569"/>
      <w:bookmarkEnd w:id="570"/>
    </w:p>
    <w:p>
      <w:pPr>
        <w:pStyle w:val="3"/>
        <w:spacing w:before="28" w:line="364" w:lineRule="auto"/>
        <w:ind w:left="105"/>
        <w:jc w:val="center"/>
        <w:rPr>
          <w:color w:val="auto"/>
          <w:highlight w:val="none"/>
        </w:rPr>
      </w:pPr>
      <w:bookmarkStart w:id="571" w:name="_Toc5379"/>
      <w:bookmarkStart w:id="572" w:name="_Toc32322"/>
      <w:r>
        <w:rPr>
          <w:color w:val="auto"/>
          <w:highlight w:val="none"/>
        </w:rPr>
        <w:t>（省级）试点项目</w:t>
      </w:r>
      <w:bookmarkEnd w:id="571"/>
      <w:bookmarkEnd w:id="572"/>
    </w:p>
    <w:p>
      <w:pPr>
        <w:pStyle w:val="2"/>
        <w:spacing w:before="12"/>
        <w:rPr>
          <w:color w:val="auto"/>
          <w:sz w:val="72"/>
          <w:highlight w:val="none"/>
        </w:rPr>
      </w:pPr>
    </w:p>
    <w:p>
      <w:pPr>
        <w:spacing w:before="0"/>
        <w:ind w:left="103" w:right="116" w:firstLine="0"/>
        <w:jc w:val="center"/>
        <w:rPr>
          <w:color w:val="auto"/>
          <w:sz w:val="52"/>
          <w:highlight w:val="none"/>
        </w:rPr>
      </w:pPr>
      <w:r>
        <w:rPr>
          <w:rFonts w:hint="eastAsia"/>
          <w:color w:val="auto"/>
          <w:sz w:val="52"/>
          <w:highlight w:val="none"/>
          <w:lang w:val="en-US" w:eastAsia="zh-CN"/>
        </w:rPr>
        <w:t>投资</w:t>
      </w:r>
      <w:r>
        <w:rPr>
          <w:color w:val="auto"/>
          <w:sz w:val="52"/>
          <w:highlight w:val="none"/>
        </w:rPr>
        <w:t>合作协议</w:t>
      </w:r>
    </w:p>
    <w:p>
      <w:pPr>
        <w:pStyle w:val="2"/>
        <w:rPr>
          <w:color w:val="auto"/>
          <w:sz w:val="52"/>
          <w:highlight w:val="none"/>
        </w:rPr>
      </w:pPr>
    </w:p>
    <w:p>
      <w:pPr>
        <w:pStyle w:val="2"/>
        <w:rPr>
          <w:color w:val="auto"/>
          <w:sz w:val="52"/>
          <w:highlight w:val="none"/>
        </w:rPr>
      </w:pPr>
    </w:p>
    <w:p>
      <w:pPr>
        <w:pStyle w:val="2"/>
        <w:rPr>
          <w:color w:val="auto"/>
          <w:sz w:val="52"/>
          <w:highlight w:val="none"/>
        </w:rPr>
      </w:pPr>
    </w:p>
    <w:p>
      <w:pPr>
        <w:pStyle w:val="2"/>
        <w:rPr>
          <w:color w:val="auto"/>
          <w:sz w:val="52"/>
          <w:highlight w:val="none"/>
        </w:rPr>
      </w:pPr>
    </w:p>
    <w:p>
      <w:pPr>
        <w:pStyle w:val="2"/>
        <w:spacing w:before="9"/>
        <w:rPr>
          <w:color w:val="auto"/>
          <w:sz w:val="73"/>
          <w:highlight w:val="none"/>
        </w:rPr>
      </w:pPr>
    </w:p>
    <w:p>
      <w:pPr>
        <w:tabs>
          <w:tab w:val="left" w:pos="2087"/>
        </w:tabs>
        <w:spacing w:before="0"/>
        <w:ind w:left="0" w:right="13" w:firstLine="0"/>
        <w:jc w:val="center"/>
        <w:rPr>
          <w:rFonts w:hint="eastAsia" w:ascii="Microsoft YaHei UI" w:eastAsia="Microsoft YaHei UI"/>
          <w:b/>
          <w:color w:val="auto"/>
          <w:sz w:val="32"/>
          <w:highlight w:val="none"/>
        </w:rPr>
      </w:pPr>
      <w:r>
        <w:rPr>
          <w:rFonts w:hint="eastAsia" w:ascii="Microsoft YaHei UI" w:eastAsia="Microsoft YaHei UI"/>
          <w:b/>
          <w:color w:val="auto"/>
          <w:sz w:val="32"/>
          <w:highlight w:val="none"/>
        </w:rPr>
        <w:t>二〇二四年</w:t>
      </w:r>
      <w:r>
        <w:rPr>
          <w:rFonts w:hint="eastAsia" w:ascii="Microsoft YaHei UI" w:eastAsia="Microsoft YaHei UI"/>
          <w:b/>
          <w:color w:val="auto"/>
          <w:sz w:val="32"/>
          <w:highlight w:val="none"/>
        </w:rPr>
        <w:tab/>
      </w:r>
      <w:r>
        <w:rPr>
          <w:rFonts w:hint="eastAsia" w:ascii="Microsoft YaHei UI" w:eastAsia="Microsoft YaHei UI"/>
          <w:b/>
          <w:color w:val="auto"/>
          <w:sz w:val="32"/>
          <w:highlight w:val="none"/>
        </w:rPr>
        <w:t>月</w:t>
      </w:r>
    </w:p>
    <w:p>
      <w:pPr>
        <w:spacing w:after="0"/>
        <w:jc w:val="center"/>
        <w:rPr>
          <w:rFonts w:hint="eastAsia" w:ascii="Microsoft YaHei UI" w:eastAsia="Microsoft YaHei UI"/>
          <w:color w:val="auto"/>
          <w:sz w:val="32"/>
          <w:highlight w:val="none"/>
        </w:rPr>
        <w:sectPr>
          <w:footerReference r:id="rId6" w:type="default"/>
          <w:pgSz w:w="11910" w:h="16840"/>
          <w:pgMar w:top="1580" w:right="1340" w:bottom="280" w:left="1500" w:header="0" w:footer="0" w:gutter="0"/>
          <w:pgNumType w:fmt="decimal"/>
          <w:cols w:space="720" w:num="1"/>
        </w:sectPr>
      </w:pPr>
    </w:p>
    <w:p>
      <w:pPr>
        <w:pStyle w:val="2"/>
        <w:rPr>
          <w:rFonts w:ascii="Microsoft YaHei UI"/>
          <w:b/>
          <w:color w:val="auto"/>
          <w:sz w:val="20"/>
          <w:highlight w:val="none"/>
        </w:rPr>
      </w:pPr>
    </w:p>
    <w:p>
      <w:pPr>
        <w:pStyle w:val="2"/>
        <w:spacing w:before="13"/>
        <w:rPr>
          <w:rFonts w:ascii="Microsoft YaHei UI"/>
          <w:b/>
          <w:color w:val="auto"/>
          <w:sz w:val="26"/>
          <w:highlight w:val="none"/>
        </w:rPr>
      </w:pPr>
    </w:p>
    <w:p>
      <w:pPr>
        <w:spacing w:before="45" w:line="261" w:lineRule="auto"/>
        <w:ind w:left="3538" w:right="490" w:hanging="3111"/>
        <w:jc w:val="center"/>
        <w:rPr>
          <w:sz w:val="40"/>
          <w:highlight w:val="none"/>
        </w:rPr>
      </w:pPr>
      <w:r>
        <w:rPr>
          <w:rFonts w:hint="eastAsia"/>
          <w:spacing w:val="-13"/>
          <w:sz w:val="40"/>
          <w:highlight w:val="none"/>
          <w:lang w:val="en-US" w:eastAsia="zh-CN"/>
        </w:rPr>
        <w:t>儋州</w:t>
      </w:r>
      <w:r>
        <w:rPr>
          <w:spacing w:val="-13"/>
          <w:sz w:val="40"/>
          <w:highlight w:val="none"/>
        </w:rPr>
        <w:t>市</w:t>
      </w:r>
      <w:r>
        <w:rPr>
          <w:rFonts w:hint="eastAsia"/>
          <w:spacing w:val="-13"/>
          <w:sz w:val="40"/>
          <w:highlight w:val="none"/>
          <w:lang w:val="en-US" w:eastAsia="zh-CN"/>
        </w:rPr>
        <w:t>和庆</w:t>
      </w:r>
      <w:r>
        <w:rPr>
          <w:spacing w:val="-13"/>
          <w:sz w:val="40"/>
          <w:highlight w:val="none"/>
        </w:rPr>
        <w:t>镇全域土地综合整治</w:t>
      </w:r>
      <w:r>
        <w:rPr>
          <w:spacing w:val="-10"/>
          <w:sz w:val="40"/>
          <w:highlight w:val="none"/>
        </w:rPr>
        <w:t>（</w:t>
      </w:r>
      <w:r>
        <w:rPr>
          <w:spacing w:val="-13"/>
          <w:sz w:val="40"/>
          <w:highlight w:val="none"/>
        </w:rPr>
        <w:t>省级）</w:t>
      </w:r>
      <w:r>
        <w:rPr>
          <w:sz w:val="40"/>
          <w:highlight w:val="none"/>
        </w:rPr>
        <w:t>试点项目</w:t>
      </w:r>
    </w:p>
    <w:p>
      <w:pPr>
        <w:spacing w:before="45" w:line="261" w:lineRule="auto"/>
        <w:ind w:left="3538" w:right="490" w:hanging="3111"/>
        <w:jc w:val="center"/>
        <w:rPr>
          <w:sz w:val="40"/>
          <w:highlight w:val="none"/>
        </w:rPr>
      </w:pPr>
      <w:r>
        <w:rPr>
          <w:rFonts w:hint="eastAsia"/>
          <w:sz w:val="40"/>
          <w:highlight w:val="none"/>
          <w:lang w:val="en-US" w:eastAsia="zh-CN"/>
        </w:rPr>
        <w:t>投资</w:t>
      </w:r>
      <w:r>
        <w:rPr>
          <w:sz w:val="40"/>
          <w:highlight w:val="none"/>
        </w:rPr>
        <w:t>合作协议</w:t>
      </w:r>
    </w:p>
    <w:p>
      <w:pPr>
        <w:pStyle w:val="2"/>
        <w:spacing w:before="5"/>
        <w:rPr>
          <w:sz w:val="56"/>
          <w:highlight w:val="none"/>
        </w:rPr>
      </w:pP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zh-TW" w:eastAsia="zh-TW"/>
        </w:rPr>
        <w:t>本协议由以下</w:t>
      </w:r>
      <w:r>
        <w:rPr>
          <w:rFonts w:hint="eastAsia" w:cs="宋体"/>
          <w:color w:val="auto"/>
          <w:sz w:val="28"/>
          <w:szCs w:val="28"/>
          <w:highlight w:val="none"/>
          <w:lang w:val="en-US" w:eastAsia="zh-CN"/>
        </w:rPr>
        <w:t>双</w:t>
      </w:r>
      <w:r>
        <w:rPr>
          <w:rFonts w:hint="eastAsia" w:ascii="宋体" w:hAnsi="宋体" w:eastAsia="宋体" w:cs="宋体"/>
          <w:color w:val="auto"/>
          <w:sz w:val="28"/>
          <w:szCs w:val="28"/>
          <w:highlight w:val="none"/>
          <w:lang w:val="zh-TW" w:eastAsia="zh-TW"/>
        </w:rPr>
        <w:t>方于【】年【】月【】日在【签订地点】签订：</w:t>
      </w:r>
    </w:p>
    <w:p>
      <w:pPr>
        <w:spacing w:line="360" w:lineRule="auto"/>
        <w:rPr>
          <w:rFonts w:hint="default" w:ascii="宋体" w:hAnsi="宋体" w:eastAsia="宋体" w:cs="宋体"/>
          <w:color w:val="auto"/>
          <w:sz w:val="28"/>
          <w:szCs w:val="28"/>
          <w:highlight w:val="none"/>
          <w:lang w:val="en-US" w:eastAsia="zh-CN"/>
        </w:rPr>
      </w:pPr>
      <w:r>
        <w:rPr>
          <w:rFonts w:hint="eastAsia" w:cs="宋体"/>
          <w:color w:val="auto"/>
          <w:sz w:val="28"/>
          <w:szCs w:val="28"/>
          <w:highlight w:val="none"/>
          <w:lang w:val="en-US" w:eastAsia="zh-CN"/>
        </w:rPr>
        <w:t>甲</w:t>
      </w:r>
      <w:r>
        <w:rPr>
          <w:rFonts w:hint="eastAsia" w:ascii="宋体" w:hAnsi="宋体" w:eastAsia="宋体" w:cs="宋体"/>
          <w:color w:val="auto"/>
          <w:sz w:val="28"/>
          <w:szCs w:val="28"/>
          <w:highlight w:val="none"/>
          <w:lang w:val="zh-TW" w:eastAsia="zh-TW"/>
        </w:rPr>
        <w:t>方：</w:t>
      </w:r>
      <w:r>
        <w:rPr>
          <w:rFonts w:hint="eastAsia" w:cs="宋体"/>
          <w:color w:val="auto"/>
          <w:sz w:val="28"/>
          <w:szCs w:val="28"/>
          <w:highlight w:val="none"/>
          <w:lang w:val="en-US" w:eastAsia="zh-CN"/>
        </w:rPr>
        <w:t>儋州市和庆镇人民政府</w:t>
      </w:r>
    </w:p>
    <w:p>
      <w:pPr>
        <w:pStyle w:val="2"/>
        <w:spacing w:line="360" w:lineRule="auto"/>
        <w:rPr>
          <w:rFonts w:ascii="宋体" w:hAnsi="宋体" w:eastAsia="宋体" w:cs="宋体"/>
          <w:color w:val="auto"/>
          <w:sz w:val="28"/>
          <w:szCs w:val="28"/>
          <w:highlight w:val="none"/>
        </w:rPr>
      </w:pPr>
      <w:r>
        <w:rPr>
          <w:rFonts w:hint="eastAsia" w:cs="宋体"/>
          <w:color w:val="auto"/>
          <w:sz w:val="28"/>
          <w:szCs w:val="28"/>
          <w:highlight w:val="none"/>
          <w:lang w:val="en-US" w:eastAsia="zh-CN"/>
        </w:rPr>
        <w:t>乙</w:t>
      </w:r>
      <w:r>
        <w:rPr>
          <w:rFonts w:hint="eastAsia" w:ascii="宋体" w:hAnsi="宋体" w:eastAsia="宋体" w:cs="宋体"/>
          <w:color w:val="auto"/>
          <w:sz w:val="28"/>
          <w:szCs w:val="28"/>
          <w:highlight w:val="none"/>
          <w:lang w:val="zh-TW" w:eastAsia="zh-TW"/>
        </w:rPr>
        <w:t>方：【中标社会资本】</w:t>
      </w:r>
    </w:p>
    <w:p>
      <w:pPr>
        <w:spacing w:line="360" w:lineRule="auto"/>
        <w:rPr>
          <w:rFonts w:hint="eastAsia" w:ascii="宋体" w:hAnsi="宋体" w:eastAsia="宋体" w:cs="宋体"/>
          <w:color w:val="auto"/>
          <w:sz w:val="24"/>
          <w:szCs w:val="24"/>
          <w:highlight w:val="none"/>
          <w:lang w:val="zh-TW" w:eastAsia="zh-TW"/>
        </w:rPr>
      </w:pPr>
    </w:p>
    <w:p>
      <w:pPr>
        <w:spacing w:line="360" w:lineRule="auto"/>
        <w:rPr>
          <w:rFonts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鉴于：</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儋州市和庆镇全域土地综合整治（省级）试点项目已经</w:t>
      </w:r>
      <w:r>
        <w:rPr>
          <w:rFonts w:hint="eastAsia" w:cs="宋体"/>
          <w:color w:val="auto"/>
          <w:sz w:val="24"/>
          <w:szCs w:val="24"/>
          <w:highlight w:val="none"/>
          <w:lang w:val="en-US" w:eastAsia="zh-CN"/>
        </w:rPr>
        <w:t xml:space="preserve"> </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 xml:space="preserve">儋州市  </w:t>
      </w:r>
      <w:r>
        <w:rPr>
          <w:rFonts w:hint="eastAsia" w:ascii="宋体" w:hAnsi="宋体" w:eastAsia="宋体" w:cs="宋体"/>
          <w:color w:val="auto"/>
          <w:sz w:val="24"/>
          <w:szCs w:val="24"/>
          <w:highlight w:val="none"/>
          <w:lang w:eastAsia="zh-CN"/>
        </w:rPr>
        <w:t>人民政府授权甲方作为本项目业主进行公开招商</w:t>
      </w:r>
      <w:r>
        <w:rPr>
          <w:rFonts w:hint="eastAsia" w:ascii="宋体" w:hAnsi="宋体" w:eastAsia="宋体" w:cs="宋体"/>
          <w:strike w:val="0"/>
          <w:dstrike w:val="0"/>
          <w:color w:val="auto"/>
          <w:sz w:val="24"/>
          <w:szCs w:val="24"/>
          <w:highlight w:val="none"/>
          <w:u w:val="none"/>
          <w:lang w:eastAsia="zh-CN"/>
        </w:rPr>
        <w:t>等所有涉及项目的具体实施工作</w:t>
      </w:r>
      <w:r>
        <w:rPr>
          <w:rFonts w:hint="eastAsia" w:ascii="宋体" w:hAnsi="宋体" w:eastAsia="宋体" w:cs="宋体"/>
          <w:color w:val="auto"/>
          <w:sz w:val="24"/>
          <w:szCs w:val="24"/>
          <w:highlight w:val="none"/>
          <w:lang w:val="zh-TW" w:eastAsia="zh-TW"/>
        </w:rPr>
        <w:t>。</w:t>
      </w:r>
    </w:p>
    <w:p>
      <w:pPr>
        <w:pStyle w:val="2"/>
        <w:spacing w:line="436" w:lineRule="auto"/>
        <w:ind w:right="476"/>
        <w:jc w:val="both"/>
        <w:rPr>
          <w:rFonts w:hint="eastAsia"/>
          <w:highlight w:val="none"/>
          <w:lang w:val="zh-TW" w:eastAsia="zh-TW"/>
        </w:rPr>
      </w:pPr>
      <w:r>
        <w:rPr>
          <w:rFonts w:hint="eastAsia" w:ascii="宋体" w:hAnsi="宋体" w:eastAsia="宋体" w:cs="宋体"/>
          <w:color w:val="auto"/>
          <w:sz w:val="24"/>
          <w:szCs w:val="24"/>
          <w:highlight w:val="none"/>
        </w:rPr>
        <w:t>2.</w:t>
      </w:r>
      <w:r>
        <w:rPr>
          <w:rFonts w:hint="eastAsia" w:cs="宋体"/>
          <w:color w:val="auto"/>
          <w:sz w:val="24"/>
          <w:szCs w:val="24"/>
          <w:highlight w:val="none"/>
          <w:lang w:val="en-US" w:eastAsia="zh-CN"/>
        </w:rPr>
        <w:t>乙</w:t>
      </w:r>
      <w:r>
        <w:rPr>
          <w:rFonts w:hint="eastAsia" w:ascii="宋体" w:hAnsi="宋体" w:eastAsia="宋体" w:cs="宋体"/>
          <w:color w:val="auto"/>
          <w:sz w:val="24"/>
          <w:szCs w:val="24"/>
          <w:highlight w:val="none"/>
          <w:lang w:val="zh-TW" w:eastAsia="zh-TW"/>
        </w:rPr>
        <w:t>方作为本项目中标社会资本，具体负责整个试点实施方案编制及区域内所有子项目的策划、投</w:t>
      </w:r>
      <w:r>
        <w:rPr>
          <w:rFonts w:hint="eastAsia" w:cs="宋体"/>
          <w:color w:val="auto"/>
          <w:sz w:val="24"/>
          <w:szCs w:val="24"/>
          <w:highlight w:val="none"/>
          <w:lang w:val="en-US" w:eastAsia="zh-CN"/>
        </w:rPr>
        <w:t>融</w:t>
      </w:r>
      <w:r>
        <w:rPr>
          <w:rFonts w:hint="eastAsia" w:ascii="宋体" w:hAnsi="宋体" w:eastAsia="宋体" w:cs="宋体"/>
          <w:color w:val="auto"/>
          <w:sz w:val="24"/>
          <w:szCs w:val="24"/>
          <w:highlight w:val="none"/>
          <w:lang w:val="zh-TW" w:eastAsia="zh-TW"/>
        </w:rPr>
        <w:t>资、</w:t>
      </w:r>
      <w:r>
        <w:rPr>
          <w:rFonts w:hint="eastAsia" w:cs="宋体"/>
          <w:color w:val="auto"/>
          <w:sz w:val="24"/>
          <w:szCs w:val="24"/>
          <w:highlight w:val="none"/>
          <w:lang w:val="en-US" w:eastAsia="zh-CN"/>
        </w:rPr>
        <w:t>招商、</w:t>
      </w:r>
      <w:r>
        <w:rPr>
          <w:rFonts w:hint="eastAsia" w:ascii="宋体" w:hAnsi="宋体" w:eastAsia="宋体" w:cs="宋体"/>
          <w:color w:val="auto"/>
          <w:sz w:val="24"/>
          <w:szCs w:val="24"/>
          <w:highlight w:val="none"/>
          <w:lang w:val="zh-TW" w:eastAsia="zh-TW"/>
        </w:rPr>
        <w:t>规划、设计、</w:t>
      </w:r>
      <w:r>
        <w:rPr>
          <w:rFonts w:hint="eastAsia" w:cs="宋体"/>
          <w:color w:val="auto"/>
          <w:sz w:val="24"/>
          <w:szCs w:val="24"/>
          <w:highlight w:val="none"/>
          <w:lang w:val="en-US" w:eastAsia="zh-CN"/>
        </w:rPr>
        <w:t>建设、</w:t>
      </w:r>
      <w:r>
        <w:rPr>
          <w:rFonts w:hint="eastAsia" w:ascii="宋体" w:hAnsi="宋体" w:eastAsia="宋体" w:cs="宋体"/>
          <w:color w:val="auto"/>
          <w:sz w:val="24"/>
          <w:szCs w:val="24"/>
          <w:highlight w:val="none"/>
          <w:lang w:val="zh-TW" w:eastAsia="zh-TW"/>
        </w:rPr>
        <w:t>运营</w:t>
      </w:r>
      <w:r>
        <w:rPr>
          <w:rFonts w:hint="eastAsia" w:cs="宋体"/>
          <w:color w:val="auto"/>
          <w:sz w:val="24"/>
          <w:szCs w:val="24"/>
          <w:highlight w:val="none"/>
          <w:lang w:val="en-US" w:eastAsia="zh-CN"/>
        </w:rPr>
        <w:t>维护</w:t>
      </w:r>
      <w:r>
        <w:rPr>
          <w:rFonts w:hint="eastAsia" w:ascii="宋体" w:hAnsi="宋体" w:eastAsia="宋体" w:cs="宋体"/>
          <w:color w:val="auto"/>
          <w:sz w:val="24"/>
          <w:szCs w:val="24"/>
          <w:highlight w:val="none"/>
          <w:lang w:val="zh-TW" w:eastAsia="zh-TW"/>
        </w:rPr>
        <w:t>、实施等</w:t>
      </w:r>
      <w:r>
        <w:rPr>
          <w:rFonts w:hint="eastAsia" w:cs="宋体"/>
          <w:color w:val="auto"/>
          <w:sz w:val="24"/>
          <w:szCs w:val="24"/>
          <w:highlight w:val="none"/>
          <w:lang w:val="zh-TW" w:eastAsia="zh-CN"/>
        </w:rPr>
        <w:t>，</w:t>
      </w:r>
      <w:r>
        <w:rPr>
          <w:rFonts w:hint="eastAsia" w:cs="宋体"/>
          <w:color w:val="auto"/>
          <w:sz w:val="24"/>
          <w:szCs w:val="24"/>
          <w:highlight w:val="none"/>
          <w:lang w:val="en-US" w:eastAsia="zh-CN"/>
        </w:rPr>
        <w:t>乙</w:t>
      </w:r>
      <w:r>
        <w:rPr>
          <w:rFonts w:hint="eastAsia" w:ascii="宋体" w:hAnsi="宋体" w:eastAsia="宋体" w:cs="宋体"/>
          <w:color w:val="auto"/>
          <w:sz w:val="24"/>
          <w:szCs w:val="24"/>
          <w:highlight w:val="none"/>
          <w:lang w:val="zh-TW" w:eastAsia="zh-TW"/>
        </w:rPr>
        <w:t>方同意并认可本项目《招标文件》的全部内容。根据《中华人民共和国招标投标法》、《中华人民共和国民法典》等相关法律法规文件的规</w:t>
      </w:r>
      <w:r>
        <w:rPr>
          <w:rFonts w:hint="eastAsia" w:ascii="宋体" w:hAnsi="宋体" w:eastAsia="宋体" w:cs="宋体"/>
          <w:snapToGrid w:val="0"/>
          <w:color w:val="auto"/>
          <w:sz w:val="24"/>
          <w:szCs w:val="24"/>
          <w:highlight w:val="none"/>
          <w:lang w:val="zh-TW" w:eastAsia="zh-TW" w:bidi="ar-SA"/>
        </w:rPr>
        <w:t>定，为明确甲</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zh-TW" w:eastAsia="zh-TW" w:bidi="ar-SA"/>
        </w:rPr>
        <w:t>乙</w:t>
      </w:r>
      <w:r>
        <w:rPr>
          <w:rFonts w:hint="eastAsia" w:ascii="宋体" w:hAnsi="宋体" w:eastAsia="宋体" w:cs="宋体"/>
          <w:snapToGrid w:val="0"/>
          <w:color w:val="auto"/>
          <w:sz w:val="24"/>
          <w:szCs w:val="24"/>
          <w:highlight w:val="none"/>
          <w:lang w:val="en-US" w:eastAsia="zh-CN" w:bidi="ar-SA"/>
        </w:rPr>
        <w:t>双</w:t>
      </w:r>
      <w:r>
        <w:rPr>
          <w:rFonts w:hint="eastAsia" w:ascii="宋体" w:hAnsi="宋体" w:eastAsia="宋体" w:cs="宋体"/>
          <w:snapToGrid w:val="0"/>
          <w:color w:val="auto"/>
          <w:sz w:val="24"/>
          <w:szCs w:val="24"/>
          <w:highlight w:val="none"/>
          <w:lang w:val="zh-TW" w:eastAsia="zh-TW" w:bidi="ar-SA"/>
        </w:rPr>
        <w:t>方的权利义务</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en-US" w:eastAsia="zh-CN" w:bidi="ar-SA"/>
        </w:rPr>
        <w:t>双</w:t>
      </w:r>
      <w:r>
        <w:rPr>
          <w:rFonts w:hint="eastAsia" w:ascii="宋体" w:hAnsi="宋体" w:eastAsia="宋体" w:cs="宋体"/>
          <w:snapToGrid w:val="0"/>
          <w:color w:val="auto"/>
          <w:sz w:val="24"/>
          <w:szCs w:val="24"/>
          <w:highlight w:val="none"/>
          <w:lang w:val="zh-TW" w:eastAsia="zh-TW" w:bidi="ar-SA"/>
        </w:rPr>
        <w:t>方遵循平等、合作、守信的原则友好协商一致，就</w:t>
      </w:r>
      <w:r>
        <w:rPr>
          <w:rFonts w:hint="eastAsia" w:ascii="宋体" w:hAnsi="宋体" w:eastAsia="宋体" w:cs="宋体"/>
          <w:snapToGrid w:val="0"/>
          <w:color w:val="auto"/>
          <w:sz w:val="24"/>
          <w:szCs w:val="24"/>
          <w:highlight w:val="none"/>
          <w:lang w:val="en-US" w:eastAsia="zh-CN" w:bidi="ar-SA"/>
        </w:rPr>
        <w:t>儋州</w:t>
      </w:r>
      <w:r>
        <w:rPr>
          <w:rFonts w:hint="eastAsia" w:ascii="宋体" w:hAnsi="宋体" w:eastAsia="宋体" w:cs="宋体"/>
          <w:snapToGrid w:val="0"/>
          <w:color w:val="auto"/>
          <w:sz w:val="24"/>
          <w:szCs w:val="24"/>
          <w:highlight w:val="none"/>
          <w:lang w:val="zh-TW" w:eastAsia="zh-TW" w:bidi="ar-SA"/>
        </w:rPr>
        <w:t>市</w:t>
      </w:r>
      <w:r>
        <w:rPr>
          <w:rFonts w:hint="eastAsia" w:ascii="宋体" w:hAnsi="宋体" w:eastAsia="宋体" w:cs="宋体"/>
          <w:snapToGrid w:val="0"/>
          <w:color w:val="auto"/>
          <w:sz w:val="24"/>
          <w:szCs w:val="24"/>
          <w:highlight w:val="none"/>
          <w:lang w:val="en-US" w:eastAsia="zh-CN" w:bidi="ar-SA"/>
        </w:rPr>
        <w:t>和庆</w:t>
      </w:r>
      <w:r>
        <w:rPr>
          <w:rFonts w:hint="eastAsia" w:ascii="宋体" w:hAnsi="宋体" w:eastAsia="宋体" w:cs="宋体"/>
          <w:snapToGrid w:val="0"/>
          <w:color w:val="auto"/>
          <w:sz w:val="24"/>
          <w:szCs w:val="24"/>
          <w:highlight w:val="none"/>
          <w:lang w:val="zh-TW" w:eastAsia="zh-TW" w:bidi="ar-SA"/>
        </w:rPr>
        <w:t>镇全域土地综合整治（省级）试点项目实施事宜达成如下</w:t>
      </w:r>
      <w:r>
        <w:rPr>
          <w:rFonts w:hint="eastAsia" w:ascii="宋体" w:hAnsi="宋体" w:eastAsia="宋体" w:cs="宋体"/>
          <w:snapToGrid w:val="0"/>
          <w:color w:val="auto"/>
          <w:sz w:val="24"/>
          <w:szCs w:val="24"/>
          <w:highlight w:val="none"/>
          <w:lang w:val="en-US" w:eastAsia="zh-CN" w:bidi="ar-SA"/>
        </w:rPr>
        <w:t>投资</w:t>
      </w:r>
      <w:r>
        <w:rPr>
          <w:rFonts w:hint="eastAsia" w:ascii="宋体" w:hAnsi="宋体" w:eastAsia="宋体" w:cs="宋体"/>
          <w:snapToGrid w:val="0"/>
          <w:color w:val="auto"/>
          <w:sz w:val="24"/>
          <w:szCs w:val="24"/>
          <w:highlight w:val="none"/>
          <w:lang w:val="zh-TW" w:eastAsia="zh-TW" w:bidi="ar-SA"/>
        </w:rPr>
        <w:t>合作协议：</w:t>
      </w:r>
    </w:p>
    <w:p>
      <w:pPr>
        <w:pStyle w:val="2"/>
        <w:spacing w:before="3"/>
        <w:rPr>
          <w:sz w:val="19"/>
          <w:highlight w:val="none"/>
        </w:rPr>
      </w:pPr>
    </w:p>
    <w:p>
      <w:pPr>
        <w:pStyle w:val="2"/>
        <w:spacing w:before="2"/>
        <w:ind w:left="701"/>
        <w:jc w:val="both"/>
        <w:rPr>
          <w:b/>
          <w:bCs/>
          <w:highlight w:val="none"/>
        </w:rPr>
      </w:pPr>
      <w:r>
        <w:rPr>
          <w:b/>
          <w:bCs/>
          <w:highlight w:val="none"/>
        </w:rPr>
        <w:t>第一条 政策依据</w:t>
      </w:r>
    </w:p>
    <w:p>
      <w:pPr>
        <w:pStyle w:val="2"/>
        <w:spacing w:before="11"/>
        <w:rPr>
          <w:sz w:val="19"/>
          <w:highlight w:val="none"/>
        </w:rPr>
      </w:pPr>
    </w:p>
    <w:p>
      <w:pPr>
        <w:pStyle w:val="18"/>
        <w:numPr>
          <w:ilvl w:val="1"/>
          <w:numId w:val="2"/>
        </w:numPr>
        <w:tabs>
          <w:tab w:val="left" w:pos="1062"/>
        </w:tabs>
        <w:spacing w:before="0" w:after="0" w:line="240" w:lineRule="auto"/>
        <w:ind w:left="1061" w:right="0" w:hanging="361"/>
        <w:jc w:val="left"/>
        <w:rPr>
          <w:b/>
          <w:bCs/>
          <w:sz w:val="24"/>
          <w:highlight w:val="none"/>
        </w:rPr>
      </w:pPr>
      <w:r>
        <w:rPr>
          <w:b/>
          <w:bCs/>
          <w:sz w:val="24"/>
          <w:highlight w:val="none"/>
        </w:rPr>
        <w:t>法律法规及国家各部委文件</w:t>
      </w:r>
    </w:p>
    <w:p>
      <w:pPr>
        <w:pStyle w:val="2"/>
        <w:spacing w:before="8"/>
        <w:rPr>
          <w:sz w:val="19"/>
          <w:highlight w:val="none"/>
        </w:rPr>
      </w:pPr>
    </w:p>
    <w:p>
      <w:pPr>
        <w:pStyle w:val="18"/>
        <w:numPr>
          <w:ilvl w:val="0"/>
          <w:numId w:val="3"/>
        </w:numPr>
        <w:tabs>
          <w:tab w:val="left" w:pos="1303"/>
        </w:tabs>
        <w:spacing w:before="0" w:after="0" w:line="240" w:lineRule="auto"/>
        <w:ind w:left="1302" w:right="0" w:hanging="602"/>
        <w:jc w:val="left"/>
        <w:rPr>
          <w:sz w:val="24"/>
          <w:highlight w:val="none"/>
        </w:rPr>
      </w:pPr>
      <w:r>
        <w:rPr>
          <w:sz w:val="24"/>
          <w:highlight w:val="none"/>
        </w:rPr>
        <w:t>《中华人民共和国土地管理法》；</w:t>
      </w:r>
    </w:p>
    <w:p>
      <w:pPr>
        <w:pStyle w:val="2"/>
        <w:spacing w:before="8"/>
        <w:rPr>
          <w:sz w:val="19"/>
          <w:highlight w:val="none"/>
        </w:rPr>
      </w:pPr>
    </w:p>
    <w:p>
      <w:pPr>
        <w:pStyle w:val="18"/>
        <w:numPr>
          <w:ilvl w:val="0"/>
          <w:numId w:val="3"/>
        </w:numPr>
        <w:tabs>
          <w:tab w:val="left" w:pos="1303"/>
        </w:tabs>
        <w:spacing w:before="0" w:after="0" w:line="240" w:lineRule="auto"/>
        <w:ind w:left="1302" w:right="0" w:hanging="602"/>
        <w:jc w:val="left"/>
        <w:rPr>
          <w:sz w:val="24"/>
          <w:highlight w:val="none"/>
        </w:rPr>
      </w:pPr>
      <w:r>
        <w:rPr>
          <w:sz w:val="24"/>
          <w:highlight w:val="none"/>
        </w:rPr>
        <w:t>《中华人民共和国民法典》；</w:t>
      </w:r>
    </w:p>
    <w:p>
      <w:pPr>
        <w:pStyle w:val="2"/>
        <w:spacing w:before="11"/>
        <w:rPr>
          <w:sz w:val="19"/>
          <w:highlight w:val="none"/>
        </w:rPr>
      </w:pPr>
    </w:p>
    <w:p>
      <w:pPr>
        <w:pStyle w:val="18"/>
        <w:numPr>
          <w:ilvl w:val="0"/>
          <w:numId w:val="3"/>
        </w:numPr>
        <w:tabs>
          <w:tab w:val="left" w:pos="1303"/>
        </w:tabs>
        <w:spacing w:before="0" w:after="0" w:line="240" w:lineRule="auto"/>
        <w:ind w:left="1302" w:right="0" w:hanging="602"/>
        <w:jc w:val="left"/>
        <w:rPr>
          <w:sz w:val="24"/>
          <w:highlight w:val="none"/>
        </w:rPr>
      </w:pPr>
      <w:r>
        <w:rPr>
          <w:sz w:val="24"/>
          <w:highlight w:val="none"/>
        </w:rPr>
        <w:t>《中华人民共和国土地管理法实施条例》；</w:t>
      </w:r>
    </w:p>
    <w:p>
      <w:pPr>
        <w:pStyle w:val="2"/>
        <w:spacing w:before="8"/>
        <w:rPr>
          <w:sz w:val="19"/>
          <w:highlight w:val="none"/>
        </w:rPr>
      </w:pPr>
    </w:p>
    <w:p>
      <w:pPr>
        <w:pStyle w:val="18"/>
        <w:numPr>
          <w:ilvl w:val="0"/>
          <w:numId w:val="3"/>
        </w:numPr>
        <w:tabs>
          <w:tab w:val="left" w:pos="1303"/>
        </w:tabs>
        <w:spacing w:before="0" w:after="0" w:line="240" w:lineRule="auto"/>
        <w:ind w:left="1302" w:right="0" w:hanging="602"/>
        <w:jc w:val="left"/>
        <w:rPr>
          <w:sz w:val="24"/>
          <w:highlight w:val="none"/>
        </w:rPr>
      </w:pPr>
      <w:r>
        <w:rPr>
          <w:sz w:val="24"/>
          <w:highlight w:val="none"/>
        </w:rPr>
        <w:t>《中华人民共和国基本农田保护条例》；</w:t>
      </w:r>
    </w:p>
    <w:p>
      <w:pPr>
        <w:pStyle w:val="2"/>
        <w:spacing w:before="8"/>
        <w:rPr>
          <w:sz w:val="19"/>
          <w:highlight w:val="none"/>
        </w:rPr>
      </w:pPr>
    </w:p>
    <w:p>
      <w:pPr>
        <w:pStyle w:val="18"/>
        <w:numPr>
          <w:ilvl w:val="0"/>
          <w:numId w:val="3"/>
        </w:numPr>
        <w:tabs>
          <w:tab w:val="left" w:pos="1303"/>
        </w:tabs>
        <w:spacing w:before="1" w:after="0" w:line="240" w:lineRule="auto"/>
        <w:ind w:left="1302" w:right="0" w:hanging="602"/>
        <w:jc w:val="left"/>
        <w:rPr>
          <w:sz w:val="24"/>
          <w:highlight w:val="none"/>
        </w:rPr>
      </w:pPr>
      <w:r>
        <w:rPr>
          <w:sz w:val="24"/>
          <w:highlight w:val="none"/>
        </w:rPr>
        <w:t>《中华人民共和国森林法》；</w:t>
      </w:r>
    </w:p>
    <w:p>
      <w:pPr>
        <w:pStyle w:val="2"/>
        <w:spacing w:before="10"/>
        <w:rPr>
          <w:sz w:val="19"/>
          <w:highlight w:val="none"/>
        </w:rPr>
      </w:pPr>
    </w:p>
    <w:p>
      <w:pPr>
        <w:pStyle w:val="18"/>
        <w:numPr>
          <w:ilvl w:val="0"/>
          <w:numId w:val="3"/>
        </w:numPr>
        <w:tabs>
          <w:tab w:val="left" w:pos="1423"/>
        </w:tabs>
        <w:spacing w:before="0" w:after="0" w:line="436" w:lineRule="auto"/>
        <w:ind w:left="281" w:right="536" w:firstLine="420"/>
        <w:jc w:val="left"/>
        <w:rPr>
          <w:spacing w:val="-1"/>
          <w:sz w:val="24"/>
          <w:highlight w:val="none"/>
        </w:rPr>
      </w:pPr>
      <w:r>
        <w:rPr>
          <w:spacing w:val="-1"/>
          <w:sz w:val="24"/>
          <w:highlight w:val="none"/>
        </w:rPr>
        <w:t>《中华人民共和国森林法实施条例》；</w:t>
      </w:r>
    </w:p>
    <w:p>
      <w:pPr>
        <w:pStyle w:val="18"/>
        <w:numPr>
          <w:ilvl w:val="0"/>
          <w:numId w:val="3"/>
        </w:numPr>
        <w:tabs>
          <w:tab w:val="left" w:pos="1423"/>
        </w:tabs>
        <w:spacing w:before="0" w:after="0" w:line="436" w:lineRule="auto"/>
        <w:ind w:left="281" w:right="536" w:firstLine="420"/>
        <w:jc w:val="left"/>
        <w:rPr>
          <w:sz w:val="19"/>
          <w:highlight w:val="none"/>
        </w:rPr>
      </w:pPr>
      <w:r>
        <w:rPr>
          <w:spacing w:val="-1"/>
          <w:sz w:val="24"/>
          <w:highlight w:val="none"/>
        </w:rPr>
        <w:t>《自然资源部关于开展全域土地综合整治试点工作的通知》（自然资发〔2019〕194号）；</w:t>
      </w:r>
    </w:p>
    <w:p>
      <w:pPr>
        <w:pStyle w:val="18"/>
        <w:numPr>
          <w:ilvl w:val="0"/>
          <w:numId w:val="3"/>
        </w:numPr>
        <w:tabs>
          <w:tab w:val="left" w:pos="1303"/>
        </w:tabs>
        <w:spacing w:before="0" w:after="0" w:line="436" w:lineRule="auto"/>
        <w:ind w:left="281" w:right="416" w:firstLine="420"/>
        <w:jc w:val="left"/>
        <w:rPr>
          <w:sz w:val="24"/>
          <w:highlight w:val="none"/>
        </w:rPr>
      </w:pPr>
      <w:r>
        <w:rPr>
          <w:spacing w:val="-1"/>
          <w:sz w:val="24"/>
          <w:highlight w:val="none"/>
        </w:rPr>
        <w:t>《自然资源部国土空间生态修复司关于印发全域土地综合整治试点实施要点</w:t>
      </w:r>
      <w:r>
        <w:rPr>
          <w:sz w:val="24"/>
          <w:highlight w:val="none"/>
        </w:rPr>
        <w:t>（</w:t>
      </w:r>
      <w:r>
        <w:rPr>
          <w:spacing w:val="-117"/>
          <w:sz w:val="24"/>
          <w:highlight w:val="none"/>
        </w:rPr>
        <w:t xml:space="preserve"> </w:t>
      </w:r>
      <w:r>
        <w:rPr>
          <w:sz w:val="24"/>
          <w:highlight w:val="none"/>
        </w:rPr>
        <w:t>试行）的函》（自然资生态修复函〔2020〕37号）；</w:t>
      </w:r>
    </w:p>
    <w:p>
      <w:pPr>
        <w:pStyle w:val="18"/>
        <w:numPr>
          <w:ilvl w:val="0"/>
          <w:numId w:val="3"/>
        </w:numPr>
        <w:tabs>
          <w:tab w:val="left" w:pos="1303"/>
        </w:tabs>
        <w:spacing w:before="0" w:after="0" w:line="439" w:lineRule="auto"/>
        <w:ind w:left="281" w:right="536" w:firstLine="420"/>
        <w:jc w:val="left"/>
        <w:rPr>
          <w:sz w:val="24"/>
          <w:highlight w:val="none"/>
        </w:rPr>
      </w:pPr>
      <w:r>
        <w:rPr>
          <w:spacing w:val="-1"/>
          <w:sz w:val="24"/>
          <w:highlight w:val="none"/>
        </w:rPr>
        <w:t>《自然资源部国土空间生态修复司关于印发&lt;全域土地综合整治试点实施方案</w:t>
      </w:r>
      <w:r>
        <w:rPr>
          <w:sz w:val="24"/>
          <w:highlight w:val="none"/>
        </w:rPr>
        <w:t>编制大纲（试行）&gt;的函》；</w:t>
      </w:r>
    </w:p>
    <w:p>
      <w:pPr>
        <w:pStyle w:val="18"/>
        <w:numPr>
          <w:ilvl w:val="0"/>
          <w:numId w:val="3"/>
        </w:numPr>
        <w:tabs>
          <w:tab w:val="left" w:pos="1423"/>
        </w:tabs>
        <w:spacing w:before="0" w:after="0" w:line="436" w:lineRule="auto"/>
        <w:ind w:left="281" w:right="536" w:firstLine="420"/>
        <w:jc w:val="left"/>
        <w:rPr>
          <w:sz w:val="24"/>
          <w:highlight w:val="none"/>
        </w:rPr>
      </w:pPr>
      <w:r>
        <w:rPr>
          <w:spacing w:val="-1"/>
          <w:sz w:val="24"/>
          <w:highlight w:val="none"/>
        </w:rPr>
        <w:t>《自然资源部关于在经济发展用地要素保障工作中严守底线的通知》</w:t>
      </w:r>
      <w:r>
        <w:rPr>
          <w:sz w:val="24"/>
          <w:highlight w:val="none"/>
        </w:rPr>
        <w:t>（自然资发〔2023〕90号）；</w:t>
      </w:r>
    </w:p>
    <w:p>
      <w:pPr>
        <w:pStyle w:val="18"/>
        <w:numPr>
          <w:ilvl w:val="0"/>
          <w:numId w:val="3"/>
        </w:numPr>
        <w:tabs>
          <w:tab w:val="left" w:pos="1423"/>
        </w:tabs>
        <w:spacing w:before="0" w:after="0" w:line="436" w:lineRule="auto"/>
        <w:ind w:left="281" w:right="536" w:firstLine="420"/>
        <w:jc w:val="left"/>
        <w:rPr>
          <w:sz w:val="24"/>
          <w:highlight w:val="none"/>
        </w:rPr>
      </w:pPr>
      <w:r>
        <w:rPr>
          <w:spacing w:val="-1"/>
          <w:sz w:val="24"/>
          <w:highlight w:val="none"/>
        </w:rPr>
        <w:t>《自然资源部办公厅关于严守底线规范开展全域土地综合整治试点工作有关</w:t>
      </w:r>
      <w:r>
        <w:rPr>
          <w:sz w:val="24"/>
          <w:highlight w:val="none"/>
        </w:rPr>
        <w:t>要求的通知》（自然资办发〔2023〕15号）。</w:t>
      </w:r>
    </w:p>
    <w:p>
      <w:pPr>
        <w:pStyle w:val="18"/>
        <w:numPr>
          <w:ilvl w:val="1"/>
          <w:numId w:val="2"/>
        </w:numPr>
        <w:tabs>
          <w:tab w:val="left" w:pos="1062"/>
        </w:tabs>
        <w:spacing w:before="0" w:after="0" w:line="307" w:lineRule="exact"/>
        <w:ind w:left="1061" w:right="0" w:hanging="361"/>
        <w:jc w:val="left"/>
        <w:rPr>
          <w:b/>
          <w:bCs/>
          <w:sz w:val="24"/>
          <w:highlight w:val="none"/>
        </w:rPr>
      </w:pPr>
      <w:r>
        <w:rPr>
          <w:b/>
          <w:bCs/>
          <w:sz w:val="24"/>
          <w:highlight w:val="none"/>
        </w:rPr>
        <w:t>海南省相关政策文件</w:t>
      </w:r>
    </w:p>
    <w:p>
      <w:pPr>
        <w:pStyle w:val="2"/>
        <w:spacing w:before="7"/>
        <w:rPr>
          <w:sz w:val="19"/>
          <w:highlight w:val="none"/>
        </w:rPr>
      </w:pPr>
    </w:p>
    <w:p>
      <w:pPr>
        <w:pStyle w:val="18"/>
        <w:numPr>
          <w:ilvl w:val="0"/>
          <w:numId w:val="4"/>
        </w:numPr>
        <w:tabs>
          <w:tab w:val="left" w:pos="1303"/>
        </w:tabs>
        <w:spacing w:before="0" w:after="0" w:line="436" w:lineRule="auto"/>
        <w:ind w:left="281" w:right="416" w:firstLine="420"/>
        <w:jc w:val="left"/>
        <w:rPr>
          <w:sz w:val="24"/>
          <w:highlight w:val="none"/>
        </w:rPr>
      </w:pPr>
      <w:r>
        <w:rPr>
          <w:spacing w:val="-1"/>
          <w:sz w:val="24"/>
          <w:highlight w:val="none"/>
        </w:rPr>
        <w:t>《海南省人民政府关于落实最严格耕地保护制度严守耕地保护红线的通知》</w:t>
      </w:r>
      <w:r>
        <w:rPr>
          <w:sz w:val="24"/>
          <w:highlight w:val="none"/>
        </w:rPr>
        <w:t>（</w:t>
      </w:r>
      <w:r>
        <w:rPr>
          <w:spacing w:val="-117"/>
          <w:sz w:val="24"/>
          <w:highlight w:val="none"/>
        </w:rPr>
        <w:t xml:space="preserve"> </w:t>
      </w:r>
      <w:r>
        <w:rPr>
          <w:sz w:val="24"/>
          <w:highlight w:val="none"/>
        </w:rPr>
        <w:t>琼府〔2014〕42号〕；</w:t>
      </w:r>
    </w:p>
    <w:p>
      <w:pPr>
        <w:pStyle w:val="18"/>
        <w:numPr>
          <w:ilvl w:val="0"/>
          <w:numId w:val="4"/>
        </w:numPr>
        <w:tabs>
          <w:tab w:val="left" w:pos="1303"/>
        </w:tabs>
        <w:spacing w:before="0" w:after="0" w:line="439" w:lineRule="auto"/>
        <w:ind w:left="281" w:right="416" w:firstLine="420"/>
        <w:jc w:val="left"/>
        <w:rPr>
          <w:sz w:val="24"/>
          <w:highlight w:val="none"/>
        </w:rPr>
      </w:pPr>
      <w:r>
        <w:rPr>
          <w:spacing w:val="-1"/>
          <w:sz w:val="24"/>
          <w:highlight w:val="none"/>
        </w:rPr>
        <w:t>《海南省人民政府办公厅关于印发海南省林地占补平衡管理办法的通知》</w:t>
      </w:r>
      <w:r>
        <w:rPr>
          <w:sz w:val="24"/>
          <w:highlight w:val="none"/>
        </w:rPr>
        <w:t>（琼府办〔2017〕194号）；</w:t>
      </w:r>
    </w:p>
    <w:p>
      <w:pPr>
        <w:pStyle w:val="18"/>
        <w:numPr>
          <w:ilvl w:val="0"/>
          <w:numId w:val="4"/>
        </w:numPr>
        <w:tabs>
          <w:tab w:val="left" w:pos="1303"/>
        </w:tabs>
        <w:spacing w:before="0" w:after="0" w:line="303" w:lineRule="exact"/>
        <w:ind w:left="1302" w:right="0" w:hanging="602"/>
        <w:jc w:val="left"/>
        <w:rPr>
          <w:sz w:val="24"/>
          <w:highlight w:val="none"/>
        </w:rPr>
      </w:pPr>
      <w:r>
        <w:rPr>
          <w:sz w:val="24"/>
          <w:highlight w:val="none"/>
        </w:rPr>
        <w:t>《中共海南省委海南省人民政府关于加强耕地保护和改进占补平衡的实施意见</w:t>
      </w:r>
    </w:p>
    <w:p>
      <w:pPr>
        <w:pStyle w:val="2"/>
        <w:spacing w:before="7"/>
        <w:rPr>
          <w:sz w:val="19"/>
          <w:highlight w:val="none"/>
        </w:rPr>
      </w:pPr>
    </w:p>
    <w:p>
      <w:pPr>
        <w:pStyle w:val="2"/>
        <w:ind w:left="281"/>
        <w:rPr>
          <w:highlight w:val="none"/>
        </w:rPr>
      </w:pPr>
      <w:r>
        <w:rPr>
          <w:highlight w:val="none"/>
        </w:rPr>
        <w:t>》（琼发〔2017〕32号）；</w:t>
      </w:r>
    </w:p>
    <w:p>
      <w:pPr>
        <w:pStyle w:val="2"/>
        <w:spacing w:before="11"/>
        <w:rPr>
          <w:sz w:val="19"/>
          <w:highlight w:val="none"/>
        </w:rPr>
      </w:pPr>
    </w:p>
    <w:p>
      <w:pPr>
        <w:pStyle w:val="18"/>
        <w:numPr>
          <w:ilvl w:val="0"/>
          <w:numId w:val="4"/>
        </w:numPr>
        <w:tabs>
          <w:tab w:val="left" w:pos="1303"/>
        </w:tabs>
        <w:spacing w:before="0" w:after="0" w:line="436" w:lineRule="auto"/>
        <w:ind w:left="281" w:right="416" w:firstLine="420"/>
        <w:jc w:val="left"/>
        <w:rPr>
          <w:sz w:val="24"/>
          <w:highlight w:val="none"/>
        </w:rPr>
      </w:pPr>
      <w:r>
        <w:rPr>
          <w:spacing w:val="-1"/>
          <w:sz w:val="24"/>
          <w:highlight w:val="none"/>
        </w:rPr>
        <w:t>《原海南省国土资源厅关于印发&lt;海南省补充耕地指标交易管理暂行办法&gt;的通</w:t>
      </w:r>
      <w:r>
        <w:rPr>
          <w:sz w:val="24"/>
          <w:highlight w:val="none"/>
        </w:rPr>
        <w:t>知》；</w:t>
      </w:r>
    </w:p>
    <w:p>
      <w:pPr>
        <w:pStyle w:val="18"/>
        <w:numPr>
          <w:ilvl w:val="0"/>
          <w:numId w:val="4"/>
        </w:numPr>
        <w:tabs>
          <w:tab w:val="left" w:pos="1303"/>
        </w:tabs>
        <w:spacing w:before="0" w:after="0" w:line="307" w:lineRule="exact"/>
        <w:ind w:left="1302" w:right="0" w:hanging="602"/>
        <w:jc w:val="left"/>
        <w:rPr>
          <w:sz w:val="24"/>
          <w:highlight w:val="none"/>
        </w:rPr>
      </w:pPr>
      <w:r>
        <w:rPr>
          <w:sz w:val="24"/>
          <w:highlight w:val="none"/>
        </w:rPr>
        <w:t>《海南省人民政府办公厅关于开展全域土地综合整治试点的意见》（琼府办函</w:t>
      </w:r>
    </w:p>
    <w:p>
      <w:pPr>
        <w:pStyle w:val="2"/>
        <w:spacing w:before="11"/>
        <w:rPr>
          <w:sz w:val="19"/>
          <w:highlight w:val="none"/>
        </w:rPr>
      </w:pPr>
    </w:p>
    <w:p>
      <w:pPr>
        <w:pStyle w:val="2"/>
        <w:ind w:left="281"/>
        <w:rPr>
          <w:highlight w:val="none"/>
        </w:rPr>
      </w:pPr>
      <w:r>
        <w:rPr>
          <w:highlight w:val="none"/>
        </w:rPr>
        <w:t>〔2020〕321号）；</w:t>
      </w:r>
    </w:p>
    <w:p>
      <w:pPr>
        <w:pStyle w:val="2"/>
        <w:spacing w:before="8"/>
        <w:rPr>
          <w:sz w:val="19"/>
          <w:highlight w:val="none"/>
        </w:rPr>
      </w:pPr>
    </w:p>
    <w:p>
      <w:pPr>
        <w:pStyle w:val="18"/>
        <w:numPr>
          <w:ilvl w:val="0"/>
          <w:numId w:val="4"/>
        </w:numPr>
        <w:tabs>
          <w:tab w:val="left" w:pos="1303"/>
        </w:tabs>
        <w:spacing w:before="0" w:after="0" w:line="436" w:lineRule="auto"/>
        <w:ind w:left="281" w:right="416" w:firstLine="420"/>
        <w:jc w:val="left"/>
        <w:rPr>
          <w:sz w:val="24"/>
          <w:highlight w:val="none"/>
        </w:rPr>
      </w:pPr>
      <w:r>
        <w:rPr>
          <w:spacing w:val="-1"/>
          <w:sz w:val="24"/>
          <w:highlight w:val="none"/>
        </w:rPr>
        <w:t>《海南省自然资源和规划厅关于实施补充耕地省级统筹有关问题的通知》</w:t>
      </w:r>
      <w:r>
        <w:rPr>
          <w:sz w:val="24"/>
          <w:highlight w:val="none"/>
        </w:rPr>
        <w:t>（琼自然资函〔2020〕206号）；</w:t>
      </w:r>
    </w:p>
    <w:p>
      <w:pPr>
        <w:pStyle w:val="18"/>
        <w:numPr>
          <w:ilvl w:val="0"/>
          <w:numId w:val="4"/>
        </w:numPr>
        <w:tabs>
          <w:tab w:val="left" w:pos="1303"/>
        </w:tabs>
        <w:spacing w:before="1" w:after="0" w:line="240" w:lineRule="auto"/>
        <w:ind w:left="1302" w:right="0" w:hanging="602"/>
        <w:jc w:val="left"/>
        <w:rPr>
          <w:sz w:val="24"/>
          <w:highlight w:val="none"/>
        </w:rPr>
      </w:pPr>
      <w:r>
        <w:rPr>
          <w:sz w:val="24"/>
          <w:highlight w:val="none"/>
        </w:rPr>
        <w:t>《海南省自然资源和规划厅关于进一步加强和规范耕地占补平衡工作的通知》</w:t>
      </w:r>
    </w:p>
    <w:p>
      <w:pPr>
        <w:pStyle w:val="2"/>
        <w:spacing w:before="9"/>
        <w:rPr>
          <w:sz w:val="19"/>
          <w:highlight w:val="none"/>
        </w:rPr>
      </w:pPr>
    </w:p>
    <w:p>
      <w:pPr>
        <w:pStyle w:val="2"/>
        <w:ind w:left="281"/>
        <w:rPr>
          <w:highlight w:val="none"/>
        </w:rPr>
      </w:pPr>
      <w:r>
        <w:rPr>
          <w:highlight w:val="none"/>
        </w:rPr>
        <w:t>（琼自然资规〔2021〕8号）；</w:t>
      </w:r>
    </w:p>
    <w:p>
      <w:pPr>
        <w:pStyle w:val="2"/>
        <w:spacing w:before="8"/>
        <w:rPr>
          <w:sz w:val="19"/>
          <w:highlight w:val="none"/>
        </w:rPr>
      </w:pPr>
    </w:p>
    <w:p>
      <w:pPr>
        <w:pStyle w:val="18"/>
        <w:numPr>
          <w:ilvl w:val="0"/>
          <w:numId w:val="4"/>
        </w:numPr>
        <w:tabs>
          <w:tab w:val="left" w:pos="1423"/>
        </w:tabs>
        <w:spacing w:before="1" w:after="0" w:line="240" w:lineRule="auto"/>
        <w:ind w:left="1422" w:right="0" w:hanging="722"/>
        <w:jc w:val="left"/>
        <w:rPr>
          <w:sz w:val="24"/>
          <w:highlight w:val="none"/>
        </w:rPr>
      </w:pPr>
      <w:r>
        <w:rPr>
          <w:sz w:val="24"/>
          <w:highlight w:val="none"/>
        </w:rPr>
        <w:t>《海南省新增耕地调查认定技术规范（试行2023年修订版）》（琼自然资函</w:t>
      </w:r>
    </w:p>
    <w:p>
      <w:pPr>
        <w:pStyle w:val="2"/>
        <w:spacing w:before="10"/>
        <w:rPr>
          <w:sz w:val="19"/>
          <w:highlight w:val="none"/>
        </w:rPr>
      </w:pPr>
    </w:p>
    <w:p>
      <w:pPr>
        <w:pStyle w:val="2"/>
        <w:ind w:left="281"/>
        <w:rPr>
          <w:highlight w:val="none"/>
        </w:rPr>
      </w:pPr>
      <w:r>
        <w:rPr>
          <w:highlight w:val="none"/>
        </w:rPr>
        <w:t>〔2023〕1203号）；</w:t>
      </w:r>
    </w:p>
    <w:p>
      <w:pPr>
        <w:pStyle w:val="2"/>
        <w:spacing w:before="8"/>
        <w:rPr>
          <w:sz w:val="19"/>
          <w:highlight w:val="none"/>
        </w:rPr>
      </w:pPr>
    </w:p>
    <w:p>
      <w:pPr>
        <w:pStyle w:val="2"/>
        <w:spacing w:before="2"/>
        <w:ind w:left="701"/>
        <w:rPr>
          <w:b/>
          <w:bCs/>
          <w:sz w:val="24"/>
          <w:szCs w:val="24"/>
          <w:highlight w:val="none"/>
        </w:rPr>
      </w:pPr>
      <w:r>
        <w:rPr>
          <w:b/>
          <w:bCs/>
          <w:sz w:val="24"/>
          <w:szCs w:val="24"/>
          <w:highlight w:val="none"/>
        </w:rPr>
        <w:t>第二条 项目名称</w:t>
      </w:r>
    </w:p>
    <w:p>
      <w:pPr>
        <w:pStyle w:val="2"/>
        <w:spacing w:line="436" w:lineRule="auto"/>
        <w:ind w:right="476"/>
        <w:jc w:val="both"/>
        <w:rPr>
          <w:rFonts w:hint="eastAsia" w:ascii="宋体" w:hAnsi="宋体" w:eastAsia="宋体" w:cs="宋体"/>
          <w:snapToGrid w:val="0"/>
          <w:color w:val="auto"/>
          <w:sz w:val="24"/>
          <w:szCs w:val="24"/>
          <w:highlight w:val="none"/>
          <w:lang w:val="zh-TW" w:eastAsia="zh-TW" w:bidi="ar-SA"/>
        </w:rPr>
      </w:pPr>
    </w:p>
    <w:p>
      <w:pPr>
        <w:pStyle w:val="2"/>
        <w:spacing w:line="436" w:lineRule="auto"/>
        <w:ind w:right="476" w:firstLine="240" w:firstLineChars="1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en-US" w:eastAsia="zh-CN" w:bidi="ar-SA"/>
        </w:rPr>
        <w:t>儋州</w:t>
      </w:r>
      <w:r>
        <w:rPr>
          <w:rFonts w:hint="eastAsia" w:ascii="宋体" w:hAnsi="宋体" w:eastAsia="宋体" w:cs="宋体"/>
          <w:snapToGrid w:val="0"/>
          <w:color w:val="auto"/>
          <w:sz w:val="24"/>
          <w:szCs w:val="24"/>
          <w:highlight w:val="none"/>
          <w:lang w:val="zh-TW" w:eastAsia="zh-TW" w:bidi="ar-SA"/>
        </w:rPr>
        <w:t>市</w:t>
      </w:r>
      <w:r>
        <w:rPr>
          <w:rFonts w:hint="eastAsia" w:ascii="宋体" w:hAnsi="宋体" w:eastAsia="宋体" w:cs="宋体"/>
          <w:snapToGrid w:val="0"/>
          <w:color w:val="auto"/>
          <w:sz w:val="24"/>
          <w:szCs w:val="24"/>
          <w:highlight w:val="none"/>
          <w:lang w:val="en-US" w:eastAsia="zh-CN" w:bidi="ar-SA"/>
        </w:rPr>
        <w:t>和庆</w:t>
      </w:r>
      <w:r>
        <w:rPr>
          <w:rFonts w:hint="eastAsia" w:ascii="宋体" w:hAnsi="宋体" w:eastAsia="宋体" w:cs="宋体"/>
          <w:snapToGrid w:val="0"/>
          <w:color w:val="auto"/>
          <w:sz w:val="24"/>
          <w:szCs w:val="24"/>
          <w:highlight w:val="none"/>
          <w:lang w:val="zh-TW" w:eastAsia="zh-TW" w:bidi="ar-SA"/>
        </w:rPr>
        <w:t>镇全域土地综合整治（省级）试点项目。</w:t>
      </w:r>
    </w:p>
    <w:p>
      <w:pPr>
        <w:pStyle w:val="2"/>
        <w:spacing w:before="2"/>
        <w:ind w:left="701"/>
        <w:rPr>
          <w:rFonts w:ascii="Arial" w:hAnsi="Arial" w:eastAsia="Arial" w:cs="Arial"/>
          <w:b/>
          <w:bCs/>
          <w:snapToGrid w:val="0"/>
          <w:color w:val="000000"/>
          <w:sz w:val="24"/>
          <w:szCs w:val="24"/>
          <w:highlight w:val="none"/>
          <w:lang w:val="en-US" w:eastAsia="en-US" w:bidi="ar-SA"/>
        </w:rPr>
      </w:pPr>
      <w:r>
        <w:rPr>
          <w:rFonts w:ascii="Arial" w:hAnsi="Arial" w:eastAsia="Arial" w:cs="Arial"/>
          <w:b/>
          <w:bCs/>
          <w:snapToGrid w:val="0"/>
          <w:color w:val="000000"/>
          <w:sz w:val="24"/>
          <w:szCs w:val="24"/>
          <w:highlight w:val="none"/>
          <w:lang w:val="en-US" w:eastAsia="en-US" w:bidi="ar-SA"/>
        </w:rPr>
        <w:t>第三条 建设范围</w:t>
      </w:r>
    </w:p>
    <w:p>
      <w:pPr>
        <w:pStyle w:val="2"/>
        <w:spacing w:before="2" w:line="436" w:lineRule="auto"/>
        <w:ind w:left="281" w:right="356" w:firstLine="420"/>
        <w:rPr>
          <w:highlight w:val="none"/>
        </w:rPr>
      </w:pPr>
      <w:r>
        <w:rPr>
          <w:rFonts w:hint="eastAsia" w:ascii="宋体" w:hAnsi="宋体" w:eastAsia="宋体" w:cs="宋体"/>
          <w:color w:val="auto"/>
          <w:sz w:val="24"/>
          <w:szCs w:val="24"/>
          <w:highlight w:val="none"/>
          <w:lang w:val="en-US" w:eastAsia="zh-CN"/>
        </w:rPr>
        <w:t>儋</w:t>
      </w:r>
      <w:r>
        <w:rPr>
          <w:rFonts w:hint="eastAsia" w:ascii="宋体" w:hAnsi="宋体" w:eastAsia="宋体" w:cs="宋体"/>
          <w:snapToGrid w:val="0"/>
          <w:color w:val="auto"/>
          <w:sz w:val="24"/>
          <w:szCs w:val="24"/>
          <w:highlight w:val="none"/>
          <w:lang w:val="en-US" w:eastAsia="zh-CN" w:bidi="ar-SA"/>
        </w:rPr>
        <w:t>州市和庆镇</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en-US" w:eastAsia="zh-CN" w:bidi="ar-SA"/>
        </w:rPr>
        <w:t>包含和庆居委会、</w:t>
      </w:r>
      <w:r>
        <w:rPr>
          <w:rFonts w:hint="eastAsia" w:ascii="宋体" w:hAnsi="宋体" w:eastAsia="宋体" w:cs="宋体"/>
          <w:snapToGrid w:val="0"/>
          <w:color w:val="auto"/>
          <w:sz w:val="24"/>
          <w:szCs w:val="24"/>
          <w:highlight w:val="none"/>
          <w:lang w:val="zh-TW" w:eastAsia="zh-TW" w:bidi="ar-SA"/>
        </w:rPr>
        <w:t>美灵村委会、罗便村委会、美万村委会、木排村委会、和祥村委会、美敖村委会、文卷村委会、拱教村委会、美万新</w:t>
      </w:r>
      <w:r>
        <w:rPr>
          <w:rFonts w:hint="eastAsia" w:ascii="宋体" w:hAnsi="宋体" w:eastAsia="宋体" w:cs="宋体"/>
          <w:snapToGrid w:val="0"/>
          <w:color w:val="auto"/>
          <w:sz w:val="24"/>
          <w:szCs w:val="24"/>
          <w:highlight w:val="none"/>
          <w:lang w:val="en-US" w:eastAsia="zh-CN" w:bidi="ar-SA"/>
        </w:rPr>
        <w:t>村</w:t>
      </w:r>
      <w:r>
        <w:rPr>
          <w:rFonts w:hint="eastAsia" w:ascii="宋体" w:hAnsi="宋体" w:eastAsia="宋体" w:cs="宋体"/>
          <w:snapToGrid w:val="0"/>
          <w:color w:val="auto"/>
          <w:sz w:val="24"/>
          <w:szCs w:val="24"/>
          <w:highlight w:val="none"/>
          <w:lang w:val="zh-TW" w:eastAsia="zh-TW" w:bidi="ar-SA"/>
        </w:rPr>
        <w:t>村委会、新村村委会</w:t>
      </w:r>
      <w:r>
        <w:rPr>
          <w:rFonts w:hint="eastAsia" w:ascii="宋体" w:hAnsi="宋体" w:eastAsia="宋体" w:cs="宋体"/>
          <w:snapToGrid w:val="0"/>
          <w:color w:val="auto"/>
          <w:sz w:val="24"/>
          <w:szCs w:val="24"/>
          <w:highlight w:val="none"/>
          <w:lang w:val="zh-TW" w:eastAsia="zh-CN" w:bidi="ar-SA"/>
        </w:rPr>
        <w:t>等</w:t>
      </w:r>
      <w:r>
        <w:rPr>
          <w:rFonts w:hint="eastAsia" w:ascii="宋体" w:hAnsi="宋体" w:eastAsia="宋体" w:cs="宋体"/>
          <w:snapToGrid w:val="0"/>
          <w:color w:val="auto"/>
          <w:sz w:val="24"/>
          <w:szCs w:val="24"/>
          <w:highlight w:val="none"/>
          <w:lang w:val="en-US" w:eastAsia="zh-CN" w:bidi="ar-SA"/>
        </w:rPr>
        <w:t>11个行政村（社区）及3个镇办农场，</w:t>
      </w:r>
      <w:r>
        <w:rPr>
          <w:rFonts w:hint="eastAsia" w:ascii="宋体" w:hAnsi="宋体" w:eastAsia="宋体" w:cs="宋体"/>
          <w:snapToGrid w:val="0"/>
          <w:color w:val="auto"/>
          <w:sz w:val="24"/>
          <w:szCs w:val="24"/>
          <w:highlight w:val="none"/>
          <w:lang w:val="zh-TW" w:eastAsia="zh-TW" w:bidi="ar-SA"/>
        </w:rPr>
        <w:t>总面积 16552.8848公顷（248293.272 亩），具体建设规模及范围以批复的《</w:t>
      </w:r>
      <w:r>
        <w:rPr>
          <w:rFonts w:hint="eastAsia" w:ascii="宋体" w:hAnsi="宋体" w:eastAsia="宋体" w:cs="宋体"/>
          <w:snapToGrid w:val="0"/>
          <w:color w:val="auto"/>
          <w:sz w:val="24"/>
          <w:szCs w:val="24"/>
          <w:highlight w:val="none"/>
          <w:lang w:val="en-US" w:eastAsia="zh-CN" w:bidi="ar-SA"/>
        </w:rPr>
        <w:t>儋州</w:t>
      </w:r>
      <w:r>
        <w:rPr>
          <w:rFonts w:hint="eastAsia" w:ascii="宋体" w:hAnsi="宋体" w:eastAsia="宋体" w:cs="宋体"/>
          <w:snapToGrid w:val="0"/>
          <w:color w:val="auto"/>
          <w:sz w:val="24"/>
          <w:szCs w:val="24"/>
          <w:highlight w:val="none"/>
          <w:lang w:val="zh-TW" w:eastAsia="zh-TW" w:bidi="ar-SA"/>
        </w:rPr>
        <w:t>市</w:t>
      </w:r>
      <w:r>
        <w:rPr>
          <w:rFonts w:hint="eastAsia" w:ascii="宋体" w:hAnsi="宋体" w:eastAsia="宋体" w:cs="宋体"/>
          <w:snapToGrid w:val="0"/>
          <w:color w:val="auto"/>
          <w:sz w:val="24"/>
          <w:szCs w:val="24"/>
          <w:highlight w:val="none"/>
          <w:lang w:val="en-US" w:eastAsia="zh-CN" w:bidi="ar-SA"/>
        </w:rPr>
        <w:t>和庆</w:t>
      </w:r>
      <w:r>
        <w:rPr>
          <w:rFonts w:hint="eastAsia" w:ascii="宋体" w:hAnsi="宋体" w:eastAsia="宋体" w:cs="宋体"/>
          <w:snapToGrid w:val="0"/>
          <w:color w:val="auto"/>
          <w:sz w:val="24"/>
          <w:szCs w:val="24"/>
          <w:highlight w:val="none"/>
          <w:lang w:val="zh-TW" w:eastAsia="zh-TW" w:bidi="ar-SA"/>
        </w:rPr>
        <w:t>镇全域土地综合整治（省级）试点项目实施方案》为准。</w:t>
      </w:r>
    </w:p>
    <w:p>
      <w:pPr>
        <w:pStyle w:val="2"/>
        <w:spacing w:before="2"/>
        <w:ind w:left="701"/>
        <w:rPr>
          <w:rFonts w:ascii="Arial" w:hAnsi="Arial" w:eastAsia="Arial" w:cs="Arial"/>
          <w:b/>
          <w:bCs/>
          <w:snapToGrid w:val="0"/>
          <w:color w:val="000000"/>
          <w:sz w:val="24"/>
          <w:szCs w:val="24"/>
          <w:highlight w:val="none"/>
          <w:lang w:val="en-US" w:eastAsia="en-US" w:bidi="ar-SA"/>
        </w:rPr>
      </w:pPr>
      <w:r>
        <w:rPr>
          <w:rFonts w:ascii="Arial" w:hAnsi="Arial" w:eastAsia="Arial" w:cs="Arial"/>
          <w:b/>
          <w:bCs/>
          <w:snapToGrid w:val="0"/>
          <w:color w:val="000000"/>
          <w:sz w:val="24"/>
          <w:szCs w:val="24"/>
          <w:highlight w:val="none"/>
          <w:lang w:val="en-US" w:eastAsia="en-US" w:bidi="ar-SA"/>
        </w:rPr>
        <w:t>第四条 建设内容</w:t>
      </w:r>
    </w:p>
    <w:p>
      <w:pPr>
        <w:pStyle w:val="2"/>
        <w:spacing w:before="8"/>
        <w:rPr>
          <w:sz w:val="19"/>
          <w:highlight w:val="none"/>
        </w:rPr>
      </w:pP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实施内容包括试点</w:t>
      </w:r>
      <w:r>
        <w:rPr>
          <w:rFonts w:hint="eastAsia" w:ascii="宋体" w:hAnsi="宋体" w:eastAsia="宋体" w:cs="宋体"/>
          <w:snapToGrid w:val="0"/>
          <w:color w:val="auto"/>
          <w:sz w:val="24"/>
          <w:szCs w:val="24"/>
          <w:highlight w:val="none"/>
          <w:lang w:val="en-US" w:eastAsia="zh-CN" w:bidi="ar-SA"/>
        </w:rPr>
        <w:t>区域内所有子</w:t>
      </w:r>
      <w:r>
        <w:rPr>
          <w:rFonts w:hint="eastAsia" w:ascii="宋体" w:hAnsi="宋体" w:eastAsia="宋体" w:cs="宋体"/>
          <w:snapToGrid w:val="0"/>
          <w:color w:val="auto"/>
          <w:sz w:val="24"/>
          <w:szCs w:val="24"/>
          <w:highlight w:val="none"/>
          <w:lang w:val="zh-TW" w:eastAsia="zh-TW" w:bidi="ar-SA"/>
        </w:rPr>
        <w:t>项目的策划、投融资、招商、规划、设计、建设、运营维护</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en-US" w:eastAsia="zh-CN" w:bidi="ar-SA"/>
        </w:rPr>
        <w:t>实施</w:t>
      </w:r>
      <w:r>
        <w:rPr>
          <w:rFonts w:hint="eastAsia" w:ascii="宋体" w:hAnsi="宋体" w:eastAsia="宋体" w:cs="宋体"/>
          <w:snapToGrid w:val="0"/>
          <w:color w:val="auto"/>
          <w:sz w:val="24"/>
          <w:szCs w:val="24"/>
          <w:highlight w:val="none"/>
          <w:lang w:val="zh-TW" w:eastAsia="zh-TW" w:bidi="ar-SA"/>
        </w:rPr>
        <w:t>等。建设内容含农用地整理、建设用地整理、生态修复、人居环境整治及产业导入项目。（ 农用地整理类项目的具体规模以最终省市验收、部级备案为准，非农用地整理类项目的具体规模以立项为准。）</w:t>
      </w:r>
    </w:p>
    <w:p>
      <w:pPr>
        <w:pStyle w:val="2"/>
        <w:spacing w:before="2"/>
        <w:ind w:left="701"/>
        <w:rPr>
          <w:rFonts w:ascii="Arial" w:hAnsi="Arial" w:eastAsia="Arial" w:cs="Arial"/>
          <w:b/>
          <w:bCs/>
          <w:snapToGrid w:val="0"/>
          <w:color w:val="000000"/>
          <w:sz w:val="24"/>
          <w:szCs w:val="24"/>
          <w:highlight w:val="none"/>
          <w:lang w:val="en-US" w:eastAsia="en-US" w:bidi="ar-SA"/>
        </w:rPr>
      </w:pPr>
      <w:r>
        <w:rPr>
          <w:rFonts w:ascii="Arial" w:hAnsi="Arial" w:eastAsia="Arial" w:cs="Arial"/>
          <w:b/>
          <w:bCs/>
          <w:snapToGrid w:val="0"/>
          <w:color w:val="000000"/>
          <w:sz w:val="24"/>
          <w:szCs w:val="24"/>
          <w:highlight w:val="none"/>
          <w:lang w:val="en-US" w:eastAsia="en-US" w:bidi="ar-SA"/>
        </w:rPr>
        <w:t>第五条 项目投资</w:t>
      </w:r>
    </w:p>
    <w:p>
      <w:pPr>
        <w:pStyle w:val="2"/>
        <w:spacing w:before="10"/>
        <w:rPr>
          <w:sz w:val="19"/>
          <w:highlight w:val="none"/>
        </w:rPr>
      </w:pP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本项目总投资约为</w:t>
      </w:r>
      <w:r>
        <w:rPr>
          <w:rFonts w:hint="eastAsia" w:ascii="宋体" w:hAnsi="宋体" w:eastAsia="宋体" w:cs="宋体"/>
          <w:snapToGrid w:val="0"/>
          <w:color w:val="auto"/>
          <w:sz w:val="24"/>
          <w:szCs w:val="24"/>
          <w:highlight w:val="none"/>
          <w:lang w:val="en-US" w:eastAsia="zh-CN" w:bidi="ar-SA"/>
        </w:rPr>
        <w:t>5.54</w:t>
      </w:r>
      <w:r>
        <w:rPr>
          <w:rFonts w:hint="eastAsia" w:ascii="宋体" w:hAnsi="宋体" w:eastAsia="宋体" w:cs="宋体"/>
          <w:snapToGrid w:val="0"/>
          <w:color w:val="auto"/>
          <w:sz w:val="24"/>
          <w:szCs w:val="24"/>
          <w:highlight w:val="none"/>
          <w:lang w:val="zh-TW" w:eastAsia="zh-TW" w:bidi="ar-SA"/>
        </w:rPr>
        <w:t>亿元，包括农用地整理类项目、建设用地整理类项目、生态修复类项目、人居环境整治类项目、产业导入项目等。</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方应根据本项目农用地整理类项目的建设计划自行筹措项目所需建设资金。原则上，建设用地整理、生态修复和人居环境及产业导入项目通过补充耕地指标收入扣除</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方投资成本后的结余资金进行返投。</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方第一年须保证农用地整理规模不少于</w:t>
      </w:r>
      <w:r>
        <w:rPr>
          <w:rFonts w:hint="eastAsia" w:ascii="宋体" w:hAnsi="宋体" w:eastAsia="宋体" w:cs="宋体"/>
          <w:snapToGrid w:val="0"/>
          <w:color w:val="auto"/>
          <w:sz w:val="24"/>
          <w:szCs w:val="24"/>
          <w:highlight w:val="none"/>
          <w:lang w:val="en-US" w:eastAsia="zh-CN" w:bidi="ar-SA"/>
        </w:rPr>
        <w:t>5</w:t>
      </w:r>
      <w:r>
        <w:rPr>
          <w:rFonts w:hint="eastAsia" w:ascii="宋体" w:hAnsi="宋体" w:eastAsia="宋体" w:cs="宋体"/>
          <w:snapToGrid w:val="0"/>
          <w:color w:val="auto"/>
          <w:sz w:val="24"/>
          <w:szCs w:val="24"/>
          <w:highlight w:val="none"/>
          <w:lang w:val="zh-TW" w:eastAsia="zh-TW" w:bidi="ar-SA"/>
        </w:rPr>
        <w:t>00亩</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zh-TW" w:eastAsia="zh-TW" w:bidi="ar-SA"/>
        </w:rPr>
        <w:t>甲方必须协助</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方按实施方案</w:t>
      </w:r>
      <w:r>
        <w:rPr>
          <w:rFonts w:hint="eastAsia" w:ascii="宋体" w:hAnsi="宋体" w:eastAsia="宋体" w:cs="宋体"/>
          <w:snapToGrid w:val="0"/>
          <w:color w:val="auto"/>
          <w:sz w:val="24"/>
          <w:szCs w:val="24"/>
          <w:highlight w:val="none"/>
          <w:lang w:val="en-US" w:eastAsia="zh-CN" w:bidi="ar-SA"/>
        </w:rPr>
        <w:t>解决</w:t>
      </w:r>
      <w:r>
        <w:rPr>
          <w:rFonts w:hint="eastAsia" w:ascii="宋体" w:hAnsi="宋体" w:eastAsia="宋体" w:cs="宋体"/>
          <w:snapToGrid w:val="0"/>
          <w:color w:val="auto"/>
          <w:sz w:val="24"/>
          <w:szCs w:val="24"/>
          <w:highlight w:val="none"/>
          <w:lang w:val="zh-TW" w:eastAsia="zh-TW" w:bidi="ar-SA"/>
        </w:rPr>
        <w:t>土地权属争议及土地流转</w:t>
      </w:r>
      <w:r>
        <w:rPr>
          <w:rFonts w:hint="eastAsia" w:ascii="宋体" w:hAnsi="宋体" w:eastAsia="宋体" w:cs="宋体"/>
          <w:snapToGrid w:val="0"/>
          <w:color w:val="auto"/>
          <w:sz w:val="24"/>
          <w:szCs w:val="24"/>
          <w:highlight w:val="none"/>
          <w:lang w:val="zh-TW" w:eastAsia="zh-CN" w:bidi="ar-SA"/>
        </w:rPr>
        <w:t>）。</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项目投资以批复的《</w:t>
      </w:r>
      <w:r>
        <w:rPr>
          <w:rFonts w:hint="eastAsia" w:ascii="宋体" w:hAnsi="宋体" w:eastAsia="宋体" w:cs="宋体"/>
          <w:snapToGrid w:val="0"/>
          <w:color w:val="auto"/>
          <w:sz w:val="24"/>
          <w:szCs w:val="24"/>
          <w:highlight w:val="none"/>
          <w:lang w:val="en-US" w:eastAsia="zh-CN" w:bidi="ar-SA"/>
        </w:rPr>
        <w:t>儋州</w:t>
      </w:r>
      <w:r>
        <w:rPr>
          <w:rFonts w:hint="eastAsia" w:ascii="宋体" w:hAnsi="宋体" w:eastAsia="宋体" w:cs="宋体"/>
          <w:snapToGrid w:val="0"/>
          <w:color w:val="auto"/>
          <w:sz w:val="24"/>
          <w:szCs w:val="24"/>
          <w:highlight w:val="none"/>
          <w:lang w:val="zh-TW" w:eastAsia="zh-TW" w:bidi="ar-SA"/>
        </w:rPr>
        <w:t>市</w:t>
      </w:r>
      <w:r>
        <w:rPr>
          <w:rFonts w:hint="eastAsia" w:ascii="宋体" w:hAnsi="宋体" w:eastAsia="宋体" w:cs="宋体"/>
          <w:snapToGrid w:val="0"/>
          <w:color w:val="auto"/>
          <w:sz w:val="24"/>
          <w:szCs w:val="24"/>
          <w:highlight w:val="none"/>
          <w:lang w:val="en-US" w:eastAsia="zh-CN" w:bidi="ar-SA"/>
        </w:rPr>
        <w:t>和庆</w:t>
      </w:r>
      <w:r>
        <w:rPr>
          <w:rFonts w:hint="eastAsia" w:ascii="宋体" w:hAnsi="宋体" w:eastAsia="宋体" w:cs="宋体"/>
          <w:snapToGrid w:val="0"/>
          <w:color w:val="auto"/>
          <w:sz w:val="24"/>
          <w:szCs w:val="24"/>
          <w:highlight w:val="none"/>
          <w:lang w:val="zh-TW" w:eastAsia="zh-TW" w:bidi="ar-SA"/>
        </w:rPr>
        <w:t>镇全域土地综合整治（省级）试点实施方案》中的项目总投资为准</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zh-TW" w:eastAsia="zh-TW" w:bidi="ar-SA"/>
        </w:rPr>
        <w:t>投资计划以各子项目立项为准。</w:t>
      </w:r>
    </w:p>
    <w:p>
      <w:pPr>
        <w:pStyle w:val="18"/>
        <w:numPr>
          <w:ilvl w:val="1"/>
          <w:numId w:val="5"/>
        </w:numPr>
        <w:tabs>
          <w:tab w:val="left" w:pos="1182"/>
        </w:tabs>
        <w:spacing w:before="0" w:after="0" w:line="307" w:lineRule="exact"/>
        <w:ind w:left="1181" w:right="0" w:hanging="481"/>
        <w:jc w:val="left"/>
        <w:rPr>
          <w:sz w:val="24"/>
          <w:highlight w:val="none"/>
        </w:rPr>
      </w:pPr>
      <w:r>
        <w:rPr>
          <w:sz w:val="24"/>
          <w:highlight w:val="none"/>
        </w:rPr>
        <w:t>试点项目产生的指标收益增加或减少，项目投资相应增加或减少。</w:t>
      </w:r>
    </w:p>
    <w:p>
      <w:pPr>
        <w:pStyle w:val="2"/>
        <w:spacing w:before="10"/>
        <w:rPr>
          <w:sz w:val="19"/>
          <w:highlight w:val="none"/>
        </w:rPr>
      </w:pPr>
    </w:p>
    <w:p>
      <w:pPr>
        <w:pStyle w:val="18"/>
        <w:numPr>
          <w:ilvl w:val="1"/>
          <w:numId w:val="5"/>
        </w:numPr>
        <w:tabs>
          <w:tab w:val="left" w:pos="1182"/>
        </w:tabs>
        <w:spacing w:before="1" w:after="0" w:line="436" w:lineRule="auto"/>
        <w:ind w:left="701" w:right="1016" w:firstLine="0"/>
        <w:jc w:val="left"/>
        <w:rPr>
          <w:sz w:val="24"/>
          <w:highlight w:val="none"/>
        </w:rPr>
      </w:pPr>
      <w:r>
        <w:rPr>
          <w:spacing w:val="-1"/>
          <w:sz w:val="24"/>
          <w:highlight w:val="none"/>
        </w:rPr>
        <w:t>政府整合的涉农资金和政府对上争取资金若有增减，项目投资随之增减。</w:t>
      </w:r>
      <w:r>
        <w:rPr>
          <w:sz w:val="24"/>
          <w:highlight w:val="none"/>
        </w:rPr>
        <w:t>第六条 建设工期</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农用地整理类项目的建设工期为36个月，非农用地整理类项目的建设工期根据实际立项情况另行约定。具体建设期以批复的《</w:t>
      </w:r>
      <w:r>
        <w:rPr>
          <w:rFonts w:hint="eastAsia" w:ascii="宋体" w:hAnsi="宋体" w:eastAsia="宋体" w:cs="宋体"/>
          <w:snapToGrid w:val="0"/>
          <w:color w:val="auto"/>
          <w:sz w:val="24"/>
          <w:szCs w:val="24"/>
          <w:highlight w:val="none"/>
          <w:lang w:val="en-US" w:eastAsia="zh-CN" w:bidi="ar-SA"/>
        </w:rPr>
        <w:t>儋州</w:t>
      </w:r>
      <w:r>
        <w:rPr>
          <w:rFonts w:hint="eastAsia" w:ascii="宋体" w:hAnsi="宋体" w:eastAsia="宋体" w:cs="宋体"/>
          <w:snapToGrid w:val="0"/>
          <w:color w:val="auto"/>
          <w:sz w:val="24"/>
          <w:szCs w:val="24"/>
          <w:highlight w:val="none"/>
          <w:lang w:val="zh-TW" w:eastAsia="zh-TW" w:bidi="ar-SA"/>
        </w:rPr>
        <w:t>市</w:t>
      </w:r>
      <w:r>
        <w:rPr>
          <w:rFonts w:hint="eastAsia" w:ascii="宋体" w:hAnsi="宋体" w:eastAsia="宋体" w:cs="宋体"/>
          <w:snapToGrid w:val="0"/>
          <w:color w:val="auto"/>
          <w:sz w:val="24"/>
          <w:szCs w:val="24"/>
          <w:highlight w:val="none"/>
          <w:lang w:val="en-US" w:eastAsia="zh-CN" w:bidi="ar-SA"/>
        </w:rPr>
        <w:t>和庆</w:t>
      </w:r>
      <w:r>
        <w:rPr>
          <w:rFonts w:hint="eastAsia" w:ascii="宋体" w:hAnsi="宋体" w:eastAsia="宋体" w:cs="宋体"/>
          <w:snapToGrid w:val="0"/>
          <w:color w:val="auto"/>
          <w:sz w:val="24"/>
          <w:szCs w:val="24"/>
          <w:highlight w:val="none"/>
          <w:lang w:val="zh-TW" w:eastAsia="zh-TW" w:bidi="ar-SA"/>
        </w:rPr>
        <w:t>镇全域土地综合整治（ 省级）试点实施方案》为准。</w:t>
      </w:r>
    </w:p>
    <w:p>
      <w:pPr>
        <w:pStyle w:val="2"/>
        <w:spacing w:line="436" w:lineRule="auto"/>
        <w:ind w:right="476"/>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从签订本协议并完成第一个子项目立项审批日为项目开工时间，农用地整理项目以指标入库时间为完成时间，生态保护修复、人居环境整治等非农用地整理项目以验收批复时间为完成时间。</w:t>
      </w:r>
    </w:p>
    <w:p>
      <w:pPr>
        <w:pStyle w:val="2"/>
        <w:spacing w:line="436" w:lineRule="auto"/>
        <w:ind w:right="476" w:firstLine="240" w:firstLineChars="1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根据《海南省自然资源和规划厅关于进一步加强和规范耕地占补平衡工作的通知》</w:t>
      </w:r>
    </w:p>
    <w:p>
      <w:pPr>
        <w:pStyle w:val="2"/>
        <w:spacing w:line="436" w:lineRule="auto"/>
        <w:ind w:right="476"/>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（琼自然资规〔2021〕8号）、《海南省新增耕地调查认定技术规范（试行2023年修订版</w:t>
      </w:r>
    </w:p>
    <w:p>
      <w:pPr>
        <w:pStyle w:val="2"/>
        <w:spacing w:line="436" w:lineRule="auto"/>
        <w:ind w:right="476"/>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）》（琼自然资函〔2023〕1203号）等规定及要求，项目管护期不少于3年。本项目新增耕地由</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方或</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方导入的产业公司负责管护。管护到期后，权属人不进行耕种的，在同等条件下，</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方或</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方导入的产业公司优先负责后期的种植。</w:t>
      </w:r>
    </w:p>
    <w:p>
      <w:pPr>
        <w:pStyle w:val="2"/>
        <w:spacing w:before="2"/>
        <w:ind w:left="701"/>
        <w:rPr>
          <w:rFonts w:ascii="Arial" w:hAnsi="Arial" w:eastAsia="Arial" w:cs="Arial"/>
          <w:b/>
          <w:bCs/>
          <w:snapToGrid w:val="0"/>
          <w:color w:val="000000"/>
          <w:sz w:val="24"/>
          <w:szCs w:val="24"/>
          <w:highlight w:val="none"/>
          <w:lang w:val="en-US" w:eastAsia="en-US" w:bidi="ar-SA"/>
        </w:rPr>
      </w:pPr>
      <w:r>
        <w:rPr>
          <w:rFonts w:ascii="Arial" w:hAnsi="Arial" w:eastAsia="Arial" w:cs="Arial"/>
          <w:b/>
          <w:bCs/>
          <w:snapToGrid w:val="0"/>
          <w:color w:val="000000"/>
          <w:sz w:val="24"/>
          <w:szCs w:val="24"/>
          <w:highlight w:val="none"/>
          <w:lang w:val="en-US" w:eastAsia="en-US" w:bidi="ar-SA"/>
        </w:rPr>
        <w:t>第七条 实施原则</w:t>
      </w:r>
    </w:p>
    <w:p>
      <w:pPr>
        <w:pStyle w:val="5"/>
        <w:numPr>
          <w:ilvl w:val="1"/>
          <w:numId w:val="6"/>
        </w:numPr>
        <w:tabs>
          <w:tab w:val="left" w:pos="1184"/>
        </w:tabs>
        <w:spacing w:before="187" w:after="0" w:line="240" w:lineRule="auto"/>
        <w:ind w:left="1184" w:right="0" w:hanging="483"/>
        <w:jc w:val="left"/>
        <w:rPr>
          <w:rFonts w:ascii="Arial" w:hAnsi="Arial" w:eastAsia="Arial" w:cs="Arial"/>
          <w:b/>
          <w:bCs/>
          <w:snapToGrid w:val="0"/>
          <w:color w:val="000000"/>
          <w:sz w:val="24"/>
          <w:szCs w:val="24"/>
          <w:highlight w:val="none"/>
          <w:lang w:val="en-US" w:eastAsia="en-US" w:bidi="ar-SA"/>
        </w:rPr>
      </w:pPr>
      <w:r>
        <w:rPr>
          <w:rFonts w:ascii="Arial" w:hAnsi="Arial" w:eastAsia="Arial" w:cs="Arial"/>
          <w:b/>
          <w:bCs/>
          <w:snapToGrid w:val="0"/>
          <w:color w:val="000000"/>
          <w:sz w:val="24"/>
          <w:szCs w:val="24"/>
          <w:highlight w:val="none"/>
          <w:lang w:val="en-US" w:eastAsia="en-US" w:bidi="ar-SA"/>
        </w:rPr>
        <w:t>规划先行原则</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以科学合理规划为前提，整体推进农用地整理、建设用地整理和乡村生态保护修复，优化生产、生活、生态空间格局，促进耕地保护和土地集约节约利用，改善农村人居环境，助推乡村全面振兴。</w:t>
      </w:r>
    </w:p>
    <w:p>
      <w:pPr>
        <w:pStyle w:val="5"/>
        <w:numPr>
          <w:ilvl w:val="1"/>
          <w:numId w:val="6"/>
        </w:numPr>
        <w:tabs>
          <w:tab w:val="left" w:pos="1184"/>
        </w:tabs>
        <w:spacing w:before="0" w:after="0" w:line="364" w:lineRule="exact"/>
        <w:ind w:left="1184" w:right="0" w:hanging="483"/>
        <w:jc w:val="left"/>
        <w:rPr>
          <w:rFonts w:ascii="Arial" w:hAnsi="Arial" w:eastAsia="Arial" w:cs="Arial"/>
          <w:b/>
          <w:bCs/>
          <w:snapToGrid w:val="0"/>
          <w:color w:val="000000"/>
          <w:sz w:val="24"/>
          <w:szCs w:val="24"/>
          <w:highlight w:val="none"/>
          <w:lang w:val="en-US" w:eastAsia="en-US" w:bidi="ar-SA"/>
        </w:rPr>
      </w:pPr>
      <w:r>
        <w:rPr>
          <w:rFonts w:ascii="Arial" w:hAnsi="Arial" w:eastAsia="Arial" w:cs="Arial"/>
          <w:b/>
          <w:bCs/>
          <w:snapToGrid w:val="0"/>
          <w:color w:val="000000"/>
          <w:sz w:val="24"/>
          <w:szCs w:val="24"/>
          <w:highlight w:val="none"/>
          <w:lang w:val="en-US" w:eastAsia="en-US" w:bidi="ar-SA"/>
        </w:rPr>
        <w:t>底线约束原则</w:t>
      </w:r>
    </w:p>
    <w:p>
      <w:pPr>
        <w:pStyle w:val="2"/>
        <w:spacing w:before="197" w:line="436" w:lineRule="auto"/>
        <w:ind w:left="281" w:right="356" w:firstLine="420"/>
        <w:rPr>
          <w:rFonts w:ascii="宋体" w:hAnsi="宋体" w:eastAsia="宋体" w:cs="宋体"/>
          <w:highlight w:val="none"/>
        </w:rPr>
      </w:pPr>
      <w:r>
        <w:rPr>
          <w:rFonts w:hint="eastAsia" w:ascii="宋体" w:hAnsi="宋体" w:eastAsia="宋体" w:cs="宋体"/>
          <w:snapToGrid w:val="0"/>
          <w:color w:val="auto"/>
          <w:sz w:val="24"/>
          <w:szCs w:val="24"/>
          <w:highlight w:val="none"/>
          <w:lang w:val="zh-TW" w:eastAsia="zh-TW" w:bidi="ar-SA"/>
        </w:rPr>
        <w:t>坚持整治区域内耕地面积有增加、质量有提升、建设用地总量不增加、生态保护红线不突破。禁止违背农民意愿搞大拆大建，禁止破坏生态环境挖山填湖、占用耕地搞人造景观、破坏乡村风貌和历史文脉等，发现问题要及时纠正。</w:t>
      </w:r>
    </w:p>
    <w:p>
      <w:pPr>
        <w:pStyle w:val="5"/>
        <w:numPr>
          <w:ilvl w:val="1"/>
          <w:numId w:val="6"/>
        </w:numPr>
        <w:tabs>
          <w:tab w:val="left" w:pos="1184"/>
        </w:tabs>
        <w:spacing w:before="0" w:after="0" w:line="363" w:lineRule="exact"/>
        <w:ind w:left="1184" w:right="0" w:hanging="483"/>
        <w:jc w:val="left"/>
        <w:rPr>
          <w:highlight w:val="none"/>
        </w:rPr>
      </w:pPr>
      <w:r>
        <w:rPr>
          <w:highlight w:val="none"/>
        </w:rPr>
        <w:t>资金共管原则</w:t>
      </w:r>
    </w:p>
    <w:p>
      <w:pPr>
        <w:pStyle w:val="18"/>
        <w:keepNext w:val="0"/>
        <w:keepLines w:val="0"/>
        <w:pageBreakBefore w:val="0"/>
        <w:widowControl w:val="0"/>
        <w:numPr>
          <w:ilvl w:val="0"/>
          <w:numId w:val="0"/>
        </w:numPr>
        <w:tabs>
          <w:tab w:val="left" w:pos="1873"/>
        </w:tabs>
        <w:kinsoku/>
        <w:wordWrap/>
        <w:overflowPunct/>
        <w:topLinePunct w:val="0"/>
        <w:autoSpaceDE w:val="0"/>
        <w:autoSpaceDN w:val="0"/>
        <w:bidi w:val="0"/>
        <w:adjustRightInd/>
        <w:snapToGrid/>
        <w:spacing w:before="0" w:beforeLines="100" w:after="0" w:line="365" w:lineRule="auto"/>
        <w:ind w:left="283" w:leftChars="0" w:right="357" w:rightChars="0" w:firstLine="476" w:firstLineChars="200"/>
        <w:jc w:val="left"/>
        <w:textAlignment w:val="auto"/>
        <w:rPr>
          <w:sz w:val="24"/>
          <w:szCs w:val="24"/>
          <w:highlight w:val="none"/>
        </w:rPr>
      </w:pPr>
      <w:r>
        <w:rPr>
          <w:spacing w:val="-1"/>
          <w:sz w:val="24"/>
          <w:szCs w:val="24"/>
          <w:highlight w:val="none"/>
        </w:rPr>
        <w:t>试点项目新增耕地指标等所得收入由</w:t>
      </w:r>
      <w:r>
        <w:rPr>
          <w:rFonts w:hint="eastAsia"/>
          <w:spacing w:val="-1"/>
          <w:sz w:val="24"/>
          <w:szCs w:val="24"/>
          <w:highlight w:val="none"/>
          <w:lang w:val="en-US" w:eastAsia="zh-CN"/>
        </w:rPr>
        <w:t>甲</w:t>
      </w:r>
      <w:r>
        <w:rPr>
          <w:spacing w:val="-1"/>
          <w:sz w:val="24"/>
          <w:szCs w:val="24"/>
          <w:highlight w:val="none"/>
        </w:rPr>
        <w:t>方、</w:t>
      </w:r>
      <w:r>
        <w:rPr>
          <w:rFonts w:hint="eastAsia"/>
          <w:spacing w:val="-1"/>
          <w:sz w:val="24"/>
          <w:szCs w:val="24"/>
          <w:highlight w:val="none"/>
          <w:lang w:val="en-US" w:eastAsia="zh-CN"/>
        </w:rPr>
        <w:t>乙</w:t>
      </w:r>
      <w:r>
        <w:rPr>
          <w:spacing w:val="-1"/>
          <w:sz w:val="24"/>
          <w:szCs w:val="24"/>
          <w:highlight w:val="none"/>
        </w:rPr>
        <w:t>方在</w:t>
      </w:r>
      <w:r>
        <w:rPr>
          <w:rFonts w:hint="eastAsia"/>
          <w:spacing w:val="-1"/>
          <w:sz w:val="24"/>
          <w:szCs w:val="24"/>
          <w:highlight w:val="none"/>
          <w:lang w:val="en-US" w:eastAsia="zh-CN"/>
        </w:rPr>
        <w:t>儋州市和庆镇</w:t>
      </w:r>
      <w:r>
        <w:rPr>
          <w:spacing w:val="-1"/>
          <w:sz w:val="24"/>
          <w:szCs w:val="24"/>
          <w:highlight w:val="none"/>
        </w:rPr>
        <w:t>开设共管账户进行管理，</w:t>
      </w:r>
      <w:r>
        <w:rPr>
          <w:spacing w:val="-117"/>
          <w:sz w:val="24"/>
          <w:szCs w:val="24"/>
          <w:highlight w:val="none"/>
        </w:rPr>
        <w:t xml:space="preserve"> </w:t>
      </w:r>
      <w:r>
        <w:rPr>
          <w:sz w:val="24"/>
          <w:szCs w:val="24"/>
          <w:highlight w:val="none"/>
        </w:rPr>
        <w:t>共管账户</w:t>
      </w:r>
      <w:r>
        <w:rPr>
          <w:rFonts w:hint="eastAsia"/>
          <w:sz w:val="24"/>
          <w:szCs w:val="24"/>
          <w:highlight w:val="none"/>
          <w:lang w:val="en-US" w:eastAsia="zh-CN"/>
        </w:rPr>
        <w:t>资金</w:t>
      </w:r>
      <w:r>
        <w:rPr>
          <w:sz w:val="24"/>
          <w:szCs w:val="24"/>
          <w:highlight w:val="none"/>
        </w:rPr>
        <w:t>收入扣除</w:t>
      </w:r>
      <w:r>
        <w:rPr>
          <w:rFonts w:hint="eastAsia"/>
          <w:sz w:val="24"/>
          <w:szCs w:val="24"/>
          <w:highlight w:val="none"/>
          <w:lang w:val="en-US" w:eastAsia="zh-CN"/>
        </w:rPr>
        <w:t>乙方投资</w:t>
      </w:r>
      <w:r>
        <w:rPr>
          <w:sz w:val="24"/>
          <w:szCs w:val="24"/>
          <w:highlight w:val="none"/>
        </w:rPr>
        <w:t>成本后</w:t>
      </w:r>
      <w:r>
        <w:rPr>
          <w:rFonts w:hint="eastAsia"/>
          <w:sz w:val="24"/>
          <w:szCs w:val="24"/>
          <w:highlight w:val="none"/>
          <w:lang w:val="en-US" w:eastAsia="zh-CN"/>
        </w:rPr>
        <w:t>剩余</w:t>
      </w:r>
      <w:r>
        <w:rPr>
          <w:sz w:val="24"/>
          <w:szCs w:val="24"/>
          <w:highlight w:val="none"/>
        </w:rPr>
        <w:t>所有资金专款用于本项目投资、建设。</w:t>
      </w:r>
    </w:p>
    <w:p>
      <w:pPr>
        <w:pStyle w:val="5"/>
        <w:numPr>
          <w:ilvl w:val="1"/>
          <w:numId w:val="6"/>
        </w:numPr>
        <w:tabs>
          <w:tab w:val="left" w:pos="1184"/>
        </w:tabs>
        <w:spacing w:before="0" w:after="0" w:line="357" w:lineRule="exact"/>
        <w:ind w:left="1184" w:right="0" w:hanging="483"/>
        <w:jc w:val="left"/>
        <w:rPr>
          <w:highlight w:val="none"/>
        </w:rPr>
      </w:pPr>
      <w:r>
        <w:rPr>
          <w:rFonts w:hint="eastAsia"/>
          <w:highlight w:val="none"/>
          <w:lang w:val="en-US" w:eastAsia="zh-CN"/>
        </w:rPr>
        <w:t>利益共享</w:t>
      </w:r>
      <w:r>
        <w:rPr>
          <w:highlight w:val="none"/>
        </w:rPr>
        <w:t>原则</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甲方负责监督及协调本项目的具体实施</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方的投资收益为来源于通过自然资源部复核备案确认的全部补充耕地指标交易及增减挂钩节余指标调剂使用所得</w:t>
      </w:r>
      <w:r>
        <w:rPr>
          <w:rFonts w:hint="eastAsia" w:ascii="宋体" w:hAnsi="宋体" w:eastAsia="宋体" w:cs="宋体"/>
          <w:snapToGrid w:val="0"/>
          <w:color w:val="auto"/>
          <w:sz w:val="24"/>
          <w:szCs w:val="24"/>
          <w:highlight w:val="none"/>
          <w:lang w:val="en-US" w:eastAsia="zh-CN" w:bidi="ar-SA"/>
        </w:rPr>
        <w:t>。</w:t>
      </w:r>
      <w:r>
        <w:rPr>
          <w:rFonts w:hint="eastAsia" w:ascii="宋体" w:hAnsi="宋体" w:eastAsia="宋体" w:cs="宋体"/>
          <w:snapToGrid w:val="0"/>
          <w:color w:val="auto"/>
          <w:sz w:val="24"/>
          <w:szCs w:val="24"/>
          <w:highlight w:val="none"/>
          <w:lang w:val="zh-TW" w:eastAsia="zh-CN" w:bidi="ar-SA"/>
        </w:rPr>
        <w:t>扣除</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方投资成本后的结余资金，</w:t>
      </w:r>
      <w:r>
        <w:rPr>
          <w:rFonts w:hint="eastAsia" w:ascii="宋体" w:hAnsi="宋体" w:eastAsia="宋体" w:cs="宋体"/>
          <w:snapToGrid w:val="0"/>
          <w:color w:val="auto"/>
          <w:sz w:val="24"/>
          <w:szCs w:val="24"/>
          <w:highlight w:val="none"/>
          <w:lang w:val="en-US" w:eastAsia="zh-CN" w:bidi="ar-SA"/>
        </w:rPr>
        <w:t>全部返投到试点区域的建设用地整理、生态修复、人居环境治理及产业导入项目</w:t>
      </w:r>
      <w:r>
        <w:rPr>
          <w:rFonts w:hint="eastAsia" w:ascii="宋体" w:hAnsi="宋体" w:eastAsia="宋体" w:cs="宋体"/>
          <w:snapToGrid w:val="0"/>
          <w:color w:val="auto"/>
          <w:sz w:val="24"/>
          <w:szCs w:val="24"/>
          <w:highlight w:val="none"/>
          <w:lang w:val="zh-TW" w:eastAsia="zh-TW" w:bidi="ar-SA"/>
        </w:rPr>
        <w:t>。</w:t>
      </w:r>
      <w:r>
        <w:rPr>
          <w:rFonts w:hint="eastAsia" w:ascii="宋体" w:hAnsi="宋体" w:eastAsia="宋体" w:cs="宋体"/>
          <w:snapToGrid w:val="0"/>
          <w:color w:val="auto"/>
          <w:sz w:val="24"/>
          <w:szCs w:val="24"/>
          <w:highlight w:val="none"/>
          <w:lang w:val="zh-TW" w:eastAsia="zh-CN" w:bidi="ar-SA"/>
        </w:rPr>
        <w:t>其中，</w:t>
      </w:r>
      <w:r>
        <w:rPr>
          <w:rFonts w:hint="eastAsia" w:ascii="宋体" w:hAnsi="宋体" w:eastAsia="宋体" w:cs="宋体"/>
          <w:snapToGrid w:val="0"/>
          <w:color w:val="auto"/>
          <w:sz w:val="24"/>
          <w:szCs w:val="24"/>
          <w:highlight w:val="none"/>
          <w:lang w:val="en-US" w:eastAsia="zh-CN" w:bidi="ar-SA"/>
        </w:rPr>
        <w:t>乙方应保证不低于40%的指标交易结余用于试点区域的农用地整理、建设用地整理、生态保护修复、人居环境整治（其中10%专项支持镇政府用于项目区域的基础设施建设），60%用于社会资本产业导入项目投资。</w:t>
      </w:r>
    </w:p>
    <w:p>
      <w:pPr>
        <w:pStyle w:val="5"/>
        <w:numPr>
          <w:ilvl w:val="1"/>
          <w:numId w:val="6"/>
        </w:numPr>
        <w:tabs>
          <w:tab w:val="left" w:pos="1184"/>
        </w:tabs>
        <w:spacing w:before="0" w:after="0" w:line="364" w:lineRule="exact"/>
        <w:ind w:left="1184" w:right="0" w:hanging="483"/>
        <w:jc w:val="left"/>
        <w:rPr>
          <w:highlight w:val="none"/>
        </w:rPr>
      </w:pPr>
      <w:r>
        <w:rPr>
          <w:highlight w:val="none"/>
        </w:rPr>
        <w:t>优先交易原则</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对于试点项目产出的指标，全部由</w:t>
      </w:r>
      <w:r>
        <w:rPr>
          <w:rFonts w:hint="eastAsia" w:ascii="宋体" w:hAnsi="宋体" w:eastAsia="宋体" w:cs="宋体"/>
          <w:snapToGrid w:val="0"/>
          <w:color w:val="auto"/>
          <w:sz w:val="24"/>
          <w:szCs w:val="24"/>
          <w:highlight w:val="none"/>
          <w:lang w:val="en-US" w:eastAsia="zh-CN" w:bidi="ar-SA"/>
        </w:rPr>
        <w:t>市</w:t>
      </w:r>
      <w:r>
        <w:rPr>
          <w:rFonts w:hint="eastAsia" w:ascii="宋体" w:hAnsi="宋体" w:eastAsia="宋体" w:cs="宋体"/>
          <w:snapToGrid w:val="0"/>
          <w:color w:val="auto"/>
          <w:sz w:val="24"/>
          <w:szCs w:val="24"/>
          <w:highlight w:val="none"/>
          <w:lang w:val="zh-TW" w:eastAsia="zh-TW" w:bidi="ar-SA"/>
        </w:rPr>
        <w:t>政府收购作为社会资本投资及收益来源。指标收入为项目指标数量与指标单价的乘积。指标单价按补充耕地指标通过自然资源部复核备案入库当日，省级补充耕地指标交易平台最近3批次同类指标成交价的加权平均（省级统筹指标的限价不作为参考价）计算。</w:t>
      </w:r>
    </w:p>
    <w:p>
      <w:pPr>
        <w:pStyle w:val="5"/>
        <w:numPr>
          <w:ilvl w:val="1"/>
          <w:numId w:val="6"/>
        </w:numPr>
        <w:tabs>
          <w:tab w:val="left" w:pos="1184"/>
        </w:tabs>
        <w:spacing w:before="0" w:after="0" w:line="364" w:lineRule="exact"/>
        <w:ind w:left="1184" w:right="0" w:hanging="483"/>
        <w:jc w:val="left"/>
        <w:rPr>
          <w:highlight w:val="none"/>
        </w:rPr>
      </w:pPr>
      <w:r>
        <w:rPr>
          <w:highlight w:val="none"/>
        </w:rPr>
        <w:t>开放性原则</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试点项目实施中，</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方应本着优势互补、资源共享的原则，积极吸收、整合多种社会力量参与投资和建设。</w:t>
      </w:r>
    </w:p>
    <w:p>
      <w:pPr>
        <w:pStyle w:val="5"/>
        <w:numPr>
          <w:ilvl w:val="1"/>
          <w:numId w:val="6"/>
        </w:numPr>
        <w:tabs>
          <w:tab w:val="left" w:pos="1184"/>
        </w:tabs>
        <w:spacing w:before="0" w:after="0" w:line="357" w:lineRule="exact"/>
        <w:ind w:left="1184" w:right="0" w:hanging="483"/>
        <w:jc w:val="left"/>
        <w:rPr>
          <w:highlight w:val="none"/>
        </w:rPr>
      </w:pPr>
      <w:r>
        <w:rPr>
          <w:highlight w:val="none"/>
        </w:rPr>
        <w:t>有条件退出原则</w:t>
      </w:r>
    </w:p>
    <w:p>
      <w:pPr>
        <w:rPr>
          <w:highlight w:val="none"/>
        </w:rPr>
      </w:pP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因</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方原因出现《自然资源部国土空间生态修复司关于印发全域土地综合整治试点实施要点（试行）的函》（自然资生态修复函〔2020〕37号）中规定的试点项目负面清单，不胜任承担试点工作时，甲方有权对</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方作出责令整改、终止合同等决定。</w:t>
      </w:r>
    </w:p>
    <w:p>
      <w:pPr>
        <w:pStyle w:val="5"/>
        <w:numPr>
          <w:ilvl w:val="1"/>
          <w:numId w:val="6"/>
        </w:numPr>
        <w:tabs>
          <w:tab w:val="left" w:pos="1184"/>
        </w:tabs>
        <w:spacing w:before="0" w:after="0" w:line="363" w:lineRule="exact"/>
        <w:ind w:left="1184" w:right="0" w:hanging="483"/>
        <w:jc w:val="both"/>
        <w:rPr>
          <w:highlight w:val="none"/>
        </w:rPr>
      </w:pPr>
      <w:r>
        <w:rPr>
          <w:highlight w:val="none"/>
        </w:rPr>
        <w:t>不予不取及资金平衡原则</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CN" w:bidi="ar-SA"/>
        </w:rPr>
        <w:t>按照《海南省人民政府办公厅关于开展全域土地综合整治试点的意见》（琼府办</w:t>
      </w:r>
      <w:r>
        <w:rPr>
          <w:rFonts w:hint="eastAsia" w:ascii="宋体" w:hAnsi="宋体" w:eastAsia="宋体" w:cs="宋体"/>
          <w:snapToGrid w:val="0"/>
          <w:color w:val="auto"/>
          <w:sz w:val="24"/>
          <w:szCs w:val="24"/>
          <w:highlight w:val="none"/>
          <w:lang w:val="zh-TW" w:eastAsia="zh-TW" w:bidi="ar-SA"/>
        </w:rPr>
        <w:t>〔2020〕</w:t>
      </w:r>
      <w:r>
        <w:rPr>
          <w:rFonts w:hint="eastAsia" w:ascii="宋体" w:hAnsi="宋体" w:eastAsia="宋体" w:cs="宋体"/>
          <w:snapToGrid w:val="0"/>
          <w:color w:val="auto"/>
          <w:sz w:val="24"/>
          <w:szCs w:val="24"/>
          <w:highlight w:val="none"/>
          <w:lang w:val="en-US" w:eastAsia="zh-CN" w:bidi="ar-SA"/>
        </w:rPr>
        <w:t>321</w:t>
      </w:r>
      <w:r>
        <w:rPr>
          <w:rFonts w:hint="eastAsia" w:ascii="宋体" w:hAnsi="宋体" w:eastAsia="宋体" w:cs="宋体"/>
          <w:snapToGrid w:val="0"/>
          <w:color w:val="auto"/>
          <w:sz w:val="24"/>
          <w:szCs w:val="24"/>
          <w:highlight w:val="none"/>
          <w:lang w:val="zh-TW" w:eastAsia="zh-TW" w:bidi="ar-SA"/>
        </w:rPr>
        <w:t>号</w:t>
      </w:r>
      <w:r>
        <w:rPr>
          <w:rFonts w:hint="eastAsia" w:ascii="宋体" w:hAnsi="宋体" w:eastAsia="宋体" w:cs="宋体"/>
          <w:snapToGrid w:val="0"/>
          <w:color w:val="auto"/>
          <w:sz w:val="24"/>
          <w:szCs w:val="24"/>
          <w:highlight w:val="none"/>
          <w:lang w:val="zh-TW" w:eastAsia="zh-CN" w:bidi="ar-SA"/>
        </w:rPr>
        <w:t>）要求，“</w:t>
      </w:r>
      <w:r>
        <w:rPr>
          <w:rFonts w:hint="eastAsia" w:ascii="宋体" w:hAnsi="宋体" w:eastAsia="宋体" w:cs="宋体"/>
          <w:snapToGrid w:val="0"/>
          <w:color w:val="auto"/>
          <w:sz w:val="24"/>
          <w:szCs w:val="24"/>
          <w:highlight w:val="none"/>
          <w:lang w:val="zh-TW" w:eastAsia="zh-TW" w:bidi="ar-SA"/>
        </w:rPr>
        <w:t>通过土地综合整治产生的新增耕地指标优先在</w:t>
      </w:r>
      <w:r>
        <w:rPr>
          <w:rFonts w:hint="eastAsia" w:ascii="宋体" w:hAnsi="宋体" w:eastAsia="宋体" w:cs="宋体"/>
          <w:snapToGrid w:val="0"/>
          <w:color w:val="auto"/>
          <w:sz w:val="24"/>
          <w:szCs w:val="24"/>
          <w:highlight w:val="none"/>
          <w:lang w:val="zh-TW" w:eastAsia="zh-CN" w:bidi="ar-SA"/>
        </w:rPr>
        <w:t>省域内</w:t>
      </w:r>
      <w:r>
        <w:rPr>
          <w:rFonts w:hint="eastAsia" w:ascii="宋体" w:hAnsi="宋体" w:eastAsia="宋体" w:cs="宋体"/>
          <w:snapToGrid w:val="0"/>
          <w:color w:val="auto"/>
          <w:sz w:val="24"/>
          <w:szCs w:val="24"/>
          <w:highlight w:val="none"/>
          <w:lang w:val="zh-TW" w:eastAsia="zh-TW" w:bidi="ar-SA"/>
        </w:rPr>
        <w:t>调剂使用，所得收益扣除</w:t>
      </w:r>
      <w:r>
        <w:rPr>
          <w:rFonts w:hint="eastAsia" w:ascii="宋体" w:hAnsi="宋体" w:eastAsia="宋体" w:cs="宋体"/>
          <w:snapToGrid w:val="0"/>
          <w:color w:val="auto"/>
          <w:sz w:val="24"/>
          <w:szCs w:val="24"/>
          <w:highlight w:val="none"/>
          <w:lang w:val="en-US" w:eastAsia="zh-CN" w:bidi="ar-SA"/>
        </w:rPr>
        <w:t>乙方</w:t>
      </w:r>
      <w:r>
        <w:rPr>
          <w:rFonts w:hint="eastAsia" w:ascii="宋体" w:hAnsi="宋体" w:eastAsia="宋体" w:cs="宋体"/>
          <w:snapToGrid w:val="0"/>
          <w:color w:val="auto"/>
          <w:sz w:val="24"/>
          <w:szCs w:val="24"/>
          <w:highlight w:val="none"/>
          <w:lang w:val="zh-TW" w:eastAsia="zh-TW" w:bidi="ar-SA"/>
        </w:rPr>
        <w:t>投资</w:t>
      </w:r>
      <w:r>
        <w:rPr>
          <w:rFonts w:hint="eastAsia" w:ascii="宋体" w:hAnsi="宋体" w:eastAsia="宋体" w:cs="宋体"/>
          <w:snapToGrid w:val="0"/>
          <w:color w:val="auto"/>
          <w:sz w:val="24"/>
          <w:szCs w:val="24"/>
          <w:highlight w:val="none"/>
          <w:lang w:val="en-US" w:eastAsia="zh-CN" w:bidi="ar-SA"/>
        </w:rPr>
        <w:t>成本</w:t>
      </w:r>
      <w:r>
        <w:rPr>
          <w:rFonts w:hint="eastAsia" w:ascii="宋体" w:hAnsi="宋体" w:eastAsia="宋体" w:cs="宋体"/>
          <w:snapToGrid w:val="0"/>
          <w:color w:val="auto"/>
          <w:sz w:val="24"/>
          <w:szCs w:val="24"/>
          <w:highlight w:val="none"/>
          <w:lang w:val="zh-TW" w:eastAsia="zh-TW" w:bidi="ar-SA"/>
        </w:rPr>
        <w:t>外主要用于土地综合整治、生态修复、生态移民以及扶贫搬</w:t>
      </w:r>
      <w:r>
        <w:rPr>
          <w:rFonts w:hint="eastAsia" w:ascii="宋体" w:hAnsi="宋体" w:eastAsia="宋体" w:cs="宋体"/>
          <w:snapToGrid w:val="0"/>
          <w:color w:val="auto"/>
          <w:sz w:val="24"/>
          <w:szCs w:val="24"/>
          <w:highlight w:val="none"/>
          <w:lang w:val="en-US" w:eastAsia="zh-CN" w:bidi="ar-SA"/>
        </w:rPr>
        <w:t>迁等。</w:t>
      </w:r>
      <w:r>
        <w:rPr>
          <w:rFonts w:hint="eastAsia" w:ascii="宋体" w:hAnsi="宋体" w:eastAsia="宋体" w:cs="宋体"/>
          <w:snapToGrid w:val="0"/>
          <w:color w:val="auto"/>
          <w:sz w:val="24"/>
          <w:szCs w:val="24"/>
          <w:highlight w:val="none"/>
          <w:lang w:val="zh-TW" w:eastAsia="zh-CN" w:bidi="ar-SA"/>
        </w:rPr>
        <w:t>”</w:t>
      </w:r>
    </w:p>
    <w:p>
      <w:pPr>
        <w:pStyle w:val="18"/>
        <w:numPr>
          <w:ilvl w:val="0"/>
          <w:numId w:val="7"/>
        </w:numPr>
        <w:tabs>
          <w:tab w:val="left" w:pos="1303"/>
        </w:tabs>
        <w:spacing w:before="1" w:after="0" w:line="436" w:lineRule="auto"/>
        <w:ind w:left="281" w:right="416" w:firstLine="420"/>
        <w:jc w:val="both"/>
        <w:rPr>
          <w:sz w:val="24"/>
          <w:highlight w:val="none"/>
        </w:rPr>
      </w:pPr>
      <w:r>
        <w:rPr>
          <w:spacing w:val="-1"/>
          <w:sz w:val="24"/>
          <w:highlight w:val="none"/>
        </w:rPr>
        <w:t>本项目实施范围内所得收入</w:t>
      </w:r>
      <w:r>
        <w:rPr>
          <w:rFonts w:hint="eastAsia"/>
          <w:spacing w:val="-1"/>
          <w:sz w:val="24"/>
          <w:highlight w:val="none"/>
          <w:lang w:val="en-US" w:eastAsia="zh-CN"/>
        </w:rPr>
        <w:t>扣除乙</w:t>
      </w:r>
      <w:r>
        <w:rPr>
          <w:spacing w:val="-1"/>
          <w:sz w:val="24"/>
          <w:highlight w:val="none"/>
        </w:rPr>
        <w:t>方投资成本外</w:t>
      </w:r>
      <w:r>
        <w:rPr>
          <w:sz w:val="24"/>
          <w:highlight w:val="none"/>
        </w:rPr>
        <w:t>的结余资金专款专用，用于本项目范围内建设用地整理、生态修复和人居环境</w:t>
      </w:r>
      <w:r>
        <w:rPr>
          <w:rFonts w:hint="eastAsia"/>
          <w:sz w:val="24"/>
          <w:highlight w:val="none"/>
          <w:lang w:val="en-US" w:eastAsia="zh-CN"/>
        </w:rPr>
        <w:t>整治</w:t>
      </w:r>
      <w:r>
        <w:rPr>
          <w:sz w:val="24"/>
          <w:highlight w:val="none"/>
        </w:rPr>
        <w:t>及产业导入项目的投资建设。</w:t>
      </w:r>
    </w:p>
    <w:p>
      <w:pPr>
        <w:pStyle w:val="18"/>
        <w:numPr>
          <w:ilvl w:val="0"/>
          <w:numId w:val="7"/>
        </w:numPr>
        <w:tabs>
          <w:tab w:val="left" w:pos="1303"/>
        </w:tabs>
        <w:spacing w:before="1" w:after="0" w:line="436" w:lineRule="auto"/>
        <w:ind w:left="281" w:right="476" w:firstLine="420"/>
        <w:jc w:val="both"/>
        <w:rPr>
          <w:sz w:val="24"/>
          <w:highlight w:val="none"/>
        </w:rPr>
      </w:pPr>
      <w:r>
        <w:rPr>
          <w:sz w:val="24"/>
          <w:highlight w:val="none"/>
        </w:rPr>
        <w:t>从实施周期第二年开始，</w:t>
      </w:r>
      <w:r>
        <w:rPr>
          <w:rFonts w:hint="eastAsia"/>
          <w:sz w:val="24"/>
          <w:highlight w:val="none"/>
          <w:lang w:val="en-US" w:eastAsia="zh-CN"/>
        </w:rPr>
        <w:t>在</w:t>
      </w:r>
      <w:r>
        <w:rPr>
          <w:sz w:val="24"/>
          <w:highlight w:val="none"/>
        </w:rPr>
        <w:t>农用地整理完成自然资源部备案后6个月</w:t>
      </w:r>
      <w:r>
        <w:rPr>
          <w:rFonts w:hint="eastAsia"/>
          <w:sz w:val="24"/>
          <w:highlight w:val="none"/>
          <w:lang w:val="en-US" w:eastAsia="zh-CN"/>
        </w:rPr>
        <w:t>内</w:t>
      </w:r>
      <w:r>
        <w:rPr>
          <w:sz w:val="24"/>
          <w:highlight w:val="none"/>
        </w:rPr>
        <w:t>，若未按投</w:t>
      </w:r>
      <w:r>
        <w:rPr>
          <w:spacing w:val="-1"/>
          <w:sz w:val="24"/>
          <w:highlight w:val="none"/>
        </w:rPr>
        <w:t>资计划预期收到指标收入的，</w:t>
      </w:r>
      <w:r>
        <w:rPr>
          <w:rFonts w:hint="eastAsia"/>
          <w:spacing w:val="-1"/>
          <w:sz w:val="24"/>
          <w:highlight w:val="none"/>
          <w:lang w:val="en-US" w:eastAsia="zh-CN"/>
        </w:rPr>
        <w:t>乙</w:t>
      </w:r>
      <w:r>
        <w:rPr>
          <w:spacing w:val="-1"/>
          <w:sz w:val="24"/>
          <w:highlight w:val="none"/>
        </w:rPr>
        <w:t>方有权根据指标收入调整项目投入计划；若未收到指标</w:t>
      </w:r>
      <w:r>
        <w:rPr>
          <w:sz w:val="24"/>
          <w:highlight w:val="none"/>
        </w:rPr>
        <w:t>收入的，</w:t>
      </w:r>
      <w:r>
        <w:rPr>
          <w:rFonts w:hint="eastAsia"/>
          <w:sz w:val="24"/>
          <w:highlight w:val="none"/>
          <w:lang w:val="en-US" w:eastAsia="zh-CN"/>
        </w:rPr>
        <w:t>乙</w:t>
      </w:r>
      <w:r>
        <w:rPr>
          <w:sz w:val="24"/>
          <w:highlight w:val="none"/>
        </w:rPr>
        <w:t>方有权暂停项目投入。</w:t>
      </w:r>
    </w:p>
    <w:p>
      <w:pPr>
        <w:pStyle w:val="5"/>
        <w:numPr>
          <w:ilvl w:val="0"/>
          <w:numId w:val="0"/>
        </w:numPr>
        <w:tabs>
          <w:tab w:val="left" w:pos="1184"/>
        </w:tabs>
        <w:spacing w:before="0" w:after="0" w:line="364" w:lineRule="exact"/>
        <w:ind w:left="701" w:leftChars="0" w:right="0" w:rightChars="0"/>
        <w:jc w:val="left"/>
        <w:rPr>
          <w:rFonts w:hint="eastAsia"/>
          <w:highlight w:val="none"/>
          <w:lang w:val="en-US" w:eastAsia="zh-CN"/>
        </w:rPr>
      </w:pPr>
      <w:r>
        <w:rPr>
          <w:rFonts w:hint="eastAsia"/>
          <w:highlight w:val="none"/>
          <w:lang w:val="en-US" w:eastAsia="zh-CN"/>
        </w:rPr>
        <w:t>第八条 实施模式</w:t>
      </w:r>
    </w:p>
    <w:p>
      <w:pPr>
        <w:pStyle w:val="2"/>
        <w:spacing w:before="8"/>
        <w:rPr>
          <w:sz w:val="19"/>
          <w:highlight w:val="none"/>
        </w:rPr>
      </w:pP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在甲方的协调和监管下</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w:t>
      </w:r>
      <w:r>
        <w:rPr>
          <w:rFonts w:hint="eastAsia" w:ascii="宋体" w:hAnsi="宋体" w:eastAsia="宋体" w:cs="宋体"/>
          <w:snapToGrid w:val="0"/>
          <w:color w:val="auto"/>
          <w:sz w:val="24"/>
          <w:szCs w:val="24"/>
          <w:highlight w:val="none"/>
          <w:lang w:val="en-US" w:eastAsia="zh-CN" w:bidi="ar-SA"/>
        </w:rPr>
        <w:t>遵循</w:t>
      </w:r>
      <w:r>
        <w:rPr>
          <w:rFonts w:hint="eastAsia" w:ascii="宋体" w:hAnsi="宋体" w:eastAsia="宋体" w:cs="宋体"/>
          <w:snapToGrid w:val="0"/>
          <w:color w:val="auto"/>
          <w:sz w:val="24"/>
          <w:szCs w:val="24"/>
          <w:highlight w:val="none"/>
          <w:lang w:val="zh-TW" w:eastAsia="zh-TW" w:bidi="ar-SA"/>
        </w:rPr>
        <w:t>“全额投资、全程运作、全担风险”</w:t>
      </w:r>
      <w:r>
        <w:rPr>
          <w:rFonts w:hint="eastAsia" w:ascii="宋体" w:hAnsi="宋体" w:eastAsia="宋体" w:cs="宋体"/>
          <w:snapToGrid w:val="0"/>
          <w:color w:val="auto"/>
          <w:sz w:val="24"/>
          <w:szCs w:val="24"/>
          <w:highlight w:val="none"/>
          <w:lang w:val="en-US" w:eastAsia="zh-CN" w:bidi="ar-SA"/>
        </w:rPr>
        <w:t>及“不予不取，就地发展”原则，</w:t>
      </w:r>
      <w:r>
        <w:rPr>
          <w:rFonts w:hint="eastAsia" w:ascii="宋体" w:hAnsi="宋体" w:eastAsia="宋体" w:cs="宋体"/>
          <w:snapToGrid w:val="0"/>
          <w:color w:val="auto"/>
          <w:sz w:val="24"/>
          <w:szCs w:val="24"/>
          <w:highlight w:val="none"/>
          <w:lang w:val="zh-TW" w:eastAsia="zh-TW" w:bidi="ar-SA"/>
        </w:rPr>
        <w:t>具体负责试点</w:t>
      </w:r>
      <w:r>
        <w:rPr>
          <w:rFonts w:hint="eastAsia" w:ascii="宋体" w:hAnsi="宋体" w:eastAsia="宋体" w:cs="宋体"/>
          <w:snapToGrid w:val="0"/>
          <w:color w:val="auto"/>
          <w:sz w:val="24"/>
          <w:szCs w:val="24"/>
          <w:highlight w:val="none"/>
          <w:lang w:val="en-US" w:eastAsia="zh-CN" w:bidi="ar-SA"/>
        </w:rPr>
        <w:t>区域内所有子</w:t>
      </w:r>
      <w:r>
        <w:rPr>
          <w:rFonts w:hint="eastAsia" w:ascii="宋体" w:hAnsi="宋体" w:eastAsia="宋体" w:cs="宋体"/>
          <w:snapToGrid w:val="0"/>
          <w:color w:val="auto"/>
          <w:sz w:val="24"/>
          <w:szCs w:val="24"/>
          <w:highlight w:val="none"/>
          <w:lang w:val="zh-TW" w:eastAsia="zh-TW" w:bidi="ar-SA"/>
        </w:rPr>
        <w:t>项目的策划、投融资、招商、规划、设计、建设、运营</w:t>
      </w:r>
      <w:r>
        <w:rPr>
          <w:rFonts w:hint="eastAsia" w:ascii="宋体" w:hAnsi="宋体" w:eastAsia="宋体" w:cs="宋体"/>
          <w:snapToGrid w:val="0"/>
          <w:color w:val="auto"/>
          <w:sz w:val="24"/>
          <w:szCs w:val="24"/>
          <w:highlight w:val="none"/>
          <w:lang w:val="en-US" w:eastAsia="zh-CN" w:bidi="ar-SA"/>
        </w:rPr>
        <w:t>维护</w:t>
      </w:r>
      <w:r>
        <w:rPr>
          <w:rFonts w:hint="eastAsia" w:ascii="宋体" w:hAnsi="宋体" w:eastAsia="宋体" w:cs="宋体"/>
          <w:snapToGrid w:val="0"/>
          <w:color w:val="auto"/>
          <w:sz w:val="24"/>
          <w:szCs w:val="24"/>
          <w:highlight w:val="none"/>
          <w:lang w:val="zh-TW" w:eastAsia="zh-CN" w:bidi="ar-SA"/>
        </w:rPr>
        <w:t>、</w:t>
      </w:r>
      <w:r>
        <w:rPr>
          <w:rFonts w:hint="eastAsia" w:ascii="宋体" w:hAnsi="宋体" w:eastAsia="宋体" w:cs="宋体"/>
          <w:snapToGrid w:val="0"/>
          <w:color w:val="auto"/>
          <w:sz w:val="24"/>
          <w:szCs w:val="24"/>
          <w:highlight w:val="none"/>
          <w:lang w:val="en-US" w:eastAsia="zh-CN" w:bidi="ar-SA"/>
        </w:rPr>
        <w:t>实施</w:t>
      </w:r>
      <w:r>
        <w:rPr>
          <w:rFonts w:hint="eastAsia" w:ascii="宋体" w:hAnsi="宋体" w:eastAsia="宋体" w:cs="宋体"/>
          <w:snapToGrid w:val="0"/>
          <w:color w:val="auto"/>
          <w:sz w:val="24"/>
          <w:szCs w:val="24"/>
          <w:highlight w:val="none"/>
          <w:lang w:val="zh-TW" w:eastAsia="zh-TW" w:bidi="ar-SA"/>
        </w:rPr>
        <w:t>等，</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方的投资成本与</w:t>
      </w:r>
      <w:r>
        <w:rPr>
          <w:rFonts w:hint="eastAsia" w:ascii="宋体" w:hAnsi="宋体" w:eastAsia="宋体" w:cs="宋体"/>
          <w:snapToGrid w:val="0"/>
          <w:color w:val="auto"/>
          <w:sz w:val="24"/>
          <w:szCs w:val="24"/>
          <w:highlight w:val="none"/>
          <w:lang w:val="en-US" w:eastAsia="zh-CN" w:bidi="ar-SA"/>
        </w:rPr>
        <w:t>投资</w:t>
      </w:r>
      <w:r>
        <w:rPr>
          <w:rFonts w:hint="eastAsia" w:ascii="宋体" w:hAnsi="宋体" w:eastAsia="宋体" w:cs="宋体"/>
          <w:snapToGrid w:val="0"/>
          <w:color w:val="auto"/>
          <w:sz w:val="24"/>
          <w:szCs w:val="24"/>
          <w:highlight w:val="none"/>
          <w:lang w:val="zh-TW" w:eastAsia="zh-TW" w:bidi="ar-SA"/>
        </w:rPr>
        <w:t>利润通过处置试点项目指标</w:t>
      </w:r>
      <w:r>
        <w:rPr>
          <w:rFonts w:hint="eastAsia" w:ascii="宋体" w:hAnsi="宋体" w:eastAsia="宋体" w:cs="宋体"/>
          <w:snapToGrid w:val="0"/>
          <w:color w:val="auto"/>
          <w:sz w:val="24"/>
          <w:szCs w:val="24"/>
          <w:highlight w:val="none"/>
          <w:lang w:val="en-US" w:eastAsia="zh-CN" w:bidi="ar-SA"/>
        </w:rPr>
        <w:t>收益及返投产业项目投资</w:t>
      </w:r>
      <w:r>
        <w:rPr>
          <w:rFonts w:hint="eastAsia" w:ascii="宋体" w:hAnsi="宋体" w:eastAsia="宋体" w:cs="宋体"/>
          <w:snapToGrid w:val="0"/>
          <w:color w:val="auto"/>
          <w:sz w:val="24"/>
          <w:szCs w:val="24"/>
          <w:highlight w:val="none"/>
          <w:lang w:val="zh-TW" w:eastAsia="zh-TW" w:bidi="ar-SA"/>
        </w:rPr>
        <w:t>获取。</w:t>
      </w:r>
    </w:p>
    <w:p>
      <w:pPr>
        <w:pStyle w:val="18"/>
        <w:numPr>
          <w:ilvl w:val="1"/>
          <w:numId w:val="8"/>
        </w:numPr>
        <w:tabs>
          <w:tab w:val="left" w:pos="1182"/>
        </w:tabs>
        <w:spacing w:before="2" w:after="0" w:line="240" w:lineRule="auto"/>
        <w:ind w:left="1181" w:right="0" w:hanging="481"/>
        <w:jc w:val="both"/>
        <w:rPr>
          <w:sz w:val="24"/>
          <w:highlight w:val="none"/>
        </w:rPr>
      </w:pPr>
      <w:r>
        <w:rPr>
          <w:rFonts w:hint="eastAsia"/>
          <w:sz w:val="24"/>
          <w:highlight w:val="none"/>
          <w:lang w:val="en-US" w:eastAsia="zh-CN"/>
        </w:rPr>
        <w:t>乙</w:t>
      </w:r>
      <w:r>
        <w:rPr>
          <w:sz w:val="24"/>
          <w:highlight w:val="none"/>
        </w:rPr>
        <w:t>方在当地注册成立项目公司，项目公司代表</w:t>
      </w:r>
      <w:r>
        <w:rPr>
          <w:rFonts w:hint="eastAsia"/>
          <w:sz w:val="24"/>
          <w:highlight w:val="none"/>
          <w:lang w:val="en-US" w:eastAsia="zh-CN"/>
        </w:rPr>
        <w:t>乙</w:t>
      </w:r>
      <w:r>
        <w:rPr>
          <w:sz w:val="24"/>
          <w:highlight w:val="none"/>
        </w:rPr>
        <w:t>方具体实施试点项目。</w:t>
      </w:r>
    </w:p>
    <w:p>
      <w:pPr>
        <w:pStyle w:val="2"/>
        <w:spacing w:before="8"/>
        <w:rPr>
          <w:sz w:val="19"/>
          <w:highlight w:val="none"/>
        </w:rPr>
      </w:pPr>
    </w:p>
    <w:p>
      <w:pPr>
        <w:pStyle w:val="18"/>
        <w:numPr>
          <w:ilvl w:val="1"/>
          <w:numId w:val="8"/>
        </w:numPr>
        <w:tabs>
          <w:tab w:val="left" w:pos="1182"/>
        </w:tabs>
        <w:spacing w:before="0" w:after="0" w:line="436" w:lineRule="auto"/>
        <w:ind w:left="281" w:right="476" w:firstLine="420"/>
        <w:jc w:val="both"/>
        <w:rPr>
          <w:sz w:val="24"/>
          <w:highlight w:val="none"/>
        </w:rPr>
      </w:pPr>
      <w:r>
        <w:rPr>
          <w:sz w:val="24"/>
          <w:highlight w:val="none"/>
        </w:rPr>
        <w:t>试点项目采取整体立项、分期实施、分期报验、分期交易的方式进行，在分期</w:t>
      </w:r>
      <w:r>
        <w:rPr>
          <w:spacing w:val="-1"/>
          <w:sz w:val="24"/>
          <w:highlight w:val="none"/>
        </w:rPr>
        <w:t>实施中</w:t>
      </w:r>
      <w:r>
        <w:rPr>
          <w:rFonts w:hint="eastAsia"/>
          <w:spacing w:val="-1"/>
          <w:sz w:val="24"/>
          <w:highlight w:val="none"/>
          <w:lang w:val="en-US" w:eastAsia="zh-CN"/>
        </w:rPr>
        <w:t>按比例</w:t>
      </w:r>
      <w:r>
        <w:rPr>
          <w:spacing w:val="-1"/>
          <w:sz w:val="24"/>
          <w:highlight w:val="none"/>
        </w:rPr>
        <w:t>优先开展农用地整理</w:t>
      </w:r>
      <w:r>
        <w:rPr>
          <w:rFonts w:hint="eastAsia"/>
          <w:spacing w:val="-1"/>
          <w:sz w:val="24"/>
          <w:highlight w:val="none"/>
          <w:lang w:eastAsia="zh-CN"/>
        </w:rPr>
        <w:t>项目和</w:t>
      </w:r>
      <w:r>
        <w:rPr>
          <w:rFonts w:hint="eastAsia"/>
          <w:spacing w:val="-1"/>
          <w:sz w:val="24"/>
          <w:highlight w:val="none"/>
          <w:lang w:val="en-US" w:eastAsia="zh-CN"/>
        </w:rPr>
        <w:t>3A级</w:t>
      </w:r>
      <w:r>
        <w:rPr>
          <w:rFonts w:hint="eastAsia"/>
          <w:spacing w:val="-1"/>
          <w:sz w:val="24"/>
          <w:highlight w:val="none"/>
          <w:lang w:eastAsia="zh-CN"/>
        </w:rPr>
        <w:t>红色景区创建</w:t>
      </w:r>
      <w:r>
        <w:rPr>
          <w:spacing w:val="-1"/>
          <w:sz w:val="24"/>
          <w:highlight w:val="none"/>
        </w:rPr>
        <w:t>项目。根据新增耕地指标数量</w:t>
      </w:r>
      <w:r>
        <w:rPr>
          <w:rFonts w:hint="eastAsia"/>
          <w:spacing w:val="-1"/>
          <w:sz w:val="24"/>
          <w:highlight w:val="none"/>
          <w:lang w:val="en-US" w:eastAsia="zh-CN"/>
        </w:rPr>
        <w:t>和</w:t>
      </w:r>
      <w:r>
        <w:rPr>
          <w:spacing w:val="-1"/>
          <w:sz w:val="24"/>
          <w:highlight w:val="none"/>
        </w:rPr>
        <w:t>市场交易单价确定建设用地整理、乡村生态保护修复、人居环境整治及产业导入等板块建设规模，以保证本项目的</w:t>
      </w:r>
      <w:r>
        <w:rPr>
          <w:sz w:val="24"/>
          <w:highlight w:val="none"/>
        </w:rPr>
        <w:t>资金收支平衡。</w:t>
      </w:r>
    </w:p>
    <w:p>
      <w:pPr>
        <w:pStyle w:val="18"/>
        <w:numPr>
          <w:ilvl w:val="1"/>
          <w:numId w:val="8"/>
        </w:numPr>
        <w:tabs>
          <w:tab w:val="left" w:pos="1182"/>
        </w:tabs>
        <w:spacing w:before="1" w:after="0" w:line="439" w:lineRule="auto"/>
        <w:ind w:left="281" w:right="536" w:firstLine="420"/>
        <w:jc w:val="both"/>
        <w:rPr>
          <w:sz w:val="24"/>
          <w:highlight w:val="none"/>
        </w:rPr>
      </w:pPr>
      <w:r>
        <w:rPr>
          <w:spacing w:val="-1"/>
          <w:sz w:val="24"/>
          <w:highlight w:val="none"/>
        </w:rPr>
        <w:t>本项目</w:t>
      </w:r>
      <w:r>
        <w:rPr>
          <w:rFonts w:hint="eastAsia"/>
          <w:spacing w:val="-1"/>
          <w:sz w:val="24"/>
          <w:highlight w:val="none"/>
          <w:lang w:val="en-US" w:eastAsia="zh-CN"/>
        </w:rPr>
        <w:t>实施方案由乙方负责编制，甲方负责将实施方案上报市局或省厅批复</w:t>
      </w:r>
      <w:r>
        <w:rPr>
          <w:rFonts w:hint="eastAsia"/>
          <w:color w:val="auto"/>
          <w:spacing w:val="-1"/>
          <w:sz w:val="24"/>
          <w:highlight w:val="none"/>
          <w:u w:val="none"/>
          <w:lang w:val="en-US" w:eastAsia="zh-CN"/>
        </w:rPr>
        <w:t>。</w:t>
      </w:r>
      <w:r>
        <w:rPr>
          <w:rFonts w:hint="eastAsia"/>
          <w:spacing w:val="-1"/>
          <w:sz w:val="24"/>
          <w:highlight w:val="none"/>
          <w:lang w:val="en-US" w:eastAsia="zh-CN"/>
        </w:rPr>
        <w:t>项目</w:t>
      </w:r>
      <w:r>
        <w:rPr>
          <w:spacing w:val="-1"/>
          <w:sz w:val="24"/>
          <w:highlight w:val="none"/>
        </w:rPr>
        <w:t>实施范围内的建设子项目</w:t>
      </w:r>
      <w:r>
        <w:rPr>
          <w:sz w:val="24"/>
          <w:highlight w:val="none"/>
        </w:rPr>
        <w:t>（已完成招标的建设子项目除外），</w:t>
      </w:r>
      <w:r>
        <w:rPr>
          <w:rFonts w:hint="eastAsia"/>
          <w:sz w:val="24"/>
          <w:highlight w:val="none"/>
          <w:lang w:val="en-US" w:eastAsia="zh-CN"/>
        </w:rPr>
        <w:t>乙</w:t>
      </w:r>
      <w:r>
        <w:rPr>
          <w:sz w:val="24"/>
          <w:highlight w:val="none"/>
        </w:rPr>
        <w:t>方应依法选择具备相应资质及经验的施工单位负责本项目的施工等工作。</w:t>
      </w:r>
    </w:p>
    <w:p>
      <w:pPr>
        <w:pStyle w:val="18"/>
        <w:numPr>
          <w:ilvl w:val="1"/>
          <w:numId w:val="8"/>
        </w:numPr>
        <w:tabs>
          <w:tab w:val="left" w:pos="1182"/>
        </w:tabs>
        <w:spacing w:before="1" w:after="0" w:line="439" w:lineRule="auto"/>
        <w:ind w:left="281" w:right="536" w:firstLine="420"/>
        <w:jc w:val="both"/>
        <w:rPr>
          <w:spacing w:val="-1"/>
          <w:sz w:val="24"/>
          <w:highlight w:val="none"/>
        </w:rPr>
      </w:pPr>
      <w:r>
        <w:rPr>
          <w:spacing w:val="-1"/>
          <w:sz w:val="24"/>
          <w:highlight w:val="none"/>
        </w:rPr>
        <w:t>在各子项目指标通过备案后15个工作日内，</w:t>
      </w:r>
      <w:r>
        <w:rPr>
          <w:rFonts w:hint="eastAsia"/>
          <w:spacing w:val="-1"/>
          <w:sz w:val="24"/>
          <w:highlight w:val="none"/>
          <w:lang w:val="en-US" w:eastAsia="zh-CN"/>
        </w:rPr>
        <w:t>甲方</w:t>
      </w:r>
      <w:r>
        <w:rPr>
          <w:spacing w:val="-1"/>
          <w:sz w:val="24"/>
          <w:highlight w:val="none"/>
        </w:rPr>
        <w:t>向市资规局申请购买指标事宜，在</w:t>
      </w:r>
      <w:r>
        <w:rPr>
          <w:rFonts w:hint="eastAsia"/>
          <w:spacing w:val="-1"/>
          <w:sz w:val="24"/>
          <w:highlight w:val="none"/>
          <w:lang w:val="en-US" w:eastAsia="zh-CN"/>
        </w:rPr>
        <w:t>镇</w:t>
      </w:r>
      <w:r>
        <w:rPr>
          <w:spacing w:val="-1"/>
          <w:sz w:val="24"/>
          <w:highlight w:val="none"/>
        </w:rPr>
        <w:t>政府与</w:t>
      </w:r>
      <w:r>
        <w:rPr>
          <w:rFonts w:hint="eastAsia"/>
          <w:spacing w:val="-1"/>
          <w:sz w:val="24"/>
          <w:highlight w:val="none"/>
          <w:lang w:val="en-US" w:eastAsia="zh-CN"/>
        </w:rPr>
        <w:t>儋州</w:t>
      </w:r>
      <w:r>
        <w:rPr>
          <w:spacing w:val="-1"/>
          <w:sz w:val="24"/>
          <w:highlight w:val="none"/>
        </w:rPr>
        <w:t>市自然资源和规划局签订回购协议且</w:t>
      </w:r>
      <w:r>
        <w:rPr>
          <w:rFonts w:hint="eastAsia"/>
          <w:spacing w:val="-1"/>
          <w:sz w:val="24"/>
          <w:highlight w:val="none"/>
          <w:lang w:val="en-US" w:eastAsia="zh-CN"/>
        </w:rPr>
        <w:t>市</w:t>
      </w:r>
      <w:r>
        <w:rPr>
          <w:spacing w:val="-1"/>
          <w:sz w:val="24"/>
          <w:highlight w:val="none"/>
        </w:rPr>
        <w:t>财政局收到市级指标回购资金后的15个工作日内拨付至共管账户，在支付各类费用前，</w:t>
      </w:r>
      <w:r>
        <w:rPr>
          <w:rFonts w:hint="eastAsia"/>
          <w:spacing w:val="-1"/>
          <w:sz w:val="24"/>
          <w:highlight w:val="none"/>
          <w:lang w:val="en-US" w:eastAsia="zh-CN"/>
        </w:rPr>
        <w:t>乙</w:t>
      </w:r>
      <w:r>
        <w:rPr>
          <w:spacing w:val="-1"/>
          <w:sz w:val="24"/>
          <w:highlight w:val="none"/>
        </w:rPr>
        <w:t>方需提供合法、合规的增值税专用发票，否则</w:t>
      </w:r>
      <w:r>
        <w:rPr>
          <w:rFonts w:hint="eastAsia"/>
          <w:spacing w:val="-1"/>
          <w:sz w:val="24"/>
          <w:highlight w:val="none"/>
          <w:lang w:val="en-US" w:eastAsia="zh-CN"/>
        </w:rPr>
        <w:t>甲</w:t>
      </w:r>
      <w:r>
        <w:rPr>
          <w:spacing w:val="-1"/>
          <w:sz w:val="24"/>
          <w:highlight w:val="none"/>
        </w:rPr>
        <w:t>方有权拒绝付款，由此产生的责任由</w:t>
      </w:r>
      <w:r>
        <w:rPr>
          <w:rFonts w:hint="eastAsia"/>
          <w:spacing w:val="-1"/>
          <w:sz w:val="24"/>
          <w:highlight w:val="none"/>
          <w:lang w:val="en-US" w:eastAsia="zh-CN"/>
        </w:rPr>
        <w:t>乙</w:t>
      </w:r>
      <w:r>
        <w:rPr>
          <w:spacing w:val="-1"/>
          <w:sz w:val="24"/>
          <w:highlight w:val="none"/>
        </w:rPr>
        <w:t>方承担。本合同所约定的金额均为含税价。指标回购资金优先用于偿还</w:t>
      </w:r>
      <w:r>
        <w:rPr>
          <w:rFonts w:hint="eastAsia"/>
          <w:spacing w:val="-1"/>
          <w:sz w:val="24"/>
          <w:highlight w:val="none"/>
          <w:lang w:val="en-US" w:eastAsia="zh-CN"/>
        </w:rPr>
        <w:t>乙</w:t>
      </w:r>
      <w:r>
        <w:rPr>
          <w:spacing w:val="-1"/>
          <w:sz w:val="24"/>
          <w:highlight w:val="none"/>
        </w:rPr>
        <w:t>方的投资成本，结余部分资金为本项目范围内建设用地整理、生态修复、人居环境</w:t>
      </w:r>
      <w:r>
        <w:rPr>
          <w:rFonts w:hint="eastAsia"/>
          <w:spacing w:val="-1"/>
          <w:sz w:val="24"/>
          <w:highlight w:val="none"/>
          <w:lang w:val="en-US" w:eastAsia="zh-CN"/>
        </w:rPr>
        <w:t>整治</w:t>
      </w:r>
      <w:r>
        <w:rPr>
          <w:spacing w:val="-1"/>
          <w:sz w:val="24"/>
          <w:highlight w:val="none"/>
        </w:rPr>
        <w:t>及产业导入项目投资。</w:t>
      </w:r>
    </w:p>
    <w:p>
      <w:pPr>
        <w:pStyle w:val="18"/>
        <w:numPr>
          <w:ilvl w:val="1"/>
          <w:numId w:val="8"/>
        </w:numPr>
        <w:tabs>
          <w:tab w:val="left" w:pos="1302"/>
        </w:tabs>
        <w:spacing w:before="0" w:after="0" w:line="436" w:lineRule="auto"/>
        <w:ind w:left="281" w:right="476" w:firstLine="420"/>
        <w:jc w:val="both"/>
        <w:rPr>
          <w:sz w:val="24"/>
          <w:highlight w:val="none"/>
        </w:rPr>
      </w:pPr>
      <w:r>
        <w:rPr>
          <w:sz w:val="24"/>
          <w:highlight w:val="none"/>
        </w:rPr>
        <w:t>项目指标收入进入共管账户30日内，</w:t>
      </w:r>
      <w:r>
        <w:rPr>
          <w:rFonts w:hint="eastAsia"/>
          <w:sz w:val="24"/>
          <w:highlight w:val="none"/>
          <w:lang w:val="zh-TW" w:eastAsia="zh-TW"/>
        </w:rPr>
        <w:t>将</w:t>
      </w:r>
      <w:r>
        <w:rPr>
          <w:rFonts w:hint="eastAsia"/>
          <w:sz w:val="24"/>
          <w:highlight w:val="none"/>
          <w:u w:val="single"/>
        </w:rPr>
        <w:t xml:space="preserve"> </w:t>
      </w:r>
      <w:r>
        <w:rPr>
          <w:rFonts w:hint="eastAsia"/>
          <w:sz w:val="24"/>
          <w:highlight w:val="none"/>
          <w:u w:val="single"/>
          <w:lang w:val="en-US" w:eastAsia="zh-CN"/>
        </w:rPr>
        <w:t>乙</w:t>
      </w:r>
      <w:r>
        <w:rPr>
          <w:rFonts w:hint="eastAsia"/>
          <w:sz w:val="24"/>
          <w:highlight w:val="none"/>
          <w:u w:val="single"/>
          <w:lang w:val="zh-TW" w:eastAsia="zh-TW"/>
        </w:rPr>
        <w:t>方</w:t>
      </w:r>
      <w:r>
        <w:rPr>
          <w:rFonts w:hint="eastAsia"/>
          <w:sz w:val="24"/>
          <w:highlight w:val="none"/>
          <w:u w:val="single"/>
          <w:lang w:val="en-US" w:eastAsia="zh-CN"/>
        </w:rPr>
        <w:t xml:space="preserve">投资成本 </w:t>
      </w:r>
      <w:r>
        <w:rPr>
          <w:rFonts w:hint="eastAsia"/>
          <w:sz w:val="24"/>
          <w:highlight w:val="none"/>
          <w:lang w:val="en-US" w:eastAsia="zh-CN"/>
        </w:rPr>
        <w:t>一次性</w:t>
      </w:r>
      <w:r>
        <w:rPr>
          <w:rFonts w:hint="eastAsia"/>
          <w:sz w:val="24"/>
          <w:highlight w:val="none"/>
          <w:lang w:val="zh-TW" w:eastAsia="zh-TW"/>
        </w:rPr>
        <w:t>支付给</w:t>
      </w:r>
      <w:r>
        <w:rPr>
          <w:rFonts w:hint="eastAsia"/>
          <w:sz w:val="24"/>
          <w:highlight w:val="none"/>
          <w:lang w:val="en-US" w:eastAsia="zh-CN"/>
        </w:rPr>
        <w:t>乙</w:t>
      </w:r>
      <w:r>
        <w:rPr>
          <w:rFonts w:hint="eastAsia"/>
          <w:sz w:val="24"/>
          <w:highlight w:val="none"/>
          <w:lang w:val="zh-TW" w:eastAsia="zh-TW"/>
        </w:rPr>
        <w:t>方</w:t>
      </w:r>
      <w:r>
        <w:rPr>
          <w:rFonts w:hint="eastAsia"/>
          <w:sz w:val="24"/>
          <w:highlight w:val="none"/>
          <w:lang w:val="zh-TW" w:eastAsia="zh-CN"/>
        </w:rPr>
        <w:t>，</w:t>
      </w:r>
      <w:r>
        <w:rPr>
          <w:rFonts w:hint="eastAsia"/>
          <w:sz w:val="24"/>
          <w:highlight w:val="none"/>
          <w:lang w:val="zh-TW" w:eastAsia="zh-TW"/>
        </w:rPr>
        <w:t>作为</w:t>
      </w:r>
      <w:r>
        <w:rPr>
          <w:rFonts w:hint="eastAsia"/>
          <w:sz w:val="24"/>
          <w:highlight w:val="none"/>
          <w:lang w:val="en-US" w:eastAsia="zh-CN"/>
        </w:rPr>
        <w:t>乙方产业项目</w:t>
      </w:r>
      <w:r>
        <w:rPr>
          <w:rFonts w:hint="eastAsia"/>
          <w:sz w:val="24"/>
          <w:highlight w:val="none"/>
          <w:lang w:val="zh-TW" w:eastAsia="zh-TW"/>
        </w:rPr>
        <w:t>投资滚动开发的资金</w:t>
      </w:r>
      <w:r>
        <w:rPr>
          <w:sz w:val="24"/>
          <w:highlight w:val="none"/>
        </w:rPr>
        <w:t>。</w:t>
      </w:r>
    </w:p>
    <w:p>
      <w:pPr>
        <w:pStyle w:val="18"/>
        <w:numPr>
          <w:ilvl w:val="1"/>
          <w:numId w:val="8"/>
        </w:numPr>
        <w:tabs>
          <w:tab w:val="left" w:pos="1182"/>
        </w:tabs>
        <w:spacing w:before="0" w:after="0" w:line="436" w:lineRule="auto"/>
        <w:ind w:left="281" w:right="476" w:firstLine="420"/>
        <w:jc w:val="both"/>
        <w:rPr>
          <w:sz w:val="24"/>
          <w:highlight w:val="none"/>
        </w:rPr>
      </w:pPr>
      <w:r>
        <w:rPr>
          <w:sz w:val="24"/>
          <w:highlight w:val="none"/>
        </w:rPr>
        <w:t>甲方协调</w:t>
      </w:r>
      <w:r>
        <w:rPr>
          <w:rFonts w:hint="eastAsia"/>
          <w:sz w:val="24"/>
          <w:highlight w:val="none"/>
          <w:lang w:val="en-US" w:eastAsia="zh-CN"/>
        </w:rPr>
        <w:t>市</w:t>
      </w:r>
      <w:r>
        <w:rPr>
          <w:sz w:val="24"/>
          <w:highlight w:val="none"/>
        </w:rPr>
        <w:t>政府</w:t>
      </w:r>
      <w:r>
        <w:rPr>
          <w:spacing w:val="-1"/>
          <w:sz w:val="24"/>
          <w:highlight w:val="none"/>
        </w:rPr>
        <w:t>按照自然资源部及省自然资源厅等相关要求统筹新增建设用地土地有偿使用费、耕地开垦费、土地复垦费、土地出让收益、生态保护修复治理等资金</w:t>
      </w: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，整合各类涉农及对上争取资金，加大试点项目的投入。</w:t>
      </w:r>
    </w:p>
    <w:p>
      <w:pPr>
        <w:pStyle w:val="5"/>
        <w:numPr>
          <w:ilvl w:val="0"/>
          <w:numId w:val="0"/>
        </w:numPr>
        <w:tabs>
          <w:tab w:val="left" w:pos="1184"/>
        </w:tabs>
        <w:spacing w:before="0" w:after="0" w:line="364" w:lineRule="exact"/>
        <w:ind w:left="701" w:leftChars="0" w:right="0" w:rightChars="0"/>
        <w:jc w:val="left"/>
        <w:rPr>
          <w:rFonts w:hint="eastAsia"/>
          <w:highlight w:val="none"/>
          <w:lang w:val="en-US" w:eastAsia="zh-CN"/>
        </w:rPr>
      </w:pPr>
      <w:r>
        <w:rPr>
          <w:rFonts w:hint="eastAsia"/>
          <w:highlight w:val="none"/>
          <w:lang w:val="en-US" w:eastAsia="zh-CN"/>
        </w:rPr>
        <w:t>第九条 双方的权利和义务</w:t>
      </w:r>
    </w:p>
    <w:p>
      <w:pPr>
        <w:pStyle w:val="5"/>
        <w:numPr>
          <w:ilvl w:val="1"/>
          <w:numId w:val="9"/>
        </w:numPr>
        <w:tabs>
          <w:tab w:val="left" w:pos="1184"/>
        </w:tabs>
        <w:spacing w:before="0" w:after="0" w:line="361" w:lineRule="exact"/>
        <w:ind w:left="1184" w:right="0" w:hanging="483"/>
        <w:jc w:val="both"/>
        <w:rPr>
          <w:highlight w:val="none"/>
        </w:rPr>
      </w:pPr>
      <w:r>
        <w:rPr>
          <w:highlight w:val="none"/>
        </w:rPr>
        <w:t>甲方的权利和义务</w:t>
      </w:r>
    </w:p>
    <w:p>
      <w:pPr>
        <w:pStyle w:val="18"/>
        <w:numPr>
          <w:ilvl w:val="0"/>
          <w:numId w:val="10"/>
        </w:numPr>
        <w:tabs>
          <w:tab w:val="left" w:pos="1303"/>
        </w:tabs>
        <w:spacing w:before="196" w:after="0" w:line="240" w:lineRule="auto"/>
        <w:ind w:left="1302" w:right="0" w:hanging="602"/>
        <w:jc w:val="left"/>
        <w:rPr>
          <w:sz w:val="24"/>
          <w:highlight w:val="none"/>
        </w:rPr>
      </w:pPr>
      <w:r>
        <w:rPr>
          <w:sz w:val="24"/>
          <w:highlight w:val="none"/>
        </w:rPr>
        <w:t>负责协调和监督相关工作，全力配合</w:t>
      </w:r>
      <w:r>
        <w:rPr>
          <w:rFonts w:hint="eastAsia"/>
          <w:sz w:val="24"/>
          <w:highlight w:val="none"/>
          <w:lang w:val="en-US" w:eastAsia="zh-CN"/>
        </w:rPr>
        <w:t>乙</w:t>
      </w:r>
      <w:r>
        <w:rPr>
          <w:sz w:val="24"/>
          <w:highlight w:val="none"/>
        </w:rPr>
        <w:t>方开展相关工作。</w:t>
      </w:r>
    </w:p>
    <w:p>
      <w:pPr>
        <w:pStyle w:val="2"/>
        <w:spacing w:before="8"/>
        <w:rPr>
          <w:sz w:val="19"/>
          <w:highlight w:val="none"/>
        </w:rPr>
      </w:pPr>
    </w:p>
    <w:p>
      <w:pPr>
        <w:pStyle w:val="18"/>
        <w:numPr>
          <w:ilvl w:val="0"/>
          <w:numId w:val="10"/>
        </w:numPr>
        <w:tabs>
          <w:tab w:val="left" w:pos="1303"/>
        </w:tabs>
        <w:spacing w:before="1" w:after="0" w:line="240" w:lineRule="auto"/>
        <w:ind w:left="1302" w:right="0" w:hanging="602"/>
        <w:jc w:val="left"/>
        <w:rPr>
          <w:sz w:val="24"/>
          <w:highlight w:val="none"/>
        </w:rPr>
      </w:pPr>
      <w:r>
        <w:rPr>
          <w:sz w:val="24"/>
          <w:highlight w:val="none"/>
        </w:rPr>
        <w:t>负责协调试点项目的立项、申报、评审、审批。</w:t>
      </w:r>
    </w:p>
    <w:p>
      <w:pPr>
        <w:pStyle w:val="2"/>
        <w:spacing w:before="8"/>
        <w:rPr>
          <w:sz w:val="19"/>
          <w:highlight w:val="none"/>
        </w:rPr>
      </w:pPr>
    </w:p>
    <w:p>
      <w:pPr>
        <w:pStyle w:val="18"/>
        <w:numPr>
          <w:ilvl w:val="0"/>
          <w:numId w:val="10"/>
        </w:numPr>
        <w:tabs>
          <w:tab w:val="left" w:pos="1303"/>
        </w:tabs>
        <w:spacing w:before="0" w:after="0" w:line="436" w:lineRule="auto"/>
        <w:ind w:left="281" w:right="416" w:firstLine="420"/>
        <w:jc w:val="both"/>
        <w:rPr>
          <w:sz w:val="24"/>
          <w:highlight w:val="none"/>
        </w:rPr>
      </w:pPr>
      <w:r>
        <w:rPr>
          <w:spacing w:val="-1"/>
          <w:sz w:val="24"/>
          <w:highlight w:val="none"/>
        </w:rPr>
        <w:t>负责协调</w:t>
      </w:r>
      <w:r>
        <w:rPr>
          <w:rFonts w:hint="eastAsia"/>
          <w:spacing w:val="-1"/>
          <w:sz w:val="24"/>
          <w:highlight w:val="none"/>
          <w:lang w:val="en-US" w:eastAsia="zh-CN"/>
        </w:rPr>
        <w:t>和庆镇</w:t>
      </w:r>
      <w:r>
        <w:rPr>
          <w:rFonts w:hint="eastAsia" w:cs="宋体"/>
          <w:color w:val="auto"/>
          <w:sz w:val="24"/>
          <w:szCs w:val="24"/>
          <w:highlight w:val="none"/>
          <w:lang w:val="en-US" w:eastAsia="zh-CN"/>
        </w:rPr>
        <w:t>和庆居委会、</w:t>
      </w:r>
      <w:r>
        <w:rPr>
          <w:rFonts w:hint="eastAsia" w:ascii="宋体" w:hAnsi="宋体" w:eastAsia="宋体" w:cs="宋体"/>
          <w:color w:val="auto"/>
          <w:sz w:val="24"/>
          <w:szCs w:val="24"/>
          <w:highlight w:val="none"/>
        </w:rPr>
        <w:t>美灵村委会、罗便村委会、美万村委会、木排村委会、和祥村委会、美敖村委会、文卷村委会、拱教村委会、美万新</w:t>
      </w:r>
      <w:r>
        <w:rPr>
          <w:rFonts w:hint="eastAsia" w:cs="宋体"/>
          <w:color w:val="auto"/>
          <w:sz w:val="24"/>
          <w:szCs w:val="24"/>
          <w:highlight w:val="none"/>
          <w:lang w:val="en-US" w:eastAsia="zh-CN"/>
        </w:rPr>
        <w:t>村</w:t>
      </w:r>
      <w:r>
        <w:rPr>
          <w:rFonts w:hint="eastAsia" w:ascii="宋体" w:hAnsi="宋体" w:eastAsia="宋体" w:cs="宋体"/>
          <w:color w:val="auto"/>
          <w:sz w:val="24"/>
          <w:szCs w:val="24"/>
          <w:highlight w:val="none"/>
        </w:rPr>
        <w:t>村委会、新村村委会</w:t>
      </w:r>
      <w:r>
        <w:rPr>
          <w:rFonts w:hint="eastAsia" w:cs="宋体"/>
          <w:color w:val="auto"/>
          <w:sz w:val="24"/>
          <w:szCs w:val="24"/>
          <w:highlight w:val="none"/>
          <w:lang w:eastAsia="zh-CN"/>
        </w:rPr>
        <w:t>等</w:t>
      </w:r>
      <w:r>
        <w:rPr>
          <w:rFonts w:hint="eastAsia" w:cs="宋体"/>
          <w:color w:val="auto"/>
          <w:sz w:val="24"/>
          <w:szCs w:val="24"/>
          <w:highlight w:val="none"/>
          <w:lang w:val="en-US" w:eastAsia="zh-CN"/>
        </w:rPr>
        <w:t>11个行政村（社区）及3个镇办农场</w:t>
      </w:r>
      <w:r>
        <w:rPr>
          <w:rFonts w:hint="eastAsia" w:cs="宋体"/>
          <w:color w:val="auto"/>
          <w:sz w:val="24"/>
          <w:szCs w:val="24"/>
          <w:highlight w:val="none"/>
          <w:lang w:eastAsia="zh-CN"/>
        </w:rPr>
        <w:t>的</w:t>
      </w:r>
      <w:r>
        <w:rPr>
          <w:spacing w:val="-1"/>
          <w:sz w:val="24"/>
          <w:highlight w:val="none"/>
        </w:rPr>
        <w:t>村庄规</w:t>
      </w:r>
      <w:r>
        <w:rPr>
          <w:sz w:val="24"/>
          <w:highlight w:val="none"/>
        </w:rPr>
        <w:t>划编制单位，将《</w:t>
      </w:r>
      <w:r>
        <w:rPr>
          <w:rFonts w:hint="eastAsia"/>
          <w:sz w:val="24"/>
          <w:highlight w:val="none"/>
          <w:lang w:val="en-US" w:eastAsia="zh-CN"/>
        </w:rPr>
        <w:t>儋州</w:t>
      </w:r>
      <w:r>
        <w:rPr>
          <w:sz w:val="24"/>
          <w:highlight w:val="none"/>
        </w:rPr>
        <w:t>市</w:t>
      </w:r>
      <w:r>
        <w:rPr>
          <w:rFonts w:hint="eastAsia"/>
          <w:sz w:val="24"/>
          <w:highlight w:val="none"/>
          <w:lang w:val="en-US" w:eastAsia="zh-CN"/>
        </w:rPr>
        <w:t>和庆</w:t>
      </w:r>
      <w:r>
        <w:rPr>
          <w:sz w:val="24"/>
          <w:highlight w:val="none"/>
        </w:rPr>
        <w:t>镇全域土地综合整治（省级）试点项目实施方案》中的整治任务、指标和布局落实到具体地块，并在《</w:t>
      </w:r>
      <w:r>
        <w:rPr>
          <w:rFonts w:hint="eastAsia"/>
          <w:sz w:val="24"/>
          <w:highlight w:val="none"/>
          <w:lang w:val="en-US" w:eastAsia="zh-CN"/>
        </w:rPr>
        <w:t>儋州</w:t>
      </w:r>
      <w:r>
        <w:rPr>
          <w:sz w:val="24"/>
          <w:highlight w:val="none"/>
        </w:rPr>
        <w:t>市</w:t>
      </w:r>
      <w:r>
        <w:rPr>
          <w:rFonts w:hint="eastAsia"/>
          <w:sz w:val="24"/>
          <w:highlight w:val="none"/>
          <w:lang w:val="en-US" w:eastAsia="zh-CN"/>
        </w:rPr>
        <w:t>和庆</w:t>
      </w:r>
      <w:r>
        <w:rPr>
          <w:sz w:val="24"/>
          <w:highlight w:val="none"/>
        </w:rPr>
        <w:t>镇全域土地综合整治（省级）试点项目实施方案》报批前完成审批。甲方须按自然资源部及海南省自然资源厅试点的相关要求做好规划承诺工作。</w:t>
      </w:r>
    </w:p>
    <w:p>
      <w:pPr>
        <w:pStyle w:val="18"/>
        <w:numPr>
          <w:ilvl w:val="0"/>
          <w:numId w:val="10"/>
        </w:numPr>
        <w:tabs>
          <w:tab w:val="left" w:pos="1303"/>
        </w:tabs>
        <w:spacing w:before="45" w:after="0" w:line="240" w:lineRule="auto"/>
        <w:ind w:left="1302" w:right="0" w:hanging="602"/>
        <w:jc w:val="left"/>
        <w:rPr>
          <w:sz w:val="24"/>
          <w:highlight w:val="none"/>
        </w:rPr>
      </w:pPr>
      <w:r>
        <w:rPr>
          <w:sz w:val="24"/>
          <w:highlight w:val="none"/>
        </w:rPr>
        <w:t>及时向</w:t>
      </w:r>
      <w:r>
        <w:rPr>
          <w:rFonts w:hint="eastAsia"/>
          <w:sz w:val="24"/>
          <w:highlight w:val="none"/>
          <w:lang w:val="en-US" w:eastAsia="zh-CN"/>
        </w:rPr>
        <w:t>乙</w:t>
      </w:r>
      <w:r>
        <w:rPr>
          <w:sz w:val="24"/>
          <w:highlight w:val="none"/>
        </w:rPr>
        <w:t>方提供项目建设所需的基础性资料。</w:t>
      </w:r>
    </w:p>
    <w:p>
      <w:pPr>
        <w:pStyle w:val="2"/>
        <w:spacing w:before="9"/>
        <w:rPr>
          <w:sz w:val="19"/>
          <w:highlight w:val="none"/>
        </w:rPr>
      </w:pPr>
    </w:p>
    <w:p>
      <w:pPr>
        <w:pStyle w:val="18"/>
        <w:numPr>
          <w:ilvl w:val="0"/>
          <w:numId w:val="10"/>
        </w:numPr>
        <w:tabs>
          <w:tab w:val="left" w:pos="1303"/>
        </w:tabs>
        <w:spacing w:before="0" w:after="0" w:line="439" w:lineRule="auto"/>
        <w:ind w:left="281" w:right="416" w:firstLine="420"/>
        <w:jc w:val="left"/>
        <w:rPr>
          <w:sz w:val="24"/>
          <w:highlight w:val="none"/>
        </w:rPr>
      </w:pPr>
      <w:r>
        <w:rPr>
          <w:spacing w:val="-1"/>
          <w:sz w:val="24"/>
          <w:highlight w:val="none"/>
        </w:rPr>
        <w:t>根据《</w:t>
      </w:r>
      <w:r>
        <w:rPr>
          <w:rFonts w:hint="eastAsia"/>
          <w:spacing w:val="-1"/>
          <w:sz w:val="24"/>
          <w:highlight w:val="none"/>
          <w:lang w:val="en-US" w:eastAsia="zh-CN"/>
        </w:rPr>
        <w:t>儋州</w:t>
      </w:r>
      <w:r>
        <w:rPr>
          <w:spacing w:val="-1"/>
          <w:sz w:val="24"/>
          <w:highlight w:val="none"/>
        </w:rPr>
        <w:t>市</w:t>
      </w:r>
      <w:r>
        <w:rPr>
          <w:rFonts w:hint="eastAsia"/>
          <w:spacing w:val="-1"/>
          <w:sz w:val="24"/>
          <w:highlight w:val="none"/>
          <w:lang w:val="en-US" w:eastAsia="zh-CN"/>
        </w:rPr>
        <w:t>和庆</w:t>
      </w:r>
      <w:r>
        <w:rPr>
          <w:spacing w:val="-1"/>
          <w:sz w:val="24"/>
          <w:highlight w:val="none"/>
        </w:rPr>
        <w:t>镇全域土地综合整治</w:t>
      </w:r>
      <w:r>
        <w:rPr>
          <w:sz w:val="24"/>
          <w:highlight w:val="none"/>
        </w:rPr>
        <w:t>（省级）试点实施方案》，对试点项目进行整体立项批复。</w:t>
      </w:r>
    </w:p>
    <w:p>
      <w:pPr>
        <w:pStyle w:val="18"/>
        <w:numPr>
          <w:ilvl w:val="0"/>
          <w:numId w:val="10"/>
        </w:numPr>
        <w:tabs>
          <w:tab w:val="left" w:pos="1303"/>
        </w:tabs>
        <w:spacing w:before="0" w:after="0" w:line="303" w:lineRule="exact"/>
        <w:ind w:left="1302" w:right="0" w:hanging="602"/>
        <w:jc w:val="left"/>
        <w:rPr>
          <w:sz w:val="24"/>
          <w:highlight w:val="none"/>
        </w:rPr>
      </w:pPr>
      <w:r>
        <w:rPr>
          <w:sz w:val="24"/>
          <w:highlight w:val="none"/>
        </w:rPr>
        <w:t>负责协调项目备案及上图入库工作。</w:t>
      </w:r>
    </w:p>
    <w:p>
      <w:pPr>
        <w:pStyle w:val="2"/>
        <w:spacing w:before="8"/>
        <w:rPr>
          <w:sz w:val="19"/>
          <w:highlight w:val="none"/>
        </w:rPr>
      </w:pPr>
    </w:p>
    <w:p>
      <w:pPr>
        <w:pStyle w:val="18"/>
        <w:numPr>
          <w:ilvl w:val="0"/>
          <w:numId w:val="10"/>
        </w:numPr>
        <w:tabs>
          <w:tab w:val="left" w:pos="1303"/>
        </w:tabs>
        <w:spacing w:before="0" w:after="0" w:line="436" w:lineRule="auto"/>
        <w:ind w:left="281" w:right="416" w:firstLine="420"/>
        <w:jc w:val="both"/>
        <w:rPr>
          <w:sz w:val="24"/>
          <w:highlight w:val="none"/>
        </w:rPr>
      </w:pPr>
      <w:r>
        <w:rPr>
          <w:spacing w:val="-1"/>
          <w:sz w:val="24"/>
          <w:highlight w:val="none"/>
        </w:rPr>
        <w:t>负责协调各级政府及部门对试点项目的检查、核查等工作，且有权按照有关法</w:t>
      </w:r>
      <w:r>
        <w:rPr>
          <w:sz w:val="24"/>
          <w:highlight w:val="none"/>
        </w:rPr>
        <w:t>律法规和政府管理的相关职能规定行使政府监管，对项目工程施工进行日常检查，对存在的问题提出整改意见。</w:t>
      </w:r>
    </w:p>
    <w:p>
      <w:pPr>
        <w:pStyle w:val="18"/>
        <w:numPr>
          <w:ilvl w:val="0"/>
          <w:numId w:val="10"/>
        </w:numPr>
        <w:tabs>
          <w:tab w:val="left" w:pos="1303"/>
        </w:tabs>
        <w:spacing w:before="1" w:after="0" w:line="240" w:lineRule="auto"/>
        <w:ind w:left="1302" w:right="0" w:hanging="602"/>
        <w:jc w:val="left"/>
        <w:rPr>
          <w:sz w:val="24"/>
          <w:highlight w:val="none"/>
        </w:rPr>
      </w:pPr>
      <w:r>
        <w:rPr>
          <w:sz w:val="24"/>
          <w:highlight w:val="none"/>
        </w:rPr>
        <w:t>负责协调纳入年度财政预算安排，按照本项目约定支付相关费用。</w:t>
      </w:r>
    </w:p>
    <w:p>
      <w:pPr>
        <w:pStyle w:val="2"/>
        <w:spacing w:before="11"/>
        <w:rPr>
          <w:sz w:val="19"/>
          <w:highlight w:val="none"/>
        </w:rPr>
      </w:pPr>
    </w:p>
    <w:p>
      <w:pPr>
        <w:pStyle w:val="18"/>
        <w:numPr>
          <w:ilvl w:val="0"/>
          <w:numId w:val="10"/>
        </w:numPr>
        <w:tabs>
          <w:tab w:val="left" w:pos="1303"/>
        </w:tabs>
        <w:spacing w:before="0" w:after="0" w:line="240" w:lineRule="auto"/>
        <w:ind w:left="1302" w:right="0" w:hanging="602"/>
        <w:jc w:val="left"/>
        <w:rPr>
          <w:sz w:val="24"/>
          <w:highlight w:val="none"/>
        </w:rPr>
      </w:pPr>
      <w:r>
        <w:rPr>
          <w:sz w:val="24"/>
          <w:highlight w:val="none"/>
        </w:rPr>
        <w:t>负责对项目的质量、进度、安全等进行监管、督促；负责配合做好项目的立项</w:t>
      </w:r>
    </w:p>
    <w:p>
      <w:pPr>
        <w:pStyle w:val="2"/>
        <w:spacing w:before="8"/>
        <w:rPr>
          <w:sz w:val="19"/>
          <w:highlight w:val="none"/>
        </w:rPr>
      </w:pPr>
    </w:p>
    <w:p>
      <w:pPr>
        <w:pStyle w:val="2"/>
        <w:spacing w:line="436" w:lineRule="auto"/>
        <w:ind w:left="281" w:right="476"/>
        <w:rPr>
          <w:rFonts w:ascii="宋体" w:hAnsi="宋体" w:eastAsia="宋体" w:cs="宋体"/>
          <w:snapToGrid w:val="0"/>
          <w:color w:val="000000"/>
          <w:spacing w:val="-1"/>
          <w:sz w:val="24"/>
          <w:szCs w:val="21"/>
          <w:highlight w:val="none"/>
          <w:lang w:val="en-US" w:eastAsia="zh-CN" w:bidi="ar-SA"/>
        </w:rPr>
      </w:pPr>
      <w:r>
        <w:rPr>
          <w:rFonts w:ascii="宋体" w:hAnsi="宋体" w:eastAsia="宋体" w:cs="宋体"/>
          <w:snapToGrid w:val="0"/>
          <w:color w:val="000000"/>
          <w:spacing w:val="-1"/>
          <w:sz w:val="24"/>
          <w:szCs w:val="21"/>
          <w:highlight w:val="none"/>
          <w:lang w:val="en-US" w:eastAsia="zh-CN" w:bidi="ar-SA"/>
        </w:rPr>
        <w:t>、可研、审核审批、验收、备案入库、管护及移交等工作；配合开展整治区域内的土地流转及青苗补偿等相关工作。</w:t>
      </w:r>
    </w:p>
    <w:p>
      <w:pPr>
        <w:pStyle w:val="5"/>
        <w:numPr>
          <w:ilvl w:val="1"/>
          <w:numId w:val="9"/>
        </w:numPr>
        <w:tabs>
          <w:tab w:val="left" w:pos="1184"/>
        </w:tabs>
        <w:spacing w:before="0" w:after="0" w:line="364" w:lineRule="exact"/>
        <w:ind w:left="1184" w:right="0" w:hanging="483"/>
        <w:jc w:val="left"/>
        <w:rPr>
          <w:highlight w:val="none"/>
        </w:rPr>
      </w:pPr>
      <w:r>
        <w:rPr>
          <w:rFonts w:hint="eastAsia"/>
          <w:highlight w:val="none"/>
          <w:lang w:val="en-US" w:eastAsia="zh-CN"/>
        </w:rPr>
        <w:t>乙</w:t>
      </w:r>
      <w:r>
        <w:rPr>
          <w:highlight w:val="none"/>
        </w:rPr>
        <w:t>方的权利和义务</w:t>
      </w:r>
    </w:p>
    <w:p>
      <w:pPr>
        <w:pStyle w:val="18"/>
        <w:numPr>
          <w:ilvl w:val="0"/>
          <w:numId w:val="11"/>
        </w:numPr>
        <w:tabs>
          <w:tab w:val="left" w:pos="1303"/>
        </w:tabs>
        <w:spacing w:before="197" w:after="0" w:line="436" w:lineRule="auto"/>
        <w:ind w:left="281" w:right="416" w:firstLine="420"/>
        <w:jc w:val="both"/>
        <w:rPr>
          <w:color w:val="FF0000"/>
          <w:sz w:val="24"/>
          <w:highlight w:val="none"/>
        </w:rPr>
      </w:pPr>
      <w:r>
        <w:rPr>
          <w:spacing w:val="-1"/>
          <w:sz w:val="24"/>
          <w:highlight w:val="none"/>
        </w:rPr>
        <w:t>在甲方的协调、监管下开展工作，包括但不限于</w:t>
      </w:r>
      <w:r>
        <w:rPr>
          <w:rFonts w:hint="eastAsia"/>
          <w:spacing w:val="-1"/>
          <w:sz w:val="24"/>
          <w:highlight w:val="none"/>
          <w:lang w:val="en-US" w:eastAsia="zh-CN"/>
        </w:rPr>
        <w:t>试点区域内所有子</w:t>
      </w:r>
      <w:r>
        <w:rPr>
          <w:spacing w:val="-1"/>
          <w:sz w:val="24"/>
          <w:highlight w:val="none"/>
        </w:rPr>
        <w:t>项目</w:t>
      </w:r>
      <w:r>
        <w:rPr>
          <w:rFonts w:hint="eastAsia"/>
          <w:spacing w:val="-1"/>
          <w:sz w:val="24"/>
          <w:highlight w:val="none"/>
          <w:lang w:val="en-US" w:eastAsia="zh-CN"/>
        </w:rPr>
        <w:t>的</w:t>
      </w:r>
      <w:r>
        <w:rPr>
          <w:spacing w:val="-1"/>
          <w:sz w:val="24"/>
          <w:highlight w:val="none"/>
        </w:rPr>
        <w:t>策划、投融资、招商、规</w:t>
      </w:r>
      <w:r>
        <w:rPr>
          <w:sz w:val="24"/>
          <w:highlight w:val="none"/>
        </w:rPr>
        <w:t>划、设计、建设</w:t>
      </w:r>
      <w:r>
        <w:rPr>
          <w:rFonts w:hint="eastAsia"/>
          <w:sz w:val="24"/>
          <w:highlight w:val="none"/>
          <w:lang w:eastAsia="zh-CN"/>
        </w:rPr>
        <w:t>、</w:t>
      </w:r>
      <w:r>
        <w:rPr>
          <w:sz w:val="24"/>
          <w:highlight w:val="none"/>
        </w:rPr>
        <w:t>运营</w:t>
      </w:r>
      <w:r>
        <w:rPr>
          <w:rFonts w:hint="eastAsia"/>
          <w:sz w:val="24"/>
          <w:highlight w:val="none"/>
          <w:lang w:val="en-US" w:eastAsia="zh-CN"/>
        </w:rPr>
        <w:t>维护、实施</w:t>
      </w:r>
      <w:r>
        <w:rPr>
          <w:sz w:val="24"/>
          <w:highlight w:val="none"/>
        </w:rPr>
        <w:t>等。</w:t>
      </w:r>
      <w:r>
        <w:rPr>
          <w:rFonts w:hint="eastAsia"/>
          <w:color w:val="auto"/>
          <w:sz w:val="24"/>
          <w:highlight w:val="none"/>
          <w:lang w:eastAsia="zh-CN"/>
        </w:rPr>
        <w:t>对行政辖区内的其他严重影响试点实施的项目，有参与并提出意见的权利。</w:t>
      </w:r>
      <w:r>
        <w:rPr>
          <w:rFonts w:hint="eastAsia"/>
          <w:color w:val="auto"/>
          <w:sz w:val="24"/>
          <w:szCs w:val="24"/>
          <w:highlight w:val="none"/>
          <w:lang w:eastAsia="zh-CN"/>
        </w:rPr>
        <w:t>本着“谁投资、谁</w:t>
      </w:r>
      <w:r>
        <w:rPr>
          <w:rFonts w:hint="eastAsia"/>
          <w:color w:val="auto"/>
          <w:sz w:val="24"/>
          <w:szCs w:val="24"/>
          <w:highlight w:val="none"/>
          <w:lang w:val="en-US" w:eastAsia="zh-CN"/>
        </w:rPr>
        <w:t>受</w:t>
      </w:r>
      <w:r>
        <w:rPr>
          <w:rFonts w:hint="eastAsia"/>
          <w:color w:val="auto"/>
          <w:sz w:val="24"/>
          <w:szCs w:val="24"/>
          <w:highlight w:val="none"/>
          <w:lang w:eastAsia="zh-CN"/>
        </w:rPr>
        <w:t>益”的原则，</w:t>
      </w:r>
      <w:r>
        <w:rPr>
          <w:color w:val="auto"/>
          <w:sz w:val="24"/>
          <w:highlight w:val="none"/>
        </w:rPr>
        <w:t>自然资源部对试点工作奖补的计划指标归</w:t>
      </w:r>
      <w:r>
        <w:rPr>
          <w:rFonts w:hint="eastAsia"/>
          <w:color w:val="auto"/>
          <w:sz w:val="24"/>
          <w:highlight w:val="none"/>
          <w:lang w:val="en-US" w:eastAsia="zh-CN"/>
        </w:rPr>
        <w:t>乙方</w:t>
      </w:r>
      <w:r>
        <w:rPr>
          <w:color w:val="auto"/>
          <w:sz w:val="24"/>
          <w:highlight w:val="none"/>
        </w:rPr>
        <w:t>所有</w:t>
      </w:r>
      <w:r>
        <w:rPr>
          <w:rFonts w:hint="eastAsia"/>
          <w:color w:val="auto"/>
          <w:sz w:val="24"/>
          <w:highlight w:val="none"/>
          <w:lang w:eastAsia="zh-CN"/>
        </w:rPr>
        <w:t>，指标收益须用于试点项目区域的农村一、二、三产业融合发展用地。</w:t>
      </w:r>
    </w:p>
    <w:p>
      <w:pPr>
        <w:pStyle w:val="18"/>
        <w:numPr>
          <w:ilvl w:val="0"/>
          <w:numId w:val="11"/>
        </w:numPr>
        <w:tabs>
          <w:tab w:val="left" w:pos="1303"/>
        </w:tabs>
        <w:spacing w:before="1" w:after="0" w:line="240" w:lineRule="auto"/>
        <w:ind w:left="1302" w:right="0" w:hanging="602"/>
        <w:jc w:val="left"/>
        <w:rPr>
          <w:sz w:val="24"/>
          <w:highlight w:val="none"/>
        </w:rPr>
      </w:pPr>
      <w:r>
        <w:rPr>
          <w:sz w:val="24"/>
          <w:highlight w:val="none"/>
        </w:rPr>
        <w:t>负责现场踏勘，核查项目建设必需的施工条件，并做好项目与镇、村的对接。</w:t>
      </w:r>
    </w:p>
    <w:p>
      <w:pPr>
        <w:pStyle w:val="2"/>
        <w:spacing w:before="8"/>
        <w:rPr>
          <w:sz w:val="19"/>
          <w:highlight w:val="none"/>
        </w:rPr>
      </w:pPr>
    </w:p>
    <w:p>
      <w:pPr>
        <w:pStyle w:val="18"/>
        <w:numPr>
          <w:ilvl w:val="0"/>
          <w:numId w:val="11"/>
        </w:numPr>
        <w:tabs>
          <w:tab w:val="left" w:pos="1303"/>
        </w:tabs>
        <w:spacing w:before="0" w:after="0" w:line="439" w:lineRule="auto"/>
        <w:ind w:left="281" w:right="416" w:firstLine="420"/>
        <w:jc w:val="left"/>
        <w:rPr>
          <w:sz w:val="24"/>
          <w:highlight w:val="none"/>
        </w:rPr>
      </w:pPr>
      <w:r>
        <w:rPr>
          <w:spacing w:val="-1"/>
          <w:sz w:val="24"/>
          <w:highlight w:val="none"/>
        </w:rPr>
        <w:t>试点项目整体立项批复后，负责分别编制子项目初步设计和概</w:t>
      </w:r>
      <w:r>
        <w:rPr>
          <w:sz w:val="24"/>
          <w:highlight w:val="none"/>
        </w:rPr>
        <w:t>（预）算并及时向甲方提交。</w:t>
      </w:r>
    </w:p>
    <w:p>
      <w:pPr>
        <w:pStyle w:val="18"/>
        <w:numPr>
          <w:ilvl w:val="0"/>
          <w:numId w:val="11"/>
        </w:numPr>
        <w:tabs>
          <w:tab w:val="left" w:pos="1303"/>
        </w:tabs>
        <w:spacing w:before="0" w:after="0" w:line="436" w:lineRule="auto"/>
        <w:ind w:left="281" w:right="416" w:firstLine="420"/>
        <w:jc w:val="both"/>
        <w:rPr>
          <w:sz w:val="24"/>
          <w:highlight w:val="none"/>
        </w:rPr>
      </w:pPr>
      <w:r>
        <w:rPr>
          <w:spacing w:val="-1"/>
          <w:sz w:val="24"/>
          <w:highlight w:val="none"/>
        </w:rPr>
        <w:t>根据项目资金平衡情况，</w:t>
      </w:r>
      <w:r>
        <w:rPr>
          <w:rFonts w:hint="eastAsia"/>
          <w:spacing w:val="-1"/>
          <w:sz w:val="24"/>
          <w:highlight w:val="none"/>
          <w:lang w:val="en-US" w:eastAsia="zh-CN"/>
        </w:rPr>
        <w:t>乙</w:t>
      </w:r>
      <w:r>
        <w:rPr>
          <w:spacing w:val="-1"/>
          <w:sz w:val="24"/>
          <w:highlight w:val="none"/>
        </w:rPr>
        <w:t>方有权对项目建设内容及规模进行优化。需对项目</w:t>
      </w:r>
      <w:r>
        <w:rPr>
          <w:sz w:val="24"/>
          <w:highlight w:val="none"/>
        </w:rPr>
        <w:t>设计进行优化和改进的，按相关规定进行项目变更，负责编制项目变更报告，并报甲方审批。</w:t>
      </w:r>
    </w:p>
    <w:p>
      <w:pPr>
        <w:pStyle w:val="18"/>
        <w:numPr>
          <w:ilvl w:val="0"/>
          <w:numId w:val="11"/>
        </w:numPr>
        <w:tabs>
          <w:tab w:val="left" w:pos="1303"/>
        </w:tabs>
        <w:spacing w:before="0" w:after="0" w:line="436" w:lineRule="auto"/>
        <w:ind w:left="281" w:right="416" w:firstLine="420"/>
        <w:jc w:val="left"/>
        <w:rPr>
          <w:sz w:val="24"/>
          <w:highlight w:val="none"/>
        </w:rPr>
      </w:pPr>
      <w:r>
        <w:rPr>
          <w:spacing w:val="-1"/>
          <w:sz w:val="24"/>
          <w:highlight w:val="none"/>
        </w:rPr>
        <w:t>农用地整理项目竣工并经验收合格后，及时办理移交工作，并签订移交管护协</w:t>
      </w:r>
      <w:r>
        <w:rPr>
          <w:sz w:val="24"/>
          <w:highlight w:val="none"/>
        </w:rPr>
        <w:t>议，明确</w:t>
      </w:r>
      <w:r>
        <w:rPr>
          <w:rFonts w:hint="eastAsia"/>
          <w:sz w:val="24"/>
          <w:highlight w:val="none"/>
          <w:lang w:val="en-US" w:eastAsia="zh-CN"/>
        </w:rPr>
        <w:t>双</w:t>
      </w:r>
      <w:r>
        <w:rPr>
          <w:sz w:val="24"/>
          <w:highlight w:val="none"/>
        </w:rPr>
        <w:t>方的权利和义务。</w:t>
      </w:r>
    </w:p>
    <w:p>
      <w:pPr>
        <w:pStyle w:val="18"/>
        <w:numPr>
          <w:ilvl w:val="0"/>
          <w:numId w:val="11"/>
        </w:numPr>
        <w:tabs>
          <w:tab w:val="left" w:pos="1303"/>
        </w:tabs>
        <w:spacing w:before="0" w:after="0" w:line="436" w:lineRule="auto"/>
        <w:ind w:left="281" w:right="416" w:firstLine="420"/>
        <w:jc w:val="left"/>
        <w:rPr>
          <w:spacing w:val="-1"/>
          <w:sz w:val="24"/>
          <w:highlight w:val="none"/>
        </w:rPr>
      </w:pPr>
      <w:r>
        <w:rPr>
          <w:spacing w:val="-1"/>
          <w:sz w:val="24"/>
          <w:highlight w:val="none"/>
        </w:rPr>
        <w:t>负责按照验收规程组织项目实施、验收整改及相关验收、备案资料的整理提交，并协助甲方验收、备案及上图入库。</w:t>
      </w:r>
    </w:p>
    <w:p>
      <w:pPr>
        <w:pStyle w:val="18"/>
        <w:numPr>
          <w:ilvl w:val="0"/>
          <w:numId w:val="11"/>
        </w:numPr>
        <w:tabs>
          <w:tab w:val="left" w:pos="1303"/>
        </w:tabs>
        <w:spacing w:before="45" w:after="0" w:line="436" w:lineRule="auto"/>
        <w:ind w:left="281" w:right="416" w:firstLine="420"/>
        <w:jc w:val="left"/>
        <w:rPr>
          <w:sz w:val="24"/>
          <w:highlight w:val="none"/>
        </w:rPr>
      </w:pPr>
      <w:r>
        <w:rPr>
          <w:spacing w:val="-1"/>
          <w:sz w:val="24"/>
          <w:highlight w:val="none"/>
        </w:rPr>
        <w:t>在项目入库后</w:t>
      </w:r>
      <w:r>
        <w:rPr>
          <w:sz w:val="24"/>
          <w:highlight w:val="none"/>
        </w:rPr>
        <w:t>10个工作日内，负责将相关资料整理归档，并全部移交给甲方或相关部门存档。</w:t>
      </w:r>
    </w:p>
    <w:p>
      <w:pPr>
        <w:pStyle w:val="18"/>
        <w:numPr>
          <w:ilvl w:val="0"/>
          <w:numId w:val="11"/>
        </w:numPr>
        <w:tabs>
          <w:tab w:val="left" w:pos="1303"/>
        </w:tabs>
        <w:spacing w:before="2" w:after="0" w:line="240" w:lineRule="auto"/>
        <w:ind w:left="1302" w:right="0" w:hanging="602"/>
        <w:jc w:val="left"/>
        <w:rPr>
          <w:sz w:val="24"/>
          <w:highlight w:val="none"/>
        </w:rPr>
      </w:pPr>
      <w:r>
        <w:rPr>
          <w:sz w:val="24"/>
          <w:highlight w:val="none"/>
        </w:rPr>
        <w:t>接受甲方</w:t>
      </w:r>
      <w:r>
        <w:rPr>
          <w:rFonts w:hint="eastAsia"/>
          <w:sz w:val="24"/>
          <w:highlight w:val="none"/>
          <w:lang w:val="en-US" w:eastAsia="zh-CN"/>
        </w:rPr>
        <w:t>和</w:t>
      </w:r>
      <w:r>
        <w:rPr>
          <w:sz w:val="24"/>
          <w:highlight w:val="none"/>
        </w:rPr>
        <w:t>各级自然资源部门的检查、监督、监管以及社会公众的监督。</w:t>
      </w:r>
    </w:p>
    <w:p>
      <w:pPr>
        <w:pStyle w:val="2"/>
        <w:spacing w:before="8"/>
        <w:rPr>
          <w:sz w:val="19"/>
          <w:highlight w:val="none"/>
        </w:rPr>
      </w:pPr>
    </w:p>
    <w:p>
      <w:pPr>
        <w:pStyle w:val="18"/>
        <w:numPr>
          <w:ilvl w:val="0"/>
          <w:numId w:val="11"/>
        </w:numPr>
        <w:tabs>
          <w:tab w:val="left" w:pos="1303"/>
        </w:tabs>
        <w:spacing w:before="0" w:after="0" w:line="240" w:lineRule="auto"/>
        <w:ind w:left="1302" w:right="0" w:hanging="602"/>
        <w:jc w:val="left"/>
        <w:rPr>
          <w:sz w:val="24"/>
          <w:highlight w:val="none"/>
        </w:rPr>
      </w:pPr>
      <w:r>
        <w:rPr>
          <w:sz w:val="24"/>
          <w:highlight w:val="none"/>
        </w:rPr>
        <w:t>施工须按照生态文明建设的相关要求，完善相关措施，注重环境保护。</w:t>
      </w:r>
    </w:p>
    <w:p>
      <w:pPr>
        <w:pStyle w:val="2"/>
        <w:spacing w:before="8"/>
        <w:rPr>
          <w:sz w:val="19"/>
          <w:highlight w:val="none"/>
        </w:rPr>
      </w:pPr>
    </w:p>
    <w:p>
      <w:pPr>
        <w:pStyle w:val="18"/>
        <w:numPr>
          <w:ilvl w:val="0"/>
          <w:numId w:val="11"/>
        </w:numPr>
        <w:tabs>
          <w:tab w:val="left" w:pos="1423"/>
        </w:tabs>
        <w:spacing w:before="1" w:after="0" w:line="439" w:lineRule="auto"/>
        <w:ind w:left="281" w:right="476" w:firstLine="420"/>
        <w:jc w:val="left"/>
        <w:rPr>
          <w:sz w:val="24"/>
          <w:highlight w:val="none"/>
        </w:rPr>
      </w:pPr>
      <w:r>
        <w:rPr>
          <w:sz w:val="24"/>
          <w:highlight w:val="none"/>
        </w:rPr>
        <w:t>严格实行安全管理，坚持“安全第一、预防为主”的原则，建立安全生产目</w:t>
      </w:r>
      <w:r>
        <w:rPr>
          <w:spacing w:val="-1"/>
          <w:sz w:val="24"/>
          <w:highlight w:val="none"/>
        </w:rPr>
        <w:t>标责任制，配备必要的安全设施、安全防护用品，并进行安全培训等，确保安全施工。</w:t>
      </w:r>
    </w:p>
    <w:p>
      <w:pPr>
        <w:pStyle w:val="18"/>
        <w:numPr>
          <w:ilvl w:val="0"/>
          <w:numId w:val="11"/>
        </w:numPr>
        <w:tabs>
          <w:tab w:val="left" w:pos="1423"/>
        </w:tabs>
        <w:spacing w:before="0" w:after="0" w:line="436" w:lineRule="auto"/>
        <w:ind w:left="281" w:right="536" w:firstLine="420"/>
        <w:jc w:val="left"/>
        <w:rPr>
          <w:sz w:val="24"/>
          <w:highlight w:val="none"/>
        </w:rPr>
      </w:pPr>
      <w:r>
        <w:rPr>
          <w:spacing w:val="-1"/>
          <w:sz w:val="24"/>
          <w:highlight w:val="none"/>
        </w:rPr>
        <w:t>通过对项目的投资、建设、运营及维护等工作，获取相关费用，以收回投资</w:t>
      </w:r>
      <w:r>
        <w:rPr>
          <w:sz w:val="24"/>
          <w:highlight w:val="none"/>
        </w:rPr>
        <w:t>成本及</w:t>
      </w:r>
      <w:r>
        <w:rPr>
          <w:rFonts w:hint="eastAsia"/>
          <w:sz w:val="24"/>
          <w:highlight w:val="none"/>
          <w:lang w:val="en-US" w:eastAsia="zh-CN"/>
        </w:rPr>
        <w:t>投资</w:t>
      </w:r>
      <w:r>
        <w:rPr>
          <w:sz w:val="24"/>
          <w:highlight w:val="none"/>
        </w:rPr>
        <w:t>利润。</w:t>
      </w:r>
    </w:p>
    <w:p>
      <w:pPr>
        <w:pStyle w:val="2"/>
        <w:ind w:left="701"/>
        <w:rPr>
          <w:rFonts w:hint="eastAsia" w:ascii="Microsoft YaHei UI" w:hAnsi="Microsoft YaHei UI" w:eastAsia="Microsoft YaHei UI" w:cs="Microsoft YaHei UI"/>
          <w:b/>
          <w:bCs/>
          <w:snapToGrid w:val="0"/>
          <w:color w:val="000000"/>
          <w:sz w:val="24"/>
          <w:szCs w:val="24"/>
          <w:highlight w:val="none"/>
          <w:lang w:val="en-US" w:eastAsia="zh-CN" w:bidi="ar-SA"/>
        </w:rPr>
      </w:pPr>
      <w:r>
        <w:rPr>
          <w:rFonts w:hint="eastAsia" w:ascii="Microsoft YaHei UI" w:hAnsi="Microsoft YaHei UI" w:eastAsia="Microsoft YaHei UI" w:cs="Microsoft YaHei UI"/>
          <w:b/>
          <w:bCs/>
          <w:snapToGrid w:val="0"/>
          <w:color w:val="000000"/>
          <w:sz w:val="24"/>
          <w:szCs w:val="24"/>
          <w:highlight w:val="none"/>
          <w:lang w:val="en-US" w:eastAsia="zh-CN" w:bidi="ar-SA"/>
        </w:rPr>
        <w:t>第十条 合同变更</w:t>
      </w:r>
    </w:p>
    <w:p>
      <w:pPr>
        <w:pStyle w:val="2"/>
        <w:spacing w:before="4"/>
        <w:rPr>
          <w:sz w:val="19"/>
          <w:highlight w:val="none"/>
        </w:rPr>
      </w:pPr>
    </w:p>
    <w:p>
      <w:pPr>
        <w:pStyle w:val="2"/>
        <w:spacing w:line="436" w:lineRule="auto"/>
        <w:ind w:right="476" w:firstLine="480" w:firstLineChars="200"/>
        <w:jc w:val="both"/>
        <w:rPr>
          <w:rFonts w:hint="eastAsia" w:ascii="宋体" w:hAnsi="宋体" w:eastAsia="宋体" w:cs="宋体"/>
          <w:snapToGrid w:val="0"/>
          <w:color w:val="auto"/>
          <w:sz w:val="24"/>
          <w:szCs w:val="24"/>
          <w:highlight w:val="none"/>
          <w:lang w:val="zh-TW" w:eastAsia="zh-TW" w:bidi="ar-SA"/>
        </w:rPr>
      </w:pPr>
      <w:r>
        <w:rPr>
          <w:rFonts w:hint="eastAsia" w:ascii="宋体" w:hAnsi="宋体" w:eastAsia="宋体" w:cs="宋体"/>
          <w:snapToGrid w:val="0"/>
          <w:color w:val="auto"/>
          <w:sz w:val="24"/>
          <w:szCs w:val="24"/>
          <w:highlight w:val="none"/>
          <w:lang w:val="zh-TW" w:eastAsia="zh-TW" w:bidi="ar-SA"/>
        </w:rPr>
        <w:t>如本协议约定的内容或成立的条件发生变化，经甲、乙</w:t>
      </w:r>
      <w:r>
        <w:rPr>
          <w:rFonts w:hint="eastAsia" w:ascii="宋体" w:hAnsi="宋体" w:eastAsia="宋体" w:cs="宋体"/>
          <w:snapToGrid w:val="0"/>
          <w:color w:val="auto"/>
          <w:sz w:val="24"/>
          <w:szCs w:val="24"/>
          <w:highlight w:val="none"/>
          <w:lang w:val="en-US" w:eastAsia="zh-CN" w:bidi="ar-SA"/>
        </w:rPr>
        <w:t>双</w:t>
      </w:r>
      <w:r>
        <w:rPr>
          <w:rFonts w:hint="eastAsia" w:ascii="宋体" w:hAnsi="宋体" w:eastAsia="宋体" w:cs="宋体"/>
          <w:snapToGrid w:val="0"/>
          <w:color w:val="auto"/>
          <w:sz w:val="24"/>
          <w:szCs w:val="24"/>
          <w:highlight w:val="none"/>
          <w:lang w:val="zh-TW" w:eastAsia="zh-TW" w:bidi="ar-SA"/>
        </w:rPr>
        <w:t>方协商一致可进行合同变更，如法律、行政法规规定变更合同事项应当办理批准、登记手续的，应当依法办理相应手续。</w:t>
      </w:r>
      <w:r>
        <w:rPr>
          <w:rFonts w:hint="eastAsia" w:ascii="宋体" w:hAnsi="宋体" w:eastAsia="宋体" w:cs="宋体"/>
          <w:snapToGrid w:val="0"/>
          <w:color w:val="auto"/>
          <w:sz w:val="24"/>
          <w:szCs w:val="24"/>
          <w:highlight w:val="none"/>
          <w:lang w:val="en-US" w:eastAsia="zh-CN" w:bidi="ar-SA"/>
        </w:rPr>
        <w:t>双</w:t>
      </w:r>
      <w:r>
        <w:rPr>
          <w:rFonts w:hint="eastAsia" w:ascii="宋体" w:hAnsi="宋体" w:eastAsia="宋体" w:cs="宋体"/>
          <w:snapToGrid w:val="0"/>
          <w:color w:val="auto"/>
          <w:sz w:val="24"/>
          <w:szCs w:val="24"/>
          <w:highlight w:val="none"/>
          <w:lang w:val="zh-TW" w:eastAsia="zh-TW" w:bidi="ar-SA"/>
        </w:rPr>
        <w:t>方在变更合同签订之日起按照变更后的内容履行合同。</w:t>
      </w:r>
    </w:p>
    <w:p>
      <w:pPr>
        <w:pStyle w:val="2"/>
        <w:spacing w:before="1"/>
        <w:ind w:left="701"/>
        <w:jc w:val="both"/>
        <w:rPr>
          <w:rFonts w:hint="eastAsia" w:ascii="Microsoft YaHei UI" w:hAnsi="Microsoft YaHei UI" w:eastAsia="Microsoft YaHei UI" w:cs="Microsoft YaHei UI"/>
          <w:b/>
          <w:bCs/>
          <w:snapToGrid w:val="0"/>
          <w:color w:val="000000"/>
          <w:sz w:val="24"/>
          <w:szCs w:val="24"/>
          <w:highlight w:val="none"/>
          <w:lang w:val="en-US" w:eastAsia="zh-CN" w:bidi="ar-SA"/>
        </w:rPr>
      </w:pPr>
      <w:r>
        <w:rPr>
          <w:rFonts w:hint="eastAsia" w:ascii="Microsoft YaHei UI" w:hAnsi="Microsoft YaHei UI" w:eastAsia="Microsoft YaHei UI" w:cs="Microsoft YaHei UI"/>
          <w:b/>
          <w:bCs/>
          <w:snapToGrid w:val="0"/>
          <w:color w:val="000000"/>
          <w:sz w:val="24"/>
          <w:szCs w:val="24"/>
          <w:highlight w:val="none"/>
          <w:lang w:val="en-US" w:eastAsia="zh-CN" w:bidi="ar-SA"/>
        </w:rPr>
        <w:t>第十一条 违约责任</w:t>
      </w:r>
    </w:p>
    <w:p>
      <w:pPr>
        <w:pStyle w:val="2"/>
        <w:spacing w:before="8"/>
        <w:rPr>
          <w:sz w:val="19"/>
          <w:highlight w:val="none"/>
        </w:rPr>
      </w:pPr>
    </w:p>
    <w:p>
      <w:pPr>
        <w:pStyle w:val="18"/>
        <w:numPr>
          <w:ilvl w:val="1"/>
          <w:numId w:val="12"/>
        </w:numPr>
        <w:tabs>
          <w:tab w:val="left" w:pos="1302"/>
        </w:tabs>
        <w:spacing w:before="0" w:after="0" w:line="240" w:lineRule="auto"/>
        <w:ind w:left="1301" w:right="0" w:hanging="601"/>
        <w:jc w:val="left"/>
        <w:rPr>
          <w:sz w:val="24"/>
          <w:highlight w:val="none"/>
        </w:rPr>
      </w:pPr>
      <w:r>
        <w:rPr>
          <w:sz w:val="24"/>
          <w:highlight w:val="none"/>
        </w:rPr>
        <w:t>出现下列情况之一的，为甲方违约，</w:t>
      </w:r>
      <w:r>
        <w:rPr>
          <w:rFonts w:hint="eastAsia"/>
          <w:sz w:val="24"/>
          <w:highlight w:val="none"/>
          <w:lang w:val="en-US" w:eastAsia="zh-CN"/>
        </w:rPr>
        <w:t>乙</w:t>
      </w:r>
      <w:r>
        <w:rPr>
          <w:sz w:val="24"/>
          <w:highlight w:val="none"/>
        </w:rPr>
        <w:t>方有权终止合同。</w:t>
      </w:r>
    </w:p>
    <w:p>
      <w:pPr>
        <w:pStyle w:val="2"/>
        <w:spacing w:before="10"/>
        <w:rPr>
          <w:sz w:val="19"/>
          <w:highlight w:val="none"/>
        </w:rPr>
      </w:pPr>
    </w:p>
    <w:p>
      <w:pPr>
        <w:pStyle w:val="18"/>
        <w:numPr>
          <w:ilvl w:val="0"/>
          <w:numId w:val="13"/>
        </w:numPr>
        <w:tabs>
          <w:tab w:val="left" w:pos="1303"/>
        </w:tabs>
        <w:spacing w:before="1" w:after="0" w:line="240" w:lineRule="auto"/>
        <w:ind w:left="1302" w:right="0" w:hanging="602"/>
        <w:jc w:val="left"/>
        <w:rPr>
          <w:sz w:val="24"/>
          <w:highlight w:val="none"/>
        </w:rPr>
      </w:pPr>
      <w:r>
        <w:rPr>
          <w:sz w:val="24"/>
          <w:highlight w:val="none"/>
        </w:rPr>
        <w:t>试点区域出现非法阻工，非</w:t>
      </w:r>
      <w:r>
        <w:rPr>
          <w:rFonts w:hint="eastAsia"/>
          <w:sz w:val="24"/>
          <w:highlight w:val="none"/>
          <w:lang w:val="en-US" w:eastAsia="zh-CN"/>
        </w:rPr>
        <w:t>乙</w:t>
      </w:r>
      <w:r>
        <w:rPr>
          <w:sz w:val="24"/>
          <w:highlight w:val="none"/>
        </w:rPr>
        <w:t>方原因导致试点项目无法实施的。</w:t>
      </w:r>
    </w:p>
    <w:p>
      <w:pPr>
        <w:pStyle w:val="2"/>
        <w:spacing w:before="8"/>
        <w:rPr>
          <w:sz w:val="19"/>
          <w:highlight w:val="none"/>
        </w:rPr>
      </w:pPr>
    </w:p>
    <w:p>
      <w:pPr>
        <w:pStyle w:val="18"/>
        <w:numPr>
          <w:ilvl w:val="0"/>
          <w:numId w:val="13"/>
        </w:numPr>
        <w:tabs>
          <w:tab w:val="left" w:pos="1303"/>
        </w:tabs>
        <w:spacing w:before="0" w:after="0" w:line="436" w:lineRule="auto"/>
        <w:ind w:left="281" w:right="416" w:firstLine="420"/>
        <w:jc w:val="both"/>
        <w:rPr>
          <w:sz w:val="24"/>
          <w:highlight w:val="none"/>
        </w:rPr>
      </w:pPr>
      <w:r>
        <w:rPr>
          <w:spacing w:val="-1"/>
          <w:sz w:val="24"/>
          <w:highlight w:val="none"/>
        </w:rPr>
        <w:t>因甲方原因导致</w:t>
      </w:r>
      <w:r>
        <w:rPr>
          <w:rFonts w:hint="eastAsia"/>
          <w:spacing w:val="-1"/>
          <w:sz w:val="24"/>
          <w:highlight w:val="none"/>
          <w:lang w:val="en-US" w:eastAsia="zh-CN"/>
        </w:rPr>
        <w:t>儋州市和庆镇</w:t>
      </w:r>
      <w:r>
        <w:rPr>
          <w:spacing w:val="-1"/>
          <w:sz w:val="24"/>
          <w:highlight w:val="none"/>
        </w:rPr>
        <w:t>国土空间规划、试点区域的村庄规划编制工作</w:t>
      </w:r>
      <w:r>
        <w:rPr>
          <w:sz w:val="24"/>
          <w:highlight w:val="none"/>
        </w:rPr>
        <w:t>不能及时完成或相关规划成果与《</w:t>
      </w:r>
      <w:r>
        <w:rPr>
          <w:rFonts w:hint="eastAsia"/>
          <w:sz w:val="24"/>
          <w:highlight w:val="none"/>
          <w:lang w:val="en-US" w:eastAsia="zh-CN"/>
        </w:rPr>
        <w:t>儋州</w:t>
      </w:r>
      <w:r>
        <w:rPr>
          <w:sz w:val="24"/>
          <w:highlight w:val="none"/>
        </w:rPr>
        <w:t>市</w:t>
      </w:r>
      <w:r>
        <w:rPr>
          <w:rFonts w:hint="eastAsia"/>
          <w:sz w:val="24"/>
          <w:highlight w:val="none"/>
          <w:lang w:val="en-US" w:eastAsia="zh-CN"/>
        </w:rPr>
        <w:t>和庆</w:t>
      </w:r>
      <w:r>
        <w:rPr>
          <w:sz w:val="24"/>
          <w:highlight w:val="none"/>
        </w:rPr>
        <w:t>镇全域土地综合整治（省级）试点项目实施方案》不匹配，导致试点项目无法实施或实施后不能报备入库的。</w:t>
      </w:r>
    </w:p>
    <w:p>
      <w:pPr>
        <w:pStyle w:val="18"/>
        <w:numPr>
          <w:ilvl w:val="0"/>
          <w:numId w:val="13"/>
        </w:numPr>
        <w:tabs>
          <w:tab w:val="left" w:pos="1303"/>
        </w:tabs>
        <w:spacing w:before="1" w:after="0" w:line="436" w:lineRule="auto"/>
        <w:ind w:left="281" w:right="416" w:firstLine="420"/>
        <w:jc w:val="left"/>
        <w:rPr>
          <w:sz w:val="24"/>
          <w:highlight w:val="none"/>
        </w:rPr>
      </w:pPr>
      <w:r>
        <w:rPr>
          <w:spacing w:val="-1"/>
          <w:sz w:val="24"/>
          <w:highlight w:val="none"/>
        </w:rPr>
        <w:t>项目竣工后，甲方不按国家有关规定及时签订工程管护移交合同，导致项目无</w:t>
      </w:r>
      <w:r>
        <w:rPr>
          <w:sz w:val="24"/>
          <w:highlight w:val="none"/>
        </w:rPr>
        <w:t>法验收或报备入库的。</w:t>
      </w:r>
    </w:p>
    <w:p>
      <w:pPr>
        <w:pStyle w:val="18"/>
        <w:numPr>
          <w:ilvl w:val="1"/>
          <w:numId w:val="12"/>
        </w:numPr>
        <w:tabs>
          <w:tab w:val="left" w:pos="1302"/>
        </w:tabs>
        <w:spacing w:before="1" w:after="0" w:line="436" w:lineRule="auto"/>
        <w:ind w:left="281" w:right="416" w:firstLine="420"/>
        <w:jc w:val="left"/>
        <w:rPr>
          <w:sz w:val="24"/>
          <w:highlight w:val="none"/>
        </w:rPr>
      </w:pPr>
      <w:r>
        <w:rPr>
          <w:spacing w:val="-1"/>
          <w:sz w:val="24"/>
          <w:highlight w:val="none"/>
        </w:rPr>
        <w:t>出现下列情况之一的，</w:t>
      </w:r>
      <w:r>
        <w:rPr>
          <w:rFonts w:hint="eastAsia"/>
          <w:spacing w:val="-1"/>
          <w:sz w:val="24"/>
          <w:highlight w:val="none"/>
          <w:lang w:val="en-US" w:eastAsia="zh-CN"/>
        </w:rPr>
        <w:t>为乙方违约，甲方有权对乙方作出责令整改、终止协议等决定。</w:t>
      </w:r>
    </w:p>
    <w:p>
      <w:pPr>
        <w:pStyle w:val="18"/>
        <w:numPr>
          <w:ilvl w:val="0"/>
          <w:numId w:val="14"/>
        </w:numPr>
        <w:tabs>
          <w:tab w:val="left" w:pos="1303"/>
        </w:tabs>
        <w:spacing w:before="0" w:after="0" w:line="307" w:lineRule="exact"/>
        <w:ind w:left="1302" w:right="0" w:hanging="602"/>
        <w:jc w:val="left"/>
        <w:rPr>
          <w:sz w:val="24"/>
          <w:highlight w:val="none"/>
        </w:rPr>
      </w:pPr>
      <w:r>
        <w:rPr>
          <w:sz w:val="24"/>
          <w:highlight w:val="none"/>
        </w:rPr>
        <w:t>因</w:t>
      </w:r>
      <w:r>
        <w:rPr>
          <w:rFonts w:hint="eastAsia"/>
          <w:sz w:val="24"/>
          <w:highlight w:val="none"/>
          <w:lang w:val="en-US" w:eastAsia="zh-CN"/>
        </w:rPr>
        <w:t>乙</w:t>
      </w:r>
      <w:r>
        <w:rPr>
          <w:sz w:val="24"/>
          <w:highlight w:val="none"/>
        </w:rPr>
        <w:t>方规划设计、建设等出现严重失误，导致项目无法实施或通过验收的。</w:t>
      </w:r>
    </w:p>
    <w:p>
      <w:pPr>
        <w:pStyle w:val="2"/>
        <w:spacing w:before="11"/>
        <w:rPr>
          <w:sz w:val="19"/>
          <w:highlight w:val="none"/>
        </w:rPr>
      </w:pPr>
    </w:p>
    <w:p>
      <w:pPr>
        <w:pStyle w:val="18"/>
        <w:numPr>
          <w:ilvl w:val="0"/>
          <w:numId w:val="14"/>
        </w:numPr>
        <w:tabs>
          <w:tab w:val="left" w:pos="1303"/>
        </w:tabs>
        <w:spacing w:before="0" w:after="0" w:line="436" w:lineRule="auto"/>
        <w:ind w:left="281" w:right="416" w:firstLine="420"/>
        <w:jc w:val="left"/>
        <w:rPr>
          <w:sz w:val="24"/>
          <w:highlight w:val="none"/>
        </w:rPr>
      </w:pPr>
      <w:r>
        <w:rPr>
          <w:spacing w:val="-1"/>
          <w:sz w:val="24"/>
          <w:highlight w:val="none"/>
        </w:rPr>
        <w:t>项目竣工后，</w:t>
      </w:r>
      <w:r>
        <w:rPr>
          <w:rFonts w:hint="eastAsia"/>
          <w:spacing w:val="-1"/>
          <w:sz w:val="24"/>
          <w:highlight w:val="none"/>
          <w:lang w:val="en-US" w:eastAsia="zh-CN"/>
        </w:rPr>
        <w:t>乙</w:t>
      </w:r>
      <w:r>
        <w:rPr>
          <w:spacing w:val="-1"/>
          <w:sz w:val="24"/>
          <w:highlight w:val="none"/>
        </w:rPr>
        <w:t>方拒不按国家有关规定及时签订工程管护移交合同，导致项目</w:t>
      </w:r>
      <w:r>
        <w:rPr>
          <w:sz w:val="24"/>
          <w:highlight w:val="none"/>
        </w:rPr>
        <w:t>无法验收或报备入库的。</w:t>
      </w:r>
    </w:p>
    <w:p>
      <w:pPr>
        <w:pStyle w:val="18"/>
        <w:numPr>
          <w:ilvl w:val="0"/>
          <w:numId w:val="14"/>
        </w:numPr>
        <w:tabs>
          <w:tab w:val="left" w:pos="1303"/>
        </w:tabs>
        <w:spacing w:before="45" w:after="0" w:line="240" w:lineRule="auto"/>
        <w:ind w:left="1302" w:right="0" w:hanging="602"/>
        <w:jc w:val="left"/>
        <w:rPr>
          <w:sz w:val="24"/>
          <w:highlight w:val="none"/>
        </w:rPr>
      </w:pPr>
      <w:r>
        <w:rPr>
          <w:sz w:val="24"/>
          <w:highlight w:val="none"/>
        </w:rPr>
        <w:t>因</w:t>
      </w:r>
      <w:r>
        <w:rPr>
          <w:rFonts w:hint="eastAsia"/>
          <w:sz w:val="24"/>
          <w:highlight w:val="none"/>
          <w:lang w:val="en-US" w:eastAsia="zh-CN"/>
        </w:rPr>
        <w:t>乙</w:t>
      </w:r>
      <w:r>
        <w:rPr>
          <w:sz w:val="24"/>
          <w:highlight w:val="none"/>
        </w:rPr>
        <w:t>方原因，导致出现试点项目负面清单的。</w:t>
      </w:r>
    </w:p>
    <w:p>
      <w:pPr>
        <w:pStyle w:val="2"/>
        <w:spacing w:before="9"/>
        <w:rPr>
          <w:sz w:val="19"/>
          <w:highlight w:val="none"/>
        </w:rPr>
      </w:pPr>
    </w:p>
    <w:p>
      <w:pPr>
        <w:pStyle w:val="18"/>
        <w:numPr>
          <w:ilvl w:val="0"/>
          <w:numId w:val="14"/>
        </w:numPr>
        <w:tabs>
          <w:tab w:val="left" w:pos="1303"/>
        </w:tabs>
        <w:spacing w:before="0" w:after="0" w:line="240" w:lineRule="auto"/>
        <w:ind w:left="1302" w:right="0" w:hanging="602"/>
        <w:jc w:val="left"/>
        <w:rPr>
          <w:sz w:val="24"/>
          <w:highlight w:val="none"/>
        </w:rPr>
      </w:pPr>
      <w:r>
        <w:rPr>
          <w:sz w:val="24"/>
          <w:highlight w:val="none"/>
        </w:rPr>
        <w:t>出现本协议约定的</w:t>
      </w:r>
      <w:r>
        <w:rPr>
          <w:rFonts w:hint="eastAsia"/>
          <w:sz w:val="24"/>
          <w:highlight w:val="none"/>
          <w:lang w:val="en-US" w:eastAsia="zh-CN"/>
        </w:rPr>
        <w:t>乙</w:t>
      </w:r>
      <w:r>
        <w:rPr>
          <w:sz w:val="24"/>
          <w:highlight w:val="none"/>
        </w:rPr>
        <w:t>方其他违约事项导致项目无法实施的。</w:t>
      </w:r>
    </w:p>
    <w:p>
      <w:pPr>
        <w:pStyle w:val="2"/>
        <w:spacing w:before="10"/>
        <w:rPr>
          <w:sz w:val="19"/>
          <w:highlight w:val="none"/>
        </w:rPr>
      </w:pPr>
    </w:p>
    <w:p>
      <w:pPr>
        <w:pStyle w:val="18"/>
        <w:numPr>
          <w:ilvl w:val="1"/>
          <w:numId w:val="12"/>
        </w:numPr>
        <w:tabs>
          <w:tab w:val="left" w:pos="1302"/>
        </w:tabs>
        <w:spacing w:before="0" w:after="0" w:line="240" w:lineRule="auto"/>
        <w:ind w:left="1301" w:right="0" w:hanging="601"/>
        <w:jc w:val="left"/>
        <w:rPr>
          <w:sz w:val="24"/>
          <w:highlight w:val="none"/>
        </w:rPr>
      </w:pPr>
      <w:r>
        <w:rPr>
          <w:sz w:val="24"/>
          <w:highlight w:val="none"/>
        </w:rPr>
        <w:t>因政策调整导致指标收入无法覆盖</w:t>
      </w:r>
      <w:r>
        <w:rPr>
          <w:rFonts w:hint="eastAsia"/>
          <w:sz w:val="24"/>
          <w:highlight w:val="none"/>
          <w:lang w:val="en-US" w:eastAsia="zh-CN"/>
        </w:rPr>
        <w:t>乙</w:t>
      </w:r>
      <w:r>
        <w:rPr>
          <w:sz w:val="24"/>
          <w:highlight w:val="none"/>
        </w:rPr>
        <w:t>方投资</w:t>
      </w:r>
      <w:r>
        <w:rPr>
          <w:rFonts w:hint="eastAsia"/>
          <w:sz w:val="24"/>
          <w:highlight w:val="none"/>
          <w:lang w:val="en-US" w:eastAsia="zh-CN"/>
        </w:rPr>
        <w:t>成本</w:t>
      </w:r>
      <w:r>
        <w:rPr>
          <w:sz w:val="24"/>
          <w:highlight w:val="none"/>
        </w:rPr>
        <w:t>的，</w:t>
      </w:r>
      <w:r>
        <w:rPr>
          <w:rFonts w:hint="eastAsia"/>
          <w:sz w:val="24"/>
          <w:highlight w:val="none"/>
          <w:lang w:val="en-US" w:eastAsia="zh-CN"/>
        </w:rPr>
        <w:t>双</w:t>
      </w:r>
      <w:r>
        <w:rPr>
          <w:sz w:val="24"/>
          <w:highlight w:val="none"/>
        </w:rPr>
        <w:t>方另行协商。</w:t>
      </w:r>
    </w:p>
    <w:p>
      <w:pPr>
        <w:pStyle w:val="2"/>
        <w:spacing w:before="8"/>
        <w:rPr>
          <w:sz w:val="19"/>
          <w:highlight w:val="none"/>
        </w:rPr>
      </w:pPr>
    </w:p>
    <w:p>
      <w:pPr>
        <w:pStyle w:val="18"/>
        <w:numPr>
          <w:ilvl w:val="1"/>
          <w:numId w:val="12"/>
        </w:numPr>
        <w:tabs>
          <w:tab w:val="left" w:pos="1302"/>
        </w:tabs>
        <w:spacing w:before="1" w:after="0" w:line="240" w:lineRule="auto"/>
        <w:ind w:left="1301" w:right="0" w:hanging="601"/>
        <w:jc w:val="left"/>
        <w:rPr>
          <w:sz w:val="24"/>
          <w:highlight w:val="none"/>
        </w:rPr>
      </w:pPr>
      <w:r>
        <w:rPr>
          <w:sz w:val="24"/>
          <w:highlight w:val="none"/>
        </w:rPr>
        <w:t>因自然灾害等不可抗力因素导致项目无法正常实施的，或试点项目已开工建设</w:t>
      </w:r>
    </w:p>
    <w:p>
      <w:pPr>
        <w:pStyle w:val="2"/>
        <w:spacing w:before="8"/>
        <w:rPr>
          <w:sz w:val="19"/>
          <w:highlight w:val="none"/>
        </w:rPr>
      </w:pPr>
    </w:p>
    <w:p>
      <w:pPr>
        <w:pStyle w:val="2"/>
        <w:ind w:left="281"/>
        <w:rPr>
          <w:highlight w:val="none"/>
        </w:rPr>
      </w:pPr>
      <w:r>
        <w:rPr>
          <w:highlight w:val="none"/>
        </w:rPr>
        <w:t>，</w:t>
      </w:r>
      <w:r>
        <w:rPr>
          <w:rFonts w:hint="eastAsia" w:ascii="宋体" w:hAnsi="宋体" w:eastAsia="宋体" w:cs="宋体"/>
          <w:snapToGrid w:val="0"/>
          <w:color w:val="auto"/>
          <w:sz w:val="24"/>
          <w:szCs w:val="24"/>
          <w:highlight w:val="none"/>
          <w:lang w:val="zh-TW" w:eastAsia="zh-TW" w:bidi="ar-SA"/>
        </w:rPr>
        <w:t>因不可抗力事件，导致</w:t>
      </w:r>
      <w:r>
        <w:rPr>
          <w:rFonts w:hint="eastAsia" w:ascii="宋体" w:hAnsi="宋体" w:eastAsia="宋体" w:cs="宋体"/>
          <w:snapToGrid w:val="0"/>
          <w:color w:val="auto"/>
          <w:sz w:val="24"/>
          <w:szCs w:val="24"/>
          <w:highlight w:val="none"/>
          <w:lang w:val="en-US" w:eastAsia="zh-CN" w:bidi="ar-SA"/>
        </w:rPr>
        <w:t>乙</w:t>
      </w:r>
      <w:r>
        <w:rPr>
          <w:rFonts w:hint="eastAsia" w:ascii="宋体" w:hAnsi="宋体" w:eastAsia="宋体" w:cs="宋体"/>
          <w:snapToGrid w:val="0"/>
          <w:color w:val="auto"/>
          <w:sz w:val="24"/>
          <w:szCs w:val="24"/>
          <w:highlight w:val="none"/>
          <w:lang w:val="zh-TW" w:eastAsia="zh-TW" w:bidi="ar-SA"/>
        </w:rPr>
        <w:t>方连续两年处于亏损状态，但</w:t>
      </w:r>
      <w:r>
        <w:rPr>
          <w:rFonts w:hint="eastAsia" w:ascii="宋体" w:hAnsi="宋体" w:eastAsia="宋体" w:cs="宋体"/>
          <w:snapToGrid w:val="0"/>
          <w:color w:val="auto"/>
          <w:sz w:val="24"/>
          <w:szCs w:val="24"/>
          <w:highlight w:val="none"/>
          <w:lang w:val="en-US" w:eastAsia="zh-CN" w:bidi="ar-SA"/>
        </w:rPr>
        <w:t>双</w:t>
      </w:r>
      <w:r>
        <w:rPr>
          <w:rFonts w:hint="eastAsia" w:ascii="宋体" w:hAnsi="宋体" w:eastAsia="宋体" w:cs="宋体"/>
          <w:snapToGrid w:val="0"/>
          <w:color w:val="auto"/>
          <w:sz w:val="24"/>
          <w:szCs w:val="24"/>
          <w:highlight w:val="none"/>
          <w:lang w:val="zh-TW" w:eastAsia="zh-TW" w:bidi="ar-SA"/>
        </w:rPr>
        <w:t>方仍希望继续履行本协议的</w:t>
      </w:r>
    </w:p>
    <w:p>
      <w:pPr>
        <w:pStyle w:val="2"/>
        <w:spacing w:before="10"/>
        <w:rPr>
          <w:sz w:val="19"/>
          <w:highlight w:val="none"/>
        </w:rPr>
      </w:pPr>
    </w:p>
    <w:p>
      <w:pPr>
        <w:pStyle w:val="2"/>
        <w:spacing w:before="8"/>
        <w:rPr>
          <w:rFonts w:ascii="Arial" w:hAnsi="Arial" w:eastAsia="Arial" w:cs="Arial"/>
          <w:snapToGrid w:val="0"/>
          <w:color w:val="000000"/>
          <w:sz w:val="19"/>
          <w:szCs w:val="21"/>
          <w:highlight w:val="none"/>
          <w:lang w:val="en-US" w:eastAsia="en-US" w:bidi="ar-SA"/>
        </w:rPr>
      </w:pPr>
      <w:r>
        <w:rPr>
          <w:rFonts w:ascii="Arial" w:hAnsi="Arial" w:eastAsia="Arial" w:cs="Arial"/>
          <w:snapToGrid w:val="0"/>
          <w:color w:val="000000"/>
          <w:sz w:val="19"/>
          <w:szCs w:val="21"/>
          <w:highlight w:val="none"/>
          <w:lang w:val="en-US" w:eastAsia="en-US" w:bidi="ar-SA"/>
        </w:rPr>
        <w:t>，</w:t>
      </w:r>
      <w:r>
        <w:rPr>
          <w:rFonts w:hint="eastAsia" w:ascii="宋体" w:hAnsi="宋体" w:eastAsia="宋体" w:cs="宋体"/>
          <w:snapToGrid w:val="0"/>
          <w:color w:val="auto"/>
          <w:sz w:val="24"/>
          <w:szCs w:val="24"/>
          <w:highlight w:val="none"/>
          <w:lang w:val="en-US" w:eastAsia="zh-CN" w:bidi="ar-SA"/>
        </w:rPr>
        <w:t>双</w:t>
      </w:r>
      <w:r>
        <w:rPr>
          <w:rFonts w:hint="eastAsia" w:ascii="宋体" w:hAnsi="宋体" w:eastAsia="宋体" w:cs="宋体"/>
          <w:snapToGrid w:val="0"/>
          <w:color w:val="auto"/>
          <w:sz w:val="24"/>
          <w:szCs w:val="24"/>
          <w:highlight w:val="none"/>
          <w:lang w:val="zh-TW" w:eastAsia="zh-TW" w:bidi="ar-SA"/>
        </w:rPr>
        <w:t>方另行协商。</w:t>
      </w:r>
    </w:p>
    <w:p>
      <w:pPr>
        <w:pStyle w:val="2"/>
        <w:spacing w:before="8"/>
        <w:rPr>
          <w:sz w:val="19"/>
          <w:highlight w:val="none"/>
        </w:rPr>
      </w:pPr>
    </w:p>
    <w:p>
      <w:pPr>
        <w:pStyle w:val="2"/>
        <w:ind w:left="701"/>
        <w:jc w:val="both"/>
        <w:rPr>
          <w:rFonts w:hint="eastAsia" w:ascii="Microsoft YaHei UI" w:hAnsi="Microsoft YaHei UI" w:eastAsia="Microsoft YaHei UI" w:cs="Microsoft YaHei UI"/>
          <w:b/>
          <w:bCs/>
          <w:snapToGrid w:val="0"/>
          <w:color w:val="000000"/>
          <w:sz w:val="24"/>
          <w:szCs w:val="24"/>
          <w:highlight w:val="none"/>
          <w:lang w:val="en-US" w:eastAsia="zh-CN" w:bidi="ar-SA"/>
        </w:rPr>
      </w:pPr>
      <w:r>
        <w:rPr>
          <w:rFonts w:hint="eastAsia" w:ascii="Microsoft YaHei UI" w:hAnsi="Microsoft YaHei UI" w:eastAsia="Microsoft YaHei UI" w:cs="Microsoft YaHei UI"/>
          <w:b/>
          <w:bCs/>
          <w:snapToGrid w:val="0"/>
          <w:color w:val="000000"/>
          <w:sz w:val="24"/>
          <w:szCs w:val="24"/>
          <w:highlight w:val="none"/>
          <w:lang w:val="en-US" w:eastAsia="zh-CN" w:bidi="ar-SA"/>
        </w:rPr>
        <w:t>第十二条 其他条款</w:t>
      </w:r>
    </w:p>
    <w:p>
      <w:pPr>
        <w:pStyle w:val="2"/>
        <w:spacing w:before="8"/>
        <w:rPr>
          <w:sz w:val="19"/>
          <w:highlight w:val="none"/>
        </w:rPr>
      </w:pPr>
    </w:p>
    <w:p>
      <w:pPr>
        <w:pStyle w:val="18"/>
        <w:numPr>
          <w:ilvl w:val="1"/>
          <w:numId w:val="15"/>
        </w:numPr>
        <w:tabs>
          <w:tab w:val="left" w:pos="1302"/>
        </w:tabs>
        <w:spacing w:before="0" w:after="0" w:line="439" w:lineRule="auto"/>
        <w:ind w:left="281" w:right="416" w:firstLine="420"/>
        <w:jc w:val="both"/>
        <w:rPr>
          <w:sz w:val="24"/>
          <w:highlight w:val="none"/>
        </w:rPr>
      </w:pPr>
      <w:r>
        <w:rPr>
          <w:spacing w:val="-1"/>
          <w:sz w:val="24"/>
          <w:highlight w:val="none"/>
        </w:rPr>
        <w:t>本协议所指的试点项目是指</w:t>
      </w:r>
      <w:r>
        <w:rPr>
          <w:rFonts w:hint="eastAsia"/>
          <w:spacing w:val="-1"/>
          <w:sz w:val="24"/>
          <w:highlight w:val="none"/>
          <w:lang w:val="en-US" w:eastAsia="zh-CN"/>
        </w:rPr>
        <w:t>儋州</w:t>
      </w:r>
      <w:r>
        <w:rPr>
          <w:spacing w:val="-1"/>
          <w:sz w:val="24"/>
          <w:highlight w:val="none"/>
        </w:rPr>
        <w:t>市</w:t>
      </w:r>
      <w:r>
        <w:rPr>
          <w:rFonts w:hint="eastAsia"/>
          <w:spacing w:val="-1"/>
          <w:sz w:val="24"/>
          <w:highlight w:val="none"/>
          <w:lang w:val="en-US" w:eastAsia="zh-CN"/>
        </w:rPr>
        <w:t>和庆</w:t>
      </w:r>
      <w:r>
        <w:rPr>
          <w:spacing w:val="-1"/>
          <w:sz w:val="24"/>
          <w:highlight w:val="none"/>
        </w:rPr>
        <w:t>镇全域土地综合整治</w:t>
      </w:r>
      <w:r>
        <w:rPr>
          <w:sz w:val="24"/>
          <w:highlight w:val="none"/>
        </w:rPr>
        <w:t>（省级）</w:t>
      </w:r>
      <w:r>
        <w:rPr>
          <w:spacing w:val="-118"/>
          <w:sz w:val="24"/>
          <w:highlight w:val="none"/>
        </w:rPr>
        <w:t xml:space="preserve"> </w:t>
      </w:r>
      <w:r>
        <w:rPr>
          <w:sz w:val="24"/>
          <w:highlight w:val="none"/>
        </w:rPr>
        <w:t>试点项目。</w:t>
      </w:r>
    </w:p>
    <w:p>
      <w:pPr>
        <w:pStyle w:val="18"/>
        <w:numPr>
          <w:ilvl w:val="1"/>
          <w:numId w:val="15"/>
        </w:numPr>
        <w:tabs>
          <w:tab w:val="left" w:pos="1302"/>
        </w:tabs>
        <w:spacing w:before="0" w:after="0" w:line="436" w:lineRule="auto"/>
        <w:ind w:left="281" w:right="416" w:firstLine="420"/>
        <w:jc w:val="both"/>
        <w:rPr>
          <w:sz w:val="24"/>
          <w:highlight w:val="none"/>
        </w:rPr>
      </w:pPr>
      <w:r>
        <w:rPr>
          <w:spacing w:val="-1"/>
          <w:sz w:val="24"/>
          <w:highlight w:val="none"/>
        </w:rPr>
        <w:t>本项目投资成本包括工程费用、工程建设其他费用</w:t>
      </w:r>
      <w:r>
        <w:rPr>
          <w:sz w:val="24"/>
          <w:highlight w:val="none"/>
        </w:rPr>
        <w:t>（含青苗补偿及土地流转、实施方案及可行性研究费、可研</w:t>
      </w:r>
      <w:r>
        <w:rPr>
          <w:rFonts w:hint="eastAsia"/>
          <w:sz w:val="24"/>
          <w:highlight w:val="none"/>
          <w:lang w:val="en-US" w:eastAsia="zh-CN"/>
        </w:rPr>
        <w:t>费</w:t>
      </w:r>
      <w:r>
        <w:rPr>
          <w:sz w:val="24"/>
          <w:highlight w:val="none"/>
        </w:rPr>
        <w:t>、初步设计评审费、项目勘察费、水资源论证编制费、项目设计与概算编制费、招标代理</w:t>
      </w:r>
      <w:r>
        <w:rPr>
          <w:rFonts w:hint="eastAsia"/>
          <w:sz w:val="24"/>
          <w:highlight w:val="none"/>
          <w:lang w:val="en-US" w:eastAsia="zh-CN"/>
        </w:rPr>
        <w:t>费</w:t>
      </w:r>
      <w:r>
        <w:rPr>
          <w:sz w:val="24"/>
          <w:highlight w:val="none"/>
        </w:rPr>
        <w:t>、工程监理费、施工图审查费、设计变更</w:t>
      </w:r>
      <w:r>
        <w:rPr>
          <w:rFonts w:hint="eastAsia"/>
          <w:sz w:val="24"/>
          <w:highlight w:val="none"/>
          <w:lang w:val="en-US" w:eastAsia="zh-CN"/>
        </w:rPr>
        <w:t>费</w:t>
      </w:r>
      <w:r>
        <w:rPr>
          <w:sz w:val="24"/>
          <w:highlight w:val="none"/>
        </w:rPr>
        <w:t>、工程质量检测费、工程量复核费、耕地质量等别评定</w:t>
      </w:r>
      <w:r>
        <w:rPr>
          <w:rFonts w:hint="eastAsia"/>
          <w:sz w:val="24"/>
          <w:highlight w:val="none"/>
          <w:lang w:val="en-US" w:eastAsia="zh-CN"/>
        </w:rPr>
        <w:t>费</w:t>
      </w:r>
      <w:r>
        <w:rPr>
          <w:sz w:val="24"/>
          <w:highlight w:val="none"/>
        </w:rPr>
        <w:t>、新增耕地认定费、竣工验收费、结算审核费</w:t>
      </w:r>
      <w:r>
        <w:rPr>
          <w:rFonts w:hint="eastAsia"/>
          <w:sz w:val="24"/>
          <w:highlight w:val="none"/>
          <w:lang w:eastAsia="zh-CN"/>
        </w:rPr>
        <w:t>、</w:t>
      </w:r>
      <w:r>
        <w:rPr>
          <w:sz w:val="24"/>
          <w:highlight w:val="none"/>
        </w:rPr>
        <w:t>三年后期管护费、镇政府工作经费、业主管理费等概算批复的其他费用）、不可预见费等</w:t>
      </w:r>
      <w:r>
        <w:rPr>
          <w:rFonts w:hint="eastAsia"/>
          <w:sz w:val="24"/>
          <w:highlight w:val="none"/>
          <w:lang w:eastAsia="zh-CN"/>
        </w:rPr>
        <w:t>，</w:t>
      </w:r>
      <w:r>
        <w:rPr>
          <w:sz w:val="24"/>
          <w:highlight w:val="none"/>
        </w:rPr>
        <w:t>具体以概算批复为准</w:t>
      </w:r>
      <w:r>
        <w:rPr>
          <w:rFonts w:hint="eastAsia"/>
          <w:sz w:val="24"/>
          <w:highlight w:val="none"/>
          <w:lang w:eastAsia="zh-CN"/>
        </w:rPr>
        <w:t>，</w:t>
      </w:r>
      <w:r>
        <w:rPr>
          <w:rFonts w:hint="eastAsia"/>
          <w:color w:val="auto"/>
          <w:sz w:val="24"/>
          <w:highlight w:val="none"/>
          <w:lang w:val="en-US" w:eastAsia="zh-CN"/>
        </w:rPr>
        <w:t>全部由中标人承担，计入总投资成本。</w:t>
      </w:r>
    </w:p>
    <w:p>
      <w:pPr>
        <w:pStyle w:val="2"/>
        <w:ind w:left="701"/>
        <w:rPr>
          <w:highlight w:val="none"/>
        </w:rPr>
      </w:pPr>
      <w:r>
        <w:rPr>
          <w:rFonts w:hint="eastAsia" w:ascii="宋体" w:hAnsi="宋体" w:eastAsia="宋体" w:cs="宋体"/>
          <w:snapToGrid w:val="0"/>
          <w:color w:val="auto"/>
          <w:sz w:val="24"/>
          <w:szCs w:val="24"/>
          <w:highlight w:val="none"/>
          <w:lang w:val="zh-TW" w:eastAsia="zh-TW" w:bidi="ar-SA"/>
        </w:rPr>
        <w:t>项目最终投资以甲方委托第三方出具的相关报告作为结算依据</w:t>
      </w:r>
      <w:r>
        <w:rPr>
          <w:highlight w:val="none"/>
        </w:rPr>
        <w:t>。</w:t>
      </w:r>
    </w:p>
    <w:p>
      <w:pPr>
        <w:pStyle w:val="2"/>
        <w:spacing w:before="6"/>
        <w:rPr>
          <w:sz w:val="19"/>
          <w:highlight w:val="none"/>
        </w:rPr>
      </w:pPr>
    </w:p>
    <w:p>
      <w:pPr>
        <w:pStyle w:val="18"/>
        <w:numPr>
          <w:ilvl w:val="1"/>
          <w:numId w:val="15"/>
        </w:numPr>
        <w:tabs>
          <w:tab w:val="left" w:pos="1302"/>
        </w:tabs>
        <w:spacing w:before="0" w:after="0" w:line="439" w:lineRule="auto"/>
        <w:ind w:left="281" w:right="416" w:firstLine="420"/>
        <w:jc w:val="left"/>
        <w:rPr>
          <w:sz w:val="24"/>
          <w:highlight w:val="none"/>
        </w:rPr>
      </w:pPr>
      <w:r>
        <w:rPr>
          <w:spacing w:val="-1"/>
          <w:sz w:val="24"/>
          <w:highlight w:val="none"/>
        </w:rPr>
        <w:t>本协议的项目指标包括耕地占补平衡指标</w:t>
      </w:r>
      <w:r>
        <w:rPr>
          <w:sz w:val="24"/>
          <w:highlight w:val="none"/>
        </w:rPr>
        <w:t>（新增旱地指标、新增水田指标、旱改水指标等）、建设用地指标（增减挂钩指标、工矿废弃地调整利用指标等）等。</w:t>
      </w:r>
    </w:p>
    <w:p>
      <w:pPr>
        <w:pStyle w:val="18"/>
        <w:numPr>
          <w:ilvl w:val="1"/>
          <w:numId w:val="15"/>
        </w:numPr>
        <w:tabs>
          <w:tab w:val="left" w:pos="1302"/>
        </w:tabs>
        <w:spacing w:before="0" w:after="0" w:line="439" w:lineRule="auto"/>
        <w:ind w:left="281" w:right="416" w:firstLine="420"/>
        <w:jc w:val="left"/>
        <w:rPr>
          <w:color w:val="auto"/>
          <w:sz w:val="24"/>
          <w:highlight w:val="none"/>
        </w:rPr>
      </w:pPr>
      <w:r>
        <w:rPr>
          <w:color w:val="auto"/>
          <w:sz w:val="24"/>
          <w:highlight w:val="none"/>
          <w:lang w:eastAsia="zh-CN"/>
        </w:rPr>
        <w:t>项目公司成立之前（包括设立当中），由乙方负责实施项目具体工作；项目公司成立之后，由项目公司负责实施项目具体工作；三方（甲方、乙方、项目公司）应自项目公司成立之后的10个工作日签署补充协议予以明确项目已完成情况及项目移交手续等一系列内容。</w:t>
      </w:r>
    </w:p>
    <w:p>
      <w:pPr>
        <w:pStyle w:val="2"/>
        <w:ind w:left="701"/>
        <w:jc w:val="both"/>
        <w:rPr>
          <w:sz w:val="19"/>
          <w:highlight w:val="none"/>
        </w:rPr>
      </w:pPr>
      <w:r>
        <w:rPr>
          <w:rFonts w:hint="eastAsia" w:ascii="Microsoft YaHei UI" w:hAnsi="Microsoft YaHei UI" w:eastAsia="Microsoft YaHei UI" w:cs="Microsoft YaHei UI"/>
          <w:b/>
          <w:bCs/>
          <w:snapToGrid w:val="0"/>
          <w:color w:val="000000"/>
          <w:sz w:val="24"/>
          <w:szCs w:val="24"/>
          <w:highlight w:val="none"/>
          <w:lang w:val="en-US" w:eastAsia="zh-CN" w:bidi="ar-SA"/>
        </w:rPr>
        <w:t>第十三条 附则</w:t>
      </w:r>
    </w:p>
    <w:p>
      <w:pPr>
        <w:pStyle w:val="2"/>
        <w:spacing w:line="436" w:lineRule="auto"/>
        <w:ind w:right="476" w:firstLine="480" w:firstLineChars="200"/>
        <w:jc w:val="both"/>
        <w:rPr>
          <w:sz w:val="19"/>
          <w:highlight w:val="none"/>
        </w:rPr>
      </w:pPr>
      <w:r>
        <w:rPr>
          <w:rFonts w:hint="eastAsia" w:ascii="宋体" w:hAnsi="宋体" w:eastAsia="宋体" w:cs="宋体"/>
          <w:snapToGrid w:val="0"/>
          <w:color w:val="auto"/>
          <w:sz w:val="24"/>
          <w:szCs w:val="24"/>
          <w:highlight w:val="none"/>
          <w:lang w:val="zh-TW" w:eastAsia="zh-TW" w:bidi="ar-SA"/>
        </w:rPr>
        <w:t>本协议若产生纠纷，由各方协商解决，协商不成，向项目所在地法院起诉。</w:t>
      </w:r>
    </w:p>
    <w:p>
      <w:pPr>
        <w:pStyle w:val="2"/>
        <w:spacing w:line="436" w:lineRule="auto"/>
        <w:ind w:right="476" w:firstLine="480" w:firstLineChars="200"/>
        <w:jc w:val="both"/>
        <w:rPr>
          <w:b/>
          <w:bCs/>
          <w:highlight w:val="none"/>
        </w:rPr>
      </w:pPr>
      <w:r>
        <w:rPr>
          <w:rFonts w:hint="eastAsia" w:ascii="宋体" w:hAnsi="宋体" w:eastAsia="宋体" w:cs="宋体"/>
          <w:snapToGrid w:val="0"/>
          <w:color w:val="auto"/>
          <w:sz w:val="24"/>
          <w:szCs w:val="24"/>
          <w:highlight w:val="none"/>
          <w:lang w:val="en-US" w:eastAsia="zh-CN" w:bidi="ar-SA"/>
        </w:rPr>
        <w:t>本协议一式肆份，甲乙双方各执贰份，均具有同等法律效力。本协议经双方的法定代表人或其授权代理人签字并加盖双方的公章后生效，如双方签章时间不一致的，以最后一方在本协议上签章的时间为准。未尽事宜由各方另行协商并签订补充协议，补充协议与本协议不一致的以补充协议为准。</w:t>
      </w:r>
    </w:p>
    <w:p>
      <w:pPr>
        <w:pStyle w:val="2"/>
        <w:spacing w:line="307" w:lineRule="exact"/>
        <w:ind w:left="701"/>
        <w:rPr>
          <w:b/>
          <w:bCs/>
          <w:highlight w:val="none"/>
        </w:rPr>
      </w:pPr>
      <w:r>
        <w:rPr>
          <w:b/>
          <w:bCs/>
          <w:highlight w:val="none"/>
        </w:rPr>
        <w:t>【以下无正文】</w:t>
      </w:r>
    </w:p>
    <w:p>
      <w:pPr>
        <w:spacing w:after="0" w:line="307" w:lineRule="exact"/>
        <w:rPr>
          <w:highlight w:val="none"/>
        </w:rPr>
        <w:sectPr>
          <w:footerReference r:id="rId7" w:type="default"/>
          <w:pgSz w:w="11900" w:h="16840"/>
          <w:pgMar w:top="1580" w:right="600" w:bottom="680" w:left="1420" w:header="0" w:footer="496" w:gutter="0"/>
          <w:pgNumType w:fmt="decimal"/>
          <w:cols w:space="720" w:num="1"/>
        </w:sectPr>
      </w:pPr>
    </w:p>
    <w:p>
      <w:pPr>
        <w:pStyle w:val="2"/>
        <w:spacing w:before="45" w:line="436" w:lineRule="auto"/>
        <w:ind w:left="401" w:right="6716" w:hanging="120"/>
        <w:rPr>
          <w:b/>
          <w:bCs/>
          <w:spacing w:val="-117"/>
          <w:highlight w:val="none"/>
        </w:rPr>
      </w:pPr>
      <w:r>
        <w:rPr>
          <w:b/>
          <w:bCs/>
          <w:spacing w:val="-1"/>
          <w:highlight w:val="none"/>
        </w:rPr>
        <w:t>（本页为签署页，无正文</w:t>
      </w:r>
      <w:r>
        <w:rPr>
          <w:b/>
          <w:bCs/>
          <w:highlight w:val="none"/>
        </w:rPr>
        <w:t>）</w:t>
      </w:r>
      <w:r>
        <w:rPr>
          <w:b/>
          <w:bCs/>
          <w:spacing w:val="-117"/>
          <w:highlight w:val="none"/>
        </w:rPr>
        <w:t xml:space="preserve"> </w:t>
      </w:r>
    </w:p>
    <w:p>
      <w:pPr>
        <w:pStyle w:val="2"/>
        <w:spacing w:before="45" w:line="436" w:lineRule="auto"/>
        <w:ind w:left="401" w:right="6716" w:hanging="120"/>
        <w:rPr>
          <w:b/>
          <w:bCs/>
          <w:spacing w:val="-117"/>
          <w:highlight w:val="none"/>
        </w:rPr>
      </w:pPr>
    </w:p>
    <w:p>
      <w:pPr>
        <w:rPr>
          <w:highlight w:val="none"/>
        </w:rPr>
      </w:pPr>
    </w:p>
    <w:p>
      <w:pPr>
        <w:rPr>
          <w:highlight w:val="none"/>
        </w:rPr>
      </w:pPr>
    </w:p>
    <w:p>
      <w:pPr>
        <w:autoSpaceDE/>
        <w:autoSpaceDN/>
        <w:spacing w:before="0" w:after="0" w:line="360" w:lineRule="auto"/>
        <w:ind w:left="0" w:right="0"/>
        <w:jc w:val="both"/>
        <w:rPr>
          <w:rFonts w:hint="eastAsia" w:ascii="宋体" w:hAnsi="宋体" w:eastAsia="宋体" w:cs="宋体"/>
          <w:color w:val="auto"/>
          <w:kern w:val="2"/>
          <w:sz w:val="28"/>
          <w:szCs w:val="28"/>
          <w:highlight w:val="none"/>
          <w:u w:color="000000"/>
          <w:lang w:val="zh-TW" w:eastAsia="zh-TW"/>
        </w:rPr>
      </w:pPr>
      <w:r>
        <w:rPr>
          <w:rFonts w:hint="eastAsia" w:ascii="宋体" w:hAnsi="宋体" w:eastAsia="宋体" w:cs="宋体"/>
          <w:color w:val="auto"/>
          <w:kern w:val="2"/>
          <w:sz w:val="28"/>
          <w:szCs w:val="28"/>
          <w:highlight w:val="none"/>
          <w:u w:color="000000"/>
          <w:lang w:val="zh-TW" w:eastAsia="zh-TW"/>
        </w:rPr>
        <w:t>甲方（公章）：</w:t>
      </w:r>
    </w:p>
    <w:p>
      <w:pPr>
        <w:autoSpaceDE/>
        <w:autoSpaceDN/>
        <w:spacing w:before="0" w:after="0" w:line="360" w:lineRule="auto"/>
        <w:ind w:left="0" w:right="0"/>
        <w:jc w:val="both"/>
        <w:rPr>
          <w:rFonts w:hint="eastAsia" w:ascii="宋体" w:hAnsi="宋体" w:eastAsia="宋体" w:cs="宋体"/>
          <w:color w:val="auto"/>
          <w:kern w:val="2"/>
          <w:sz w:val="28"/>
          <w:szCs w:val="28"/>
          <w:highlight w:val="none"/>
          <w:u w:color="000000"/>
          <w:lang w:val="zh-TW" w:eastAsia="zh-TW"/>
        </w:rPr>
      </w:pPr>
      <w:r>
        <w:rPr>
          <w:rFonts w:hint="eastAsia" w:ascii="宋体" w:hAnsi="宋体" w:eastAsia="宋体" w:cs="宋体"/>
          <w:color w:val="auto"/>
          <w:kern w:val="2"/>
          <w:sz w:val="28"/>
          <w:szCs w:val="28"/>
          <w:highlight w:val="none"/>
          <w:u w:color="000000"/>
          <w:lang w:val="zh-TW" w:eastAsia="zh-TW"/>
        </w:rPr>
        <w:t>法定代表人或其授权代理人（签字）：</w:t>
      </w:r>
    </w:p>
    <w:p>
      <w:pPr>
        <w:autoSpaceDE/>
        <w:autoSpaceDN/>
        <w:spacing w:before="0" w:after="0" w:line="360" w:lineRule="auto"/>
        <w:ind w:left="0" w:right="0"/>
        <w:jc w:val="both"/>
        <w:rPr>
          <w:rFonts w:hint="eastAsia" w:ascii="宋体" w:hAnsi="宋体" w:eastAsia="宋体" w:cs="宋体"/>
          <w:color w:val="auto"/>
          <w:kern w:val="2"/>
          <w:sz w:val="28"/>
          <w:szCs w:val="28"/>
          <w:highlight w:val="none"/>
          <w:u w:color="000000"/>
          <w:lang w:val="zh-TW" w:eastAsia="zh-TW"/>
        </w:rPr>
      </w:pPr>
      <w:r>
        <w:rPr>
          <w:rFonts w:hint="eastAsia" w:ascii="宋体" w:hAnsi="宋体" w:eastAsia="宋体" w:cs="宋体"/>
          <w:color w:val="auto"/>
          <w:kern w:val="2"/>
          <w:sz w:val="28"/>
          <w:szCs w:val="28"/>
          <w:highlight w:val="none"/>
          <w:u w:color="000000"/>
          <w:lang w:val="zh-TW" w:eastAsia="zh-TW"/>
        </w:rPr>
        <w:t>单 位 地 址：</w:t>
      </w:r>
    </w:p>
    <w:p>
      <w:pPr>
        <w:autoSpaceDE/>
        <w:autoSpaceDN/>
        <w:spacing w:before="0" w:after="0" w:line="360" w:lineRule="auto"/>
        <w:ind w:left="0" w:right="0"/>
        <w:jc w:val="both"/>
        <w:rPr>
          <w:rFonts w:hint="eastAsia" w:ascii="宋体" w:hAnsi="宋体" w:eastAsia="宋体" w:cs="宋体"/>
          <w:color w:val="auto"/>
          <w:kern w:val="2"/>
          <w:sz w:val="28"/>
          <w:szCs w:val="28"/>
          <w:highlight w:val="none"/>
          <w:u w:color="000000"/>
          <w:lang w:val="zh-TW" w:eastAsia="zh-TW"/>
        </w:rPr>
      </w:pPr>
      <w:r>
        <w:rPr>
          <w:rFonts w:hint="eastAsia" w:ascii="宋体" w:hAnsi="宋体" w:eastAsia="宋体" w:cs="宋体"/>
          <w:color w:val="auto"/>
          <w:kern w:val="2"/>
          <w:sz w:val="28"/>
          <w:szCs w:val="28"/>
          <w:highlight w:val="none"/>
          <w:u w:color="000000"/>
          <w:lang w:val="zh-TW" w:eastAsia="zh-TW"/>
        </w:rPr>
        <w:t>联 系 电 话：</w:t>
      </w: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pStyle w:val="2"/>
        <w:rPr>
          <w:highlight w:val="none"/>
        </w:rPr>
      </w:pPr>
    </w:p>
    <w:p>
      <w:pPr>
        <w:spacing w:line="360" w:lineRule="auto"/>
        <w:rPr>
          <w:rFonts w:ascii="宋体" w:hAnsi="宋体" w:eastAsia="宋体" w:cs="宋体"/>
          <w:color w:val="auto"/>
          <w:sz w:val="28"/>
          <w:szCs w:val="28"/>
          <w:highlight w:val="none"/>
          <w:lang w:val="zh-TW" w:eastAsia="zh-TW"/>
        </w:rPr>
      </w:pPr>
      <w:r>
        <w:rPr>
          <w:rFonts w:hint="eastAsia" w:ascii="宋体" w:hAnsi="宋体" w:eastAsia="宋体" w:cs="宋体"/>
          <w:color w:val="auto"/>
          <w:sz w:val="28"/>
          <w:szCs w:val="28"/>
          <w:highlight w:val="none"/>
          <w:lang w:val="zh-TW" w:eastAsia="zh-TW"/>
        </w:rPr>
        <w:t>乙方（公章）：</w:t>
      </w:r>
    </w:p>
    <w:p>
      <w:pPr>
        <w:spacing w:line="360" w:lineRule="auto"/>
        <w:rPr>
          <w:rFonts w:ascii="宋体" w:hAnsi="宋体" w:eastAsia="宋体" w:cs="宋体"/>
          <w:color w:val="auto"/>
          <w:sz w:val="28"/>
          <w:szCs w:val="28"/>
          <w:highlight w:val="none"/>
          <w:lang w:val="zh-TW" w:eastAsia="zh-TW"/>
        </w:rPr>
      </w:pPr>
      <w:r>
        <w:rPr>
          <w:rFonts w:hint="eastAsia" w:ascii="宋体" w:hAnsi="宋体" w:eastAsia="宋体" w:cs="宋体"/>
          <w:color w:val="auto"/>
          <w:sz w:val="28"/>
          <w:szCs w:val="28"/>
          <w:highlight w:val="none"/>
          <w:lang w:val="zh-TW" w:eastAsia="zh-TW"/>
        </w:rPr>
        <w:t>法定代表人或其授权代理人（签字）：</w:t>
      </w:r>
    </w:p>
    <w:p>
      <w:pPr>
        <w:spacing w:line="360" w:lineRule="auto"/>
        <w:rPr>
          <w:rFonts w:ascii="宋体" w:hAnsi="宋体" w:eastAsia="宋体" w:cs="宋体"/>
          <w:color w:val="auto"/>
          <w:sz w:val="28"/>
          <w:szCs w:val="28"/>
          <w:highlight w:val="none"/>
          <w:lang w:val="zh-TW" w:eastAsia="zh-TW"/>
        </w:rPr>
      </w:pPr>
      <w:r>
        <w:rPr>
          <w:rFonts w:hint="eastAsia" w:ascii="宋体" w:hAnsi="宋体" w:eastAsia="宋体" w:cs="宋体"/>
          <w:color w:val="auto"/>
          <w:sz w:val="28"/>
          <w:szCs w:val="28"/>
          <w:highlight w:val="none"/>
          <w:lang w:val="zh-TW" w:eastAsia="zh-TW"/>
        </w:rPr>
        <w:t>单 位 地 址：</w:t>
      </w:r>
    </w:p>
    <w:p>
      <w:pPr>
        <w:pStyle w:val="2"/>
        <w:rPr>
          <w:rFonts w:hint="eastAsia" w:ascii="宋体" w:hAnsi="宋体" w:eastAsia="宋体" w:cs="宋体"/>
          <w:color w:val="auto"/>
          <w:sz w:val="28"/>
          <w:szCs w:val="28"/>
          <w:highlight w:val="none"/>
          <w:lang w:val="zh-TW" w:eastAsia="zh-TW"/>
        </w:rPr>
      </w:pPr>
      <w:r>
        <w:rPr>
          <w:rFonts w:hint="eastAsia" w:ascii="宋体" w:hAnsi="宋体" w:eastAsia="宋体" w:cs="宋体"/>
          <w:color w:val="auto"/>
          <w:sz w:val="28"/>
          <w:szCs w:val="28"/>
          <w:highlight w:val="none"/>
          <w:lang w:val="zh-TW" w:eastAsia="zh-TW"/>
        </w:rPr>
        <w:t>联 系 电 话：</w:t>
      </w:r>
    </w:p>
    <w:p>
      <w:pPr>
        <w:rPr>
          <w:rFonts w:hint="eastAsia" w:ascii="宋体" w:hAnsi="宋体" w:eastAsia="宋体" w:cs="宋体"/>
          <w:color w:val="auto"/>
          <w:sz w:val="28"/>
          <w:szCs w:val="28"/>
          <w:highlight w:val="none"/>
          <w:lang w:val="zh-TW" w:eastAsia="zh-TW"/>
        </w:rPr>
      </w:pPr>
    </w:p>
    <w:p>
      <w:pPr>
        <w:pStyle w:val="2"/>
        <w:rPr>
          <w:rFonts w:hint="eastAsia" w:ascii="宋体" w:hAnsi="宋体" w:eastAsia="宋体" w:cs="宋体"/>
          <w:color w:val="auto"/>
          <w:sz w:val="28"/>
          <w:szCs w:val="28"/>
          <w:highlight w:val="none"/>
          <w:lang w:val="zh-TW" w:eastAsia="zh-TW"/>
        </w:rPr>
      </w:pPr>
    </w:p>
    <w:p>
      <w:pPr>
        <w:rPr>
          <w:rFonts w:hint="eastAsia" w:ascii="宋体" w:hAnsi="宋体" w:eastAsia="宋体" w:cs="宋体"/>
          <w:color w:val="auto"/>
          <w:sz w:val="28"/>
          <w:szCs w:val="28"/>
          <w:highlight w:val="none"/>
          <w:lang w:val="zh-TW" w:eastAsia="zh-TW"/>
        </w:rPr>
      </w:pPr>
    </w:p>
    <w:p>
      <w:pPr>
        <w:pStyle w:val="2"/>
        <w:rPr>
          <w:rFonts w:hint="eastAsia"/>
          <w:highlight w:val="none"/>
          <w:lang w:val="zh-TW" w:eastAsia="zh-TW"/>
        </w:rPr>
      </w:pPr>
    </w:p>
    <w:p>
      <w:pPr>
        <w:pStyle w:val="2"/>
        <w:rPr>
          <w:highlight w:val="none"/>
          <w:lang w:val="zh-TW" w:eastAsia="zh-TW"/>
        </w:rPr>
      </w:pPr>
    </w:p>
    <w:p>
      <w:pPr>
        <w:rPr>
          <w:highlight w:val="none"/>
          <w:lang w:val="zh-TW" w:eastAsia="zh-TW"/>
        </w:rPr>
      </w:pPr>
    </w:p>
    <w:p>
      <w:pPr>
        <w:pStyle w:val="2"/>
        <w:rPr>
          <w:highlight w:val="none"/>
          <w:lang w:val="zh-TW" w:eastAsia="zh-TW"/>
        </w:rPr>
      </w:pPr>
    </w:p>
    <w:p>
      <w:pPr>
        <w:rPr>
          <w:highlight w:val="none"/>
          <w:lang w:val="zh-TW" w:eastAsia="zh-TW"/>
        </w:rPr>
      </w:pPr>
    </w:p>
    <w:p>
      <w:pPr>
        <w:pStyle w:val="2"/>
        <w:rPr>
          <w:highlight w:val="none"/>
          <w:lang w:val="zh-TW" w:eastAsia="zh-TW"/>
        </w:rPr>
      </w:pPr>
    </w:p>
    <w:p>
      <w:pPr>
        <w:spacing w:line="360" w:lineRule="auto"/>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zh-TW" w:eastAsia="zh-TW"/>
        </w:rPr>
        <w:t>签订地点：</w:t>
      </w:r>
      <w:r>
        <w:rPr>
          <w:rFonts w:hint="eastAsia" w:ascii="宋体" w:hAnsi="宋体" w:eastAsia="宋体" w:cs="宋体"/>
          <w:color w:val="auto"/>
          <w:sz w:val="28"/>
          <w:szCs w:val="28"/>
          <w:highlight w:val="none"/>
          <w:u w:val="single"/>
        </w:rPr>
        <w:t xml:space="preserve">      </w:t>
      </w:r>
    </w:p>
    <w:p>
      <w:pPr>
        <w:spacing w:line="360" w:lineRule="auto"/>
        <w:jc w:val="left"/>
        <w:rPr>
          <w:highlight w:val="none"/>
        </w:rPr>
        <w:sectPr>
          <w:footerReference r:id="rId8" w:type="default"/>
          <w:pgSz w:w="11900" w:h="16840"/>
          <w:pgMar w:top="1580" w:right="600" w:bottom="680" w:left="1420" w:header="0" w:footer="496" w:gutter="0"/>
          <w:pgNumType w:fmt="decimal"/>
          <w:cols w:space="720" w:num="1"/>
        </w:sectPr>
      </w:pPr>
      <w:r>
        <w:rPr>
          <w:rFonts w:hint="eastAsia" w:ascii="宋体" w:hAnsi="宋体" w:eastAsia="宋体" w:cs="宋体"/>
          <w:color w:val="auto"/>
          <w:sz w:val="28"/>
          <w:szCs w:val="28"/>
          <w:highlight w:val="none"/>
          <w:lang w:val="zh-TW" w:eastAsia="zh-TW"/>
        </w:rPr>
        <w:t>签订日期：202</w:t>
      </w:r>
      <w:r>
        <w:rPr>
          <w:rFonts w:hint="eastAsia" w:cs="宋体"/>
          <w:color w:val="auto"/>
          <w:sz w:val="28"/>
          <w:szCs w:val="28"/>
          <w:highlight w:val="none"/>
          <w:lang w:val="en-US" w:eastAsia="zh-CN"/>
        </w:rPr>
        <w:t>4</w:t>
      </w:r>
      <w:r>
        <w:rPr>
          <w:rFonts w:hint="eastAsia" w:ascii="宋体" w:hAnsi="宋体" w:eastAsia="宋体" w:cs="宋体"/>
          <w:color w:val="auto"/>
          <w:sz w:val="28"/>
          <w:szCs w:val="28"/>
          <w:highlight w:val="none"/>
          <w:lang w:val="zh-TW" w:eastAsia="zh-TW"/>
        </w:rPr>
        <w:t>年   月   日</w:t>
      </w:r>
    </w:p>
    <w:p>
      <w:pPr>
        <w:rPr>
          <w:color w:val="auto"/>
          <w:highlight w:val="none"/>
        </w:rPr>
      </w:pPr>
      <w:bookmarkStart w:id="573" w:name="第五章 项目需求"/>
      <w:bookmarkEnd w:id="573"/>
      <w:bookmarkStart w:id="574" w:name="_bookmark72"/>
      <w:bookmarkEnd w:id="574"/>
    </w:p>
    <w:p>
      <w:pPr>
        <w:pStyle w:val="4"/>
        <w:spacing w:line="744" w:lineRule="exact"/>
        <w:ind w:left="2580" w:right="2659"/>
        <w:rPr>
          <w:color w:val="auto"/>
          <w:highlight w:val="none"/>
        </w:rPr>
      </w:pPr>
      <w:bookmarkStart w:id="575" w:name="_Toc32512"/>
      <w:bookmarkStart w:id="576" w:name="_Toc6510"/>
      <w:r>
        <w:rPr>
          <w:color w:val="auto"/>
          <w:spacing w:val="11"/>
          <w:highlight w:val="none"/>
        </w:rPr>
        <w:t>第五章 项目需求</w:t>
      </w:r>
      <w:bookmarkEnd w:id="575"/>
      <w:bookmarkEnd w:id="576"/>
    </w:p>
    <w:p>
      <w:pPr>
        <w:pStyle w:val="2"/>
        <w:rPr>
          <w:rFonts w:ascii="Microsoft YaHei UI"/>
          <w:b/>
          <w:color w:val="auto"/>
          <w:sz w:val="20"/>
          <w:highlight w:val="none"/>
        </w:rPr>
      </w:pPr>
    </w:p>
    <w:p>
      <w:pPr>
        <w:pStyle w:val="2"/>
        <w:numPr>
          <w:ilvl w:val="-1"/>
          <w:numId w:val="0"/>
        </w:numPr>
        <w:spacing w:before="13"/>
        <w:ind w:left="0" w:leftChars="0" w:firstLine="600" w:firstLineChars="200"/>
        <w:rPr>
          <w:rFonts w:hint="eastAsia" w:ascii="黑体" w:hAnsi="黑体" w:eastAsia="黑体" w:cs="黑体"/>
          <w:b w:val="0"/>
          <w:bCs/>
          <w:color w:val="auto"/>
          <w:sz w:val="30"/>
          <w:szCs w:val="30"/>
          <w:highlight w:val="none"/>
          <w:lang w:val="en-US" w:eastAsia="zh-CN"/>
        </w:rPr>
      </w:pPr>
      <w:r>
        <w:rPr>
          <w:rFonts w:hint="eastAsia" w:ascii="黑体" w:hAnsi="黑体" w:eastAsia="黑体" w:cs="黑体"/>
          <w:b w:val="0"/>
          <w:bCs/>
          <w:color w:val="auto"/>
          <w:sz w:val="30"/>
          <w:szCs w:val="30"/>
          <w:highlight w:val="none"/>
          <w:lang w:val="en-US" w:eastAsia="zh-CN"/>
        </w:rPr>
        <w:t>一、项目背景</w:t>
      </w:r>
    </w:p>
    <w:p>
      <w:pPr>
        <w:pStyle w:val="2"/>
        <w:spacing w:before="2"/>
        <w:rPr>
          <w:rFonts w:ascii="Microsoft YaHei UI"/>
          <w:b/>
          <w:color w:val="auto"/>
          <w:sz w:val="7"/>
          <w:highlight w:val="none"/>
        </w:rPr>
      </w:pPr>
    </w:p>
    <w:p>
      <w:pPr>
        <w:pStyle w:val="2"/>
        <w:spacing w:before="66" w:line="364" w:lineRule="auto"/>
        <w:ind w:left="0" w:right="435" w:firstLine="420" w:firstLineChars="200"/>
        <w:rPr>
          <w:color w:val="auto"/>
          <w:highlight w:val="none"/>
        </w:rPr>
      </w:pPr>
      <w:r>
        <w:rPr>
          <w:color w:val="auto"/>
          <w:highlight w:val="none"/>
        </w:rPr>
        <w:t>为贯彻落实习近平总书记对浙江“千村示范、万村整治”重要批示精神，统筹山水林田湖草系统治理，加快推进乡村全域土地综合整治与生态修复，按照《乡村振兴战略规划（2018-</w:t>
      </w:r>
      <w:r>
        <w:rPr>
          <w:color w:val="auto"/>
          <w:spacing w:val="20"/>
          <w:highlight w:val="none"/>
        </w:rPr>
        <w:t xml:space="preserve"> </w:t>
      </w:r>
      <w:r>
        <w:rPr>
          <w:color w:val="auto"/>
          <w:highlight w:val="none"/>
        </w:rPr>
        <w:t>2022年）》、《自然资源部关于开展全域土地综合整治试点工作的通知》（自然资发〔2019〕194号）、《海南省人民政府办公厅关于开展全域土地综合整治试点的意见》（琼府办函〔2020〕321号）、《海南省自然资源和规划厅关于申报全域土地综合整治省级试点的函》（琼自然资函〔2021〕552号）等相关部署要求，结合我市实际，在借鉴</w:t>
      </w:r>
      <w:r>
        <w:rPr>
          <w:rFonts w:hint="eastAsia"/>
          <w:color w:val="auto"/>
          <w:highlight w:val="none"/>
          <w:lang w:eastAsia="zh-CN"/>
        </w:rPr>
        <w:t>省外及</w:t>
      </w:r>
      <w:r>
        <w:rPr>
          <w:color w:val="auto"/>
          <w:highlight w:val="none"/>
        </w:rPr>
        <w:t>海南省各市县全域土地综合整治与生态修复工程经验的基础上，整体推进农用地整理、建设用地整理、生态保护修复和人居环境整治，优化农村生产、生活、生态空间布局，促进耕地保护和土地集约节约利用，改善农村人居环境，助推乡村全面振兴。拟实施</w:t>
      </w:r>
      <w:r>
        <w:rPr>
          <w:rFonts w:hint="eastAsia"/>
          <w:color w:val="auto"/>
          <w:highlight w:val="none"/>
          <w:lang w:val="en-US" w:eastAsia="zh-CN"/>
        </w:rPr>
        <w:t>儋州</w:t>
      </w:r>
      <w:r>
        <w:rPr>
          <w:color w:val="auto"/>
          <w:highlight w:val="none"/>
        </w:rPr>
        <w:t>市</w:t>
      </w:r>
      <w:r>
        <w:rPr>
          <w:rFonts w:hint="eastAsia"/>
          <w:color w:val="auto"/>
          <w:highlight w:val="none"/>
          <w:lang w:val="en-US" w:eastAsia="zh-CN"/>
        </w:rPr>
        <w:t>和庆</w:t>
      </w:r>
      <w:r>
        <w:rPr>
          <w:color w:val="auto"/>
          <w:highlight w:val="none"/>
        </w:rPr>
        <w:t>镇全域土地综合整治（省级）试点项目。</w:t>
      </w:r>
    </w:p>
    <w:p>
      <w:pPr>
        <w:pStyle w:val="2"/>
        <w:numPr>
          <w:ilvl w:val="-1"/>
          <w:numId w:val="0"/>
        </w:numPr>
        <w:spacing w:before="13"/>
        <w:ind w:left="0" w:leftChars="0" w:firstLine="600" w:firstLineChars="200"/>
        <w:rPr>
          <w:rFonts w:hint="eastAsia" w:ascii="黑体" w:hAnsi="黑体" w:eastAsia="黑体" w:cs="黑体"/>
          <w:b w:val="0"/>
          <w:bCs/>
          <w:color w:val="auto"/>
          <w:sz w:val="30"/>
          <w:szCs w:val="30"/>
          <w:highlight w:val="none"/>
          <w:lang w:val="en-US" w:eastAsia="zh-CN"/>
        </w:rPr>
      </w:pPr>
      <w:r>
        <w:rPr>
          <w:rFonts w:hint="eastAsia" w:ascii="黑体" w:hAnsi="黑体" w:eastAsia="黑体" w:cs="黑体"/>
          <w:b w:val="0"/>
          <w:bCs/>
          <w:color w:val="auto"/>
          <w:sz w:val="30"/>
          <w:szCs w:val="30"/>
          <w:highlight w:val="none"/>
          <w:lang w:val="en-US" w:eastAsia="zh-CN"/>
        </w:rPr>
        <w:t>二、项目概况</w:t>
      </w:r>
    </w:p>
    <w:p>
      <w:pPr>
        <w:pStyle w:val="5"/>
        <w:spacing w:before="126" w:line="240" w:lineRule="auto"/>
        <w:ind w:left="0" w:leftChars="0" w:firstLine="420" w:firstLineChars="200"/>
        <w:rPr>
          <w:rFonts w:hint="eastAsia" w:ascii="Arial" w:hAnsi="Arial" w:eastAsia="Arial" w:cs="Arial"/>
          <w:b w:val="0"/>
          <w:bCs w:val="0"/>
          <w:snapToGrid w:val="0"/>
          <w:color w:val="auto"/>
          <w:sz w:val="21"/>
          <w:szCs w:val="21"/>
          <w:highlight w:val="none"/>
          <w:lang w:val="en-US" w:eastAsia="zh-CN" w:bidi="ar-SA"/>
        </w:rPr>
      </w:pPr>
      <w:r>
        <w:rPr>
          <w:rFonts w:hint="eastAsia" w:ascii="Arial" w:hAnsi="Arial" w:eastAsia="Arial" w:cs="Arial"/>
          <w:b w:val="0"/>
          <w:bCs w:val="0"/>
          <w:snapToGrid w:val="0"/>
          <w:color w:val="auto"/>
          <w:sz w:val="21"/>
          <w:szCs w:val="21"/>
          <w:highlight w:val="none"/>
          <w:lang w:val="en-US" w:eastAsia="zh-CN" w:bidi="ar-SA"/>
        </w:rPr>
        <w:t>（一）项目地点</w:t>
      </w:r>
    </w:p>
    <w:p>
      <w:pPr>
        <w:spacing w:before="104" w:line="312" w:lineRule="auto"/>
        <w:ind w:right="5083" w:firstLine="420" w:firstLineChars="200"/>
        <w:jc w:val="left"/>
        <w:rPr>
          <w:color w:val="auto"/>
          <w:sz w:val="24"/>
          <w:highlight w:val="none"/>
        </w:rPr>
      </w:pPr>
      <w:r>
        <w:rPr>
          <w:color w:val="auto"/>
          <w:sz w:val="21"/>
          <w:highlight w:val="none"/>
        </w:rPr>
        <w:t>试点区域位于</w:t>
      </w:r>
      <w:r>
        <w:rPr>
          <w:rFonts w:hint="default"/>
          <w:color w:val="auto"/>
          <w:sz w:val="21"/>
          <w:highlight w:val="none"/>
          <w:lang w:val="en-US" w:eastAsia="en-US"/>
        </w:rPr>
        <w:t>儋州</w:t>
      </w:r>
      <w:r>
        <w:rPr>
          <w:color w:val="auto"/>
          <w:sz w:val="21"/>
          <w:highlight w:val="none"/>
        </w:rPr>
        <w:t>市</w:t>
      </w:r>
      <w:r>
        <w:rPr>
          <w:rFonts w:hint="default"/>
          <w:color w:val="auto"/>
          <w:sz w:val="21"/>
          <w:highlight w:val="none"/>
          <w:lang w:val="en-US" w:eastAsia="en-US"/>
        </w:rPr>
        <w:t>和庆</w:t>
      </w:r>
      <w:r>
        <w:rPr>
          <w:color w:val="auto"/>
          <w:sz w:val="21"/>
          <w:highlight w:val="none"/>
        </w:rPr>
        <w:t>镇</w:t>
      </w:r>
      <w:r>
        <w:rPr>
          <w:color w:val="auto"/>
          <w:sz w:val="24"/>
          <w:highlight w:val="none"/>
        </w:rPr>
        <w:t>。</w:t>
      </w:r>
    </w:p>
    <w:p>
      <w:pPr>
        <w:pStyle w:val="5"/>
        <w:spacing w:before="126" w:line="240" w:lineRule="auto"/>
        <w:ind w:left="0" w:leftChars="0" w:firstLine="420" w:firstLineChars="200"/>
        <w:rPr>
          <w:rFonts w:hint="eastAsia" w:ascii="Arial" w:hAnsi="Arial" w:eastAsia="Arial" w:cs="Arial"/>
          <w:b w:val="0"/>
          <w:bCs w:val="0"/>
          <w:snapToGrid w:val="0"/>
          <w:color w:val="auto"/>
          <w:sz w:val="21"/>
          <w:szCs w:val="21"/>
          <w:highlight w:val="none"/>
          <w:lang w:val="en-US" w:eastAsia="zh-CN" w:bidi="ar-SA"/>
        </w:rPr>
      </w:pPr>
      <w:r>
        <w:rPr>
          <w:rFonts w:hint="eastAsia" w:ascii="Arial" w:hAnsi="Arial" w:eastAsia="Arial" w:cs="Arial"/>
          <w:b w:val="0"/>
          <w:bCs w:val="0"/>
          <w:snapToGrid w:val="0"/>
          <w:color w:val="auto"/>
          <w:sz w:val="21"/>
          <w:szCs w:val="21"/>
          <w:highlight w:val="none"/>
          <w:lang w:val="en-US" w:eastAsia="zh-CN" w:bidi="ar-SA"/>
        </w:rPr>
        <w:t>（二）项目规模</w:t>
      </w:r>
    </w:p>
    <w:p>
      <w:pPr>
        <w:pStyle w:val="2"/>
        <w:spacing w:before="66" w:line="364" w:lineRule="auto"/>
        <w:ind w:left="0" w:right="435" w:firstLine="420" w:firstLineChars="200"/>
        <w:rPr>
          <w:rFonts w:ascii="Arial" w:hAnsi="Arial" w:eastAsia="Arial" w:cs="Arial"/>
          <w:snapToGrid w:val="0"/>
          <w:color w:val="auto"/>
          <w:sz w:val="21"/>
          <w:szCs w:val="21"/>
          <w:highlight w:val="none"/>
          <w:lang w:val="en-US" w:eastAsia="en-US" w:bidi="ar-SA"/>
        </w:rPr>
      </w:pPr>
      <w:r>
        <w:rPr>
          <w:rFonts w:hint="eastAsia" w:ascii="Arial" w:hAnsi="Arial" w:eastAsia="Arial" w:cs="Arial"/>
          <w:snapToGrid w:val="0"/>
          <w:color w:val="auto"/>
          <w:sz w:val="21"/>
          <w:szCs w:val="21"/>
          <w:highlight w:val="none"/>
          <w:lang w:val="en-US" w:eastAsia="zh-CN" w:bidi="ar-SA"/>
        </w:rPr>
        <w:t>儋州</w:t>
      </w:r>
      <w:r>
        <w:rPr>
          <w:rFonts w:ascii="Arial" w:hAnsi="Arial" w:eastAsia="Arial" w:cs="Arial"/>
          <w:snapToGrid w:val="0"/>
          <w:color w:val="auto"/>
          <w:sz w:val="21"/>
          <w:szCs w:val="21"/>
          <w:highlight w:val="none"/>
          <w:lang w:val="en-US" w:eastAsia="en-US" w:bidi="ar-SA"/>
        </w:rPr>
        <w:t>市</w:t>
      </w:r>
      <w:r>
        <w:rPr>
          <w:rFonts w:hint="eastAsia" w:ascii="Arial" w:hAnsi="Arial" w:eastAsia="Arial" w:cs="Arial"/>
          <w:snapToGrid w:val="0"/>
          <w:color w:val="auto"/>
          <w:sz w:val="21"/>
          <w:szCs w:val="21"/>
          <w:highlight w:val="none"/>
          <w:lang w:val="en-US" w:eastAsia="zh-CN" w:bidi="ar-SA"/>
        </w:rPr>
        <w:t>和庆</w:t>
      </w:r>
      <w:r>
        <w:rPr>
          <w:rFonts w:ascii="Arial" w:hAnsi="Arial" w:eastAsia="Arial" w:cs="Arial"/>
          <w:snapToGrid w:val="0"/>
          <w:color w:val="auto"/>
          <w:sz w:val="21"/>
          <w:szCs w:val="21"/>
          <w:highlight w:val="none"/>
          <w:lang w:val="en-US" w:eastAsia="en-US" w:bidi="ar-SA"/>
        </w:rPr>
        <w:t>镇</w:t>
      </w:r>
      <w:r>
        <w:rPr>
          <w:rFonts w:hint="eastAsia" w:ascii="Arial" w:hAnsi="Arial" w:eastAsia="Arial" w:cs="Arial"/>
          <w:snapToGrid w:val="0"/>
          <w:color w:val="auto"/>
          <w:sz w:val="21"/>
          <w:szCs w:val="21"/>
          <w:highlight w:val="none"/>
          <w:lang w:val="en-US" w:eastAsia="zh-CN" w:bidi="ar-SA"/>
        </w:rPr>
        <w:t>和庆居委会、</w:t>
      </w:r>
      <w:r>
        <w:rPr>
          <w:rFonts w:hint="eastAsia" w:ascii="Arial" w:hAnsi="Arial" w:eastAsia="Arial" w:cs="Arial"/>
          <w:snapToGrid w:val="0"/>
          <w:color w:val="auto"/>
          <w:sz w:val="21"/>
          <w:szCs w:val="21"/>
          <w:highlight w:val="none"/>
          <w:lang w:val="en-US" w:eastAsia="en-US" w:bidi="ar-SA"/>
        </w:rPr>
        <w:t>美灵村委会、罗便村委会、美万村委会、木排村委会、和祥村委会、美敖村委会、文卷村委会、拱教村委会、美万新村</w:t>
      </w:r>
      <w:r>
        <w:rPr>
          <w:rFonts w:hint="eastAsia" w:ascii="Arial" w:hAnsi="Arial" w:eastAsia="Arial" w:cs="Arial"/>
          <w:snapToGrid w:val="0"/>
          <w:color w:val="auto"/>
          <w:sz w:val="21"/>
          <w:szCs w:val="21"/>
          <w:highlight w:val="none"/>
          <w:lang w:val="en-US" w:eastAsia="zh-CN" w:bidi="ar-SA"/>
        </w:rPr>
        <w:t>村</w:t>
      </w:r>
      <w:r>
        <w:rPr>
          <w:rFonts w:hint="eastAsia" w:ascii="Arial" w:hAnsi="Arial" w:eastAsia="Arial" w:cs="Arial"/>
          <w:snapToGrid w:val="0"/>
          <w:color w:val="auto"/>
          <w:sz w:val="21"/>
          <w:szCs w:val="21"/>
          <w:highlight w:val="none"/>
          <w:lang w:val="en-US" w:eastAsia="en-US" w:bidi="ar-SA"/>
        </w:rPr>
        <w:t>委会、新村村委会</w:t>
      </w:r>
      <w:r>
        <w:rPr>
          <w:rFonts w:hint="eastAsia" w:ascii="Arial" w:hAnsi="Arial" w:eastAsia="Arial" w:cs="Arial"/>
          <w:snapToGrid w:val="0"/>
          <w:color w:val="auto"/>
          <w:sz w:val="21"/>
          <w:szCs w:val="21"/>
          <w:highlight w:val="none"/>
          <w:lang w:val="en-US" w:eastAsia="zh-CN" w:bidi="ar-SA"/>
        </w:rPr>
        <w:t>等11个行政村（社区）及3个镇办农场</w:t>
      </w:r>
      <w:r>
        <w:rPr>
          <w:rFonts w:ascii="Arial" w:hAnsi="Arial" w:eastAsia="Arial" w:cs="Arial"/>
          <w:snapToGrid w:val="0"/>
          <w:color w:val="auto"/>
          <w:sz w:val="21"/>
          <w:szCs w:val="21"/>
          <w:highlight w:val="none"/>
          <w:lang w:val="en-US" w:eastAsia="en-US" w:bidi="ar-SA"/>
        </w:rPr>
        <w:t>，项目试点区域规模</w:t>
      </w:r>
      <w:r>
        <w:rPr>
          <w:rFonts w:hint="eastAsia" w:ascii="Arial" w:hAnsi="Arial" w:eastAsia="Arial" w:cs="Arial"/>
          <w:snapToGrid w:val="0"/>
          <w:color w:val="auto"/>
          <w:sz w:val="21"/>
          <w:szCs w:val="21"/>
          <w:highlight w:val="none"/>
          <w:lang w:val="en-US" w:eastAsia="en-US" w:bidi="ar-SA"/>
        </w:rPr>
        <w:t>16552.8848公顷（248293.272 亩）</w:t>
      </w:r>
      <w:r>
        <w:rPr>
          <w:rFonts w:ascii="Arial" w:hAnsi="Arial" w:eastAsia="Arial" w:cs="Arial"/>
          <w:snapToGrid w:val="0"/>
          <w:color w:val="auto"/>
          <w:sz w:val="21"/>
          <w:szCs w:val="21"/>
          <w:highlight w:val="none"/>
          <w:lang w:val="en-US" w:eastAsia="en-US" w:bidi="ar-SA"/>
        </w:rPr>
        <w:t>，具体建设规模及范围以批复的《</w:t>
      </w:r>
      <w:r>
        <w:rPr>
          <w:rFonts w:hint="eastAsia" w:ascii="Arial" w:hAnsi="Arial" w:eastAsia="Arial" w:cs="Arial"/>
          <w:snapToGrid w:val="0"/>
          <w:color w:val="auto"/>
          <w:sz w:val="21"/>
          <w:szCs w:val="21"/>
          <w:highlight w:val="none"/>
          <w:lang w:val="en-US" w:eastAsia="zh-CN" w:bidi="ar-SA"/>
        </w:rPr>
        <w:t>儋州</w:t>
      </w:r>
      <w:r>
        <w:rPr>
          <w:rFonts w:ascii="Arial" w:hAnsi="Arial" w:eastAsia="Arial" w:cs="Arial"/>
          <w:snapToGrid w:val="0"/>
          <w:color w:val="auto"/>
          <w:sz w:val="21"/>
          <w:szCs w:val="21"/>
          <w:highlight w:val="none"/>
          <w:lang w:val="en-US" w:eastAsia="en-US" w:bidi="ar-SA"/>
        </w:rPr>
        <w:t>市</w:t>
      </w:r>
      <w:r>
        <w:rPr>
          <w:rFonts w:hint="eastAsia" w:ascii="Arial" w:hAnsi="Arial" w:eastAsia="Arial" w:cs="Arial"/>
          <w:snapToGrid w:val="0"/>
          <w:color w:val="auto"/>
          <w:sz w:val="21"/>
          <w:szCs w:val="21"/>
          <w:highlight w:val="none"/>
          <w:lang w:val="en-US" w:eastAsia="zh-CN" w:bidi="ar-SA"/>
        </w:rPr>
        <w:t>和庆</w:t>
      </w:r>
      <w:r>
        <w:rPr>
          <w:rFonts w:ascii="Arial" w:hAnsi="Arial" w:eastAsia="Arial" w:cs="Arial"/>
          <w:snapToGrid w:val="0"/>
          <w:color w:val="auto"/>
          <w:sz w:val="21"/>
          <w:szCs w:val="21"/>
          <w:highlight w:val="none"/>
          <w:lang w:val="en-US" w:eastAsia="en-US" w:bidi="ar-SA"/>
        </w:rPr>
        <w:t>镇全域土地综合整治（省级）试点项目实施方案》为准。</w:t>
      </w:r>
    </w:p>
    <w:p>
      <w:pPr>
        <w:pStyle w:val="2"/>
        <w:numPr>
          <w:ilvl w:val="-1"/>
          <w:numId w:val="0"/>
        </w:numPr>
        <w:spacing w:before="13"/>
        <w:ind w:left="0" w:leftChars="0" w:firstLine="600" w:firstLineChars="200"/>
        <w:rPr>
          <w:rFonts w:hint="eastAsia" w:ascii="黑体" w:hAnsi="黑体" w:eastAsia="黑体" w:cs="黑体"/>
          <w:b w:val="0"/>
          <w:bCs/>
          <w:color w:val="auto"/>
          <w:sz w:val="30"/>
          <w:szCs w:val="30"/>
          <w:highlight w:val="none"/>
          <w:lang w:val="en-US" w:eastAsia="zh-CN"/>
        </w:rPr>
      </w:pPr>
      <w:r>
        <w:rPr>
          <w:rFonts w:hint="eastAsia" w:ascii="黑体" w:hAnsi="黑体" w:eastAsia="黑体" w:cs="黑体"/>
          <w:b w:val="0"/>
          <w:bCs/>
          <w:color w:val="auto"/>
          <w:sz w:val="30"/>
          <w:szCs w:val="30"/>
          <w:highlight w:val="none"/>
          <w:lang w:val="en-US" w:eastAsia="zh-CN"/>
        </w:rPr>
        <w:t>三、项目建设内容和计划</w:t>
      </w:r>
    </w:p>
    <w:p>
      <w:pPr>
        <w:pStyle w:val="2"/>
        <w:keepNext w:val="0"/>
        <w:keepLines w:val="0"/>
        <w:pageBreakBefore w:val="0"/>
        <w:widowControl w:val="0"/>
        <w:kinsoku/>
        <w:wordWrap/>
        <w:overflowPunct/>
        <w:topLinePunct w:val="0"/>
        <w:autoSpaceDE w:val="0"/>
        <w:autoSpaceDN w:val="0"/>
        <w:bidi w:val="0"/>
        <w:adjustRightInd/>
        <w:snapToGrid/>
        <w:spacing w:before="0" w:beforeLines="100" w:line="363" w:lineRule="auto"/>
        <w:ind w:left="0" w:right="448" w:firstLine="420" w:firstLineChars="200"/>
        <w:textAlignment w:val="auto"/>
        <w:rPr>
          <w:color w:val="auto"/>
          <w:highlight w:val="none"/>
        </w:rPr>
      </w:pPr>
      <w:r>
        <w:rPr>
          <w:color w:val="auto"/>
          <w:highlight w:val="none"/>
        </w:rPr>
        <w:t>本项目建设内容主要包括：农用地整理、建设用地整理、生态保护修复、人居环境整治及产业导入项目。其中：</w:t>
      </w:r>
    </w:p>
    <w:p>
      <w:pPr>
        <w:pStyle w:val="2"/>
        <w:spacing w:before="84" w:line="364" w:lineRule="auto"/>
        <w:ind w:left="0" w:right="236" w:firstLine="420" w:firstLineChars="200"/>
        <w:rPr>
          <w:rFonts w:hint="eastAsia" w:eastAsia="宋体"/>
          <w:color w:val="auto"/>
          <w:highlight w:val="none"/>
          <w:lang w:eastAsia="zh-CN"/>
        </w:rPr>
      </w:pPr>
      <w:r>
        <w:rPr>
          <w:rFonts w:hint="eastAsia" w:ascii="Arial" w:hAnsi="Arial" w:eastAsia="Arial" w:cs="Arial"/>
          <w:snapToGrid w:val="0"/>
          <w:color w:val="auto"/>
          <w:sz w:val="21"/>
          <w:szCs w:val="21"/>
          <w:highlight w:val="none"/>
          <w:lang w:val="en-US" w:eastAsia="zh-CN" w:bidi="ar-SA"/>
        </w:rPr>
        <w:t>（一）农用地整理：</w:t>
      </w:r>
      <w:r>
        <w:rPr>
          <w:rFonts w:ascii="Arial" w:hAnsi="Arial" w:eastAsia="Arial" w:cs="Arial"/>
          <w:snapToGrid w:val="0"/>
          <w:color w:val="auto"/>
          <w:sz w:val="21"/>
          <w:szCs w:val="21"/>
          <w:highlight w:val="none"/>
          <w:lang w:val="en-US" w:eastAsia="en-US" w:bidi="ar-SA"/>
        </w:rPr>
        <w:t>根据内业影像判别和实地踏勘核实，对试点整治区域</w:t>
      </w:r>
      <w:r>
        <w:rPr>
          <w:rFonts w:hint="eastAsia" w:ascii="Arial" w:hAnsi="Arial" w:eastAsia="Arial" w:cs="Arial"/>
          <w:snapToGrid w:val="0"/>
          <w:color w:val="auto"/>
          <w:sz w:val="21"/>
          <w:szCs w:val="21"/>
          <w:highlight w:val="none"/>
          <w:lang w:val="en-US" w:eastAsia="zh-CN" w:bidi="ar-SA"/>
        </w:rPr>
        <w:t>内约</w:t>
      </w:r>
      <w:r>
        <w:rPr>
          <w:rFonts w:ascii="Arial" w:hAnsi="Arial" w:eastAsia="Arial" w:cs="Arial"/>
          <w:snapToGrid w:val="0"/>
          <w:color w:val="auto"/>
          <w:sz w:val="21"/>
          <w:szCs w:val="21"/>
          <w:highlight w:val="none"/>
          <w:lang w:val="en-US" w:eastAsia="en-US" w:bidi="ar-SA"/>
        </w:rPr>
        <w:t>126.3748公顷宜耕后备资源进行开发整理。通过对区域内的水、林、田、湖、草的统筹规划，按“因地制宜、合理改造、和谐修景、生态整治”的原则，因地制宜地将项目区</w:t>
      </w:r>
      <w:r>
        <w:rPr>
          <w:rFonts w:hint="eastAsia" w:ascii="Arial" w:hAnsi="Arial" w:eastAsia="Arial" w:cs="Arial"/>
          <w:snapToGrid w:val="0"/>
          <w:color w:val="auto"/>
          <w:sz w:val="21"/>
          <w:szCs w:val="21"/>
          <w:highlight w:val="none"/>
          <w:lang w:val="en-US" w:eastAsia="zh-CN" w:bidi="ar-SA"/>
        </w:rPr>
        <w:t>域</w:t>
      </w:r>
      <w:r>
        <w:rPr>
          <w:rFonts w:ascii="Arial" w:hAnsi="Arial" w:eastAsia="Arial" w:cs="Arial"/>
          <w:snapToGrid w:val="0"/>
          <w:color w:val="auto"/>
          <w:sz w:val="21"/>
          <w:szCs w:val="21"/>
          <w:highlight w:val="none"/>
          <w:lang w:val="en-US" w:eastAsia="en-US" w:bidi="ar-SA"/>
        </w:rPr>
        <w:t>内低效不合理的残次林地、园地、草地等可调整地类垦造为耕地，</w:t>
      </w:r>
      <w:r>
        <w:rPr>
          <w:rFonts w:hint="eastAsia" w:ascii="Arial" w:hAnsi="Arial" w:eastAsia="Arial" w:cs="Arial"/>
          <w:snapToGrid w:val="0"/>
          <w:color w:val="auto"/>
          <w:sz w:val="21"/>
          <w:szCs w:val="21"/>
          <w:highlight w:val="none"/>
          <w:lang w:val="en-US" w:eastAsia="zh-CN" w:bidi="ar-SA"/>
        </w:rPr>
        <w:t>规划打造田园综合体，</w:t>
      </w:r>
      <w:r>
        <w:rPr>
          <w:rFonts w:ascii="Arial" w:hAnsi="Arial" w:eastAsia="Arial" w:cs="Arial"/>
          <w:snapToGrid w:val="0"/>
          <w:color w:val="auto"/>
          <w:sz w:val="21"/>
          <w:szCs w:val="21"/>
          <w:highlight w:val="none"/>
          <w:lang w:val="en-US" w:eastAsia="en-US" w:bidi="ar-SA"/>
        </w:rPr>
        <w:t>并配套相关的沟渠、道路等基础设施</w:t>
      </w:r>
      <w:r>
        <w:rPr>
          <w:rFonts w:hint="eastAsia" w:ascii="Arial" w:hAnsi="Arial" w:eastAsia="Arial" w:cs="Arial"/>
          <w:snapToGrid w:val="0"/>
          <w:color w:val="auto"/>
          <w:sz w:val="21"/>
          <w:szCs w:val="21"/>
          <w:highlight w:val="none"/>
          <w:lang w:val="en-US" w:eastAsia="zh-CN" w:bidi="ar-SA"/>
        </w:rPr>
        <w:t>，</w:t>
      </w:r>
      <w:r>
        <w:rPr>
          <w:rFonts w:ascii="Arial" w:hAnsi="Arial" w:eastAsia="Arial" w:cs="Arial"/>
          <w:snapToGrid w:val="0"/>
          <w:color w:val="auto"/>
          <w:sz w:val="21"/>
          <w:szCs w:val="21"/>
          <w:highlight w:val="none"/>
          <w:lang w:val="en-US" w:eastAsia="en-US" w:bidi="ar-SA"/>
        </w:rPr>
        <w:t>达到提高耕地连片度，提升农用地利用效率的目的。</w:t>
      </w:r>
    </w:p>
    <w:p>
      <w:pPr>
        <w:pStyle w:val="2"/>
        <w:spacing w:before="76" w:line="364" w:lineRule="auto"/>
        <w:ind w:left="0" w:right="296" w:firstLine="420" w:firstLineChars="200"/>
        <w:rPr>
          <w:color w:val="auto"/>
          <w:highlight w:val="none"/>
        </w:rPr>
      </w:pPr>
      <w:r>
        <w:rPr>
          <w:rFonts w:hint="eastAsia" w:ascii="Arial" w:hAnsi="Arial" w:eastAsia="Arial" w:cs="Arial"/>
          <w:snapToGrid w:val="0"/>
          <w:color w:val="auto"/>
          <w:sz w:val="21"/>
          <w:szCs w:val="21"/>
          <w:highlight w:val="none"/>
          <w:lang w:val="en-US" w:eastAsia="zh-CN" w:bidi="ar-SA"/>
        </w:rPr>
        <w:t>（二）建设用地整理：</w:t>
      </w:r>
      <w:r>
        <w:rPr>
          <w:rFonts w:ascii="Arial" w:hAnsi="Arial" w:eastAsia="Arial" w:cs="Arial"/>
          <w:snapToGrid w:val="0"/>
          <w:color w:val="auto"/>
          <w:sz w:val="21"/>
          <w:szCs w:val="21"/>
          <w:highlight w:val="none"/>
          <w:lang w:val="en-US" w:eastAsia="en-US" w:bidi="ar-SA"/>
        </w:rPr>
        <w:t>村庄搬迁安置按照基本公共服务均等化和节约集约利用土地的要求， 推进建设用地整治，优化布局村庄建设、产业发展、公共服务、基础设施等各项用地。充分利用城乡建设增减挂钩政策，按照集聚提升搬迁撤并的思路，因地制宜、分类分期开展农村宅基地拆迁复垦，妥善安置村民。本次试点整治区</w:t>
      </w:r>
      <w:r>
        <w:rPr>
          <w:rFonts w:hint="eastAsia" w:ascii="Arial" w:hAnsi="Arial" w:eastAsia="Arial" w:cs="Arial"/>
          <w:snapToGrid w:val="0"/>
          <w:color w:val="auto"/>
          <w:sz w:val="21"/>
          <w:szCs w:val="21"/>
          <w:highlight w:val="none"/>
          <w:lang w:val="en-US" w:eastAsia="zh-CN" w:bidi="ar-SA"/>
        </w:rPr>
        <w:t>域</w:t>
      </w:r>
      <w:r>
        <w:rPr>
          <w:rFonts w:ascii="Arial" w:hAnsi="Arial" w:eastAsia="Arial" w:cs="Arial"/>
          <w:snapToGrid w:val="0"/>
          <w:color w:val="auto"/>
          <w:sz w:val="21"/>
          <w:szCs w:val="21"/>
          <w:highlight w:val="none"/>
          <w:lang w:val="en-US" w:eastAsia="en-US" w:bidi="ar-SA"/>
        </w:rPr>
        <w:t>建设用地复垦对象主要为低效利用、闲置、破旧的农房，全域土地综合整治腾退的建设用地指标，优先保障整治区域内农民安置、农村基础设施建设、</w:t>
      </w:r>
      <w:r>
        <w:rPr>
          <w:rFonts w:hint="eastAsia" w:ascii="Arial" w:hAnsi="Arial" w:eastAsia="Arial" w:cs="Arial"/>
          <w:snapToGrid w:val="0"/>
          <w:color w:val="auto"/>
          <w:sz w:val="21"/>
          <w:szCs w:val="21"/>
          <w:highlight w:val="none"/>
          <w:lang w:val="en-US" w:eastAsia="zh-CN" w:bidi="ar-SA"/>
        </w:rPr>
        <w:t>3A级红色旅游景区配套设施建设、</w:t>
      </w:r>
      <w:r>
        <w:rPr>
          <w:rFonts w:ascii="Arial" w:hAnsi="Arial" w:eastAsia="Arial" w:cs="Arial"/>
          <w:snapToGrid w:val="0"/>
          <w:color w:val="auto"/>
          <w:sz w:val="21"/>
          <w:szCs w:val="21"/>
          <w:highlight w:val="none"/>
          <w:lang w:val="en-US" w:eastAsia="en-US" w:bidi="ar-SA"/>
        </w:rPr>
        <w:t>公益事业等用地的前提下，节余指标重点用于</w:t>
      </w:r>
      <w:r>
        <w:rPr>
          <w:rFonts w:hint="eastAsia" w:ascii="Arial" w:hAnsi="Arial" w:eastAsia="Arial" w:cs="Arial"/>
          <w:snapToGrid w:val="0"/>
          <w:color w:val="auto"/>
          <w:sz w:val="21"/>
          <w:szCs w:val="21"/>
          <w:highlight w:val="none"/>
          <w:lang w:val="en-US" w:eastAsia="zh-CN" w:bidi="ar-SA"/>
        </w:rPr>
        <w:t>产业</w:t>
      </w:r>
      <w:r>
        <w:rPr>
          <w:rFonts w:ascii="Arial" w:hAnsi="Arial" w:eastAsia="Arial" w:cs="Arial"/>
          <w:snapToGrid w:val="0"/>
          <w:color w:val="auto"/>
          <w:sz w:val="21"/>
          <w:szCs w:val="21"/>
          <w:highlight w:val="none"/>
          <w:lang w:val="en-US" w:eastAsia="en-US" w:bidi="ar-SA"/>
        </w:rPr>
        <w:t>建设</w:t>
      </w:r>
      <w:r>
        <w:rPr>
          <w:rFonts w:hint="eastAsia" w:ascii="Arial" w:hAnsi="Arial" w:eastAsia="Arial" w:cs="Arial"/>
          <w:snapToGrid w:val="0"/>
          <w:color w:val="auto"/>
          <w:sz w:val="21"/>
          <w:szCs w:val="21"/>
          <w:highlight w:val="none"/>
          <w:lang w:val="en-US" w:eastAsia="zh-CN" w:bidi="ar-SA"/>
        </w:rPr>
        <w:t>。规划建设现代农业产业园，城郊游客服务集散中心，</w:t>
      </w:r>
      <w:r>
        <w:rPr>
          <w:rFonts w:ascii="Arial" w:hAnsi="Arial" w:eastAsia="Arial" w:cs="Arial"/>
          <w:snapToGrid w:val="0"/>
          <w:color w:val="auto"/>
          <w:sz w:val="21"/>
          <w:szCs w:val="21"/>
          <w:highlight w:val="none"/>
          <w:lang w:val="en-US" w:eastAsia="en-US" w:bidi="ar-SA"/>
        </w:rPr>
        <w:t>促进农村三产融合发展，促进产业振兴，增强乡村自我造血功能。</w:t>
      </w:r>
    </w:p>
    <w:p>
      <w:pPr>
        <w:pStyle w:val="2"/>
        <w:spacing w:before="161" w:line="364" w:lineRule="auto"/>
        <w:ind w:left="0" w:right="116" w:firstLine="420" w:firstLineChars="200"/>
        <w:rPr>
          <w:rFonts w:hint="default" w:ascii="Arial" w:hAnsi="Arial" w:eastAsia="Arial" w:cs="Arial"/>
          <w:snapToGrid w:val="0"/>
          <w:color w:val="auto"/>
          <w:sz w:val="21"/>
          <w:szCs w:val="21"/>
          <w:highlight w:val="none"/>
          <w:lang w:val="en-US" w:eastAsia="zh-CN" w:bidi="ar-SA"/>
        </w:rPr>
      </w:pPr>
      <w:r>
        <w:rPr>
          <w:rFonts w:hint="eastAsia" w:ascii="Arial" w:hAnsi="Arial" w:eastAsia="Arial" w:cs="Arial"/>
          <w:snapToGrid w:val="0"/>
          <w:color w:val="auto"/>
          <w:sz w:val="21"/>
          <w:szCs w:val="21"/>
          <w:highlight w:val="none"/>
          <w:lang w:val="en-US" w:eastAsia="zh-CN" w:bidi="ar-SA"/>
        </w:rPr>
        <w:t>（三）生态保护修复：</w:t>
      </w:r>
      <w:r>
        <w:rPr>
          <w:rFonts w:ascii="Arial" w:hAnsi="Arial" w:eastAsia="Arial" w:cs="Arial"/>
          <w:snapToGrid w:val="0"/>
          <w:color w:val="auto"/>
          <w:sz w:val="21"/>
          <w:szCs w:val="21"/>
          <w:highlight w:val="none"/>
          <w:lang w:val="en-US" w:eastAsia="en-US" w:bidi="ar-SA"/>
        </w:rPr>
        <w:t>主要对</w:t>
      </w:r>
      <w:r>
        <w:rPr>
          <w:rFonts w:hint="eastAsia" w:ascii="Arial" w:hAnsi="Arial" w:eastAsia="Arial" w:cs="Arial"/>
          <w:snapToGrid w:val="0"/>
          <w:color w:val="auto"/>
          <w:sz w:val="21"/>
          <w:szCs w:val="21"/>
          <w:highlight w:val="none"/>
          <w:lang w:val="en-US" w:eastAsia="zh-CN" w:bidi="ar-SA"/>
        </w:rPr>
        <w:t>和庆</w:t>
      </w:r>
      <w:r>
        <w:rPr>
          <w:rFonts w:ascii="Arial" w:hAnsi="Arial" w:eastAsia="Arial" w:cs="Arial"/>
          <w:snapToGrid w:val="0"/>
          <w:color w:val="auto"/>
          <w:sz w:val="21"/>
          <w:szCs w:val="21"/>
          <w:highlight w:val="none"/>
          <w:lang w:val="en-US" w:eastAsia="en-US" w:bidi="ar-SA"/>
        </w:rPr>
        <w:t>镇</w:t>
      </w:r>
      <w:r>
        <w:rPr>
          <w:rFonts w:hint="eastAsia" w:ascii="Arial" w:hAnsi="Arial" w:eastAsia="Arial" w:cs="Arial"/>
          <w:snapToGrid w:val="0"/>
          <w:color w:val="auto"/>
          <w:sz w:val="21"/>
          <w:szCs w:val="21"/>
          <w:highlight w:val="none"/>
          <w:lang w:val="en-US" w:eastAsia="zh-CN" w:bidi="ar-SA"/>
        </w:rPr>
        <w:t>文澜河、光吉河2条省级河流及木排</w:t>
      </w:r>
      <w:r>
        <w:rPr>
          <w:rFonts w:ascii="Arial" w:hAnsi="Arial" w:eastAsia="Arial" w:cs="Arial"/>
          <w:snapToGrid w:val="0"/>
          <w:color w:val="auto"/>
          <w:sz w:val="21"/>
          <w:szCs w:val="21"/>
          <w:highlight w:val="none"/>
          <w:lang w:val="en-US" w:eastAsia="en-US" w:bidi="ar-SA"/>
        </w:rPr>
        <w:t>河</w:t>
      </w:r>
      <w:r>
        <w:rPr>
          <w:rFonts w:hint="eastAsia" w:ascii="Arial" w:hAnsi="Arial" w:eastAsia="Arial" w:cs="Arial"/>
          <w:snapToGrid w:val="0"/>
          <w:color w:val="auto"/>
          <w:sz w:val="21"/>
          <w:szCs w:val="21"/>
          <w:highlight w:val="none"/>
          <w:lang w:val="en-US" w:eastAsia="zh-CN" w:bidi="ar-SA"/>
        </w:rPr>
        <w:t>等</w:t>
      </w:r>
      <w:r>
        <w:rPr>
          <w:rFonts w:ascii="Arial" w:hAnsi="Arial" w:eastAsia="Arial" w:cs="Arial"/>
          <w:snapToGrid w:val="0"/>
          <w:color w:val="auto"/>
          <w:sz w:val="21"/>
          <w:szCs w:val="21"/>
          <w:highlight w:val="none"/>
          <w:lang w:val="en-US" w:eastAsia="en-US" w:bidi="ar-SA"/>
        </w:rPr>
        <w:t>流域河道进行治理，共计整治修复河长</w:t>
      </w:r>
      <w:r>
        <w:rPr>
          <w:rFonts w:hint="eastAsia" w:ascii="Arial" w:hAnsi="Arial" w:eastAsia="Arial" w:cs="Arial"/>
          <w:snapToGrid w:val="0"/>
          <w:color w:val="auto"/>
          <w:sz w:val="21"/>
          <w:szCs w:val="21"/>
          <w:highlight w:val="none"/>
          <w:lang w:val="en-US" w:eastAsia="zh-CN" w:bidi="ar-SA"/>
        </w:rPr>
        <w:t>7.2</w:t>
      </w:r>
      <w:r>
        <w:rPr>
          <w:rFonts w:ascii="Arial" w:hAnsi="Arial" w:eastAsia="Arial" w:cs="Arial"/>
          <w:snapToGrid w:val="0"/>
          <w:color w:val="auto"/>
          <w:sz w:val="21"/>
          <w:szCs w:val="21"/>
          <w:highlight w:val="none"/>
          <w:lang w:val="en-US" w:eastAsia="en-US" w:bidi="ar-SA"/>
        </w:rPr>
        <w:t>公里</w:t>
      </w:r>
      <w:r>
        <w:rPr>
          <w:rFonts w:hint="eastAsia" w:ascii="Arial" w:hAnsi="Arial" w:eastAsia="Arial" w:cs="Arial"/>
          <w:snapToGrid w:val="0"/>
          <w:color w:val="auto"/>
          <w:sz w:val="21"/>
          <w:szCs w:val="21"/>
          <w:highlight w:val="none"/>
          <w:lang w:val="en-US" w:eastAsia="zh-CN" w:bidi="ar-SA"/>
        </w:rPr>
        <w:t>，生态修复面积约33公顷。</w:t>
      </w:r>
      <w:r>
        <w:rPr>
          <w:rFonts w:ascii="Arial" w:hAnsi="Arial" w:eastAsia="Arial" w:cs="Arial"/>
          <w:snapToGrid w:val="0"/>
          <w:color w:val="auto"/>
          <w:sz w:val="21"/>
          <w:szCs w:val="21"/>
          <w:highlight w:val="none"/>
          <w:lang w:val="en-US" w:eastAsia="en-US" w:bidi="ar-SA"/>
        </w:rPr>
        <w:t>为恢复河湖基本功能、修复河道空间形态、改善河道水环境、恢复河流水体生态健康、改善乡村人居环境，</w:t>
      </w:r>
      <w:r>
        <w:rPr>
          <w:rFonts w:hint="eastAsia" w:ascii="Arial" w:hAnsi="Arial" w:eastAsia="Arial" w:cs="Arial"/>
          <w:snapToGrid w:val="0"/>
          <w:color w:val="auto"/>
          <w:sz w:val="21"/>
          <w:szCs w:val="21"/>
          <w:highlight w:val="none"/>
          <w:lang w:val="en-US" w:eastAsia="zh-CN" w:bidi="ar-SA"/>
        </w:rPr>
        <w:t>依托市体育中心、歃血结盟纪念园等地标建筑及松涛东干渠、美万水库打</w:t>
      </w:r>
      <w:r>
        <w:rPr>
          <w:rFonts w:ascii="Arial" w:hAnsi="Arial" w:eastAsia="Arial" w:cs="Arial"/>
          <w:snapToGrid w:val="0"/>
          <w:color w:val="auto"/>
          <w:sz w:val="21"/>
          <w:szCs w:val="21"/>
          <w:highlight w:val="none"/>
          <w:lang w:val="en-US" w:eastAsia="en-US" w:bidi="ar-SA"/>
        </w:rPr>
        <w:t>造</w:t>
      </w:r>
      <w:r>
        <w:rPr>
          <w:rFonts w:hint="eastAsia" w:ascii="Arial" w:hAnsi="Arial" w:eastAsia="Arial" w:cs="Arial"/>
          <w:snapToGrid w:val="0"/>
          <w:color w:val="auto"/>
          <w:sz w:val="21"/>
          <w:szCs w:val="21"/>
          <w:highlight w:val="none"/>
          <w:lang w:val="en-US" w:eastAsia="zh-CN" w:bidi="ar-SA"/>
        </w:rPr>
        <w:t>城郊亲子亲水休闲观光带。</w:t>
      </w:r>
    </w:p>
    <w:p>
      <w:pPr>
        <w:pStyle w:val="2"/>
        <w:spacing w:line="364" w:lineRule="auto"/>
        <w:ind w:left="0" w:right="356" w:firstLine="420" w:firstLineChars="200"/>
        <w:rPr>
          <w:rFonts w:ascii="Arial" w:hAnsi="Arial" w:eastAsia="Arial" w:cs="Arial"/>
          <w:snapToGrid w:val="0"/>
          <w:color w:val="auto"/>
          <w:sz w:val="21"/>
          <w:szCs w:val="21"/>
          <w:highlight w:val="none"/>
          <w:lang w:val="en-US" w:eastAsia="en-US" w:bidi="ar-SA"/>
        </w:rPr>
      </w:pPr>
      <w:r>
        <w:rPr>
          <w:rFonts w:hint="eastAsia" w:ascii="Arial" w:hAnsi="Arial" w:eastAsia="Arial" w:cs="Arial"/>
          <w:snapToGrid w:val="0"/>
          <w:color w:val="auto"/>
          <w:sz w:val="21"/>
          <w:szCs w:val="21"/>
          <w:highlight w:val="none"/>
          <w:lang w:val="en-US" w:eastAsia="zh-CN" w:bidi="ar-SA"/>
        </w:rPr>
        <w:t>（四）人居环境整治：</w:t>
      </w:r>
      <w:r>
        <w:rPr>
          <w:rFonts w:ascii="Arial" w:hAnsi="Arial" w:eastAsia="Arial" w:cs="Arial"/>
          <w:snapToGrid w:val="0"/>
          <w:color w:val="auto"/>
          <w:sz w:val="21"/>
          <w:szCs w:val="21"/>
          <w:highlight w:val="none"/>
          <w:lang w:val="en-US" w:eastAsia="en-US" w:bidi="ar-SA"/>
        </w:rPr>
        <w:t>以农村污水治理和村容村貌提升为主要整治方向，结合</w:t>
      </w:r>
      <w:r>
        <w:rPr>
          <w:rFonts w:hint="eastAsia" w:ascii="Arial" w:hAnsi="Arial" w:eastAsia="Arial" w:cs="Arial"/>
          <w:snapToGrid w:val="0"/>
          <w:color w:val="auto"/>
          <w:sz w:val="21"/>
          <w:szCs w:val="21"/>
          <w:highlight w:val="none"/>
          <w:lang w:val="en-US" w:eastAsia="zh-CN" w:bidi="ar-SA"/>
        </w:rPr>
        <w:t>省</w:t>
      </w:r>
      <w:r>
        <w:rPr>
          <w:rFonts w:ascii="Arial" w:hAnsi="Arial" w:eastAsia="Arial" w:cs="Arial"/>
          <w:snapToGrid w:val="0"/>
          <w:color w:val="auto"/>
          <w:sz w:val="21"/>
          <w:szCs w:val="21"/>
          <w:highlight w:val="none"/>
          <w:lang w:val="en-US" w:eastAsia="en-US" w:bidi="ar-SA"/>
        </w:rPr>
        <w:t>“美丽海南百镇千村”建设、生态环境六大专项整治</w:t>
      </w:r>
      <w:r>
        <w:rPr>
          <w:rFonts w:hint="eastAsia" w:ascii="Arial" w:hAnsi="Arial" w:eastAsia="Arial" w:cs="Arial"/>
          <w:snapToGrid w:val="0"/>
          <w:color w:val="auto"/>
          <w:sz w:val="21"/>
          <w:szCs w:val="21"/>
          <w:highlight w:val="none"/>
          <w:lang w:val="en-US" w:eastAsia="zh-CN" w:bidi="ar-SA"/>
        </w:rPr>
        <w:t>和市“百千工程”、城乡供水一体化工程、人居环境整治工程等专项</w:t>
      </w:r>
      <w:r>
        <w:rPr>
          <w:rFonts w:ascii="Arial" w:hAnsi="Arial" w:eastAsia="Arial" w:cs="Arial"/>
          <w:snapToGrid w:val="0"/>
          <w:color w:val="auto"/>
          <w:sz w:val="21"/>
          <w:szCs w:val="21"/>
          <w:highlight w:val="none"/>
          <w:lang w:val="en-US" w:eastAsia="en-US" w:bidi="ar-SA"/>
        </w:rPr>
        <w:t>工作，加快补齐农村人居环境突出短板。对建设基础较差且靠近</w:t>
      </w:r>
      <w:r>
        <w:rPr>
          <w:rFonts w:hint="eastAsia" w:ascii="Arial" w:hAnsi="Arial" w:eastAsia="Arial" w:cs="Arial"/>
          <w:snapToGrid w:val="0"/>
          <w:color w:val="auto"/>
          <w:sz w:val="21"/>
          <w:szCs w:val="21"/>
          <w:highlight w:val="none"/>
          <w:lang w:val="en-US" w:eastAsia="zh-CN" w:bidi="ar-SA"/>
        </w:rPr>
        <w:t>城区、景区和</w:t>
      </w:r>
      <w:r>
        <w:rPr>
          <w:rFonts w:ascii="Arial" w:hAnsi="Arial" w:eastAsia="Arial" w:cs="Arial"/>
          <w:snapToGrid w:val="0"/>
          <w:color w:val="auto"/>
          <w:sz w:val="21"/>
          <w:szCs w:val="21"/>
          <w:highlight w:val="none"/>
          <w:lang w:val="en-US" w:eastAsia="en-US" w:bidi="ar-SA"/>
        </w:rPr>
        <w:t>产业区周边的村庄优先开展人居环境整治。本次试点主要对</w:t>
      </w:r>
      <w:r>
        <w:rPr>
          <w:rFonts w:hint="eastAsia" w:ascii="Arial" w:hAnsi="Arial" w:eastAsia="Arial" w:cs="Arial"/>
          <w:snapToGrid w:val="0"/>
          <w:color w:val="auto"/>
          <w:sz w:val="21"/>
          <w:szCs w:val="21"/>
          <w:highlight w:val="none"/>
          <w:lang w:val="en-US" w:eastAsia="zh-CN" w:bidi="ar-SA"/>
        </w:rPr>
        <w:t>罗便村、木排村、美灵村和美万村</w:t>
      </w:r>
      <w:r>
        <w:rPr>
          <w:rFonts w:ascii="Arial" w:hAnsi="Arial" w:eastAsia="Arial" w:cs="Arial"/>
          <w:snapToGrid w:val="0"/>
          <w:color w:val="auto"/>
          <w:sz w:val="21"/>
          <w:szCs w:val="21"/>
          <w:highlight w:val="none"/>
          <w:lang w:val="en-US" w:eastAsia="en-US" w:bidi="ar-SA"/>
        </w:rPr>
        <w:t>共计</w:t>
      </w:r>
      <w:r>
        <w:rPr>
          <w:rFonts w:hint="eastAsia" w:ascii="Arial" w:hAnsi="Arial" w:eastAsia="Arial" w:cs="Arial"/>
          <w:snapToGrid w:val="0"/>
          <w:color w:val="auto"/>
          <w:sz w:val="21"/>
          <w:szCs w:val="21"/>
          <w:highlight w:val="none"/>
          <w:lang w:val="en-US" w:eastAsia="zh-CN" w:bidi="ar-SA"/>
        </w:rPr>
        <w:t>4</w:t>
      </w:r>
      <w:r>
        <w:rPr>
          <w:rFonts w:ascii="Arial" w:hAnsi="Arial" w:eastAsia="Arial" w:cs="Arial"/>
          <w:snapToGrid w:val="0"/>
          <w:color w:val="auto"/>
          <w:sz w:val="21"/>
          <w:szCs w:val="21"/>
          <w:highlight w:val="none"/>
          <w:lang w:val="en-US" w:eastAsia="en-US" w:bidi="ar-SA"/>
        </w:rPr>
        <w:t>个村庄进行</w:t>
      </w:r>
      <w:r>
        <w:rPr>
          <w:rFonts w:hint="eastAsia" w:ascii="Arial" w:hAnsi="Arial" w:eastAsia="Arial" w:cs="Arial"/>
          <w:snapToGrid w:val="0"/>
          <w:color w:val="auto"/>
          <w:sz w:val="21"/>
          <w:szCs w:val="21"/>
          <w:highlight w:val="none"/>
          <w:lang w:val="en-US" w:eastAsia="zh-CN" w:bidi="ar-SA"/>
        </w:rPr>
        <w:t>整治</w:t>
      </w:r>
      <w:r>
        <w:rPr>
          <w:rFonts w:ascii="Arial" w:hAnsi="Arial" w:eastAsia="Arial" w:cs="Arial"/>
          <w:snapToGrid w:val="0"/>
          <w:color w:val="auto"/>
          <w:sz w:val="21"/>
          <w:szCs w:val="21"/>
          <w:highlight w:val="none"/>
          <w:lang w:val="en-US" w:eastAsia="en-US" w:bidi="ar-SA"/>
        </w:rPr>
        <w:t>，整治规模共计约1</w:t>
      </w:r>
      <w:r>
        <w:rPr>
          <w:rFonts w:hint="eastAsia" w:ascii="Arial" w:hAnsi="Arial" w:eastAsia="Arial" w:cs="Arial"/>
          <w:snapToGrid w:val="0"/>
          <w:color w:val="auto"/>
          <w:sz w:val="21"/>
          <w:szCs w:val="21"/>
          <w:highlight w:val="none"/>
          <w:lang w:val="en-US" w:eastAsia="zh-CN" w:bidi="ar-SA"/>
        </w:rPr>
        <w:t>7</w:t>
      </w:r>
      <w:r>
        <w:rPr>
          <w:rFonts w:ascii="Arial" w:hAnsi="Arial" w:eastAsia="Arial" w:cs="Arial"/>
          <w:snapToGrid w:val="0"/>
          <w:color w:val="auto"/>
          <w:sz w:val="21"/>
          <w:szCs w:val="21"/>
          <w:highlight w:val="none"/>
          <w:lang w:val="en-US" w:eastAsia="en-US" w:bidi="ar-SA"/>
        </w:rPr>
        <w:t>.5172公顷，整治内容为立面改造、村庄绿化亮化、环卫设施整治以及开展公共服务</w:t>
      </w:r>
      <w:r>
        <w:rPr>
          <w:rFonts w:hint="eastAsia" w:ascii="Arial" w:hAnsi="Arial" w:eastAsia="Arial" w:cs="Arial"/>
          <w:snapToGrid w:val="0"/>
          <w:color w:val="auto"/>
          <w:sz w:val="21"/>
          <w:szCs w:val="21"/>
          <w:highlight w:val="none"/>
          <w:lang w:val="en-US" w:eastAsia="zh-CN" w:bidi="ar-SA"/>
        </w:rPr>
        <w:t>设施</w:t>
      </w:r>
      <w:r>
        <w:rPr>
          <w:rFonts w:ascii="Arial" w:hAnsi="Arial" w:eastAsia="Arial" w:cs="Arial"/>
          <w:snapToGrid w:val="0"/>
          <w:color w:val="auto"/>
          <w:sz w:val="21"/>
          <w:szCs w:val="21"/>
          <w:highlight w:val="none"/>
          <w:lang w:val="en-US" w:eastAsia="en-US" w:bidi="ar-SA"/>
        </w:rPr>
        <w:t>建设，建设内容包括污水处理设施、排污管网建设、停车场、小公园、文化室、健身广场及球场等。</w:t>
      </w:r>
    </w:p>
    <w:p>
      <w:pPr>
        <w:pStyle w:val="2"/>
        <w:spacing w:before="75" w:line="364" w:lineRule="auto"/>
        <w:ind w:left="0" w:right="236" w:firstLine="420" w:firstLineChars="200"/>
        <w:rPr>
          <w:rFonts w:ascii="Arial" w:hAnsi="Arial" w:eastAsia="Arial" w:cs="Arial"/>
          <w:snapToGrid w:val="0"/>
          <w:color w:val="auto"/>
          <w:sz w:val="21"/>
          <w:szCs w:val="21"/>
          <w:highlight w:val="none"/>
          <w:lang w:val="en-US" w:eastAsia="en-US" w:bidi="ar-SA"/>
        </w:rPr>
      </w:pPr>
      <w:r>
        <w:rPr>
          <w:rFonts w:hint="eastAsia" w:ascii="Arial" w:hAnsi="Arial" w:eastAsia="Arial" w:cs="Arial"/>
          <w:snapToGrid w:val="0"/>
          <w:color w:val="auto"/>
          <w:sz w:val="21"/>
          <w:szCs w:val="21"/>
          <w:highlight w:val="none"/>
          <w:lang w:val="en-US" w:eastAsia="zh-CN" w:bidi="ar-SA"/>
        </w:rPr>
        <w:t>（五）产业导入项目：依托城郊区位优势，</w:t>
      </w:r>
      <w:r>
        <w:rPr>
          <w:rFonts w:ascii="Arial" w:hAnsi="Arial" w:eastAsia="Arial" w:cs="Arial"/>
          <w:snapToGrid w:val="0"/>
          <w:color w:val="auto"/>
          <w:sz w:val="21"/>
          <w:szCs w:val="21"/>
          <w:highlight w:val="none"/>
          <w:lang w:val="en-US" w:eastAsia="en-US" w:bidi="ar-SA"/>
        </w:rPr>
        <w:t>以助推乡村振兴</w:t>
      </w:r>
      <w:r>
        <w:rPr>
          <w:rFonts w:hint="eastAsia" w:ascii="Arial" w:hAnsi="Arial" w:eastAsia="Arial" w:cs="Arial"/>
          <w:snapToGrid w:val="0"/>
          <w:color w:val="auto"/>
          <w:sz w:val="21"/>
          <w:szCs w:val="21"/>
          <w:highlight w:val="none"/>
          <w:lang w:val="en-US" w:eastAsia="zh-CN" w:bidi="ar-SA"/>
        </w:rPr>
        <w:t>为</w:t>
      </w:r>
      <w:r>
        <w:rPr>
          <w:rFonts w:ascii="Arial" w:hAnsi="Arial" w:eastAsia="Arial" w:cs="Arial"/>
          <w:snapToGrid w:val="0"/>
          <w:color w:val="auto"/>
          <w:sz w:val="21"/>
          <w:szCs w:val="21"/>
          <w:highlight w:val="none"/>
          <w:lang w:val="en-US" w:eastAsia="en-US" w:bidi="ar-SA"/>
        </w:rPr>
        <w:t>目标，进一步优化产业结构。因地制宜的产业导入，推动当地产业结构优化，实现产业兴旺、乡村振兴。通过</w:t>
      </w:r>
      <w:r>
        <w:rPr>
          <w:rFonts w:hint="eastAsia" w:ascii="Arial" w:hAnsi="Arial" w:eastAsia="Arial" w:cs="Arial"/>
          <w:snapToGrid w:val="0"/>
          <w:color w:val="auto"/>
          <w:sz w:val="21"/>
          <w:szCs w:val="21"/>
          <w:highlight w:val="none"/>
          <w:lang w:val="en-US" w:eastAsia="zh-CN" w:bidi="ar-SA"/>
        </w:rPr>
        <w:t>打造木排3A级红色旅游景区、城郊休闲服务综合体、自贸港高端人才康养基地和现代农业产业</w:t>
      </w:r>
      <w:r>
        <w:rPr>
          <w:rFonts w:ascii="Arial" w:hAnsi="Arial" w:eastAsia="Arial" w:cs="Arial"/>
          <w:snapToGrid w:val="0"/>
          <w:color w:val="auto"/>
          <w:sz w:val="21"/>
          <w:szCs w:val="21"/>
          <w:highlight w:val="none"/>
          <w:lang w:val="en-US" w:eastAsia="en-US" w:bidi="ar-SA"/>
        </w:rPr>
        <w:t>园</w:t>
      </w:r>
      <w:r>
        <w:rPr>
          <w:rFonts w:hint="eastAsia" w:ascii="Arial" w:hAnsi="Arial" w:eastAsia="Arial" w:cs="Arial"/>
          <w:snapToGrid w:val="0"/>
          <w:color w:val="auto"/>
          <w:sz w:val="21"/>
          <w:szCs w:val="21"/>
          <w:highlight w:val="none"/>
          <w:lang w:val="en-US" w:eastAsia="zh-CN" w:bidi="ar-SA"/>
        </w:rPr>
        <w:t>等</w:t>
      </w:r>
      <w:r>
        <w:rPr>
          <w:rFonts w:ascii="Arial" w:hAnsi="Arial" w:eastAsia="Arial" w:cs="Arial"/>
          <w:snapToGrid w:val="0"/>
          <w:color w:val="auto"/>
          <w:sz w:val="21"/>
          <w:szCs w:val="21"/>
          <w:highlight w:val="none"/>
          <w:lang w:val="en-US" w:eastAsia="en-US" w:bidi="ar-SA"/>
        </w:rPr>
        <w:t>项目，大力推进农文旅融合发展，培育“旅游+农业</w:t>
      </w:r>
      <w:r>
        <w:rPr>
          <w:rFonts w:hint="eastAsia" w:ascii="Arial" w:hAnsi="Arial" w:eastAsia="Arial" w:cs="Arial"/>
          <w:snapToGrid w:val="0"/>
          <w:color w:val="auto"/>
          <w:sz w:val="21"/>
          <w:szCs w:val="21"/>
          <w:highlight w:val="none"/>
          <w:lang w:val="en-US" w:eastAsia="zh-CN" w:bidi="ar-SA"/>
        </w:rPr>
        <w:t>+康养</w:t>
      </w:r>
      <w:r>
        <w:rPr>
          <w:rFonts w:ascii="Arial" w:hAnsi="Arial" w:eastAsia="Arial" w:cs="Arial"/>
          <w:snapToGrid w:val="0"/>
          <w:color w:val="auto"/>
          <w:sz w:val="21"/>
          <w:szCs w:val="21"/>
          <w:highlight w:val="none"/>
          <w:lang w:val="en-US" w:eastAsia="en-US" w:bidi="ar-SA"/>
        </w:rPr>
        <w:t>”等系列业态，延伸</w:t>
      </w:r>
      <w:r>
        <w:rPr>
          <w:rFonts w:hint="default" w:ascii="Arial" w:hAnsi="Arial" w:eastAsia="Arial" w:cs="Arial"/>
          <w:snapToGrid w:val="0"/>
          <w:color w:val="auto"/>
          <w:sz w:val="21"/>
          <w:szCs w:val="21"/>
          <w:highlight w:val="none"/>
          <w:lang w:val="en-US" w:eastAsia="en-US" w:bidi="ar-SA"/>
        </w:rPr>
        <w:t>林下经济产业链</w:t>
      </w:r>
      <w:r>
        <w:rPr>
          <w:rFonts w:hint="eastAsia" w:ascii="Arial" w:hAnsi="Arial" w:eastAsia="Arial" w:cs="Arial"/>
          <w:snapToGrid w:val="0"/>
          <w:color w:val="auto"/>
          <w:sz w:val="21"/>
          <w:szCs w:val="21"/>
          <w:highlight w:val="none"/>
          <w:lang w:val="en-US" w:eastAsia="zh-CN" w:bidi="ar-SA"/>
        </w:rPr>
        <w:t>，</w:t>
      </w:r>
      <w:r>
        <w:rPr>
          <w:rFonts w:ascii="Arial" w:hAnsi="Arial" w:eastAsia="Arial" w:cs="Arial"/>
          <w:snapToGrid w:val="0"/>
          <w:color w:val="auto"/>
          <w:sz w:val="21"/>
          <w:szCs w:val="21"/>
          <w:highlight w:val="none"/>
          <w:lang w:val="en-US" w:eastAsia="en-US" w:bidi="ar-SA"/>
        </w:rPr>
        <w:t>盘活村民的闲置资产，给村民创造新的就业机会，增添财产性收入和劳动工资收入，让村民有更多的获得感和幸福感。</w:t>
      </w:r>
    </w:p>
    <w:p>
      <w:pPr>
        <w:pStyle w:val="2"/>
        <w:numPr>
          <w:ilvl w:val="-1"/>
          <w:numId w:val="0"/>
        </w:numPr>
        <w:spacing w:before="13"/>
        <w:ind w:left="0" w:leftChars="0" w:firstLine="600" w:firstLineChars="200"/>
        <w:rPr>
          <w:rFonts w:hint="eastAsia" w:ascii="黑体" w:hAnsi="黑体" w:eastAsia="黑体" w:cs="黑体"/>
          <w:b w:val="0"/>
          <w:bCs/>
          <w:color w:val="auto"/>
          <w:sz w:val="30"/>
          <w:szCs w:val="30"/>
          <w:highlight w:val="none"/>
          <w:lang w:val="en-US" w:eastAsia="zh-CN"/>
        </w:rPr>
      </w:pPr>
      <w:r>
        <w:rPr>
          <w:rFonts w:hint="eastAsia" w:ascii="黑体" w:hAnsi="黑体" w:eastAsia="黑体" w:cs="黑体"/>
          <w:b w:val="0"/>
          <w:bCs/>
          <w:color w:val="auto"/>
          <w:sz w:val="30"/>
          <w:szCs w:val="30"/>
          <w:highlight w:val="none"/>
          <w:lang w:val="en-US" w:eastAsia="zh-CN"/>
        </w:rPr>
        <w:t>四、项目进度要求</w:t>
      </w:r>
    </w:p>
    <w:p>
      <w:pPr>
        <w:pStyle w:val="2"/>
        <w:keepNext w:val="0"/>
        <w:keepLines w:val="0"/>
        <w:pageBreakBefore w:val="0"/>
        <w:widowControl w:val="0"/>
        <w:numPr>
          <w:ilvl w:val="0"/>
          <w:numId w:val="16"/>
        </w:numPr>
        <w:kinsoku/>
        <w:wordWrap/>
        <w:overflowPunct/>
        <w:topLinePunct w:val="0"/>
        <w:autoSpaceDE w:val="0"/>
        <w:autoSpaceDN w:val="0"/>
        <w:bidi w:val="0"/>
        <w:adjustRightInd/>
        <w:snapToGrid/>
        <w:spacing w:before="0" w:beforeLines="100" w:line="365" w:lineRule="auto"/>
        <w:ind w:left="-8" w:leftChars="0" w:right="397" w:firstLine="448" w:firstLineChars="0"/>
        <w:textAlignment w:val="auto"/>
        <w:rPr>
          <w:rFonts w:ascii="宋体" w:hAnsi="宋体" w:eastAsia="宋体" w:cs="宋体"/>
          <w:color w:val="auto"/>
          <w:sz w:val="24"/>
          <w:szCs w:val="24"/>
          <w:highlight w:val="none"/>
        </w:rPr>
      </w:pPr>
      <w:r>
        <w:rPr>
          <w:rFonts w:ascii="Arial" w:hAnsi="Arial" w:eastAsia="Arial" w:cs="Arial"/>
          <w:snapToGrid w:val="0"/>
          <w:color w:val="auto"/>
          <w:sz w:val="21"/>
          <w:szCs w:val="21"/>
          <w:highlight w:val="none"/>
          <w:lang w:val="en-US" w:eastAsia="en-US" w:bidi="ar-SA"/>
        </w:rPr>
        <w:t>该项目拟采取整体立项、分期实施、分期报验、分期交易的方式进行，在分期实施中</w:t>
      </w:r>
      <w:r>
        <w:rPr>
          <w:rFonts w:hint="eastAsia" w:ascii="Arial" w:hAnsi="Arial" w:eastAsia="Arial" w:cs="Arial"/>
          <w:snapToGrid w:val="0"/>
          <w:color w:val="auto"/>
          <w:sz w:val="21"/>
          <w:szCs w:val="21"/>
          <w:highlight w:val="none"/>
          <w:lang w:val="en-US" w:eastAsia="zh-CN" w:bidi="ar-SA"/>
        </w:rPr>
        <w:t>按比例</w:t>
      </w:r>
      <w:r>
        <w:rPr>
          <w:rFonts w:ascii="Arial" w:hAnsi="Arial" w:eastAsia="Arial" w:cs="Arial"/>
          <w:snapToGrid w:val="0"/>
          <w:color w:val="auto"/>
          <w:sz w:val="21"/>
          <w:szCs w:val="21"/>
          <w:highlight w:val="none"/>
          <w:lang w:val="en-US" w:eastAsia="en-US" w:bidi="ar-SA"/>
        </w:rPr>
        <w:t>优先开展农用地整理</w:t>
      </w:r>
      <w:r>
        <w:rPr>
          <w:rFonts w:hint="eastAsia" w:ascii="Arial" w:hAnsi="Arial" w:eastAsia="Arial" w:cs="Arial"/>
          <w:snapToGrid w:val="0"/>
          <w:color w:val="auto"/>
          <w:sz w:val="21"/>
          <w:szCs w:val="21"/>
          <w:highlight w:val="none"/>
          <w:lang w:val="en-US" w:eastAsia="zh-CN" w:bidi="ar-SA"/>
        </w:rPr>
        <w:t>项目和3A级红色景区创建</w:t>
      </w:r>
      <w:r>
        <w:rPr>
          <w:rFonts w:ascii="Arial" w:hAnsi="Arial" w:eastAsia="Arial" w:cs="Arial"/>
          <w:snapToGrid w:val="0"/>
          <w:color w:val="auto"/>
          <w:sz w:val="21"/>
          <w:szCs w:val="21"/>
          <w:highlight w:val="none"/>
          <w:lang w:val="en-US" w:eastAsia="en-US" w:bidi="ar-SA"/>
        </w:rPr>
        <w:t>项目。</w:t>
      </w:r>
      <w:r>
        <w:rPr>
          <w:rFonts w:hint="eastAsia" w:ascii="Arial" w:hAnsi="Arial" w:eastAsia="Arial" w:cs="Arial"/>
          <w:snapToGrid w:val="0"/>
          <w:color w:val="auto"/>
          <w:sz w:val="21"/>
          <w:szCs w:val="21"/>
          <w:highlight w:val="none"/>
          <w:lang w:val="en-US" w:eastAsia="zh-CN" w:bidi="ar-SA"/>
        </w:rPr>
        <w:t>乙</w:t>
      </w:r>
      <w:r>
        <w:rPr>
          <w:rFonts w:ascii="Arial" w:hAnsi="Arial" w:eastAsia="Arial" w:cs="Arial"/>
          <w:snapToGrid w:val="0"/>
          <w:color w:val="auto"/>
          <w:sz w:val="21"/>
          <w:szCs w:val="21"/>
          <w:highlight w:val="none"/>
          <w:lang w:val="en-US" w:eastAsia="en-US" w:bidi="ar-SA"/>
        </w:rPr>
        <w:t>方应根据本项目农用地整理类项目的建设计划自行筹措项目所需建设资金。原则上，建设用地整理、生态修复和人居环境及产业导入项目通过补充耕地指标收入扣除</w:t>
      </w:r>
      <w:r>
        <w:rPr>
          <w:rFonts w:hint="eastAsia" w:ascii="Arial" w:hAnsi="Arial" w:eastAsia="Arial" w:cs="Arial"/>
          <w:snapToGrid w:val="0"/>
          <w:color w:val="auto"/>
          <w:sz w:val="21"/>
          <w:szCs w:val="21"/>
          <w:highlight w:val="none"/>
          <w:lang w:val="en-US" w:eastAsia="zh-CN" w:bidi="ar-SA"/>
        </w:rPr>
        <w:t>乙</w:t>
      </w:r>
      <w:r>
        <w:rPr>
          <w:rFonts w:ascii="Arial" w:hAnsi="Arial" w:eastAsia="Arial" w:cs="Arial"/>
          <w:snapToGrid w:val="0"/>
          <w:color w:val="auto"/>
          <w:sz w:val="21"/>
          <w:szCs w:val="21"/>
          <w:highlight w:val="none"/>
          <w:lang w:val="en-US" w:eastAsia="en-US" w:bidi="ar-SA"/>
        </w:rPr>
        <w:t>方投资成本</w:t>
      </w:r>
      <w:r>
        <w:rPr>
          <w:rFonts w:hint="eastAsia" w:ascii="Arial" w:hAnsi="Arial" w:eastAsia="Arial" w:cs="Arial"/>
          <w:snapToGrid w:val="0"/>
          <w:color w:val="auto"/>
          <w:sz w:val="21"/>
          <w:szCs w:val="21"/>
          <w:highlight w:val="none"/>
          <w:lang w:val="en-US" w:eastAsia="zh-CN" w:bidi="ar-SA"/>
        </w:rPr>
        <w:t>外</w:t>
      </w:r>
      <w:r>
        <w:rPr>
          <w:rFonts w:ascii="Arial" w:hAnsi="Arial" w:eastAsia="Arial" w:cs="Arial"/>
          <w:snapToGrid w:val="0"/>
          <w:color w:val="auto"/>
          <w:sz w:val="21"/>
          <w:szCs w:val="21"/>
          <w:highlight w:val="none"/>
          <w:lang w:val="en-US" w:eastAsia="en-US" w:bidi="ar-SA"/>
        </w:rPr>
        <w:t>的结余资金进行返投。</w:t>
      </w:r>
      <w:r>
        <w:rPr>
          <w:rFonts w:hint="eastAsia" w:ascii="Arial" w:hAnsi="Arial" w:eastAsia="Arial" w:cs="Arial"/>
          <w:snapToGrid w:val="0"/>
          <w:color w:val="auto"/>
          <w:sz w:val="21"/>
          <w:szCs w:val="21"/>
          <w:highlight w:val="none"/>
          <w:lang w:val="en-US" w:eastAsia="zh-CN" w:bidi="ar-SA"/>
        </w:rPr>
        <w:t>乙</w:t>
      </w:r>
      <w:r>
        <w:rPr>
          <w:rFonts w:ascii="Arial" w:hAnsi="Arial" w:eastAsia="Arial" w:cs="Arial"/>
          <w:snapToGrid w:val="0"/>
          <w:color w:val="auto"/>
          <w:sz w:val="21"/>
          <w:szCs w:val="21"/>
          <w:highlight w:val="none"/>
          <w:lang w:val="en-US" w:eastAsia="en-US" w:bidi="ar-SA"/>
        </w:rPr>
        <w:t>方第一年须保证农用地整理规模不少于</w:t>
      </w:r>
      <w:r>
        <w:rPr>
          <w:rFonts w:hint="eastAsia" w:ascii="Arial" w:hAnsi="Arial" w:eastAsia="Arial" w:cs="Arial"/>
          <w:snapToGrid w:val="0"/>
          <w:color w:val="auto"/>
          <w:sz w:val="21"/>
          <w:szCs w:val="21"/>
          <w:highlight w:val="none"/>
          <w:lang w:val="en-US" w:eastAsia="zh-CN" w:bidi="ar-SA"/>
        </w:rPr>
        <w:t>5</w:t>
      </w:r>
      <w:r>
        <w:rPr>
          <w:rFonts w:ascii="Arial" w:hAnsi="Arial" w:eastAsia="Arial" w:cs="Arial"/>
          <w:snapToGrid w:val="0"/>
          <w:color w:val="auto"/>
          <w:sz w:val="21"/>
          <w:szCs w:val="21"/>
          <w:highlight w:val="none"/>
          <w:lang w:val="en-US" w:eastAsia="en-US" w:bidi="ar-SA"/>
        </w:rPr>
        <w:t>00亩</w:t>
      </w:r>
      <w:r>
        <w:rPr>
          <w:rFonts w:hint="eastAsia" w:ascii="Arial" w:hAnsi="Arial" w:eastAsia="Arial" w:cs="Arial"/>
          <w:snapToGrid w:val="0"/>
          <w:color w:val="auto"/>
          <w:sz w:val="21"/>
          <w:szCs w:val="21"/>
          <w:highlight w:val="none"/>
          <w:lang w:val="en-US" w:eastAsia="zh-CN" w:bidi="ar-SA"/>
        </w:rPr>
        <w:t>（</w:t>
      </w:r>
      <w:r>
        <w:rPr>
          <w:rFonts w:hint="eastAsia" w:ascii="Arial" w:hAnsi="Arial" w:eastAsia="Arial" w:cs="Arial"/>
          <w:snapToGrid w:val="0"/>
          <w:color w:val="auto"/>
          <w:sz w:val="21"/>
          <w:szCs w:val="21"/>
          <w:highlight w:val="none"/>
          <w:lang w:val="en-US" w:eastAsia="en-US" w:bidi="ar-SA"/>
        </w:rPr>
        <w:t>甲方必须协助</w:t>
      </w:r>
      <w:r>
        <w:rPr>
          <w:rFonts w:hint="eastAsia" w:ascii="Arial" w:hAnsi="Arial" w:eastAsia="Arial" w:cs="Arial"/>
          <w:snapToGrid w:val="0"/>
          <w:color w:val="auto"/>
          <w:sz w:val="21"/>
          <w:szCs w:val="21"/>
          <w:highlight w:val="none"/>
          <w:lang w:val="en-US" w:eastAsia="zh-CN" w:bidi="ar-SA"/>
        </w:rPr>
        <w:t>乙</w:t>
      </w:r>
      <w:r>
        <w:rPr>
          <w:rFonts w:hint="eastAsia" w:ascii="Arial" w:hAnsi="Arial" w:eastAsia="Arial" w:cs="Arial"/>
          <w:snapToGrid w:val="0"/>
          <w:color w:val="auto"/>
          <w:sz w:val="21"/>
          <w:szCs w:val="21"/>
          <w:highlight w:val="none"/>
          <w:lang w:val="en-US" w:eastAsia="en-US" w:bidi="ar-SA"/>
        </w:rPr>
        <w:t>方按实施方案解决土地权属争议及土地流转</w:t>
      </w:r>
      <w:r>
        <w:rPr>
          <w:rFonts w:hint="eastAsia" w:ascii="Arial" w:hAnsi="Arial" w:eastAsia="Arial" w:cs="Arial"/>
          <w:snapToGrid w:val="0"/>
          <w:color w:val="auto"/>
          <w:sz w:val="21"/>
          <w:szCs w:val="21"/>
          <w:highlight w:val="none"/>
          <w:lang w:val="en-US" w:eastAsia="zh-CN" w:bidi="ar-SA"/>
        </w:rPr>
        <w:t>）</w:t>
      </w:r>
      <w:r>
        <w:rPr>
          <w:rFonts w:ascii="Arial" w:hAnsi="Arial" w:eastAsia="Arial" w:cs="Arial"/>
          <w:snapToGrid w:val="0"/>
          <w:color w:val="auto"/>
          <w:sz w:val="21"/>
          <w:szCs w:val="21"/>
          <w:highlight w:val="none"/>
          <w:lang w:val="en-US" w:eastAsia="en-US" w:bidi="ar-SA"/>
        </w:rPr>
        <w:t>。</w:t>
      </w:r>
    </w:p>
    <w:p>
      <w:pPr>
        <w:pStyle w:val="2"/>
        <w:keepNext w:val="0"/>
        <w:keepLines w:val="0"/>
        <w:pageBreakBefore w:val="0"/>
        <w:widowControl w:val="0"/>
        <w:numPr>
          <w:ilvl w:val="0"/>
          <w:numId w:val="16"/>
        </w:numPr>
        <w:kinsoku/>
        <w:wordWrap/>
        <w:overflowPunct/>
        <w:topLinePunct w:val="0"/>
        <w:autoSpaceDE w:val="0"/>
        <w:autoSpaceDN w:val="0"/>
        <w:bidi w:val="0"/>
        <w:adjustRightInd/>
        <w:snapToGrid/>
        <w:spacing w:before="0" w:beforeLines="100" w:line="365" w:lineRule="auto"/>
        <w:ind w:left="-8" w:leftChars="0" w:right="397" w:firstLine="448" w:firstLineChars="0"/>
        <w:textAlignment w:val="auto"/>
        <w:rPr>
          <w:color w:val="auto"/>
          <w:highlight w:val="none"/>
        </w:rPr>
      </w:pPr>
      <w:r>
        <w:rPr>
          <w:color w:val="auto"/>
          <w:spacing w:val="-8"/>
          <w:highlight w:val="none"/>
        </w:rPr>
        <w:t>农用地整理类项目的建设工期为36个月，非农用地整理类项目的建设工期根据实际立项情况另行约定。具体建设期以批复的《</w:t>
      </w:r>
      <w:r>
        <w:rPr>
          <w:rFonts w:hint="eastAsia"/>
          <w:color w:val="auto"/>
          <w:spacing w:val="-8"/>
          <w:highlight w:val="none"/>
          <w:lang w:val="en-US" w:eastAsia="zh-CN"/>
        </w:rPr>
        <w:t>儋州</w:t>
      </w:r>
      <w:r>
        <w:rPr>
          <w:color w:val="auto"/>
          <w:spacing w:val="-8"/>
          <w:highlight w:val="none"/>
        </w:rPr>
        <w:t>市</w:t>
      </w:r>
      <w:r>
        <w:rPr>
          <w:rFonts w:hint="eastAsia"/>
          <w:color w:val="auto"/>
          <w:spacing w:val="-8"/>
          <w:highlight w:val="none"/>
          <w:lang w:val="en-US" w:eastAsia="zh-CN"/>
        </w:rPr>
        <w:t>和庆</w:t>
      </w:r>
      <w:r>
        <w:rPr>
          <w:color w:val="auto"/>
          <w:spacing w:val="-8"/>
          <w:highlight w:val="none"/>
        </w:rPr>
        <w:t>镇全域土地综合整治</w:t>
      </w:r>
      <w:r>
        <w:rPr>
          <w:color w:val="auto"/>
          <w:highlight w:val="none"/>
        </w:rPr>
        <w:t>（</w:t>
      </w:r>
      <w:r>
        <w:rPr>
          <w:color w:val="auto"/>
          <w:spacing w:val="-8"/>
          <w:highlight w:val="none"/>
        </w:rPr>
        <w:t>省级）试点实施方案》为准。根据《海南省自然资源和规划厅关于进一步加强和规范耕地占补平衡工作的通知》（琼自然资规〔2021</w:t>
      </w:r>
      <w:r>
        <w:rPr>
          <w:color w:val="auto"/>
          <w:spacing w:val="-5"/>
          <w:highlight w:val="none"/>
        </w:rPr>
        <w:t>〕</w:t>
      </w:r>
      <w:r>
        <w:rPr>
          <w:color w:val="auto"/>
          <w:spacing w:val="-8"/>
          <w:highlight w:val="none"/>
        </w:rPr>
        <w:t>8号）、《海南省新增耕地调查认定技术规范（试行2023年修订版）》</w:t>
      </w:r>
      <w:r>
        <w:rPr>
          <w:color w:val="auto"/>
          <w:spacing w:val="-5"/>
          <w:highlight w:val="none"/>
        </w:rPr>
        <w:t>（</w:t>
      </w:r>
      <w:r>
        <w:rPr>
          <w:color w:val="auto"/>
          <w:spacing w:val="-8"/>
          <w:highlight w:val="none"/>
        </w:rPr>
        <w:t>琼自然资函〔2023〕1203号）等规定及要求，项目管护期不少于3年。本项目新增耕地由</w:t>
      </w:r>
      <w:r>
        <w:rPr>
          <w:rFonts w:hint="eastAsia"/>
          <w:color w:val="auto"/>
          <w:spacing w:val="-8"/>
          <w:highlight w:val="none"/>
          <w:lang w:val="en-US" w:eastAsia="zh-CN"/>
        </w:rPr>
        <w:t>乙</w:t>
      </w:r>
      <w:r>
        <w:rPr>
          <w:color w:val="auto"/>
          <w:spacing w:val="-8"/>
          <w:highlight w:val="none"/>
        </w:rPr>
        <w:t>方或</w:t>
      </w:r>
      <w:r>
        <w:rPr>
          <w:rFonts w:hint="eastAsia"/>
          <w:color w:val="auto"/>
          <w:spacing w:val="-8"/>
          <w:highlight w:val="none"/>
          <w:lang w:val="en-US" w:eastAsia="zh-CN"/>
        </w:rPr>
        <w:t>乙</w:t>
      </w:r>
      <w:r>
        <w:rPr>
          <w:color w:val="auto"/>
          <w:spacing w:val="-8"/>
          <w:highlight w:val="none"/>
        </w:rPr>
        <w:t>方导入的产业公司负责管护。管护到期后，权属人不进</w:t>
      </w:r>
      <w:r>
        <w:rPr>
          <w:color w:val="auto"/>
          <w:highlight w:val="none"/>
        </w:rPr>
        <w:t>行耕种的，在同等条件下，</w:t>
      </w:r>
      <w:r>
        <w:rPr>
          <w:rFonts w:hint="eastAsia"/>
          <w:color w:val="auto"/>
          <w:highlight w:val="none"/>
          <w:lang w:val="en-US" w:eastAsia="zh-CN"/>
        </w:rPr>
        <w:t>乙</w:t>
      </w:r>
      <w:r>
        <w:rPr>
          <w:color w:val="auto"/>
          <w:highlight w:val="none"/>
        </w:rPr>
        <w:t>方或</w:t>
      </w:r>
      <w:r>
        <w:rPr>
          <w:rFonts w:hint="eastAsia"/>
          <w:color w:val="auto"/>
          <w:highlight w:val="none"/>
          <w:lang w:val="en-US" w:eastAsia="zh-CN"/>
        </w:rPr>
        <w:t>乙</w:t>
      </w:r>
      <w:r>
        <w:rPr>
          <w:color w:val="auto"/>
          <w:highlight w:val="none"/>
        </w:rPr>
        <w:t>方导入的产业公司优先负责后期的种植。</w:t>
      </w:r>
    </w:p>
    <w:p>
      <w:pPr>
        <w:pStyle w:val="2"/>
        <w:keepNext w:val="0"/>
        <w:keepLines w:val="0"/>
        <w:pageBreakBefore w:val="0"/>
        <w:widowControl w:val="0"/>
        <w:numPr>
          <w:ilvl w:val="0"/>
          <w:numId w:val="16"/>
        </w:numPr>
        <w:kinsoku/>
        <w:wordWrap/>
        <w:overflowPunct/>
        <w:topLinePunct w:val="0"/>
        <w:autoSpaceDE w:val="0"/>
        <w:autoSpaceDN w:val="0"/>
        <w:bidi w:val="0"/>
        <w:adjustRightInd/>
        <w:snapToGrid/>
        <w:spacing w:before="0" w:beforeLines="100" w:line="365" w:lineRule="auto"/>
        <w:ind w:left="-8" w:leftChars="0" w:right="397" w:firstLine="448" w:firstLineChars="0"/>
        <w:textAlignment w:val="auto"/>
        <w:rPr>
          <w:rFonts w:hint="default"/>
          <w:color w:val="auto"/>
          <w:spacing w:val="-8"/>
          <w:highlight w:val="none"/>
          <w:lang w:val="en-US" w:eastAsia="zh-CN"/>
        </w:rPr>
      </w:pPr>
      <w:r>
        <w:rPr>
          <w:rFonts w:hint="eastAsia"/>
          <w:color w:val="auto"/>
          <w:spacing w:val="-8"/>
          <w:highlight w:val="none"/>
          <w:lang w:val="en-US" w:eastAsia="zh-CN"/>
        </w:rPr>
        <w:t>3A级红色旅游景区建设周期为36个月。根据《旅游景区质量等级的划分与评定》（GB/T17775—2003）与《旅游景区质量等级管理办法》等规定及要求，景区完成评审后由乙导入的产业公司负责运营。</w:t>
      </w:r>
    </w:p>
    <w:p>
      <w:pPr>
        <w:pStyle w:val="2"/>
        <w:numPr>
          <w:ilvl w:val="-1"/>
          <w:numId w:val="0"/>
        </w:numPr>
        <w:spacing w:before="13"/>
        <w:ind w:left="0" w:leftChars="0" w:firstLine="600" w:firstLineChars="200"/>
        <w:rPr>
          <w:rFonts w:hint="eastAsia" w:ascii="黑体" w:hAnsi="黑体" w:eastAsia="黑体" w:cs="黑体"/>
          <w:b w:val="0"/>
          <w:bCs/>
          <w:color w:val="auto"/>
          <w:sz w:val="30"/>
          <w:szCs w:val="30"/>
          <w:highlight w:val="none"/>
          <w:lang w:val="en-US" w:eastAsia="zh-CN"/>
        </w:rPr>
      </w:pPr>
      <w:r>
        <w:rPr>
          <w:rFonts w:hint="eastAsia" w:ascii="黑体" w:hAnsi="黑体" w:eastAsia="黑体" w:cs="黑体"/>
          <w:b w:val="0"/>
          <w:bCs/>
          <w:color w:val="auto"/>
          <w:sz w:val="30"/>
          <w:szCs w:val="30"/>
          <w:highlight w:val="none"/>
          <w:lang w:val="en-US" w:eastAsia="zh-CN"/>
        </w:rPr>
        <w:t>五、项目运作模式</w:t>
      </w:r>
    </w:p>
    <w:p>
      <w:pPr>
        <w:pStyle w:val="2"/>
        <w:spacing w:before="10"/>
        <w:rPr>
          <w:color w:val="auto"/>
          <w:sz w:val="18"/>
          <w:highlight w:val="none"/>
        </w:rPr>
      </w:pPr>
    </w:p>
    <w:p>
      <w:pPr>
        <w:pStyle w:val="6"/>
        <w:spacing w:line="360" w:lineRule="auto"/>
        <w:ind w:left="0" w:leftChars="0" w:firstLine="412" w:firstLineChars="200"/>
        <w:jc w:val="left"/>
        <w:rPr>
          <w:rFonts w:hint="eastAsia" w:ascii="Arial" w:hAnsi="Arial" w:eastAsia="Arial" w:cs="Arial"/>
          <w:snapToGrid w:val="0"/>
          <w:color w:val="auto"/>
          <w:spacing w:val="-2"/>
          <w:sz w:val="21"/>
          <w:szCs w:val="21"/>
          <w:highlight w:val="none"/>
          <w:lang w:val="en-US" w:eastAsia="zh-CN" w:bidi="ar-SA"/>
        </w:rPr>
      </w:pPr>
      <w:r>
        <w:rPr>
          <w:rFonts w:hint="eastAsia" w:ascii="Arial" w:hAnsi="Arial" w:eastAsia="Arial" w:cs="Arial"/>
          <w:snapToGrid w:val="0"/>
          <w:color w:val="auto"/>
          <w:spacing w:val="-2"/>
          <w:sz w:val="21"/>
          <w:szCs w:val="21"/>
          <w:highlight w:val="none"/>
          <w:lang w:val="en-US" w:eastAsia="zh-CN" w:bidi="ar-SA"/>
        </w:rPr>
        <w:t>项目按“不予不取 就地发展”及社会资本</w:t>
      </w:r>
      <w:r>
        <w:rPr>
          <w:rFonts w:hint="eastAsia" w:ascii="Arial" w:hAnsi="Arial" w:eastAsia="Arial" w:cs="Arial"/>
          <w:snapToGrid w:val="0"/>
          <w:color w:val="auto"/>
          <w:spacing w:val="-2"/>
          <w:sz w:val="21"/>
          <w:szCs w:val="21"/>
          <w:highlight w:val="none"/>
          <w:lang w:val="zh-TW" w:eastAsia="zh-TW" w:bidi="ar-SA"/>
        </w:rPr>
        <w:t>“全额投资、全程运作、全担风险”</w:t>
      </w:r>
      <w:r>
        <w:rPr>
          <w:rFonts w:hint="eastAsia" w:ascii="Arial" w:hAnsi="Arial" w:eastAsia="Arial" w:cs="Arial"/>
          <w:snapToGrid w:val="0"/>
          <w:color w:val="auto"/>
          <w:spacing w:val="-2"/>
          <w:sz w:val="21"/>
          <w:szCs w:val="21"/>
          <w:highlight w:val="none"/>
          <w:lang w:val="en-US" w:eastAsia="zh-CN" w:bidi="ar-SA"/>
        </w:rPr>
        <w:t>的原则，在分期实施中按约定比例优先开展农用地整理项目及人居环境整治等子项目。本项目投资成本包括工程费用、工程建设其他费用（含青苗补偿及土地流转、实施方案及可行性研究费、可研评审费、项目规划方案、初步设计及概算评审费、项目勘察费、水土保持、水资源论证编制费、项目设计与概算编制费、招标代理、工程监理费、施工图审查费、工程质量检测费、工程量清单及控制价编制费、全过程造价咨询费、耕地质量等别评定、新增耕地认定费、指标竣工验收费、结算审核费、三年后期管护费、业主管理费、不可预见费等。）具体以概算批复为准。全部由中标人承担。</w:t>
      </w:r>
    </w:p>
    <w:p>
      <w:pPr>
        <w:pStyle w:val="2"/>
        <w:spacing w:line="364" w:lineRule="auto"/>
        <w:ind w:right="270" w:firstLine="412" w:firstLineChars="200"/>
        <w:rPr>
          <w:rFonts w:hint="eastAsia"/>
          <w:color w:val="auto"/>
          <w:spacing w:val="-2"/>
          <w:highlight w:val="none"/>
          <w:lang w:val="en-US" w:eastAsia="zh-CN"/>
        </w:rPr>
      </w:pPr>
      <w:r>
        <w:rPr>
          <w:rFonts w:hint="eastAsia"/>
          <w:color w:val="auto"/>
          <w:spacing w:val="-2"/>
          <w:highlight w:val="none"/>
          <w:lang w:val="en-US" w:eastAsia="zh-CN"/>
        </w:rPr>
        <w:t>由中标人负责因地制宜建立合理的联农带农机制、乡村振兴和人才培养机制。在项目区域内成立农业项目公司、文旅项目公司和劳务公司，积极探索社会资本与村集体合作共赢模式，培养本土产业发展人才，壮大集体经济，促进农民就地就近就业增收，实现打造“五好两宜”和美乡村和共同富裕的目标。</w:t>
      </w:r>
    </w:p>
    <w:p>
      <w:pPr>
        <w:rPr>
          <w:rFonts w:hint="default"/>
          <w:color w:val="auto"/>
          <w:highlight w:val="none"/>
          <w:lang w:val="en-US" w:eastAsia="zh-CN"/>
        </w:rPr>
      </w:pPr>
    </w:p>
    <w:p>
      <w:pPr>
        <w:pStyle w:val="2"/>
        <w:numPr>
          <w:ilvl w:val="-1"/>
          <w:numId w:val="0"/>
        </w:numPr>
        <w:spacing w:before="13"/>
        <w:ind w:left="0" w:leftChars="0" w:firstLine="600" w:firstLineChars="200"/>
        <w:rPr>
          <w:rFonts w:hint="eastAsia" w:ascii="黑体" w:hAnsi="黑体" w:eastAsia="黑体" w:cs="黑体"/>
          <w:b w:val="0"/>
          <w:bCs/>
          <w:color w:val="auto"/>
          <w:sz w:val="30"/>
          <w:szCs w:val="30"/>
          <w:highlight w:val="none"/>
          <w:lang w:val="en-US" w:eastAsia="zh-CN"/>
        </w:rPr>
      </w:pPr>
      <w:r>
        <w:rPr>
          <w:rFonts w:hint="eastAsia" w:ascii="黑体" w:hAnsi="黑体" w:eastAsia="黑体" w:cs="黑体"/>
          <w:b w:val="0"/>
          <w:bCs/>
          <w:color w:val="auto"/>
          <w:sz w:val="30"/>
          <w:szCs w:val="30"/>
          <w:highlight w:val="none"/>
          <w:lang w:val="en-US" w:eastAsia="zh-CN"/>
        </w:rPr>
        <w:t>六、相关事项说明</w:t>
      </w:r>
    </w:p>
    <w:p>
      <w:pPr>
        <w:pStyle w:val="2"/>
        <w:spacing w:before="8"/>
        <w:rPr>
          <w:color w:val="auto"/>
          <w:sz w:val="27"/>
          <w:highlight w:val="none"/>
        </w:rPr>
      </w:pPr>
    </w:p>
    <w:p>
      <w:pPr>
        <w:pStyle w:val="18"/>
        <w:numPr>
          <w:ilvl w:val="0"/>
          <w:numId w:val="0"/>
        </w:numPr>
        <w:tabs>
          <w:tab w:val="left" w:pos="794"/>
        </w:tabs>
        <w:spacing w:before="0" w:after="0" w:line="364" w:lineRule="auto"/>
        <w:ind w:right="440" w:rightChars="0" w:firstLine="412" w:firstLineChars="200"/>
        <w:jc w:val="left"/>
        <w:rPr>
          <w:rFonts w:hint="eastAsia" w:ascii="Arial" w:hAnsi="Arial" w:eastAsia="Arial" w:cs="Arial"/>
          <w:color w:val="auto"/>
          <w:spacing w:val="-2"/>
          <w:sz w:val="21"/>
          <w:highlight w:val="none"/>
        </w:rPr>
      </w:pPr>
      <w:r>
        <w:rPr>
          <w:rFonts w:hint="eastAsia" w:ascii="Arial" w:hAnsi="Arial" w:eastAsia="Arial" w:cs="Arial"/>
          <w:color w:val="auto"/>
          <w:spacing w:val="-2"/>
          <w:sz w:val="21"/>
          <w:highlight w:val="none"/>
          <w:lang w:eastAsia="zh-CN"/>
        </w:rPr>
        <w:t>（一）</w:t>
      </w:r>
      <w:r>
        <w:rPr>
          <w:rFonts w:hint="eastAsia" w:ascii="Arial" w:hAnsi="Arial" w:eastAsia="Arial" w:cs="Arial"/>
          <w:color w:val="auto"/>
          <w:spacing w:val="-2"/>
          <w:sz w:val="21"/>
          <w:highlight w:val="none"/>
        </w:rPr>
        <w:t>以上数据来源于《</w:t>
      </w:r>
      <w:r>
        <w:rPr>
          <w:rFonts w:hint="eastAsia" w:ascii="Arial" w:hAnsi="Arial" w:eastAsia="Arial" w:cs="Arial"/>
          <w:color w:val="auto"/>
          <w:spacing w:val="-2"/>
          <w:sz w:val="21"/>
          <w:highlight w:val="none"/>
          <w:lang w:val="en-US" w:eastAsia="zh-CN"/>
        </w:rPr>
        <w:t>儋州</w:t>
      </w:r>
      <w:r>
        <w:rPr>
          <w:rFonts w:hint="eastAsia" w:ascii="Arial" w:hAnsi="Arial" w:eastAsia="Arial" w:cs="Arial"/>
          <w:color w:val="auto"/>
          <w:spacing w:val="-2"/>
          <w:sz w:val="21"/>
          <w:highlight w:val="none"/>
        </w:rPr>
        <w:t>市总体规划（空间类2015-2030）》、20</w:t>
      </w:r>
      <w:r>
        <w:rPr>
          <w:rFonts w:hint="eastAsia" w:ascii="Arial" w:hAnsi="Arial" w:eastAsia="Arial" w:cs="Arial"/>
          <w:color w:val="auto"/>
          <w:spacing w:val="-2"/>
          <w:sz w:val="21"/>
          <w:highlight w:val="none"/>
          <w:lang w:val="en-US" w:eastAsia="zh-CN"/>
        </w:rPr>
        <w:t>22</w:t>
      </w:r>
      <w:r>
        <w:rPr>
          <w:rFonts w:hint="eastAsia" w:ascii="Arial" w:hAnsi="Arial" w:eastAsia="Arial" w:cs="Arial"/>
          <w:color w:val="auto"/>
          <w:spacing w:val="-2"/>
          <w:sz w:val="21"/>
          <w:highlight w:val="none"/>
        </w:rPr>
        <w:t>年度变更调查数据以及《</w:t>
      </w:r>
      <w:r>
        <w:rPr>
          <w:rFonts w:hint="eastAsia" w:ascii="Arial" w:hAnsi="Arial" w:eastAsia="Arial" w:cs="Arial"/>
          <w:color w:val="auto"/>
          <w:spacing w:val="-2"/>
          <w:sz w:val="21"/>
          <w:highlight w:val="none"/>
          <w:lang w:val="en-US" w:eastAsia="zh-CN"/>
        </w:rPr>
        <w:t>儋州</w:t>
      </w:r>
      <w:r>
        <w:rPr>
          <w:rFonts w:hint="eastAsia" w:ascii="Arial" w:hAnsi="Arial" w:eastAsia="Arial" w:cs="Arial"/>
          <w:color w:val="auto"/>
          <w:spacing w:val="-2"/>
          <w:sz w:val="21"/>
          <w:highlight w:val="none"/>
        </w:rPr>
        <w:t>市</w:t>
      </w:r>
      <w:r>
        <w:rPr>
          <w:rFonts w:hint="eastAsia" w:ascii="Arial" w:hAnsi="Arial" w:eastAsia="Arial" w:cs="Arial"/>
          <w:color w:val="auto"/>
          <w:spacing w:val="-2"/>
          <w:sz w:val="21"/>
          <w:highlight w:val="none"/>
          <w:lang w:val="en-US" w:eastAsia="zh-CN"/>
        </w:rPr>
        <w:t>和庆</w:t>
      </w:r>
      <w:r>
        <w:rPr>
          <w:rFonts w:hint="eastAsia" w:ascii="Arial" w:hAnsi="Arial" w:eastAsia="Arial" w:cs="Arial"/>
          <w:color w:val="auto"/>
          <w:spacing w:val="-2"/>
          <w:sz w:val="21"/>
          <w:highlight w:val="none"/>
        </w:rPr>
        <w:t>镇全域土地综合整治（省级）试点项目》，仅供投标人参考，招标人不对上述数据其真实性负责和任何承诺，具体以批复的《实施方案》数据为准。</w:t>
      </w:r>
    </w:p>
    <w:p>
      <w:pPr>
        <w:pStyle w:val="18"/>
        <w:numPr>
          <w:ilvl w:val="0"/>
          <w:numId w:val="0"/>
        </w:numPr>
        <w:tabs>
          <w:tab w:val="left" w:pos="794"/>
        </w:tabs>
        <w:spacing w:before="39" w:after="0" w:line="362" w:lineRule="auto"/>
        <w:ind w:right="409" w:rightChars="0" w:firstLine="412" w:firstLineChars="200"/>
        <w:jc w:val="left"/>
        <w:rPr>
          <w:rFonts w:hint="eastAsia" w:ascii="Arial" w:hAnsi="Arial" w:eastAsia="Arial" w:cs="Arial"/>
          <w:color w:val="auto"/>
          <w:spacing w:val="-2"/>
          <w:sz w:val="21"/>
          <w:highlight w:val="none"/>
        </w:rPr>
      </w:pPr>
      <w:r>
        <w:rPr>
          <w:rFonts w:hint="eastAsia" w:ascii="Arial" w:hAnsi="Arial" w:eastAsia="Arial" w:cs="Arial"/>
          <w:color w:val="auto"/>
          <w:spacing w:val="-2"/>
          <w:sz w:val="21"/>
          <w:highlight w:val="none"/>
          <w:lang w:eastAsia="zh-CN"/>
        </w:rPr>
        <w:t>（二）</w:t>
      </w:r>
      <w:r>
        <w:rPr>
          <w:rFonts w:hint="eastAsia" w:ascii="Arial" w:hAnsi="Arial" w:eastAsia="Arial" w:cs="Arial"/>
          <w:color w:val="auto"/>
          <w:spacing w:val="-2"/>
          <w:sz w:val="21"/>
          <w:highlight w:val="none"/>
        </w:rPr>
        <w:t>中标人对试点建议内容，必须严格按照经批准的《实施方案》建设内容投资建设， 而且要达到国家、省、市等验收标准。</w:t>
      </w:r>
    </w:p>
    <w:p>
      <w:pPr>
        <w:pStyle w:val="18"/>
        <w:keepNext w:val="0"/>
        <w:keepLines w:val="0"/>
        <w:pageBreakBefore w:val="0"/>
        <w:widowControl w:val="0"/>
        <w:numPr>
          <w:ilvl w:val="0"/>
          <w:numId w:val="0"/>
        </w:numPr>
        <w:tabs>
          <w:tab w:val="left" w:pos="794"/>
        </w:tabs>
        <w:kinsoku/>
        <w:wordWrap/>
        <w:overflowPunct/>
        <w:topLinePunct w:val="0"/>
        <w:autoSpaceDE w:val="0"/>
        <w:autoSpaceDN w:val="0"/>
        <w:bidi w:val="0"/>
        <w:adjustRightInd/>
        <w:snapToGrid/>
        <w:spacing w:before="39" w:after="0" w:line="365" w:lineRule="auto"/>
        <w:ind w:right="408" w:rightChars="0" w:firstLine="412" w:firstLineChars="200"/>
        <w:jc w:val="left"/>
        <w:textAlignment w:val="auto"/>
        <w:rPr>
          <w:rFonts w:hint="eastAsia" w:ascii="Arial" w:hAnsi="Arial" w:eastAsia="Arial" w:cs="Arial"/>
          <w:b w:val="0"/>
          <w:color w:val="auto"/>
          <w:spacing w:val="-2"/>
          <w:sz w:val="21"/>
          <w:highlight w:val="none"/>
        </w:rPr>
      </w:pPr>
      <w:r>
        <w:rPr>
          <w:rFonts w:hint="eastAsia" w:ascii="Arial" w:hAnsi="Arial" w:eastAsia="Arial" w:cs="Arial"/>
          <w:color w:val="auto"/>
          <w:spacing w:val="-2"/>
          <w:sz w:val="21"/>
          <w:highlight w:val="none"/>
          <w:lang w:eastAsia="zh-CN"/>
        </w:rPr>
        <w:t>（三）</w:t>
      </w:r>
      <w:r>
        <w:rPr>
          <w:rFonts w:hint="eastAsia" w:ascii="Arial" w:hAnsi="Arial" w:eastAsia="Arial" w:cs="Arial"/>
          <w:color w:val="auto"/>
          <w:spacing w:val="-2"/>
          <w:sz w:val="21"/>
          <w:highlight w:val="none"/>
        </w:rPr>
        <w:t>投标人应对现场自行组织踏勘，投标人的投标行为视为已充分调查、了解、核实场地。</w:t>
      </w:r>
    </w:p>
    <w:bookmarkEnd w:id="563"/>
    <w:bookmarkEnd w:id="564"/>
    <w:bookmarkEnd w:id="566"/>
    <w:bookmarkEnd w:id="567"/>
    <w:bookmarkEnd w:id="568"/>
    <w:p>
      <w:pPr>
        <w:rPr>
          <w:rFonts w:hint="eastAsia" w:ascii="仿宋" w:hAnsi="仿宋" w:eastAsia="仿宋" w:cs="仿宋"/>
          <w:color w:val="auto"/>
          <w:highlight w:val="none"/>
        </w:rPr>
      </w:pPr>
      <w:bookmarkStart w:id="577" w:name="_Toc11268"/>
      <w:bookmarkStart w:id="578" w:name="_Toc17066"/>
      <w:bookmarkStart w:id="579" w:name="_Toc19564"/>
      <w:bookmarkStart w:id="580" w:name="_Toc5928"/>
      <w:bookmarkStart w:id="581" w:name="_Toc2238"/>
      <w:r>
        <w:rPr>
          <w:rFonts w:ascii="仿宋" w:hAnsi="仿宋" w:eastAsia="仿宋" w:cs="仿宋"/>
          <w:color w:val="auto"/>
          <w:highlight w:val="none"/>
        </w:rPr>
        <w:br w:type="page"/>
      </w:r>
    </w:p>
    <w:p>
      <w:pPr>
        <w:pStyle w:val="3"/>
        <w:numPr>
          <w:ilvl w:val="0"/>
          <w:numId w:val="17"/>
        </w:numPr>
        <w:ind w:firstLineChars="0"/>
        <w:jc w:val="left"/>
        <w:rPr>
          <w:rFonts w:hint="eastAsia" w:ascii="仿宋" w:hAnsi="仿宋" w:eastAsia="仿宋" w:cs="仿宋"/>
          <w:color w:val="auto"/>
          <w:highlight w:val="none"/>
        </w:rPr>
      </w:pPr>
      <w:bookmarkStart w:id="582" w:name="_Toc10456"/>
      <w:bookmarkStart w:id="583" w:name="_Toc8192"/>
      <w:r>
        <w:rPr>
          <w:rFonts w:ascii="仿宋" w:hAnsi="仿宋" w:eastAsia="仿宋" w:cs="仿宋"/>
          <w:color w:val="auto"/>
          <w:highlight w:val="none"/>
        </w:rPr>
        <w:t>投标文件格式</w:t>
      </w:r>
      <w:bookmarkEnd w:id="577"/>
      <w:bookmarkEnd w:id="578"/>
      <w:bookmarkEnd w:id="579"/>
      <w:bookmarkEnd w:id="580"/>
      <w:bookmarkEnd w:id="581"/>
      <w:bookmarkEnd w:id="582"/>
      <w:bookmarkEnd w:id="583"/>
    </w:p>
    <w:p>
      <w:pPr>
        <w:spacing w:before="160" w:line="360" w:lineRule="auto"/>
        <w:jc w:val="both"/>
        <w:rPr>
          <w:rFonts w:hint="eastAsia" w:ascii="仿宋" w:hAnsi="仿宋" w:eastAsia="仿宋" w:cs="仿宋"/>
          <w:color w:val="auto"/>
          <w:sz w:val="31"/>
          <w:szCs w:val="31"/>
          <w:highlight w:val="none"/>
        </w:rPr>
      </w:pPr>
    </w:p>
    <w:p>
      <w:pPr>
        <w:spacing w:before="160" w:line="360" w:lineRule="auto"/>
        <w:jc w:val="right"/>
        <w:rPr>
          <w:rFonts w:hint="eastAsia" w:ascii="仿宋" w:hAnsi="仿宋" w:eastAsia="仿宋" w:cs="仿宋"/>
          <w:color w:val="auto"/>
          <w:sz w:val="31"/>
          <w:szCs w:val="31"/>
          <w:highlight w:val="none"/>
        </w:rPr>
      </w:pPr>
      <w:r>
        <w:rPr>
          <w:rFonts w:hint="eastAsia" w:ascii="仿宋" w:hAnsi="仿宋" w:eastAsia="仿宋" w:cs="仿宋"/>
          <w:color w:val="auto"/>
          <w:spacing w:val="7"/>
          <w:sz w:val="31"/>
          <w:szCs w:val="31"/>
          <w:highlight w:val="none"/>
        </w:rPr>
        <w:t>【正/副本】</w:t>
      </w: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tabs>
          <w:tab w:val="left" w:pos="6952"/>
        </w:tabs>
        <w:spacing w:before="130" w:line="360" w:lineRule="auto"/>
        <w:ind w:firstLine="448" w:firstLineChars="112"/>
        <w:rPr>
          <w:rFonts w:hint="eastAsia" w:ascii="仿宋" w:hAnsi="仿宋" w:eastAsia="仿宋" w:cs="仿宋"/>
          <w:color w:val="auto"/>
          <w:sz w:val="40"/>
          <w:szCs w:val="40"/>
          <w:highlight w:val="none"/>
        </w:rPr>
      </w:pPr>
      <w:r>
        <w:rPr>
          <w:rFonts w:hint="eastAsia" w:ascii="仿宋" w:hAnsi="仿宋" w:eastAsia="仿宋" w:cs="仿宋"/>
          <w:color w:val="auto"/>
          <w:sz w:val="40"/>
          <w:szCs w:val="40"/>
          <w:highlight w:val="none"/>
          <w:u w:val="single"/>
        </w:rPr>
        <w:tab/>
      </w:r>
      <w:r>
        <w:rPr>
          <w:rFonts w:hint="eastAsia" w:ascii="仿宋" w:hAnsi="仿宋" w:eastAsia="仿宋" w:cs="仿宋"/>
          <w:color w:val="auto"/>
          <w:spacing w:val="-176"/>
          <w:sz w:val="40"/>
          <w:szCs w:val="40"/>
          <w:highlight w:val="none"/>
        </w:rPr>
        <w:t xml:space="preserve"> </w:t>
      </w:r>
      <w:r>
        <w:rPr>
          <w:rFonts w:hint="eastAsia" w:ascii="仿宋" w:hAnsi="仿宋" w:eastAsia="仿宋" w:cs="仿宋"/>
          <w:color w:val="auto"/>
          <w:spacing w:val="-11"/>
          <w:sz w:val="40"/>
          <w:szCs w:val="40"/>
          <w:highlight w:val="none"/>
        </w:rPr>
        <w:t>项目</w:t>
      </w: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spacing w:before="169" w:line="360" w:lineRule="auto"/>
        <w:jc w:val="center"/>
        <w:outlineLvl w:val="1"/>
        <w:rPr>
          <w:rFonts w:hint="eastAsia" w:ascii="仿宋" w:hAnsi="仿宋" w:eastAsia="仿宋" w:cs="仿宋"/>
          <w:color w:val="auto"/>
          <w:sz w:val="52"/>
          <w:szCs w:val="52"/>
          <w:highlight w:val="none"/>
        </w:rPr>
      </w:pPr>
      <w:bookmarkStart w:id="584" w:name="bookmark105"/>
      <w:bookmarkEnd w:id="584"/>
      <w:bookmarkStart w:id="585" w:name="_Toc21663"/>
      <w:bookmarkStart w:id="586" w:name="_Toc22736"/>
      <w:bookmarkStart w:id="587" w:name="_Toc12302"/>
      <w:bookmarkStart w:id="588" w:name="_Toc11024"/>
      <w:bookmarkStart w:id="589" w:name="_Toc20545"/>
      <w:bookmarkStart w:id="590" w:name="_Toc10342"/>
      <w:bookmarkStart w:id="591" w:name="_Toc4291"/>
      <w:r>
        <w:rPr>
          <w:rFonts w:hint="eastAsia" w:ascii="仿宋" w:hAnsi="仿宋" w:eastAsia="仿宋" w:cs="仿宋"/>
          <w:color w:val="auto"/>
          <w:spacing w:val="-7"/>
          <w:sz w:val="52"/>
          <w:szCs w:val="52"/>
          <w:highlight w:val="none"/>
        </w:rPr>
        <w:t>投标文件</w:t>
      </w:r>
      <w:bookmarkEnd w:id="585"/>
      <w:bookmarkEnd w:id="586"/>
      <w:bookmarkEnd w:id="587"/>
      <w:bookmarkEnd w:id="588"/>
      <w:bookmarkEnd w:id="589"/>
      <w:bookmarkEnd w:id="590"/>
      <w:bookmarkEnd w:id="591"/>
    </w:p>
    <w:p>
      <w:pPr>
        <w:pStyle w:val="2"/>
        <w:spacing w:line="360" w:lineRule="auto"/>
        <w:ind w:firstLine="0" w:firstLineChars="0"/>
        <w:rPr>
          <w:rFonts w:hint="eastAsia" w:ascii="仿宋" w:hAnsi="仿宋" w:eastAsia="仿宋" w:cs="仿宋"/>
          <w:color w:val="auto"/>
          <w:highlight w:val="none"/>
        </w:rPr>
      </w:pPr>
    </w:p>
    <w:p>
      <w:pPr>
        <w:pStyle w:val="2"/>
        <w:spacing w:line="360" w:lineRule="auto"/>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pStyle w:val="2"/>
        <w:spacing w:line="360" w:lineRule="auto"/>
        <w:ind w:firstLine="0" w:firstLineChars="0"/>
        <w:rPr>
          <w:rFonts w:hint="eastAsia" w:ascii="仿宋" w:hAnsi="仿宋" w:eastAsia="仿宋" w:cs="仿宋"/>
          <w:color w:val="auto"/>
          <w:highlight w:val="none"/>
        </w:rPr>
      </w:pPr>
    </w:p>
    <w:p>
      <w:pPr>
        <w:spacing w:before="91" w:line="360" w:lineRule="auto"/>
        <w:ind w:firstLine="315" w:firstLineChars="112"/>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1"/>
          <w:sz w:val="28"/>
          <w:szCs w:val="28"/>
          <w:highlight w:val="none"/>
          <w:lang w:eastAsia="zh-CN"/>
        </w:rPr>
        <w:t>投标人或联合体牵头人</w:t>
      </w:r>
      <w:r>
        <w:rPr>
          <w:rFonts w:hint="eastAsia" w:ascii="仿宋" w:hAnsi="仿宋" w:eastAsia="仿宋" w:cs="仿宋"/>
          <w:color w:val="auto"/>
          <w:spacing w:val="-71"/>
          <w:w w:val="95"/>
          <w:sz w:val="28"/>
          <w:szCs w:val="28"/>
          <w:highlight w:val="none"/>
          <w:lang w:eastAsia="zh-CN"/>
        </w:rPr>
        <w:t>：</w:t>
      </w:r>
      <w:r>
        <w:rPr>
          <w:rFonts w:hint="eastAsia" w:ascii="仿宋" w:hAnsi="仿宋" w:eastAsia="仿宋" w:cs="仿宋"/>
          <w:color w:val="auto"/>
          <w:spacing w:val="-71"/>
          <w:w w:val="95"/>
          <w:sz w:val="28"/>
          <w:szCs w:val="28"/>
          <w:highlight w:val="none"/>
          <w:lang w:val="en-US" w:eastAsia="zh-CN"/>
        </w:rPr>
        <w:t xml:space="preserve">                 </w:t>
      </w:r>
      <w:r>
        <w:rPr>
          <w:rFonts w:hint="eastAsia" w:ascii="仿宋" w:hAnsi="仿宋" w:eastAsia="仿宋" w:cs="仿宋"/>
          <w:color w:val="auto"/>
          <w:spacing w:val="-71"/>
          <w:w w:val="95"/>
          <w:sz w:val="28"/>
          <w:szCs w:val="28"/>
          <w:highlight w:val="none"/>
          <w:lang w:eastAsia="zh-CN"/>
        </w:rPr>
        <w:t>（</w:t>
      </w:r>
      <w:r>
        <w:rPr>
          <w:rFonts w:hint="eastAsia" w:ascii="仿宋" w:hAnsi="仿宋" w:eastAsia="仿宋" w:cs="仿宋"/>
          <w:color w:val="auto"/>
          <w:spacing w:val="1"/>
          <w:sz w:val="28"/>
          <w:szCs w:val="28"/>
          <w:highlight w:val="none"/>
          <w:lang w:eastAsia="zh-CN"/>
        </w:rPr>
        <w:t>盖单位章）</w:t>
      </w:r>
    </w:p>
    <w:p>
      <w:pPr>
        <w:spacing w:before="85" w:line="360" w:lineRule="auto"/>
        <w:ind w:firstLine="315" w:firstLineChars="112"/>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1"/>
          <w:sz w:val="28"/>
          <w:szCs w:val="28"/>
          <w:highlight w:val="none"/>
          <w:lang w:eastAsia="zh-CN"/>
        </w:rPr>
        <w:t>法定代表人或其委托代理人</w:t>
      </w:r>
      <w:r>
        <w:rPr>
          <w:rFonts w:hint="eastAsia" w:ascii="仿宋" w:hAnsi="仿宋" w:eastAsia="仿宋" w:cs="仿宋"/>
          <w:color w:val="auto"/>
          <w:spacing w:val="-15"/>
          <w:sz w:val="28"/>
          <w:szCs w:val="28"/>
          <w:highlight w:val="none"/>
          <w:lang w:eastAsia="zh-CN"/>
        </w:rPr>
        <w:t>：</w:t>
      </w:r>
      <w:r>
        <w:rPr>
          <w:rFonts w:hint="eastAsia" w:ascii="仿宋" w:hAnsi="仿宋" w:eastAsia="仿宋" w:cs="仿宋"/>
          <w:color w:val="auto"/>
          <w:spacing w:val="-15"/>
          <w:sz w:val="28"/>
          <w:szCs w:val="28"/>
          <w:highlight w:val="none"/>
          <w:lang w:val="en-US" w:eastAsia="zh-CN"/>
        </w:rPr>
        <w:t xml:space="preserve">      </w:t>
      </w:r>
      <w:r>
        <w:rPr>
          <w:rFonts w:hint="eastAsia" w:ascii="仿宋" w:hAnsi="仿宋" w:eastAsia="仿宋" w:cs="仿宋"/>
          <w:color w:val="auto"/>
          <w:spacing w:val="-15"/>
          <w:sz w:val="28"/>
          <w:szCs w:val="28"/>
          <w:highlight w:val="none"/>
          <w:lang w:eastAsia="zh-CN"/>
        </w:rPr>
        <w:t>（</w:t>
      </w:r>
      <w:r>
        <w:rPr>
          <w:rFonts w:hint="eastAsia" w:ascii="仿宋" w:hAnsi="仿宋" w:eastAsia="仿宋" w:cs="仿宋"/>
          <w:color w:val="auto"/>
          <w:spacing w:val="1"/>
          <w:sz w:val="28"/>
          <w:szCs w:val="28"/>
          <w:highlight w:val="none"/>
          <w:lang w:eastAsia="zh-CN"/>
        </w:rPr>
        <w:t>签字</w:t>
      </w:r>
      <w:r>
        <w:rPr>
          <w:rFonts w:hint="eastAsia" w:ascii="仿宋" w:hAnsi="仿宋" w:eastAsia="仿宋" w:cs="仿宋"/>
          <w:color w:val="auto"/>
          <w:spacing w:val="1"/>
          <w:sz w:val="28"/>
          <w:szCs w:val="28"/>
          <w:highlight w:val="none"/>
          <w:lang w:val="en-US" w:eastAsia="zh-CN"/>
        </w:rPr>
        <w:t>或盖章</w:t>
      </w:r>
      <w:r>
        <w:rPr>
          <w:rFonts w:hint="eastAsia" w:ascii="仿宋" w:hAnsi="仿宋" w:eastAsia="仿宋" w:cs="仿宋"/>
          <w:color w:val="auto"/>
          <w:spacing w:val="1"/>
          <w:sz w:val="28"/>
          <w:szCs w:val="28"/>
          <w:highlight w:val="none"/>
          <w:lang w:eastAsia="zh-CN"/>
        </w:rPr>
        <w:t>）</w:t>
      </w:r>
    </w:p>
    <w:p>
      <w:pPr>
        <w:spacing w:before="85" w:line="360" w:lineRule="auto"/>
        <w:ind w:firstLine="309" w:firstLineChars="112"/>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2"/>
          <w:sz w:val="28"/>
          <w:szCs w:val="28"/>
          <w:highlight w:val="none"/>
          <w:lang w:eastAsia="zh-CN"/>
        </w:rPr>
        <w:t>联合体成员：</w:t>
      </w:r>
    </w:p>
    <w:p>
      <w:pPr>
        <w:spacing w:before="84" w:line="360" w:lineRule="auto"/>
        <w:ind w:firstLine="291" w:firstLineChars="112"/>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10"/>
          <w:sz w:val="28"/>
          <w:szCs w:val="28"/>
          <w:highlight w:val="none"/>
          <w:lang w:eastAsia="zh-CN"/>
        </w:rPr>
        <w:t>年</w:t>
      </w:r>
      <w:r>
        <w:rPr>
          <w:rFonts w:hint="eastAsia" w:ascii="仿宋" w:hAnsi="仿宋" w:eastAsia="仿宋" w:cs="仿宋"/>
          <w:color w:val="auto"/>
          <w:spacing w:val="3"/>
          <w:sz w:val="28"/>
          <w:szCs w:val="28"/>
          <w:highlight w:val="none"/>
          <w:lang w:eastAsia="zh-CN"/>
        </w:rPr>
        <w:t xml:space="preserve">  </w:t>
      </w:r>
      <w:r>
        <w:rPr>
          <w:rFonts w:hint="eastAsia" w:ascii="仿宋" w:hAnsi="仿宋" w:eastAsia="仿宋" w:cs="仿宋"/>
          <w:color w:val="auto"/>
          <w:spacing w:val="-10"/>
          <w:sz w:val="28"/>
          <w:szCs w:val="28"/>
          <w:highlight w:val="none"/>
          <w:lang w:eastAsia="zh-CN"/>
        </w:rPr>
        <w:t>月</w:t>
      </w:r>
      <w:r>
        <w:rPr>
          <w:rFonts w:hint="eastAsia" w:ascii="仿宋" w:hAnsi="仿宋" w:eastAsia="仿宋" w:cs="仿宋"/>
          <w:color w:val="auto"/>
          <w:spacing w:val="15"/>
          <w:sz w:val="28"/>
          <w:szCs w:val="28"/>
          <w:highlight w:val="none"/>
          <w:lang w:eastAsia="zh-CN"/>
        </w:rPr>
        <w:t xml:space="preserve">  </w:t>
      </w:r>
      <w:r>
        <w:rPr>
          <w:rFonts w:hint="eastAsia" w:ascii="仿宋" w:hAnsi="仿宋" w:eastAsia="仿宋" w:cs="仿宋"/>
          <w:color w:val="auto"/>
          <w:spacing w:val="-10"/>
          <w:sz w:val="28"/>
          <w:szCs w:val="28"/>
          <w:highlight w:val="none"/>
          <w:lang w:eastAsia="zh-CN"/>
        </w:rPr>
        <w:t>日</w:t>
      </w:r>
    </w:p>
    <w:p>
      <w:pPr>
        <w:spacing w:line="360" w:lineRule="auto"/>
        <w:ind w:firstLine="313" w:firstLineChars="112"/>
        <w:rPr>
          <w:rFonts w:hint="eastAsia" w:ascii="仿宋" w:hAnsi="仿宋" w:eastAsia="仿宋" w:cs="仿宋"/>
          <w:color w:val="auto"/>
          <w:sz w:val="28"/>
          <w:szCs w:val="28"/>
          <w:highlight w:val="none"/>
          <w:lang w:eastAsia="zh-CN"/>
        </w:rPr>
        <w:sectPr>
          <w:headerReference r:id="rId9" w:type="default"/>
          <w:footerReference r:id="rId10" w:type="default"/>
          <w:pgSz w:w="11900" w:h="16840"/>
          <w:pgMar w:top="1417" w:right="1701" w:bottom="1417" w:left="1701" w:header="0" w:footer="567" w:gutter="0"/>
          <w:pgNumType w:fmt="decimal"/>
          <w:cols w:space="720" w:num="1"/>
        </w:sectPr>
      </w:pPr>
    </w:p>
    <w:p>
      <w:pPr>
        <w:spacing w:before="91" w:line="360" w:lineRule="auto"/>
        <w:ind w:firstLine="241" w:firstLineChars="112"/>
        <w:jc w:val="center"/>
        <w:outlineLvl w:val="1"/>
        <w:rPr>
          <w:rFonts w:hint="eastAsia" w:ascii="仿宋" w:hAnsi="仿宋" w:eastAsia="仿宋" w:cs="仿宋"/>
          <w:color w:val="auto"/>
          <w:sz w:val="28"/>
          <w:szCs w:val="28"/>
          <w:highlight w:val="none"/>
          <w:lang w:eastAsia="zh-CN"/>
        </w:rPr>
      </w:pPr>
      <w:bookmarkStart w:id="592" w:name="bookmark106"/>
      <w:bookmarkEnd w:id="592"/>
      <w:bookmarkStart w:id="593" w:name="_Toc20205"/>
      <w:bookmarkStart w:id="594" w:name="_Toc22073"/>
      <w:bookmarkStart w:id="595" w:name="_Toc4603"/>
      <w:bookmarkStart w:id="596" w:name="_Toc25830"/>
      <w:bookmarkStart w:id="597" w:name="_Toc8749"/>
      <w:bookmarkStart w:id="598" w:name="_Toc9708"/>
      <w:bookmarkStart w:id="599" w:name="_Toc11390"/>
      <w:r>
        <w:rPr>
          <w:rFonts w:hint="eastAsia" w:ascii="仿宋" w:hAnsi="仿宋" w:eastAsia="仿宋" w:cs="仿宋"/>
          <w:color w:val="auto"/>
          <w:spacing w:val="-32"/>
          <w:sz w:val="28"/>
          <w:szCs w:val="28"/>
          <w:highlight w:val="none"/>
          <w:lang w:eastAsia="zh-CN"/>
        </w:rPr>
        <w:t>目  录</w:t>
      </w:r>
      <w:bookmarkEnd w:id="593"/>
      <w:bookmarkEnd w:id="594"/>
      <w:bookmarkEnd w:id="595"/>
      <w:bookmarkEnd w:id="596"/>
      <w:bookmarkEnd w:id="597"/>
      <w:bookmarkEnd w:id="598"/>
      <w:bookmarkEnd w:id="599"/>
    </w:p>
    <w:p>
      <w:pPr>
        <w:spacing w:before="281"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【注：投标文件应编列目录】</w:t>
      </w:r>
    </w:p>
    <w:p>
      <w:pPr>
        <w:pStyle w:val="2"/>
        <w:spacing w:line="360" w:lineRule="auto"/>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tabs>
          <w:tab w:val="right" w:leader="dot" w:pos="9147"/>
        </w:tabs>
        <w:spacing w:before="62" w:line="360" w:lineRule="auto"/>
        <w:ind w:firstLine="224" w:firstLineChars="112"/>
        <w:rPr>
          <w:rFonts w:hint="eastAsia" w:ascii="仿宋" w:hAnsi="仿宋" w:eastAsia="仿宋" w:cs="仿宋"/>
          <w:color w:val="auto"/>
          <w:sz w:val="20"/>
          <w:szCs w:val="20"/>
          <w:highlight w:val="none"/>
        </w:rPr>
      </w:pPr>
      <w:sdt>
        <w:sdtPr>
          <w:rPr>
            <w:rFonts w:hint="eastAsia" w:ascii="仿宋" w:hAnsi="仿宋" w:eastAsia="仿宋" w:cs="仿宋"/>
            <w:color w:val="auto"/>
            <w:sz w:val="20"/>
            <w:szCs w:val="20"/>
            <w:highlight w:val="none"/>
          </w:rPr>
          <w:id w:val="3"/>
          <w:showingPlcHdr/>
          <w:docPartObj>
            <w:docPartGallery w:val="Table of Contents"/>
            <w:docPartUnique/>
          </w:docPartObj>
        </w:sdtPr>
        <w:sdtEndPr>
          <w:rPr>
            <w:rFonts w:hint="eastAsia" w:ascii="仿宋" w:hAnsi="仿宋" w:eastAsia="仿宋" w:cs="仿宋"/>
            <w:color w:val="auto"/>
            <w:sz w:val="20"/>
            <w:szCs w:val="20"/>
            <w:highlight w:val="none"/>
          </w:rPr>
        </w:sdtEndPr>
        <w:sdtContent/>
      </w:sdt>
    </w:p>
    <w:p>
      <w:pPr>
        <w:tabs>
          <w:tab w:val="right" w:leader="dot" w:pos="9147"/>
        </w:tabs>
        <w:spacing w:before="64" w:line="360" w:lineRule="auto"/>
        <w:ind w:firstLine="235" w:firstLineChars="112"/>
        <w:rPr>
          <w:rFonts w:hint="default"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"bookmark108"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7"/>
          <w:sz w:val="20"/>
          <w:szCs w:val="20"/>
          <w:highlight w:val="none"/>
          <w:lang w:eastAsia="zh-CN"/>
        </w:rPr>
        <w:t>一、投标函</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22"/>
          <w:sz w:val="20"/>
          <w:szCs w:val="20"/>
          <w:highlight w:val="none"/>
        </w:rPr>
        <w:fldChar w:fldCharType="end"/>
      </w:r>
      <w:r>
        <w:rPr>
          <w:rFonts w:hint="eastAsia" w:ascii="仿宋" w:hAnsi="仿宋" w:eastAsia="仿宋" w:cs="仿宋"/>
          <w:color w:val="auto"/>
          <w:spacing w:val="22"/>
          <w:sz w:val="20"/>
          <w:szCs w:val="20"/>
          <w:highlight w:val="none"/>
          <w:lang w:val="en-US" w:eastAsia="zh-CN"/>
        </w:rPr>
        <w:t>43</w:t>
      </w:r>
    </w:p>
    <w:p>
      <w:pPr>
        <w:numPr>
          <w:ilvl w:val="0"/>
          <w:numId w:val="18"/>
        </w:numPr>
        <w:tabs>
          <w:tab w:val="right" w:leader="dot" w:pos="9147"/>
        </w:tabs>
        <w:spacing w:before="62" w:line="360" w:lineRule="auto"/>
        <w:ind w:firstLine="235" w:firstLineChars="112"/>
        <w:rPr>
          <w:rFonts w:hint="eastAsia" w:ascii="仿宋" w:hAnsi="仿宋" w:eastAsia="仿宋" w:cs="仿宋"/>
          <w:color w:val="auto"/>
          <w:highlight w:val="none"/>
        </w:rPr>
      </w:pPr>
      <w:r>
        <w:rPr>
          <w:rFonts w:hint="eastAsia" w:ascii="仿宋" w:hAnsi="仿宋" w:eastAsia="仿宋" w:cs="仿宋"/>
          <w:color w:val="auto"/>
          <w:highlight w:val="none"/>
        </w:rPr>
        <w:t>投资承诺书</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4"/>
          <w:sz w:val="20"/>
          <w:szCs w:val="20"/>
          <w:highlight w:val="none"/>
          <w:lang w:val="en-US" w:eastAsia="zh-CN"/>
        </w:rPr>
        <w:t>44</w:t>
      </w:r>
    </w:p>
    <w:p>
      <w:pPr>
        <w:numPr>
          <w:ilvl w:val="0"/>
          <w:numId w:val="18"/>
        </w:numPr>
        <w:tabs>
          <w:tab w:val="right" w:leader="dot" w:pos="9147"/>
        </w:tabs>
        <w:spacing w:before="62" w:line="360" w:lineRule="auto"/>
        <w:ind w:firstLine="235" w:firstLineChars="112"/>
        <w:rPr>
          <w:rFonts w:hint="eastAsia" w:ascii="仿宋" w:hAnsi="仿宋" w:eastAsia="仿宋" w:cs="仿宋"/>
          <w:color w:val="auto"/>
          <w:sz w:val="20"/>
          <w:szCs w:val="20"/>
          <w:highlight w:val="none"/>
          <w:lang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"bookmark109"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9"/>
          <w:sz w:val="20"/>
          <w:szCs w:val="20"/>
          <w:highlight w:val="none"/>
          <w:lang w:eastAsia="zh-CN"/>
        </w:rPr>
        <w:t>法定代表人身份证明</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4"/>
          <w:sz w:val="20"/>
          <w:szCs w:val="20"/>
          <w:highlight w:val="none"/>
          <w:lang w:val="en-US" w:eastAsia="zh-CN"/>
        </w:rPr>
        <w:t>4</w:t>
      </w:r>
      <w:r>
        <w:rPr>
          <w:rFonts w:hint="eastAsia" w:ascii="仿宋" w:hAnsi="仿宋" w:eastAsia="仿宋" w:cs="仿宋"/>
          <w:color w:val="auto"/>
          <w:spacing w:val="14"/>
          <w:sz w:val="20"/>
          <w:szCs w:val="20"/>
          <w:highlight w:val="none"/>
        </w:rPr>
        <w:fldChar w:fldCharType="end"/>
      </w:r>
      <w:r>
        <w:rPr>
          <w:rFonts w:hint="eastAsia" w:ascii="仿宋" w:hAnsi="仿宋" w:eastAsia="仿宋" w:cs="仿宋"/>
          <w:color w:val="auto"/>
          <w:spacing w:val="14"/>
          <w:sz w:val="20"/>
          <w:szCs w:val="20"/>
          <w:highlight w:val="none"/>
          <w:lang w:val="en-US" w:eastAsia="zh-CN"/>
        </w:rPr>
        <w:t>5</w:t>
      </w:r>
    </w:p>
    <w:p>
      <w:pPr>
        <w:tabs>
          <w:tab w:val="right" w:leader="dot" w:pos="9147"/>
        </w:tabs>
        <w:spacing w:before="64" w:line="360" w:lineRule="auto"/>
        <w:ind w:firstLine="235" w:firstLineChars="112"/>
        <w:rPr>
          <w:rFonts w:hint="default"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"bookmark110"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5"/>
          <w:sz w:val="20"/>
          <w:szCs w:val="20"/>
          <w:highlight w:val="none"/>
          <w:lang w:eastAsia="zh-CN"/>
        </w:rPr>
        <w:t>四、授权委托书</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8"/>
          <w:sz w:val="20"/>
          <w:szCs w:val="20"/>
          <w:highlight w:val="none"/>
        </w:rPr>
        <w:fldChar w:fldCharType="end"/>
      </w:r>
      <w:r>
        <w:rPr>
          <w:rFonts w:hint="eastAsia" w:ascii="仿宋" w:hAnsi="仿宋" w:eastAsia="仿宋" w:cs="仿宋"/>
          <w:color w:val="auto"/>
          <w:spacing w:val="18"/>
          <w:sz w:val="20"/>
          <w:szCs w:val="20"/>
          <w:highlight w:val="none"/>
          <w:lang w:val="en-US" w:eastAsia="zh-CN"/>
        </w:rPr>
        <w:t>46</w:t>
      </w:r>
    </w:p>
    <w:p>
      <w:pPr>
        <w:tabs>
          <w:tab w:val="right" w:leader="dot" w:pos="9147"/>
        </w:tabs>
        <w:spacing w:before="61" w:line="360" w:lineRule="auto"/>
        <w:ind w:firstLine="235" w:firstLineChars="112"/>
        <w:rPr>
          <w:rFonts w:hint="eastAsia" w:ascii="仿宋" w:hAnsi="仿宋" w:eastAsia="仿宋" w:cs="仿宋"/>
          <w:color w:val="auto"/>
          <w:spacing w:val="16"/>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"bookmark111"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8"/>
          <w:sz w:val="20"/>
          <w:szCs w:val="20"/>
          <w:highlight w:val="none"/>
          <w:lang w:eastAsia="zh-CN"/>
        </w:rPr>
        <w:t>五、联合体协议书</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6"/>
          <w:sz w:val="20"/>
          <w:szCs w:val="20"/>
          <w:highlight w:val="none"/>
        </w:rPr>
        <w:fldChar w:fldCharType="end"/>
      </w:r>
      <w:r>
        <w:rPr>
          <w:rFonts w:hint="eastAsia" w:ascii="仿宋" w:hAnsi="仿宋" w:eastAsia="仿宋" w:cs="仿宋"/>
          <w:color w:val="auto"/>
          <w:spacing w:val="16"/>
          <w:sz w:val="20"/>
          <w:szCs w:val="20"/>
          <w:highlight w:val="none"/>
          <w:lang w:eastAsia="zh-CN"/>
        </w:rPr>
        <w:t>4</w:t>
      </w:r>
      <w:r>
        <w:rPr>
          <w:rFonts w:hint="eastAsia" w:ascii="仿宋" w:hAnsi="仿宋" w:eastAsia="仿宋" w:cs="仿宋"/>
          <w:color w:val="auto"/>
          <w:spacing w:val="16"/>
          <w:sz w:val="20"/>
          <w:szCs w:val="20"/>
          <w:highlight w:val="none"/>
          <w:lang w:val="en-US" w:eastAsia="zh-CN"/>
        </w:rPr>
        <w:t>7</w:t>
      </w:r>
    </w:p>
    <w:p>
      <w:pPr>
        <w:tabs>
          <w:tab w:val="right" w:leader="dot" w:pos="9147"/>
        </w:tabs>
        <w:spacing w:before="61" w:line="360" w:lineRule="auto"/>
        <w:ind w:firstLine="235" w:firstLineChars="112"/>
        <w:rPr>
          <w:rFonts w:hint="default"/>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"bookmark111"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8"/>
          <w:sz w:val="20"/>
          <w:szCs w:val="20"/>
          <w:highlight w:val="none"/>
          <w:lang w:val="en-US" w:eastAsia="zh-CN"/>
        </w:rPr>
        <w:t>六</w:t>
      </w:r>
      <w:r>
        <w:rPr>
          <w:rFonts w:hint="eastAsia" w:ascii="仿宋" w:hAnsi="仿宋" w:eastAsia="仿宋" w:cs="仿宋"/>
          <w:color w:val="auto"/>
          <w:spacing w:val="8"/>
          <w:sz w:val="20"/>
          <w:szCs w:val="20"/>
          <w:highlight w:val="none"/>
          <w:lang w:eastAsia="zh-CN"/>
        </w:rPr>
        <w:t>、</w:t>
      </w:r>
      <w:r>
        <w:rPr>
          <w:rFonts w:hint="eastAsia" w:ascii="仿宋" w:hAnsi="仿宋" w:eastAsia="仿宋" w:cs="仿宋"/>
          <w:color w:val="auto"/>
          <w:spacing w:val="8"/>
          <w:sz w:val="20"/>
          <w:szCs w:val="20"/>
          <w:highlight w:val="none"/>
          <w:lang w:val="en-US" w:eastAsia="zh-CN"/>
        </w:rPr>
        <w:t>投标保证金</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6"/>
          <w:sz w:val="20"/>
          <w:szCs w:val="20"/>
          <w:highlight w:val="none"/>
        </w:rPr>
        <w:fldChar w:fldCharType="end"/>
      </w:r>
      <w:r>
        <w:rPr>
          <w:rFonts w:hint="eastAsia" w:ascii="仿宋" w:hAnsi="仿宋" w:eastAsia="仿宋" w:cs="仿宋"/>
          <w:color w:val="auto"/>
          <w:spacing w:val="16"/>
          <w:sz w:val="20"/>
          <w:szCs w:val="20"/>
          <w:highlight w:val="none"/>
          <w:lang w:eastAsia="zh-CN"/>
        </w:rPr>
        <w:t>4</w:t>
      </w:r>
      <w:r>
        <w:rPr>
          <w:rFonts w:hint="eastAsia" w:ascii="仿宋" w:hAnsi="仿宋" w:eastAsia="仿宋" w:cs="仿宋"/>
          <w:color w:val="auto"/>
          <w:spacing w:val="16"/>
          <w:sz w:val="20"/>
          <w:szCs w:val="20"/>
          <w:highlight w:val="none"/>
          <w:lang w:val="en-US" w:eastAsia="zh-CN"/>
        </w:rPr>
        <w:t>9</w:t>
      </w:r>
    </w:p>
    <w:p>
      <w:pPr>
        <w:tabs>
          <w:tab w:val="right" w:leader="dot" w:pos="9147"/>
        </w:tabs>
        <w:spacing w:before="65" w:line="360" w:lineRule="auto"/>
        <w:ind w:firstLine="235" w:firstLineChars="112"/>
        <w:rPr>
          <w:rFonts w:hint="eastAsia"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"bookmark112"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9"/>
          <w:sz w:val="20"/>
          <w:szCs w:val="20"/>
          <w:highlight w:val="none"/>
          <w:lang w:eastAsia="zh-CN"/>
        </w:rPr>
        <w:t>七、投标人基本情况表</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4"/>
          <w:sz w:val="20"/>
          <w:szCs w:val="20"/>
          <w:highlight w:val="none"/>
          <w:lang w:val="en-US" w:eastAsia="zh-CN"/>
        </w:rPr>
        <w:t>5</w:t>
      </w:r>
      <w:r>
        <w:rPr>
          <w:rFonts w:hint="eastAsia" w:ascii="仿宋" w:hAnsi="仿宋" w:eastAsia="仿宋" w:cs="仿宋"/>
          <w:color w:val="auto"/>
          <w:spacing w:val="14"/>
          <w:sz w:val="20"/>
          <w:szCs w:val="20"/>
          <w:highlight w:val="none"/>
        </w:rPr>
        <w:fldChar w:fldCharType="end"/>
      </w:r>
      <w:r>
        <w:rPr>
          <w:rFonts w:hint="eastAsia" w:ascii="仿宋" w:hAnsi="仿宋" w:eastAsia="仿宋" w:cs="仿宋"/>
          <w:color w:val="auto"/>
          <w:spacing w:val="14"/>
          <w:sz w:val="20"/>
          <w:szCs w:val="20"/>
          <w:highlight w:val="none"/>
          <w:lang w:val="en-US" w:eastAsia="zh-CN"/>
        </w:rPr>
        <w:t>0</w:t>
      </w:r>
    </w:p>
    <w:p>
      <w:pPr>
        <w:tabs>
          <w:tab w:val="right" w:leader="dot" w:pos="9147"/>
        </w:tabs>
        <w:spacing w:before="62" w:line="360" w:lineRule="auto"/>
        <w:ind w:firstLine="235" w:firstLineChars="112"/>
        <w:rPr>
          <w:rFonts w:hint="eastAsia"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"bookmark113"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8"/>
          <w:sz w:val="20"/>
          <w:szCs w:val="20"/>
          <w:highlight w:val="none"/>
          <w:lang w:eastAsia="zh-CN"/>
        </w:rPr>
        <w:t>八、拟组建项目组织机构（提供承诺）</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4"/>
          <w:sz w:val="20"/>
          <w:szCs w:val="20"/>
          <w:highlight w:val="none"/>
          <w:lang w:val="en-US" w:eastAsia="zh-CN"/>
        </w:rPr>
        <w:t>5</w:t>
      </w:r>
      <w:r>
        <w:rPr>
          <w:rFonts w:hint="eastAsia" w:ascii="仿宋" w:hAnsi="仿宋" w:eastAsia="仿宋" w:cs="仿宋"/>
          <w:color w:val="auto"/>
          <w:spacing w:val="14"/>
          <w:sz w:val="20"/>
          <w:szCs w:val="20"/>
          <w:highlight w:val="none"/>
        </w:rPr>
        <w:fldChar w:fldCharType="end"/>
      </w:r>
      <w:r>
        <w:rPr>
          <w:rFonts w:hint="eastAsia" w:ascii="仿宋" w:hAnsi="仿宋" w:eastAsia="仿宋" w:cs="仿宋"/>
          <w:color w:val="auto"/>
          <w:spacing w:val="14"/>
          <w:sz w:val="20"/>
          <w:szCs w:val="20"/>
          <w:highlight w:val="none"/>
          <w:lang w:val="en-US" w:eastAsia="zh-CN"/>
        </w:rPr>
        <w:t>1</w:t>
      </w:r>
    </w:p>
    <w:p>
      <w:pPr>
        <w:tabs>
          <w:tab w:val="right" w:leader="dot" w:pos="9147"/>
        </w:tabs>
        <w:spacing w:before="62" w:line="360" w:lineRule="auto"/>
        <w:ind w:firstLine="235" w:firstLineChars="112"/>
        <w:rPr>
          <w:rFonts w:hint="default"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"bookmark115"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9"/>
          <w:sz w:val="20"/>
          <w:szCs w:val="20"/>
          <w:highlight w:val="none"/>
          <w:lang w:val="en-US" w:eastAsia="zh-CN"/>
        </w:rPr>
        <w:t>九</w:t>
      </w:r>
      <w:r>
        <w:rPr>
          <w:rFonts w:hint="eastAsia" w:ascii="仿宋" w:hAnsi="仿宋" w:eastAsia="仿宋" w:cs="仿宋"/>
          <w:color w:val="auto"/>
          <w:spacing w:val="9"/>
          <w:sz w:val="20"/>
          <w:szCs w:val="20"/>
          <w:highlight w:val="none"/>
          <w:lang w:eastAsia="zh-CN"/>
        </w:rPr>
        <w:t>、健全的财务会计制度</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4"/>
          <w:sz w:val="20"/>
          <w:szCs w:val="20"/>
          <w:highlight w:val="none"/>
        </w:rPr>
        <w:fldChar w:fldCharType="end"/>
      </w:r>
      <w:r>
        <w:rPr>
          <w:rFonts w:hint="eastAsia" w:ascii="仿宋" w:hAnsi="仿宋" w:eastAsia="仿宋" w:cs="仿宋"/>
          <w:color w:val="auto"/>
          <w:spacing w:val="14"/>
          <w:sz w:val="20"/>
          <w:szCs w:val="20"/>
          <w:highlight w:val="none"/>
          <w:lang w:val="en-US" w:eastAsia="zh-CN"/>
        </w:rPr>
        <w:t>52</w:t>
      </w:r>
    </w:p>
    <w:p>
      <w:pPr>
        <w:tabs>
          <w:tab w:val="right" w:leader="dot" w:pos="9147"/>
        </w:tabs>
        <w:spacing w:before="62" w:line="360" w:lineRule="auto"/>
        <w:ind w:firstLine="235" w:firstLineChars="112"/>
        <w:rPr>
          <w:rFonts w:hint="eastAsia"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"bookmark116"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9"/>
          <w:sz w:val="20"/>
          <w:szCs w:val="20"/>
          <w:highlight w:val="none"/>
          <w:lang w:eastAsia="zh-CN"/>
        </w:rPr>
        <w:t>十、缴纳税收和社会保障资金的相关材料</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6"/>
          <w:sz w:val="20"/>
          <w:szCs w:val="20"/>
          <w:highlight w:val="none"/>
          <w:lang w:val="en-US" w:eastAsia="zh-CN"/>
        </w:rPr>
        <w:t>5</w:t>
      </w:r>
      <w:r>
        <w:rPr>
          <w:rFonts w:hint="eastAsia" w:ascii="仿宋" w:hAnsi="仿宋" w:eastAsia="仿宋" w:cs="仿宋"/>
          <w:color w:val="auto"/>
          <w:spacing w:val="6"/>
          <w:sz w:val="20"/>
          <w:szCs w:val="20"/>
          <w:highlight w:val="none"/>
        </w:rPr>
        <w:fldChar w:fldCharType="end"/>
      </w:r>
      <w:r>
        <w:rPr>
          <w:rFonts w:hint="eastAsia" w:ascii="仿宋" w:hAnsi="仿宋" w:eastAsia="仿宋" w:cs="仿宋"/>
          <w:color w:val="auto"/>
          <w:spacing w:val="6"/>
          <w:sz w:val="20"/>
          <w:szCs w:val="20"/>
          <w:highlight w:val="none"/>
          <w:lang w:val="en-US" w:eastAsia="zh-CN"/>
        </w:rPr>
        <w:t>3</w:t>
      </w:r>
    </w:p>
    <w:p>
      <w:pPr>
        <w:tabs>
          <w:tab w:val="right" w:leader="dot" w:pos="9147"/>
        </w:tabs>
        <w:spacing w:before="62" w:line="360" w:lineRule="auto"/>
        <w:ind w:firstLine="235" w:firstLineChars="112"/>
        <w:rPr>
          <w:rFonts w:hint="default"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"bookmark117"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9"/>
          <w:sz w:val="20"/>
          <w:szCs w:val="20"/>
          <w:highlight w:val="none"/>
          <w:lang w:eastAsia="zh-CN"/>
        </w:rPr>
        <w:t>十</w:t>
      </w:r>
      <w:r>
        <w:rPr>
          <w:rFonts w:hint="eastAsia" w:ascii="仿宋" w:hAnsi="仿宋" w:eastAsia="仿宋" w:cs="仿宋"/>
          <w:color w:val="auto"/>
          <w:spacing w:val="9"/>
          <w:sz w:val="20"/>
          <w:szCs w:val="20"/>
          <w:highlight w:val="none"/>
          <w:lang w:val="en-US" w:eastAsia="zh-CN"/>
        </w:rPr>
        <w:t>一</w:t>
      </w:r>
      <w:r>
        <w:rPr>
          <w:rFonts w:hint="eastAsia" w:ascii="仿宋" w:hAnsi="仿宋" w:eastAsia="仿宋" w:cs="仿宋"/>
          <w:color w:val="auto"/>
          <w:spacing w:val="9"/>
          <w:sz w:val="20"/>
          <w:szCs w:val="20"/>
          <w:highlight w:val="none"/>
          <w:lang w:eastAsia="zh-CN"/>
        </w:rPr>
        <w:t>、项目业绩一览表及证明文件</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0"/>
          <w:sz w:val="20"/>
          <w:szCs w:val="20"/>
          <w:highlight w:val="none"/>
          <w:lang w:val="en-US" w:eastAsia="zh-CN"/>
        </w:rPr>
        <w:t>5</w:t>
      </w:r>
      <w:r>
        <w:rPr>
          <w:rFonts w:hint="eastAsia" w:ascii="仿宋" w:hAnsi="仿宋" w:eastAsia="仿宋" w:cs="仿宋"/>
          <w:color w:val="auto"/>
          <w:spacing w:val="10"/>
          <w:sz w:val="20"/>
          <w:szCs w:val="20"/>
          <w:highlight w:val="none"/>
        </w:rPr>
        <w:fldChar w:fldCharType="end"/>
      </w:r>
      <w:r>
        <w:rPr>
          <w:rFonts w:hint="eastAsia" w:ascii="仿宋" w:hAnsi="仿宋" w:eastAsia="仿宋" w:cs="仿宋"/>
          <w:color w:val="auto"/>
          <w:spacing w:val="10"/>
          <w:sz w:val="20"/>
          <w:szCs w:val="20"/>
          <w:highlight w:val="none"/>
          <w:lang w:val="en-US" w:eastAsia="zh-CN"/>
        </w:rPr>
        <w:t>4</w:t>
      </w:r>
    </w:p>
    <w:p>
      <w:pPr>
        <w:tabs>
          <w:tab w:val="right" w:leader="dot" w:pos="9147"/>
        </w:tabs>
        <w:spacing w:before="62" w:line="360" w:lineRule="auto"/>
        <w:ind w:firstLine="235" w:firstLineChars="112"/>
        <w:rPr>
          <w:rFonts w:hint="eastAsia"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"bookmark118"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6"/>
          <w:sz w:val="20"/>
          <w:szCs w:val="20"/>
          <w:highlight w:val="none"/>
          <w:lang w:eastAsia="zh-CN"/>
        </w:rPr>
        <w:t>1.类似项目投资业绩:</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4"/>
          <w:sz w:val="20"/>
          <w:szCs w:val="20"/>
          <w:highlight w:val="none"/>
          <w:lang w:val="en-US" w:eastAsia="zh-CN"/>
        </w:rPr>
        <w:t>5</w:t>
      </w:r>
      <w:r>
        <w:rPr>
          <w:rFonts w:hint="eastAsia" w:ascii="仿宋" w:hAnsi="仿宋" w:eastAsia="仿宋" w:cs="仿宋"/>
          <w:color w:val="auto"/>
          <w:spacing w:val="14"/>
          <w:sz w:val="20"/>
          <w:szCs w:val="20"/>
          <w:highlight w:val="none"/>
        </w:rPr>
        <w:fldChar w:fldCharType="end"/>
      </w:r>
      <w:r>
        <w:rPr>
          <w:rFonts w:hint="eastAsia" w:ascii="仿宋" w:hAnsi="仿宋" w:eastAsia="仿宋" w:cs="仿宋"/>
          <w:color w:val="auto"/>
          <w:spacing w:val="14"/>
          <w:sz w:val="20"/>
          <w:szCs w:val="20"/>
          <w:highlight w:val="none"/>
          <w:lang w:val="en-US" w:eastAsia="zh-CN"/>
        </w:rPr>
        <w:t>4</w:t>
      </w:r>
    </w:p>
    <w:p>
      <w:pPr>
        <w:tabs>
          <w:tab w:val="right" w:leader="dot" w:pos="9147"/>
        </w:tabs>
        <w:spacing w:before="63" w:line="360" w:lineRule="auto"/>
        <w:ind w:firstLine="235" w:firstLineChars="112"/>
        <w:rPr>
          <w:rFonts w:hint="default" w:ascii="仿宋" w:hAnsi="仿宋" w:eastAsia="仿宋" w:cs="仿宋"/>
          <w:color w:val="auto"/>
          <w:sz w:val="20"/>
          <w:szCs w:val="20"/>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"bookmark120"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9"/>
          <w:sz w:val="20"/>
          <w:szCs w:val="20"/>
          <w:highlight w:val="none"/>
          <w:lang w:eastAsia="zh-CN"/>
        </w:rPr>
        <w:t>十</w:t>
      </w:r>
      <w:r>
        <w:rPr>
          <w:rFonts w:hint="eastAsia" w:ascii="仿宋" w:hAnsi="仿宋" w:eastAsia="仿宋" w:cs="仿宋"/>
          <w:color w:val="auto"/>
          <w:spacing w:val="9"/>
          <w:sz w:val="20"/>
          <w:szCs w:val="20"/>
          <w:highlight w:val="none"/>
          <w:lang w:val="en-US" w:eastAsia="zh-CN"/>
        </w:rPr>
        <w:t>二</w:t>
      </w:r>
      <w:r>
        <w:rPr>
          <w:rFonts w:hint="eastAsia" w:ascii="仿宋" w:hAnsi="仿宋" w:eastAsia="仿宋" w:cs="仿宋"/>
          <w:color w:val="auto"/>
          <w:spacing w:val="9"/>
          <w:sz w:val="20"/>
          <w:szCs w:val="20"/>
          <w:highlight w:val="none"/>
          <w:lang w:eastAsia="zh-CN"/>
        </w:rPr>
        <w:t>、良好商业信誉证明材料</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2"/>
          <w:sz w:val="20"/>
          <w:szCs w:val="20"/>
          <w:highlight w:val="none"/>
        </w:rPr>
        <w:fldChar w:fldCharType="end"/>
      </w:r>
      <w:r>
        <w:rPr>
          <w:rFonts w:hint="eastAsia" w:ascii="仿宋" w:hAnsi="仿宋" w:eastAsia="仿宋" w:cs="仿宋"/>
          <w:color w:val="auto"/>
          <w:spacing w:val="12"/>
          <w:sz w:val="20"/>
          <w:szCs w:val="20"/>
          <w:highlight w:val="none"/>
          <w:lang w:val="en-US" w:eastAsia="zh-CN"/>
        </w:rPr>
        <w:t>55</w:t>
      </w:r>
    </w:p>
    <w:p>
      <w:pPr>
        <w:tabs>
          <w:tab w:val="right" w:leader="dot" w:pos="9147"/>
        </w:tabs>
        <w:spacing w:before="63" w:line="360" w:lineRule="auto"/>
        <w:ind w:firstLine="235" w:firstLineChars="112"/>
        <w:rPr>
          <w:rFonts w:hint="default" w:ascii="仿宋" w:hAnsi="仿宋" w:eastAsia="仿宋" w:cs="仿宋"/>
          <w:color w:val="auto"/>
          <w:spacing w:val="16"/>
          <w:sz w:val="20"/>
          <w:szCs w:val="20"/>
          <w:highlight w:val="none"/>
          <w:lang w:val="en-US"/>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lang w:eastAsia="zh-CN"/>
        </w:rPr>
        <w:instrText xml:space="preserve"> HYPERLINK \l "bookmark121" </w:instrText>
      </w:r>
      <w:r>
        <w:rPr>
          <w:rFonts w:hint="eastAsia" w:ascii="仿宋" w:hAnsi="仿宋" w:eastAsia="仿宋" w:cs="仿宋"/>
          <w:color w:val="auto"/>
          <w:spacing w:val="0"/>
          <w:sz w:val="21"/>
          <w:szCs w:val="21"/>
          <w:highlight w:val="none"/>
        </w:rPr>
        <w:fldChar w:fldCharType="separate"/>
      </w:r>
      <w:r>
        <w:rPr>
          <w:rFonts w:hint="eastAsia" w:ascii="仿宋" w:hAnsi="仿宋" w:eastAsia="仿宋" w:cs="仿宋"/>
          <w:color w:val="auto"/>
          <w:spacing w:val="8"/>
          <w:sz w:val="20"/>
          <w:szCs w:val="20"/>
          <w:highlight w:val="none"/>
          <w:lang w:eastAsia="zh-CN"/>
        </w:rPr>
        <w:t>十</w:t>
      </w:r>
      <w:r>
        <w:rPr>
          <w:rFonts w:hint="eastAsia" w:ascii="仿宋" w:hAnsi="仿宋" w:eastAsia="仿宋" w:cs="仿宋"/>
          <w:color w:val="auto"/>
          <w:spacing w:val="8"/>
          <w:sz w:val="20"/>
          <w:szCs w:val="20"/>
          <w:highlight w:val="none"/>
          <w:lang w:val="en-US" w:eastAsia="zh-CN"/>
        </w:rPr>
        <w:t>三</w:t>
      </w:r>
      <w:r>
        <w:rPr>
          <w:rFonts w:hint="eastAsia" w:ascii="仿宋" w:hAnsi="仿宋" w:eastAsia="仿宋" w:cs="仿宋"/>
          <w:color w:val="auto"/>
          <w:spacing w:val="8"/>
          <w:sz w:val="20"/>
          <w:szCs w:val="20"/>
          <w:highlight w:val="none"/>
          <w:lang w:eastAsia="zh-CN"/>
        </w:rPr>
        <w:t>、投标人认为需要提交的其它资料</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16"/>
          <w:sz w:val="20"/>
          <w:szCs w:val="20"/>
          <w:highlight w:val="none"/>
        </w:rPr>
        <w:fldChar w:fldCharType="end"/>
      </w:r>
      <w:r>
        <w:rPr>
          <w:rFonts w:hint="eastAsia" w:ascii="仿宋" w:hAnsi="仿宋" w:eastAsia="仿宋" w:cs="仿宋"/>
          <w:color w:val="auto"/>
          <w:spacing w:val="16"/>
          <w:sz w:val="20"/>
          <w:szCs w:val="20"/>
          <w:highlight w:val="none"/>
          <w:lang w:eastAsia="zh-CN"/>
        </w:rPr>
        <w:t>5</w:t>
      </w:r>
      <w:r>
        <w:rPr>
          <w:rFonts w:hint="eastAsia" w:ascii="仿宋" w:hAnsi="仿宋" w:eastAsia="仿宋" w:cs="仿宋"/>
          <w:color w:val="auto"/>
          <w:spacing w:val="16"/>
          <w:sz w:val="20"/>
          <w:szCs w:val="20"/>
          <w:highlight w:val="none"/>
          <w:lang w:val="en-US" w:eastAsia="zh-CN"/>
        </w:rPr>
        <w:t>6</w:t>
      </w:r>
    </w:p>
    <w:p>
      <w:pPr>
        <w:tabs>
          <w:tab w:val="right" w:leader="dot" w:pos="9147"/>
        </w:tabs>
        <w:spacing w:before="62" w:line="360" w:lineRule="auto"/>
        <w:ind w:firstLine="244" w:firstLineChars="112"/>
        <w:rPr>
          <w:rFonts w:hint="default" w:ascii="仿宋" w:hAnsi="仿宋" w:eastAsia="仿宋" w:cs="仿宋"/>
          <w:color w:val="auto"/>
          <w:highlight w:val="none"/>
          <w:lang w:val="en-US" w:eastAsia="zh-CN"/>
        </w:rPr>
      </w:pPr>
      <w:r>
        <w:rPr>
          <w:rFonts w:hint="eastAsia" w:ascii="仿宋" w:hAnsi="仿宋" w:eastAsia="仿宋" w:cs="仿宋"/>
          <w:color w:val="auto"/>
          <w:spacing w:val="9"/>
          <w:sz w:val="20"/>
          <w:szCs w:val="20"/>
          <w:highlight w:val="none"/>
          <w:lang w:eastAsia="zh-CN"/>
        </w:rPr>
        <w:t>十</w:t>
      </w:r>
      <w:r>
        <w:rPr>
          <w:rFonts w:hint="eastAsia" w:ascii="仿宋" w:hAnsi="仿宋" w:eastAsia="仿宋" w:cs="仿宋"/>
          <w:color w:val="auto"/>
          <w:spacing w:val="9"/>
          <w:sz w:val="20"/>
          <w:szCs w:val="20"/>
          <w:highlight w:val="none"/>
          <w:lang w:val="en-US" w:eastAsia="zh-CN"/>
        </w:rPr>
        <w:t>四</w:t>
      </w:r>
      <w:r>
        <w:rPr>
          <w:rFonts w:hint="eastAsia" w:ascii="仿宋" w:hAnsi="仿宋" w:eastAsia="仿宋" w:cs="仿宋"/>
          <w:color w:val="auto"/>
          <w:spacing w:val="9"/>
          <w:sz w:val="20"/>
          <w:szCs w:val="20"/>
          <w:highlight w:val="none"/>
          <w:lang w:eastAsia="zh-CN"/>
        </w:rPr>
        <w:t>、项目实施计划</w:t>
      </w:r>
      <w:r>
        <w:rPr>
          <w:rFonts w:hint="eastAsia" w:ascii="仿宋" w:hAnsi="仿宋" w:eastAsia="仿宋" w:cs="仿宋"/>
          <w:color w:val="auto"/>
          <w:sz w:val="20"/>
          <w:szCs w:val="20"/>
          <w:highlight w:val="none"/>
          <w:lang w:eastAsia="zh-CN"/>
        </w:rPr>
        <w:tab/>
      </w:r>
      <w:r>
        <w:rPr>
          <w:rFonts w:hint="eastAsia" w:ascii="仿宋" w:hAnsi="仿宋" w:eastAsia="仿宋" w:cs="仿宋"/>
          <w:color w:val="auto"/>
          <w:spacing w:val="9"/>
          <w:sz w:val="20"/>
          <w:szCs w:val="20"/>
          <w:highlight w:val="none"/>
          <w:lang w:eastAsia="zh-CN"/>
        </w:rPr>
        <w:t>5</w:t>
      </w:r>
      <w:r>
        <w:rPr>
          <w:rFonts w:hint="eastAsia" w:ascii="仿宋" w:hAnsi="仿宋" w:eastAsia="仿宋" w:cs="仿宋"/>
          <w:color w:val="auto"/>
          <w:spacing w:val="9"/>
          <w:sz w:val="20"/>
          <w:szCs w:val="20"/>
          <w:highlight w:val="none"/>
          <w:lang w:val="en-US" w:eastAsia="zh-CN"/>
        </w:rPr>
        <w:t>7</w:t>
      </w:r>
    </w:p>
    <w:p>
      <w:pPr>
        <w:spacing w:line="360" w:lineRule="auto"/>
        <w:ind w:firstLine="224" w:firstLineChars="112"/>
        <w:rPr>
          <w:rFonts w:hint="eastAsia" w:ascii="仿宋" w:hAnsi="仿宋" w:eastAsia="仿宋" w:cs="仿宋"/>
          <w:color w:val="auto"/>
          <w:sz w:val="20"/>
          <w:szCs w:val="20"/>
          <w:highlight w:val="none"/>
          <w:lang w:eastAsia="zh-CN"/>
        </w:rPr>
        <w:sectPr>
          <w:footerReference r:id="rId11" w:type="default"/>
          <w:pgSz w:w="11900" w:h="16840"/>
          <w:pgMar w:top="1431" w:right="1198" w:bottom="491" w:left="1551" w:header="0" w:footer="567" w:gutter="0"/>
          <w:pgNumType w:fmt="decimal"/>
          <w:cols w:space="720" w:num="1"/>
        </w:sectPr>
      </w:pPr>
    </w:p>
    <w:p>
      <w:pPr>
        <w:spacing w:before="64" w:line="240" w:lineRule="auto"/>
        <w:ind w:firstLine="234" w:firstLineChars="112"/>
        <w:jc w:val="left"/>
        <w:outlineLvl w:val="1"/>
        <w:rPr>
          <w:rFonts w:hint="eastAsia" w:ascii="仿宋" w:hAnsi="仿宋" w:eastAsia="仿宋" w:cs="仿宋"/>
          <w:b/>
          <w:bCs/>
          <w:color w:val="auto"/>
          <w:spacing w:val="-6"/>
          <w:sz w:val="22"/>
          <w:szCs w:val="22"/>
          <w:highlight w:val="none"/>
          <w:lang w:val="en-US" w:eastAsia="zh-CN"/>
        </w:rPr>
      </w:pPr>
      <w:bookmarkStart w:id="600" w:name="bookmark108"/>
      <w:bookmarkEnd w:id="600"/>
      <w:bookmarkStart w:id="601" w:name="bookmark107"/>
      <w:bookmarkEnd w:id="601"/>
      <w:bookmarkStart w:id="602" w:name="_Toc2319"/>
      <w:bookmarkStart w:id="603" w:name="_Toc11040"/>
      <w:bookmarkStart w:id="604" w:name="_Toc12572"/>
      <w:bookmarkStart w:id="605" w:name="_Toc28482"/>
      <w:bookmarkStart w:id="606" w:name="_Toc16067"/>
      <w:bookmarkStart w:id="607" w:name="_Toc32008"/>
      <w:bookmarkStart w:id="608" w:name="_Toc14675"/>
      <w:r>
        <w:rPr>
          <w:rFonts w:hint="eastAsia" w:ascii="仿宋" w:hAnsi="仿宋" w:eastAsia="仿宋" w:cs="仿宋"/>
          <w:b/>
          <w:bCs/>
          <w:color w:val="auto"/>
          <w:spacing w:val="-6"/>
          <w:sz w:val="22"/>
          <w:szCs w:val="22"/>
          <w:highlight w:val="none"/>
          <w:lang w:val="en-US" w:eastAsia="zh-CN"/>
        </w:rPr>
        <w:t>商务部分</w:t>
      </w:r>
      <w:bookmarkEnd w:id="602"/>
      <w:bookmarkEnd w:id="603"/>
      <w:bookmarkEnd w:id="604"/>
    </w:p>
    <w:p>
      <w:pPr>
        <w:spacing w:before="64" w:line="240" w:lineRule="auto"/>
        <w:ind w:firstLine="362" w:firstLineChars="112"/>
        <w:jc w:val="center"/>
        <w:outlineLvl w:val="1"/>
        <w:rPr>
          <w:rFonts w:hint="eastAsia" w:ascii="仿宋" w:hAnsi="仿宋" w:eastAsia="仿宋" w:cs="仿宋"/>
          <w:b/>
          <w:bCs/>
          <w:color w:val="auto"/>
          <w:sz w:val="31"/>
          <w:szCs w:val="31"/>
          <w:highlight w:val="none"/>
          <w:lang w:eastAsia="zh-CN"/>
        </w:rPr>
      </w:pPr>
      <w:bookmarkStart w:id="609" w:name="_Toc19177"/>
      <w:bookmarkStart w:id="610" w:name="_Toc16972"/>
      <w:bookmarkStart w:id="611" w:name="_Toc17499"/>
      <w:r>
        <w:rPr>
          <w:rFonts w:hint="eastAsia" w:ascii="仿宋" w:hAnsi="仿宋" w:eastAsia="仿宋" w:cs="仿宋"/>
          <w:b/>
          <w:bCs/>
          <w:color w:val="auto"/>
          <w:spacing w:val="6"/>
          <w:sz w:val="31"/>
          <w:szCs w:val="31"/>
          <w:highlight w:val="none"/>
          <w:lang w:eastAsia="zh-CN"/>
        </w:rPr>
        <w:t>一、投标函</w:t>
      </w:r>
      <w:bookmarkEnd w:id="605"/>
      <w:bookmarkEnd w:id="606"/>
      <w:bookmarkEnd w:id="607"/>
      <w:bookmarkEnd w:id="608"/>
      <w:bookmarkEnd w:id="609"/>
      <w:bookmarkEnd w:id="610"/>
      <w:bookmarkEnd w:id="611"/>
    </w:p>
    <w:p>
      <w:pPr>
        <w:pStyle w:val="2"/>
        <w:spacing w:line="360" w:lineRule="auto"/>
        <w:ind w:firstLine="0" w:firstLineChars="0"/>
        <w:rPr>
          <w:rFonts w:hint="eastAsia" w:ascii="仿宋" w:hAnsi="仿宋" w:eastAsia="仿宋" w:cs="仿宋"/>
          <w:color w:val="auto"/>
          <w:highlight w:val="none"/>
          <w:lang w:eastAsia="zh-CN"/>
        </w:rPr>
      </w:pPr>
    </w:p>
    <w:p>
      <w:pPr>
        <w:spacing w:before="78"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项目编号：                               项目名称：</w:t>
      </w:r>
    </w:p>
    <w:p>
      <w:pPr>
        <w:spacing w:before="113" w:line="360" w:lineRule="auto"/>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致</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
          <w:sz w:val="24"/>
          <w:szCs w:val="24"/>
          <w:highlight w:val="none"/>
          <w:lang w:eastAsia="zh-CN"/>
        </w:rPr>
        <w:t>（招标人</w:t>
      </w:r>
      <w:r>
        <w:rPr>
          <w:rFonts w:hint="eastAsia" w:ascii="仿宋" w:hAnsi="仿宋" w:eastAsia="仿宋" w:cs="仿宋"/>
          <w:color w:val="auto"/>
          <w:spacing w:val="-62"/>
          <w:w w:val="97"/>
          <w:sz w:val="24"/>
          <w:szCs w:val="24"/>
          <w:highlight w:val="none"/>
          <w:lang w:eastAsia="zh-CN"/>
        </w:rPr>
        <w:t>）：</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我方已仔细研究了</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1"/>
          <w:sz w:val="24"/>
          <w:szCs w:val="24"/>
          <w:highlight w:val="none"/>
          <w:lang w:eastAsia="zh-CN"/>
        </w:rPr>
        <w:t>（项目名称） 的招标文件的全部内容,知悉参加投标的风险,我方承诺接受招标文件的全部条款且无任何异议。</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一、我方同意在招标文件中规定的提交投标文件截止时间起90日内（投标文件有效期）遵守本投标文件中的承诺且在此期限期满之前均具有法律约束力。</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val="en-US" w:eastAsia="zh-CN"/>
        </w:rPr>
        <w:t>二</w:t>
      </w:r>
      <w:r>
        <w:rPr>
          <w:rFonts w:hint="eastAsia" w:ascii="仿宋" w:hAnsi="仿宋" w:eastAsia="仿宋" w:cs="仿宋"/>
          <w:color w:val="auto"/>
          <w:spacing w:val="1"/>
          <w:sz w:val="24"/>
          <w:szCs w:val="24"/>
          <w:highlight w:val="none"/>
          <w:lang w:eastAsia="zh-CN"/>
        </w:rPr>
        <w:t>、我方保证提交的投标文件提供的数据和资料全部内容真实、合法、准确和完整，我们对此负责，并愿承担由此引起的法律责任。</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val="en-US" w:eastAsia="zh-CN"/>
        </w:rPr>
        <w:t>三</w:t>
      </w:r>
      <w:r>
        <w:rPr>
          <w:rFonts w:hint="eastAsia" w:ascii="仿宋" w:hAnsi="仿宋" w:eastAsia="仿宋" w:cs="仿宋"/>
          <w:color w:val="auto"/>
          <w:spacing w:val="1"/>
          <w:sz w:val="24"/>
          <w:szCs w:val="24"/>
          <w:highlight w:val="none"/>
          <w:lang w:eastAsia="zh-CN"/>
        </w:rPr>
        <w:t>、我方愿意向贵方提供任何与本项招标有关的数据、情况和技术资料。若贵方需要，我方愿意提供我方作出的一切承诺的证明资料。</w:t>
      </w:r>
    </w:p>
    <w:p>
      <w:pPr>
        <w:spacing w:line="360" w:lineRule="auto"/>
        <w:ind w:firstLine="418" w:firstLineChars="173"/>
        <w:rPr>
          <w:rFonts w:hint="eastAsia" w:ascii="仿宋" w:hAnsi="仿宋" w:eastAsia="仿宋" w:cs="仿宋"/>
          <w:color w:val="auto"/>
          <w:spacing w:val="1"/>
          <w:sz w:val="24"/>
          <w:szCs w:val="24"/>
          <w:highlight w:val="none"/>
          <w:lang w:eastAsia="zh-CN"/>
        </w:rPr>
      </w:pPr>
      <w:bookmarkStart w:id="612" w:name="_Toc27809"/>
      <w:r>
        <w:rPr>
          <w:rFonts w:hint="eastAsia" w:ascii="仿宋" w:hAnsi="仿宋" w:eastAsia="仿宋" w:cs="仿宋"/>
          <w:color w:val="auto"/>
          <w:spacing w:val="1"/>
          <w:sz w:val="24"/>
          <w:szCs w:val="24"/>
          <w:highlight w:val="none"/>
          <w:lang w:val="en-US" w:eastAsia="zh-CN"/>
        </w:rPr>
        <w:t>四</w:t>
      </w:r>
      <w:r>
        <w:rPr>
          <w:rFonts w:hint="eastAsia" w:ascii="仿宋" w:hAnsi="仿宋" w:eastAsia="仿宋" w:cs="仿宋"/>
          <w:color w:val="auto"/>
          <w:spacing w:val="1"/>
          <w:sz w:val="24"/>
          <w:szCs w:val="24"/>
          <w:highlight w:val="none"/>
          <w:lang w:eastAsia="zh-CN"/>
        </w:rPr>
        <w:t>、我方在此声明：</w:t>
      </w:r>
      <w:bookmarkEnd w:id="612"/>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（一）我方与招标人或代理机构不存在隶属关系或者其他利害关系。</w:t>
      </w:r>
    </w:p>
    <w:p>
      <w:pPr>
        <w:spacing w:line="360" w:lineRule="auto"/>
        <w:ind w:firstLine="418" w:firstLineChars="173"/>
        <w:rPr>
          <w:rFonts w:hint="eastAsia" w:ascii="仿宋" w:hAnsi="仿宋" w:eastAsia="仿宋" w:cs="仿宋"/>
          <w:color w:val="auto"/>
          <w:spacing w:val="1"/>
          <w:sz w:val="24"/>
          <w:szCs w:val="24"/>
          <w:highlight w:val="none"/>
          <w:lang w:eastAsia="zh-CN"/>
        </w:rPr>
      </w:pPr>
      <w:bookmarkStart w:id="613" w:name="_Toc25766"/>
      <w:r>
        <w:rPr>
          <w:rFonts w:hint="eastAsia" w:ascii="仿宋" w:hAnsi="仿宋" w:eastAsia="仿宋" w:cs="仿宋"/>
          <w:color w:val="auto"/>
          <w:spacing w:val="1"/>
          <w:sz w:val="24"/>
          <w:szCs w:val="24"/>
          <w:highlight w:val="none"/>
          <w:lang w:eastAsia="zh-CN"/>
        </w:rPr>
        <w:t>（二）我方与参加本项目的其他投标人不存在直接控股、管理关系，或者与其他</w:t>
      </w:r>
      <w:bookmarkEnd w:id="613"/>
      <w:r>
        <w:rPr>
          <w:rFonts w:hint="eastAsia" w:ascii="仿宋" w:hAnsi="仿宋" w:eastAsia="仿宋" w:cs="仿宋"/>
          <w:color w:val="auto"/>
          <w:spacing w:val="1"/>
          <w:sz w:val="24"/>
          <w:szCs w:val="24"/>
          <w:highlight w:val="none"/>
          <w:lang w:eastAsia="zh-CN"/>
        </w:rPr>
        <w:t>投资人法定代表人（或者负责人）为同一人。</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（三）我方未为本项目前期准备提供咨询服务。</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（四）我方承诺：</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1.我方依法缴纳了各项税费及各项社会保障资金，没有偷税、漏税及欠缴行为。</w:t>
      </w:r>
    </w:p>
    <w:p>
      <w:pPr>
        <w:spacing w:before="115" w:line="360" w:lineRule="auto"/>
        <w:ind w:right="59" w:firstLine="273" w:firstLineChars="112"/>
        <w:jc w:val="both"/>
        <w:rPr>
          <w:rFonts w:hint="eastAsia" w:ascii="仿宋" w:hAnsi="仿宋" w:eastAsia="仿宋" w:cs="仿宋"/>
          <w:color w:val="auto"/>
          <w:highlight w:val="none"/>
          <w:lang w:eastAsia="zh-CN"/>
        </w:rPr>
      </w:pPr>
      <w:r>
        <w:rPr>
          <w:rFonts w:hint="eastAsia" w:ascii="仿宋" w:hAnsi="仿宋" w:eastAsia="仿宋" w:cs="仿宋"/>
          <w:color w:val="auto"/>
          <w:spacing w:val="2"/>
          <w:sz w:val="24"/>
          <w:szCs w:val="24"/>
          <w:highlight w:val="none"/>
          <w:lang w:eastAsia="zh-CN"/>
        </w:rPr>
        <w:t>2.我方在经营活动中没有存在下列重大违法记录</w:t>
      </w:r>
      <w:r>
        <w:rPr>
          <w:rFonts w:hint="eastAsia" w:ascii="仿宋" w:hAnsi="仿宋" w:eastAsia="仿宋" w:cs="仿宋"/>
          <w:color w:val="auto"/>
          <w:spacing w:val="-59"/>
          <w:w w:val="92"/>
          <w:sz w:val="24"/>
          <w:szCs w:val="24"/>
          <w:highlight w:val="none"/>
          <w:lang w:eastAsia="zh-CN"/>
        </w:rPr>
        <w:t>：（</w:t>
      </w:r>
      <w:r>
        <w:rPr>
          <w:rFonts w:hint="eastAsia" w:ascii="仿宋" w:hAnsi="仿宋" w:eastAsia="仿宋" w:cs="仿宋"/>
          <w:color w:val="auto"/>
          <w:spacing w:val="2"/>
          <w:sz w:val="24"/>
          <w:szCs w:val="24"/>
          <w:highlight w:val="none"/>
          <w:lang w:eastAsia="zh-CN"/>
        </w:rPr>
        <w:t>1）受到刑事处罚</w:t>
      </w:r>
      <w:r>
        <w:rPr>
          <w:rFonts w:hint="eastAsia" w:ascii="仿宋" w:hAnsi="仿宋" w:eastAsia="仿宋" w:cs="仿宋"/>
          <w:color w:val="auto"/>
          <w:spacing w:val="-59"/>
          <w:w w:val="92"/>
          <w:sz w:val="24"/>
          <w:szCs w:val="24"/>
          <w:highlight w:val="none"/>
          <w:lang w:eastAsia="zh-CN"/>
        </w:rPr>
        <w:t>；（</w:t>
      </w:r>
      <w:r>
        <w:rPr>
          <w:rFonts w:hint="eastAsia" w:ascii="仿宋" w:hAnsi="仿宋" w:eastAsia="仿宋" w:cs="仿宋"/>
          <w:color w:val="auto"/>
          <w:spacing w:val="2"/>
          <w:sz w:val="24"/>
          <w:szCs w:val="24"/>
          <w:highlight w:val="none"/>
          <w:lang w:eastAsia="zh-CN"/>
        </w:rPr>
        <w:t>2）受</w:t>
      </w:r>
      <w:r>
        <w:rPr>
          <w:rFonts w:hint="eastAsia" w:ascii="仿宋" w:hAnsi="仿宋" w:eastAsia="仿宋" w:cs="仿宋"/>
          <w:color w:val="auto"/>
          <w:spacing w:val="1"/>
          <w:sz w:val="24"/>
          <w:szCs w:val="24"/>
          <w:highlight w:val="none"/>
          <w:lang w:eastAsia="zh-CN"/>
        </w:rPr>
        <w:t>到三</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万元以上的罚款、责令停产停业、在一至三年内禁止参加政府釆购活动、暂</w:t>
      </w:r>
      <w:r>
        <w:rPr>
          <w:rFonts w:hint="eastAsia" w:ascii="仿宋" w:hAnsi="仿宋" w:eastAsia="仿宋" w:cs="仿宋"/>
          <w:color w:val="auto"/>
          <w:spacing w:val="-3"/>
          <w:sz w:val="24"/>
          <w:szCs w:val="24"/>
          <w:highlight w:val="none"/>
          <w:lang w:eastAsia="zh-CN"/>
        </w:rPr>
        <w:t>扣或者吊销许</w:t>
      </w:r>
      <w:r>
        <w:rPr>
          <w:rFonts w:hint="eastAsia" w:ascii="仿宋" w:hAnsi="仿宋" w:eastAsia="仿宋" w:cs="仿宋"/>
          <w:color w:val="auto"/>
          <w:spacing w:val="-1"/>
          <w:sz w:val="24"/>
          <w:szCs w:val="24"/>
          <w:highlight w:val="none"/>
          <w:lang w:eastAsia="zh-CN"/>
        </w:rPr>
        <w:t>可证、暂扣或者吊销执照的行政处罚。</w:t>
      </w:r>
    </w:p>
    <w:p>
      <w:pPr>
        <w:spacing w:before="79" w:line="360" w:lineRule="auto"/>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投标人名称：</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lang w:eastAsia="zh-CN"/>
        </w:rPr>
        <w:t>（盖单位章）</w:t>
      </w:r>
    </w:p>
    <w:p>
      <w:pPr>
        <w:spacing w:before="114"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position w:val="11"/>
          <w:sz w:val="24"/>
          <w:szCs w:val="24"/>
          <w:highlight w:val="none"/>
          <w:lang w:eastAsia="zh-CN"/>
        </w:rPr>
        <w:t>法定代表人或其委托代理人（签字</w:t>
      </w:r>
      <w:r>
        <w:rPr>
          <w:rFonts w:hint="eastAsia" w:ascii="仿宋" w:hAnsi="仿宋" w:eastAsia="仿宋" w:cs="仿宋"/>
          <w:color w:val="auto"/>
          <w:spacing w:val="-1"/>
          <w:position w:val="11"/>
          <w:sz w:val="24"/>
          <w:szCs w:val="24"/>
          <w:highlight w:val="none"/>
          <w:lang w:val="en-US" w:eastAsia="zh-CN"/>
        </w:rPr>
        <w:t>或盖章</w:t>
      </w:r>
      <w:r>
        <w:rPr>
          <w:rFonts w:hint="eastAsia" w:ascii="仿宋" w:hAnsi="仿宋" w:eastAsia="仿宋" w:cs="仿宋"/>
          <w:color w:val="auto"/>
          <w:spacing w:val="-63"/>
          <w:w w:val="98"/>
          <w:position w:val="11"/>
          <w:sz w:val="24"/>
          <w:szCs w:val="24"/>
          <w:highlight w:val="none"/>
          <w:lang w:eastAsia="zh-CN"/>
        </w:rPr>
        <w:t>）：</w:t>
      </w:r>
    </w:p>
    <w:p>
      <w:pPr>
        <w:spacing w:line="360" w:lineRule="auto"/>
        <w:ind w:firstLine="239" w:firstLineChars="112"/>
        <w:rPr>
          <w:rFonts w:hint="eastAsia" w:ascii="仿宋" w:hAnsi="仿宋" w:eastAsia="仿宋" w:cs="仿宋"/>
          <w:color w:val="auto"/>
          <w:highlight w:val="none"/>
          <w:lang w:eastAsia="zh-CN"/>
        </w:rPr>
      </w:pPr>
      <w:r>
        <w:rPr>
          <w:rFonts w:hint="eastAsia" w:ascii="仿宋" w:hAnsi="仿宋" w:eastAsia="仿宋" w:cs="仿宋"/>
          <w:color w:val="auto"/>
          <w:spacing w:val="-13"/>
          <w:sz w:val="24"/>
          <w:szCs w:val="24"/>
          <w:highlight w:val="none"/>
          <w:lang w:eastAsia="zh-CN"/>
        </w:rPr>
        <w:t>日</w:t>
      </w:r>
      <w:r>
        <w:rPr>
          <w:rFonts w:hint="eastAsia" w:ascii="仿宋" w:hAnsi="仿宋" w:eastAsia="仿宋" w:cs="仿宋"/>
          <w:color w:val="auto"/>
          <w:spacing w:val="-13"/>
          <w:sz w:val="24"/>
          <w:szCs w:val="24"/>
          <w:highlight w:val="none"/>
          <w:lang w:val="en-US" w:eastAsia="zh-CN"/>
        </w:rPr>
        <w:t xml:space="preserve">  </w:t>
      </w:r>
      <w:r>
        <w:rPr>
          <w:rFonts w:hint="eastAsia" w:ascii="仿宋" w:hAnsi="仿宋" w:eastAsia="仿宋" w:cs="仿宋"/>
          <w:color w:val="auto"/>
          <w:spacing w:val="-13"/>
          <w:sz w:val="24"/>
          <w:szCs w:val="24"/>
          <w:highlight w:val="none"/>
          <w:lang w:eastAsia="zh-CN"/>
        </w:rPr>
        <w:t>期：</w:t>
      </w:r>
      <w:r>
        <w:rPr>
          <w:rFonts w:hint="eastAsia" w:ascii="仿宋" w:hAnsi="仿宋" w:eastAsia="仿宋" w:cs="仿宋"/>
          <w:color w:val="auto"/>
          <w:spacing w:val="2"/>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年</w:t>
      </w:r>
      <w:r>
        <w:rPr>
          <w:rFonts w:hint="eastAsia" w:ascii="仿宋" w:hAnsi="仿宋" w:eastAsia="仿宋" w:cs="仿宋"/>
          <w:color w:val="auto"/>
          <w:spacing w:val="4"/>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月</w:t>
      </w:r>
      <w:r>
        <w:rPr>
          <w:rFonts w:hint="eastAsia" w:ascii="仿宋" w:hAnsi="仿宋" w:eastAsia="仿宋" w:cs="仿宋"/>
          <w:color w:val="auto"/>
          <w:spacing w:val="12"/>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日</w:t>
      </w:r>
    </w:p>
    <w:p>
      <w:pPr>
        <w:spacing w:line="360" w:lineRule="auto"/>
        <w:ind w:firstLine="0" w:firstLineChars="0"/>
        <w:rPr>
          <w:rFonts w:hint="eastAsia" w:ascii="仿宋" w:hAnsi="仿宋" w:eastAsia="仿宋" w:cs="仿宋"/>
          <w:color w:val="auto"/>
          <w:sz w:val="24"/>
          <w:szCs w:val="24"/>
          <w:highlight w:val="none"/>
          <w:lang w:eastAsia="zh-CN"/>
        </w:rPr>
        <w:sectPr>
          <w:footerReference r:id="rId12" w:type="default"/>
          <w:pgSz w:w="11900" w:h="16840"/>
          <w:pgMar w:top="1417" w:right="1701" w:bottom="1417" w:left="1701" w:header="0" w:footer="567" w:gutter="0"/>
          <w:pgNumType w:fmt="decimal"/>
          <w:cols w:space="720" w:num="1"/>
        </w:sectPr>
      </w:pPr>
    </w:p>
    <w:p>
      <w:pPr>
        <w:spacing w:before="63" w:line="360" w:lineRule="auto"/>
        <w:ind w:firstLine="364" w:firstLineChars="112"/>
        <w:jc w:val="center"/>
        <w:outlineLvl w:val="1"/>
        <w:rPr>
          <w:rFonts w:hint="eastAsia" w:ascii="仿宋" w:hAnsi="仿宋" w:eastAsia="仿宋" w:cs="仿宋"/>
          <w:b/>
          <w:bCs/>
          <w:color w:val="auto"/>
          <w:sz w:val="31"/>
          <w:szCs w:val="31"/>
          <w:highlight w:val="none"/>
          <w:lang w:eastAsia="zh-CN"/>
        </w:rPr>
      </w:pPr>
      <w:bookmarkStart w:id="614" w:name="_Toc29402"/>
      <w:bookmarkStart w:id="615" w:name="_Toc8932"/>
      <w:bookmarkStart w:id="616" w:name="_Toc21489"/>
      <w:bookmarkStart w:id="617" w:name="_Toc32301"/>
      <w:bookmarkStart w:id="618" w:name="_Toc15495"/>
      <w:bookmarkStart w:id="619" w:name="_Toc23111"/>
      <w:bookmarkStart w:id="620" w:name="_Toc7093"/>
      <w:r>
        <w:rPr>
          <w:rFonts w:hint="eastAsia" w:ascii="仿宋" w:hAnsi="仿宋" w:eastAsia="仿宋" w:cs="仿宋"/>
          <w:b/>
          <w:bCs/>
          <w:color w:val="auto"/>
          <w:spacing w:val="7"/>
          <w:sz w:val="31"/>
          <w:szCs w:val="31"/>
          <w:highlight w:val="none"/>
          <w:lang w:eastAsia="zh-CN"/>
        </w:rPr>
        <w:t>二、投资承诺书</w:t>
      </w:r>
      <w:bookmarkEnd w:id="614"/>
      <w:bookmarkEnd w:id="615"/>
      <w:bookmarkEnd w:id="616"/>
      <w:bookmarkEnd w:id="617"/>
      <w:bookmarkEnd w:id="618"/>
      <w:bookmarkEnd w:id="619"/>
      <w:bookmarkEnd w:id="620"/>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(联合体牵头人及其参与投资的成员均需提供)</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致:</w:t>
      </w:r>
      <w:r>
        <w:rPr>
          <w:rFonts w:hint="eastAsia" w:ascii="仿宋" w:hAnsi="仿宋" w:eastAsia="仿宋" w:cs="仿宋"/>
          <w:color w:val="auto"/>
          <w:spacing w:val="1"/>
          <w:sz w:val="24"/>
          <w:szCs w:val="24"/>
          <w:highlight w:val="none"/>
          <w:u w:val="single"/>
          <w:lang w:val="en-US" w:eastAsia="zh-CN"/>
        </w:rPr>
        <w:t xml:space="preserve">            </w:t>
      </w:r>
      <w:r>
        <w:rPr>
          <w:rFonts w:hint="eastAsia" w:ascii="仿宋" w:hAnsi="仿宋" w:eastAsia="仿宋" w:cs="仿宋"/>
          <w:color w:val="auto"/>
          <w:spacing w:val="1"/>
          <w:sz w:val="24"/>
          <w:szCs w:val="24"/>
          <w:highlight w:val="none"/>
          <w:u w:val="single"/>
          <w:lang w:eastAsia="zh-CN"/>
        </w:rPr>
        <w:t xml:space="preserve"> </w:t>
      </w:r>
      <w:r>
        <w:rPr>
          <w:rFonts w:hint="eastAsia" w:ascii="仿宋" w:hAnsi="仿宋" w:eastAsia="仿宋" w:cs="仿宋"/>
          <w:color w:val="auto"/>
          <w:spacing w:val="1"/>
          <w:sz w:val="24"/>
          <w:szCs w:val="24"/>
          <w:highlight w:val="none"/>
          <w:lang w:eastAsia="zh-CN"/>
        </w:rPr>
        <w:t>(招标人名称)</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我方(投标人)对本项目做出如下承诺:</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1.我公司财务状况良好，有能力依照公开文件的要求，保证资金按时足额到位，顺利完成本项目的投资建设。</w:t>
      </w:r>
    </w:p>
    <w:p>
      <w:pPr>
        <w:spacing w:line="360" w:lineRule="auto"/>
        <w:ind w:firstLine="418" w:firstLineChars="173"/>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lang w:eastAsia="zh-CN"/>
        </w:rPr>
        <w:t>2.我方联合体各成员未来出资</w:t>
      </w:r>
      <w:r>
        <w:rPr>
          <w:rFonts w:hint="eastAsia" w:ascii="仿宋" w:hAnsi="仿宋" w:eastAsia="仿宋" w:cs="仿宋"/>
          <w:color w:val="auto"/>
          <w:spacing w:val="1"/>
          <w:sz w:val="24"/>
          <w:szCs w:val="24"/>
          <w:highlight w:val="none"/>
          <w:lang w:val="en-US" w:eastAsia="zh-CN"/>
        </w:rPr>
        <w:t>比例</w:t>
      </w:r>
      <w:r>
        <w:rPr>
          <w:rFonts w:hint="eastAsia" w:ascii="仿宋" w:hAnsi="仿宋" w:eastAsia="仿宋" w:cs="仿宋"/>
          <w:color w:val="auto"/>
          <w:spacing w:val="1"/>
          <w:sz w:val="24"/>
          <w:szCs w:val="24"/>
          <w:highlight w:val="none"/>
          <w:lang w:eastAsia="zh-CN"/>
        </w:rPr>
        <w:t>：牵头方为  %，联合体其他成员各自的出资</w:t>
      </w:r>
      <w:r>
        <w:rPr>
          <w:rFonts w:hint="eastAsia" w:ascii="仿宋" w:hAnsi="仿宋" w:eastAsia="仿宋" w:cs="仿宋"/>
          <w:color w:val="auto"/>
          <w:spacing w:val="1"/>
          <w:sz w:val="24"/>
          <w:szCs w:val="24"/>
          <w:highlight w:val="none"/>
          <w:lang w:val="en-US" w:eastAsia="zh-CN"/>
        </w:rPr>
        <w:t>比例</w:t>
      </w:r>
      <w:r>
        <w:rPr>
          <w:rFonts w:hint="eastAsia" w:ascii="仿宋" w:hAnsi="仿宋" w:eastAsia="仿宋" w:cs="仿宋"/>
          <w:color w:val="auto"/>
          <w:spacing w:val="1"/>
          <w:sz w:val="24"/>
          <w:szCs w:val="24"/>
          <w:highlight w:val="none"/>
          <w:lang w:eastAsia="zh-CN"/>
        </w:rPr>
        <w:t>分别为     %。</w:t>
      </w:r>
    </w:p>
    <w:p>
      <w:pPr>
        <w:spacing w:line="360" w:lineRule="auto"/>
        <w:ind w:firstLine="418" w:firstLineChars="173"/>
        <w:rPr>
          <w:rFonts w:hint="eastAsia" w:ascii="仿宋" w:hAnsi="仿宋" w:eastAsia="仿宋" w:cs="仿宋"/>
          <w:color w:val="auto"/>
          <w:spacing w:val="1"/>
          <w:sz w:val="24"/>
          <w:szCs w:val="24"/>
          <w:highlight w:val="none"/>
          <w:lang w:eastAsia="zh-CN"/>
        </w:rPr>
      </w:pPr>
    </w:p>
    <w:p>
      <w:pPr>
        <w:spacing w:before="79" w:line="480" w:lineRule="auto"/>
        <w:ind w:firstLine="506" w:firstLineChars="211"/>
        <w:jc w:val="right"/>
        <w:rPr>
          <w:rFonts w:hint="eastAsia" w:ascii="仿宋" w:hAnsi="仿宋" w:eastAsia="仿宋" w:cs="仿宋"/>
          <w:color w:val="auto"/>
          <w:sz w:val="24"/>
          <w:szCs w:val="24"/>
          <w:highlight w:val="none"/>
          <w:lang w:eastAsia="zh-CN"/>
        </w:rPr>
      </w:pPr>
      <w:bookmarkStart w:id="621" w:name="bookmark109"/>
      <w:bookmarkEnd w:id="621"/>
      <w:bookmarkStart w:id="622" w:name="_Toc23133"/>
      <w:r>
        <w:rPr>
          <w:rFonts w:hint="eastAsia" w:ascii="仿宋" w:hAnsi="仿宋" w:eastAsia="仿宋" w:cs="仿宋"/>
          <w:color w:val="auto"/>
          <w:sz w:val="24"/>
          <w:szCs w:val="24"/>
          <w:highlight w:val="none"/>
          <w:lang w:eastAsia="zh-CN"/>
        </w:rPr>
        <w:t>投标人名称：</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lang w:eastAsia="zh-CN"/>
        </w:rPr>
        <w:t>（盖单位章）</w:t>
      </w:r>
    </w:p>
    <w:p>
      <w:pPr>
        <w:spacing w:line="480" w:lineRule="auto"/>
        <w:ind w:firstLine="239" w:firstLineChars="112"/>
        <w:jc w:val="right"/>
        <w:rPr>
          <w:rFonts w:hint="eastAsia" w:ascii="仿宋" w:hAnsi="仿宋" w:eastAsia="仿宋" w:cs="仿宋"/>
          <w:color w:val="auto"/>
          <w:highlight w:val="none"/>
          <w:lang w:eastAsia="zh-CN"/>
        </w:rPr>
      </w:pPr>
      <w:r>
        <w:rPr>
          <w:rFonts w:hint="eastAsia" w:ascii="仿宋" w:hAnsi="仿宋" w:eastAsia="仿宋" w:cs="仿宋"/>
          <w:color w:val="auto"/>
          <w:spacing w:val="-13"/>
          <w:sz w:val="24"/>
          <w:szCs w:val="24"/>
          <w:highlight w:val="none"/>
          <w:lang w:eastAsia="zh-CN"/>
        </w:rPr>
        <w:t>日</w:t>
      </w:r>
      <w:r>
        <w:rPr>
          <w:rFonts w:hint="eastAsia" w:ascii="仿宋" w:hAnsi="仿宋" w:eastAsia="仿宋" w:cs="仿宋"/>
          <w:color w:val="auto"/>
          <w:spacing w:val="-13"/>
          <w:sz w:val="24"/>
          <w:szCs w:val="24"/>
          <w:highlight w:val="none"/>
          <w:lang w:val="en-US" w:eastAsia="zh-CN"/>
        </w:rPr>
        <w:t xml:space="preserve">    </w:t>
      </w:r>
      <w:r>
        <w:rPr>
          <w:rFonts w:hint="eastAsia" w:ascii="仿宋" w:hAnsi="仿宋" w:eastAsia="仿宋" w:cs="仿宋"/>
          <w:color w:val="auto"/>
          <w:spacing w:val="-13"/>
          <w:sz w:val="24"/>
          <w:szCs w:val="24"/>
          <w:highlight w:val="none"/>
          <w:lang w:eastAsia="zh-CN"/>
        </w:rPr>
        <w:t>期：</w:t>
      </w:r>
      <w:r>
        <w:rPr>
          <w:rFonts w:hint="eastAsia" w:ascii="仿宋" w:hAnsi="仿宋" w:eastAsia="仿宋" w:cs="仿宋"/>
          <w:color w:val="auto"/>
          <w:spacing w:val="2"/>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年</w:t>
      </w:r>
      <w:r>
        <w:rPr>
          <w:rFonts w:hint="eastAsia" w:ascii="仿宋" w:hAnsi="仿宋" w:eastAsia="仿宋" w:cs="仿宋"/>
          <w:color w:val="auto"/>
          <w:spacing w:val="4"/>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月</w:t>
      </w:r>
      <w:r>
        <w:rPr>
          <w:rFonts w:hint="eastAsia" w:ascii="仿宋" w:hAnsi="仿宋" w:eastAsia="仿宋" w:cs="仿宋"/>
          <w:color w:val="auto"/>
          <w:spacing w:val="12"/>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日</w:t>
      </w:r>
    </w:p>
    <w:p>
      <w:pPr>
        <w:spacing w:before="0" w:line="240" w:lineRule="auto"/>
        <w:ind w:firstLine="0" w:firstLineChars="0"/>
        <w:jc w:val="right"/>
        <w:outlineLvl w:val="9"/>
        <w:rPr>
          <w:rFonts w:hint="eastAsia" w:ascii="仿宋" w:hAnsi="仿宋" w:eastAsia="仿宋" w:cs="仿宋"/>
          <w:b/>
          <w:bCs/>
          <w:color w:val="auto"/>
          <w:spacing w:val="-1"/>
          <w:sz w:val="28"/>
          <w:szCs w:val="28"/>
          <w:highlight w:val="none"/>
          <w:lang w:eastAsia="zh-CN"/>
        </w:rPr>
      </w:pPr>
      <w:r>
        <w:rPr>
          <w:rFonts w:hint="eastAsia" w:ascii="仿宋" w:hAnsi="仿宋" w:eastAsia="仿宋" w:cs="仿宋"/>
          <w:b/>
          <w:bCs/>
          <w:color w:val="auto"/>
          <w:spacing w:val="-1"/>
          <w:sz w:val="28"/>
          <w:szCs w:val="28"/>
          <w:highlight w:val="none"/>
          <w:lang w:eastAsia="zh-CN"/>
        </w:rPr>
        <w:br w:type="page"/>
      </w:r>
    </w:p>
    <w:p>
      <w:pPr>
        <w:spacing w:before="56" w:line="360" w:lineRule="auto"/>
        <w:ind w:firstLine="313" w:firstLineChars="112"/>
        <w:jc w:val="center"/>
        <w:outlineLvl w:val="1"/>
        <w:rPr>
          <w:rFonts w:hint="eastAsia" w:ascii="仿宋" w:hAnsi="仿宋" w:eastAsia="仿宋" w:cs="仿宋"/>
          <w:b/>
          <w:bCs/>
          <w:color w:val="auto"/>
          <w:sz w:val="28"/>
          <w:szCs w:val="28"/>
          <w:highlight w:val="none"/>
          <w:lang w:eastAsia="zh-CN"/>
        </w:rPr>
      </w:pPr>
      <w:bookmarkStart w:id="623" w:name="_Toc27226"/>
      <w:bookmarkStart w:id="624" w:name="_Toc2728"/>
      <w:bookmarkStart w:id="625" w:name="_Toc9675"/>
      <w:bookmarkStart w:id="626" w:name="_Toc23230"/>
      <w:bookmarkStart w:id="627" w:name="_Toc31108"/>
      <w:bookmarkStart w:id="628" w:name="_Toc19218"/>
      <w:r>
        <w:rPr>
          <w:rFonts w:hint="eastAsia" w:ascii="仿宋" w:hAnsi="仿宋" w:eastAsia="仿宋" w:cs="仿宋"/>
          <w:b/>
          <w:bCs/>
          <w:color w:val="auto"/>
          <w:spacing w:val="-1"/>
          <w:sz w:val="28"/>
          <w:szCs w:val="28"/>
          <w:highlight w:val="none"/>
          <w:lang w:eastAsia="zh-CN"/>
        </w:rPr>
        <w:t>三、法定代表人身份证明</w:t>
      </w:r>
      <w:bookmarkEnd w:id="622"/>
      <w:bookmarkEnd w:id="623"/>
      <w:bookmarkEnd w:id="624"/>
      <w:bookmarkEnd w:id="625"/>
      <w:bookmarkEnd w:id="626"/>
      <w:bookmarkEnd w:id="627"/>
      <w:bookmarkEnd w:id="628"/>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spacing w:before="78"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单位名称：</w:t>
      </w:r>
      <w:r>
        <w:rPr>
          <w:rFonts w:hint="eastAsia" w:ascii="仿宋" w:hAnsi="仿宋" w:eastAsia="仿宋" w:cs="仿宋"/>
          <w:color w:val="auto"/>
          <w:spacing w:val="-1"/>
          <w:sz w:val="24"/>
          <w:szCs w:val="24"/>
          <w:highlight w:val="none"/>
          <w:u w:val="single"/>
          <w:lang w:eastAsia="zh-CN"/>
        </w:rPr>
        <w:t xml:space="preserve">              </w:t>
      </w:r>
      <w:r>
        <w:rPr>
          <w:rFonts w:hint="eastAsia" w:ascii="仿宋" w:hAnsi="仿宋" w:eastAsia="仿宋" w:cs="仿宋"/>
          <w:color w:val="auto"/>
          <w:spacing w:val="-2"/>
          <w:sz w:val="24"/>
          <w:szCs w:val="24"/>
          <w:highlight w:val="none"/>
          <w:u w:val="single"/>
          <w:lang w:eastAsia="zh-CN"/>
        </w:rPr>
        <w:t xml:space="preserve"> </w:t>
      </w:r>
      <w:r>
        <w:rPr>
          <w:rFonts w:hint="eastAsia" w:ascii="仿宋" w:hAnsi="仿宋" w:eastAsia="仿宋" w:cs="仿宋"/>
          <w:color w:val="auto"/>
          <w:spacing w:val="-2"/>
          <w:sz w:val="24"/>
          <w:szCs w:val="24"/>
          <w:highlight w:val="none"/>
          <w:lang w:eastAsia="zh-CN"/>
        </w:rPr>
        <w:t>。</w:t>
      </w:r>
    </w:p>
    <w:p>
      <w:pPr>
        <w:spacing w:before="167" w:line="360" w:lineRule="auto"/>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注册地址：</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pacing w:val="-1"/>
          <w:sz w:val="24"/>
          <w:szCs w:val="24"/>
          <w:highlight w:val="none"/>
          <w:u w:val="single"/>
          <w:lang w:eastAsia="zh-CN"/>
        </w:rPr>
        <w:t xml:space="preserve">        </w:t>
      </w:r>
      <w:r>
        <w:rPr>
          <w:rFonts w:hint="eastAsia" w:ascii="仿宋" w:hAnsi="仿宋" w:eastAsia="仿宋" w:cs="仿宋"/>
          <w:color w:val="auto"/>
          <w:spacing w:val="-23"/>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w:t>
      </w:r>
    </w:p>
    <w:p>
      <w:pPr>
        <w:spacing w:before="166" w:line="360" w:lineRule="auto"/>
        <w:ind w:firstLine="259" w:firstLineChars="112"/>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4"/>
          <w:sz w:val="24"/>
          <w:szCs w:val="24"/>
          <w:highlight w:val="none"/>
          <w:lang w:eastAsia="zh-CN"/>
        </w:rPr>
        <w:t>姓名：</w:t>
      </w:r>
      <w:r>
        <w:rPr>
          <w:rFonts w:hint="eastAsia" w:ascii="仿宋" w:hAnsi="仿宋" w:eastAsia="仿宋" w:cs="仿宋"/>
          <w:color w:val="auto"/>
          <w:spacing w:val="-4"/>
          <w:sz w:val="24"/>
          <w:szCs w:val="24"/>
          <w:highlight w:val="none"/>
          <w:u w:val="single"/>
          <w:lang w:eastAsia="zh-CN"/>
        </w:rPr>
        <w:t xml:space="preserve">        </w:t>
      </w:r>
      <w:r>
        <w:rPr>
          <w:rFonts w:hint="eastAsia" w:ascii="仿宋" w:hAnsi="仿宋" w:eastAsia="仿宋" w:cs="仿宋"/>
          <w:color w:val="auto"/>
          <w:spacing w:val="-102"/>
          <w:sz w:val="24"/>
          <w:szCs w:val="24"/>
          <w:highlight w:val="none"/>
          <w:lang w:eastAsia="zh-CN"/>
        </w:rPr>
        <w:t xml:space="preserve"> </w:t>
      </w:r>
      <w:r>
        <w:rPr>
          <w:rFonts w:hint="eastAsia" w:ascii="仿宋" w:hAnsi="仿宋" w:eastAsia="仿宋" w:cs="仿宋"/>
          <w:color w:val="auto"/>
          <w:spacing w:val="-4"/>
          <w:sz w:val="24"/>
          <w:szCs w:val="24"/>
          <w:highlight w:val="none"/>
          <w:lang w:eastAsia="zh-CN"/>
        </w:rPr>
        <w:t>性别：</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pacing w:val="-109"/>
          <w:sz w:val="24"/>
          <w:szCs w:val="24"/>
          <w:highlight w:val="none"/>
          <w:lang w:eastAsia="zh-CN"/>
        </w:rPr>
        <w:t xml:space="preserve"> </w:t>
      </w:r>
      <w:r>
        <w:rPr>
          <w:rFonts w:hint="eastAsia" w:ascii="仿宋" w:hAnsi="仿宋" w:eastAsia="仿宋" w:cs="仿宋"/>
          <w:color w:val="auto"/>
          <w:spacing w:val="-4"/>
          <w:sz w:val="24"/>
          <w:szCs w:val="24"/>
          <w:highlight w:val="none"/>
          <w:lang w:eastAsia="zh-CN"/>
        </w:rPr>
        <w:t>年龄：</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pacing w:val="-110"/>
          <w:sz w:val="24"/>
          <w:szCs w:val="24"/>
          <w:highlight w:val="none"/>
          <w:lang w:eastAsia="zh-CN"/>
        </w:rPr>
        <w:t xml:space="preserve"> </w:t>
      </w:r>
      <w:r>
        <w:rPr>
          <w:rFonts w:hint="eastAsia" w:ascii="仿宋" w:hAnsi="仿宋" w:eastAsia="仿宋" w:cs="仿宋"/>
          <w:color w:val="auto"/>
          <w:spacing w:val="-4"/>
          <w:sz w:val="24"/>
          <w:szCs w:val="24"/>
          <w:highlight w:val="none"/>
          <w:lang w:eastAsia="zh-CN"/>
        </w:rPr>
        <w:t>职务：</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pacing w:val="-86"/>
          <w:sz w:val="24"/>
          <w:szCs w:val="24"/>
          <w:highlight w:val="none"/>
          <w:lang w:eastAsia="zh-CN"/>
        </w:rPr>
        <w:t xml:space="preserve"> </w:t>
      </w:r>
      <w:r>
        <w:rPr>
          <w:rFonts w:hint="eastAsia" w:ascii="仿宋" w:hAnsi="仿宋" w:eastAsia="仿宋" w:cs="仿宋"/>
          <w:color w:val="auto"/>
          <w:spacing w:val="-4"/>
          <w:sz w:val="24"/>
          <w:szCs w:val="24"/>
          <w:highlight w:val="none"/>
          <w:lang w:eastAsia="zh-CN"/>
        </w:rPr>
        <w:t>。</w:t>
      </w:r>
    </w:p>
    <w:p>
      <w:pPr>
        <w:spacing w:before="166" w:line="360" w:lineRule="auto"/>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pacing w:val="-3"/>
          <w:sz w:val="24"/>
          <w:szCs w:val="24"/>
          <w:highlight w:val="none"/>
          <w:lang w:eastAsia="zh-CN"/>
        </w:rPr>
        <w:t>系</w:t>
      </w:r>
      <w:r>
        <w:rPr>
          <w:rFonts w:hint="eastAsia" w:ascii="仿宋" w:hAnsi="仿宋" w:eastAsia="仿宋" w:cs="仿宋"/>
          <w:color w:val="auto"/>
          <w:spacing w:val="-3"/>
          <w:sz w:val="24"/>
          <w:szCs w:val="24"/>
          <w:highlight w:val="none"/>
          <w:u w:val="single"/>
          <w:lang w:eastAsia="zh-CN"/>
        </w:rPr>
        <w:t xml:space="preserve">              </w:t>
      </w:r>
      <w:r>
        <w:rPr>
          <w:rFonts w:hint="eastAsia" w:ascii="仿宋" w:hAnsi="仿宋" w:eastAsia="仿宋" w:cs="仿宋"/>
          <w:color w:val="auto"/>
          <w:spacing w:val="-89"/>
          <w:sz w:val="24"/>
          <w:szCs w:val="24"/>
          <w:highlight w:val="none"/>
          <w:lang w:eastAsia="zh-CN"/>
        </w:rPr>
        <w:t xml:space="preserve"> </w:t>
      </w:r>
      <w:r>
        <w:rPr>
          <w:rFonts w:hint="eastAsia" w:ascii="仿宋" w:hAnsi="仿宋" w:eastAsia="仿宋" w:cs="仿宋"/>
          <w:color w:val="auto"/>
          <w:spacing w:val="-3"/>
          <w:sz w:val="24"/>
          <w:szCs w:val="24"/>
          <w:highlight w:val="none"/>
          <w:lang w:eastAsia="zh-CN"/>
        </w:rPr>
        <w:t>的法定代表人。</w:t>
      </w: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spacing w:before="228" w:line="360" w:lineRule="auto"/>
        <w:ind w:firstLine="262" w:firstLineChars="112"/>
        <w:outlineLvl w:val="2"/>
        <w:rPr>
          <w:rFonts w:hint="eastAsia" w:ascii="仿宋" w:hAnsi="仿宋" w:eastAsia="仿宋" w:cs="仿宋"/>
          <w:color w:val="auto"/>
          <w:spacing w:val="-3"/>
          <w:sz w:val="24"/>
          <w:szCs w:val="24"/>
          <w:highlight w:val="none"/>
          <w:lang w:eastAsia="zh-CN"/>
        </w:rPr>
      </w:pPr>
      <w:bookmarkStart w:id="629" w:name="_Toc8270"/>
      <w:bookmarkStart w:id="630" w:name="_Toc10146"/>
      <w:bookmarkStart w:id="631" w:name="_Toc25375"/>
      <w:bookmarkStart w:id="632" w:name="_Toc14734"/>
      <w:r>
        <w:rPr>
          <w:rFonts w:hint="eastAsia" w:ascii="仿宋" w:hAnsi="仿宋" w:eastAsia="仿宋" w:cs="仿宋"/>
          <w:color w:val="auto"/>
          <w:spacing w:val="-3"/>
          <w:w w:val="100"/>
          <w:position w:val="0"/>
          <w:sz w:val="24"/>
          <w:szCs w:val="24"/>
          <w:highlight w:val="none"/>
          <w:lang w:eastAsia="zh-CN"/>
        </w:rPr>
        <w:t>投标人名称：</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3"/>
          <w:w w:val="100"/>
          <w:position w:val="0"/>
          <w:sz w:val="24"/>
          <w:szCs w:val="24"/>
          <w:highlight w:val="none"/>
          <w:lang w:eastAsia="zh-CN"/>
        </w:rPr>
        <w:t>（盖单位章）</w:t>
      </w:r>
      <w:bookmarkEnd w:id="629"/>
      <w:bookmarkEnd w:id="630"/>
      <w:bookmarkEnd w:id="631"/>
      <w:bookmarkEnd w:id="632"/>
    </w:p>
    <w:p>
      <w:pPr>
        <w:spacing w:line="360" w:lineRule="auto"/>
        <w:ind w:firstLine="239"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3"/>
          <w:sz w:val="24"/>
          <w:szCs w:val="24"/>
          <w:highlight w:val="none"/>
          <w:lang w:eastAsia="zh-CN"/>
        </w:rPr>
        <w:t>日</w:t>
      </w:r>
      <w:r>
        <w:rPr>
          <w:rFonts w:hint="eastAsia" w:ascii="仿宋" w:hAnsi="仿宋" w:eastAsia="仿宋" w:cs="仿宋"/>
          <w:color w:val="auto"/>
          <w:spacing w:val="-13"/>
          <w:sz w:val="24"/>
          <w:szCs w:val="24"/>
          <w:highlight w:val="none"/>
          <w:lang w:val="en-US" w:eastAsia="zh-CN"/>
        </w:rPr>
        <w:t xml:space="preserve">  </w:t>
      </w:r>
      <w:r>
        <w:rPr>
          <w:rFonts w:hint="eastAsia" w:ascii="仿宋" w:hAnsi="仿宋" w:eastAsia="仿宋" w:cs="仿宋"/>
          <w:color w:val="auto"/>
          <w:spacing w:val="-13"/>
          <w:sz w:val="24"/>
          <w:szCs w:val="24"/>
          <w:highlight w:val="none"/>
          <w:lang w:eastAsia="zh-CN"/>
        </w:rPr>
        <w:t>期：</w:t>
      </w:r>
      <w:r>
        <w:rPr>
          <w:rFonts w:hint="eastAsia" w:ascii="仿宋" w:hAnsi="仿宋" w:eastAsia="仿宋" w:cs="仿宋"/>
          <w:color w:val="auto"/>
          <w:spacing w:val="2"/>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年</w:t>
      </w:r>
      <w:r>
        <w:rPr>
          <w:rFonts w:hint="eastAsia" w:ascii="仿宋" w:hAnsi="仿宋" w:eastAsia="仿宋" w:cs="仿宋"/>
          <w:color w:val="auto"/>
          <w:spacing w:val="3"/>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月</w:t>
      </w:r>
      <w:r>
        <w:rPr>
          <w:rFonts w:hint="eastAsia" w:ascii="仿宋" w:hAnsi="仿宋" w:eastAsia="仿宋" w:cs="仿宋"/>
          <w:color w:val="auto"/>
          <w:spacing w:val="10"/>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日</w:t>
      </w:r>
    </w:p>
    <w:p>
      <w:pPr>
        <w:spacing w:before="228" w:line="360" w:lineRule="auto"/>
        <w:ind w:firstLine="262" w:firstLineChars="112"/>
        <w:outlineLvl w:val="2"/>
        <w:rPr>
          <w:rFonts w:hint="eastAsia" w:ascii="仿宋" w:hAnsi="仿宋" w:eastAsia="仿宋" w:cs="仿宋"/>
          <w:color w:val="auto"/>
          <w:sz w:val="24"/>
          <w:szCs w:val="24"/>
          <w:highlight w:val="none"/>
          <w:lang w:eastAsia="zh-CN"/>
        </w:rPr>
      </w:pPr>
      <w:bookmarkStart w:id="633" w:name="_Toc31554"/>
      <w:bookmarkStart w:id="634" w:name="_Toc29844"/>
      <w:bookmarkStart w:id="635" w:name="_Toc28504"/>
      <w:bookmarkStart w:id="636" w:name="_Toc10712"/>
      <w:bookmarkStart w:id="637" w:name="_Toc9398"/>
      <w:bookmarkStart w:id="638" w:name="_Toc20662"/>
      <w:bookmarkStart w:id="639" w:name="_Toc5686"/>
      <w:r>
        <w:rPr>
          <w:rFonts w:hint="eastAsia" w:ascii="仿宋" w:hAnsi="仿宋" w:eastAsia="仿宋" w:cs="仿宋"/>
          <w:color w:val="auto"/>
          <w:spacing w:val="-3"/>
          <w:sz w:val="24"/>
          <w:szCs w:val="24"/>
          <w:highlight w:val="none"/>
          <w:lang w:eastAsia="zh-CN"/>
        </w:rPr>
        <w:t>附件：法定代表人身份证复印件</w:t>
      </w:r>
      <w:bookmarkEnd w:id="633"/>
      <w:bookmarkEnd w:id="634"/>
      <w:bookmarkEnd w:id="635"/>
      <w:bookmarkEnd w:id="636"/>
      <w:bookmarkEnd w:id="637"/>
      <w:bookmarkEnd w:id="638"/>
      <w:bookmarkEnd w:id="639"/>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spacing w:line="360" w:lineRule="auto"/>
        <w:ind w:firstLine="268" w:firstLineChars="112"/>
        <w:rPr>
          <w:rFonts w:hint="eastAsia" w:ascii="仿宋" w:hAnsi="仿宋" w:eastAsia="仿宋" w:cs="仿宋"/>
          <w:color w:val="auto"/>
          <w:sz w:val="24"/>
          <w:szCs w:val="24"/>
          <w:highlight w:val="none"/>
          <w:lang w:eastAsia="zh-CN"/>
        </w:rPr>
        <w:sectPr>
          <w:footerReference r:id="rId13" w:type="default"/>
          <w:pgSz w:w="11900" w:h="16840"/>
          <w:pgMar w:top="1417" w:right="1701" w:bottom="1417" w:left="1701" w:header="0" w:footer="567" w:gutter="0"/>
          <w:pgNumType w:fmt="decimal"/>
          <w:cols w:space="720" w:num="1"/>
        </w:sectPr>
      </w:pPr>
    </w:p>
    <w:p>
      <w:pPr>
        <w:spacing w:before="56" w:line="360" w:lineRule="auto"/>
        <w:ind w:firstLine="301" w:firstLineChars="112"/>
        <w:jc w:val="center"/>
        <w:outlineLvl w:val="1"/>
        <w:rPr>
          <w:rFonts w:hint="eastAsia" w:ascii="仿宋" w:hAnsi="仿宋" w:eastAsia="仿宋" w:cs="仿宋"/>
          <w:b/>
          <w:bCs/>
          <w:color w:val="auto"/>
          <w:sz w:val="28"/>
          <w:szCs w:val="28"/>
          <w:highlight w:val="none"/>
          <w:lang w:eastAsia="zh-CN"/>
        </w:rPr>
      </w:pPr>
      <w:bookmarkStart w:id="640" w:name="bookmark110"/>
      <w:bookmarkEnd w:id="640"/>
      <w:bookmarkStart w:id="641" w:name="_Toc8035"/>
      <w:bookmarkStart w:id="642" w:name="_Toc2110"/>
      <w:bookmarkStart w:id="643" w:name="_Toc2740"/>
      <w:bookmarkStart w:id="644" w:name="_Toc3581"/>
      <w:bookmarkStart w:id="645" w:name="_Toc19968"/>
      <w:bookmarkStart w:id="646" w:name="_Toc15161"/>
      <w:bookmarkStart w:id="647" w:name="_Toc755"/>
      <w:r>
        <w:rPr>
          <w:rFonts w:hint="eastAsia" w:ascii="仿宋" w:hAnsi="仿宋" w:eastAsia="仿宋" w:cs="仿宋"/>
          <w:b/>
          <w:bCs/>
          <w:color w:val="auto"/>
          <w:spacing w:val="-6"/>
          <w:sz w:val="28"/>
          <w:szCs w:val="28"/>
          <w:highlight w:val="none"/>
          <w:lang w:eastAsia="zh-CN"/>
        </w:rPr>
        <w:t>四、授权委托书</w:t>
      </w:r>
      <w:bookmarkEnd w:id="641"/>
      <w:bookmarkEnd w:id="642"/>
      <w:bookmarkEnd w:id="643"/>
      <w:bookmarkEnd w:id="644"/>
      <w:bookmarkEnd w:id="645"/>
      <w:bookmarkEnd w:id="646"/>
      <w:bookmarkEnd w:id="647"/>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spacing w:before="78" w:line="360" w:lineRule="auto"/>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本人</w:t>
      </w:r>
      <w:r>
        <w:rPr>
          <w:rFonts w:hint="eastAsia" w:ascii="仿宋" w:hAnsi="仿宋" w:eastAsia="仿宋" w:cs="仿宋"/>
          <w:color w:val="auto"/>
          <w:spacing w:val="-2"/>
          <w:sz w:val="24"/>
          <w:szCs w:val="24"/>
          <w:highlight w:val="none"/>
          <w:u w:val="single"/>
          <w:lang w:eastAsia="zh-CN"/>
        </w:rPr>
        <w:t xml:space="preserve">  （姓名）</w:t>
      </w:r>
      <w:r>
        <w:rPr>
          <w:rFonts w:hint="eastAsia" w:ascii="仿宋" w:hAnsi="仿宋" w:eastAsia="仿宋" w:cs="仿宋"/>
          <w:color w:val="auto"/>
          <w:spacing w:val="-2"/>
          <w:sz w:val="24"/>
          <w:szCs w:val="24"/>
          <w:highlight w:val="none"/>
          <w:lang w:eastAsia="zh-CN"/>
        </w:rPr>
        <w:t>系</w:t>
      </w:r>
      <w:r>
        <w:rPr>
          <w:rFonts w:hint="eastAsia" w:ascii="仿宋" w:hAnsi="仿宋" w:eastAsia="仿宋" w:cs="仿宋"/>
          <w:color w:val="auto"/>
          <w:spacing w:val="-2"/>
          <w:sz w:val="24"/>
          <w:szCs w:val="24"/>
          <w:highlight w:val="none"/>
          <w:u w:val="single"/>
          <w:lang w:eastAsia="zh-CN"/>
        </w:rPr>
        <w:t xml:space="preserve">        （投标人名称）</w:t>
      </w:r>
      <w:r>
        <w:rPr>
          <w:rFonts w:hint="eastAsia" w:ascii="仿宋" w:hAnsi="仿宋" w:eastAsia="仿宋" w:cs="仿宋"/>
          <w:color w:val="auto"/>
          <w:spacing w:val="-91"/>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的法定代表人，现委托</w:t>
      </w:r>
      <w:r>
        <w:rPr>
          <w:rFonts w:hint="eastAsia" w:ascii="仿宋" w:hAnsi="仿宋" w:eastAsia="仿宋" w:cs="仿宋"/>
          <w:color w:val="auto"/>
          <w:spacing w:val="-2"/>
          <w:sz w:val="24"/>
          <w:szCs w:val="24"/>
          <w:highlight w:val="none"/>
          <w:u w:val="single"/>
          <w:lang w:eastAsia="zh-CN"/>
        </w:rPr>
        <w:t xml:space="preserve">  （姓名）</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为我方代理人。代理人根据授权，以我方名义签署、澄清、说明、补正、</w:t>
      </w:r>
      <w:r>
        <w:rPr>
          <w:rFonts w:hint="eastAsia" w:ascii="仿宋" w:hAnsi="仿宋" w:eastAsia="仿宋" w:cs="仿宋"/>
          <w:color w:val="auto"/>
          <w:sz w:val="24"/>
          <w:szCs w:val="24"/>
          <w:highlight w:val="none"/>
          <w:lang w:eastAsia="zh-CN"/>
        </w:rPr>
        <w:t xml:space="preserve">递交、撤回、 </w:t>
      </w:r>
      <w:r>
        <w:rPr>
          <w:rFonts w:hint="eastAsia" w:ascii="仿宋" w:hAnsi="仿宋" w:eastAsia="仿宋" w:cs="仿宋"/>
          <w:color w:val="auto"/>
          <w:spacing w:val="-2"/>
          <w:sz w:val="24"/>
          <w:szCs w:val="24"/>
          <w:highlight w:val="none"/>
          <w:lang w:eastAsia="zh-CN"/>
        </w:rPr>
        <w:t>修改</w:t>
      </w:r>
      <w:r>
        <w:rPr>
          <w:rFonts w:hint="eastAsia" w:ascii="仿宋" w:hAnsi="仿宋" w:eastAsia="仿宋" w:cs="仿宋"/>
          <w:color w:val="auto"/>
          <w:spacing w:val="46"/>
          <w:sz w:val="24"/>
          <w:szCs w:val="24"/>
          <w:highlight w:val="none"/>
          <w:u w:val="single"/>
          <w:lang w:eastAsia="zh-CN"/>
        </w:rPr>
        <w:t xml:space="preserve">  </w:t>
      </w:r>
      <w:r>
        <w:rPr>
          <w:rFonts w:hint="eastAsia" w:ascii="仿宋" w:hAnsi="仿宋" w:eastAsia="仿宋" w:cs="仿宋"/>
          <w:color w:val="auto"/>
          <w:spacing w:val="-2"/>
          <w:sz w:val="24"/>
          <w:szCs w:val="24"/>
          <w:highlight w:val="none"/>
          <w:u w:val="single"/>
          <w:lang w:eastAsia="zh-CN"/>
        </w:rPr>
        <w:t>（项目名称）</w:t>
      </w:r>
      <w:r>
        <w:rPr>
          <w:rFonts w:hint="eastAsia" w:ascii="仿宋" w:hAnsi="仿宋" w:eastAsia="仿宋" w:cs="仿宋"/>
          <w:color w:val="auto"/>
          <w:spacing w:val="-103"/>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投标文件、签订合同和处理有关事宜，其法律后</w:t>
      </w:r>
      <w:r>
        <w:rPr>
          <w:rFonts w:hint="eastAsia" w:ascii="仿宋" w:hAnsi="仿宋" w:eastAsia="仿宋" w:cs="仿宋"/>
          <w:color w:val="auto"/>
          <w:spacing w:val="-3"/>
          <w:sz w:val="24"/>
          <w:szCs w:val="24"/>
          <w:highlight w:val="none"/>
          <w:lang w:eastAsia="zh-CN"/>
        </w:rPr>
        <w:t>果由我方承</w:t>
      </w:r>
      <w:r>
        <w:rPr>
          <w:rFonts w:hint="eastAsia" w:ascii="仿宋" w:hAnsi="仿宋" w:eastAsia="仿宋" w:cs="仿宋"/>
          <w:color w:val="auto"/>
          <w:spacing w:val="-6"/>
          <w:sz w:val="24"/>
          <w:szCs w:val="24"/>
          <w:highlight w:val="none"/>
          <w:lang w:eastAsia="zh-CN"/>
        </w:rPr>
        <w:t>担。</w:t>
      </w:r>
    </w:p>
    <w:p>
      <w:pPr>
        <w:spacing w:before="215" w:line="360" w:lineRule="auto"/>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委托期限：</w:t>
      </w:r>
    </w:p>
    <w:p>
      <w:pPr>
        <w:spacing w:before="213"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代理人无转委托权。</w:t>
      </w:r>
    </w:p>
    <w:p>
      <w:pPr>
        <w:spacing w:before="214" w:line="360" w:lineRule="auto"/>
        <w:ind w:firstLine="264" w:firstLineChars="112"/>
        <w:outlineLvl w:val="2"/>
        <w:rPr>
          <w:rFonts w:hint="eastAsia" w:ascii="仿宋" w:hAnsi="仿宋" w:eastAsia="仿宋" w:cs="仿宋"/>
          <w:color w:val="auto"/>
          <w:sz w:val="24"/>
          <w:szCs w:val="24"/>
          <w:highlight w:val="none"/>
          <w:lang w:eastAsia="zh-CN"/>
        </w:rPr>
      </w:pPr>
      <w:bookmarkStart w:id="648" w:name="_Toc16815"/>
      <w:bookmarkStart w:id="649" w:name="_Toc17870"/>
      <w:bookmarkStart w:id="650" w:name="_Toc1547"/>
      <w:bookmarkStart w:id="651" w:name="_Toc10417"/>
      <w:bookmarkStart w:id="652" w:name="_Toc5746"/>
      <w:bookmarkStart w:id="653" w:name="_Toc20927"/>
      <w:bookmarkStart w:id="654" w:name="_Toc5623"/>
      <w:r>
        <w:rPr>
          <w:rFonts w:hint="eastAsia" w:ascii="仿宋" w:hAnsi="仿宋" w:eastAsia="仿宋" w:cs="仿宋"/>
          <w:color w:val="auto"/>
          <w:spacing w:val="-2"/>
          <w:sz w:val="24"/>
          <w:szCs w:val="24"/>
          <w:highlight w:val="none"/>
          <w:lang w:eastAsia="zh-CN"/>
        </w:rPr>
        <w:t>附：法定代表人身份证明、代理人身份证复印件</w:t>
      </w:r>
      <w:bookmarkEnd w:id="648"/>
      <w:bookmarkEnd w:id="649"/>
      <w:bookmarkEnd w:id="650"/>
      <w:bookmarkEnd w:id="651"/>
      <w:bookmarkEnd w:id="652"/>
      <w:bookmarkEnd w:id="653"/>
      <w:bookmarkEnd w:id="654"/>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spacing w:before="0" w:line="480" w:lineRule="auto"/>
        <w:ind w:firstLine="0" w:firstLineChars="0"/>
        <w:rPr>
          <w:rFonts w:hint="eastAsia" w:ascii="仿宋" w:hAnsi="仿宋" w:eastAsia="仿宋" w:cs="仿宋"/>
          <w:color w:val="auto"/>
          <w:spacing w:val="0"/>
          <w:position w:val="0"/>
          <w:sz w:val="24"/>
          <w:szCs w:val="24"/>
          <w:highlight w:val="none"/>
          <w:lang w:eastAsia="zh-CN"/>
        </w:rPr>
      </w:pPr>
      <w:r>
        <w:rPr>
          <w:rFonts w:hint="eastAsia" w:ascii="仿宋" w:hAnsi="仿宋" w:eastAsia="仿宋" w:cs="仿宋"/>
          <w:color w:val="auto"/>
          <w:spacing w:val="-2"/>
          <w:sz w:val="24"/>
          <w:szCs w:val="24"/>
          <w:highlight w:val="none"/>
          <w:lang w:eastAsia="zh-CN"/>
        </w:rPr>
        <w:t>投标人名称</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
          <w:sz w:val="24"/>
          <w:szCs w:val="24"/>
          <w:highlight w:val="none"/>
          <w:lang w:eastAsia="zh-CN"/>
        </w:rPr>
        <w:t>（盖单位章</w:t>
      </w:r>
      <w:r>
        <w:rPr>
          <w:rFonts w:hint="eastAsia" w:ascii="仿宋" w:hAnsi="仿宋" w:eastAsia="仿宋" w:cs="仿宋"/>
          <w:color w:val="auto"/>
          <w:spacing w:val="-65"/>
          <w:sz w:val="24"/>
          <w:szCs w:val="24"/>
          <w:highlight w:val="none"/>
          <w:lang w:eastAsia="zh-CN"/>
        </w:rPr>
        <w:t>）</w:t>
      </w:r>
    </w:p>
    <w:p>
      <w:pPr>
        <w:spacing w:line="480" w:lineRule="auto"/>
        <w:ind w:firstLine="0" w:firstLineChars="0"/>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法定代表人</w:t>
      </w:r>
      <w:r>
        <w:rPr>
          <w:rFonts w:hint="eastAsia" w:ascii="仿宋" w:hAnsi="仿宋" w:eastAsia="仿宋" w:cs="仿宋"/>
          <w:color w:val="auto"/>
          <w:spacing w:val="-2"/>
          <w:w w:val="100"/>
          <w:sz w:val="24"/>
          <w:szCs w:val="24"/>
          <w:highlight w:val="none"/>
          <w:lang w:eastAsia="zh-CN"/>
        </w:rPr>
        <w:t>：</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
          <w:w w:val="100"/>
          <w:sz w:val="24"/>
          <w:szCs w:val="24"/>
          <w:highlight w:val="none"/>
          <w:lang w:eastAsia="zh-CN"/>
        </w:rPr>
        <w:t>（</w:t>
      </w:r>
      <w:r>
        <w:rPr>
          <w:rFonts w:hint="eastAsia" w:ascii="仿宋" w:hAnsi="仿宋" w:eastAsia="仿宋" w:cs="仿宋"/>
          <w:color w:val="auto"/>
          <w:spacing w:val="-2"/>
          <w:sz w:val="24"/>
          <w:szCs w:val="24"/>
          <w:highlight w:val="none"/>
          <w:lang w:eastAsia="zh-CN"/>
        </w:rPr>
        <w:t>签字</w:t>
      </w:r>
      <w:r>
        <w:rPr>
          <w:rFonts w:hint="eastAsia" w:ascii="仿宋" w:hAnsi="仿宋" w:eastAsia="仿宋" w:cs="仿宋"/>
          <w:color w:val="auto"/>
          <w:spacing w:val="-2"/>
          <w:sz w:val="24"/>
          <w:szCs w:val="24"/>
          <w:highlight w:val="none"/>
          <w:lang w:val="en-US" w:eastAsia="zh-CN"/>
        </w:rPr>
        <w:t>或盖章</w:t>
      </w:r>
      <w:r>
        <w:rPr>
          <w:rFonts w:hint="eastAsia" w:ascii="仿宋" w:hAnsi="仿宋" w:eastAsia="仿宋" w:cs="仿宋"/>
          <w:color w:val="auto"/>
          <w:spacing w:val="-2"/>
          <w:sz w:val="24"/>
          <w:szCs w:val="24"/>
          <w:highlight w:val="none"/>
          <w:lang w:eastAsia="zh-CN"/>
        </w:rPr>
        <w:t>）</w:t>
      </w:r>
    </w:p>
    <w:p>
      <w:pPr>
        <w:spacing w:line="480" w:lineRule="auto"/>
        <w:ind w:firstLine="0" w:firstLineChars="0"/>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身份证号码：</w:t>
      </w:r>
      <w:r>
        <w:rPr>
          <w:rFonts w:hint="eastAsia" w:ascii="仿宋" w:hAnsi="仿宋" w:eastAsia="仿宋" w:cs="仿宋"/>
          <w:color w:val="auto"/>
          <w:spacing w:val="-2"/>
          <w:sz w:val="24"/>
          <w:szCs w:val="24"/>
          <w:highlight w:val="none"/>
          <w:u w:val="single"/>
          <w:lang w:val="en-US" w:eastAsia="zh-CN"/>
        </w:rPr>
        <w:t xml:space="preserve">                      </w:t>
      </w:r>
    </w:p>
    <w:p>
      <w:pPr>
        <w:spacing w:before="0" w:line="480" w:lineRule="auto"/>
        <w:ind w:firstLine="0" w:firstLineChars="0"/>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position w:val="0"/>
          <w:sz w:val="24"/>
          <w:szCs w:val="24"/>
          <w:highlight w:val="none"/>
          <w:lang w:eastAsia="zh-CN"/>
        </w:rPr>
        <w:t>委托代理人</w:t>
      </w:r>
      <w:r>
        <w:rPr>
          <w:rFonts w:hint="eastAsia" w:ascii="仿宋" w:hAnsi="仿宋" w:eastAsia="仿宋" w:cs="仿宋"/>
          <w:color w:val="auto"/>
          <w:spacing w:val="-2"/>
          <w:w w:val="100"/>
          <w:position w:val="0"/>
          <w:sz w:val="24"/>
          <w:szCs w:val="24"/>
          <w:highlight w:val="none"/>
          <w:lang w:eastAsia="zh-CN"/>
        </w:rPr>
        <w:t>：</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
          <w:w w:val="100"/>
          <w:sz w:val="24"/>
          <w:szCs w:val="24"/>
          <w:highlight w:val="none"/>
          <w:lang w:eastAsia="zh-CN"/>
        </w:rPr>
        <w:t>（</w:t>
      </w:r>
      <w:r>
        <w:rPr>
          <w:rFonts w:hint="eastAsia" w:ascii="仿宋" w:hAnsi="仿宋" w:eastAsia="仿宋" w:cs="仿宋"/>
          <w:color w:val="auto"/>
          <w:spacing w:val="-2"/>
          <w:sz w:val="24"/>
          <w:szCs w:val="24"/>
          <w:highlight w:val="none"/>
          <w:lang w:eastAsia="zh-CN"/>
        </w:rPr>
        <w:t>签字</w:t>
      </w:r>
      <w:r>
        <w:rPr>
          <w:rFonts w:hint="eastAsia" w:ascii="仿宋" w:hAnsi="仿宋" w:eastAsia="仿宋" w:cs="仿宋"/>
          <w:color w:val="auto"/>
          <w:spacing w:val="-2"/>
          <w:sz w:val="24"/>
          <w:szCs w:val="24"/>
          <w:highlight w:val="none"/>
          <w:lang w:val="en-US" w:eastAsia="zh-CN"/>
        </w:rPr>
        <w:t>或盖章</w:t>
      </w:r>
      <w:r>
        <w:rPr>
          <w:rFonts w:hint="eastAsia" w:ascii="仿宋" w:hAnsi="仿宋" w:eastAsia="仿宋" w:cs="仿宋"/>
          <w:color w:val="auto"/>
          <w:spacing w:val="-2"/>
          <w:sz w:val="24"/>
          <w:szCs w:val="24"/>
          <w:highlight w:val="none"/>
          <w:lang w:eastAsia="zh-CN"/>
        </w:rPr>
        <w:t>）</w:t>
      </w:r>
    </w:p>
    <w:p>
      <w:pPr>
        <w:spacing w:before="0" w:line="480" w:lineRule="auto"/>
        <w:ind w:firstLine="0" w:firstLineChars="0"/>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身份证号码：</w:t>
      </w:r>
      <w:r>
        <w:rPr>
          <w:rFonts w:hint="eastAsia" w:ascii="仿宋" w:hAnsi="仿宋" w:eastAsia="仿宋" w:cs="仿宋"/>
          <w:color w:val="auto"/>
          <w:spacing w:val="-2"/>
          <w:sz w:val="24"/>
          <w:szCs w:val="24"/>
          <w:highlight w:val="none"/>
          <w:u w:val="single"/>
          <w:lang w:val="en-US" w:eastAsia="zh-CN"/>
        </w:rPr>
        <w:t xml:space="preserve">                     </w:t>
      </w:r>
    </w:p>
    <w:p>
      <w:pPr>
        <w:spacing w:before="0" w:line="480" w:lineRule="auto"/>
        <w:ind w:firstLine="0" w:firstLineChars="0"/>
        <w:rPr>
          <w:rFonts w:hint="eastAsia" w:ascii="仿宋" w:hAnsi="仿宋" w:eastAsia="仿宋" w:cs="仿宋"/>
          <w:color w:val="auto"/>
          <w:spacing w:val="-2"/>
          <w:sz w:val="24"/>
          <w:szCs w:val="24"/>
          <w:highlight w:val="none"/>
          <w:lang w:eastAsia="zh-CN"/>
        </w:rPr>
      </w:pPr>
      <w:r>
        <w:rPr>
          <w:rFonts w:hint="eastAsia" w:ascii="仿宋" w:hAnsi="仿宋" w:eastAsia="仿宋" w:cs="仿宋"/>
          <w:color w:val="auto"/>
          <w:spacing w:val="-2"/>
          <w:sz w:val="24"/>
          <w:szCs w:val="24"/>
          <w:highlight w:val="none"/>
          <w:lang w:eastAsia="zh-CN"/>
        </w:rPr>
        <w:t>日</w:t>
      </w:r>
      <w:r>
        <w:rPr>
          <w:rFonts w:hint="eastAsia" w:ascii="仿宋" w:hAnsi="仿宋" w:eastAsia="仿宋" w:cs="仿宋"/>
          <w:color w:val="auto"/>
          <w:spacing w:val="-2"/>
          <w:sz w:val="24"/>
          <w:szCs w:val="24"/>
          <w:highlight w:val="none"/>
          <w:lang w:val="en-US" w:eastAsia="zh-CN"/>
        </w:rPr>
        <w:t xml:space="preserve"> </w:t>
      </w:r>
      <w:r>
        <w:rPr>
          <w:rFonts w:hint="eastAsia" w:ascii="仿宋" w:hAnsi="仿宋" w:eastAsia="仿宋" w:cs="仿宋"/>
          <w:color w:val="auto"/>
          <w:spacing w:val="-2"/>
          <w:sz w:val="24"/>
          <w:szCs w:val="24"/>
          <w:highlight w:val="none"/>
          <w:lang w:eastAsia="zh-CN"/>
        </w:rPr>
        <w:t>期：  年   月   日</w:t>
      </w:r>
    </w:p>
    <w:p>
      <w:pPr>
        <w:spacing w:line="480" w:lineRule="auto"/>
        <w:ind w:firstLine="0" w:firstLineChars="0"/>
        <w:rPr>
          <w:rFonts w:hint="eastAsia" w:ascii="仿宋" w:hAnsi="仿宋" w:eastAsia="仿宋" w:cs="仿宋"/>
          <w:color w:val="auto"/>
          <w:spacing w:val="-2"/>
          <w:sz w:val="24"/>
          <w:szCs w:val="24"/>
          <w:highlight w:val="none"/>
          <w:lang w:eastAsia="zh-CN"/>
        </w:rPr>
        <w:sectPr>
          <w:footerReference r:id="rId14" w:type="default"/>
          <w:pgSz w:w="11900" w:h="16840"/>
          <w:pgMar w:top="1417" w:right="1701" w:bottom="1417" w:left="1701" w:header="0" w:footer="567" w:gutter="0"/>
          <w:pgNumType w:fmt="decimal"/>
          <w:cols w:space="720" w:num="1"/>
        </w:sectPr>
      </w:pPr>
    </w:p>
    <w:p>
      <w:pPr>
        <w:spacing w:before="56" w:line="360" w:lineRule="auto"/>
        <w:ind w:firstLine="310" w:firstLineChars="112"/>
        <w:jc w:val="center"/>
        <w:outlineLvl w:val="1"/>
        <w:rPr>
          <w:rFonts w:hint="eastAsia" w:ascii="仿宋" w:hAnsi="仿宋" w:eastAsia="仿宋" w:cs="仿宋"/>
          <w:b/>
          <w:bCs/>
          <w:color w:val="auto"/>
          <w:sz w:val="28"/>
          <w:szCs w:val="28"/>
          <w:highlight w:val="none"/>
          <w:lang w:eastAsia="zh-CN"/>
        </w:rPr>
      </w:pPr>
      <w:bookmarkStart w:id="655" w:name="bookmark111"/>
      <w:bookmarkEnd w:id="655"/>
      <w:bookmarkStart w:id="656" w:name="_Toc2236"/>
      <w:bookmarkStart w:id="657" w:name="_Toc26029"/>
      <w:bookmarkStart w:id="658" w:name="_Toc31460"/>
      <w:bookmarkStart w:id="659" w:name="_Toc10103"/>
      <w:bookmarkStart w:id="660" w:name="_Toc26709"/>
      <w:bookmarkStart w:id="661" w:name="_Toc956"/>
      <w:bookmarkStart w:id="662" w:name="_Toc30934"/>
      <w:r>
        <w:rPr>
          <w:rFonts w:hint="eastAsia" w:ascii="仿宋" w:hAnsi="仿宋" w:eastAsia="仿宋" w:cs="仿宋"/>
          <w:b/>
          <w:bCs/>
          <w:color w:val="auto"/>
          <w:spacing w:val="-2"/>
          <w:sz w:val="28"/>
          <w:szCs w:val="28"/>
          <w:highlight w:val="none"/>
          <w:lang w:eastAsia="zh-CN"/>
        </w:rPr>
        <w:t>五、联合体协议书</w:t>
      </w:r>
      <w:bookmarkEnd w:id="656"/>
      <w:bookmarkEnd w:id="657"/>
      <w:bookmarkEnd w:id="658"/>
      <w:bookmarkEnd w:id="659"/>
      <w:bookmarkEnd w:id="660"/>
      <w:bookmarkEnd w:id="661"/>
      <w:bookmarkEnd w:id="662"/>
    </w:p>
    <w:p>
      <w:pPr>
        <w:pStyle w:val="2"/>
        <w:spacing w:line="360" w:lineRule="auto"/>
        <w:ind w:firstLine="0" w:firstLineChars="0"/>
        <w:rPr>
          <w:rFonts w:hint="eastAsia" w:ascii="仿宋" w:hAnsi="仿宋" w:eastAsia="仿宋" w:cs="仿宋"/>
          <w:color w:val="auto"/>
          <w:highlight w:val="none"/>
          <w:lang w:eastAsia="zh-CN"/>
        </w:rPr>
      </w:pPr>
    </w:p>
    <w:p>
      <w:pPr>
        <w:spacing w:before="78" w:line="360" w:lineRule="auto"/>
        <w:ind w:right="-122" w:rightChars="-58" w:firstLine="415"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1"/>
          <w:sz w:val="24"/>
          <w:szCs w:val="24"/>
          <w:highlight w:val="none"/>
          <w:lang w:eastAsia="zh-CN"/>
        </w:rPr>
        <w:t>（所有成员单位名称）</w:t>
      </w:r>
      <w:r>
        <w:rPr>
          <w:rFonts w:hint="eastAsia" w:ascii="仿宋" w:hAnsi="仿宋" w:eastAsia="仿宋" w:cs="仿宋"/>
          <w:color w:val="auto"/>
          <w:spacing w:val="-69"/>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自愿组成</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1"/>
          <w:sz w:val="24"/>
          <w:szCs w:val="24"/>
          <w:highlight w:val="none"/>
          <w:lang w:eastAsia="zh-CN"/>
        </w:rPr>
        <w:t>（联合体名</w:t>
      </w:r>
      <w:r>
        <w:rPr>
          <w:rFonts w:hint="eastAsia" w:ascii="仿宋" w:hAnsi="仿宋" w:eastAsia="仿宋" w:cs="仿宋"/>
          <w:color w:val="auto"/>
          <w:spacing w:val="-2"/>
          <w:sz w:val="24"/>
          <w:szCs w:val="24"/>
          <w:highlight w:val="none"/>
          <w:lang w:eastAsia="zh-CN"/>
        </w:rPr>
        <w:t>称）联合体，共同参加</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
          <w:sz w:val="24"/>
          <w:szCs w:val="24"/>
          <w:highlight w:val="none"/>
          <w:lang w:eastAsia="zh-CN"/>
        </w:rPr>
        <w:t>（</w:t>
      </w:r>
      <w:r>
        <w:rPr>
          <w:rFonts w:hint="eastAsia" w:ascii="仿宋" w:hAnsi="仿宋" w:eastAsia="仿宋" w:cs="仿宋"/>
          <w:color w:val="auto"/>
          <w:spacing w:val="-2"/>
          <w:sz w:val="24"/>
          <w:szCs w:val="24"/>
          <w:highlight w:val="none"/>
          <w:lang w:val="en-US" w:eastAsia="zh-CN"/>
        </w:rPr>
        <w:t>项目名称</w:t>
      </w:r>
      <w:r>
        <w:rPr>
          <w:rFonts w:hint="eastAsia" w:ascii="仿宋" w:hAnsi="仿宋" w:eastAsia="仿宋" w:cs="仿宋"/>
          <w:color w:val="auto"/>
          <w:spacing w:val="-2"/>
          <w:sz w:val="24"/>
          <w:szCs w:val="24"/>
          <w:highlight w:val="none"/>
          <w:lang w:eastAsia="zh-CN"/>
        </w:rPr>
        <w:t>）投标。现就联合</w:t>
      </w:r>
      <w:r>
        <w:rPr>
          <w:rFonts w:hint="eastAsia" w:ascii="仿宋" w:hAnsi="仿宋" w:eastAsia="仿宋" w:cs="仿宋"/>
          <w:color w:val="auto"/>
          <w:spacing w:val="-1"/>
          <w:sz w:val="24"/>
          <w:szCs w:val="24"/>
          <w:highlight w:val="none"/>
          <w:lang w:eastAsia="zh-CN"/>
        </w:rPr>
        <w:t>体投标事宜订立如下协议。</w:t>
      </w:r>
    </w:p>
    <w:p>
      <w:pPr>
        <w:spacing w:before="71" w:line="360" w:lineRule="auto"/>
        <w:ind w:right="-122" w:rightChars="-58" w:firstLine="425"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1</w:t>
      </w:r>
      <w:r>
        <w:rPr>
          <w:rFonts w:hint="eastAsia" w:ascii="仿宋" w:hAnsi="仿宋" w:eastAsia="仿宋" w:cs="仿宋"/>
          <w:color w:val="auto"/>
          <w:spacing w:val="-25"/>
          <w:sz w:val="24"/>
          <w:szCs w:val="24"/>
          <w:highlight w:val="none"/>
          <w:lang w:eastAsia="zh-CN"/>
        </w:rPr>
        <w:t>．</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5"/>
          <w:sz w:val="24"/>
          <w:szCs w:val="24"/>
          <w:highlight w:val="none"/>
          <w:lang w:eastAsia="zh-CN"/>
        </w:rPr>
        <w:t>（</w:t>
      </w:r>
      <w:r>
        <w:rPr>
          <w:rFonts w:hint="eastAsia" w:ascii="仿宋" w:hAnsi="仿宋" w:eastAsia="仿宋" w:cs="仿宋"/>
          <w:color w:val="auto"/>
          <w:spacing w:val="1"/>
          <w:sz w:val="24"/>
          <w:szCs w:val="24"/>
          <w:highlight w:val="none"/>
          <w:lang w:eastAsia="zh-CN"/>
        </w:rPr>
        <w:t>某成员单位名称）为</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1"/>
          <w:sz w:val="24"/>
          <w:szCs w:val="24"/>
          <w:highlight w:val="none"/>
          <w:lang w:eastAsia="zh-CN"/>
        </w:rPr>
        <w:t>（联合体名称）牵头方。</w:t>
      </w:r>
    </w:p>
    <w:p>
      <w:pPr>
        <w:spacing w:before="71" w:line="360" w:lineRule="auto"/>
        <w:ind w:right="-122" w:rightChars="-58" w:firstLine="411"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2．联合体牵头方合法代表联合体各成员负责本项目公开招标申请</w:t>
      </w:r>
      <w:r>
        <w:rPr>
          <w:rFonts w:hint="eastAsia" w:ascii="仿宋" w:hAnsi="仿宋" w:eastAsia="仿宋" w:cs="仿宋"/>
          <w:color w:val="auto"/>
          <w:spacing w:val="-4"/>
          <w:sz w:val="24"/>
          <w:szCs w:val="24"/>
          <w:highlight w:val="none"/>
          <w:lang w:eastAsia="zh-CN"/>
        </w:rPr>
        <w:t>文件、投标文件编</w:t>
      </w:r>
      <w:r>
        <w:rPr>
          <w:rFonts w:hint="eastAsia" w:ascii="仿宋" w:hAnsi="仿宋" w:eastAsia="仿宋" w:cs="仿宋"/>
          <w:color w:val="auto"/>
          <w:sz w:val="24"/>
          <w:szCs w:val="24"/>
          <w:highlight w:val="none"/>
          <w:lang w:eastAsia="zh-CN"/>
        </w:rPr>
        <w:t>制和合同谈判活动，代表联合体提交和接收相关的资料、信息及指示，处理与之有关的一切事务，并负责合同招标及实施阶段的主办、组织和协调工作，牵头方以联合体的名义签署的上述各项文件和其以联合体名义所作出的一切行为</w:t>
      </w:r>
      <w:r>
        <w:rPr>
          <w:rFonts w:hint="eastAsia" w:ascii="仿宋" w:hAnsi="仿宋" w:eastAsia="仿宋" w:cs="仿宋"/>
          <w:color w:val="auto"/>
          <w:spacing w:val="-1"/>
          <w:sz w:val="24"/>
          <w:szCs w:val="24"/>
          <w:highlight w:val="none"/>
          <w:lang w:eastAsia="zh-CN"/>
        </w:rPr>
        <w:t>效力及于全体联合体成员。</w:t>
      </w:r>
    </w:p>
    <w:p>
      <w:pPr>
        <w:spacing w:before="72" w:line="360" w:lineRule="auto"/>
        <w:ind w:right="-122" w:rightChars="-58" w:firstLine="411"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3．联合体各方承诺将严格按照招标文件、</w:t>
      </w:r>
      <w:r>
        <w:rPr>
          <w:rFonts w:hint="eastAsia" w:ascii="仿宋" w:hAnsi="仿宋" w:eastAsia="仿宋" w:cs="仿宋"/>
          <w:color w:val="auto"/>
          <w:spacing w:val="-3"/>
          <w:sz w:val="24"/>
          <w:szCs w:val="24"/>
          <w:highlight w:val="none"/>
          <w:lang w:val="en-US" w:eastAsia="zh-CN"/>
        </w:rPr>
        <w:t>合作协议</w:t>
      </w:r>
      <w:r>
        <w:rPr>
          <w:rFonts w:hint="eastAsia" w:ascii="仿宋" w:hAnsi="仿宋" w:eastAsia="仿宋" w:cs="仿宋"/>
          <w:color w:val="auto"/>
          <w:spacing w:val="-3"/>
          <w:sz w:val="24"/>
          <w:szCs w:val="24"/>
          <w:highlight w:val="none"/>
          <w:lang w:eastAsia="zh-CN"/>
        </w:rPr>
        <w:t>（含各类</w:t>
      </w:r>
      <w:r>
        <w:rPr>
          <w:rFonts w:hint="eastAsia" w:ascii="仿宋" w:hAnsi="仿宋" w:eastAsia="仿宋" w:cs="仿宋"/>
          <w:color w:val="auto"/>
          <w:spacing w:val="-4"/>
          <w:sz w:val="24"/>
          <w:szCs w:val="24"/>
          <w:highlight w:val="none"/>
          <w:lang w:eastAsia="zh-CN"/>
        </w:rPr>
        <w:t>附件）等的约定承担相</w:t>
      </w:r>
      <w:r>
        <w:rPr>
          <w:rFonts w:hint="eastAsia" w:ascii="仿宋" w:hAnsi="仿宋" w:eastAsia="仿宋" w:cs="仿宋"/>
          <w:color w:val="auto"/>
          <w:spacing w:val="-1"/>
          <w:sz w:val="24"/>
          <w:szCs w:val="24"/>
          <w:highlight w:val="none"/>
          <w:lang w:eastAsia="zh-CN"/>
        </w:rPr>
        <w:t>应的责任及义务，并对外承担连带责任。</w:t>
      </w:r>
    </w:p>
    <w:p>
      <w:pPr>
        <w:spacing w:before="73" w:line="360" w:lineRule="auto"/>
        <w:ind w:right="-122" w:rightChars="-58" w:firstLine="422"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4．联合体各成员在联合体内部的职责分工［包括各自的</w:t>
      </w:r>
      <w:r>
        <w:rPr>
          <w:rFonts w:hint="eastAsia" w:ascii="仿宋" w:hAnsi="仿宋" w:eastAsia="仿宋" w:cs="仿宋"/>
          <w:color w:val="auto"/>
          <w:spacing w:val="-1"/>
          <w:sz w:val="24"/>
          <w:szCs w:val="24"/>
          <w:highlight w:val="none"/>
          <w:lang w:eastAsia="zh-CN"/>
        </w:rPr>
        <w:t>主要工作内容］如下：</w:t>
      </w:r>
    </w:p>
    <w:p>
      <w:pPr>
        <w:spacing w:before="72" w:line="360" w:lineRule="auto"/>
        <w:ind w:right="-122" w:rightChars="-58" w:firstLine="418" w:firstLineChars="176"/>
        <w:rPr>
          <w:rFonts w:hint="eastAsia" w:ascii="仿宋" w:hAnsi="仿宋" w:eastAsia="仿宋" w:cs="仿宋"/>
          <w:color w:val="auto"/>
          <w:spacing w:val="4"/>
          <w:sz w:val="24"/>
          <w:szCs w:val="24"/>
          <w:highlight w:val="none"/>
          <w:u w:val="single"/>
          <w:lang w:eastAsia="zh-CN"/>
        </w:rPr>
      </w:pPr>
      <w:r>
        <w:rPr>
          <w:rFonts w:hint="eastAsia" w:ascii="仿宋" w:hAnsi="仿宋" w:eastAsia="仿宋" w:cs="仿宋"/>
          <w:color w:val="auto"/>
          <w:spacing w:val="-1"/>
          <w:sz w:val="24"/>
          <w:szCs w:val="24"/>
          <w:highlight w:val="none"/>
          <w:lang w:eastAsia="zh-CN"/>
        </w:rPr>
        <w:t>联合体牵头方总体负责</w:t>
      </w:r>
      <w:r>
        <w:rPr>
          <w:rFonts w:hint="eastAsia" w:ascii="仿宋" w:hAnsi="仿宋" w:eastAsia="仿宋" w:cs="仿宋"/>
          <w:color w:val="auto"/>
          <w:spacing w:val="5"/>
          <w:sz w:val="24"/>
          <w:szCs w:val="24"/>
          <w:highlight w:val="none"/>
          <w:u w:val="single"/>
          <w:lang w:eastAsia="zh-CN"/>
        </w:rPr>
        <w:t xml:space="preserve">             </w:t>
      </w:r>
      <w:r>
        <w:rPr>
          <w:rFonts w:hint="eastAsia" w:ascii="仿宋" w:hAnsi="仿宋" w:eastAsia="仿宋" w:cs="仿宋"/>
          <w:color w:val="auto"/>
          <w:spacing w:val="-1"/>
          <w:sz w:val="24"/>
          <w:szCs w:val="24"/>
          <w:highlight w:val="none"/>
          <w:lang w:eastAsia="zh-CN"/>
        </w:rPr>
        <w:t>；</w:t>
      </w:r>
      <w:r>
        <w:rPr>
          <w:rFonts w:hint="eastAsia" w:ascii="仿宋" w:hAnsi="仿宋" w:eastAsia="仿宋" w:cs="仿宋"/>
          <w:color w:val="auto"/>
          <w:spacing w:val="-2"/>
          <w:sz w:val="24"/>
          <w:szCs w:val="24"/>
          <w:highlight w:val="none"/>
          <w:lang w:eastAsia="zh-CN"/>
        </w:rPr>
        <w:t>联合体其他成员负责</w:t>
      </w:r>
      <w:r>
        <w:rPr>
          <w:rFonts w:hint="eastAsia" w:ascii="仿宋" w:hAnsi="仿宋" w:eastAsia="仿宋" w:cs="仿宋"/>
          <w:color w:val="auto"/>
          <w:spacing w:val="4"/>
          <w:sz w:val="24"/>
          <w:szCs w:val="24"/>
          <w:highlight w:val="none"/>
          <w:u w:val="single"/>
          <w:lang w:eastAsia="zh-CN"/>
        </w:rPr>
        <w:t xml:space="preserve">                </w:t>
      </w:r>
    </w:p>
    <w:p>
      <w:pPr>
        <w:spacing w:before="73" w:line="360" w:lineRule="auto"/>
        <w:ind w:right="-122" w:rightChars="-58" w:firstLine="420" w:firstLineChars="175"/>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我方联合体各成员未来出资</w:t>
      </w:r>
      <w:r>
        <w:rPr>
          <w:rFonts w:hint="eastAsia" w:ascii="仿宋" w:hAnsi="仿宋" w:eastAsia="仿宋" w:cs="仿宋"/>
          <w:color w:val="auto"/>
          <w:sz w:val="24"/>
          <w:szCs w:val="24"/>
          <w:highlight w:val="none"/>
          <w:lang w:val="en-US" w:eastAsia="zh-CN"/>
        </w:rPr>
        <w:t>比例</w:t>
      </w:r>
      <w:r>
        <w:rPr>
          <w:rFonts w:hint="eastAsia" w:ascii="仿宋" w:hAnsi="仿宋" w:eastAsia="仿宋" w:cs="仿宋"/>
          <w:color w:val="auto"/>
          <w:sz w:val="24"/>
          <w:szCs w:val="24"/>
          <w:highlight w:val="none"/>
          <w:lang w:eastAsia="zh-CN"/>
        </w:rPr>
        <w:t>：牵头方为</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z w:val="24"/>
          <w:szCs w:val="24"/>
          <w:highlight w:val="none"/>
          <w:lang w:eastAsia="zh-CN"/>
        </w:rPr>
        <w:t>%，联合体其他成员各自的出资</w:t>
      </w:r>
      <w:r>
        <w:rPr>
          <w:rFonts w:hint="eastAsia" w:ascii="仿宋" w:hAnsi="仿宋" w:eastAsia="仿宋" w:cs="仿宋"/>
          <w:color w:val="auto"/>
          <w:sz w:val="24"/>
          <w:szCs w:val="24"/>
          <w:highlight w:val="none"/>
          <w:lang w:val="en-US" w:eastAsia="zh-CN"/>
        </w:rPr>
        <w:t>比例</w:t>
      </w:r>
      <w:r>
        <w:rPr>
          <w:rFonts w:hint="eastAsia" w:ascii="仿宋" w:hAnsi="仿宋" w:eastAsia="仿宋" w:cs="仿宋"/>
          <w:color w:val="auto"/>
          <w:sz w:val="24"/>
          <w:szCs w:val="24"/>
          <w:highlight w:val="none"/>
          <w:lang w:eastAsia="zh-CN"/>
        </w:rPr>
        <w:t>分别为</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z w:val="24"/>
          <w:szCs w:val="24"/>
          <w:highlight w:val="none"/>
          <w:lang w:eastAsia="zh-CN"/>
        </w:rPr>
        <w:t>%。</w:t>
      </w:r>
    </w:p>
    <w:p>
      <w:pPr>
        <w:spacing w:before="73" w:line="360" w:lineRule="auto"/>
        <w:ind w:right="-122" w:rightChars="-58" w:firstLine="46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5"/>
          <w:sz w:val="24"/>
          <w:szCs w:val="24"/>
          <w:highlight w:val="none"/>
          <w:lang w:eastAsia="zh-CN"/>
        </w:rPr>
        <w:t>6</w:t>
      </w:r>
      <w:r>
        <w:rPr>
          <w:rFonts w:hint="eastAsia" w:ascii="仿宋" w:hAnsi="仿宋" w:eastAsia="仿宋" w:cs="仿宋"/>
          <w:color w:val="auto"/>
          <w:spacing w:val="-5"/>
          <w:sz w:val="24"/>
          <w:szCs w:val="24"/>
          <w:highlight w:val="none"/>
          <w:lang w:val="en-US" w:eastAsia="zh-CN"/>
        </w:rPr>
        <w:t>.</w:t>
      </w:r>
      <w:r>
        <w:rPr>
          <w:rFonts w:hint="eastAsia" w:ascii="仿宋" w:hAnsi="仿宋" w:eastAsia="仿宋" w:cs="仿宋"/>
          <w:color w:val="auto"/>
          <w:spacing w:val="-5"/>
          <w:sz w:val="24"/>
          <w:szCs w:val="24"/>
          <w:highlight w:val="none"/>
          <w:lang w:eastAsia="zh-CN"/>
        </w:rPr>
        <w:t>若联合体各方因自身原因在项目进行过程中产生的纠纷，由联合体各方协商解决，</w:t>
      </w:r>
      <w:r>
        <w:rPr>
          <w:rFonts w:hint="eastAsia" w:ascii="仿宋" w:hAnsi="仿宋" w:eastAsia="仿宋" w:cs="仿宋"/>
          <w:color w:val="auto"/>
          <w:sz w:val="24"/>
          <w:szCs w:val="24"/>
          <w:highlight w:val="none"/>
          <w:lang w:eastAsia="zh-CN"/>
        </w:rPr>
        <w:t>招标人对此不承担任何责任。由此造成招标人损失的，联合体各方应承担相应的连带责</w:t>
      </w:r>
      <w:r>
        <w:rPr>
          <w:rFonts w:hint="eastAsia" w:ascii="仿宋" w:hAnsi="仿宋" w:eastAsia="仿宋" w:cs="仿宋"/>
          <w:color w:val="auto"/>
          <w:spacing w:val="-5"/>
          <w:sz w:val="24"/>
          <w:szCs w:val="24"/>
          <w:highlight w:val="none"/>
          <w:lang w:eastAsia="zh-CN"/>
        </w:rPr>
        <w:t>任。</w:t>
      </w:r>
    </w:p>
    <w:p>
      <w:pPr>
        <w:spacing w:before="73" w:line="360" w:lineRule="auto"/>
        <w:ind w:right="-122" w:rightChars="-58" w:firstLine="411"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7</w:t>
      </w:r>
      <w:r>
        <w:rPr>
          <w:rFonts w:hint="eastAsia" w:ascii="仿宋" w:hAnsi="仿宋" w:eastAsia="仿宋" w:cs="仿宋"/>
          <w:color w:val="auto"/>
          <w:spacing w:val="-3"/>
          <w:sz w:val="24"/>
          <w:szCs w:val="24"/>
          <w:highlight w:val="none"/>
          <w:lang w:val="en-US" w:eastAsia="zh-CN"/>
        </w:rPr>
        <w:t>.</w:t>
      </w:r>
      <w:r>
        <w:rPr>
          <w:rFonts w:hint="eastAsia" w:ascii="仿宋" w:hAnsi="仿宋" w:eastAsia="仿宋" w:cs="仿宋"/>
          <w:color w:val="auto"/>
          <w:spacing w:val="-3"/>
          <w:sz w:val="24"/>
          <w:szCs w:val="24"/>
          <w:highlight w:val="none"/>
          <w:lang w:eastAsia="zh-CN"/>
        </w:rPr>
        <w:t>联合体各方在本项目投标、建设等所有阶段皆为一致行</w:t>
      </w:r>
      <w:r>
        <w:rPr>
          <w:rFonts w:hint="eastAsia" w:ascii="仿宋" w:hAnsi="仿宋" w:eastAsia="仿宋" w:cs="仿宋"/>
          <w:color w:val="auto"/>
          <w:spacing w:val="-4"/>
          <w:sz w:val="24"/>
          <w:szCs w:val="24"/>
          <w:highlight w:val="none"/>
          <w:lang w:eastAsia="zh-CN"/>
        </w:rPr>
        <w:t>动人。联合体中的一方退</w:t>
      </w:r>
      <w:r>
        <w:rPr>
          <w:rFonts w:hint="eastAsia" w:ascii="仿宋" w:hAnsi="仿宋" w:eastAsia="仿宋" w:cs="仿宋"/>
          <w:color w:val="auto"/>
          <w:spacing w:val="-3"/>
          <w:sz w:val="24"/>
          <w:szCs w:val="24"/>
          <w:highlight w:val="none"/>
          <w:lang w:eastAsia="zh-CN"/>
        </w:rPr>
        <w:t>出后，剩余成员仍为一致行动人。</w:t>
      </w:r>
    </w:p>
    <w:p>
      <w:pPr>
        <w:spacing w:before="72" w:line="360" w:lineRule="auto"/>
        <w:ind w:right="-122" w:rightChars="-58" w:firstLine="418"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8</w:t>
      </w:r>
      <w:r>
        <w:rPr>
          <w:rFonts w:hint="eastAsia" w:ascii="仿宋" w:hAnsi="仿宋" w:eastAsia="仿宋" w:cs="仿宋"/>
          <w:color w:val="auto"/>
          <w:spacing w:val="-1"/>
          <w:sz w:val="24"/>
          <w:szCs w:val="24"/>
          <w:highlight w:val="none"/>
          <w:lang w:val="en-US" w:eastAsia="zh-CN"/>
        </w:rPr>
        <w:t>.</w:t>
      </w:r>
      <w:r>
        <w:rPr>
          <w:rFonts w:hint="eastAsia" w:ascii="仿宋" w:hAnsi="仿宋" w:eastAsia="仿宋" w:cs="仿宋"/>
          <w:color w:val="auto"/>
          <w:spacing w:val="-1"/>
          <w:sz w:val="24"/>
          <w:szCs w:val="24"/>
          <w:highlight w:val="none"/>
          <w:lang w:eastAsia="zh-CN"/>
        </w:rPr>
        <w:t>本协议书自签署之日起生效。</w:t>
      </w:r>
    </w:p>
    <w:p>
      <w:pPr>
        <w:spacing w:before="73" w:line="360" w:lineRule="auto"/>
        <w:ind w:right="-122" w:rightChars="-58" w:firstLine="418"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9</w:t>
      </w:r>
      <w:r>
        <w:rPr>
          <w:rFonts w:hint="eastAsia" w:ascii="仿宋" w:hAnsi="仿宋" w:eastAsia="仿宋" w:cs="仿宋"/>
          <w:color w:val="auto"/>
          <w:spacing w:val="-1"/>
          <w:sz w:val="24"/>
          <w:szCs w:val="24"/>
          <w:highlight w:val="none"/>
          <w:lang w:val="en-US" w:eastAsia="zh-CN"/>
        </w:rPr>
        <w:t>.</w:t>
      </w:r>
      <w:r>
        <w:rPr>
          <w:rFonts w:hint="eastAsia" w:ascii="仿宋" w:hAnsi="仿宋" w:eastAsia="仿宋" w:cs="仿宋"/>
          <w:color w:val="auto"/>
          <w:spacing w:val="-1"/>
          <w:sz w:val="24"/>
          <w:szCs w:val="24"/>
          <w:highlight w:val="none"/>
          <w:lang w:eastAsia="zh-CN"/>
        </w:rPr>
        <w:t>本协议书一式</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1"/>
          <w:sz w:val="24"/>
          <w:szCs w:val="24"/>
          <w:highlight w:val="none"/>
          <w:lang w:eastAsia="zh-CN"/>
        </w:rPr>
        <w:t>份，联合体各成员和招标人各执一份。</w:t>
      </w:r>
    </w:p>
    <w:p>
      <w:pPr>
        <w:spacing w:before="80" w:line="360" w:lineRule="auto"/>
        <w:ind w:right="-122" w:rightChars="-58" w:firstLine="404"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5"/>
          <w:sz w:val="24"/>
          <w:szCs w:val="24"/>
          <w:highlight w:val="none"/>
          <w:lang w:eastAsia="zh-CN"/>
        </w:rPr>
        <w:t>（如本协议书由授权代理人签字的，则同时应附上法定代表人签字的授权委托书</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牵头人名称：</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2"/>
          <w:sz w:val="24"/>
          <w:szCs w:val="24"/>
          <w:highlight w:val="none"/>
          <w:lang w:eastAsia="zh-CN"/>
        </w:rPr>
        <w:t>（盖单位章</w:t>
      </w:r>
      <w:r>
        <w:rPr>
          <w:rFonts w:hint="eastAsia" w:ascii="仿宋" w:hAnsi="仿宋" w:eastAsia="仿宋" w:cs="仿宋"/>
          <w:color w:val="auto"/>
          <w:spacing w:val="-65"/>
          <w:sz w:val="24"/>
          <w:szCs w:val="24"/>
          <w:highlight w:val="none"/>
          <w:lang w:eastAsia="zh-CN"/>
        </w:rPr>
        <w:t>）</w:t>
      </w:r>
    </w:p>
    <w:p>
      <w:pPr>
        <w:spacing w:before="80" w:line="360" w:lineRule="auto"/>
        <w:ind w:right="-122" w:rightChars="-58" w:firstLine="429" w:firstLineChars="176"/>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position w:val="9"/>
          <w:sz w:val="24"/>
          <w:szCs w:val="24"/>
          <w:highlight w:val="none"/>
          <w:lang w:eastAsia="zh-CN"/>
        </w:rPr>
        <w:t>法定代表人或授权代理人（签字</w:t>
      </w:r>
      <w:r>
        <w:rPr>
          <w:rFonts w:hint="eastAsia" w:ascii="仿宋" w:hAnsi="仿宋" w:eastAsia="仿宋" w:cs="仿宋"/>
          <w:color w:val="auto"/>
          <w:spacing w:val="2"/>
          <w:position w:val="9"/>
          <w:sz w:val="24"/>
          <w:szCs w:val="24"/>
          <w:highlight w:val="none"/>
          <w:lang w:val="en-US" w:eastAsia="zh-CN"/>
        </w:rPr>
        <w:t>或盖章</w:t>
      </w:r>
      <w:r>
        <w:rPr>
          <w:rFonts w:hint="eastAsia" w:ascii="仿宋" w:hAnsi="仿宋" w:eastAsia="仿宋" w:cs="仿宋"/>
          <w:color w:val="auto"/>
          <w:spacing w:val="2"/>
          <w:position w:val="9"/>
          <w:sz w:val="24"/>
          <w:szCs w:val="24"/>
          <w:highlight w:val="none"/>
          <w:lang w:eastAsia="zh-CN"/>
        </w:rPr>
        <w:t>）:</w:t>
      </w:r>
    </w:p>
    <w:p>
      <w:pPr>
        <w:spacing w:before="1"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联合体其他成员名称</w:t>
      </w:r>
      <w:r>
        <w:rPr>
          <w:rFonts w:hint="eastAsia" w:ascii="仿宋" w:hAnsi="仿宋" w:eastAsia="仿宋" w:cs="仿宋"/>
          <w:color w:val="auto"/>
          <w:spacing w:val="-2"/>
          <w:sz w:val="24"/>
          <w:szCs w:val="24"/>
          <w:highlight w:val="none"/>
          <w:u w:val="single"/>
          <w:lang w:val="en-US" w:eastAsia="zh-CN"/>
        </w:rPr>
        <w:t xml:space="preserve">       </w:t>
      </w:r>
      <w:r>
        <w:rPr>
          <w:rFonts w:hint="eastAsia" w:ascii="仿宋" w:hAnsi="仿宋" w:eastAsia="仿宋" w:cs="仿宋"/>
          <w:color w:val="auto"/>
          <w:spacing w:val="-1"/>
          <w:sz w:val="24"/>
          <w:szCs w:val="24"/>
          <w:highlight w:val="none"/>
          <w:lang w:eastAsia="zh-CN"/>
        </w:rPr>
        <w:t>（盖单位章</w:t>
      </w:r>
      <w:r>
        <w:rPr>
          <w:rFonts w:hint="eastAsia" w:ascii="仿宋" w:hAnsi="仿宋" w:eastAsia="仿宋" w:cs="仿宋"/>
          <w:color w:val="auto"/>
          <w:spacing w:val="-63"/>
          <w:w w:val="98"/>
          <w:sz w:val="24"/>
          <w:szCs w:val="24"/>
          <w:highlight w:val="none"/>
          <w:lang w:eastAsia="zh-CN"/>
        </w:rPr>
        <w:t>）</w:t>
      </w:r>
    </w:p>
    <w:p>
      <w:pPr>
        <w:spacing w:before="81" w:line="360" w:lineRule="auto"/>
        <w:ind w:firstLine="273"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法定代表人或授权代理人（签字</w:t>
      </w:r>
      <w:r>
        <w:rPr>
          <w:rFonts w:hint="eastAsia" w:ascii="仿宋" w:hAnsi="仿宋" w:eastAsia="仿宋" w:cs="仿宋"/>
          <w:color w:val="auto"/>
          <w:spacing w:val="2"/>
          <w:sz w:val="24"/>
          <w:szCs w:val="24"/>
          <w:highlight w:val="none"/>
          <w:lang w:val="en-US" w:eastAsia="zh-CN"/>
        </w:rPr>
        <w:t>或盖章</w:t>
      </w:r>
      <w:r>
        <w:rPr>
          <w:rFonts w:hint="eastAsia" w:ascii="仿宋" w:hAnsi="仿宋" w:eastAsia="仿宋" w:cs="仿宋"/>
          <w:color w:val="auto"/>
          <w:spacing w:val="2"/>
          <w:sz w:val="24"/>
          <w:szCs w:val="24"/>
          <w:highlight w:val="none"/>
          <w:lang w:eastAsia="zh-CN"/>
        </w:rPr>
        <w:t>）:</w:t>
      </w:r>
    </w:p>
    <w:p>
      <w:pPr>
        <w:spacing w:before="80" w:line="360" w:lineRule="auto"/>
        <w:ind w:firstLine="239"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3"/>
          <w:sz w:val="24"/>
          <w:szCs w:val="24"/>
          <w:highlight w:val="none"/>
          <w:lang w:eastAsia="zh-CN"/>
        </w:rPr>
        <w:t>日</w:t>
      </w:r>
      <w:r>
        <w:rPr>
          <w:rFonts w:hint="eastAsia" w:ascii="仿宋" w:hAnsi="仿宋" w:eastAsia="仿宋" w:cs="仿宋"/>
          <w:color w:val="auto"/>
          <w:spacing w:val="-13"/>
          <w:sz w:val="24"/>
          <w:szCs w:val="24"/>
          <w:highlight w:val="none"/>
          <w:lang w:val="en-US" w:eastAsia="zh-CN"/>
        </w:rPr>
        <w:t xml:space="preserve">  </w:t>
      </w:r>
      <w:r>
        <w:rPr>
          <w:rFonts w:hint="eastAsia" w:ascii="仿宋" w:hAnsi="仿宋" w:eastAsia="仿宋" w:cs="仿宋"/>
          <w:color w:val="auto"/>
          <w:spacing w:val="-13"/>
          <w:sz w:val="24"/>
          <w:szCs w:val="24"/>
          <w:highlight w:val="none"/>
          <w:lang w:eastAsia="zh-CN"/>
        </w:rPr>
        <w:t>期：</w:t>
      </w:r>
      <w:r>
        <w:rPr>
          <w:rFonts w:hint="eastAsia" w:ascii="仿宋" w:hAnsi="仿宋" w:eastAsia="仿宋" w:cs="仿宋"/>
          <w:color w:val="auto"/>
          <w:spacing w:val="2"/>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年</w:t>
      </w:r>
      <w:r>
        <w:rPr>
          <w:rFonts w:hint="eastAsia" w:ascii="仿宋" w:hAnsi="仿宋" w:eastAsia="仿宋" w:cs="仿宋"/>
          <w:color w:val="auto"/>
          <w:spacing w:val="3"/>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月</w:t>
      </w:r>
      <w:r>
        <w:rPr>
          <w:rFonts w:hint="eastAsia" w:ascii="仿宋" w:hAnsi="仿宋" w:eastAsia="仿宋" w:cs="仿宋"/>
          <w:color w:val="auto"/>
          <w:spacing w:val="13"/>
          <w:sz w:val="24"/>
          <w:szCs w:val="24"/>
          <w:highlight w:val="none"/>
          <w:lang w:eastAsia="zh-CN"/>
        </w:rPr>
        <w:t xml:space="preserve">   </w:t>
      </w:r>
      <w:r>
        <w:rPr>
          <w:rFonts w:hint="eastAsia" w:ascii="仿宋" w:hAnsi="仿宋" w:eastAsia="仿宋" w:cs="仿宋"/>
          <w:color w:val="auto"/>
          <w:spacing w:val="-13"/>
          <w:sz w:val="24"/>
          <w:szCs w:val="24"/>
          <w:highlight w:val="none"/>
          <w:lang w:eastAsia="zh-CN"/>
        </w:rPr>
        <w:t>日</w:t>
      </w:r>
    </w:p>
    <w:p>
      <w:pPr>
        <w:spacing w:before="79" w:line="360" w:lineRule="auto"/>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备注：</w:t>
      </w:r>
    </w:p>
    <w:p>
      <w:pPr>
        <w:spacing w:before="79" w:line="360" w:lineRule="auto"/>
        <w:ind w:firstLine="268"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1.本协议书由委托代理人签字的，应附</w:t>
      </w:r>
      <w:r>
        <w:rPr>
          <w:rFonts w:hint="eastAsia" w:ascii="仿宋" w:hAnsi="仿宋" w:eastAsia="仿宋" w:cs="仿宋"/>
          <w:color w:val="auto"/>
          <w:spacing w:val="-1"/>
          <w:sz w:val="24"/>
          <w:szCs w:val="24"/>
          <w:highlight w:val="none"/>
          <w:lang w:eastAsia="zh-CN"/>
        </w:rPr>
        <w:t>法定代表人签字（</w:t>
      </w:r>
      <w:r>
        <w:rPr>
          <w:rFonts w:hint="eastAsia" w:ascii="仿宋" w:hAnsi="仿宋" w:eastAsia="仿宋" w:cs="仿宋"/>
          <w:color w:val="auto"/>
          <w:spacing w:val="-1"/>
          <w:sz w:val="24"/>
          <w:szCs w:val="24"/>
          <w:highlight w:val="none"/>
          <w:lang w:val="en-US" w:eastAsia="zh-CN"/>
        </w:rPr>
        <w:t>或盖章</w:t>
      </w:r>
      <w:r>
        <w:rPr>
          <w:rFonts w:hint="eastAsia" w:ascii="仿宋" w:hAnsi="仿宋" w:eastAsia="仿宋" w:cs="仿宋"/>
          <w:color w:val="auto"/>
          <w:spacing w:val="-1"/>
          <w:sz w:val="24"/>
          <w:szCs w:val="24"/>
          <w:highlight w:val="none"/>
          <w:lang w:eastAsia="zh-CN"/>
        </w:rPr>
        <w:t>）的授权委托书。</w:t>
      </w:r>
    </w:p>
    <w:p>
      <w:pPr>
        <w:spacing w:before="83" w:line="360" w:lineRule="auto"/>
        <w:ind w:firstLine="262" w:firstLineChars="112"/>
        <w:rPr>
          <w:rFonts w:hint="eastAsia" w:ascii="仿宋" w:hAnsi="仿宋" w:eastAsia="仿宋" w:cs="仿宋"/>
          <w:color w:val="auto"/>
          <w:spacing w:val="-4"/>
          <w:sz w:val="24"/>
          <w:szCs w:val="24"/>
          <w:highlight w:val="none"/>
          <w:lang w:eastAsia="zh-CN"/>
        </w:rPr>
      </w:pPr>
      <w:r>
        <w:rPr>
          <w:rFonts w:hint="eastAsia" w:ascii="仿宋" w:hAnsi="仿宋" w:eastAsia="仿宋" w:cs="仿宋"/>
          <w:color w:val="auto"/>
          <w:spacing w:val="-3"/>
          <w:sz w:val="24"/>
          <w:szCs w:val="24"/>
          <w:highlight w:val="none"/>
          <w:lang w:eastAsia="zh-CN"/>
        </w:rPr>
        <w:t>2.未采用联合体投标的，投标文件中</w:t>
      </w:r>
      <w:r>
        <w:rPr>
          <w:rFonts w:hint="eastAsia" w:ascii="仿宋" w:hAnsi="仿宋" w:eastAsia="仿宋" w:cs="仿宋"/>
          <w:color w:val="auto"/>
          <w:spacing w:val="-3"/>
          <w:sz w:val="24"/>
          <w:szCs w:val="24"/>
          <w:highlight w:val="none"/>
          <w:lang w:val="en-US" w:eastAsia="zh-CN"/>
        </w:rPr>
        <w:t>无须提供</w:t>
      </w:r>
      <w:r>
        <w:rPr>
          <w:rFonts w:hint="eastAsia" w:ascii="仿宋" w:hAnsi="仿宋" w:eastAsia="仿宋" w:cs="仿宋"/>
          <w:color w:val="auto"/>
          <w:spacing w:val="-3"/>
          <w:sz w:val="24"/>
          <w:szCs w:val="24"/>
          <w:highlight w:val="none"/>
          <w:lang w:eastAsia="zh-CN"/>
        </w:rPr>
        <w:t>联合体协议书也无须</w:t>
      </w:r>
      <w:r>
        <w:rPr>
          <w:rFonts w:hint="eastAsia" w:ascii="仿宋" w:hAnsi="仿宋" w:eastAsia="仿宋" w:cs="仿宋"/>
          <w:color w:val="auto"/>
          <w:spacing w:val="-4"/>
          <w:sz w:val="24"/>
          <w:szCs w:val="24"/>
          <w:highlight w:val="none"/>
          <w:lang w:eastAsia="zh-CN"/>
        </w:rPr>
        <w:t>盖单位章和签字。</w:t>
      </w:r>
    </w:p>
    <w:p>
      <w:pPr>
        <w:ind w:firstLine="210" w:firstLineChars="100"/>
        <w:rPr>
          <w:rFonts w:hint="eastAsia" w:ascii="仿宋" w:hAnsi="仿宋" w:eastAsia="仿宋" w:cs="仿宋"/>
          <w:color w:val="auto"/>
          <w:highlight w:val="none"/>
          <w:lang w:eastAsia="zh-CN"/>
        </w:rPr>
        <w:sectPr>
          <w:footerReference r:id="rId15" w:type="default"/>
          <w:pgSz w:w="11900" w:h="16840"/>
          <w:pgMar w:top="1417" w:right="1579" w:bottom="1417" w:left="1701" w:header="0" w:footer="567" w:gutter="0"/>
          <w:pgNumType w:fmt="decimal"/>
          <w:cols w:space="720" w:num="1"/>
        </w:sectPr>
      </w:pPr>
    </w:p>
    <w:p>
      <w:pPr>
        <w:spacing w:before="61" w:line="360" w:lineRule="auto"/>
        <w:ind w:firstLine="310" w:firstLineChars="112"/>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pacing w:val="-2"/>
          <w:sz w:val="28"/>
          <w:szCs w:val="28"/>
          <w:highlight w:val="none"/>
          <w:lang w:eastAsia="zh-CN"/>
        </w:rPr>
        <w:t>六、投标保证金凭证</w:t>
      </w:r>
    </w:p>
    <w:p>
      <w:pPr>
        <w:spacing w:line="360" w:lineRule="auto"/>
        <w:ind w:firstLine="313" w:firstLineChars="112"/>
        <w:rPr>
          <w:rFonts w:hint="eastAsia" w:ascii="仿宋" w:hAnsi="仿宋" w:eastAsia="仿宋" w:cs="仿宋"/>
          <w:color w:val="auto"/>
          <w:sz w:val="28"/>
          <w:szCs w:val="28"/>
          <w:highlight w:val="none"/>
          <w:lang w:eastAsia="zh-CN"/>
        </w:rPr>
        <w:sectPr>
          <w:footerReference r:id="rId16" w:type="default"/>
          <w:pgSz w:w="11900" w:h="16840"/>
          <w:pgMar w:top="1417" w:right="1701" w:bottom="1417" w:left="1701" w:header="0" w:footer="567" w:gutter="0"/>
          <w:pgNumType w:fmt="decimal"/>
          <w:cols w:space="720" w:num="1"/>
        </w:sectPr>
      </w:pPr>
    </w:p>
    <w:p>
      <w:pPr>
        <w:spacing w:before="56" w:line="360" w:lineRule="auto"/>
        <w:ind w:firstLine="313" w:firstLineChars="112"/>
        <w:jc w:val="center"/>
        <w:outlineLvl w:val="1"/>
        <w:rPr>
          <w:rFonts w:hint="eastAsia" w:ascii="仿宋" w:hAnsi="仿宋" w:eastAsia="仿宋" w:cs="仿宋"/>
          <w:b/>
          <w:bCs/>
          <w:color w:val="auto"/>
          <w:sz w:val="28"/>
          <w:szCs w:val="28"/>
          <w:highlight w:val="none"/>
          <w:lang w:eastAsia="zh-CN"/>
        </w:rPr>
      </w:pPr>
      <w:bookmarkStart w:id="663" w:name="bookmark112"/>
      <w:bookmarkEnd w:id="663"/>
      <w:bookmarkStart w:id="664" w:name="_Toc26483"/>
      <w:bookmarkStart w:id="665" w:name="_Toc25890"/>
      <w:bookmarkStart w:id="666" w:name="_Toc21771"/>
      <w:bookmarkStart w:id="667" w:name="_Toc20237"/>
      <w:bookmarkStart w:id="668" w:name="_Toc4008"/>
      <w:bookmarkStart w:id="669" w:name="_Toc21288"/>
      <w:bookmarkStart w:id="670" w:name="_Toc15940"/>
      <w:r>
        <w:rPr>
          <w:rFonts w:hint="eastAsia" w:ascii="仿宋" w:hAnsi="仿宋" w:eastAsia="仿宋" w:cs="仿宋"/>
          <w:b/>
          <w:bCs/>
          <w:color w:val="auto"/>
          <w:spacing w:val="-1"/>
          <w:sz w:val="28"/>
          <w:szCs w:val="28"/>
          <w:highlight w:val="none"/>
          <w:lang w:eastAsia="zh-CN"/>
        </w:rPr>
        <w:t>七、投标人基本情况表</w:t>
      </w:r>
      <w:bookmarkEnd w:id="664"/>
      <w:bookmarkEnd w:id="665"/>
      <w:bookmarkEnd w:id="666"/>
      <w:bookmarkEnd w:id="667"/>
      <w:bookmarkEnd w:id="668"/>
      <w:bookmarkEnd w:id="669"/>
      <w:bookmarkEnd w:id="670"/>
    </w:p>
    <w:p>
      <w:pPr>
        <w:spacing w:before="66" w:line="360" w:lineRule="auto"/>
        <w:ind w:firstLine="235" w:firstLineChars="112"/>
        <w:rPr>
          <w:rFonts w:hint="eastAsia" w:ascii="仿宋" w:hAnsi="仿宋" w:eastAsia="仿宋" w:cs="仿宋"/>
          <w:color w:val="auto"/>
          <w:highlight w:val="none"/>
          <w:lang w:eastAsia="zh-CN"/>
        </w:rPr>
      </w:pPr>
    </w:p>
    <w:tbl>
      <w:tblPr>
        <w:tblStyle w:val="16"/>
        <w:tblW w:w="88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7"/>
        <w:gridCol w:w="1065"/>
        <w:gridCol w:w="1158"/>
        <w:gridCol w:w="713"/>
        <w:gridCol w:w="742"/>
        <w:gridCol w:w="180"/>
        <w:gridCol w:w="1367"/>
        <w:gridCol w:w="935"/>
        <w:gridCol w:w="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投标人名称</w:t>
            </w:r>
          </w:p>
        </w:tc>
        <w:tc>
          <w:tcPr>
            <w:tcW w:w="6985" w:type="dxa"/>
            <w:gridSpan w:val="8"/>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注册地址</w:t>
            </w:r>
          </w:p>
        </w:tc>
        <w:tc>
          <w:tcPr>
            <w:tcW w:w="3858" w:type="dxa"/>
            <w:gridSpan w:val="5"/>
          </w:tcPr>
          <w:p>
            <w:pPr>
              <w:spacing w:line="360" w:lineRule="auto"/>
              <w:ind w:firstLine="235" w:firstLineChars="112"/>
              <w:rPr>
                <w:rFonts w:hint="eastAsia" w:ascii="仿宋" w:hAnsi="仿宋" w:eastAsia="仿宋" w:cs="仿宋"/>
                <w:color w:val="auto"/>
                <w:highlight w:val="none"/>
              </w:rPr>
            </w:pPr>
          </w:p>
        </w:tc>
        <w:tc>
          <w:tcPr>
            <w:tcW w:w="136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邮政编码</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vMerge w:val="restart"/>
            <w:tcBorders>
              <w:bottom w:val="nil"/>
            </w:tcBorders>
          </w:tcPr>
          <w:p>
            <w:pPr>
              <w:spacing w:line="360" w:lineRule="auto"/>
              <w:ind w:firstLine="235" w:firstLineChars="112"/>
              <w:rPr>
                <w:rFonts w:hint="eastAsia" w:ascii="仿宋" w:hAnsi="仿宋" w:eastAsia="仿宋" w:cs="仿宋"/>
                <w:color w:val="auto"/>
                <w:highlight w:val="none"/>
              </w:rPr>
            </w:pPr>
          </w:p>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联系方式</w:t>
            </w:r>
          </w:p>
        </w:tc>
        <w:tc>
          <w:tcPr>
            <w:tcW w:w="1065"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联系人</w:t>
            </w:r>
          </w:p>
        </w:tc>
        <w:tc>
          <w:tcPr>
            <w:tcW w:w="2793" w:type="dxa"/>
            <w:gridSpan w:val="4"/>
          </w:tcPr>
          <w:p>
            <w:pPr>
              <w:spacing w:line="360" w:lineRule="auto"/>
              <w:ind w:firstLine="235" w:firstLineChars="112"/>
              <w:rPr>
                <w:rFonts w:hint="eastAsia" w:ascii="仿宋" w:hAnsi="仿宋" w:eastAsia="仿宋" w:cs="仿宋"/>
                <w:color w:val="auto"/>
                <w:highlight w:val="none"/>
              </w:rPr>
            </w:pPr>
          </w:p>
        </w:tc>
        <w:tc>
          <w:tcPr>
            <w:tcW w:w="136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vMerge w:val="continue"/>
            <w:tcBorders>
              <w:top w:val="nil"/>
            </w:tcBorders>
          </w:tcPr>
          <w:p>
            <w:pPr>
              <w:spacing w:line="360" w:lineRule="auto"/>
              <w:ind w:firstLine="235" w:firstLineChars="112"/>
              <w:rPr>
                <w:rFonts w:hint="eastAsia" w:ascii="仿宋" w:hAnsi="仿宋" w:eastAsia="仿宋" w:cs="仿宋"/>
                <w:color w:val="auto"/>
                <w:highlight w:val="none"/>
              </w:rPr>
            </w:pPr>
          </w:p>
        </w:tc>
        <w:tc>
          <w:tcPr>
            <w:tcW w:w="1065"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传真</w:t>
            </w:r>
          </w:p>
        </w:tc>
        <w:tc>
          <w:tcPr>
            <w:tcW w:w="2793" w:type="dxa"/>
            <w:gridSpan w:val="4"/>
          </w:tcPr>
          <w:p>
            <w:pPr>
              <w:spacing w:line="360" w:lineRule="auto"/>
              <w:ind w:firstLine="235" w:firstLineChars="112"/>
              <w:rPr>
                <w:rFonts w:hint="eastAsia" w:ascii="仿宋" w:hAnsi="仿宋" w:eastAsia="仿宋" w:cs="仿宋"/>
                <w:color w:val="auto"/>
                <w:highlight w:val="none"/>
              </w:rPr>
            </w:pPr>
          </w:p>
        </w:tc>
        <w:tc>
          <w:tcPr>
            <w:tcW w:w="136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网址</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组织结构</w:t>
            </w:r>
          </w:p>
        </w:tc>
        <w:tc>
          <w:tcPr>
            <w:tcW w:w="6985" w:type="dxa"/>
            <w:gridSpan w:val="8"/>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1065"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158" w:type="dxa"/>
          </w:tcPr>
          <w:p>
            <w:pPr>
              <w:spacing w:line="360" w:lineRule="auto"/>
              <w:ind w:firstLine="235" w:firstLineChars="112"/>
              <w:rPr>
                <w:rFonts w:hint="eastAsia" w:ascii="仿宋" w:hAnsi="仿宋" w:eastAsia="仿宋" w:cs="仿宋"/>
                <w:color w:val="auto"/>
                <w:highlight w:val="none"/>
              </w:rPr>
            </w:pPr>
          </w:p>
        </w:tc>
        <w:tc>
          <w:tcPr>
            <w:tcW w:w="1455" w:type="dxa"/>
            <w:gridSpan w:val="2"/>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7" w:type="dxa"/>
            <w:gridSpan w:val="2"/>
          </w:tcPr>
          <w:p>
            <w:pPr>
              <w:spacing w:line="360" w:lineRule="auto"/>
              <w:ind w:firstLine="235" w:firstLineChars="112"/>
              <w:rPr>
                <w:rFonts w:hint="eastAsia" w:ascii="仿宋" w:hAnsi="仿宋" w:eastAsia="仿宋" w:cs="仿宋"/>
                <w:color w:val="auto"/>
                <w:highlight w:val="none"/>
              </w:rPr>
            </w:pPr>
          </w:p>
        </w:tc>
        <w:tc>
          <w:tcPr>
            <w:tcW w:w="935"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825" w:type="dxa"/>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技术负责人</w:t>
            </w:r>
          </w:p>
        </w:tc>
        <w:tc>
          <w:tcPr>
            <w:tcW w:w="1065"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158" w:type="dxa"/>
          </w:tcPr>
          <w:p>
            <w:pPr>
              <w:spacing w:line="360" w:lineRule="auto"/>
              <w:ind w:firstLine="235" w:firstLineChars="112"/>
              <w:rPr>
                <w:rFonts w:hint="eastAsia" w:ascii="仿宋" w:hAnsi="仿宋" w:eastAsia="仿宋" w:cs="仿宋"/>
                <w:color w:val="auto"/>
                <w:highlight w:val="none"/>
              </w:rPr>
            </w:pPr>
          </w:p>
        </w:tc>
        <w:tc>
          <w:tcPr>
            <w:tcW w:w="1455" w:type="dxa"/>
            <w:gridSpan w:val="2"/>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7" w:type="dxa"/>
            <w:gridSpan w:val="2"/>
          </w:tcPr>
          <w:p>
            <w:pPr>
              <w:spacing w:line="360" w:lineRule="auto"/>
              <w:ind w:firstLine="235" w:firstLineChars="112"/>
              <w:rPr>
                <w:rFonts w:hint="eastAsia" w:ascii="仿宋" w:hAnsi="仿宋" w:eastAsia="仿宋" w:cs="仿宋"/>
                <w:color w:val="auto"/>
                <w:highlight w:val="none"/>
              </w:rPr>
            </w:pPr>
          </w:p>
        </w:tc>
        <w:tc>
          <w:tcPr>
            <w:tcW w:w="935"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825" w:type="dxa"/>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成立时间</w:t>
            </w:r>
          </w:p>
        </w:tc>
        <w:tc>
          <w:tcPr>
            <w:tcW w:w="2223" w:type="dxa"/>
            <w:gridSpan w:val="2"/>
          </w:tcPr>
          <w:p>
            <w:pPr>
              <w:spacing w:line="360" w:lineRule="auto"/>
              <w:ind w:firstLine="235" w:firstLineChars="112"/>
              <w:rPr>
                <w:rFonts w:hint="eastAsia" w:ascii="仿宋" w:hAnsi="仿宋" w:eastAsia="仿宋" w:cs="仿宋"/>
                <w:color w:val="auto"/>
                <w:highlight w:val="none"/>
              </w:rPr>
            </w:pPr>
          </w:p>
        </w:tc>
        <w:tc>
          <w:tcPr>
            <w:tcW w:w="4762" w:type="dxa"/>
            <w:gridSpan w:val="6"/>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企业资质等级</w:t>
            </w:r>
          </w:p>
        </w:tc>
        <w:tc>
          <w:tcPr>
            <w:tcW w:w="2223" w:type="dxa"/>
            <w:gridSpan w:val="2"/>
          </w:tcPr>
          <w:p>
            <w:pPr>
              <w:spacing w:line="360" w:lineRule="auto"/>
              <w:ind w:firstLine="235" w:firstLineChars="112"/>
              <w:rPr>
                <w:rFonts w:hint="eastAsia" w:ascii="仿宋" w:hAnsi="仿宋" w:eastAsia="仿宋" w:cs="仿宋"/>
                <w:color w:val="auto"/>
                <w:highlight w:val="none"/>
              </w:rPr>
            </w:pPr>
          </w:p>
        </w:tc>
        <w:tc>
          <w:tcPr>
            <w:tcW w:w="713" w:type="dxa"/>
            <w:vMerge w:val="restart"/>
            <w:tcBorders>
              <w:bottom w:val="nil"/>
            </w:tcBorders>
          </w:tcPr>
          <w:p>
            <w:pPr>
              <w:pStyle w:val="17"/>
              <w:spacing w:before="143" w:line="240" w:lineRule="auto"/>
              <w:ind w:firstLine="0" w:firstLineChars="0"/>
              <w:rPr>
                <w:rFonts w:hint="eastAsia" w:ascii="仿宋" w:hAnsi="仿宋" w:eastAsia="仿宋" w:cs="仿宋"/>
                <w:color w:val="auto"/>
                <w:highlight w:val="none"/>
              </w:rPr>
            </w:pPr>
          </w:p>
          <w:p>
            <w:pPr>
              <w:pStyle w:val="17"/>
              <w:spacing w:before="143" w:line="240" w:lineRule="auto"/>
              <w:ind w:firstLine="0" w:firstLineChars="0"/>
              <w:rPr>
                <w:rFonts w:hint="eastAsia" w:ascii="仿宋" w:hAnsi="仿宋" w:eastAsia="仿宋" w:cs="仿宋"/>
                <w:color w:val="auto"/>
                <w:highlight w:val="none"/>
              </w:rPr>
            </w:pPr>
          </w:p>
          <w:p>
            <w:pPr>
              <w:pStyle w:val="17"/>
              <w:spacing w:before="143" w:line="24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其中</w:t>
            </w:r>
          </w:p>
        </w:tc>
        <w:tc>
          <w:tcPr>
            <w:tcW w:w="2289" w:type="dxa"/>
            <w:gridSpan w:val="3"/>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项目经理</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营业执照号</w:t>
            </w:r>
          </w:p>
        </w:tc>
        <w:tc>
          <w:tcPr>
            <w:tcW w:w="2223" w:type="dxa"/>
            <w:gridSpan w:val="2"/>
          </w:tcPr>
          <w:p>
            <w:pPr>
              <w:spacing w:line="360" w:lineRule="auto"/>
              <w:ind w:firstLine="235" w:firstLineChars="112"/>
              <w:rPr>
                <w:rFonts w:hint="eastAsia" w:ascii="仿宋" w:hAnsi="仿宋" w:eastAsia="仿宋" w:cs="仿宋"/>
                <w:color w:val="auto"/>
                <w:highlight w:val="none"/>
              </w:rPr>
            </w:pPr>
          </w:p>
        </w:tc>
        <w:tc>
          <w:tcPr>
            <w:tcW w:w="713" w:type="dxa"/>
            <w:vMerge w:val="continue"/>
            <w:tcBorders>
              <w:top w:val="nil"/>
              <w:bottom w:val="nil"/>
            </w:tcBorders>
          </w:tcPr>
          <w:p>
            <w:pPr>
              <w:spacing w:line="360" w:lineRule="auto"/>
              <w:ind w:firstLine="235" w:firstLineChars="112"/>
              <w:rPr>
                <w:rFonts w:hint="eastAsia" w:ascii="仿宋" w:hAnsi="仿宋" w:eastAsia="仿宋" w:cs="仿宋"/>
                <w:color w:val="auto"/>
                <w:highlight w:val="none"/>
              </w:rPr>
            </w:pPr>
          </w:p>
        </w:tc>
        <w:tc>
          <w:tcPr>
            <w:tcW w:w="2289" w:type="dxa"/>
            <w:gridSpan w:val="3"/>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高级职称人员</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注册资金</w:t>
            </w:r>
          </w:p>
        </w:tc>
        <w:tc>
          <w:tcPr>
            <w:tcW w:w="2223" w:type="dxa"/>
            <w:gridSpan w:val="2"/>
          </w:tcPr>
          <w:p>
            <w:pPr>
              <w:spacing w:line="360" w:lineRule="auto"/>
              <w:ind w:firstLine="235" w:firstLineChars="112"/>
              <w:rPr>
                <w:rFonts w:hint="eastAsia" w:ascii="仿宋" w:hAnsi="仿宋" w:eastAsia="仿宋" w:cs="仿宋"/>
                <w:color w:val="auto"/>
                <w:highlight w:val="none"/>
              </w:rPr>
            </w:pPr>
          </w:p>
        </w:tc>
        <w:tc>
          <w:tcPr>
            <w:tcW w:w="713" w:type="dxa"/>
            <w:vMerge w:val="continue"/>
            <w:tcBorders>
              <w:top w:val="nil"/>
              <w:bottom w:val="nil"/>
            </w:tcBorders>
          </w:tcPr>
          <w:p>
            <w:pPr>
              <w:spacing w:line="360" w:lineRule="auto"/>
              <w:ind w:firstLine="235" w:firstLineChars="112"/>
              <w:rPr>
                <w:rFonts w:hint="eastAsia" w:ascii="仿宋" w:hAnsi="仿宋" w:eastAsia="仿宋" w:cs="仿宋"/>
                <w:color w:val="auto"/>
                <w:highlight w:val="none"/>
              </w:rPr>
            </w:pPr>
          </w:p>
        </w:tc>
        <w:tc>
          <w:tcPr>
            <w:tcW w:w="2289" w:type="dxa"/>
            <w:gridSpan w:val="3"/>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中级职称人员</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开户银行</w:t>
            </w:r>
          </w:p>
        </w:tc>
        <w:tc>
          <w:tcPr>
            <w:tcW w:w="2223" w:type="dxa"/>
            <w:gridSpan w:val="2"/>
          </w:tcPr>
          <w:p>
            <w:pPr>
              <w:spacing w:line="360" w:lineRule="auto"/>
              <w:ind w:firstLine="235" w:firstLineChars="112"/>
              <w:rPr>
                <w:rFonts w:hint="eastAsia" w:ascii="仿宋" w:hAnsi="仿宋" w:eastAsia="仿宋" w:cs="仿宋"/>
                <w:color w:val="auto"/>
                <w:highlight w:val="none"/>
              </w:rPr>
            </w:pPr>
          </w:p>
        </w:tc>
        <w:tc>
          <w:tcPr>
            <w:tcW w:w="713" w:type="dxa"/>
            <w:vMerge w:val="continue"/>
            <w:tcBorders>
              <w:top w:val="nil"/>
              <w:bottom w:val="nil"/>
            </w:tcBorders>
          </w:tcPr>
          <w:p>
            <w:pPr>
              <w:spacing w:line="360" w:lineRule="auto"/>
              <w:ind w:firstLine="235" w:firstLineChars="112"/>
              <w:rPr>
                <w:rFonts w:hint="eastAsia" w:ascii="仿宋" w:hAnsi="仿宋" w:eastAsia="仿宋" w:cs="仿宋"/>
                <w:color w:val="auto"/>
                <w:highlight w:val="none"/>
              </w:rPr>
            </w:pPr>
          </w:p>
        </w:tc>
        <w:tc>
          <w:tcPr>
            <w:tcW w:w="2289" w:type="dxa"/>
            <w:gridSpan w:val="3"/>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初级职称人员</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账号</w:t>
            </w:r>
          </w:p>
        </w:tc>
        <w:tc>
          <w:tcPr>
            <w:tcW w:w="2223" w:type="dxa"/>
            <w:gridSpan w:val="2"/>
          </w:tcPr>
          <w:p>
            <w:pPr>
              <w:spacing w:line="360" w:lineRule="auto"/>
              <w:ind w:firstLine="235" w:firstLineChars="112"/>
              <w:rPr>
                <w:rFonts w:hint="eastAsia" w:ascii="仿宋" w:hAnsi="仿宋" w:eastAsia="仿宋" w:cs="仿宋"/>
                <w:color w:val="auto"/>
                <w:highlight w:val="none"/>
              </w:rPr>
            </w:pPr>
          </w:p>
        </w:tc>
        <w:tc>
          <w:tcPr>
            <w:tcW w:w="713" w:type="dxa"/>
            <w:vMerge w:val="continue"/>
            <w:tcBorders>
              <w:top w:val="nil"/>
            </w:tcBorders>
          </w:tcPr>
          <w:p>
            <w:pPr>
              <w:spacing w:line="360" w:lineRule="auto"/>
              <w:ind w:firstLine="235" w:firstLineChars="112"/>
              <w:rPr>
                <w:rFonts w:hint="eastAsia" w:ascii="仿宋" w:hAnsi="仿宋" w:eastAsia="仿宋" w:cs="仿宋"/>
                <w:color w:val="auto"/>
                <w:highlight w:val="none"/>
              </w:rPr>
            </w:pPr>
          </w:p>
        </w:tc>
        <w:tc>
          <w:tcPr>
            <w:tcW w:w="2289" w:type="dxa"/>
            <w:gridSpan w:val="3"/>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技工</w:t>
            </w:r>
          </w:p>
        </w:tc>
        <w:tc>
          <w:tcPr>
            <w:tcW w:w="1760" w:type="dxa"/>
            <w:gridSpan w:val="2"/>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4" w:hRule="atLeast"/>
        </w:trPr>
        <w:tc>
          <w:tcPr>
            <w:tcW w:w="1847" w:type="dxa"/>
          </w:tcPr>
          <w:p>
            <w:pPr>
              <w:spacing w:line="360" w:lineRule="auto"/>
              <w:ind w:firstLine="235" w:firstLineChars="112"/>
              <w:rPr>
                <w:rFonts w:hint="eastAsia" w:ascii="仿宋" w:hAnsi="仿宋" w:eastAsia="仿宋" w:cs="仿宋"/>
                <w:color w:val="auto"/>
                <w:highlight w:val="none"/>
              </w:rPr>
            </w:pPr>
          </w:p>
          <w:p>
            <w:pPr>
              <w:spacing w:line="360" w:lineRule="auto"/>
              <w:ind w:firstLine="235" w:firstLineChars="112"/>
              <w:rPr>
                <w:rFonts w:hint="eastAsia" w:ascii="仿宋" w:hAnsi="仿宋" w:eastAsia="仿宋" w:cs="仿宋"/>
                <w:color w:val="auto"/>
                <w:highlight w:val="none"/>
              </w:rPr>
            </w:pPr>
          </w:p>
          <w:p>
            <w:pPr>
              <w:spacing w:line="360" w:lineRule="auto"/>
              <w:ind w:firstLine="235" w:firstLineChars="112"/>
              <w:rPr>
                <w:rFonts w:hint="eastAsia" w:ascii="仿宋" w:hAnsi="仿宋" w:eastAsia="仿宋" w:cs="仿宋"/>
                <w:color w:val="auto"/>
                <w:highlight w:val="none"/>
              </w:rPr>
            </w:pPr>
          </w:p>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经营范围</w:t>
            </w:r>
          </w:p>
        </w:tc>
        <w:tc>
          <w:tcPr>
            <w:tcW w:w="6985" w:type="dxa"/>
            <w:gridSpan w:val="8"/>
          </w:tcPr>
          <w:p>
            <w:pPr>
              <w:spacing w:line="360" w:lineRule="auto"/>
              <w:ind w:firstLine="235" w:firstLineChars="112"/>
              <w:rPr>
                <w:rFonts w:hint="eastAsia" w:ascii="仿宋" w:hAnsi="仿宋" w:eastAsia="仿宋" w:cs="仿宋"/>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847" w:type="dxa"/>
          </w:tcPr>
          <w:p>
            <w:pPr>
              <w:pStyle w:val="17"/>
              <w:spacing w:before="143" w:line="240" w:lineRule="auto"/>
              <w:rPr>
                <w:rFonts w:hint="eastAsia" w:ascii="仿宋" w:hAnsi="仿宋" w:eastAsia="仿宋" w:cs="仿宋"/>
                <w:color w:val="auto"/>
                <w:highlight w:val="none"/>
              </w:rPr>
            </w:pPr>
            <w:r>
              <w:rPr>
                <w:rFonts w:hint="eastAsia" w:ascii="仿宋" w:hAnsi="仿宋" w:eastAsia="仿宋" w:cs="仿宋"/>
                <w:color w:val="auto"/>
                <w:highlight w:val="none"/>
              </w:rPr>
              <w:t>备注</w:t>
            </w:r>
          </w:p>
        </w:tc>
        <w:tc>
          <w:tcPr>
            <w:tcW w:w="6985" w:type="dxa"/>
            <w:gridSpan w:val="8"/>
          </w:tcPr>
          <w:p>
            <w:pPr>
              <w:spacing w:line="360" w:lineRule="auto"/>
              <w:ind w:firstLine="235" w:firstLineChars="112"/>
              <w:rPr>
                <w:rFonts w:hint="eastAsia" w:ascii="仿宋" w:hAnsi="仿宋" w:eastAsia="仿宋" w:cs="仿宋"/>
                <w:color w:val="auto"/>
                <w:highlight w:val="none"/>
              </w:rPr>
            </w:pPr>
          </w:p>
        </w:tc>
      </w:tr>
    </w:tbl>
    <w:p>
      <w:pPr>
        <w:spacing w:before="34" w:line="360" w:lineRule="auto"/>
        <w:ind w:firstLine="244" w:firstLineChars="112"/>
        <w:rPr>
          <w:rFonts w:hint="eastAsia" w:ascii="仿宋" w:hAnsi="仿宋" w:eastAsia="仿宋" w:cs="仿宋"/>
          <w:color w:val="auto"/>
          <w:sz w:val="22"/>
          <w:szCs w:val="22"/>
          <w:highlight w:val="none"/>
          <w:lang w:eastAsia="zh-CN"/>
        </w:rPr>
      </w:pPr>
      <w:r>
        <w:rPr>
          <w:rFonts w:hint="eastAsia" w:ascii="仿宋" w:hAnsi="仿宋" w:eastAsia="仿宋" w:cs="仿宋"/>
          <w:color w:val="auto"/>
          <w:spacing w:val="-1"/>
          <w:sz w:val="22"/>
          <w:szCs w:val="22"/>
          <w:highlight w:val="none"/>
          <w:lang w:eastAsia="zh-CN"/>
        </w:rPr>
        <w:t>注：在本表后应附企业法人“三证合一</w:t>
      </w:r>
      <w:r>
        <w:rPr>
          <w:rFonts w:hint="eastAsia" w:ascii="仿宋" w:hAnsi="仿宋" w:eastAsia="仿宋" w:cs="仿宋"/>
          <w:color w:val="auto"/>
          <w:spacing w:val="-81"/>
          <w:sz w:val="22"/>
          <w:szCs w:val="22"/>
          <w:highlight w:val="none"/>
          <w:lang w:eastAsia="zh-CN"/>
        </w:rPr>
        <w:t xml:space="preserve"> </w:t>
      </w:r>
      <w:r>
        <w:rPr>
          <w:rFonts w:hint="eastAsia" w:ascii="仿宋" w:hAnsi="仿宋" w:eastAsia="仿宋" w:cs="仿宋"/>
          <w:color w:val="auto"/>
          <w:spacing w:val="-1"/>
          <w:sz w:val="22"/>
          <w:szCs w:val="22"/>
          <w:highlight w:val="none"/>
          <w:lang w:eastAsia="zh-CN"/>
        </w:rPr>
        <w:t>”营业执照的复印件（并加</w:t>
      </w:r>
      <w:r>
        <w:rPr>
          <w:rFonts w:hint="eastAsia" w:ascii="仿宋" w:hAnsi="仿宋" w:eastAsia="仿宋" w:cs="仿宋"/>
          <w:color w:val="auto"/>
          <w:spacing w:val="-2"/>
          <w:sz w:val="22"/>
          <w:szCs w:val="22"/>
          <w:highlight w:val="none"/>
          <w:lang w:eastAsia="zh-CN"/>
        </w:rPr>
        <w:t>盖单位章）</w:t>
      </w:r>
    </w:p>
    <w:p>
      <w:pPr>
        <w:spacing w:line="360" w:lineRule="auto"/>
        <w:ind w:firstLine="246" w:firstLineChars="112"/>
        <w:rPr>
          <w:rFonts w:hint="eastAsia" w:ascii="仿宋" w:hAnsi="仿宋" w:eastAsia="仿宋" w:cs="仿宋"/>
          <w:color w:val="auto"/>
          <w:sz w:val="22"/>
          <w:szCs w:val="22"/>
          <w:highlight w:val="none"/>
          <w:lang w:eastAsia="zh-CN"/>
        </w:rPr>
        <w:sectPr>
          <w:footerReference r:id="rId17" w:type="default"/>
          <w:pgSz w:w="11900" w:h="16840"/>
          <w:pgMar w:top="1417" w:right="1701" w:bottom="1417" w:left="1701" w:header="0" w:footer="307" w:gutter="0"/>
          <w:pgNumType w:fmt="decimal"/>
          <w:cols w:space="720" w:num="1"/>
        </w:sectPr>
      </w:pPr>
    </w:p>
    <w:p>
      <w:pPr>
        <w:spacing w:before="56" w:line="360" w:lineRule="auto"/>
        <w:ind w:firstLine="313" w:firstLineChars="112"/>
        <w:jc w:val="center"/>
        <w:outlineLvl w:val="1"/>
        <w:rPr>
          <w:rFonts w:hint="eastAsia" w:ascii="仿宋" w:hAnsi="仿宋" w:eastAsia="仿宋" w:cs="仿宋"/>
          <w:b/>
          <w:bCs/>
          <w:color w:val="auto"/>
          <w:spacing w:val="-1"/>
          <w:sz w:val="28"/>
          <w:szCs w:val="28"/>
          <w:highlight w:val="none"/>
          <w:lang w:eastAsia="zh-CN"/>
        </w:rPr>
      </w:pPr>
      <w:bookmarkStart w:id="671" w:name="bookmark113"/>
      <w:bookmarkEnd w:id="671"/>
      <w:bookmarkStart w:id="672" w:name="_Toc13050"/>
      <w:bookmarkStart w:id="673" w:name="_Toc16945"/>
      <w:bookmarkStart w:id="674" w:name="_Toc18737"/>
      <w:bookmarkStart w:id="675" w:name="_Toc22713"/>
      <w:bookmarkStart w:id="676" w:name="_Toc32011"/>
      <w:bookmarkStart w:id="677" w:name="_Toc18303"/>
      <w:bookmarkStart w:id="678" w:name="_Toc8599"/>
      <w:r>
        <w:rPr>
          <w:rFonts w:hint="eastAsia" w:ascii="仿宋" w:hAnsi="仿宋" w:eastAsia="仿宋" w:cs="仿宋"/>
          <w:b/>
          <w:bCs/>
          <w:color w:val="auto"/>
          <w:spacing w:val="-1"/>
          <w:sz w:val="28"/>
          <w:szCs w:val="28"/>
          <w:highlight w:val="none"/>
          <w:lang w:eastAsia="zh-CN"/>
        </w:rPr>
        <w:t>八、拟组建项目组织机构</w:t>
      </w:r>
      <w:bookmarkEnd w:id="672"/>
      <w:r>
        <w:rPr>
          <w:rFonts w:hint="eastAsia" w:ascii="仿宋" w:hAnsi="仿宋" w:eastAsia="仿宋" w:cs="仿宋"/>
          <w:b/>
          <w:bCs/>
          <w:color w:val="auto"/>
          <w:spacing w:val="-1"/>
          <w:sz w:val="28"/>
          <w:szCs w:val="28"/>
          <w:highlight w:val="none"/>
          <w:lang w:eastAsia="zh-CN"/>
        </w:rPr>
        <w:t>（提供承诺，</w:t>
      </w:r>
      <w:r>
        <w:rPr>
          <w:rFonts w:hint="eastAsia" w:ascii="仿宋" w:hAnsi="仿宋" w:eastAsia="仿宋" w:cs="仿宋"/>
          <w:b/>
          <w:bCs/>
          <w:color w:val="auto"/>
          <w:spacing w:val="-1"/>
          <w:sz w:val="28"/>
          <w:szCs w:val="28"/>
          <w:highlight w:val="none"/>
          <w:lang w:val="en-US" w:eastAsia="zh-CN"/>
        </w:rPr>
        <w:t>格式自拟</w:t>
      </w:r>
      <w:r>
        <w:rPr>
          <w:rFonts w:hint="eastAsia" w:ascii="仿宋" w:hAnsi="仿宋" w:eastAsia="仿宋" w:cs="仿宋"/>
          <w:b/>
          <w:bCs/>
          <w:color w:val="auto"/>
          <w:spacing w:val="-1"/>
          <w:sz w:val="28"/>
          <w:szCs w:val="28"/>
          <w:highlight w:val="none"/>
          <w:lang w:eastAsia="zh-CN"/>
        </w:rPr>
        <w:t>）</w:t>
      </w:r>
      <w:bookmarkEnd w:id="673"/>
      <w:bookmarkEnd w:id="674"/>
      <w:bookmarkEnd w:id="675"/>
      <w:bookmarkEnd w:id="676"/>
      <w:bookmarkEnd w:id="677"/>
      <w:bookmarkEnd w:id="678"/>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rPr>
          <w:rFonts w:hint="eastAsia" w:ascii="仿宋" w:hAnsi="仿宋" w:eastAsia="仿宋" w:cs="仿宋"/>
          <w:color w:val="auto"/>
          <w:spacing w:val="-2"/>
          <w:sz w:val="24"/>
          <w:szCs w:val="24"/>
          <w:highlight w:val="none"/>
          <w:lang w:eastAsia="zh-CN"/>
        </w:rPr>
      </w:pPr>
      <w:bookmarkStart w:id="679" w:name="_Toc6873"/>
      <w:r>
        <w:rPr>
          <w:rFonts w:hint="eastAsia" w:ascii="仿宋" w:hAnsi="仿宋" w:eastAsia="仿宋" w:cs="仿宋"/>
          <w:color w:val="auto"/>
          <w:spacing w:val="-2"/>
          <w:sz w:val="24"/>
          <w:szCs w:val="24"/>
          <w:highlight w:val="none"/>
          <w:lang w:eastAsia="zh-CN"/>
        </w:rPr>
        <w:br w:type="page"/>
      </w:r>
    </w:p>
    <w:bookmarkEnd w:id="679"/>
    <w:p>
      <w:pPr>
        <w:spacing w:line="360" w:lineRule="auto"/>
        <w:ind w:firstLine="268" w:firstLineChars="112"/>
        <w:rPr>
          <w:rFonts w:hint="eastAsia" w:ascii="仿宋" w:hAnsi="仿宋" w:eastAsia="仿宋" w:cs="仿宋"/>
          <w:color w:val="auto"/>
          <w:sz w:val="24"/>
          <w:szCs w:val="24"/>
          <w:highlight w:val="none"/>
          <w:lang w:eastAsia="zh-CN"/>
        </w:rPr>
        <w:sectPr>
          <w:footerReference r:id="rId18" w:type="default"/>
          <w:pgSz w:w="11900" w:h="16840"/>
          <w:pgMar w:top="1417" w:right="1701" w:bottom="1417" w:left="1701" w:header="0" w:footer="307" w:gutter="0"/>
          <w:pgNumType w:fmt="decimal"/>
          <w:cols w:space="720" w:num="1"/>
        </w:sectPr>
      </w:pPr>
      <w:bookmarkStart w:id="680" w:name="bookmark114"/>
      <w:bookmarkEnd w:id="680"/>
    </w:p>
    <w:p>
      <w:pPr>
        <w:spacing w:before="56" w:line="360" w:lineRule="auto"/>
        <w:ind w:firstLine="310" w:firstLineChars="112"/>
        <w:jc w:val="center"/>
        <w:outlineLvl w:val="1"/>
        <w:rPr>
          <w:rFonts w:hint="eastAsia" w:ascii="仿宋" w:hAnsi="仿宋" w:eastAsia="仿宋" w:cs="仿宋"/>
          <w:b/>
          <w:bCs/>
          <w:color w:val="auto"/>
          <w:spacing w:val="-2"/>
          <w:sz w:val="28"/>
          <w:szCs w:val="28"/>
          <w:highlight w:val="none"/>
          <w:lang w:eastAsia="zh-CN"/>
        </w:rPr>
      </w:pPr>
      <w:bookmarkStart w:id="681" w:name="bookmark115"/>
      <w:bookmarkEnd w:id="681"/>
      <w:bookmarkStart w:id="682" w:name="_Toc28236"/>
      <w:bookmarkStart w:id="683" w:name="_Toc32397"/>
      <w:bookmarkStart w:id="684" w:name="_Toc25149"/>
      <w:bookmarkStart w:id="685" w:name="_Toc31116"/>
      <w:bookmarkStart w:id="686" w:name="_Toc24042"/>
      <w:bookmarkStart w:id="687" w:name="_Toc32156"/>
      <w:bookmarkStart w:id="688" w:name="_Toc16216"/>
      <w:r>
        <w:rPr>
          <w:rFonts w:hint="eastAsia" w:ascii="仿宋" w:hAnsi="仿宋" w:eastAsia="仿宋" w:cs="仿宋"/>
          <w:b/>
          <w:bCs/>
          <w:color w:val="auto"/>
          <w:spacing w:val="-2"/>
          <w:sz w:val="28"/>
          <w:szCs w:val="28"/>
          <w:highlight w:val="none"/>
          <w:lang w:val="en-US" w:eastAsia="zh-CN"/>
        </w:rPr>
        <w:t>九</w:t>
      </w:r>
      <w:r>
        <w:rPr>
          <w:rFonts w:hint="eastAsia" w:ascii="仿宋" w:hAnsi="仿宋" w:eastAsia="仿宋" w:cs="仿宋"/>
          <w:b/>
          <w:bCs/>
          <w:color w:val="auto"/>
          <w:spacing w:val="-2"/>
          <w:sz w:val="28"/>
          <w:szCs w:val="28"/>
          <w:highlight w:val="none"/>
          <w:lang w:eastAsia="zh-CN"/>
        </w:rPr>
        <w:t>、健全的财务会计制度</w:t>
      </w:r>
      <w:bookmarkEnd w:id="682"/>
      <w:bookmarkEnd w:id="683"/>
      <w:bookmarkEnd w:id="684"/>
      <w:bookmarkEnd w:id="685"/>
      <w:bookmarkEnd w:id="686"/>
      <w:bookmarkEnd w:id="687"/>
      <w:bookmarkEnd w:id="688"/>
    </w:p>
    <w:p>
      <w:pPr>
        <w:pStyle w:val="2"/>
        <w:spacing w:line="360" w:lineRule="auto"/>
        <w:ind w:firstLine="0" w:firstLineChars="0"/>
        <w:rPr>
          <w:rFonts w:hint="eastAsia" w:ascii="仿宋" w:hAnsi="仿宋" w:eastAsia="仿宋" w:cs="仿宋"/>
          <w:color w:val="auto"/>
          <w:highlight w:val="none"/>
          <w:lang w:eastAsia="zh-CN"/>
        </w:rPr>
      </w:pPr>
    </w:p>
    <w:p>
      <w:pPr>
        <w:pStyle w:val="2"/>
        <w:spacing w:line="360" w:lineRule="auto"/>
        <w:ind w:firstLine="0" w:firstLineChars="0"/>
        <w:rPr>
          <w:rFonts w:hint="eastAsia" w:ascii="仿宋" w:hAnsi="仿宋" w:eastAsia="仿宋" w:cs="仿宋"/>
          <w:color w:val="auto"/>
          <w:highlight w:val="none"/>
          <w:lang w:eastAsia="zh-CN"/>
        </w:rPr>
      </w:pPr>
    </w:p>
    <w:p>
      <w:pPr>
        <w:spacing w:before="80" w:line="360" w:lineRule="auto"/>
        <w:ind w:firstLine="259" w:firstLineChars="112"/>
        <w:jc w:val="both"/>
        <w:rPr>
          <w:rFonts w:hint="eastAsia" w:ascii="仿宋" w:hAnsi="仿宋" w:eastAsia="仿宋" w:cs="仿宋"/>
          <w:color w:val="auto"/>
          <w:spacing w:val="-2"/>
          <w:sz w:val="24"/>
          <w:szCs w:val="24"/>
          <w:highlight w:val="none"/>
          <w:lang w:eastAsia="zh-CN"/>
        </w:rPr>
      </w:pPr>
      <w:bookmarkStart w:id="689" w:name="bookmark116"/>
      <w:bookmarkEnd w:id="689"/>
      <w:bookmarkStart w:id="690" w:name="_Toc30026"/>
      <w:r>
        <w:rPr>
          <w:rFonts w:hint="eastAsia" w:ascii="仿宋" w:hAnsi="仿宋" w:eastAsia="仿宋" w:cs="仿宋"/>
          <w:color w:val="auto"/>
          <w:spacing w:val="-4"/>
          <w:sz w:val="24"/>
          <w:szCs w:val="24"/>
          <w:highlight w:val="none"/>
          <w:lang w:eastAsia="zh-CN"/>
        </w:rPr>
        <w:t>应附</w:t>
      </w:r>
      <w:r>
        <w:rPr>
          <w:rFonts w:hint="eastAsia" w:ascii="仿宋" w:hAnsi="仿宋" w:eastAsia="仿宋" w:cs="仿宋"/>
          <w:color w:val="auto"/>
          <w:spacing w:val="-2"/>
          <w:sz w:val="24"/>
          <w:szCs w:val="24"/>
          <w:highlight w:val="none"/>
          <w:lang w:eastAsia="zh-CN"/>
        </w:rPr>
        <w:t>2022经会计事务所或审计机构审计出具的财务审计报告及报表（包括资产负债表、现金流量表、利润表（收益表）和财务报表附注）。复印件必须清晰可辨。</w:t>
      </w:r>
    </w:p>
    <w:p>
      <w:pPr>
        <w:rPr>
          <w:rFonts w:hint="eastAsia" w:ascii="仿宋" w:hAnsi="仿宋" w:eastAsia="仿宋" w:cs="仿宋"/>
          <w:color w:val="auto"/>
          <w:spacing w:val="-1"/>
          <w:sz w:val="28"/>
          <w:szCs w:val="28"/>
          <w:highlight w:val="none"/>
          <w:lang w:eastAsia="zh-CN"/>
        </w:rPr>
      </w:pPr>
      <w:r>
        <w:rPr>
          <w:rFonts w:hint="eastAsia" w:ascii="仿宋" w:hAnsi="仿宋" w:eastAsia="仿宋" w:cs="仿宋"/>
          <w:color w:val="auto"/>
          <w:spacing w:val="-1"/>
          <w:sz w:val="28"/>
          <w:szCs w:val="28"/>
          <w:highlight w:val="none"/>
          <w:lang w:eastAsia="zh-CN"/>
        </w:rPr>
        <w:br w:type="page"/>
      </w:r>
    </w:p>
    <w:p>
      <w:pPr>
        <w:spacing w:before="56" w:line="360" w:lineRule="auto"/>
        <w:ind w:firstLine="310" w:firstLineChars="112"/>
        <w:jc w:val="center"/>
        <w:outlineLvl w:val="1"/>
        <w:rPr>
          <w:rFonts w:hint="eastAsia" w:ascii="仿宋" w:hAnsi="仿宋" w:eastAsia="仿宋" w:cs="仿宋"/>
          <w:b/>
          <w:bCs/>
          <w:color w:val="auto"/>
          <w:spacing w:val="-2"/>
          <w:sz w:val="28"/>
          <w:szCs w:val="28"/>
          <w:highlight w:val="none"/>
          <w:lang w:eastAsia="zh-CN"/>
        </w:rPr>
      </w:pPr>
      <w:bookmarkStart w:id="691" w:name="_Toc7698"/>
      <w:bookmarkStart w:id="692" w:name="_Toc11336"/>
      <w:bookmarkStart w:id="693" w:name="_Toc11357"/>
      <w:bookmarkStart w:id="694" w:name="_Toc27203"/>
      <w:bookmarkStart w:id="695" w:name="_Toc24725"/>
      <w:bookmarkStart w:id="696" w:name="_Toc27303"/>
      <w:r>
        <w:rPr>
          <w:rFonts w:hint="eastAsia" w:ascii="仿宋" w:hAnsi="仿宋" w:eastAsia="仿宋" w:cs="仿宋"/>
          <w:b/>
          <w:bCs/>
          <w:color w:val="auto"/>
          <w:spacing w:val="-2"/>
          <w:sz w:val="28"/>
          <w:szCs w:val="28"/>
          <w:highlight w:val="none"/>
          <w:lang w:eastAsia="zh-CN"/>
        </w:rPr>
        <w:t>十、缴纳税收和社会保障资金的相关材料</w:t>
      </w:r>
      <w:bookmarkEnd w:id="690"/>
      <w:bookmarkEnd w:id="691"/>
      <w:bookmarkEnd w:id="692"/>
      <w:bookmarkEnd w:id="693"/>
      <w:bookmarkEnd w:id="694"/>
      <w:bookmarkEnd w:id="695"/>
      <w:bookmarkEnd w:id="696"/>
    </w:p>
    <w:p>
      <w:pPr>
        <w:pStyle w:val="2"/>
        <w:spacing w:line="360" w:lineRule="auto"/>
        <w:ind w:firstLine="0" w:firstLineChars="0"/>
        <w:rPr>
          <w:rFonts w:hint="eastAsia" w:ascii="仿宋" w:hAnsi="仿宋" w:eastAsia="仿宋" w:cs="仿宋"/>
          <w:color w:val="auto"/>
          <w:highlight w:val="none"/>
          <w:lang w:eastAsia="zh-CN"/>
        </w:rPr>
      </w:pPr>
    </w:p>
    <w:p>
      <w:pPr>
        <w:spacing w:before="78" w:line="360" w:lineRule="auto"/>
        <w:ind w:firstLine="262"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提供</w:t>
      </w:r>
      <w:r>
        <w:rPr>
          <w:rFonts w:hint="eastAsia" w:ascii="仿宋" w:hAnsi="仿宋" w:eastAsia="仿宋" w:cs="仿宋"/>
          <w:color w:val="auto"/>
          <w:spacing w:val="-3"/>
          <w:sz w:val="24"/>
          <w:szCs w:val="24"/>
          <w:highlight w:val="none"/>
          <w:lang w:val="en-US" w:eastAsia="zh-CN"/>
        </w:rPr>
        <w:t>联合体所有成员</w:t>
      </w:r>
      <w:r>
        <w:rPr>
          <w:rFonts w:hint="eastAsia" w:ascii="仿宋" w:hAnsi="仿宋" w:eastAsia="仿宋" w:cs="仿宋"/>
          <w:color w:val="auto"/>
          <w:spacing w:val="-72"/>
          <w:sz w:val="24"/>
          <w:szCs w:val="24"/>
          <w:highlight w:val="none"/>
          <w:lang w:eastAsia="zh-CN"/>
        </w:rPr>
        <w:t xml:space="preserve"> </w:t>
      </w:r>
      <w:r>
        <w:rPr>
          <w:rFonts w:hint="eastAsia" w:ascii="仿宋" w:hAnsi="仿宋" w:eastAsia="仿宋" w:cs="仿宋"/>
          <w:color w:val="auto"/>
          <w:spacing w:val="-3"/>
          <w:sz w:val="24"/>
          <w:szCs w:val="24"/>
          <w:highlight w:val="none"/>
          <w:lang w:eastAsia="zh-CN"/>
        </w:rPr>
        <w:t>202</w:t>
      </w:r>
      <w:r>
        <w:rPr>
          <w:rFonts w:hint="eastAsia" w:ascii="仿宋" w:hAnsi="仿宋" w:eastAsia="仿宋" w:cs="仿宋"/>
          <w:color w:val="auto"/>
          <w:spacing w:val="-3"/>
          <w:sz w:val="24"/>
          <w:szCs w:val="24"/>
          <w:highlight w:val="none"/>
          <w:lang w:val="en-US" w:eastAsia="zh-CN"/>
        </w:rPr>
        <w:t>4</w:t>
      </w:r>
      <w:r>
        <w:rPr>
          <w:rFonts w:hint="eastAsia" w:ascii="仿宋" w:hAnsi="仿宋" w:eastAsia="仿宋" w:cs="仿宋"/>
          <w:color w:val="auto"/>
          <w:spacing w:val="-3"/>
          <w:sz w:val="24"/>
          <w:szCs w:val="24"/>
          <w:highlight w:val="none"/>
          <w:lang w:eastAsia="zh-CN"/>
        </w:rPr>
        <w:t>年</w:t>
      </w:r>
      <w:r>
        <w:rPr>
          <w:rFonts w:hint="eastAsia" w:ascii="仿宋" w:hAnsi="仿宋" w:eastAsia="仿宋" w:cs="仿宋"/>
          <w:color w:val="auto"/>
          <w:spacing w:val="-70"/>
          <w:sz w:val="24"/>
          <w:szCs w:val="24"/>
          <w:highlight w:val="none"/>
          <w:lang w:eastAsia="zh-CN"/>
        </w:rPr>
        <w:t xml:space="preserve"> </w:t>
      </w:r>
      <w:r>
        <w:rPr>
          <w:rFonts w:hint="eastAsia" w:ascii="仿宋" w:hAnsi="仿宋" w:eastAsia="仿宋" w:cs="仿宋"/>
          <w:color w:val="auto"/>
          <w:spacing w:val="-3"/>
          <w:sz w:val="24"/>
          <w:szCs w:val="24"/>
          <w:highlight w:val="none"/>
          <w:lang w:val="en-US" w:eastAsia="zh-CN"/>
        </w:rPr>
        <w:t>1</w:t>
      </w:r>
      <w:r>
        <w:rPr>
          <w:rFonts w:hint="eastAsia" w:ascii="仿宋" w:hAnsi="仿宋" w:eastAsia="仿宋" w:cs="仿宋"/>
          <w:color w:val="auto"/>
          <w:spacing w:val="-3"/>
          <w:sz w:val="24"/>
          <w:szCs w:val="24"/>
          <w:highlight w:val="none"/>
          <w:lang w:eastAsia="zh-CN"/>
        </w:rPr>
        <w:t>月1日至今连续三月依法</w:t>
      </w:r>
      <w:r>
        <w:rPr>
          <w:rFonts w:hint="eastAsia" w:ascii="仿宋" w:hAnsi="仿宋" w:eastAsia="仿宋" w:cs="仿宋"/>
          <w:color w:val="auto"/>
          <w:spacing w:val="-4"/>
          <w:sz w:val="24"/>
          <w:szCs w:val="24"/>
          <w:highlight w:val="none"/>
          <w:lang w:eastAsia="zh-CN"/>
        </w:rPr>
        <w:t>缴纳税收和社会保障资金的良好记录证明</w:t>
      </w:r>
      <w:r>
        <w:rPr>
          <w:rFonts w:hint="eastAsia" w:ascii="仿宋" w:hAnsi="仿宋" w:eastAsia="仿宋" w:cs="仿宋"/>
          <w:color w:val="auto"/>
          <w:sz w:val="24"/>
          <w:szCs w:val="24"/>
          <w:highlight w:val="none"/>
          <w:lang w:eastAsia="zh-CN"/>
        </w:rPr>
        <w:t>材料复印件，港澳台企业提供同等类型材料或提供其内</w:t>
      </w:r>
      <w:r>
        <w:rPr>
          <w:rFonts w:hint="eastAsia" w:ascii="仿宋" w:hAnsi="仿宋" w:eastAsia="仿宋" w:cs="仿宋"/>
          <w:color w:val="auto"/>
          <w:spacing w:val="-1"/>
          <w:sz w:val="24"/>
          <w:szCs w:val="24"/>
          <w:highlight w:val="none"/>
          <w:lang w:eastAsia="zh-CN"/>
        </w:rPr>
        <w:t>地全资子公司相关材料。</w:t>
      </w:r>
    </w:p>
    <w:p>
      <w:pPr>
        <w:spacing w:line="360" w:lineRule="auto"/>
        <w:ind w:firstLine="268" w:firstLineChars="112"/>
        <w:rPr>
          <w:rFonts w:hint="eastAsia" w:ascii="仿宋" w:hAnsi="仿宋" w:eastAsia="仿宋" w:cs="仿宋"/>
          <w:color w:val="auto"/>
          <w:sz w:val="24"/>
          <w:szCs w:val="24"/>
          <w:highlight w:val="none"/>
          <w:lang w:eastAsia="zh-CN"/>
        </w:rPr>
        <w:sectPr>
          <w:footerReference r:id="rId19" w:type="default"/>
          <w:pgSz w:w="11900" w:h="16840"/>
          <w:pgMar w:top="1419" w:right="1701" w:bottom="1417" w:left="1701" w:header="0" w:footer="567" w:gutter="0"/>
          <w:pgNumType w:fmt="decimal"/>
          <w:cols w:space="720" w:num="1"/>
        </w:sectPr>
      </w:pPr>
    </w:p>
    <w:p>
      <w:pPr>
        <w:spacing w:before="56" w:line="360" w:lineRule="auto"/>
        <w:ind w:firstLine="310" w:firstLineChars="112"/>
        <w:jc w:val="center"/>
        <w:outlineLvl w:val="1"/>
        <w:rPr>
          <w:rFonts w:hint="eastAsia" w:ascii="仿宋" w:hAnsi="仿宋" w:eastAsia="仿宋" w:cs="仿宋"/>
          <w:b/>
          <w:bCs/>
          <w:color w:val="auto"/>
          <w:spacing w:val="-2"/>
          <w:sz w:val="28"/>
          <w:szCs w:val="28"/>
          <w:highlight w:val="none"/>
          <w:lang w:eastAsia="zh-CN"/>
        </w:rPr>
      </w:pPr>
      <w:bookmarkStart w:id="697" w:name="bookmark117"/>
      <w:bookmarkEnd w:id="697"/>
      <w:bookmarkStart w:id="698" w:name="_Toc10983"/>
      <w:bookmarkStart w:id="699" w:name="_Toc23663"/>
      <w:bookmarkStart w:id="700" w:name="_Toc24244"/>
      <w:bookmarkStart w:id="701" w:name="_Toc28491"/>
      <w:bookmarkStart w:id="702" w:name="_Toc605"/>
      <w:bookmarkStart w:id="703" w:name="_Toc30261"/>
      <w:bookmarkStart w:id="704" w:name="_Toc1244"/>
      <w:r>
        <w:rPr>
          <w:rFonts w:hint="eastAsia" w:ascii="仿宋" w:hAnsi="仿宋" w:eastAsia="仿宋" w:cs="仿宋"/>
          <w:b/>
          <w:bCs/>
          <w:color w:val="auto"/>
          <w:spacing w:val="-2"/>
          <w:sz w:val="28"/>
          <w:szCs w:val="28"/>
          <w:highlight w:val="none"/>
          <w:lang w:eastAsia="zh-CN"/>
        </w:rPr>
        <w:t>十</w:t>
      </w:r>
      <w:r>
        <w:rPr>
          <w:rFonts w:hint="eastAsia" w:ascii="仿宋" w:hAnsi="仿宋" w:eastAsia="仿宋" w:cs="仿宋"/>
          <w:b/>
          <w:bCs/>
          <w:color w:val="auto"/>
          <w:spacing w:val="-2"/>
          <w:sz w:val="28"/>
          <w:szCs w:val="28"/>
          <w:highlight w:val="none"/>
          <w:lang w:val="en-US" w:eastAsia="zh-CN"/>
        </w:rPr>
        <w:t>一</w:t>
      </w:r>
      <w:r>
        <w:rPr>
          <w:rFonts w:hint="eastAsia" w:ascii="仿宋" w:hAnsi="仿宋" w:eastAsia="仿宋" w:cs="仿宋"/>
          <w:b/>
          <w:bCs/>
          <w:color w:val="auto"/>
          <w:spacing w:val="-2"/>
          <w:sz w:val="28"/>
          <w:szCs w:val="28"/>
          <w:highlight w:val="none"/>
          <w:lang w:eastAsia="zh-CN"/>
        </w:rPr>
        <w:t>、项目业绩一览表及证明文件</w:t>
      </w:r>
      <w:bookmarkEnd w:id="698"/>
      <w:bookmarkEnd w:id="699"/>
      <w:bookmarkEnd w:id="700"/>
      <w:bookmarkEnd w:id="701"/>
      <w:bookmarkEnd w:id="702"/>
      <w:bookmarkEnd w:id="703"/>
      <w:bookmarkEnd w:id="704"/>
    </w:p>
    <w:p>
      <w:pPr>
        <w:spacing w:before="328" w:line="360" w:lineRule="auto"/>
        <w:ind w:firstLine="315" w:firstLineChars="112"/>
        <w:outlineLvl w:val="2"/>
        <w:rPr>
          <w:rFonts w:hint="eastAsia" w:ascii="仿宋" w:hAnsi="仿宋" w:eastAsia="仿宋" w:cs="仿宋"/>
          <w:color w:val="auto"/>
          <w:sz w:val="28"/>
          <w:szCs w:val="28"/>
          <w:highlight w:val="none"/>
        </w:rPr>
      </w:pPr>
      <w:bookmarkStart w:id="705" w:name="bookmark118"/>
      <w:bookmarkEnd w:id="705"/>
      <w:bookmarkStart w:id="706" w:name="_Toc18475"/>
      <w:bookmarkStart w:id="707" w:name="_Toc10935"/>
      <w:bookmarkStart w:id="708" w:name="_Toc16138"/>
      <w:bookmarkStart w:id="709" w:name="_Toc20362"/>
      <w:bookmarkStart w:id="710" w:name="_Toc26535"/>
      <w:bookmarkStart w:id="711" w:name="_Toc24424"/>
      <w:bookmarkStart w:id="712" w:name="_Toc9383"/>
      <w:r>
        <w:rPr>
          <w:rFonts w:hint="eastAsia" w:ascii="仿宋" w:hAnsi="仿宋" w:eastAsia="仿宋" w:cs="仿宋"/>
          <w:color w:val="auto"/>
          <w:spacing w:val="1"/>
          <w:sz w:val="28"/>
          <w:szCs w:val="28"/>
          <w:highlight w:val="none"/>
        </w:rPr>
        <w:t>1.类似项目投资业绩:</w:t>
      </w:r>
      <w:bookmarkEnd w:id="706"/>
      <w:bookmarkEnd w:id="707"/>
      <w:bookmarkEnd w:id="708"/>
      <w:bookmarkEnd w:id="709"/>
      <w:bookmarkEnd w:id="710"/>
      <w:bookmarkEnd w:id="711"/>
      <w:bookmarkEnd w:id="712"/>
    </w:p>
    <w:tbl>
      <w:tblPr>
        <w:tblStyle w:val="16"/>
        <w:tblW w:w="881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4"/>
        <w:gridCol w:w="1108"/>
        <w:gridCol w:w="1987"/>
        <w:gridCol w:w="1172"/>
        <w:gridCol w:w="1180"/>
        <w:gridCol w:w="922"/>
        <w:gridCol w:w="1093"/>
        <w:gridCol w:w="7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5" w:hRule="atLeast"/>
          <w:jc w:val="center"/>
        </w:trPr>
        <w:tc>
          <w:tcPr>
            <w:tcW w:w="624" w:type="dxa"/>
            <w:vAlign w:val="center"/>
          </w:tcPr>
          <w:p>
            <w:pPr>
              <w:pStyle w:val="17"/>
              <w:spacing w:before="143" w:line="24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spacing w:val="6"/>
                <w:position w:val="14"/>
                <w:sz w:val="24"/>
                <w:szCs w:val="24"/>
                <w:highlight w:val="none"/>
                <w:lang w:val="en-US" w:eastAsia="zh-CN"/>
              </w:rPr>
              <w:t>序号</w:t>
            </w:r>
          </w:p>
        </w:tc>
        <w:tc>
          <w:tcPr>
            <w:tcW w:w="1108" w:type="dxa"/>
            <w:vAlign w:val="center"/>
          </w:tcPr>
          <w:p>
            <w:pPr>
              <w:pStyle w:val="17"/>
              <w:spacing w:before="143" w:line="24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项目名称</w:t>
            </w:r>
          </w:p>
        </w:tc>
        <w:tc>
          <w:tcPr>
            <w:tcW w:w="1987" w:type="dxa"/>
            <w:vAlign w:val="center"/>
          </w:tcPr>
          <w:p>
            <w:pPr>
              <w:pStyle w:val="17"/>
              <w:spacing w:before="143" w:line="240" w:lineRule="auto"/>
              <w:ind w:right="0" w:firstLine="0" w:firstLineChars="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项目概况（含项目内容、规模等）</w:t>
            </w:r>
          </w:p>
        </w:tc>
        <w:tc>
          <w:tcPr>
            <w:tcW w:w="1172" w:type="dxa"/>
            <w:vAlign w:val="center"/>
          </w:tcPr>
          <w:p>
            <w:pPr>
              <w:pStyle w:val="17"/>
              <w:spacing w:before="143" w:line="24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投资额（亿元）</w:t>
            </w:r>
          </w:p>
        </w:tc>
        <w:tc>
          <w:tcPr>
            <w:tcW w:w="1180" w:type="dxa"/>
            <w:vAlign w:val="center"/>
          </w:tcPr>
          <w:p>
            <w:pPr>
              <w:pStyle w:val="17"/>
              <w:spacing w:before="143" w:line="24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业主名称</w:t>
            </w:r>
          </w:p>
        </w:tc>
        <w:tc>
          <w:tcPr>
            <w:tcW w:w="922" w:type="dxa"/>
            <w:vAlign w:val="center"/>
          </w:tcPr>
          <w:p>
            <w:pPr>
              <w:pStyle w:val="17"/>
              <w:spacing w:line="240" w:lineRule="auto"/>
              <w:ind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签订合同时间</w:t>
            </w:r>
          </w:p>
        </w:tc>
        <w:tc>
          <w:tcPr>
            <w:tcW w:w="1093" w:type="dxa"/>
            <w:vAlign w:val="center"/>
          </w:tcPr>
          <w:p>
            <w:pPr>
              <w:pStyle w:val="17"/>
              <w:spacing w:before="143" w:line="240" w:lineRule="auto"/>
              <w:ind w:firstLine="0" w:firstLineChars="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业主方联系人及联系方式</w:t>
            </w:r>
          </w:p>
        </w:tc>
        <w:tc>
          <w:tcPr>
            <w:tcW w:w="731" w:type="dxa"/>
            <w:vAlign w:val="center"/>
          </w:tcPr>
          <w:p>
            <w:pPr>
              <w:pStyle w:val="17"/>
              <w:spacing w:before="143" w:line="240" w:lineRule="auto"/>
              <w:ind w:right="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相关材料页码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jc w:val="center"/>
        </w:trPr>
        <w:tc>
          <w:tcPr>
            <w:tcW w:w="624"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08"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987"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7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80"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92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093"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731"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jc w:val="center"/>
        </w:trPr>
        <w:tc>
          <w:tcPr>
            <w:tcW w:w="624"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08"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987"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7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80"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92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093"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731"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jc w:val="center"/>
        </w:trPr>
        <w:tc>
          <w:tcPr>
            <w:tcW w:w="624"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08"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987"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7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80"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92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093"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731"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jc w:val="center"/>
        </w:trPr>
        <w:tc>
          <w:tcPr>
            <w:tcW w:w="624"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08"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987"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7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80"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92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093"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731"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jc w:val="center"/>
        </w:trPr>
        <w:tc>
          <w:tcPr>
            <w:tcW w:w="624"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08"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987"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7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180"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922"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1093"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c>
          <w:tcPr>
            <w:tcW w:w="731" w:type="dxa"/>
            <w:vAlign w:val="center"/>
          </w:tcPr>
          <w:p>
            <w:pPr>
              <w:spacing w:line="360" w:lineRule="auto"/>
              <w:ind w:firstLine="268" w:firstLineChars="112"/>
              <w:jc w:val="center"/>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1732" w:type="dxa"/>
            <w:gridSpan w:val="2"/>
            <w:vAlign w:val="center"/>
          </w:tcPr>
          <w:p>
            <w:pPr>
              <w:pStyle w:val="17"/>
              <w:spacing w:line="240" w:lineRule="auto"/>
              <w:jc w:val="left"/>
              <w:rPr>
                <w:rFonts w:hint="eastAsia" w:ascii="仿宋" w:hAnsi="仿宋" w:eastAsia="仿宋" w:cs="仿宋"/>
                <w:color w:val="auto"/>
                <w:highlight w:val="none"/>
              </w:rPr>
            </w:pPr>
            <w:r>
              <w:rPr>
                <w:rFonts w:hint="eastAsia" w:ascii="仿宋" w:hAnsi="仿宋" w:eastAsia="仿宋" w:cs="仿宋"/>
                <w:color w:val="auto"/>
                <w:highlight w:val="none"/>
              </w:rPr>
              <w:t>投资额合计</w:t>
            </w:r>
          </w:p>
        </w:tc>
        <w:tc>
          <w:tcPr>
            <w:tcW w:w="7085" w:type="dxa"/>
            <w:gridSpan w:val="6"/>
            <w:vAlign w:val="center"/>
          </w:tcPr>
          <w:p>
            <w:pPr>
              <w:pStyle w:val="17"/>
              <w:spacing w:before="143" w:line="240" w:lineRule="auto"/>
              <w:jc w:val="left"/>
              <w:rPr>
                <w:rFonts w:hint="eastAsia" w:ascii="仿宋" w:hAnsi="仿宋" w:eastAsia="仿宋" w:cs="仿宋"/>
                <w:color w:val="auto"/>
                <w:highlight w:val="none"/>
              </w:rPr>
            </w:pPr>
            <w:r>
              <w:rPr>
                <w:rFonts w:hint="eastAsia" w:ascii="仿宋" w:hAnsi="仿宋" w:eastAsia="仿宋" w:cs="仿宋"/>
                <w:color w:val="auto"/>
                <w:highlight w:val="none"/>
              </w:rPr>
              <w:t>亿元</w:t>
            </w:r>
          </w:p>
        </w:tc>
      </w:tr>
    </w:tbl>
    <w:p>
      <w:pPr>
        <w:spacing w:before="104"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注：1</w:t>
      </w:r>
      <w:r>
        <w:rPr>
          <w:rFonts w:hint="eastAsia" w:ascii="仿宋" w:hAnsi="仿宋" w:eastAsia="仿宋" w:cs="仿宋"/>
          <w:color w:val="auto"/>
          <w:spacing w:val="-34"/>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、投标人应按本文件第三章评分细则中业绩打分项的要求将类似项目的情况填入本表中，并按要求附相关资料。</w:t>
      </w:r>
    </w:p>
    <w:p>
      <w:pPr>
        <w:spacing w:before="32" w:line="360" w:lineRule="auto"/>
        <w:ind w:firstLine="266"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2</w:t>
      </w:r>
      <w:r>
        <w:rPr>
          <w:rFonts w:hint="eastAsia" w:ascii="仿宋" w:hAnsi="仿宋" w:eastAsia="仿宋" w:cs="仿宋"/>
          <w:color w:val="auto"/>
          <w:spacing w:val="-34"/>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、投标人只填写相关标的的情况，其它无关项</w:t>
      </w:r>
      <w:r>
        <w:rPr>
          <w:rFonts w:hint="eastAsia" w:ascii="仿宋" w:hAnsi="仿宋" w:eastAsia="仿宋" w:cs="仿宋"/>
          <w:color w:val="auto"/>
          <w:spacing w:val="-2"/>
          <w:sz w:val="24"/>
          <w:szCs w:val="24"/>
          <w:highlight w:val="none"/>
          <w:lang w:eastAsia="zh-CN"/>
        </w:rPr>
        <w:t>目不需填写。</w:t>
      </w:r>
    </w:p>
    <w:p>
      <w:pPr>
        <w:spacing w:before="145" w:line="360" w:lineRule="auto"/>
        <w:ind w:firstLine="264" w:firstLineChars="112"/>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3</w:t>
      </w:r>
      <w:r>
        <w:rPr>
          <w:rFonts w:hint="eastAsia" w:ascii="仿宋" w:hAnsi="仿宋" w:eastAsia="仿宋" w:cs="仿宋"/>
          <w:color w:val="auto"/>
          <w:spacing w:val="-33"/>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、本表如不足填写，投标人可自行添加。</w:t>
      </w:r>
    </w:p>
    <w:p>
      <w:pPr>
        <w:pStyle w:val="2"/>
        <w:spacing w:line="360" w:lineRule="auto"/>
        <w:ind w:firstLine="0" w:firstLineChars="0"/>
        <w:rPr>
          <w:rFonts w:hint="eastAsia" w:ascii="仿宋" w:hAnsi="仿宋" w:eastAsia="仿宋" w:cs="仿宋"/>
          <w:color w:val="auto"/>
          <w:highlight w:val="none"/>
          <w:lang w:eastAsia="zh-CN"/>
        </w:rPr>
      </w:pPr>
    </w:p>
    <w:p>
      <w:pPr>
        <w:rPr>
          <w:rFonts w:hint="eastAsia" w:ascii="仿宋" w:hAnsi="仿宋" w:eastAsia="仿宋" w:cs="仿宋"/>
          <w:color w:val="auto"/>
          <w:spacing w:val="-2"/>
          <w:sz w:val="28"/>
          <w:szCs w:val="28"/>
          <w:highlight w:val="none"/>
          <w:lang w:eastAsia="zh-CN"/>
        </w:rPr>
      </w:pPr>
      <w:bookmarkStart w:id="713" w:name="_Toc9647"/>
      <w:r>
        <w:rPr>
          <w:rFonts w:hint="eastAsia" w:ascii="仿宋" w:hAnsi="仿宋" w:eastAsia="仿宋" w:cs="仿宋"/>
          <w:color w:val="auto"/>
          <w:spacing w:val="-2"/>
          <w:sz w:val="28"/>
          <w:szCs w:val="28"/>
          <w:highlight w:val="none"/>
          <w:lang w:eastAsia="zh-CN"/>
        </w:rPr>
        <w:br w:type="page"/>
      </w:r>
    </w:p>
    <w:bookmarkEnd w:id="713"/>
    <w:p>
      <w:pPr>
        <w:spacing w:line="360" w:lineRule="auto"/>
        <w:ind w:firstLine="268" w:firstLineChars="112"/>
        <w:rPr>
          <w:rFonts w:hint="eastAsia" w:ascii="仿宋" w:hAnsi="仿宋" w:eastAsia="仿宋" w:cs="仿宋"/>
          <w:color w:val="auto"/>
          <w:sz w:val="24"/>
          <w:szCs w:val="24"/>
          <w:highlight w:val="none"/>
          <w:lang w:eastAsia="zh-CN"/>
        </w:rPr>
        <w:sectPr>
          <w:footerReference r:id="rId20" w:type="default"/>
          <w:pgSz w:w="11900" w:h="16840"/>
          <w:pgMar w:top="1417" w:right="1701" w:bottom="1417" w:left="1701" w:header="0" w:footer="567" w:gutter="0"/>
          <w:pgNumType w:fmt="decimal"/>
          <w:cols w:space="720" w:num="1"/>
        </w:sectPr>
      </w:pPr>
    </w:p>
    <w:p>
      <w:pPr>
        <w:spacing w:before="56" w:line="360" w:lineRule="auto"/>
        <w:ind w:firstLine="301" w:firstLineChars="112"/>
        <w:jc w:val="center"/>
        <w:outlineLvl w:val="1"/>
        <w:rPr>
          <w:rFonts w:hint="eastAsia" w:ascii="仿宋" w:hAnsi="仿宋" w:eastAsia="仿宋" w:cs="仿宋"/>
          <w:b/>
          <w:bCs/>
          <w:color w:val="auto"/>
          <w:sz w:val="28"/>
          <w:szCs w:val="28"/>
          <w:highlight w:val="none"/>
          <w:lang w:eastAsia="zh-CN"/>
        </w:rPr>
      </w:pPr>
      <w:bookmarkStart w:id="714" w:name="bookmark120"/>
      <w:bookmarkEnd w:id="714"/>
      <w:bookmarkStart w:id="715" w:name="_Toc12179"/>
      <w:bookmarkStart w:id="716" w:name="_Toc6486"/>
      <w:bookmarkStart w:id="717" w:name="_Toc31060"/>
      <w:bookmarkStart w:id="718" w:name="_Toc13523"/>
      <w:bookmarkStart w:id="719" w:name="_Toc10144"/>
      <w:bookmarkStart w:id="720" w:name="_Toc27368"/>
      <w:bookmarkStart w:id="721" w:name="_Toc27347"/>
      <w:r>
        <w:rPr>
          <w:rFonts w:hint="eastAsia" w:ascii="仿宋" w:hAnsi="仿宋" w:eastAsia="仿宋" w:cs="仿宋"/>
          <w:b/>
          <w:bCs/>
          <w:color w:val="auto"/>
          <w:spacing w:val="-6"/>
          <w:sz w:val="28"/>
          <w:szCs w:val="28"/>
          <w:highlight w:val="none"/>
          <w:lang w:eastAsia="zh-CN"/>
        </w:rPr>
        <w:t>十</w:t>
      </w:r>
      <w:r>
        <w:rPr>
          <w:rFonts w:hint="eastAsia" w:ascii="仿宋" w:hAnsi="仿宋" w:eastAsia="仿宋" w:cs="仿宋"/>
          <w:b/>
          <w:bCs/>
          <w:color w:val="auto"/>
          <w:spacing w:val="-6"/>
          <w:sz w:val="28"/>
          <w:szCs w:val="28"/>
          <w:highlight w:val="none"/>
          <w:lang w:val="en-US" w:eastAsia="zh-CN"/>
        </w:rPr>
        <w:t>二</w:t>
      </w:r>
      <w:r>
        <w:rPr>
          <w:rFonts w:hint="eastAsia" w:ascii="仿宋" w:hAnsi="仿宋" w:eastAsia="仿宋" w:cs="仿宋"/>
          <w:b/>
          <w:bCs/>
          <w:color w:val="auto"/>
          <w:spacing w:val="-6"/>
          <w:sz w:val="28"/>
          <w:szCs w:val="28"/>
          <w:highlight w:val="none"/>
          <w:lang w:eastAsia="zh-CN"/>
        </w:rPr>
        <w:t>、</w:t>
      </w:r>
      <w:r>
        <w:rPr>
          <w:rFonts w:hint="eastAsia" w:ascii="仿宋" w:hAnsi="仿宋" w:eastAsia="仿宋" w:cs="仿宋"/>
          <w:b/>
          <w:bCs/>
          <w:color w:val="auto"/>
          <w:spacing w:val="-75"/>
          <w:sz w:val="28"/>
          <w:szCs w:val="28"/>
          <w:highlight w:val="none"/>
          <w:lang w:eastAsia="zh-CN"/>
        </w:rPr>
        <w:t xml:space="preserve"> </w:t>
      </w:r>
      <w:r>
        <w:rPr>
          <w:rFonts w:hint="eastAsia" w:ascii="仿宋" w:hAnsi="仿宋" w:eastAsia="仿宋" w:cs="仿宋"/>
          <w:b/>
          <w:bCs/>
          <w:color w:val="auto"/>
          <w:spacing w:val="-6"/>
          <w:sz w:val="28"/>
          <w:szCs w:val="28"/>
          <w:highlight w:val="none"/>
          <w:lang w:eastAsia="zh-CN"/>
        </w:rPr>
        <w:t>良好商业信誉证明材料</w:t>
      </w:r>
      <w:bookmarkEnd w:id="715"/>
      <w:bookmarkEnd w:id="716"/>
      <w:bookmarkEnd w:id="717"/>
      <w:bookmarkEnd w:id="718"/>
      <w:bookmarkEnd w:id="719"/>
      <w:bookmarkEnd w:id="720"/>
      <w:bookmarkEnd w:id="721"/>
    </w:p>
    <w:p>
      <w:pPr>
        <w:pStyle w:val="2"/>
        <w:spacing w:line="360" w:lineRule="auto"/>
        <w:ind w:firstLine="0" w:firstLineChars="0"/>
        <w:rPr>
          <w:rFonts w:hint="eastAsia" w:ascii="仿宋" w:hAnsi="仿宋" w:eastAsia="仿宋" w:cs="仿宋"/>
          <w:color w:val="auto"/>
          <w:highlight w:val="none"/>
          <w:lang w:eastAsia="zh-CN"/>
        </w:rPr>
      </w:pPr>
    </w:p>
    <w:p>
      <w:pPr>
        <w:spacing w:before="78" w:line="360" w:lineRule="auto"/>
        <w:ind w:firstLine="264" w:firstLineChars="112"/>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在“信用中国网</w:t>
      </w:r>
      <w:r>
        <w:rPr>
          <w:rFonts w:hint="eastAsia" w:ascii="仿宋" w:hAnsi="仿宋" w:eastAsia="仿宋" w:cs="仿宋"/>
          <w:color w:val="auto"/>
          <w:spacing w:val="-59"/>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www.creditchina.gov.cn”未被列入失</w:t>
      </w:r>
      <w:r>
        <w:rPr>
          <w:rFonts w:hint="eastAsia" w:ascii="仿宋" w:hAnsi="仿宋" w:eastAsia="仿宋" w:cs="仿宋"/>
          <w:color w:val="auto"/>
          <w:spacing w:val="-3"/>
          <w:sz w:val="24"/>
          <w:szCs w:val="24"/>
          <w:highlight w:val="none"/>
          <w:lang w:eastAsia="zh-CN"/>
        </w:rPr>
        <w:t>信被执行人、重大税收违法</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pacing w:val="-5"/>
          <w:sz w:val="24"/>
          <w:szCs w:val="24"/>
          <w:highlight w:val="none"/>
          <w:lang w:eastAsia="zh-CN"/>
        </w:rPr>
        <w:t>案件当事人名单、严重拖欠农民工工资失信主体、政府采购严重失信行为记录名单，</w:t>
      </w:r>
      <w:r>
        <w:rPr>
          <w:rFonts w:hint="eastAsia" w:ascii="仿宋" w:hAnsi="仿宋" w:eastAsia="仿宋" w:cs="仿宋"/>
          <w:color w:val="auto"/>
          <w:spacing w:val="-2"/>
          <w:sz w:val="24"/>
          <w:szCs w:val="24"/>
          <w:highlight w:val="none"/>
          <w:lang w:eastAsia="zh-CN"/>
        </w:rPr>
        <w:t>且在“</w:t>
      </w:r>
      <w:r>
        <w:rPr>
          <w:rFonts w:hint="eastAsia" w:ascii="仿宋" w:hAnsi="仿宋" w:eastAsia="仿宋" w:cs="仿宋"/>
          <w:color w:val="auto"/>
          <w:spacing w:val="-84"/>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中国政府采购网</w:t>
      </w:r>
      <w:r>
        <w:rPr>
          <w:rFonts w:hint="eastAsia" w:ascii="仿宋" w:hAnsi="仿宋" w:eastAsia="仿宋" w:cs="仿宋"/>
          <w:color w:val="auto"/>
          <w:spacing w:val="-59"/>
          <w:sz w:val="24"/>
          <w:szCs w:val="24"/>
          <w:highlight w:val="none"/>
          <w:lang w:eastAsia="zh-CN"/>
        </w:rPr>
        <w:t xml:space="preserve"> </w:t>
      </w:r>
      <w:r>
        <w:rPr>
          <w:rFonts w:hint="eastAsia" w:ascii="仿宋" w:hAnsi="仿宋" w:eastAsia="仿宋" w:cs="仿宋"/>
          <w:color w:val="auto"/>
          <w:spacing w:val="-2"/>
          <w:sz w:val="24"/>
          <w:szCs w:val="24"/>
          <w:highlight w:val="none"/>
          <w:lang w:eastAsia="zh-CN"/>
        </w:rPr>
        <w:t>www.ccgp.gov.cn”无严重违法失信行为信息记录。</w:t>
      </w:r>
    </w:p>
    <w:p>
      <w:pPr>
        <w:spacing w:line="360" w:lineRule="auto"/>
        <w:ind w:firstLine="268" w:firstLineChars="112"/>
        <w:rPr>
          <w:rFonts w:hint="eastAsia" w:ascii="仿宋" w:hAnsi="仿宋" w:eastAsia="仿宋" w:cs="仿宋"/>
          <w:color w:val="auto"/>
          <w:sz w:val="24"/>
          <w:szCs w:val="24"/>
          <w:highlight w:val="none"/>
          <w:lang w:eastAsia="zh-CN"/>
        </w:rPr>
        <w:sectPr>
          <w:footerReference r:id="rId21" w:type="default"/>
          <w:pgSz w:w="11900" w:h="16840"/>
          <w:pgMar w:top="1417" w:right="1701" w:bottom="1417" w:left="1701" w:header="0" w:footer="567" w:gutter="0"/>
          <w:pgNumType w:fmt="decimal"/>
          <w:cols w:space="720" w:num="1"/>
        </w:sectPr>
      </w:pPr>
    </w:p>
    <w:p>
      <w:pPr>
        <w:spacing w:before="55" w:line="360" w:lineRule="auto"/>
        <w:ind w:firstLine="310" w:firstLineChars="112"/>
        <w:jc w:val="center"/>
        <w:outlineLvl w:val="1"/>
        <w:rPr>
          <w:rFonts w:hint="eastAsia" w:ascii="仿宋" w:hAnsi="仿宋" w:eastAsia="仿宋" w:cs="仿宋"/>
          <w:b/>
          <w:bCs/>
          <w:color w:val="auto"/>
          <w:sz w:val="28"/>
          <w:szCs w:val="28"/>
          <w:highlight w:val="none"/>
          <w:lang w:eastAsia="zh-CN"/>
        </w:rPr>
      </w:pPr>
      <w:bookmarkStart w:id="722" w:name="bookmark121"/>
      <w:bookmarkEnd w:id="722"/>
      <w:bookmarkStart w:id="723" w:name="_Toc22944"/>
      <w:bookmarkStart w:id="724" w:name="_Toc5212"/>
      <w:bookmarkStart w:id="725" w:name="_Toc208"/>
      <w:bookmarkStart w:id="726" w:name="_Toc27624"/>
      <w:bookmarkStart w:id="727" w:name="_Toc3378"/>
      <w:bookmarkStart w:id="728" w:name="_Toc2929"/>
      <w:bookmarkStart w:id="729" w:name="_Toc18027"/>
      <w:r>
        <w:rPr>
          <w:rFonts w:hint="eastAsia" w:ascii="仿宋" w:hAnsi="仿宋" w:eastAsia="仿宋" w:cs="仿宋"/>
          <w:b/>
          <w:bCs/>
          <w:color w:val="auto"/>
          <w:spacing w:val="-2"/>
          <w:sz w:val="28"/>
          <w:szCs w:val="28"/>
          <w:highlight w:val="none"/>
          <w:lang w:eastAsia="zh-CN"/>
        </w:rPr>
        <w:t>十</w:t>
      </w:r>
      <w:r>
        <w:rPr>
          <w:rFonts w:hint="eastAsia" w:ascii="仿宋" w:hAnsi="仿宋" w:eastAsia="仿宋" w:cs="仿宋"/>
          <w:b/>
          <w:bCs/>
          <w:color w:val="auto"/>
          <w:spacing w:val="-2"/>
          <w:sz w:val="28"/>
          <w:szCs w:val="28"/>
          <w:highlight w:val="none"/>
          <w:lang w:val="en-US" w:eastAsia="zh-CN"/>
        </w:rPr>
        <w:t>三</w:t>
      </w:r>
      <w:r>
        <w:rPr>
          <w:rFonts w:hint="eastAsia" w:ascii="仿宋" w:hAnsi="仿宋" w:eastAsia="仿宋" w:cs="仿宋"/>
          <w:b/>
          <w:bCs/>
          <w:color w:val="auto"/>
          <w:spacing w:val="-2"/>
          <w:sz w:val="28"/>
          <w:szCs w:val="28"/>
          <w:highlight w:val="none"/>
          <w:lang w:eastAsia="zh-CN"/>
        </w:rPr>
        <w:t>、投标人认为需要提交的其它资料</w:t>
      </w:r>
      <w:bookmarkEnd w:id="723"/>
      <w:bookmarkEnd w:id="724"/>
      <w:bookmarkEnd w:id="725"/>
      <w:bookmarkEnd w:id="726"/>
      <w:bookmarkEnd w:id="727"/>
      <w:bookmarkEnd w:id="728"/>
      <w:bookmarkEnd w:id="729"/>
    </w:p>
    <w:p>
      <w:pPr>
        <w:pStyle w:val="2"/>
        <w:spacing w:line="360" w:lineRule="auto"/>
        <w:ind w:firstLine="0" w:firstLineChars="0"/>
        <w:rPr>
          <w:rFonts w:hint="eastAsia" w:ascii="仿宋" w:hAnsi="仿宋" w:eastAsia="仿宋" w:cs="仿宋"/>
          <w:color w:val="auto"/>
          <w:highlight w:val="none"/>
          <w:lang w:eastAsia="zh-CN"/>
        </w:rPr>
      </w:pPr>
    </w:p>
    <w:p>
      <w:pPr>
        <w:spacing w:line="360" w:lineRule="auto"/>
        <w:ind w:firstLine="268" w:firstLineChars="112"/>
        <w:rPr>
          <w:rFonts w:hint="eastAsia" w:ascii="仿宋" w:hAnsi="仿宋" w:eastAsia="仿宋" w:cs="仿宋"/>
          <w:color w:val="auto"/>
          <w:sz w:val="24"/>
          <w:szCs w:val="24"/>
          <w:highlight w:val="none"/>
          <w:lang w:eastAsia="zh-CN"/>
        </w:rPr>
        <w:sectPr>
          <w:footerReference r:id="rId22" w:type="default"/>
          <w:pgSz w:w="11900" w:h="16840"/>
          <w:pgMar w:top="1417" w:right="1701" w:bottom="1417" w:left="1701" w:header="0" w:footer="567" w:gutter="0"/>
          <w:pgNumType w:fmt="decimal"/>
          <w:cols w:space="720" w:num="1"/>
        </w:sectPr>
      </w:pPr>
    </w:p>
    <w:p>
      <w:pPr>
        <w:spacing w:before="55" w:line="360" w:lineRule="auto"/>
        <w:ind w:firstLine="234" w:firstLineChars="112"/>
        <w:jc w:val="left"/>
        <w:outlineLvl w:val="1"/>
        <w:rPr>
          <w:rFonts w:hint="eastAsia" w:ascii="仿宋" w:hAnsi="仿宋" w:eastAsia="仿宋" w:cs="仿宋"/>
          <w:b/>
          <w:bCs/>
          <w:color w:val="auto"/>
          <w:spacing w:val="-1"/>
          <w:sz w:val="32"/>
          <w:szCs w:val="32"/>
          <w:highlight w:val="none"/>
          <w:lang w:eastAsia="zh-CN"/>
        </w:rPr>
      </w:pPr>
      <w:bookmarkStart w:id="730" w:name="_Toc29952"/>
      <w:bookmarkStart w:id="731" w:name="_Toc7819"/>
      <w:bookmarkStart w:id="732" w:name="_Toc22799"/>
      <w:bookmarkStart w:id="733" w:name="_Toc6235"/>
      <w:bookmarkStart w:id="734" w:name="_Toc17944"/>
      <w:bookmarkStart w:id="735" w:name="_Toc1154"/>
      <w:bookmarkStart w:id="736" w:name="_Toc7956"/>
      <w:r>
        <w:rPr>
          <w:rFonts w:hint="eastAsia" w:ascii="仿宋" w:hAnsi="仿宋" w:eastAsia="仿宋" w:cs="仿宋"/>
          <w:b/>
          <w:bCs/>
          <w:color w:val="auto"/>
          <w:spacing w:val="-6"/>
          <w:sz w:val="22"/>
          <w:szCs w:val="22"/>
          <w:highlight w:val="none"/>
          <w:lang w:val="en-US" w:eastAsia="zh-CN"/>
        </w:rPr>
        <w:t>技术部分</w:t>
      </w:r>
      <w:bookmarkEnd w:id="730"/>
      <w:bookmarkEnd w:id="731"/>
      <w:bookmarkEnd w:id="732"/>
    </w:p>
    <w:p>
      <w:pPr>
        <w:spacing w:before="55" w:line="360" w:lineRule="auto"/>
        <w:ind w:firstLine="313" w:firstLineChars="112"/>
        <w:jc w:val="center"/>
        <w:outlineLvl w:val="1"/>
        <w:rPr>
          <w:rFonts w:hint="eastAsia" w:ascii="仿宋" w:hAnsi="仿宋" w:eastAsia="仿宋" w:cs="仿宋"/>
          <w:b/>
          <w:bCs/>
          <w:color w:val="auto"/>
          <w:sz w:val="28"/>
          <w:szCs w:val="28"/>
          <w:highlight w:val="none"/>
          <w:lang w:eastAsia="zh-CN"/>
        </w:rPr>
      </w:pPr>
      <w:bookmarkStart w:id="737" w:name="_Toc6734"/>
      <w:bookmarkStart w:id="738" w:name="_Toc27880"/>
      <w:bookmarkStart w:id="739" w:name="_Toc1358"/>
      <w:r>
        <w:rPr>
          <w:rFonts w:hint="eastAsia" w:ascii="仿宋" w:hAnsi="仿宋" w:eastAsia="仿宋" w:cs="仿宋"/>
          <w:b/>
          <w:bCs/>
          <w:color w:val="auto"/>
          <w:spacing w:val="-1"/>
          <w:sz w:val="28"/>
          <w:szCs w:val="28"/>
          <w:highlight w:val="none"/>
          <w:lang w:val="en-US" w:eastAsia="zh-CN"/>
        </w:rPr>
        <w:t>十四、</w:t>
      </w:r>
      <w:r>
        <w:rPr>
          <w:rFonts w:hint="eastAsia" w:ascii="仿宋" w:hAnsi="仿宋" w:eastAsia="仿宋" w:cs="仿宋"/>
          <w:b/>
          <w:bCs/>
          <w:color w:val="auto"/>
          <w:spacing w:val="-2"/>
          <w:sz w:val="28"/>
          <w:szCs w:val="28"/>
          <w:highlight w:val="none"/>
          <w:lang w:eastAsia="zh-CN"/>
        </w:rPr>
        <w:t>项目实施计划</w:t>
      </w:r>
      <w:bookmarkEnd w:id="737"/>
      <w:bookmarkEnd w:id="738"/>
      <w:bookmarkEnd w:id="739"/>
    </w:p>
    <w:p>
      <w:pPr>
        <w:pStyle w:val="2"/>
        <w:spacing w:line="360" w:lineRule="auto"/>
        <w:ind w:firstLine="0" w:firstLineChars="0"/>
        <w:rPr>
          <w:rFonts w:hint="eastAsia" w:ascii="仿宋" w:hAnsi="仿宋" w:eastAsia="仿宋" w:cs="仿宋"/>
          <w:color w:val="auto"/>
          <w:highlight w:val="none"/>
          <w:lang w:eastAsia="zh-CN"/>
        </w:rPr>
      </w:pPr>
    </w:p>
    <w:p>
      <w:pPr>
        <w:spacing w:before="55" w:line="360" w:lineRule="auto"/>
        <w:ind w:firstLine="0" w:firstLineChars="0"/>
        <w:jc w:val="both"/>
        <w:outlineLvl w:val="1"/>
        <w:rPr>
          <w:rFonts w:hint="eastAsia" w:ascii="仿宋" w:hAnsi="仿宋" w:eastAsia="仿宋" w:cs="仿宋"/>
          <w:b/>
          <w:bCs/>
          <w:color w:val="auto"/>
          <w:sz w:val="28"/>
          <w:szCs w:val="28"/>
          <w:highlight w:val="none"/>
          <w:lang w:eastAsia="zh-CN"/>
        </w:rPr>
      </w:pPr>
      <w:bookmarkStart w:id="740" w:name="_Toc25787"/>
      <w:bookmarkStart w:id="741" w:name="_Toc25910"/>
      <w:bookmarkStart w:id="742" w:name="_Toc3067"/>
      <w:r>
        <w:rPr>
          <w:rFonts w:hint="eastAsia" w:ascii="仿宋" w:hAnsi="仿宋" w:eastAsia="仿宋" w:cs="仿宋"/>
          <w:color w:val="auto"/>
          <w:spacing w:val="2"/>
          <w:sz w:val="24"/>
          <w:szCs w:val="24"/>
          <w:highlight w:val="none"/>
          <w:lang w:eastAsia="zh-CN"/>
        </w:rPr>
        <w:t>按招标文件要求自行</w:t>
      </w:r>
      <w:r>
        <w:rPr>
          <w:rFonts w:hint="eastAsia" w:ascii="仿宋" w:hAnsi="仿宋" w:eastAsia="仿宋" w:cs="仿宋"/>
          <w:color w:val="auto"/>
          <w:spacing w:val="-1"/>
          <w:sz w:val="24"/>
          <w:szCs w:val="24"/>
          <w:highlight w:val="none"/>
          <w:lang w:eastAsia="zh-CN"/>
        </w:rPr>
        <w:t>编写</w:t>
      </w:r>
      <w:bookmarkEnd w:id="733"/>
      <w:bookmarkEnd w:id="734"/>
      <w:bookmarkEnd w:id="735"/>
      <w:bookmarkEnd w:id="736"/>
      <w:r>
        <w:rPr>
          <w:rFonts w:hint="eastAsia" w:ascii="仿宋" w:hAnsi="仿宋" w:eastAsia="仿宋" w:cs="仿宋"/>
          <w:b/>
          <w:bCs/>
          <w:color w:val="auto"/>
          <w:spacing w:val="-1"/>
          <w:sz w:val="28"/>
          <w:szCs w:val="28"/>
          <w:highlight w:val="none"/>
          <w:lang w:eastAsia="zh-CN"/>
        </w:rPr>
        <w:t>。</w:t>
      </w:r>
      <w:bookmarkEnd w:id="740"/>
      <w:bookmarkEnd w:id="741"/>
      <w:bookmarkEnd w:id="742"/>
    </w:p>
    <w:p>
      <w:pPr>
        <w:rPr>
          <w:color w:val="auto"/>
          <w:highlight w:val="none"/>
        </w:rPr>
      </w:pPr>
    </w:p>
    <w:p>
      <w:pPr>
        <w:rPr>
          <w:color w:val="auto"/>
          <w:highlight w:val="none"/>
        </w:rPr>
      </w:pPr>
    </w:p>
    <w:sectPr>
      <w:footerReference r:id="rId23" w:type="default"/>
      <w:pgSz w:w="11900" w:h="16840"/>
      <w:pgMar w:top="1417" w:right="1701" w:bottom="1417" w:left="1701" w:header="0" w:footer="56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230"/>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322"/>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62"/>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62"/>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320"/>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232"/>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53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3295"/>
      <w:rPr>
        <w:rFonts w:ascii="Calibri" w:hAnsi="Calibri" w:eastAsia="Calibri" w:cs="Calibri"/>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05410" cy="73025"/>
              <wp:effectExtent l="0" t="0" r="0" b="0"/>
              <wp:wrapNone/>
              <wp:docPr id="2" name="Shape 1"/>
              <wp:cNvGraphicFramePr/>
              <a:graphic xmlns:a="http://schemas.openxmlformats.org/drawingml/2006/main">
                <a:graphicData uri="http://schemas.microsoft.com/office/word/2010/wordprocessingShape">
                  <wps:wsp>
                    <wps:cNvSpPr txBox="1"/>
                    <wps:spPr>
                      <a:xfrm>
                        <a:off x="0" y="0"/>
                        <a:ext cx="105410" cy="73025"/>
                      </a:xfrm>
                      <a:prstGeom prst="rect">
                        <a:avLst/>
                      </a:prstGeom>
                      <a:noFill/>
                    </wps:spPr>
                    <wps:txbx>
                      <w:txbxContent>
                        <w:p>
                          <w:pPr>
                            <w:pStyle w:val="19"/>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sz w:val="18"/>
                              <w:szCs w:val="18"/>
                            </w:rPr>
                            <w:t>#</w:t>
                          </w:r>
                          <w:r>
                            <w:rPr>
                              <w:rFonts w:ascii="Times New Roman" w:hAnsi="Times New Roman" w:eastAsia="Times New Roman" w:cs="Times New Roman"/>
                              <w:sz w:val="18"/>
                              <w:szCs w:val="1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top:0pt;height:5.75pt;width:8.3pt;mso-position-horizontal:center;mso-position-horizontal-relative:margin;mso-wrap-style:none;z-index:251660288;mso-width-relative:page;mso-height-relative:page;" filled="f" stroked="f" coordsize="21600,21600" o:gfxdata="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3+nX50AAAAAMBAAAPAAAA&#10;AAAAAAEAIAAAACIAAABkcnMvZG93bnJldi54bWxQSwECFAAUAAAACACHTuJASpsYl6sBAABuAwAA&#10;DgAAAAAAAAABACAAAAAfAQAAZHJzL2Uyb0RvYy54bWxQSwUGAAAAAAYABgBZAQAAPAUAAAAA&#10;">
              <v:fill on="f" focussize="0,0"/>
              <v:stroke on="f"/>
              <v:imagedata o:title=""/>
              <o:lock v:ext="edit" aspectratio="f"/>
              <v:textbox inset="0mm,0mm,0mm,0mm" style="mso-fit-shape-to-text:t;">
                <w:txbxContent>
                  <w:p>
                    <w:pPr>
                      <w:pStyle w:val="19"/>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sz w:val="18"/>
                        <w:szCs w:val="18"/>
                      </w:rPr>
                      <w:t>#</w:t>
                    </w:r>
                    <w:r>
                      <w:rPr>
                        <w:rFonts w:ascii="Times New Roman" w:hAnsi="Times New Roman" w:eastAsia="Times New Roman" w:cs="Times New Roman"/>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244"/>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BC632"/>
    <w:multiLevelType w:val="singleLevel"/>
    <w:tmpl w:val="88ABC632"/>
    <w:lvl w:ilvl="0" w:tentative="0">
      <w:start w:val="6"/>
      <w:numFmt w:val="chineseCounting"/>
      <w:suff w:val="space"/>
      <w:lvlText w:val="第%1章"/>
      <w:lvlJc w:val="left"/>
      <w:rPr>
        <w:rFonts w:hint="eastAsia"/>
      </w:rPr>
    </w:lvl>
  </w:abstractNum>
  <w:abstractNum w:abstractNumId="1">
    <w:nsid w:val="8CE30730"/>
    <w:multiLevelType w:val="singleLevel"/>
    <w:tmpl w:val="8CE30730"/>
    <w:lvl w:ilvl="0" w:tentative="0">
      <w:start w:val="2"/>
      <w:numFmt w:val="chineseCounting"/>
      <w:suff w:val="nothing"/>
      <w:lvlText w:val="%1、"/>
      <w:lvlJc w:val="left"/>
      <w:rPr>
        <w:rFonts w:hint="eastAsia"/>
      </w:rPr>
    </w:lvl>
  </w:abstractNum>
  <w:abstractNum w:abstractNumId="2">
    <w:nsid w:val="00000000"/>
    <w:multiLevelType w:val="multilevel"/>
    <w:tmpl w:val="00000000"/>
    <w:lvl w:ilvl="0" w:tentative="0">
      <w:start w:val="1"/>
      <w:numFmt w:val="decimal"/>
      <w:lvlText w:val="（%1）"/>
      <w:lvlJc w:val="left"/>
      <w:pPr>
        <w:ind w:left="1302" w:hanging="60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158" w:hanging="601"/>
      </w:pPr>
      <w:rPr>
        <w:rFonts w:hint="default"/>
        <w:lang w:val="en-US" w:eastAsia="zh-CN" w:bidi="ar-SA"/>
      </w:rPr>
    </w:lvl>
    <w:lvl w:ilvl="2" w:tentative="0">
      <w:start w:val="0"/>
      <w:numFmt w:val="bullet"/>
      <w:lvlText w:val="•"/>
      <w:lvlJc w:val="left"/>
      <w:pPr>
        <w:ind w:left="3016" w:hanging="601"/>
      </w:pPr>
      <w:rPr>
        <w:rFonts w:hint="default"/>
        <w:lang w:val="en-US" w:eastAsia="zh-CN" w:bidi="ar-SA"/>
      </w:rPr>
    </w:lvl>
    <w:lvl w:ilvl="3" w:tentative="0">
      <w:start w:val="0"/>
      <w:numFmt w:val="bullet"/>
      <w:lvlText w:val="•"/>
      <w:lvlJc w:val="left"/>
      <w:pPr>
        <w:ind w:left="3874" w:hanging="601"/>
      </w:pPr>
      <w:rPr>
        <w:rFonts w:hint="default"/>
        <w:lang w:val="en-US" w:eastAsia="zh-CN" w:bidi="ar-SA"/>
      </w:rPr>
    </w:lvl>
    <w:lvl w:ilvl="4" w:tentative="0">
      <w:start w:val="0"/>
      <w:numFmt w:val="bullet"/>
      <w:lvlText w:val="•"/>
      <w:lvlJc w:val="left"/>
      <w:pPr>
        <w:ind w:left="4732" w:hanging="601"/>
      </w:pPr>
      <w:rPr>
        <w:rFonts w:hint="default"/>
        <w:lang w:val="en-US" w:eastAsia="zh-CN" w:bidi="ar-SA"/>
      </w:rPr>
    </w:lvl>
    <w:lvl w:ilvl="5" w:tentative="0">
      <w:start w:val="0"/>
      <w:numFmt w:val="bullet"/>
      <w:lvlText w:val="•"/>
      <w:lvlJc w:val="left"/>
      <w:pPr>
        <w:ind w:left="5590" w:hanging="601"/>
      </w:pPr>
      <w:rPr>
        <w:rFonts w:hint="default"/>
        <w:lang w:val="en-US" w:eastAsia="zh-CN" w:bidi="ar-SA"/>
      </w:rPr>
    </w:lvl>
    <w:lvl w:ilvl="6" w:tentative="0">
      <w:start w:val="0"/>
      <w:numFmt w:val="bullet"/>
      <w:lvlText w:val="•"/>
      <w:lvlJc w:val="left"/>
      <w:pPr>
        <w:ind w:left="6448" w:hanging="601"/>
      </w:pPr>
      <w:rPr>
        <w:rFonts w:hint="default"/>
        <w:lang w:val="en-US" w:eastAsia="zh-CN" w:bidi="ar-SA"/>
      </w:rPr>
    </w:lvl>
    <w:lvl w:ilvl="7" w:tentative="0">
      <w:start w:val="0"/>
      <w:numFmt w:val="bullet"/>
      <w:lvlText w:val="•"/>
      <w:lvlJc w:val="left"/>
      <w:pPr>
        <w:ind w:left="7306" w:hanging="601"/>
      </w:pPr>
      <w:rPr>
        <w:rFonts w:hint="default"/>
        <w:lang w:val="en-US" w:eastAsia="zh-CN" w:bidi="ar-SA"/>
      </w:rPr>
    </w:lvl>
    <w:lvl w:ilvl="8" w:tentative="0">
      <w:start w:val="0"/>
      <w:numFmt w:val="bullet"/>
      <w:lvlText w:val="•"/>
      <w:lvlJc w:val="left"/>
      <w:pPr>
        <w:ind w:left="8164" w:hanging="601"/>
      </w:pPr>
      <w:rPr>
        <w:rFonts w:hint="default"/>
        <w:lang w:val="en-US" w:eastAsia="zh-CN" w:bidi="ar-SA"/>
      </w:rPr>
    </w:lvl>
  </w:abstractNum>
  <w:abstractNum w:abstractNumId="3">
    <w:nsid w:val="00000001"/>
    <w:multiLevelType w:val="multilevel"/>
    <w:tmpl w:val="00000001"/>
    <w:lvl w:ilvl="0" w:tentative="0">
      <w:start w:val="5"/>
      <w:numFmt w:val="decimal"/>
      <w:lvlText w:val="%1"/>
      <w:lvlJc w:val="left"/>
      <w:pPr>
        <w:ind w:left="1181" w:hanging="480"/>
        <w:jc w:val="left"/>
      </w:pPr>
      <w:rPr>
        <w:rFonts w:hint="default"/>
        <w:lang w:val="en-US" w:eastAsia="zh-CN" w:bidi="ar-SA"/>
      </w:rPr>
    </w:lvl>
    <w:lvl w:ilvl="1" w:tentative="0">
      <w:start w:val="1"/>
      <w:numFmt w:val="decimal"/>
      <w:lvlText w:val="%1.%2"/>
      <w:lvlJc w:val="left"/>
      <w:pPr>
        <w:ind w:left="1181" w:hanging="480"/>
        <w:jc w:val="left"/>
      </w:pPr>
      <w:rPr>
        <w:rFonts w:hint="default" w:ascii="宋体" w:hAnsi="宋体" w:eastAsia="宋体" w:cs="宋体"/>
        <w:w w:val="100"/>
        <w:sz w:val="24"/>
        <w:szCs w:val="24"/>
        <w:lang w:val="en-US" w:eastAsia="zh-CN" w:bidi="ar-SA"/>
      </w:rPr>
    </w:lvl>
    <w:lvl w:ilvl="2" w:tentative="0">
      <w:start w:val="0"/>
      <w:numFmt w:val="bullet"/>
      <w:lvlText w:val="•"/>
      <w:lvlJc w:val="left"/>
      <w:pPr>
        <w:ind w:left="2920" w:hanging="480"/>
      </w:pPr>
      <w:rPr>
        <w:rFonts w:hint="default"/>
        <w:lang w:val="en-US" w:eastAsia="zh-CN" w:bidi="ar-SA"/>
      </w:rPr>
    </w:lvl>
    <w:lvl w:ilvl="3" w:tentative="0">
      <w:start w:val="0"/>
      <w:numFmt w:val="bullet"/>
      <w:lvlText w:val="•"/>
      <w:lvlJc w:val="left"/>
      <w:pPr>
        <w:ind w:left="3790" w:hanging="480"/>
      </w:pPr>
      <w:rPr>
        <w:rFonts w:hint="default"/>
        <w:lang w:val="en-US" w:eastAsia="zh-CN" w:bidi="ar-SA"/>
      </w:rPr>
    </w:lvl>
    <w:lvl w:ilvl="4" w:tentative="0">
      <w:start w:val="0"/>
      <w:numFmt w:val="bullet"/>
      <w:lvlText w:val="•"/>
      <w:lvlJc w:val="left"/>
      <w:pPr>
        <w:ind w:left="4660" w:hanging="480"/>
      </w:pPr>
      <w:rPr>
        <w:rFonts w:hint="default"/>
        <w:lang w:val="en-US" w:eastAsia="zh-CN" w:bidi="ar-SA"/>
      </w:rPr>
    </w:lvl>
    <w:lvl w:ilvl="5" w:tentative="0">
      <w:start w:val="0"/>
      <w:numFmt w:val="bullet"/>
      <w:lvlText w:val="•"/>
      <w:lvlJc w:val="left"/>
      <w:pPr>
        <w:ind w:left="5530" w:hanging="480"/>
      </w:pPr>
      <w:rPr>
        <w:rFonts w:hint="default"/>
        <w:lang w:val="en-US" w:eastAsia="zh-CN" w:bidi="ar-SA"/>
      </w:rPr>
    </w:lvl>
    <w:lvl w:ilvl="6" w:tentative="0">
      <w:start w:val="0"/>
      <w:numFmt w:val="bullet"/>
      <w:lvlText w:val="•"/>
      <w:lvlJc w:val="left"/>
      <w:pPr>
        <w:ind w:left="6400" w:hanging="480"/>
      </w:pPr>
      <w:rPr>
        <w:rFonts w:hint="default"/>
        <w:lang w:val="en-US" w:eastAsia="zh-CN" w:bidi="ar-SA"/>
      </w:rPr>
    </w:lvl>
    <w:lvl w:ilvl="7" w:tentative="0">
      <w:start w:val="0"/>
      <w:numFmt w:val="bullet"/>
      <w:lvlText w:val="•"/>
      <w:lvlJc w:val="left"/>
      <w:pPr>
        <w:ind w:left="7270" w:hanging="480"/>
      </w:pPr>
      <w:rPr>
        <w:rFonts w:hint="default"/>
        <w:lang w:val="en-US" w:eastAsia="zh-CN" w:bidi="ar-SA"/>
      </w:rPr>
    </w:lvl>
    <w:lvl w:ilvl="8" w:tentative="0">
      <w:start w:val="0"/>
      <w:numFmt w:val="bullet"/>
      <w:lvlText w:val="•"/>
      <w:lvlJc w:val="left"/>
      <w:pPr>
        <w:ind w:left="8140" w:hanging="480"/>
      </w:pPr>
      <w:rPr>
        <w:rFonts w:hint="default"/>
        <w:lang w:val="en-US" w:eastAsia="zh-CN" w:bidi="ar-SA"/>
      </w:rPr>
    </w:lvl>
  </w:abstractNum>
  <w:abstractNum w:abstractNumId="4">
    <w:nsid w:val="00000002"/>
    <w:multiLevelType w:val="singleLevel"/>
    <w:tmpl w:val="00000002"/>
    <w:lvl w:ilvl="0" w:tentative="0">
      <w:start w:val="1"/>
      <w:numFmt w:val="chineseCounting"/>
      <w:suff w:val="nothing"/>
      <w:lvlText w:val="（%1）"/>
      <w:lvlJc w:val="left"/>
      <w:pPr>
        <w:ind w:left="-8"/>
      </w:pPr>
      <w:rPr>
        <w:rFonts w:hint="eastAsia"/>
      </w:rPr>
    </w:lvl>
  </w:abstractNum>
  <w:abstractNum w:abstractNumId="5">
    <w:nsid w:val="00000003"/>
    <w:multiLevelType w:val="multilevel"/>
    <w:tmpl w:val="00000003"/>
    <w:lvl w:ilvl="0" w:tentative="0">
      <w:start w:val="1"/>
      <w:numFmt w:val="decimal"/>
      <w:lvlText w:val="（%1）"/>
      <w:lvlJc w:val="left"/>
      <w:pPr>
        <w:ind w:left="1302" w:hanging="60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158" w:hanging="601"/>
      </w:pPr>
      <w:rPr>
        <w:rFonts w:hint="default"/>
        <w:lang w:val="en-US" w:eastAsia="zh-CN" w:bidi="ar-SA"/>
      </w:rPr>
    </w:lvl>
    <w:lvl w:ilvl="2" w:tentative="0">
      <w:start w:val="0"/>
      <w:numFmt w:val="bullet"/>
      <w:lvlText w:val="•"/>
      <w:lvlJc w:val="left"/>
      <w:pPr>
        <w:ind w:left="3016" w:hanging="601"/>
      </w:pPr>
      <w:rPr>
        <w:rFonts w:hint="default"/>
        <w:lang w:val="en-US" w:eastAsia="zh-CN" w:bidi="ar-SA"/>
      </w:rPr>
    </w:lvl>
    <w:lvl w:ilvl="3" w:tentative="0">
      <w:start w:val="0"/>
      <w:numFmt w:val="bullet"/>
      <w:lvlText w:val="•"/>
      <w:lvlJc w:val="left"/>
      <w:pPr>
        <w:ind w:left="3874" w:hanging="601"/>
      </w:pPr>
      <w:rPr>
        <w:rFonts w:hint="default"/>
        <w:lang w:val="en-US" w:eastAsia="zh-CN" w:bidi="ar-SA"/>
      </w:rPr>
    </w:lvl>
    <w:lvl w:ilvl="4" w:tentative="0">
      <w:start w:val="0"/>
      <w:numFmt w:val="bullet"/>
      <w:lvlText w:val="•"/>
      <w:lvlJc w:val="left"/>
      <w:pPr>
        <w:ind w:left="4732" w:hanging="601"/>
      </w:pPr>
      <w:rPr>
        <w:rFonts w:hint="default"/>
        <w:lang w:val="en-US" w:eastAsia="zh-CN" w:bidi="ar-SA"/>
      </w:rPr>
    </w:lvl>
    <w:lvl w:ilvl="5" w:tentative="0">
      <w:start w:val="0"/>
      <w:numFmt w:val="bullet"/>
      <w:lvlText w:val="•"/>
      <w:lvlJc w:val="left"/>
      <w:pPr>
        <w:ind w:left="5590" w:hanging="601"/>
      </w:pPr>
      <w:rPr>
        <w:rFonts w:hint="default"/>
        <w:lang w:val="en-US" w:eastAsia="zh-CN" w:bidi="ar-SA"/>
      </w:rPr>
    </w:lvl>
    <w:lvl w:ilvl="6" w:tentative="0">
      <w:start w:val="0"/>
      <w:numFmt w:val="bullet"/>
      <w:lvlText w:val="•"/>
      <w:lvlJc w:val="left"/>
      <w:pPr>
        <w:ind w:left="6448" w:hanging="601"/>
      </w:pPr>
      <w:rPr>
        <w:rFonts w:hint="default"/>
        <w:lang w:val="en-US" w:eastAsia="zh-CN" w:bidi="ar-SA"/>
      </w:rPr>
    </w:lvl>
    <w:lvl w:ilvl="7" w:tentative="0">
      <w:start w:val="0"/>
      <w:numFmt w:val="bullet"/>
      <w:lvlText w:val="•"/>
      <w:lvlJc w:val="left"/>
      <w:pPr>
        <w:ind w:left="7306" w:hanging="601"/>
      </w:pPr>
      <w:rPr>
        <w:rFonts w:hint="default"/>
        <w:lang w:val="en-US" w:eastAsia="zh-CN" w:bidi="ar-SA"/>
      </w:rPr>
    </w:lvl>
    <w:lvl w:ilvl="8" w:tentative="0">
      <w:start w:val="0"/>
      <w:numFmt w:val="bullet"/>
      <w:lvlText w:val="•"/>
      <w:lvlJc w:val="left"/>
      <w:pPr>
        <w:ind w:left="8164" w:hanging="601"/>
      </w:pPr>
      <w:rPr>
        <w:rFonts w:hint="default"/>
        <w:lang w:val="en-US" w:eastAsia="zh-CN" w:bidi="ar-SA"/>
      </w:rPr>
    </w:lvl>
  </w:abstractNum>
  <w:abstractNum w:abstractNumId="6">
    <w:nsid w:val="00000005"/>
    <w:multiLevelType w:val="multilevel"/>
    <w:tmpl w:val="00000005"/>
    <w:lvl w:ilvl="0" w:tentative="0">
      <w:start w:val="1"/>
      <w:numFmt w:val="decimal"/>
      <w:lvlText w:val="（%1）"/>
      <w:lvlJc w:val="left"/>
      <w:pPr>
        <w:ind w:left="281" w:hanging="601"/>
        <w:jc w:val="left"/>
      </w:pPr>
      <w:rPr>
        <w:rFonts w:hint="default" w:ascii="宋体" w:hAnsi="宋体" w:eastAsia="宋体" w:cs="宋体"/>
        <w:color w:val="000000" w:themeColor="text1"/>
        <w:w w:val="100"/>
        <w:sz w:val="22"/>
        <w:szCs w:val="22"/>
        <w:lang w:val="en-US" w:eastAsia="zh-CN" w:bidi="ar-SA"/>
        <w14:textFill>
          <w14:solidFill>
            <w14:schemeClr w14:val="tx1"/>
          </w14:solidFill>
        </w14:textFill>
      </w:rPr>
    </w:lvl>
    <w:lvl w:ilvl="1" w:tentative="0">
      <w:start w:val="0"/>
      <w:numFmt w:val="bullet"/>
      <w:lvlText w:val="•"/>
      <w:lvlJc w:val="left"/>
      <w:pPr>
        <w:ind w:left="1240" w:hanging="601"/>
      </w:pPr>
      <w:rPr>
        <w:rFonts w:hint="default"/>
        <w:lang w:val="en-US" w:eastAsia="zh-CN" w:bidi="ar-SA"/>
      </w:rPr>
    </w:lvl>
    <w:lvl w:ilvl="2" w:tentative="0">
      <w:start w:val="0"/>
      <w:numFmt w:val="bullet"/>
      <w:lvlText w:val="•"/>
      <w:lvlJc w:val="left"/>
      <w:pPr>
        <w:ind w:left="2200" w:hanging="601"/>
      </w:pPr>
      <w:rPr>
        <w:rFonts w:hint="default"/>
        <w:lang w:val="en-US" w:eastAsia="zh-CN" w:bidi="ar-SA"/>
      </w:rPr>
    </w:lvl>
    <w:lvl w:ilvl="3" w:tentative="0">
      <w:start w:val="0"/>
      <w:numFmt w:val="bullet"/>
      <w:lvlText w:val="•"/>
      <w:lvlJc w:val="left"/>
      <w:pPr>
        <w:ind w:left="3160" w:hanging="601"/>
      </w:pPr>
      <w:rPr>
        <w:rFonts w:hint="default"/>
        <w:lang w:val="en-US" w:eastAsia="zh-CN" w:bidi="ar-SA"/>
      </w:rPr>
    </w:lvl>
    <w:lvl w:ilvl="4" w:tentative="0">
      <w:start w:val="0"/>
      <w:numFmt w:val="bullet"/>
      <w:lvlText w:val="•"/>
      <w:lvlJc w:val="left"/>
      <w:pPr>
        <w:ind w:left="4120" w:hanging="601"/>
      </w:pPr>
      <w:rPr>
        <w:rFonts w:hint="default"/>
        <w:lang w:val="en-US" w:eastAsia="zh-CN" w:bidi="ar-SA"/>
      </w:rPr>
    </w:lvl>
    <w:lvl w:ilvl="5" w:tentative="0">
      <w:start w:val="0"/>
      <w:numFmt w:val="bullet"/>
      <w:lvlText w:val="•"/>
      <w:lvlJc w:val="left"/>
      <w:pPr>
        <w:ind w:left="5080" w:hanging="601"/>
      </w:pPr>
      <w:rPr>
        <w:rFonts w:hint="default"/>
        <w:lang w:val="en-US" w:eastAsia="zh-CN" w:bidi="ar-SA"/>
      </w:rPr>
    </w:lvl>
    <w:lvl w:ilvl="6" w:tentative="0">
      <w:start w:val="0"/>
      <w:numFmt w:val="bullet"/>
      <w:lvlText w:val="•"/>
      <w:lvlJc w:val="left"/>
      <w:pPr>
        <w:ind w:left="6040" w:hanging="601"/>
      </w:pPr>
      <w:rPr>
        <w:rFonts w:hint="default"/>
        <w:lang w:val="en-US" w:eastAsia="zh-CN" w:bidi="ar-SA"/>
      </w:rPr>
    </w:lvl>
    <w:lvl w:ilvl="7" w:tentative="0">
      <w:start w:val="0"/>
      <w:numFmt w:val="bullet"/>
      <w:lvlText w:val="•"/>
      <w:lvlJc w:val="left"/>
      <w:pPr>
        <w:ind w:left="7000" w:hanging="601"/>
      </w:pPr>
      <w:rPr>
        <w:rFonts w:hint="default"/>
        <w:lang w:val="en-US" w:eastAsia="zh-CN" w:bidi="ar-SA"/>
      </w:rPr>
    </w:lvl>
    <w:lvl w:ilvl="8" w:tentative="0">
      <w:start w:val="0"/>
      <w:numFmt w:val="bullet"/>
      <w:lvlText w:val="•"/>
      <w:lvlJc w:val="left"/>
      <w:pPr>
        <w:ind w:left="7960" w:hanging="601"/>
      </w:pPr>
      <w:rPr>
        <w:rFonts w:hint="default"/>
        <w:lang w:val="en-US" w:eastAsia="zh-CN" w:bidi="ar-SA"/>
      </w:rPr>
    </w:lvl>
  </w:abstractNum>
  <w:abstractNum w:abstractNumId="7">
    <w:nsid w:val="00000006"/>
    <w:multiLevelType w:val="multilevel"/>
    <w:tmpl w:val="00000006"/>
    <w:lvl w:ilvl="0" w:tentative="0">
      <w:start w:val="11"/>
      <w:numFmt w:val="decimal"/>
      <w:lvlText w:val="%1"/>
      <w:lvlJc w:val="left"/>
      <w:pPr>
        <w:ind w:left="1301" w:hanging="600"/>
        <w:jc w:val="left"/>
      </w:pPr>
      <w:rPr>
        <w:rFonts w:hint="default"/>
        <w:lang w:val="en-US" w:eastAsia="zh-CN" w:bidi="ar-SA"/>
      </w:rPr>
    </w:lvl>
    <w:lvl w:ilvl="1" w:tentative="0">
      <w:start w:val="1"/>
      <w:numFmt w:val="decimal"/>
      <w:lvlText w:val="%1.%2"/>
      <w:lvlJc w:val="left"/>
      <w:pPr>
        <w:ind w:left="1301" w:hanging="600"/>
        <w:jc w:val="left"/>
      </w:pPr>
      <w:rPr>
        <w:rFonts w:hint="default" w:ascii="宋体" w:hAnsi="宋体" w:eastAsia="宋体" w:cs="宋体"/>
        <w:w w:val="100"/>
        <w:sz w:val="24"/>
        <w:szCs w:val="24"/>
        <w:lang w:val="en-US" w:eastAsia="zh-CN" w:bidi="ar-SA"/>
      </w:rPr>
    </w:lvl>
    <w:lvl w:ilvl="2" w:tentative="0">
      <w:start w:val="0"/>
      <w:numFmt w:val="bullet"/>
      <w:lvlText w:val="•"/>
      <w:lvlJc w:val="left"/>
      <w:pPr>
        <w:ind w:left="3016" w:hanging="600"/>
      </w:pPr>
      <w:rPr>
        <w:rFonts w:hint="default"/>
        <w:lang w:val="en-US" w:eastAsia="zh-CN" w:bidi="ar-SA"/>
      </w:rPr>
    </w:lvl>
    <w:lvl w:ilvl="3" w:tentative="0">
      <w:start w:val="0"/>
      <w:numFmt w:val="bullet"/>
      <w:lvlText w:val="•"/>
      <w:lvlJc w:val="left"/>
      <w:pPr>
        <w:ind w:left="3874" w:hanging="600"/>
      </w:pPr>
      <w:rPr>
        <w:rFonts w:hint="default"/>
        <w:lang w:val="en-US" w:eastAsia="zh-CN" w:bidi="ar-SA"/>
      </w:rPr>
    </w:lvl>
    <w:lvl w:ilvl="4" w:tentative="0">
      <w:start w:val="0"/>
      <w:numFmt w:val="bullet"/>
      <w:lvlText w:val="•"/>
      <w:lvlJc w:val="left"/>
      <w:pPr>
        <w:ind w:left="4732" w:hanging="600"/>
      </w:pPr>
      <w:rPr>
        <w:rFonts w:hint="default"/>
        <w:lang w:val="en-US" w:eastAsia="zh-CN" w:bidi="ar-SA"/>
      </w:rPr>
    </w:lvl>
    <w:lvl w:ilvl="5" w:tentative="0">
      <w:start w:val="0"/>
      <w:numFmt w:val="bullet"/>
      <w:lvlText w:val="•"/>
      <w:lvlJc w:val="left"/>
      <w:pPr>
        <w:ind w:left="5590" w:hanging="600"/>
      </w:pPr>
      <w:rPr>
        <w:rFonts w:hint="default"/>
        <w:lang w:val="en-US" w:eastAsia="zh-CN" w:bidi="ar-SA"/>
      </w:rPr>
    </w:lvl>
    <w:lvl w:ilvl="6" w:tentative="0">
      <w:start w:val="0"/>
      <w:numFmt w:val="bullet"/>
      <w:lvlText w:val="•"/>
      <w:lvlJc w:val="left"/>
      <w:pPr>
        <w:ind w:left="6448" w:hanging="600"/>
      </w:pPr>
      <w:rPr>
        <w:rFonts w:hint="default"/>
        <w:lang w:val="en-US" w:eastAsia="zh-CN" w:bidi="ar-SA"/>
      </w:rPr>
    </w:lvl>
    <w:lvl w:ilvl="7" w:tentative="0">
      <w:start w:val="0"/>
      <w:numFmt w:val="bullet"/>
      <w:lvlText w:val="•"/>
      <w:lvlJc w:val="left"/>
      <w:pPr>
        <w:ind w:left="7306" w:hanging="600"/>
      </w:pPr>
      <w:rPr>
        <w:rFonts w:hint="default"/>
        <w:lang w:val="en-US" w:eastAsia="zh-CN" w:bidi="ar-SA"/>
      </w:rPr>
    </w:lvl>
    <w:lvl w:ilvl="8" w:tentative="0">
      <w:start w:val="0"/>
      <w:numFmt w:val="bullet"/>
      <w:lvlText w:val="•"/>
      <w:lvlJc w:val="left"/>
      <w:pPr>
        <w:ind w:left="8164" w:hanging="600"/>
      </w:pPr>
      <w:rPr>
        <w:rFonts w:hint="default"/>
        <w:lang w:val="en-US" w:eastAsia="zh-CN" w:bidi="ar-SA"/>
      </w:rPr>
    </w:lvl>
  </w:abstractNum>
  <w:abstractNum w:abstractNumId="8">
    <w:nsid w:val="00000007"/>
    <w:multiLevelType w:val="multilevel"/>
    <w:tmpl w:val="00000007"/>
    <w:lvl w:ilvl="0" w:tentative="0">
      <w:start w:val="1"/>
      <w:numFmt w:val="decimal"/>
      <w:lvlText w:val="（%1）"/>
      <w:lvlJc w:val="left"/>
      <w:pPr>
        <w:ind w:left="281" w:hanging="60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40" w:hanging="601"/>
      </w:pPr>
      <w:rPr>
        <w:rFonts w:hint="default"/>
        <w:lang w:val="en-US" w:eastAsia="zh-CN" w:bidi="ar-SA"/>
      </w:rPr>
    </w:lvl>
    <w:lvl w:ilvl="2" w:tentative="0">
      <w:start w:val="0"/>
      <w:numFmt w:val="bullet"/>
      <w:lvlText w:val="•"/>
      <w:lvlJc w:val="left"/>
      <w:pPr>
        <w:ind w:left="2200" w:hanging="601"/>
      </w:pPr>
      <w:rPr>
        <w:rFonts w:hint="default"/>
        <w:lang w:val="en-US" w:eastAsia="zh-CN" w:bidi="ar-SA"/>
      </w:rPr>
    </w:lvl>
    <w:lvl w:ilvl="3" w:tentative="0">
      <w:start w:val="0"/>
      <w:numFmt w:val="bullet"/>
      <w:lvlText w:val="•"/>
      <w:lvlJc w:val="left"/>
      <w:pPr>
        <w:ind w:left="3160" w:hanging="601"/>
      </w:pPr>
      <w:rPr>
        <w:rFonts w:hint="default"/>
        <w:lang w:val="en-US" w:eastAsia="zh-CN" w:bidi="ar-SA"/>
      </w:rPr>
    </w:lvl>
    <w:lvl w:ilvl="4" w:tentative="0">
      <w:start w:val="0"/>
      <w:numFmt w:val="bullet"/>
      <w:lvlText w:val="•"/>
      <w:lvlJc w:val="left"/>
      <w:pPr>
        <w:ind w:left="4120" w:hanging="601"/>
      </w:pPr>
      <w:rPr>
        <w:rFonts w:hint="default"/>
        <w:lang w:val="en-US" w:eastAsia="zh-CN" w:bidi="ar-SA"/>
      </w:rPr>
    </w:lvl>
    <w:lvl w:ilvl="5" w:tentative="0">
      <w:start w:val="0"/>
      <w:numFmt w:val="bullet"/>
      <w:lvlText w:val="•"/>
      <w:lvlJc w:val="left"/>
      <w:pPr>
        <w:ind w:left="5080" w:hanging="601"/>
      </w:pPr>
      <w:rPr>
        <w:rFonts w:hint="default"/>
        <w:lang w:val="en-US" w:eastAsia="zh-CN" w:bidi="ar-SA"/>
      </w:rPr>
    </w:lvl>
    <w:lvl w:ilvl="6" w:tentative="0">
      <w:start w:val="0"/>
      <w:numFmt w:val="bullet"/>
      <w:lvlText w:val="•"/>
      <w:lvlJc w:val="left"/>
      <w:pPr>
        <w:ind w:left="6040" w:hanging="601"/>
      </w:pPr>
      <w:rPr>
        <w:rFonts w:hint="default"/>
        <w:lang w:val="en-US" w:eastAsia="zh-CN" w:bidi="ar-SA"/>
      </w:rPr>
    </w:lvl>
    <w:lvl w:ilvl="7" w:tentative="0">
      <w:start w:val="0"/>
      <w:numFmt w:val="bullet"/>
      <w:lvlText w:val="•"/>
      <w:lvlJc w:val="left"/>
      <w:pPr>
        <w:ind w:left="7000" w:hanging="601"/>
      </w:pPr>
      <w:rPr>
        <w:rFonts w:hint="default"/>
        <w:lang w:val="en-US" w:eastAsia="zh-CN" w:bidi="ar-SA"/>
      </w:rPr>
    </w:lvl>
    <w:lvl w:ilvl="8" w:tentative="0">
      <w:start w:val="0"/>
      <w:numFmt w:val="bullet"/>
      <w:lvlText w:val="•"/>
      <w:lvlJc w:val="left"/>
      <w:pPr>
        <w:ind w:left="7960" w:hanging="601"/>
      </w:pPr>
      <w:rPr>
        <w:rFonts w:hint="default"/>
        <w:lang w:val="en-US" w:eastAsia="zh-CN" w:bidi="ar-SA"/>
      </w:rPr>
    </w:lvl>
  </w:abstractNum>
  <w:abstractNum w:abstractNumId="9">
    <w:nsid w:val="00000008"/>
    <w:multiLevelType w:val="multilevel"/>
    <w:tmpl w:val="00000008"/>
    <w:lvl w:ilvl="0" w:tentative="0">
      <w:start w:val="12"/>
      <w:numFmt w:val="decimal"/>
      <w:lvlText w:val="%1"/>
      <w:lvlJc w:val="left"/>
      <w:pPr>
        <w:ind w:left="281" w:hanging="600"/>
        <w:jc w:val="left"/>
      </w:pPr>
      <w:rPr>
        <w:rFonts w:hint="default"/>
        <w:lang w:val="en-US" w:eastAsia="zh-CN" w:bidi="ar-SA"/>
      </w:rPr>
    </w:lvl>
    <w:lvl w:ilvl="1" w:tentative="0">
      <w:start w:val="1"/>
      <w:numFmt w:val="decimal"/>
      <w:lvlText w:val="%1.%2"/>
      <w:lvlJc w:val="left"/>
      <w:pPr>
        <w:ind w:left="281" w:hanging="600"/>
        <w:jc w:val="left"/>
      </w:pPr>
      <w:rPr>
        <w:rFonts w:hint="default" w:ascii="宋体" w:hAnsi="宋体" w:eastAsia="宋体" w:cs="宋体"/>
        <w:w w:val="100"/>
        <w:sz w:val="24"/>
        <w:szCs w:val="24"/>
        <w:lang w:val="en-US" w:eastAsia="zh-CN" w:bidi="ar-SA"/>
      </w:rPr>
    </w:lvl>
    <w:lvl w:ilvl="2" w:tentative="0">
      <w:start w:val="0"/>
      <w:numFmt w:val="bullet"/>
      <w:lvlText w:val="•"/>
      <w:lvlJc w:val="left"/>
      <w:pPr>
        <w:ind w:left="2200" w:hanging="600"/>
      </w:pPr>
      <w:rPr>
        <w:rFonts w:hint="default"/>
        <w:lang w:val="en-US" w:eastAsia="zh-CN" w:bidi="ar-SA"/>
      </w:rPr>
    </w:lvl>
    <w:lvl w:ilvl="3" w:tentative="0">
      <w:start w:val="0"/>
      <w:numFmt w:val="bullet"/>
      <w:lvlText w:val="•"/>
      <w:lvlJc w:val="left"/>
      <w:pPr>
        <w:ind w:left="3160" w:hanging="600"/>
      </w:pPr>
      <w:rPr>
        <w:rFonts w:hint="default"/>
        <w:lang w:val="en-US" w:eastAsia="zh-CN" w:bidi="ar-SA"/>
      </w:rPr>
    </w:lvl>
    <w:lvl w:ilvl="4" w:tentative="0">
      <w:start w:val="0"/>
      <w:numFmt w:val="bullet"/>
      <w:lvlText w:val="•"/>
      <w:lvlJc w:val="left"/>
      <w:pPr>
        <w:ind w:left="4120" w:hanging="600"/>
      </w:pPr>
      <w:rPr>
        <w:rFonts w:hint="default"/>
        <w:lang w:val="en-US" w:eastAsia="zh-CN" w:bidi="ar-SA"/>
      </w:rPr>
    </w:lvl>
    <w:lvl w:ilvl="5" w:tentative="0">
      <w:start w:val="0"/>
      <w:numFmt w:val="bullet"/>
      <w:lvlText w:val="•"/>
      <w:lvlJc w:val="left"/>
      <w:pPr>
        <w:ind w:left="5080" w:hanging="600"/>
      </w:pPr>
      <w:rPr>
        <w:rFonts w:hint="default"/>
        <w:lang w:val="en-US" w:eastAsia="zh-CN" w:bidi="ar-SA"/>
      </w:rPr>
    </w:lvl>
    <w:lvl w:ilvl="6" w:tentative="0">
      <w:start w:val="0"/>
      <w:numFmt w:val="bullet"/>
      <w:lvlText w:val="•"/>
      <w:lvlJc w:val="left"/>
      <w:pPr>
        <w:ind w:left="6040" w:hanging="600"/>
      </w:pPr>
      <w:rPr>
        <w:rFonts w:hint="default"/>
        <w:lang w:val="en-US" w:eastAsia="zh-CN" w:bidi="ar-SA"/>
      </w:rPr>
    </w:lvl>
    <w:lvl w:ilvl="7" w:tentative="0">
      <w:start w:val="0"/>
      <w:numFmt w:val="bullet"/>
      <w:lvlText w:val="•"/>
      <w:lvlJc w:val="left"/>
      <w:pPr>
        <w:ind w:left="7000" w:hanging="600"/>
      </w:pPr>
      <w:rPr>
        <w:rFonts w:hint="default"/>
        <w:lang w:val="en-US" w:eastAsia="zh-CN" w:bidi="ar-SA"/>
      </w:rPr>
    </w:lvl>
    <w:lvl w:ilvl="8" w:tentative="0">
      <w:start w:val="0"/>
      <w:numFmt w:val="bullet"/>
      <w:lvlText w:val="•"/>
      <w:lvlJc w:val="left"/>
      <w:pPr>
        <w:ind w:left="7960" w:hanging="600"/>
      </w:pPr>
      <w:rPr>
        <w:rFonts w:hint="default"/>
        <w:lang w:val="en-US" w:eastAsia="zh-CN" w:bidi="ar-SA"/>
      </w:rPr>
    </w:lvl>
  </w:abstractNum>
  <w:abstractNum w:abstractNumId="10">
    <w:nsid w:val="00000009"/>
    <w:multiLevelType w:val="multilevel"/>
    <w:tmpl w:val="00000009"/>
    <w:lvl w:ilvl="0" w:tentative="0">
      <w:start w:val="1"/>
      <w:numFmt w:val="decimal"/>
      <w:lvlText w:val="%1."/>
      <w:lvlJc w:val="left"/>
      <w:pPr>
        <w:ind w:left="843" w:hanging="322"/>
        <w:jc w:val="left"/>
      </w:pPr>
      <w:rPr>
        <w:rFonts w:hint="default" w:ascii="Microsoft YaHei UI" w:hAnsi="Microsoft YaHei UI" w:eastAsia="Microsoft YaHei UI" w:cs="Microsoft YaHei UI"/>
        <w:b/>
        <w:bCs/>
        <w:spacing w:val="1"/>
        <w:w w:val="80"/>
        <w:sz w:val="30"/>
        <w:szCs w:val="30"/>
        <w:lang w:val="en-US" w:eastAsia="zh-CN" w:bidi="ar-SA"/>
      </w:rPr>
    </w:lvl>
    <w:lvl w:ilvl="1" w:tentative="0">
      <w:start w:val="1"/>
      <w:numFmt w:val="decimal"/>
      <w:lvlText w:val="%2."/>
      <w:lvlJc w:val="left"/>
      <w:pPr>
        <w:ind w:left="1061" w:hanging="360"/>
        <w:jc w:val="left"/>
      </w:pPr>
      <w:rPr>
        <w:rFonts w:hint="default" w:ascii="宋体" w:hAnsi="宋体" w:eastAsia="宋体" w:cs="宋体"/>
        <w:w w:val="100"/>
        <w:sz w:val="24"/>
        <w:szCs w:val="24"/>
        <w:lang w:val="en-US" w:eastAsia="zh-CN" w:bidi="ar-SA"/>
      </w:rPr>
    </w:lvl>
    <w:lvl w:ilvl="2" w:tentative="0">
      <w:start w:val="0"/>
      <w:numFmt w:val="bullet"/>
      <w:lvlText w:val="•"/>
      <w:lvlJc w:val="left"/>
      <w:pPr>
        <w:ind w:left="1975" w:hanging="360"/>
      </w:pPr>
      <w:rPr>
        <w:rFonts w:hint="default"/>
        <w:lang w:val="en-US" w:eastAsia="zh-CN" w:bidi="ar-SA"/>
      </w:rPr>
    </w:lvl>
    <w:lvl w:ilvl="3" w:tentative="0">
      <w:start w:val="0"/>
      <w:numFmt w:val="bullet"/>
      <w:lvlText w:val="•"/>
      <w:lvlJc w:val="left"/>
      <w:pPr>
        <w:ind w:left="2891" w:hanging="360"/>
      </w:pPr>
      <w:rPr>
        <w:rFonts w:hint="default"/>
        <w:lang w:val="en-US" w:eastAsia="zh-CN" w:bidi="ar-SA"/>
      </w:rPr>
    </w:lvl>
    <w:lvl w:ilvl="4" w:tentative="0">
      <w:start w:val="0"/>
      <w:numFmt w:val="bullet"/>
      <w:lvlText w:val="•"/>
      <w:lvlJc w:val="left"/>
      <w:pPr>
        <w:ind w:left="3806" w:hanging="360"/>
      </w:pPr>
      <w:rPr>
        <w:rFonts w:hint="default"/>
        <w:lang w:val="en-US" w:eastAsia="zh-CN" w:bidi="ar-SA"/>
      </w:rPr>
    </w:lvl>
    <w:lvl w:ilvl="5" w:tentative="0">
      <w:start w:val="0"/>
      <w:numFmt w:val="bullet"/>
      <w:lvlText w:val="•"/>
      <w:lvlJc w:val="left"/>
      <w:pPr>
        <w:ind w:left="4722" w:hanging="360"/>
      </w:pPr>
      <w:rPr>
        <w:rFonts w:hint="default"/>
        <w:lang w:val="en-US" w:eastAsia="zh-CN" w:bidi="ar-SA"/>
      </w:rPr>
    </w:lvl>
    <w:lvl w:ilvl="6" w:tentative="0">
      <w:start w:val="0"/>
      <w:numFmt w:val="bullet"/>
      <w:lvlText w:val="•"/>
      <w:lvlJc w:val="left"/>
      <w:pPr>
        <w:ind w:left="5637" w:hanging="360"/>
      </w:pPr>
      <w:rPr>
        <w:rFonts w:hint="default"/>
        <w:lang w:val="en-US" w:eastAsia="zh-CN" w:bidi="ar-SA"/>
      </w:rPr>
    </w:lvl>
    <w:lvl w:ilvl="7" w:tentative="0">
      <w:start w:val="0"/>
      <w:numFmt w:val="bullet"/>
      <w:lvlText w:val="•"/>
      <w:lvlJc w:val="left"/>
      <w:pPr>
        <w:ind w:left="6553" w:hanging="360"/>
      </w:pPr>
      <w:rPr>
        <w:rFonts w:hint="default"/>
        <w:lang w:val="en-US" w:eastAsia="zh-CN" w:bidi="ar-SA"/>
      </w:rPr>
    </w:lvl>
    <w:lvl w:ilvl="8" w:tentative="0">
      <w:start w:val="0"/>
      <w:numFmt w:val="bullet"/>
      <w:lvlText w:val="•"/>
      <w:lvlJc w:val="left"/>
      <w:pPr>
        <w:ind w:left="7468" w:hanging="360"/>
      </w:pPr>
      <w:rPr>
        <w:rFonts w:hint="default"/>
        <w:lang w:val="en-US" w:eastAsia="zh-CN" w:bidi="ar-SA"/>
      </w:rPr>
    </w:lvl>
  </w:abstractNum>
  <w:abstractNum w:abstractNumId="11">
    <w:nsid w:val="0000000A"/>
    <w:multiLevelType w:val="multilevel"/>
    <w:tmpl w:val="0000000A"/>
    <w:lvl w:ilvl="0" w:tentative="0">
      <w:start w:val="9"/>
      <w:numFmt w:val="decimal"/>
      <w:lvlText w:val="%1"/>
      <w:lvlJc w:val="left"/>
      <w:pPr>
        <w:ind w:left="1184" w:hanging="483"/>
        <w:jc w:val="left"/>
      </w:pPr>
      <w:rPr>
        <w:rFonts w:hint="default"/>
        <w:lang w:val="en-US" w:eastAsia="zh-CN" w:bidi="ar-SA"/>
      </w:rPr>
    </w:lvl>
    <w:lvl w:ilvl="1" w:tentative="0">
      <w:start w:val="1"/>
      <w:numFmt w:val="decimal"/>
      <w:lvlText w:val="%1.%2"/>
      <w:lvlJc w:val="left"/>
      <w:pPr>
        <w:ind w:left="1184" w:hanging="483"/>
        <w:jc w:val="left"/>
      </w:pPr>
      <w:rPr>
        <w:rFonts w:hint="default" w:ascii="Microsoft YaHei UI" w:hAnsi="Microsoft YaHei UI" w:eastAsia="Microsoft YaHei UI" w:cs="Microsoft YaHei UI"/>
        <w:b/>
        <w:bCs/>
        <w:spacing w:val="0"/>
        <w:w w:val="81"/>
        <w:sz w:val="24"/>
        <w:szCs w:val="24"/>
        <w:lang w:val="en-US" w:eastAsia="zh-CN" w:bidi="ar-SA"/>
      </w:rPr>
    </w:lvl>
    <w:lvl w:ilvl="2" w:tentative="0">
      <w:start w:val="0"/>
      <w:numFmt w:val="bullet"/>
      <w:lvlText w:val="•"/>
      <w:lvlJc w:val="left"/>
      <w:pPr>
        <w:ind w:left="2920" w:hanging="483"/>
      </w:pPr>
      <w:rPr>
        <w:rFonts w:hint="default"/>
        <w:lang w:val="en-US" w:eastAsia="zh-CN" w:bidi="ar-SA"/>
      </w:rPr>
    </w:lvl>
    <w:lvl w:ilvl="3" w:tentative="0">
      <w:start w:val="0"/>
      <w:numFmt w:val="bullet"/>
      <w:lvlText w:val="•"/>
      <w:lvlJc w:val="left"/>
      <w:pPr>
        <w:ind w:left="3790" w:hanging="483"/>
      </w:pPr>
      <w:rPr>
        <w:rFonts w:hint="default"/>
        <w:lang w:val="en-US" w:eastAsia="zh-CN" w:bidi="ar-SA"/>
      </w:rPr>
    </w:lvl>
    <w:lvl w:ilvl="4" w:tentative="0">
      <w:start w:val="0"/>
      <w:numFmt w:val="bullet"/>
      <w:lvlText w:val="•"/>
      <w:lvlJc w:val="left"/>
      <w:pPr>
        <w:ind w:left="4660" w:hanging="483"/>
      </w:pPr>
      <w:rPr>
        <w:rFonts w:hint="default"/>
        <w:lang w:val="en-US" w:eastAsia="zh-CN" w:bidi="ar-SA"/>
      </w:rPr>
    </w:lvl>
    <w:lvl w:ilvl="5" w:tentative="0">
      <w:start w:val="0"/>
      <w:numFmt w:val="bullet"/>
      <w:lvlText w:val="•"/>
      <w:lvlJc w:val="left"/>
      <w:pPr>
        <w:ind w:left="5530" w:hanging="483"/>
      </w:pPr>
      <w:rPr>
        <w:rFonts w:hint="default"/>
        <w:lang w:val="en-US" w:eastAsia="zh-CN" w:bidi="ar-SA"/>
      </w:rPr>
    </w:lvl>
    <w:lvl w:ilvl="6" w:tentative="0">
      <w:start w:val="0"/>
      <w:numFmt w:val="bullet"/>
      <w:lvlText w:val="•"/>
      <w:lvlJc w:val="left"/>
      <w:pPr>
        <w:ind w:left="6400" w:hanging="483"/>
      </w:pPr>
      <w:rPr>
        <w:rFonts w:hint="default"/>
        <w:lang w:val="en-US" w:eastAsia="zh-CN" w:bidi="ar-SA"/>
      </w:rPr>
    </w:lvl>
    <w:lvl w:ilvl="7" w:tentative="0">
      <w:start w:val="0"/>
      <w:numFmt w:val="bullet"/>
      <w:lvlText w:val="•"/>
      <w:lvlJc w:val="left"/>
      <w:pPr>
        <w:ind w:left="7270" w:hanging="483"/>
      </w:pPr>
      <w:rPr>
        <w:rFonts w:hint="default"/>
        <w:lang w:val="en-US" w:eastAsia="zh-CN" w:bidi="ar-SA"/>
      </w:rPr>
    </w:lvl>
    <w:lvl w:ilvl="8" w:tentative="0">
      <w:start w:val="0"/>
      <w:numFmt w:val="bullet"/>
      <w:lvlText w:val="•"/>
      <w:lvlJc w:val="left"/>
      <w:pPr>
        <w:ind w:left="8140" w:hanging="483"/>
      </w:pPr>
      <w:rPr>
        <w:rFonts w:hint="default"/>
        <w:lang w:val="en-US" w:eastAsia="zh-CN" w:bidi="ar-SA"/>
      </w:rPr>
    </w:lvl>
  </w:abstractNum>
  <w:abstractNum w:abstractNumId="12">
    <w:nsid w:val="0000000B"/>
    <w:multiLevelType w:val="multilevel"/>
    <w:tmpl w:val="0000000B"/>
    <w:lvl w:ilvl="0" w:tentative="0">
      <w:start w:val="1"/>
      <w:numFmt w:val="decimal"/>
      <w:lvlText w:val="（%1）"/>
      <w:lvlJc w:val="left"/>
      <w:pPr>
        <w:ind w:left="1302" w:hanging="60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158" w:hanging="601"/>
      </w:pPr>
      <w:rPr>
        <w:rFonts w:hint="default"/>
        <w:lang w:val="en-US" w:eastAsia="zh-CN" w:bidi="ar-SA"/>
      </w:rPr>
    </w:lvl>
    <w:lvl w:ilvl="2" w:tentative="0">
      <w:start w:val="0"/>
      <w:numFmt w:val="bullet"/>
      <w:lvlText w:val="•"/>
      <w:lvlJc w:val="left"/>
      <w:pPr>
        <w:ind w:left="3016" w:hanging="601"/>
      </w:pPr>
      <w:rPr>
        <w:rFonts w:hint="default"/>
        <w:lang w:val="en-US" w:eastAsia="zh-CN" w:bidi="ar-SA"/>
      </w:rPr>
    </w:lvl>
    <w:lvl w:ilvl="3" w:tentative="0">
      <w:start w:val="0"/>
      <w:numFmt w:val="bullet"/>
      <w:lvlText w:val="•"/>
      <w:lvlJc w:val="left"/>
      <w:pPr>
        <w:ind w:left="3874" w:hanging="601"/>
      </w:pPr>
      <w:rPr>
        <w:rFonts w:hint="default"/>
        <w:lang w:val="en-US" w:eastAsia="zh-CN" w:bidi="ar-SA"/>
      </w:rPr>
    </w:lvl>
    <w:lvl w:ilvl="4" w:tentative="0">
      <w:start w:val="0"/>
      <w:numFmt w:val="bullet"/>
      <w:lvlText w:val="•"/>
      <w:lvlJc w:val="left"/>
      <w:pPr>
        <w:ind w:left="4732" w:hanging="601"/>
      </w:pPr>
      <w:rPr>
        <w:rFonts w:hint="default"/>
        <w:lang w:val="en-US" w:eastAsia="zh-CN" w:bidi="ar-SA"/>
      </w:rPr>
    </w:lvl>
    <w:lvl w:ilvl="5" w:tentative="0">
      <w:start w:val="0"/>
      <w:numFmt w:val="bullet"/>
      <w:lvlText w:val="•"/>
      <w:lvlJc w:val="left"/>
      <w:pPr>
        <w:ind w:left="5590" w:hanging="601"/>
      </w:pPr>
      <w:rPr>
        <w:rFonts w:hint="default"/>
        <w:lang w:val="en-US" w:eastAsia="zh-CN" w:bidi="ar-SA"/>
      </w:rPr>
    </w:lvl>
    <w:lvl w:ilvl="6" w:tentative="0">
      <w:start w:val="0"/>
      <w:numFmt w:val="bullet"/>
      <w:lvlText w:val="•"/>
      <w:lvlJc w:val="left"/>
      <w:pPr>
        <w:ind w:left="6448" w:hanging="601"/>
      </w:pPr>
      <w:rPr>
        <w:rFonts w:hint="default"/>
        <w:lang w:val="en-US" w:eastAsia="zh-CN" w:bidi="ar-SA"/>
      </w:rPr>
    </w:lvl>
    <w:lvl w:ilvl="7" w:tentative="0">
      <w:start w:val="0"/>
      <w:numFmt w:val="bullet"/>
      <w:lvlText w:val="•"/>
      <w:lvlJc w:val="left"/>
      <w:pPr>
        <w:ind w:left="7306" w:hanging="601"/>
      </w:pPr>
      <w:rPr>
        <w:rFonts w:hint="default"/>
        <w:lang w:val="en-US" w:eastAsia="zh-CN" w:bidi="ar-SA"/>
      </w:rPr>
    </w:lvl>
    <w:lvl w:ilvl="8" w:tentative="0">
      <w:start w:val="0"/>
      <w:numFmt w:val="bullet"/>
      <w:lvlText w:val="•"/>
      <w:lvlJc w:val="left"/>
      <w:pPr>
        <w:ind w:left="8164" w:hanging="601"/>
      </w:pPr>
      <w:rPr>
        <w:rFonts w:hint="default"/>
        <w:lang w:val="en-US" w:eastAsia="zh-CN" w:bidi="ar-SA"/>
      </w:rPr>
    </w:lvl>
  </w:abstractNum>
  <w:abstractNum w:abstractNumId="13">
    <w:nsid w:val="0000000C"/>
    <w:multiLevelType w:val="multilevel"/>
    <w:tmpl w:val="0000000C"/>
    <w:lvl w:ilvl="0" w:tentative="0">
      <w:start w:val="8"/>
      <w:numFmt w:val="decimal"/>
      <w:lvlText w:val="%1"/>
      <w:lvlJc w:val="left"/>
      <w:pPr>
        <w:ind w:left="1181" w:hanging="480"/>
        <w:jc w:val="left"/>
      </w:pPr>
      <w:rPr>
        <w:rFonts w:hint="default"/>
        <w:lang w:val="en-US" w:eastAsia="zh-CN" w:bidi="ar-SA"/>
      </w:rPr>
    </w:lvl>
    <w:lvl w:ilvl="1" w:tentative="0">
      <w:start w:val="1"/>
      <w:numFmt w:val="decimal"/>
      <w:lvlText w:val="%1.%2"/>
      <w:lvlJc w:val="left"/>
      <w:pPr>
        <w:ind w:left="1181" w:hanging="480"/>
        <w:jc w:val="left"/>
      </w:pPr>
      <w:rPr>
        <w:rFonts w:hint="default" w:ascii="宋体" w:hAnsi="宋体" w:eastAsia="宋体" w:cs="宋体"/>
        <w:w w:val="100"/>
        <w:sz w:val="24"/>
        <w:szCs w:val="24"/>
        <w:lang w:val="en-US" w:eastAsia="zh-CN" w:bidi="ar-SA"/>
      </w:rPr>
    </w:lvl>
    <w:lvl w:ilvl="2" w:tentative="0">
      <w:start w:val="0"/>
      <w:numFmt w:val="bullet"/>
      <w:lvlText w:val="•"/>
      <w:lvlJc w:val="left"/>
      <w:pPr>
        <w:ind w:left="2920" w:hanging="480"/>
      </w:pPr>
      <w:rPr>
        <w:rFonts w:hint="default"/>
        <w:lang w:val="en-US" w:eastAsia="zh-CN" w:bidi="ar-SA"/>
      </w:rPr>
    </w:lvl>
    <w:lvl w:ilvl="3" w:tentative="0">
      <w:start w:val="0"/>
      <w:numFmt w:val="bullet"/>
      <w:lvlText w:val="•"/>
      <w:lvlJc w:val="left"/>
      <w:pPr>
        <w:ind w:left="3790" w:hanging="480"/>
      </w:pPr>
      <w:rPr>
        <w:rFonts w:hint="default"/>
        <w:lang w:val="en-US" w:eastAsia="zh-CN" w:bidi="ar-SA"/>
      </w:rPr>
    </w:lvl>
    <w:lvl w:ilvl="4" w:tentative="0">
      <w:start w:val="0"/>
      <w:numFmt w:val="bullet"/>
      <w:lvlText w:val="•"/>
      <w:lvlJc w:val="left"/>
      <w:pPr>
        <w:ind w:left="4660" w:hanging="480"/>
      </w:pPr>
      <w:rPr>
        <w:rFonts w:hint="default"/>
        <w:lang w:val="en-US" w:eastAsia="zh-CN" w:bidi="ar-SA"/>
      </w:rPr>
    </w:lvl>
    <w:lvl w:ilvl="5" w:tentative="0">
      <w:start w:val="0"/>
      <w:numFmt w:val="bullet"/>
      <w:lvlText w:val="•"/>
      <w:lvlJc w:val="left"/>
      <w:pPr>
        <w:ind w:left="5530" w:hanging="480"/>
      </w:pPr>
      <w:rPr>
        <w:rFonts w:hint="default"/>
        <w:lang w:val="en-US" w:eastAsia="zh-CN" w:bidi="ar-SA"/>
      </w:rPr>
    </w:lvl>
    <w:lvl w:ilvl="6" w:tentative="0">
      <w:start w:val="0"/>
      <w:numFmt w:val="bullet"/>
      <w:lvlText w:val="•"/>
      <w:lvlJc w:val="left"/>
      <w:pPr>
        <w:ind w:left="6400" w:hanging="480"/>
      </w:pPr>
      <w:rPr>
        <w:rFonts w:hint="default"/>
        <w:lang w:val="en-US" w:eastAsia="zh-CN" w:bidi="ar-SA"/>
      </w:rPr>
    </w:lvl>
    <w:lvl w:ilvl="7" w:tentative="0">
      <w:start w:val="0"/>
      <w:numFmt w:val="bullet"/>
      <w:lvlText w:val="•"/>
      <w:lvlJc w:val="left"/>
      <w:pPr>
        <w:ind w:left="7270" w:hanging="480"/>
      </w:pPr>
      <w:rPr>
        <w:rFonts w:hint="default"/>
        <w:lang w:val="en-US" w:eastAsia="zh-CN" w:bidi="ar-SA"/>
      </w:rPr>
    </w:lvl>
    <w:lvl w:ilvl="8" w:tentative="0">
      <w:start w:val="0"/>
      <w:numFmt w:val="bullet"/>
      <w:lvlText w:val="•"/>
      <w:lvlJc w:val="left"/>
      <w:pPr>
        <w:ind w:left="8140" w:hanging="480"/>
      </w:pPr>
      <w:rPr>
        <w:rFonts w:hint="default"/>
        <w:lang w:val="en-US" w:eastAsia="zh-CN" w:bidi="ar-SA"/>
      </w:rPr>
    </w:lvl>
  </w:abstractNum>
  <w:abstractNum w:abstractNumId="14">
    <w:nsid w:val="0000000D"/>
    <w:multiLevelType w:val="multilevel"/>
    <w:tmpl w:val="0000000D"/>
    <w:lvl w:ilvl="0" w:tentative="0">
      <w:start w:val="7"/>
      <w:numFmt w:val="decimal"/>
      <w:lvlText w:val="%1"/>
      <w:lvlJc w:val="left"/>
      <w:pPr>
        <w:ind w:left="1184" w:hanging="483"/>
        <w:jc w:val="left"/>
      </w:pPr>
      <w:rPr>
        <w:rFonts w:hint="default"/>
        <w:lang w:val="en-US" w:eastAsia="zh-CN" w:bidi="ar-SA"/>
      </w:rPr>
    </w:lvl>
    <w:lvl w:ilvl="1" w:tentative="0">
      <w:start w:val="1"/>
      <w:numFmt w:val="decimal"/>
      <w:lvlText w:val="%1.%2"/>
      <w:lvlJc w:val="left"/>
      <w:pPr>
        <w:ind w:left="1184" w:hanging="483"/>
        <w:jc w:val="left"/>
      </w:pPr>
      <w:rPr>
        <w:rFonts w:hint="default" w:ascii="Microsoft YaHei UI" w:hAnsi="Microsoft YaHei UI" w:eastAsia="Microsoft YaHei UI" w:cs="Microsoft YaHei UI"/>
        <w:b/>
        <w:bCs/>
        <w:spacing w:val="0"/>
        <w:w w:val="81"/>
        <w:sz w:val="24"/>
        <w:szCs w:val="24"/>
        <w:lang w:val="en-US" w:eastAsia="zh-CN" w:bidi="ar-SA"/>
      </w:rPr>
    </w:lvl>
    <w:lvl w:ilvl="2" w:tentative="0">
      <w:start w:val="0"/>
      <w:numFmt w:val="bullet"/>
      <w:lvlText w:val="•"/>
      <w:lvlJc w:val="left"/>
      <w:pPr>
        <w:ind w:left="2920" w:hanging="483"/>
      </w:pPr>
      <w:rPr>
        <w:rFonts w:hint="default"/>
        <w:lang w:val="en-US" w:eastAsia="zh-CN" w:bidi="ar-SA"/>
      </w:rPr>
    </w:lvl>
    <w:lvl w:ilvl="3" w:tentative="0">
      <w:start w:val="0"/>
      <w:numFmt w:val="bullet"/>
      <w:lvlText w:val="•"/>
      <w:lvlJc w:val="left"/>
      <w:pPr>
        <w:ind w:left="3790" w:hanging="483"/>
      </w:pPr>
      <w:rPr>
        <w:rFonts w:hint="default"/>
        <w:lang w:val="en-US" w:eastAsia="zh-CN" w:bidi="ar-SA"/>
      </w:rPr>
    </w:lvl>
    <w:lvl w:ilvl="4" w:tentative="0">
      <w:start w:val="0"/>
      <w:numFmt w:val="bullet"/>
      <w:lvlText w:val="•"/>
      <w:lvlJc w:val="left"/>
      <w:pPr>
        <w:ind w:left="4660" w:hanging="483"/>
      </w:pPr>
      <w:rPr>
        <w:rFonts w:hint="default"/>
        <w:lang w:val="en-US" w:eastAsia="zh-CN" w:bidi="ar-SA"/>
      </w:rPr>
    </w:lvl>
    <w:lvl w:ilvl="5" w:tentative="0">
      <w:start w:val="0"/>
      <w:numFmt w:val="bullet"/>
      <w:lvlText w:val="•"/>
      <w:lvlJc w:val="left"/>
      <w:pPr>
        <w:ind w:left="5530" w:hanging="483"/>
      </w:pPr>
      <w:rPr>
        <w:rFonts w:hint="default"/>
        <w:lang w:val="en-US" w:eastAsia="zh-CN" w:bidi="ar-SA"/>
      </w:rPr>
    </w:lvl>
    <w:lvl w:ilvl="6" w:tentative="0">
      <w:start w:val="0"/>
      <w:numFmt w:val="bullet"/>
      <w:lvlText w:val="•"/>
      <w:lvlJc w:val="left"/>
      <w:pPr>
        <w:ind w:left="6400" w:hanging="483"/>
      </w:pPr>
      <w:rPr>
        <w:rFonts w:hint="default"/>
        <w:lang w:val="en-US" w:eastAsia="zh-CN" w:bidi="ar-SA"/>
      </w:rPr>
    </w:lvl>
    <w:lvl w:ilvl="7" w:tentative="0">
      <w:start w:val="0"/>
      <w:numFmt w:val="bullet"/>
      <w:lvlText w:val="•"/>
      <w:lvlJc w:val="left"/>
      <w:pPr>
        <w:ind w:left="7270" w:hanging="483"/>
      </w:pPr>
      <w:rPr>
        <w:rFonts w:hint="default"/>
        <w:lang w:val="en-US" w:eastAsia="zh-CN" w:bidi="ar-SA"/>
      </w:rPr>
    </w:lvl>
    <w:lvl w:ilvl="8" w:tentative="0">
      <w:start w:val="0"/>
      <w:numFmt w:val="bullet"/>
      <w:lvlText w:val="•"/>
      <w:lvlJc w:val="left"/>
      <w:pPr>
        <w:ind w:left="8140" w:hanging="483"/>
      </w:pPr>
      <w:rPr>
        <w:rFonts w:hint="default"/>
        <w:lang w:val="en-US" w:eastAsia="zh-CN" w:bidi="ar-SA"/>
      </w:rPr>
    </w:lvl>
  </w:abstractNum>
  <w:abstractNum w:abstractNumId="15">
    <w:nsid w:val="0000000E"/>
    <w:multiLevelType w:val="multilevel"/>
    <w:tmpl w:val="0000000E"/>
    <w:lvl w:ilvl="0" w:tentative="0">
      <w:start w:val="1"/>
      <w:numFmt w:val="decimal"/>
      <w:lvlText w:val="（%1）"/>
      <w:lvlJc w:val="left"/>
      <w:pPr>
        <w:ind w:left="1302" w:hanging="60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158" w:hanging="601"/>
      </w:pPr>
      <w:rPr>
        <w:rFonts w:hint="default"/>
        <w:lang w:val="en-US" w:eastAsia="zh-CN" w:bidi="ar-SA"/>
      </w:rPr>
    </w:lvl>
    <w:lvl w:ilvl="2" w:tentative="0">
      <w:start w:val="0"/>
      <w:numFmt w:val="bullet"/>
      <w:lvlText w:val="•"/>
      <w:lvlJc w:val="left"/>
      <w:pPr>
        <w:ind w:left="3016" w:hanging="601"/>
      </w:pPr>
      <w:rPr>
        <w:rFonts w:hint="default"/>
        <w:lang w:val="en-US" w:eastAsia="zh-CN" w:bidi="ar-SA"/>
      </w:rPr>
    </w:lvl>
    <w:lvl w:ilvl="3" w:tentative="0">
      <w:start w:val="0"/>
      <w:numFmt w:val="bullet"/>
      <w:lvlText w:val="•"/>
      <w:lvlJc w:val="left"/>
      <w:pPr>
        <w:ind w:left="3874" w:hanging="601"/>
      </w:pPr>
      <w:rPr>
        <w:rFonts w:hint="default"/>
        <w:lang w:val="en-US" w:eastAsia="zh-CN" w:bidi="ar-SA"/>
      </w:rPr>
    </w:lvl>
    <w:lvl w:ilvl="4" w:tentative="0">
      <w:start w:val="0"/>
      <w:numFmt w:val="bullet"/>
      <w:lvlText w:val="•"/>
      <w:lvlJc w:val="left"/>
      <w:pPr>
        <w:ind w:left="4732" w:hanging="601"/>
      </w:pPr>
      <w:rPr>
        <w:rFonts w:hint="default"/>
        <w:lang w:val="en-US" w:eastAsia="zh-CN" w:bidi="ar-SA"/>
      </w:rPr>
    </w:lvl>
    <w:lvl w:ilvl="5" w:tentative="0">
      <w:start w:val="0"/>
      <w:numFmt w:val="bullet"/>
      <w:lvlText w:val="•"/>
      <w:lvlJc w:val="left"/>
      <w:pPr>
        <w:ind w:left="5590" w:hanging="601"/>
      </w:pPr>
      <w:rPr>
        <w:rFonts w:hint="default"/>
        <w:lang w:val="en-US" w:eastAsia="zh-CN" w:bidi="ar-SA"/>
      </w:rPr>
    </w:lvl>
    <w:lvl w:ilvl="6" w:tentative="0">
      <w:start w:val="0"/>
      <w:numFmt w:val="bullet"/>
      <w:lvlText w:val="•"/>
      <w:lvlJc w:val="left"/>
      <w:pPr>
        <w:ind w:left="6448" w:hanging="601"/>
      </w:pPr>
      <w:rPr>
        <w:rFonts w:hint="default"/>
        <w:lang w:val="en-US" w:eastAsia="zh-CN" w:bidi="ar-SA"/>
      </w:rPr>
    </w:lvl>
    <w:lvl w:ilvl="7" w:tentative="0">
      <w:start w:val="0"/>
      <w:numFmt w:val="bullet"/>
      <w:lvlText w:val="•"/>
      <w:lvlJc w:val="left"/>
      <w:pPr>
        <w:ind w:left="7306" w:hanging="601"/>
      </w:pPr>
      <w:rPr>
        <w:rFonts w:hint="default"/>
        <w:lang w:val="en-US" w:eastAsia="zh-CN" w:bidi="ar-SA"/>
      </w:rPr>
    </w:lvl>
    <w:lvl w:ilvl="8" w:tentative="0">
      <w:start w:val="0"/>
      <w:numFmt w:val="bullet"/>
      <w:lvlText w:val="•"/>
      <w:lvlJc w:val="left"/>
      <w:pPr>
        <w:ind w:left="8164" w:hanging="601"/>
      </w:pPr>
      <w:rPr>
        <w:rFonts w:hint="default"/>
        <w:lang w:val="en-US" w:eastAsia="zh-CN" w:bidi="ar-SA"/>
      </w:rPr>
    </w:lvl>
  </w:abstractNum>
  <w:abstractNum w:abstractNumId="16">
    <w:nsid w:val="0000000F"/>
    <w:multiLevelType w:val="multilevel"/>
    <w:tmpl w:val="0000000F"/>
    <w:lvl w:ilvl="0" w:tentative="0">
      <w:start w:val="1"/>
      <w:numFmt w:val="decimal"/>
      <w:lvlText w:val="（%1）"/>
      <w:lvlJc w:val="left"/>
      <w:pPr>
        <w:ind w:left="281" w:hanging="60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40" w:hanging="601"/>
      </w:pPr>
      <w:rPr>
        <w:rFonts w:hint="default"/>
        <w:lang w:val="en-US" w:eastAsia="zh-CN" w:bidi="ar-SA"/>
      </w:rPr>
    </w:lvl>
    <w:lvl w:ilvl="2" w:tentative="0">
      <w:start w:val="0"/>
      <w:numFmt w:val="bullet"/>
      <w:lvlText w:val="•"/>
      <w:lvlJc w:val="left"/>
      <w:pPr>
        <w:ind w:left="2200" w:hanging="601"/>
      </w:pPr>
      <w:rPr>
        <w:rFonts w:hint="default"/>
        <w:lang w:val="en-US" w:eastAsia="zh-CN" w:bidi="ar-SA"/>
      </w:rPr>
    </w:lvl>
    <w:lvl w:ilvl="3" w:tentative="0">
      <w:start w:val="0"/>
      <w:numFmt w:val="bullet"/>
      <w:lvlText w:val="•"/>
      <w:lvlJc w:val="left"/>
      <w:pPr>
        <w:ind w:left="3160" w:hanging="601"/>
      </w:pPr>
      <w:rPr>
        <w:rFonts w:hint="default"/>
        <w:lang w:val="en-US" w:eastAsia="zh-CN" w:bidi="ar-SA"/>
      </w:rPr>
    </w:lvl>
    <w:lvl w:ilvl="4" w:tentative="0">
      <w:start w:val="0"/>
      <w:numFmt w:val="bullet"/>
      <w:lvlText w:val="•"/>
      <w:lvlJc w:val="left"/>
      <w:pPr>
        <w:ind w:left="4120" w:hanging="601"/>
      </w:pPr>
      <w:rPr>
        <w:rFonts w:hint="default"/>
        <w:lang w:val="en-US" w:eastAsia="zh-CN" w:bidi="ar-SA"/>
      </w:rPr>
    </w:lvl>
    <w:lvl w:ilvl="5" w:tentative="0">
      <w:start w:val="0"/>
      <w:numFmt w:val="bullet"/>
      <w:lvlText w:val="•"/>
      <w:lvlJc w:val="left"/>
      <w:pPr>
        <w:ind w:left="5080" w:hanging="601"/>
      </w:pPr>
      <w:rPr>
        <w:rFonts w:hint="default"/>
        <w:lang w:val="en-US" w:eastAsia="zh-CN" w:bidi="ar-SA"/>
      </w:rPr>
    </w:lvl>
    <w:lvl w:ilvl="6" w:tentative="0">
      <w:start w:val="0"/>
      <w:numFmt w:val="bullet"/>
      <w:lvlText w:val="•"/>
      <w:lvlJc w:val="left"/>
      <w:pPr>
        <w:ind w:left="6040" w:hanging="601"/>
      </w:pPr>
      <w:rPr>
        <w:rFonts w:hint="default"/>
        <w:lang w:val="en-US" w:eastAsia="zh-CN" w:bidi="ar-SA"/>
      </w:rPr>
    </w:lvl>
    <w:lvl w:ilvl="7" w:tentative="0">
      <w:start w:val="0"/>
      <w:numFmt w:val="bullet"/>
      <w:lvlText w:val="•"/>
      <w:lvlJc w:val="left"/>
      <w:pPr>
        <w:ind w:left="7000" w:hanging="601"/>
      </w:pPr>
      <w:rPr>
        <w:rFonts w:hint="default"/>
        <w:lang w:val="en-US" w:eastAsia="zh-CN" w:bidi="ar-SA"/>
      </w:rPr>
    </w:lvl>
    <w:lvl w:ilvl="8" w:tentative="0">
      <w:start w:val="0"/>
      <w:numFmt w:val="bullet"/>
      <w:lvlText w:val="•"/>
      <w:lvlJc w:val="left"/>
      <w:pPr>
        <w:ind w:left="7960" w:hanging="601"/>
      </w:pPr>
      <w:rPr>
        <w:rFonts w:hint="default"/>
        <w:lang w:val="en-US" w:eastAsia="zh-CN" w:bidi="ar-SA"/>
      </w:rPr>
    </w:lvl>
  </w:abstractNum>
  <w:abstractNum w:abstractNumId="17">
    <w:nsid w:val="1CE5079A"/>
    <w:multiLevelType w:val="singleLevel"/>
    <w:tmpl w:val="1CE5079A"/>
    <w:lvl w:ilvl="0" w:tentative="0">
      <w:start w:val="4"/>
      <w:numFmt w:val="chineseCounting"/>
      <w:suff w:val="space"/>
      <w:lvlText w:val="第%1章"/>
      <w:lvlJc w:val="left"/>
      <w:rPr>
        <w:rFonts w:hint="eastAsia"/>
      </w:rPr>
    </w:lvl>
  </w:abstractNum>
  <w:num w:numId="1">
    <w:abstractNumId w:val="17"/>
  </w:num>
  <w:num w:numId="2">
    <w:abstractNumId w:val="10"/>
  </w:num>
  <w:num w:numId="3">
    <w:abstractNumId w:val="2"/>
  </w:num>
  <w:num w:numId="4">
    <w:abstractNumId w:val="8"/>
  </w:num>
  <w:num w:numId="5">
    <w:abstractNumId w:val="3"/>
  </w:num>
  <w:num w:numId="6">
    <w:abstractNumId w:val="14"/>
  </w:num>
  <w:num w:numId="7">
    <w:abstractNumId w:val="16"/>
  </w:num>
  <w:num w:numId="8">
    <w:abstractNumId w:val="13"/>
  </w:num>
  <w:num w:numId="9">
    <w:abstractNumId w:val="11"/>
  </w:num>
  <w:num w:numId="10">
    <w:abstractNumId w:val="15"/>
  </w:num>
  <w:num w:numId="11">
    <w:abstractNumId w:val="6"/>
  </w:num>
  <w:num w:numId="12">
    <w:abstractNumId w:val="7"/>
  </w:num>
  <w:num w:numId="13">
    <w:abstractNumId w:val="5"/>
  </w:num>
  <w:num w:numId="14">
    <w:abstractNumId w:val="12"/>
  </w:num>
  <w:num w:numId="15">
    <w:abstractNumId w:val="9"/>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ZWNhZGM1NTQ4OTIyOTVmYjE2NjdmNDcwNjE5NGMifQ=="/>
  </w:docVars>
  <w:rsids>
    <w:rsidRoot w:val="78171135"/>
    <w:rsid w:val="005F4BA9"/>
    <w:rsid w:val="08C71670"/>
    <w:rsid w:val="162D6677"/>
    <w:rsid w:val="1ED81D3D"/>
    <w:rsid w:val="1FB974BC"/>
    <w:rsid w:val="1FEB563F"/>
    <w:rsid w:val="24DC1FCA"/>
    <w:rsid w:val="271F6144"/>
    <w:rsid w:val="2ED9455A"/>
    <w:rsid w:val="372F3102"/>
    <w:rsid w:val="43A13A91"/>
    <w:rsid w:val="444B7C22"/>
    <w:rsid w:val="485A1120"/>
    <w:rsid w:val="56392F9F"/>
    <w:rsid w:val="5B182775"/>
    <w:rsid w:val="5BEF0F67"/>
    <w:rsid w:val="5D484CBC"/>
    <w:rsid w:val="60D17A3D"/>
    <w:rsid w:val="615605A1"/>
    <w:rsid w:val="627654C7"/>
    <w:rsid w:val="63F7285B"/>
    <w:rsid w:val="658729D1"/>
    <w:rsid w:val="66F22376"/>
    <w:rsid w:val="67FF103A"/>
    <w:rsid w:val="74C71AD0"/>
    <w:rsid w:val="75E83A70"/>
    <w:rsid w:val="781077DC"/>
    <w:rsid w:val="7817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3">
    <w:name w:val="heading 1"/>
    <w:basedOn w:val="1"/>
    <w:next w:val="1"/>
    <w:autoRedefine/>
    <w:qFormat/>
    <w:uiPriority w:val="0"/>
    <w:pPr>
      <w:spacing w:beforeAutospacing="1" w:afterAutospacing="1"/>
      <w:ind w:firstLine="1446" w:firstLineChars="300"/>
      <w:outlineLvl w:val="0"/>
    </w:pPr>
    <w:rPr>
      <w:rFonts w:hint="eastAsia" w:ascii="宋体" w:hAnsi="宋体" w:eastAsia="宋体" w:cs="Times New Roman"/>
      <w:b/>
      <w:bCs/>
      <w:kern w:val="44"/>
      <w:sz w:val="48"/>
      <w:szCs w:val="48"/>
      <w:lang w:eastAsia="zh-CN"/>
    </w:rPr>
  </w:style>
  <w:style w:type="paragraph" w:styleId="4">
    <w:name w:val="heading 2"/>
    <w:basedOn w:val="1"/>
    <w:next w:val="1"/>
    <w:autoRedefine/>
    <w:unhideWhenUsed/>
    <w:qFormat/>
    <w:uiPriority w:val="0"/>
    <w:pPr>
      <w:keepNext/>
      <w:keepLines/>
      <w:spacing w:before="260" w:after="260" w:line="413" w:lineRule="auto"/>
      <w:outlineLvl w:val="1"/>
    </w:pPr>
    <w:rPr>
      <w:rFonts w:eastAsia="黑体"/>
      <w:b/>
      <w:sz w:val="32"/>
    </w:rPr>
  </w:style>
  <w:style w:type="paragraph" w:styleId="5">
    <w:name w:val="heading 6"/>
    <w:basedOn w:val="1"/>
    <w:next w:val="1"/>
    <w:autoRedefine/>
    <w:qFormat/>
    <w:uiPriority w:val="1"/>
    <w:pPr>
      <w:spacing w:line="364" w:lineRule="exact"/>
      <w:ind w:left="1184" w:hanging="483"/>
      <w:outlineLvl w:val="6"/>
    </w:pPr>
    <w:rPr>
      <w:rFonts w:ascii="Microsoft YaHei UI" w:hAnsi="Microsoft YaHei UI" w:eastAsia="Microsoft YaHei UI" w:cs="Microsoft YaHei UI"/>
      <w:b/>
      <w:bCs/>
      <w:sz w:val="24"/>
      <w:szCs w:val="24"/>
      <w:lang w:val="en-US" w:eastAsia="zh-CN" w:bidi="ar-SA"/>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semiHidden/>
    <w:qFormat/>
    <w:uiPriority w:val="0"/>
    <w:pPr>
      <w:spacing w:line="360" w:lineRule="auto"/>
      <w:pPrChange w:id="0" w:author="琴 何" w:date="2024-01-14T13:25:00Z">
        <w:pPr>
          <w:kinsoku w:val="0"/>
          <w:autoSpaceDE w:val="0"/>
          <w:autoSpaceDN w:val="0"/>
          <w:adjustRightInd w:val="0"/>
          <w:snapToGrid w:val="0"/>
          <w:textAlignment w:val="baseline"/>
        </w:pPr>
      </w:pPrChange>
    </w:pPr>
    <w:rPr>
      <w:rPrChange w:id="1" w:author="琴 何" w:date="2024-01-14T13:25:00Z">
        <w:rPr>
          <w:rFonts w:ascii="Arial" w:hAnsi="Arial" w:eastAsia="Arial" w:cs="Arial"/>
          <w:snapToGrid w:val="0"/>
          <w:color w:val="000000"/>
          <w:sz w:val="21"/>
          <w:szCs w:val="21"/>
          <w:lang w:val="en-US" w:eastAsia="en-US" w:bidi="ar-SA"/>
        </w:rPr>
      </w:rPrChange>
    </w:rPr>
  </w:style>
  <w:style w:type="paragraph" w:styleId="6">
    <w:name w:val="annotation text"/>
    <w:basedOn w:val="1"/>
    <w:autoRedefine/>
    <w:qFormat/>
    <w:uiPriority w:val="0"/>
    <w:pPr>
      <w:jc w:val="left"/>
    </w:pPr>
  </w:style>
  <w:style w:type="paragraph" w:styleId="7">
    <w:name w:val="toc 3"/>
    <w:basedOn w:val="1"/>
    <w:next w:val="1"/>
    <w:autoRedefine/>
    <w:qFormat/>
    <w:uiPriority w:val="0"/>
    <w:pPr>
      <w:ind w:left="840" w:leftChars="400"/>
    </w:pPr>
  </w:style>
  <w:style w:type="paragraph" w:styleId="8">
    <w:name w:val="footer"/>
    <w:basedOn w:val="1"/>
    <w:autoRedefine/>
    <w:qFormat/>
    <w:uiPriority w:val="0"/>
    <w:pPr>
      <w:tabs>
        <w:tab w:val="center" w:pos="4153"/>
        <w:tab w:val="right" w:pos="8306"/>
      </w:tabs>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pPr>
      <w:spacing w:before="564" w:beforeLines="235" w:after="100" w:afterAutospacing="1" w:line="360" w:lineRule="auto"/>
      <w:pPrChange w:id="2" w:author="琴 何" w:date="2024-01-14T13:19:00Z">
        <w:pPr>
          <w:kinsoku w:val="0"/>
          <w:autoSpaceDE w:val="0"/>
          <w:autoSpaceDN w:val="0"/>
          <w:adjustRightInd w:val="0"/>
          <w:snapToGrid w:val="0"/>
          <w:spacing w:beforeAutospacing="1" w:afterAutospacing="1"/>
          <w:textAlignment w:val="baseline"/>
        </w:pPr>
      </w:pPrChange>
    </w:pPr>
    <w:rPr>
      <w:rFonts w:cs="Times New Roman"/>
      <w:sz w:val="24"/>
      <w:lang w:eastAsia="zh-CN"/>
      <w:rPrChange w:id="3" w:author="琴 何" w:date="2024-01-14T13:19:00Z">
        <w:rPr>
          <w:rFonts w:ascii="Arial" w:hAnsi="Arial" w:eastAsia="Arial"/>
          <w:snapToGrid w:val="0"/>
          <w:color w:val="000000"/>
          <w:sz w:val="24"/>
          <w:szCs w:val="21"/>
          <w:lang w:val="en-US" w:eastAsia="zh-CN" w:bidi="ar-SA"/>
        </w:rPr>
      </w:rPrChange>
    </w:rPr>
  </w:style>
  <w:style w:type="paragraph" w:customStyle="1" w:styleId="15">
    <w:name w:val="WPSOffice手动目录 1"/>
    <w:autoRedefine/>
    <w:qFormat/>
    <w:uiPriority w:val="0"/>
    <w:pPr>
      <w:tabs>
        <w:tab w:val="right" w:leader="dot" w:pos="8995"/>
      </w:tabs>
      <w:spacing w:line="360" w:lineRule="auto"/>
    </w:pPr>
    <w:rPr>
      <w:rFonts w:ascii="Times New Roman" w:hAnsi="Times New Roman" w:eastAsia="宋体" w:cs="Times New Roman"/>
      <w:lang w:val="en-US" w:eastAsia="zh-CN" w:bidi="ar-SA"/>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Table Text"/>
    <w:basedOn w:val="1"/>
    <w:autoRedefine/>
    <w:semiHidden/>
    <w:qFormat/>
    <w:uiPriority w:val="0"/>
    <w:pPr>
      <w:spacing w:before="143"/>
      <w:ind w:firstLine="269" w:firstLineChars="112"/>
      <w:pPrChange w:id="4" w:author="琴 何" w:date="2024-01-14T12:42:00Z">
        <w:pPr>
          <w:kinsoku w:val="0"/>
          <w:autoSpaceDE w:val="0"/>
          <w:autoSpaceDN w:val="0"/>
          <w:adjustRightInd w:val="0"/>
          <w:snapToGrid w:val="0"/>
          <w:spacing w:before="143"/>
          <w:ind w:firstLine="269" w:firstLineChars="112"/>
          <w:textAlignment w:val="baseline"/>
        </w:pPr>
      </w:pPrChange>
    </w:pPr>
    <w:rPr>
      <w:rFonts w:ascii="宋体" w:hAnsi="宋体" w:eastAsia="宋体" w:cs="宋体"/>
      <w:sz w:val="24"/>
      <w:szCs w:val="24"/>
      <w:rPrChange w:id="5" w:author="琴 何" w:date="2024-01-14T12:42:00Z">
        <w:rPr>
          <w:rFonts w:ascii="宋体" w:hAnsi="宋体" w:eastAsia="宋体" w:cs="宋体"/>
          <w:snapToGrid w:val="0"/>
          <w:color w:val="000000"/>
          <w:sz w:val="24"/>
          <w:szCs w:val="24"/>
          <w:lang w:val="en-US" w:eastAsia="en-US" w:bidi="ar-SA"/>
        </w:rPr>
      </w:rPrChange>
    </w:rPr>
  </w:style>
  <w:style w:type="paragraph" w:styleId="18">
    <w:name w:val="List Paragraph"/>
    <w:basedOn w:val="1"/>
    <w:autoRedefine/>
    <w:qFormat/>
    <w:uiPriority w:val="1"/>
    <w:pPr>
      <w:ind w:left="521" w:hanging="481"/>
    </w:pPr>
    <w:rPr>
      <w:rFonts w:ascii="宋体" w:hAnsi="宋体" w:eastAsia="宋体" w:cs="宋体"/>
      <w:lang w:val="en-US" w:eastAsia="zh-CN" w:bidi="ar-SA"/>
    </w:rPr>
  </w:style>
  <w:style w:type="paragraph" w:customStyle="1" w:styleId="19">
    <w:name w:val="Header or footer|2"/>
    <w:basedOn w:val="1"/>
    <w:autoRedefine/>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24562</Words>
  <Characters>26247</Characters>
  <Lines>0</Lines>
  <Paragraphs>0</Paragraphs>
  <TotalTime>19</TotalTime>
  <ScaleCrop>false</ScaleCrop>
  <LinksUpToDate>false</LinksUpToDate>
  <CharactersWithSpaces>27376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2024-04-19T08:18:00Z</dcterms:created>
  <dc:creator>得不到的永远在骚动</dc:creator>
  <cp:lastModifiedBy>123木头人 </cp:lastModifiedBy>
  <cp:lastPrinted>2024-04-25T14:23:00Z</cp:lastPrinted>
  <dcterms:modified xsi:type="dcterms:W3CDTF">2024-04-26T09:56:33Z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79EC6E14FF52420ABCF694922385BC86_13</vt:lpwstr>
  </property>
</Properties>
</file>