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6"/>
          <w:szCs w:val="36"/>
          <w:lang w:val="en-US" w:eastAsia="zh-CN"/>
        </w:rPr>
      </w:pPr>
      <w:bookmarkStart w:id="0" w:name="_GoBack"/>
      <w:bookmarkEnd w:id="0"/>
      <w:r>
        <w:rPr>
          <w:rFonts w:hint="eastAsia"/>
          <w:b/>
          <w:bCs/>
          <w:sz w:val="36"/>
          <w:szCs w:val="36"/>
          <w:lang w:val="en-US" w:eastAsia="zh-CN"/>
        </w:rPr>
        <w:t>招标计划发布操作指南</w:t>
      </w:r>
    </w:p>
    <w:p>
      <w:pPr>
        <w:numPr>
          <w:ilvl w:val="0"/>
          <w:numId w:val="1"/>
        </w:numPr>
        <w:jc w:val="both"/>
        <w:rPr>
          <w:rFonts w:hint="default"/>
          <w:sz w:val="22"/>
          <w:szCs w:val="22"/>
          <w:lang w:val="en-US" w:eastAsia="zh-CN"/>
        </w:rPr>
      </w:pPr>
      <w:r>
        <w:rPr>
          <w:rFonts w:hint="eastAsia"/>
          <w:sz w:val="22"/>
          <w:szCs w:val="22"/>
          <w:lang w:val="en-US" w:eastAsia="zh-CN"/>
        </w:rPr>
        <w:t>招标人/代理机构角色登录市场主体管理系统进行新用户注册，招标人新用户注册时注册类型选择“企业”业务方向选择“工程建设”企业类型选择“建设单位”，代理机构注册可根据自己实际业务需要进行选择。</w:t>
      </w:r>
    </w:p>
    <w:p>
      <w:pPr>
        <w:numPr>
          <w:ilvl w:val="0"/>
          <w:numId w:val="0"/>
        </w:numPr>
        <w:jc w:val="both"/>
        <w:rPr>
          <w:rFonts w:hint="default"/>
          <w:sz w:val="22"/>
          <w:szCs w:val="22"/>
          <w:lang w:val="en-US" w:eastAsia="zh-CN"/>
        </w:rPr>
      </w:pPr>
      <w:r>
        <w:rPr>
          <w:rFonts w:hint="eastAsia"/>
          <w:sz w:val="22"/>
          <w:szCs w:val="22"/>
          <w:lang w:val="en-US" w:eastAsia="zh-CN"/>
        </w:rPr>
        <w:t>市场主体管理系统地址：</w:t>
      </w:r>
      <w:r>
        <w:rPr>
          <w:rFonts w:hint="default"/>
          <w:sz w:val="22"/>
          <w:szCs w:val="22"/>
          <w:lang w:val="en-US" w:eastAsia="zh-CN"/>
        </w:rPr>
        <w:fldChar w:fldCharType="begin"/>
      </w:r>
      <w:r>
        <w:rPr>
          <w:rFonts w:hint="default"/>
          <w:sz w:val="22"/>
          <w:szCs w:val="22"/>
          <w:lang w:val="en-US" w:eastAsia="zh-CN"/>
        </w:rPr>
        <w:instrText xml:space="preserve"> HYPERLINK "http://zw.hainan.gov.cn/jcfw/gfm/login.do?systemId=2c91e607560859950156085cb7440004" </w:instrText>
      </w:r>
      <w:r>
        <w:rPr>
          <w:rFonts w:hint="default"/>
          <w:sz w:val="22"/>
          <w:szCs w:val="22"/>
          <w:lang w:val="en-US" w:eastAsia="zh-CN"/>
        </w:rPr>
        <w:fldChar w:fldCharType="separate"/>
      </w:r>
      <w:r>
        <w:rPr>
          <w:rStyle w:val="7"/>
          <w:rFonts w:hint="default"/>
          <w:sz w:val="22"/>
          <w:szCs w:val="22"/>
          <w:lang w:val="en-US" w:eastAsia="zh-CN"/>
        </w:rPr>
        <w:t>http://zw.hainan.gov.cn/jcfw/gfm/login.do?systemId=2c91e607560859950156085cb7440004</w:t>
      </w:r>
      <w:r>
        <w:rPr>
          <w:rFonts w:hint="default"/>
          <w:sz w:val="22"/>
          <w:szCs w:val="22"/>
          <w:lang w:val="en-US" w:eastAsia="zh-CN"/>
        </w:rPr>
        <w:fldChar w:fldCharType="end"/>
      </w:r>
    </w:p>
    <w:p>
      <w:pPr>
        <w:numPr>
          <w:ilvl w:val="0"/>
          <w:numId w:val="0"/>
        </w:numPr>
        <w:jc w:val="both"/>
      </w:pPr>
      <w:r>
        <w:drawing>
          <wp:inline distT="0" distB="0" distL="114300" distR="114300">
            <wp:extent cx="9450705" cy="4606925"/>
            <wp:effectExtent l="0" t="0" r="1079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9450705" cy="4606925"/>
                    </a:xfrm>
                    <a:prstGeom prst="rect">
                      <a:avLst/>
                    </a:prstGeom>
                    <a:noFill/>
                    <a:ln>
                      <a:noFill/>
                    </a:ln>
                  </pic:spPr>
                </pic:pic>
              </a:graphicData>
            </a:graphic>
          </wp:inline>
        </w:drawing>
      </w:r>
    </w:p>
    <w:p>
      <w:pPr>
        <w:numPr>
          <w:ilvl w:val="0"/>
          <w:numId w:val="0"/>
        </w:numPr>
        <w:jc w:val="both"/>
      </w:pPr>
      <w:r>
        <w:drawing>
          <wp:inline distT="0" distB="0" distL="114300" distR="114300">
            <wp:extent cx="7531100" cy="4768850"/>
            <wp:effectExtent l="0" t="0" r="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7531100" cy="4768850"/>
                    </a:xfrm>
                    <a:prstGeom prst="rect">
                      <a:avLst/>
                    </a:prstGeom>
                    <a:noFill/>
                    <a:ln>
                      <a:noFill/>
                    </a:ln>
                  </pic:spPr>
                </pic:pic>
              </a:graphicData>
            </a:graphic>
          </wp:inline>
        </w:drawing>
      </w:r>
    </w:p>
    <w:p>
      <w:pPr>
        <w:numPr>
          <w:ilvl w:val="0"/>
          <w:numId w:val="0"/>
        </w:numPr>
        <w:jc w:val="both"/>
      </w:pPr>
    </w:p>
    <w:p>
      <w:pPr>
        <w:numPr>
          <w:ilvl w:val="0"/>
          <w:numId w:val="0"/>
        </w:numPr>
        <w:jc w:val="both"/>
      </w:pPr>
    </w:p>
    <w:p>
      <w:pPr>
        <w:numPr>
          <w:ilvl w:val="0"/>
          <w:numId w:val="0"/>
        </w:numPr>
        <w:jc w:val="both"/>
      </w:pPr>
    </w:p>
    <w:p>
      <w:pPr>
        <w:numPr>
          <w:ilvl w:val="0"/>
          <w:numId w:val="0"/>
        </w:numPr>
        <w:jc w:val="both"/>
      </w:pPr>
    </w:p>
    <w:p>
      <w:pPr>
        <w:numPr>
          <w:ilvl w:val="0"/>
          <w:numId w:val="0"/>
        </w:numPr>
        <w:jc w:val="both"/>
      </w:pPr>
    </w:p>
    <w:p>
      <w:pPr>
        <w:numPr>
          <w:ilvl w:val="0"/>
          <w:numId w:val="0"/>
        </w:numPr>
        <w:jc w:val="both"/>
      </w:pPr>
    </w:p>
    <w:p>
      <w:pPr>
        <w:numPr>
          <w:ilvl w:val="0"/>
          <w:numId w:val="0"/>
        </w:numPr>
        <w:jc w:val="both"/>
      </w:pPr>
    </w:p>
    <w:p>
      <w:pPr>
        <w:numPr>
          <w:ilvl w:val="0"/>
          <w:numId w:val="1"/>
        </w:numPr>
        <w:jc w:val="both"/>
        <w:rPr>
          <w:rFonts w:hint="default"/>
          <w:sz w:val="22"/>
          <w:szCs w:val="22"/>
          <w:lang w:val="en-US" w:eastAsia="zh-CN"/>
        </w:rPr>
      </w:pPr>
      <w:r>
        <w:rPr>
          <w:rFonts w:hint="eastAsia"/>
          <w:sz w:val="22"/>
          <w:szCs w:val="22"/>
          <w:lang w:val="en-US" w:eastAsia="zh-CN"/>
        </w:rPr>
        <w:t>用注册好的用户名及密码登录市场主体管理系统完善信息并提交审核，审核通过后招标人即可使用注册的用户名密码登录工程建设交易系统</w:t>
      </w:r>
    </w:p>
    <w:p>
      <w:pPr>
        <w:numPr>
          <w:ilvl w:val="0"/>
          <w:numId w:val="0"/>
        </w:numPr>
        <w:jc w:val="both"/>
      </w:pPr>
      <w:r>
        <w:drawing>
          <wp:inline distT="0" distB="0" distL="114300" distR="114300">
            <wp:extent cx="9603740" cy="4200525"/>
            <wp:effectExtent l="0" t="0" r="10160" b="317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9603740" cy="4200525"/>
                    </a:xfrm>
                    <a:prstGeom prst="rect">
                      <a:avLst/>
                    </a:prstGeom>
                    <a:noFill/>
                    <a:ln>
                      <a:noFill/>
                    </a:ln>
                  </pic:spPr>
                </pic:pic>
              </a:graphicData>
            </a:graphic>
          </wp:inline>
        </w:drawing>
      </w:r>
    </w:p>
    <w:p>
      <w:pPr>
        <w:numPr>
          <w:ilvl w:val="0"/>
          <w:numId w:val="0"/>
        </w:numPr>
        <w:jc w:val="both"/>
      </w:pPr>
    </w:p>
    <w:p>
      <w:pPr>
        <w:numPr>
          <w:ilvl w:val="0"/>
          <w:numId w:val="0"/>
        </w:numPr>
        <w:jc w:val="both"/>
        <w:rPr>
          <w:rFonts w:hint="default"/>
          <w:lang w:val="en-US" w:eastAsia="zh-CN"/>
        </w:rPr>
      </w:pPr>
    </w:p>
    <w:p>
      <w:pPr>
        <w:numPr>
          <w:ilvl w:val="0"/>
          <w:numId w:val="0"/>
        </w:numPr>
        <w:jc w:val="both"/>
        <w:rPr>
          <w:rFonts w:hint="default"/>
          <w:sz w:val="22"/>
          <w:szCs w:val="22"/>
          <w:lang w:val="en-US" w:eastAsia="zh-CN"/>
        </w:rPr>
      </w:pPr>
    </w:p>
    <w:p>
      <w:pPr>
        <w:jc w:val="both"/>
        <w:rPr>
          <w:rFonts w:hint="default"/>
          <w:b/>
          <w:bCs/>
          <w:sz w:val="36"/>
          <w:szCs w:val="36"/>
          <w:lang w:val="en-US" w:eastAsia="zh-CN"/>
        </w:rPr>
      </w:pPr>
    </w:p>
    <w:p>
      <w:pPr>
        <w:jc w:val="both"/>
        <w:rPr>
          <w:rFonts w:hint="default"/>
          <w:b/>
          <w:bCs/>
          <w:sz w:val="36"/>
          <w:szCs w:val="36"/>
          <w:lang w:val="en-US" w:eastAsia="zh-CN"/>
        </w:rPr>
      </w:pPr>
    </w:p>
    <w:p>
      <w:pPr>
        <w:jc w:val="both"/>
        <w:rPr>
          <w:rFonts w:hint="default"/>
          <w:b/>
          <w:bCs/>
          <w:sz w:val="36"/>
          <w:szCs w:val="36"/>
          <w:lang w:val="en-US" w:eastAsia="zh-CN"/>
        </w:rPr>
      </w:pPr>
    </w:p>
    <w:p>
      <w:pPr>
        <w:numPr>
          <w:ilvl w:val="0"/>
          <w:numId w:val="1"/>
        </w:numPr>
        <w:ind w:left="0" w:leftChars="0" w:firstLine="0" w:firstLineChars="0"/>
        <w:rPr>
          <w:rFonts w:hint="eastAsia"/>
          <w:sz w:val="22"/>
          <w:szCs w:val="22"/>
          <w:lang w:val="en-US" w:eastAsia="zh-CN"/>
        </w:rPr>
      </w:pPr>
      <w:r>
        <w:rPr>
          <w:rFonts w:hint="eastAsia"/>
          <w:sz w:val="22"/>
          <w:szCs w:val="22"/>
          <w:lang w:val="en-US" w:eastAsia="zh-CN"/>
        </w:rPr>
        <w:t>招标人/代理机构角色登录工程建设交易系统-我的招标-招标计划发布环节点击新建招标计划，进入招标计划编辑页面。</w:t>
      </w:r>
    </w:p>
    <w:p>
      <w:pPr>
        <w:numPr>
          <w:ilvl w:val="0"/>
          <w:numId w:val="0"/>
        </w:numPr>
        <w:ind w:leftChars="0"/>
        <w:rPr>
          <w:rFonts w:hint="default"/>
          <w:sz w:val="22"/>
          <w:szCs w:val="22"/>
          <w:lang w:val="en-US" w:eastAsia="zh-CN"/>
        </w:rPr>
      </w:pPr>
      <w:r>
        <w:rPr>
          <w:rFonts w:hint="eastAsia"/>
          <w:sz w:val="22"/>
          <w:szCs w:val="22"/>
          <w:lang w:val="en-US" w:eastAsia="zh-CN"/>
        </w:rPr>
        <w:t>工程建设交易系统登录地址：http://zw.hainan.gov.cn/jsgc/gbp/login.do?systemId=2c91e4c25474c566015474cdc19c000a</w:t>
      </w:r>
    </w:p>
    <w:p>
      <w:pPr>
        <w:numPr>
          <w:ilvl w:val="0"/>
          <w:numId w:val="0"/>
        </w:numPr>
        <w:rPr>
          <w:rFonts w:hint="default"/>
          <w:sz w:val="22"/>
          <w:szCs w:val="22"/>
          <w:lang w:val="en-US" w:eastAsia="zh-CN"/>
        </w:rPr>
      </w:pPr>
    </w:p>
    <w:p>
      <w:r>
        <w:drawing>
          <wp:inline distT="0" distB="0" distL="114300" distR="114300">
            <wp:extent cx="9168765" cy="5233035"/>
            <wp:effectExtent l="0" t="0" r="1333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9168765" cy="5233035"/>
                    </a:xfrm>
                    <a:prstGeom prst="rect">
                      <a:avLst/>
                    </a:prstGeom>
                    <a:noFill/>
                    <a:ln>
                      <a:noFill/>
                    </a:ln>
                  </pic:spPr>
                </pic:pic>
              </a:graphicData>
            </a:graphic>
          </wp:inline>
        </w:drawing>
      </w:r>
    </w:p>
    <w:p/>
    <w:p/>
    <w:p>
      <w:pPr>
        <w:rPr>
          <w:rFonts w:hint="default"/>
          <w:lang w:val="en-US"/>
        </w:rPr>
      </w:pPr>
      <w:r>
        <w:rPr>
          <w:rFonts w:hint="eastAsia"/>
          <w:lang w:val="en-US" w:eastAsia="zh-CN"/>
        </w:rPr>
        <w:t>4、进入招标计划编辑页面后按照要求填写招标项目名称、招标人、项目概况、预算金额(元）、预计招标时间、招标内容，填写完成以后点击提交即可完成招标计划发布。</w:t>
      </w:r>
    </w:p>
    <w:p>
      <w:r>
        <w:drawing>
          <wp:inline distT="0" distB="0" distL="114300" distR="114300">
            <wp:extent cx="8936355" cy="5009515"/>
            <wp:effectExtent l="0" t="0" r="1714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8936355" cy="5009515"/>
                    </a:xfrm>
                    <a:prstGeom prst="rect">
                      <a:avLst/>
                    </a:prstGeom>
                    <a:noFill/>
                    <a:ln>
                      <a:noFill/>
                    </a:ln>
                  </pic:spPr>
                </pic:pic>
              </a:graphicData>
            </a:graphic>
          </wp:inline>
        </w:drawing>
      </w:r>
    </w:p>
    <w:p/>
    <w:p>
      <w:pPr>
        <w:keepNext w:val="0"/>
        <w:keepLines w:val="0"/>
        <w:widowControl/>
        <w:suppressLineNumbers w:val="0"/>
        <w:jc w:val="left"/>
        <w:rPr>
          <w:rFonts w:hint="eastAsia" w:ascii="仿宋" w:hAnsi="仿宋" w:eastAsia="仿宋" w:cs="仿宋"/>
          <w:sz w:val="32"/>
          <w:szCs w:val="32"/>
          <w:lang w:val="en-US" w:eastAsia="zh-CN"/>
        </w:rPr>
      </w:pPr>
    </w:p>
    <w:sectPr>
      <w:pgSz w:w="16838" w:h="11906" w:orient="landscape"/>
      <w:pgMar w:top="1134" w:right="850" w:bottom="850" w:left="850"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onsolas">
    <w:panose1 w:val="020B0609020204030204"/>
    <w:charset w:val="00"/>
    <w:family w:val="auto"/>
    <w:pitch w:val="default"/>
    <w:sig w:usb0="E10002FF" w:usb1="4000FCFF" w:usb2="00000009" w:usb3="00000000" w:csb0="6000019F" w:csb1="DFD7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8AF937"/>
    <w:multiLevelType w:val="singleLevel"/>
    <w:tmpl w:val="2E8AF93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kNmJiYTVmNWQwZTlhNDM4ZmEzOTdmYjZiMTc0ZDkifQ=="/>
  </w:docVars>
  <w:rsids>
    <w:rsidRoot w:val="00000000"/>
    <w:rsid w:val="00824069"/>
    <w:rsid w:val="052C65E5"/>
    <w:rsid w:val="0BD06101"/>
    <w:rsid w:val="16680656"/>
    <w:rsid w:val="17B20286"/>
    <w:rsid w:val="207A1C45"/>
    <w:rsid w:val="20CB339E"/>
    <w:rsid w:val="25DC26EB"/>
    <w:rsid w:val="2EF036F6"/>
    <w:rsid w:val="30567BD4"/>
    <w:rsid w:val="34125ECF"/>
    <w:rsid w:val="344E5295"/>
    <w:rsid w:val="3AEC5FB1"/>
    <w:rsid w:val="3CBB5599"/>
    <w:rsid w:val="3F0026A0"/>
    <w:rsid w:val="423067B6"/>
    <w:rsid w:val="5055170B"/>
    <w:rsid w:val="5B647C97"/>
    <w:rsid w:val="706F6613"/>
    <w:rsid w:val="73EA7A25"/>
    <w:rsid w:val="7DDB07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Strong"/>
    <w:basedOn w:val="3"/>
    <w:qFormat/>
    <w:uiPriority w:val="0"/>
    <w:rPr>
      <w:b/>
      <w:bCs/>
    </w:rPr>
  </w:style>
  <w:style w:type="character" w:styleId="5">
    <w:name w:val="FollowedHyperlink"/>
    <w:basedOn w:val="3"/>
    <w:qFormat/>
    <w:uiPriority w:val="0"/>
    <w:rPr>
      <w:color w:val="428BCA"/>
      <w:u w:val="none"/>
    </w:rPr>
  </w:style>
  <w:style w:type="character" w:styleId="6">
    <w:name w:val="HTML Definition"/>
    <w:basedOn w:val="3"/>
    <w:qFormat/>
    <w:uiPriority w:val="0"/>
    <w:rPr>
      <w:i/>
      <w:iCs/>
    </w:rPr>
  </w:style>
  <w:style w:type="character" w:styleId="7">
    <w:name w:val="Hyperlink"/>
    <w:basedOn w:val="3"/>
    <w:qFormat/>
    <w:uiPriority w:val="0"/>
    <w:rPr>
      <w:color w:val="428BCA"/>
      <w:u w:val="none"/>
    </w:rPr>
  </w:style>
  <w:style w:type="character" w:styleId="8">
    <w:name w:val="HTML Code"/>
    <w:basedOn w:val="3"/>
    <w:qFormat/>
    <w:uiPriority w:val="0"/>
    <w:rPr>
      <w:rFonts w:hint="default" w:ascii="Consolas" w:hAnsi="Consolas" w:eastAsia="Consolas" w:cs="Consolas"/>
      <w:color w:val="C7254E"/>
      <w:sz w:val="21"/>
      <w:szCs w:val="21"/>
      <w:shd w:val="clear" w:fill="F9F2F4"/>
    </w:rPr>
  </w:style>
  <w:style w:type="character" w:styleId="9">
    <w:name w:val="HTML Cite"/>
    <w:basedOn w:val="3"/>
    <w:qFormat/>
    <w:uiPriority w:val="0"/>
  </w:style>
  <w:style w:type="character" w:styleId="10">
    <w:name w:val="HTML Keyboard"/>
    <w:basedOn w:val="3"/>
    <w:qFormat/>
    <w:uiPriority w:val="0"/>
    <w:rPr>
      <w:rFonts w:ascii="Consolas" w:hAnsi="Consolas" w:eastAsia="Consolas" w:cs="Consolas"/>
      <w:color w:val="FFFFFF"/>
      <w:sz w:val="21"/>
      <w:szCs w:val="21"/>
      <w:shd w:val="clear" w:fill="333333"/>
    </w:rPr>
  </w:style>
  <w:style w:type="character" w:styleId="11">
    <w:name w:val="HTML Sample"/>
    <w:basedOn w:val="3"/>
    <w:qFormat/>
    <w:uiPriority w:val="0"/>
    <w:rPr>
      <w:rFonts w:hint="default" w:ascii="Consolas" w:hAnsi="Consolas" w:eastAsia="Consolas" w:cs="Consolas"/>
      <w:sz w:val="21"/>
      <w:szCs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321</Words>
  <Characters>485</Characters>
  <Lines>0</Lines>
  <Paragraphs>0</Paragraphs>
  <TotalTime>0</TotalTime>
  <ScaleCrop>false</ScaleCrop>
  <LinksUpToDate>false</LinksUpToDate>
  <CharactersWithSpaces>485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2022-09-19T07:44:00Z</dcterms:created>
  <dc:creator>Lenovo</dc:creator>
  <cp:lastModifiedBy>Administrator</cp:lastModifiedBy>
  <dcterms:modified xsi:type="dcterms:W3CDTF">2022-11-08T05:04:55Z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80829436F6F3462BBFF9ACBB69F8F7A5</vt:lpwstr>
  </property>
</Properties>
</file>