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35"/>
        <w:rPr>
          <w:color w:val="000000"/>
        </w:rPr>
      </w:pPr>
    </w:p>
    <w:p>
      <w:pPr>
        <w:spacing w:line="360" w:lineRule="auto"/>
        <w:ind w:right="142"/>
        <w:jc w:val="center"/>
        <w:rPr>
          <w:rFonts w:ascii="宋体" w:hAnsi="宋体"/>
          <w:b/>
          <w:color w:val="000000"/>
          <w:sz w:val="30"/>
          <w:szCs w:val="30"/>
        </w:rPr>
      </w:pPr>
      <w:permStart w:id="0" w:edGrp="everyone"/>
      <w:r>
        <w:rPr>
          <w:rFonts w:hint="eastAsia" w:ascii="宋体" w:hAnsi="宋体"/>
          <w:b/>
          <w:color w:val="000000"/>
          <w:sz w:val="30"/>
          <w:szCs w:val="30"/>
        </w:rPr>
        <w:t>（项目名称）</w:t>
      </w:r>
      <w:permEnd w:id="0"/>
      <w:r>
        <w:rPr>
          <w:rFonts w:hint="eastAsia" w:ascii="宋体" w:hAnsi="宋体"/>
          <w:b/>
          <w:color w:val="000000"/>
          <w:sz w:val="30"/>
          <w:szCs w:val="30"/>
        </w:rPr>
        <w:t>施工招标</w:t>
      </w:r>
    </w:p>
    <w:p>
      <w:pPr>
        <w:ind w:firstLine="435"/>
        <w:rPr>
          <w:color w:val="000000"/>
        </w:rPr>
      </w:pPr>
    </w:p>
    <w:p>
      <w:pPr>
        <w:ind w:firstLine="435"/>
        <w:rPr>
          <w:color w:val="000000"/>
        </w:rPr>
      </w:pPr>
    </w:p>
    <w:p>
      <w:pPr>
        <w:ind w:firstLine="437"/>
        <w:jc w:val="center"/>
        <w:rPr>
          <w:color w:val="000000"/>
          <w:sz w:val="52"/>
          <w:szCs w:val="52"/>
        </w:rPr>
      </w:pPr>
    </w:p>
    <w:p>
      <w:pPr>
        <w:ind w:firstLine="437"/>
        <w:jc w:val="center"/>
        <w:rPr>
          <w:rFonts w:ascii="宋体" w:hAnsi="宋体"/>
          <w:b/>
          <w:color w:val="000000"/>
          <w:sz w:val="84"/>
          <w:szCs w:val="84"/>
        </w:rPr>
      </w:pPr>
      <w:r>
        <w:rPr>
          <w:rFonts w:hint="eastAsia" w:ascii="宋体" w:hAnsi="宋体"/>
          <w:b/>
          <w:color w:val="000000"/>
          <w:sz w:val="84"/>
          <w:szCs w:val="84"/>
        </w:rPr>
        <w:t>招标文件</w:t>
      </w:r>
    </w:p>
    <w:p>
      <w:pPr>
        <w:ind w:firstLine="437"/>
        <w:jc w:val="center"/>
        <w:rPr>
          <w:rFonts w:ascii="宋体" w:hAnsi="宋体"/>
          <w:b/>
          <w:color w:val="000000"/>
          <w:sz w:val="48"/>
          <w:szCs w:val="48"/>
        </w:rPr>
      </w:pPr>
      <w:r>
        <w:rPr>
          <w:rFonts w:hint="eastAsia" w:ascii="宋体" w:hAnsi="宋体"/>
          <w:b/>
          <w:color w:val="000000"/>
          <w:sz w:val="48"/>
          <w:szCs w:val="48"/>
        </w:rPr>
        <w:t>（经评审的最低投标报价法和简易评标法适用）</w:t>
      </w:r>
    </w:p>
    <w:p>
      <w:pPr>
        <w:ind w:firstLine="435"/>
        <w:jc w:val="center"/>
        <w:rPr>
          <w:color w:val="000000"/>
        </w:rPr>
      </w:pPr>
    </w:p>
    <w:p>
      <w:pPr>
        <w:ind w:firstLine="435"/>
        <w:jc w:val="center"/>
        <w:rPr>
          <w:color w:val="000000"/>
        </w:rPr>
      </w:pPr>
    </w:p>
    <w:p>
      <w:pPr>
        <w:ind w:firstLine="435"/>
        <w:jc w:val="center"/>
        <w:rPr>
          <w:color w:val="000000"/>
        </w:rPr>
      </w:pPr>
    </w:p>
    <w:p>
      <w:pPr>
        <w:ind w:firstLine="435"/>
        <w:jc w:val="center"/>
        <w:rPr>
          <w:color w:val="000000"/>
        </w:rPr>
      </w:pPr>
    </w:p>
    <w:p>
      <w:pPr>
        <w:ind w:firstLine="435"/>
        <w:jc w:val="center"/>
        <w:rPr>
          <w:color w:val="000000"/>
        </w:rPr>
      </w:pPr>
    </w:p>
    <w:p>
      <w:pPr>
        <w:ind w:firstLine="435"/>
        <w:jc w:val="center"/>
        <w:rPr>
          <w:color w:val="000000"/>
        </w:rPr>
      </w:pPr>
    </w:p>
    <w:p>
      <w:pPr>
        <w:ind w:firstLine="435"/>
        <w:jc w:val="center"/>
        <w:rPr>
          <w:color w:val="000000"/>
        </w:rPr>
      </w:pPr>
    </w:p>
    <w:p>
      <w:pPr>
        <w:ind w:firstLine="435"/>
        <w:jc w:val="center"/>
        <w:rPr>
          <w:color w:val="000000"/>
        </w:rPr>
      </w:pPr>
    </w:p>
    <w:p>
      <w:pPr>
        <w:ind w:firstLine="435"/>
        <w:jc w:val="center"/>
        <w:rPr>
          <w:color w:val="000000"/>
        </w:rPr>
      </w:pPr>
    </w:p>
    <w:p>
      <w:pPr>
        <w:ind w:firstLine="435"/>
        <w:jc w:val="center"/>
        <w:rPr>
          <w:color w:val="000000"/>
        </w:rPr>
      </w:pPr>
    </w:p>
    <w:p>
      <w:pPr>
        <w:ind w:firstLine="435"/>
        <w:jc w:val="center"/>
        <w:rPr>
          <w:color w:val="000000"/>
        </w:rPr>
      </w:pPr>
    </w:p>
    <w:p>
      <w:pPr>
        <w:ind w:firstLine="435"/>
        <w:jc w:val="center"/>
        <w:rPr>
          <w:color w:val="000000"/>
        </w:rPr>
      </w:pPr>
    </w:p>
    <w:p>
      <w:pPr>
        <w:ind w:firstLine="435"/>
        <w:jc w:val="center"/>
        <w:rPr>
          <w:color w:val="000000"/>
        </w:rPr>
      </w:pPr>
    </w:p>
    <w:p>
      <w:pPr>
        <w:rPr>
          <w:color w:val="000000"/>
        </w:rPr>
      </w:pPr>
    </w:p>
    <w:p>
      <w:pPr>
        <w:rPr>
          <w:color w:val="000000"/>
        </w:rPr>
      </w:pPr>
    </w:p>
    <w:p>
      <w:pPr>
        <w:spacing w:line="360" w:lineRule="auto"/>
        <w:ind w:left="540" w:right="695"/>
        <w:jc w:val="left"/>
        <w:rPr>
          <w:b/>
          <w:color w:val="000000"/>
          <w:sz w:val="36"/>
          <w:szCs w:val="36"/>
          <w:u w:val="single"/>
        </w:rPr>
      </w:pPr>
      <w:r>
        <w:rPr>
          <w:rFonts w:hint="eastAsia"/>
          <w:b/>
          <w:color w:val="000000"/>
          <w:sz w:val="36"/>
          <w:szCs w:val="36"/>
        </w:rPr>
        <w:t>招标人：</w:t>
      </w:r>
      <w:permStart w:id="1" w:edGrp="everyone"/>
      <w:r>
        <w:rPr>
          <w:rFonts w:hint="eastAsia" w:ascii="宋体" w:hAnsi="宋体"/>
          <w:b/>
          <w:color w:val="000000"/>
          <w:sz w:val="36"/>
          <w:szCs w:val="36"/>
          <w:u w:val="single"/>
        </w:rPr>
        <w:t xml:space="preserve">                  </w:t>
      </w:r>
      <w:permEnd w:id="1"/>
    </w:p>
    <w:p>
      <w:pPr>
        <w:spacing w:line="360" w:lineRule="auto"/>
        <w:ind w:firstLine="149" w:firstLineChars="149"/>
        <w:rPr>
          <w:b/>
          <w:color w:val="000000"/>
          <w:sz w:val="10"/>
          <w:szCs w:val="10"/>
          <w:u w:val="single"/>
        </w:rPr>
      </w:pPr>
    </w:p>
    <w:p>
      <w:pPr>
        <w:spacing w:line="360" w:lineRule="auto"/>
        <w:ind w:left="540"/>
        <w:jc w:val="left"/>
        <w:rPr>
          <w:color w:val="000000"/>
          <w:sz w:val="24"/>
          <w:u w:val="single"/>
        </w:rPr>
      </w:pPr>
      <w:r>
        <w:rPr>
          <w:rFonts w:hint="eastAsia"/>
          <w:b/>
          <w:color w:val="000000"/>
          <w:sz w:val="36"/>
          <w:szCs w:val="36"/>
        </w:rPr>
        <w:t>招标代理公司：</w:t>
      </w:r>
      <w:permStart w:id="2" w:edGrp="everyone"/>
      <w:r>
        <w:rPr>
          <w:rFonts w:hint="eastAsia"/>
          <w:b/>
          <w:color w:val="000000"/>
          <w:sz w:val="36"/>
          <w:szCs w:val="36"/>
        </w:rPr>
        <w:t xml:space="preserve"> </w:t>
      </w:r>
      <w:r>
        <w:rPr>
          <w:b/>
          <w:color w:val="000000"/>
          <w:sz w:val="36"/>
          <w:szCs w:val="36"/>
        </w:rPr>
        <w:t xml:space="preserve">       </w:t>
      </w:r>
      <w:r>
        <w:rPr>
          <w:rFonts w:hint="eastAsia"/>
          <w:b/>
          <w:color w:val="000000"/>
          <w:sz w:val="36"/>
          <w:szCs w:val="36"/>
        </w:rPr>
        <w:t xml:space="preserve"> </w:t>
      </w:r>
      <w:permEnd w:id="2"/>
    </w:p>
    <w:p>
      <w:pPr>
        <w:spacing w:line="360" w:lineRule="auto"/>
        <w:ind w:firstLine="358" w:firstLineChars="149"/>
        <w:rPr>
          <w:b/>
          <w:color w:val="000000"/>
          <w:sz w:val="24"/>
          <w:u w:val="single"/>
        </w:rPr>
      </w:pPr>
    </w:p>
    <w:p>
      <w:pPr>
        <w:spacing w:line="360" w:lineRule="auto"/>
        <w:ind w:left="540"/>
        <w:jc w:val="left"/>
        <w:rPr>
          <w:b/>
          <w:color w:val="000000"/>
          <w:sz w:val="36"/>
          <w:szCs w:val="36"/>
        </w:rPr>
      </w:pPr>
      <w:r>
        <w:rPr>
          <w:rFonts w:hint="eastAsia"/>
          <w:b/>
          <w:color w:val="000000"/>
          <w:sz w:val="36"/>
          <w:szCs w:val="36"/>
        </w:rPr>
        <w:t>日期：</w:t>
      </w:r>
      <w:permStart w:id="3" w:edGrp="everyone"/>
      <w:r>
        <w:rPr>
          <w:rFonts w:hint="eastAsia"/>
          <w:b/>
          <w:color w:val="000000"/>
          <w:sz w:val="36"/>
          <w:szCs w:val="36"/>
        </w:rPr>
        <w:t xml:space="preserve"> </w:t>
      </w:r>
      <w:r>
        <w:rPr>
          <w:b/>
          <w:color w:val="000000"/>
          <w:sz w:val="36"/>
          <w:szCs w:val="36"/>
        </w:rPr>
        <w:t xml:space="preserve"> </w:t>
      </w:r>
      <w:permEnd w:id="3"/>
      <w:r>
        <w:rPr>
          <w:rFonts w:hint="eastAsia"/>
          <w:b/>
          <w:color w:val="000000"/>
          <w:sz w:val="36"/>
          <w:szCs w:val="36"/>
        </w:rPr>
        <w:t>年</w:t>
      </w:r>
      <w:permStart w:id="4" w:edGrp="everyone"/>
      <w:r>
        <w:rPr>
          <w:rFonts w:hint="eastAsia"/>
          <w:b/>
          <w:color w:val="000000"/>
          <w:sz w:val="36"/>
          <w:szCs w:val="36"/>
        </w:rPr>
        <w:t xml:space="preserve"> </w:t>
      </w:r>
      <w:r>
        <w:rPr>
          <w:b/>
          <w:color w:val="000000"/>
          <w:sz w:val="36"/>
          <w:szCs w:val="36"/>
        </w:rPr>
        <w:t xml:space="preserve"> </w:t>
      </w:r>
      <w:permEnd w:id="4"/>
      <w:r>
        <w:rPr>
          <w:rFonts w:hint="eastAsia"/>
          <w:b/>
          <w:color w:val="000000"/>
          <w:sz w:val="36"/>
          <w:szCs w:val="36"/>
        </w:rPr>
        <w:t>月</w:t>
      </w:r>
      <w:permStart w:id="5" w:edGrp="everyone"/>
      <w:r>
        <w:rPr>
          <w:rFonts w:hint="eastAsia"/>
          <w:b/>
          <w:color w:val="000000"/>
          <w:sz w:val="36"/>
          <w:szCs w:val="36"/>
        </w:rPr>
        <w:t xml:space="preserve"> </w:t>
      </w:r>
      <w:r>
        <w:rPr>
          <w:b/>
          <w:color w:val="000000"/>
          <w:sz w:val="36"/>
          <w:szCs w:val="36"/>
        </w:rPr>
        <w:t xml:space="preserve"> </w:t>
      </w:r>
      <w:permEnd w:id="5"/>
      <w:r>
        <w:rPr>
          <w:rFonts w:hint="eastAsia"/>
          <w:b/>
          <w:color w:val="000000"/>
          <w:sz w:val="36"/>
          <w:szCs w:val="36"/>
        </w:rPr>
        <w:t>日</w:t>
      </w:r>
    </w:p>
    <w:p>
      <w:pPr>
        <w:ind w:firstLine="435"/>
        <w:jc w:val="center"/>
        <w:rPr>
          <w:color w:val="000000"/>
        </w:rPr>
      </w:pPr>
    </w:p>
    <w:p>
      <w:pPr>
        <w:ind w:firstLine="435"/>
        <w:jc w:val="center"/>
        <w:rPr>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1588" w:right="1701" w:bottom="1418" w:left="1701" w:header="851" w:footer="851" w:gutter="0"/>
          <w:cols w:space="425" w:num="1"/>
          <w:titlePg/>
          <w:docGrid w:type="lines" w:linePitch="312" w:charSpace="0"/>
        </w:sectPr>
      </w:pPr>
    </w:p>
    <w:p>
      <w:pPr>
        <w:pStyle w:val="26"/>
        <w:rPr>
          <w:color w:val="000000"/>
        </w:rPr>
      </w:pPr>
      <w:r>
        <w:rPr>
          <w:rFonts w:hint="eastAsia"/>
          <w:color w:val="000000"/>
        </w:rPr>
        <w:t>目   录</w:t>
      </w:r>
    </w:p>
    <w:p>
      <w:pPr>
        <w:rPr>
          <w:color w:val="000000"/>
        </w:rPr>
      </w:pPr>
    </w:p>
    <w:p>
      <w:pPr>
        <w:pStyle w:val="26"/>
        <w:rPr>
          <w:rFonts w:asciiTheme="minorHAnsi" w:hAnsiTheme="minorHAnsi" w:eastAsiaTheme="minorEastAsia" w:cstheme="minorBidi"/>
          <w:sz w:val="21"/>
          <w:szCs w:val="22"/>
        </w:rPr>
      </w:pPr>
      <w:r>
        <w:rPr>
          <w:color w:val="000000"/>
          <w:sz w:val="28"/>
          <w:szCs w:val="28"/>
        </w:rPr>
        <w:fldChar w:fldCharType="begin"/>
      </w:r>
      <w:r>
        <w:rPr>
          <w:rFonts w:hint="eastAsia"/>
          <w:color w:val="000000"/>
          <w:sz w:val="28"/>
          <w:szCs w:val="28"/>
        </w:rPr>
        <w:instrText xml:space="preserve">TOC \o "1-4" \h \z \u</w:instrText>
      </w:r>
      <w:r>
        <w:rPr>
          <w:color w:val="000000"/>
          <w:sz w:val="28"/>
          <w:szCs w:val="28"/>
        </w:rPr>
        <w:fldChar w:fldCharType="separate"/>
      </w:r>
      <w:r>
        <w:fldChar w:fldCharType="begin"/>
      </w:r>
      <w:r>
        <w:instrText xml:space="preserve"> HYPERLINK \l "_Toc114222719" </w:instrText>
      </w:r>
      <w:r>
        <w:fldChar w:fldCharType="separate"/>
      </w:r>
      <w:r>
        <w:rPr>
          <w:rStyle w:val="41"/>
          <w:rFonts w:ascii="黑体" w:eastAsia="黑体"/>
        </w:rPr>
        <w:t>第一卷</w:t>
      </w:r>
      <w:r>
        <w:tab/>
      </w:r>
      <w:r>
        <w:fldChar w:fldCharType="begin"/>
      </w:r>
      <w:r>
        <w:instrText xml:space="preserve"> PAGEREF _Toc114222719 \h </w:instrText>
      </w:r>
      <w:r>
        <w:fldChar w:fldCharType="separate"/>
      </w:r>
      <w:r>
        <w:t>1</w:t>
      </w:r>
      <w:r>
        <w:fldChar w:fldCharType="end"/>
      </w:r>
      <w:r>
        <w:fldChar w:fldCharType="end"/>
      </w:r>
    </w:p>
    <w:p>
      <w:pPr>
        <w:pStyle w:val="31"/>
        <w:tabs>
          <w:tab w:val="right" w:leader="dot" w:pos="8494"/>
        </w:tabs>
        <w:rPr>
          <w:rFonts w:asciiTheme="minorHAnsi" w:hAnsiTheme="minorHAnsi" w:eastAsiaTheme="minorEastAsia" w:cstheme="minorBidi"/>
          <w:szCs w:val="22"/>
        </w:rPr>
      </w:pPr>
      <w:r>
        <w:fldChar w:fldCharType="begin"/>
      </w:r>
      <w:r>
        <w:instrText xml:space="preserve"> HYPERLINK \l "_Toc114222720" </w:instrText>
      </w:r>
      <w:r>
        <w:fldChar w:fldCharType="separate"/>
      </w:r>
      <w:r>
        <w:rPr>
          <w:rStyle w:val="41"/>
          <w:rFonts w:ascii="黑体" w:eastAsia="黑体"/>
        </w:rPr>
        <w:t>第一章  招标公告</w:t>
      </w:r>
      <w:r>
        <w:tab/>
      </w:r>
      <w:r>
        <w:fldChar w:fldCharType="begin"/>
      </w:r>
      <w:r>
        <w:instrText xml:space="preserve"> PAGEREF _Toc114222720 \h </w:instrText>
      </w:r>
      <w:r>
        <w:fldChar w:fldCharType="separate"/>
      </w:r>
      <w:r>
        <w:t>3</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"_Toc114222721" </w:instrText>
      </w:r>
      <w:r>
        <w:fldChar w:fldCharType="separate"/>
      </w:r>
      <w:r>
        <w:rPr>
          <w:rStyle w:val="41"/>
          <w:rFonts w:ascii="黑体" w:eastAsia="黑体"/>
        </w:rPr>
        <w:t>1.招标条件</w:t>
      </w:r>
      <w:r>
        <w:tab/>
      </w:r>
      <w:r>
        <w:fldChar w:fldCharType="begin"/>
      </w:r>
      <w:r>
        <w:instrText xml:space="preserve"> PAGEREF _Toc114222721 \h </w:instrText>
      </w:r>
      <w:r>
        <w:fldChar w:fldCharType="separate"/>
      </w:r>
      <w:r>
        <w:t>3</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"_Toc114222722" </w:instrText>
      </w:r>
      <w:r>
        <w:fldChar w:fldCharType="separate"/>
      </w:r>
      <w:r>
        <w:rPr>
          <w:rStyle w:val="41"/>
          <w:rFonts w:ascii="黑体" w:eastAsia="黑体"/>
        </w:rPr>
        <w:t>2.项目概况与招标范围</w:t>
      </w:r>
      <w:r>
        <w:tab/>
      </w:r>
      <w:r>
        <w:fldChar w:fldCharType="begin"/>
      </w:r>
      <w:r>
        <w:instrText xml:space="preserve"> PAGEREF _Toc114222722 \h </w:instrText>
      </w:r>
      <w:r>
        <w:fldChar w:fldCharType="separate"/>
      </w:r>
      <w:r>
        <w:t>3</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"_Toc114222723" </w:instrText>
      </w:r>
      <w:r>
        <w:fldChar w:fldCharType="separate"/>
      </w:r>
      <w:r>
        <w:rPr>
          <w:rStyle w:val="41"/>
          <w:rFonts w:ascii="黑体" w:eastAsia="黑体"/>
        </w:rPr>
        <w:t>4.招标文件的获取</w:t>
      </w:r>
      <w:r>
        <w:tab/>
      </w:r>
      <w:r>
        <w:fldChar w:fldCharType="begin"/>
      </w:r>
      <w:r>
        <w:instrText xml:space="preserve"> PAGEREF _Toc114222723 \h </w:instrText>
      </w:r>
      <w:r>
        <w:fldChar w:fldCharType="separate"/>
      </w:r>
      <w:r>
        <w:t>3</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"_Toc114222724" </w:instrText>
      </w:r>
      <w:r>
        <w:fldChar w:fldCharType="separate"/>
      </w:r>
      <w:r>
        <w:rPr>
          <w:rStyle w:val="41"/>
          <w:rFonts w:ascii="黑体" w:eastAsia="黑体"/>
        </w:rPr>
        <w:t>5.投标文件和保证金的递交</w:t>
      </w:r>
      <w:r>
        <w:tab/>
      </w:r>
      <w:r>
        <w:fldChar w:fldCharType="begin"/>
      </w:r>
      <w:r>
        <w:instrText xml:space="preserve"> PAGEREF _Toc114222724 \h </w:instrText>
      </w:r>
      <w:r>
        <w:fldChar w:fldCharType="separate"/>
      </w:r>
      <w:r>
        <w:t>4</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"_Toc114222725" </w:instrText>
      </w:r>
      <w:r>
        <w:fldChar w:fldCharType="separate"/>
      </w:r>
      <w:r>
        <w:rPr>
          <w:rStyle w:val="41"/>
        </w:rPr>
        <w:t>5.4逾期送达的或者未送达指定地点的投标文件，招标人不予受理。。</w:t>
      </w:r>
      <w:r>
        <w:tab/>
      </w:r>
      <w:r>
        <w:fldChar w:fldCharType="begin"/>
      </w:r>
      <w:r>
        <w:instrText xml:space="preserve"> PAGEREF _Toc114222725 \h </w:instrText>
      </w:r>
      <w:r>
        <w:fldChar w:fldCharType="separate"/>
      </w:r>
      <w:r>
        <w:t>4</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"_Toc114222726" </w:instrText>
      </w:r>
      <w:r>
        <w:fldChar w:fldCharType="separate"/>
      </w:r>
      <w:r>
        <w:rPr>
          <w:rStyle w:val="41"/>
          <w:rFonts w:ascii="黑体" w:eastAsia="黑体"/>
        </w:rPr>
        <w:t>6.发布公告的媒介</w:t>
      </w:r>
      <w:r>
        <w:tab/>
      </w:r>
      <w:r>
        <w:fldChar w:fldCharType="begin"/>
      </w:r>
      <w:r>
        <w:instrText xml:space="preserve"> PAGEREF _Toc114222726 \h </w:instrText>
      </w:r>
      <w:r>
        <w:fldChar w:fldCharType="separate"/>
      </w:r>
      <w:r>
        <w:t>4</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"_Toc114222727" </w:instrText>
      </w:r>
      <w:r>
        <w:fldChar w:fldCharType="separate"/>
      </w:r>
      <w:r>
        <w:rPr>
          <w:rStyle w:val="41"/>
          <w:rFonts w:ascii="黑体" w:eastAsia="黑体"/>
        </w:rPr>
        <w:t>7.其他</w:t>
      </w:r>
      <w:r>
        <w:tab/>
      </w:r>
      <w:r>
        <w:fldChar w:fldCharType="begin"/>
      </w:r>
      <w:r>
        <w:instrText xml:space="preserve"> PAGEREF _Toc114222727 \h </w:instrText>
      </w:r>
      <w:r>
        <w:fldChar w:fldCharType="separate"/>
      </w:r>
      <w:r>
        <w:t>4</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"_Toc114222728" </w:instrText>
      </w:r>
      <w:r>
        <w:fldChar w:fldCharType="separate"/>
      </w:r>
      <w:r>
        <w:rPr>
          <w:rStyle w:val="41"/>
          <w:rFonts w:ascii="黑体" w:eastAsia="黑体"/>
        </w:rPr>
        <w:t>8.联系方式</w:t>
      </w:r>
      <w:r>
        <w:tab/>
      </w:r>
      <w:r>
        <w:fldChar w:fldCharType="begin"/>
      </w:r>
      <w:r>
        <w:instrText xml:space="preserve"> PAGEREF _Toc114222728 \h </w:instrText>
      </w:r>
      <w:r>
        <w:fldChar w:fldCharType="separate"/>
      </w:r>
      <w:r>
        <w:t>4</w:t>
      </w:r>
      <w:r>
        <w:fldChar w:fldCharType="end"/>
      </w:r>
      <w:r>
        <w:fldChar w:fldCharType="end"/>
      </w:r>
    </w:p>
    <w:p>
      <w:pPr>
        <w:pStyle w:val="31"/>
        <w:tabs>
          <w:tab w:val="right" w:leader="dot" w:pos="8494"/>
        </w:tabs>
        <w:rPr>
          <w:rFonts w:asciiTheme="minorHAnsi" w:hAnsiTheme="minorHAnsi" w:eastAsiaTheme="minorEastAsia" w:cstheme="minorBidi"/>
          <w:szCs w:val="22"/>
        </w:rPr>
      </w:pPr>
      <w:r>
        <w:fldChar w:fldCharType="begin"/>
      </w:r>
      <w:r>
        <w:instrText xml:space="preserve"> HYPERLINK \l "_Toc114222729" </w:instrText>
      </w:r>
      <w:r>
        <w:fldChar w:fldCharType="separate"/>
      </w:r>
      <w:r>
        <w:rPr>
          <w:rStyle w:val="41"/>
          <w:rFonts w:ascii="黑体" w:eastAsia="黑体"/>
        </w:rPr>
        <w:t>第二章  投标人须知</w:t>
      </w:r>
      <w:r>
        <w:tab/>
      </w:r>
      <w:r>
        <w:fldChar w:fldCharType="begin"/>
      </w:r>
      <w:r>
        <w:instrText xml:space="preserve"> PAGEREF _Toc114222729 \h </w:instrText>
      </w:r>
      <w:r>
        <w:fldChar w:fldCharType="separate"/>
      </w:r>
      <w:r>
        <w:t>6</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"_Toc114222730" </w:instrText>
      </w:r>
      <w:r>
        <w:fldChar w:fldCharType="separate"/>
      </w:r>
      <w:r>
        <w:rPr>
          <w:rStyle w:val="41"/>
          <w:rFonts w:ascii="黑体" w:hAnsi="宋体" w:eastAsia="黑体"/>
        </w:rPr>
        <w:t>1. 总则</w:t>
      </w:r>
      <w:r>
        <w:tab/>
      </w:r>
      <w:r>
        <w:fldChar w:fldCharType="begin"/>
      </w:r>
      <w:r>
        <w:instrText xml:space="preserve"> PAGEREF _Toc114222730 \h </w:instrText>
      </w:r>
      <w:r>
        <w:fldChar w:fldCharType="separate"/>
      </w:r>
      <w:r>
        <w:t>13</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"_Toc114222731" </w:instrText>
      </w:r>
      <w:r>
        <w:fldChar w:fldCharType="separate"/>
      </w:r>
      <w:r>
        <w:rPr>
          <w:rStyle w:val="41"/>
          <w:rFonts w:ascii="黑体" w:eastAsia="黑体"/>
        </w:rPr>
        <w:t>2. 招标文件</w:t>
      </w:r>
      <w:r>
        <w:tab/>
      </w:r>
      <w:r>
        <w:fldChar w:fldCharType="begin"/>
      </w:r>
      <w:r>
        <w:instrText xml:space="preserve"> PAGEREF _Toc114222731 \h </w:instrText>
      </w:r>
      <w:r>
        <w:fldChar w:fldCharType="separate"/>
      </w:r>
      <w:r>
        <w:t>15</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"_Toc114222732" </w:instrText>
      </w:r>
      <w:r>
        <w:fldChar w:fldCharType="separate"/>
      </w:r>
      <w:r>
        <w:rPr>
          <w:rStyle w:val="41"/>
          <w:rFonts w:ascii="黑体" w:eastAsia="黑体"/>
        </w:rPr>
        <w:t>3. 投标文件</w:t>
      </w:r>
      <w:r>
        <w:tab/>
      </w:r>
      <w:r>
        <w:fldChar w:fldCharType="begin"/>
      </w:r>
      <w:r>
        <w:instrText xml:space="preserve"> PAGEREF _Toc114222732 \h </w:instrText>
      </w:r>
      <w:r>
        <w:fldChar w:fldCharType="separate"/>
      </w:r>
      <w:r>
        <w:t>15</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"_Toc114222733" </w:instrText>
      </w:r>
      <w:r>
        <w:fldChar w:fldCharType="separate"/>
      </w:r>
      <w:r>
        <w:rPr>
          <w:rStyle w:val="41"/>
          <w:rFonts w:ascii="黑体" w:eastAsia="黑体"/>
        </w:rPr>
        <w:t>4. 投标</w:t>
      </w:r>
      <w:r>
        <w:tab/>
      </w:r>
      <w:r>
        <w:fldChar w:fldCharType="begin"/>
      </w:r>
      <w:r>
        <w:instrText xml:space="preserve"> PAGEREF _Toc114222733 \h </w:instrText>
      </w:r>
      <w:r>
        <w:fldChar w:fldCharType="separate"/>
      </w:r>
      <w:r>
        <w:t>17</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"_Toc114222734" </w:instrText>
      </w:r>
      <w:r>
        <w:fldChar w:fldCharType="separate"/>
      </w:r>
      <w:r>
        <w:rPr>
          <w:rStyle w:val="41"/>
          <w:rFonts w:ascii="黑体" w:eastAsia="黑体"/>
        </w:rPr>
        <w:t>6. 评标</w:t>
      </w:r>
      <w:r>
        <w:tab/>
      </w:r>
      <w:r>
        <w:fldChar w:fldCharType="begin"/>
      </w:r>
      <w:r>
        <w:instrText xml:space="preserve"> PAGEREF _Toc114222734 \h </w:instrText>
      </w:r>
      <w:r>
        <w:fldChar w:fldCharType="separate"/>
      </w:r>
      <w:r>
        <w:t>18</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"_Toc114222735" </w:instrText>
      </w:r>
      <w:r>
        <w:fldChar w:fldCharType="separate"/>
      </w:r>
      <w:r>
        <w:rPr>
          <w:rStyle w:val="41"/>
          <w:rFonts w:ascii="黑体" w:eastAsia="黑体"/>
        </w:rPr>
        <w:t>7. 合同授予</w:t>
      </w:r>
      <w:r>
        <w:tab/>
      </w:r>
      <w:r>
        <w:fldChar w:fldCharType="begin"/>
      </w:r>
      <w:r>
        <w:instrText xml:space="preserve"> PAGEREF _Toc114222735 \h </w:instrText>
      </w:r>
      <w:r>
        <w:fldChar w:fldCharType="separate"/>
      </w:r>
      <w:r>
        <w:t>18</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"_Toc114222736" </w:instrText>
      </w:r>
      <w:r>
        <w:fldChar w:fldCharType="separate"/>
      </w:r>
      <w:r>
        <w:rPr>
          <w:rStyle w:val="41"/>
          <w:rFonts w:ascii="黑体" w:eastAsia="黑体"/>
        </w:rPr>
        <w:t>8. 重新招标和不再招标</w:t>
      </w:r>
      <w:r>
        <w:tab/>
      </w:r>
      <w:r>
        <w:fldChar w:fldCharType="begin"/>
      </w:r>
      <w:r>
        <w:instrText xml:space="preserve"> PAGEREF _Toc114222736 \h </w:instrText>
      </w:r>
      <w:r>
        <w:fldChar w:fldCharType="separate"/>
      </w:r>
      <w:r>
        <w:t>19</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"_Toc114222737" </w:instrText>
      </w:r>
      <w:r>
        <w:fldChar w:fldCharType="separate"/>
      </w:r>
      <w:r>
        <w:rPr>
          <w:rStyle w:val="41"/>
          <w:rFonts w:ascii="黑体" w:eastAsia="黑体"/>
        </w:rPr>
        <w:t>9. 纪律和监督</w:t>
      </w:r>
      <w:r>
        <w:tab/>
      </w:r>
      <w:r>
        <w:fldChar w:fldCharType="begin"/>
      </w:r>
      <w:r>
        <w:instrText xml:space="preserve"> PAGEREF _Toc114222737 \h </w:instrText>
      </w:r>
      <w:r>
        <w:fldChar w:fldCharType="separate"/>
      </w:r>
      <w:r>
        <w:t>19</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"_Toc114222738" </w:instrText>
      </w:r>
      <w:r>
        <w:fldChar w:fldCharType="separate"/>
      </w:r>
      <w:r>
        <w:rPr>
          <w:rStyle w:val="41"/>
          <w:rFonts w:ascii="黑体" w:eastAsia="黑体"/>
        </w:rPr>
        <w:t>10. 需要补充的其他内容</w:t>
      </w:r>
      <w:r>
        <w:tab/>
      </w:r>
      <w:r>
        <w:fldChar w:fldCharType="begin"/>
      </w:r>
      <w:r>
        <w:instrText xml:space="preserve"> PAGEREF _Toc114222738 \h </w:instrText>
      </w:r>
      <w:r>
        <w:fldChar w:fldCharType="separate"/>
      </w:r>
      <w:r>
        <w:t>20</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"_Toc114222739" </w:instrText>
      </w:r>
      <w:r>
        <w:fldChar w:fldCharType="separate"/>
      </w:r>
      <w:r>
        <w:rPr>
          <w:rStyle w:val="41"/>
          <w:rFonts w:ascii="黑体" w:eastAsia="黑体"/>
        </w:rPr>
        <w:t>附表一：开标记录表</w:t>
      </w:r>
      <w:r>
        <w:rPr>
          <w:rStyle w:val="41"/>
          <w:rFonts w:ascii="黑体" w:eastAsia="黑体"/>
          <w:i/>
          <w:iCs/>
        </w:rPr>
        <w:t>（系统自动读取生成）</w:t>
      </w:r>
      <w:r>
        <w:tab/>
      </w:r>
      <w:r>
        <w:fldChar w:fldCharType="begin"/>
      </w:r>
      <w:r>
        <w:instrText xml:space="preserve"> PAGEREF _Toc114222739 \h </w:instrText>
      </w:r>
      <w:r>
        <w:fldChar w:fldCharType="separate"/>
      </w:r>
      <w:r>
        <w:t>21</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"_Toc114222740" </w:instrText>
      </w:r>
      <w:r>
        <w:fldChar w:fldCharType="separate"/>
      </w:r>
      <w:r>
        <w:rPr>
          <w:rStyle w:val="41"/>
          <w:rFonts w:ascii="黑体" w:eastAsia="黑体"/>
        </w:rPr>
        <w:t>附表二：问题澄清通知</w:t>
      </w:r>
      <w:r>
        <w:tab/>
      </w:r>
      <w:r>
        <w:fldChar w:fldCharType="begin"/>
      </w:r>
      <w:r>
        <w:instrText xml:space="preserve"> PAGEREF _Toc114222740 \h </w:instrText>
      </w:r>
      <w:r>
        <w:fldChar w:fldCharType="separate"/>
      </w:r>
      <w:r>
        <w:t>22</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"_Toc114222741" </w:instrText>
      </w:r>
      <w:r>
        <w:fldChar w:fldCharType="separate"/>
      </w:r>
      <w:r>
        <w:rPr>
          <w:rStyle w:val="41"/>
          <w:rFonts w:ascii="黑体" w:eastAsia="黑体"/>
        </w:rPr>
        <w:t>附表三：问题的澄清</w:t>
      </w:r>
      <w:r>
        <w:tab/>
      </w:r>
      <w:r>
        <w:fldChar w:fldCharType="begin"/>
      </w:r>
      <w:r>
        <w:instrText xml:space="preserve"> PAGEREF _Toc114222741 \h </w:instrText>
      </w:r>
      <w:r>
        <w:fldChar w:fldCharType="separate"/>
      </w:r>
      <w:r>
        <w:t>23</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"_Toc114222742" </w:instrText>
      </w:r>
      <w:r>
        <w:fldChar w:fldCharType="separate"/>
      </w:r>
      <w:r>
        <w:rPr>
          <w:rStyle w:val="41"/>
          <w:rFonts w:ascii="黑体" w:eastAsia="黑体"/>
        </w:rPr>
        <w:t>附表四：中标通知书</w:t>
      </w:r>
      <w:r>
        <w:tab/>
      </w:r>
      <w:r>
        <w:fldChar w:fldCharType="begin"/>
      </w:r>
      <w:r>
        <w:instrText xml:space="preserve"> PAGEREF _Toc114222742 \h </w:instrText>
      </w:r>
      <w:r>
        <w:fldChar w:fldCharType="separate"/>
      </w:r>
      <w:r>
        <w:t>24</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"_Toc114222743" </w:instrText>
      </w:r>
      <w:r>
        <w:fldChar w:fldCharType="separate"/>
      </w:r>
      <w:r>
        <w:rPr>
          <w:rStyle w:val="41"/>
          <w:rFonts w:ascii="黑体" w:eastAsia="黑体"/>
        </w:rPr>
        <w:t>附表五：中标结果通知书</w:t>
      </w:r>
      <w:r>
        <w:tab/>
      </w:r>
      <w:r>
        <w:fldChar w:fldCharType="begin"/>
      </w:r>
      <w:r>
        <w:instrText xml:space="preserve"> PAGEREF _Toc114222743 \h </w:instrText>
      </w:r>
      <w:r>
        <w:fldChar w:fldCharType="separate"/>
      </w:r>
      <w:r>
        <w:t>25</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"_Toc114222744" </w:instrText>
      </w:r>
      <w:r>
        <w:fldChar w:fldCharType="separate"/>
      </w:r>
      <w:r>
        <w:rPr>
          <w:rStyle w:val="41"/>
          <w:rFonts w:ascii="黑体" w:eastAsia="黑体"/>
        </w:rPr>
        <w:t>附表六：确认通知</w:t>
      </w:r>
      <w:r>
        <w:tab/>
      </w:r>
      <w:r>
        <w:fldChar w:fldCharType="begin"/>
      </w:r>
      <w:r>
        <w:instrText xml:space="preserve"> PAGEREF _Toc114222744 \h </w:instrText>
      </w:r>
      <w:r>
        <w:fldChar w:fldCharType="separate"/>
      </w:r>
      <w:r>
        <w:t>26</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"_Toc114222745" </w:instrText>
      </w:r>
      <w:r>
        <w:fldChar w:fldCharType="separate"/>
      </w:r>
      <w:r>
        <w:rPr>
          <w:rStyle w:val="41"/>
          <w:rFonts w:ascii="黑体" w:eastAsia="黑体"/>
        </w:rPr>
        <w:t>附表七：电子投标文件编制及报送要求</w:t>
      </w:r>
      <w:r>
        <w:tab/>
      </w:r>
      <w:r>
        <w:fldChar w:fldCharType="begin"/>
      </w:r>
      <w:r>
        <w:instrText xml:space="preserve"> PAGEREF _Toc114222745 \h </w:instrText>
      </w:r>
      <w:r>
        <w:fldChar w:fldCharType="separate"/>
      </w:r>
      <w:r>
        <w:t>27</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"_Toc114222746" </w:instrText>
      </w:r>
      <w:r>
        <w:fldChar w:fldCharType="separate"/>
      </w:r>
      <w:r>
        <w:rPr>
          <w:rStyle w:val="41"/>
          <w:rFonts w:ascii="黑体" w:hAnsi="宋体" w:eastAsia="黑体"/>
          <w:highlight w:val="yellow"/>
        </w:rPr>
        <w:t>附表八：企业资质及项目经理资质判定规则</w:t>
      </w:r>
      <w:r>
        <w:tab/>
      </w:r>
      <w:r>
        <w:fldChar w:fldCharType="begin"/>
      </w:r>
      <w:r>
        <w:instrText xml:space="preserve"> PAGEREF _Toc114222746 \h </w:instrText>
      </w:r>
      <w:r>
        <w:fldChar w:fldCharType="separate"/>
      </w:r>
      <w:r>
        <w:t>28</w:t>
      </w:r>
      <w:r>
        <w:fldChar w:fldCharType="end"/>
      </w:r>
      <w:r>
        <w:fldChar w:fldCharType="end"/>
      </w:r>
    </w:p>
    <w:p>
      <w:pPr>
        <w:pStyle w:val="31"/>
        <w:tabs>
          <w:tab w:val="right" w:leader="dot" w:pos="8494"/>
        </w:tabs>
        <w:rPr>
          <w:rFonts w:asciiTheme="minorHAnsi" w:hAnsiTheme="minorHAnsi" w:eastAsiaTheme="minorEastAsia" w:cstheme="minorBidi"/>
          <w:szCs w:val="22"/>
        </w:rPr>
      </w:pPr>
      <w:r>
        <w:fldChar w:fldCharType="begin"/>
      </w:r>
      <w:r>
        <w:instrText xml:space="preserve"> HYPERLINK \l "_Toc114222747" </w:instrText>
      </w:r>
      <w:r>
        <w:fldChar w:fldCharType="separate"/>
      </w:r>
      <w:r>
        <w:rPr>
          <w:rStyle w:val="41"/>
          <w:rFonts w:ascii="黑体" w:hAnsi="宋体" w:eastAsia="黑体"/>
        </w:rPr>
        <w:t>第三章  评标办法（经评审的最低投标报价法）</w:t>
      </w:r>
      <w:r>
        <w:tab/>
      </w:r>
      <w:r>
        <w:fldChar w:fldCharType="begin"/>
      </w:r>
      <w:r>
        <w:instrText xml:space="preserve"> PAGEREF _Toc114222747 \h </w:instrText>
      </w:r>
      <w:r>
        <w:fldChar w:fldCharType="separate"/>
      </w:r>
      <w:r>
        <w:t>30</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"_Toc114222748" </w:instrText>
      </w:r>
      <w:r>
        <w:fldChar w:fldCharType="separate"/>
      </w:r>
      <w:r>
        <w:rPr>
          <w:rStyle w:val="41"/>
          <w:rFonts w:ascii="黑体" w:hAnsi="宋体" w:eastAsia="黑体"/>
        </w:rPr>
        <w:t>1. 评标方法</w:t>
      </w:r>
      <w:r>
        <w:tab/>
      </w:r>
      <w:r>
        <w:fldChar w:fldCharType="begin"/>
      </w:r>
      <w:r>
        <w:instrText xml:space="preserve"> PAGEREF _Toc114222748 \h </w:instrText>
      </w:r>
      <w:r>
        <w:fldChar w:fldCharType="separate"/>
      </w:r>
      <w:r>
        <w:t>34</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"_Toc114222749" </w:instrText>
      </w:r>
      <w:r>
        <w:fldChar w:fldCharType="separate"/>
      </w:r>
      <w:r>
        <w:rPr>
          <w:rStyle w:val="41"/>
          <w:rFonts w:ascii="黑体" w:hAnsi="宋体" w:eastAsia="黑体"/>
        </w:rPr>
        <w:t>2. 评审标准</w:t>
      </w:r>
      <w:r>
        <w:tab/>
      </w:r>
      <w:r>
        <w:fldChar w:fldCharType="begin"/>
      </w:r>
      <w:r>
        <w:instrText xml:space="preserve"> PAGEREF _Toc114222749 \h </w:instrText>
      </w:r>
      <w:r>
        <w:fldChar w:fldCharType="separate"/>
      </w:r>
      <w:r>
        <w:t>34</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"_Toc114222750" </w:instrText>
      </w:r>
      <w:r>
        <w:fldChar w:fldCharType="separate"/>
      </w:r>
      <w:r>
        <w:rPr>
          <w:rStyle w:val="41"/>
          <w:rFonts w:ascii="黑体" w:hAnsi="宋体" w:eastAsia="黑体"/>
        </w:rPr>
        <w:t>3. 评标程序</w:t>
      </w:r>
      <w:r>
        <w:tab/>
      </w:r>
      <w:r>
        <w:fldChar w:fldCharType="begin"/>
      </w:r>
      <w:r>
        <w:instrText xml:space="preserve"> PAGEREF _Toc114222750 \h </w:instrText>
      </w:r>
      <w:r>
        <w:fldChar w:fldCharType="separate"/>
      </w:r>
      <w:r>
        <w:t>35</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"_Toc114222751" </w:instrText>
      </w:r>
      <w:r>
        <w:fldChar w:fldCharType="separate"/>
      </w:r>
      <w:r>
        <w:rPr>
          <w:rStyle w:val="41"/>
          <w:rFonts w:ascii="黑体" w:hAnsi="宋体" w:eastAsia="黑体"/>
        </w:rPr>
        <w:t>附件A：评标详细程序</w:t>
      </w:r>
      <w:r>
        <w:tab/>
      </w:r>
      <w:r>
        <w:fldChar w:fldCharType="begin"/>
      </w:r>
      <w:r>
        <w:instrText xml:space="preserve"> PAGEREF _Toc114222751 \h </w:instrText>
      </w:r>
      <w:r>
        <w:fldChar w:fldCharType="separate"/>
      </w:r>
      <w:r>
        <w:t>37</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"_Toc114222752" </w:instrText>
      </w:r>
      <w:r>
        <w:fldChar w:fldCharType="separate"/>
      </w:r>
      <w:r>
        <w:rPr>
          <w:rStyle w:val="41"/>
          <w:rFonts w:ascii="黑体" w:hAnsi="宋体" w:eastAsia="黑体"/>
        </w:rPr>
        <w:t>附件B：否决投标的条件</w:t>
      </w:r>
      <w:r>
        <w:tab/>
      </w:r>
      <w:r>
        <w:fldChar w:fldCharType="begin"/>
      </w:r>
      <w:r>
        <w:instrText xml:space="preserve"> PAGEREF _Toc114222752 \h </w:instrText>
      </w:r>
      <w:r>
        <w:fldChar w:fldCharType="separate"/>
      </w:r>
      <w:r>
        <w:t>44</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"_Toc114222753" </w:instrText>
      </w:r>
      <w:r>
        <w:fldChar w:fldCharType="separate"/>
      </w:r>
      <w:r>
        <w:rPr>
          <w:rStyle w:val="41"/>
          <w:rFonts w:ascii="黑体" w:hAnsi="宋体" w:eastAsia="黑体"/>
        </w:rPr>
        <w:t>附表A-1：评标委员会签到表</w:t>
      </w:r>
      <w:r>
        <w:tab/>
      </w:r>
      <w:r>
        <w:fldChar w:fldCharType="begin"/>
      </w:r>
      <w:r>
        <w:instrText xml:space="preserve"> PAGEREF _Toc114222753 \h </w:instrText>
      </w:r>
      <w:r>
        <w:fldChar w:fldCharType="separate"/>
      </w:r>
      <w:r>
        <w:t>46</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"_Toc114222754" </w:instrText>
      </w:r>
      <w:r>
        <w:fldChar w:fldCharType="separate"/>
      </w:r>
      <w:r>
        <w:rPr>
          <w:rStyle w:val="41"/>
          <w:rFonts w:ascii="黑体" w:hAnsi="宋体" w:eastAsia="黑体"/>
        </w:rPr>
        <w:t>附表A-2：形式评审记录表（系统自动生成）</w:t>
      </w:r>
      <w:r>
        <w:tab/>
      </w:r>
      <w:r>
        <w:fldChar w:fldCharType="begin"/>
      </w:r>
      <w:r>
        <w:instrText xml:space="preserve"> PAGEREF _Toc114222754 \h </w:instrText>
      </w:r>
      <w:r>
        <w:fldChar w:fldCharType="separate"/>
      </w:r>
      <w:r>
        <w:t>47</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"_Toc114222755" </w:instrText>
      </w:r>
      <w:r>
        <w:fldChar w:fldCharType="separate"/>
      </w:r>
      <w:r>
        <w:rPr>
          <w:rStyle w:val="41"/>
          <w:rFonts w:ascii="黑体" w:hAnsi="宋体" w:eastAsia="黑体"/>
        </w:rPr>
        <w:t>附表A-3：资格评审记录表（系统自动生成）</w:t>
      </w:r>
      <w:r>
        <w:tab/>
      </w:r>
      <w:r>
        <w:fldChar w:fldCharType="begin"/>
      </w:r>
      <w:r>
        <w:instrText xml:space="preserve"> PAGEREF _Toc114222755 \h </w:instrText>
      </w:r>
      <w:r>
        <w:fldChar w:fldCharType="separate"/>
      </w:r>
      <w:r>
        <w:t>48</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"_Toc114222756" </w:instrText>
      </w:r>
      <w:r>
        <w:fldChar w:fldCharType="separate"/>
      </w:r>
      <w:r>
        <w:rPr>
          <w:rStyle w:val="41"/>
          <w:rFonts w:ascii="黑体" w:hAnsi="宋体" w:eastAsia="黑体"/>
        </w:rPr>
        <w:t>附表A-4：响应性评审记录表（系统自动生成）</w:t>
      </w:r>
      <w:r>
        <w:tab/>
      </w:r>
      <w:r>
        <w:fldChar w:fldCharType="begin"/>
      </w:r>
      <w:r>
        <w:instrText xml:space="preserve"> PAGEREF _Toc114222756 \h </w:instrText>
      </w:r>
      <w:r>
        <w:fldChar w:fldCharType="separate"/>
      </w:r>
      <w:r>
        <w:t>49</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"_Toc114222757" </w:instrText>
      </w:r>
      <w:r>
        <w:fldChar w:fldCharType="separate"/>
      </w:r>
      <w:r>
        <w:rPr>
          <w:rStyle w:val="41"/>
          <w:rFonts w:ascii="黑体" w:hAnsi="宋体" w:eastAsia="黑体"/>
        </w:rPr>
        <w:t>附表A-5：入围投标人名单（系统自动生成）</w:t>
      </w:r>
      <w:r>
        <w:tab/>
      </w:r>
      <w:r>
        <w:fldChar w:fldCharType="begin"/>
      </w:r>
      <w:r>
        <w:instrText xml:space="preserve"> PAGEREF _Toc114222757 \h </w:instrText>
      </w:r>
      <w:r>
        <w:fldChar w:fldCharType="separate"/>
      </w:r>
      <w:r>
        <w:t>50</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"_Toc114222758" </w:instrText>
      </w:r>
      <w:r>
        <w:fldChar w:fldCharType="separate"/>
      </w:r>
      <w:r>
        <w:rPr>
          <w:rStyle w:val="41"/>
          <w:rFonts w:ascii="黑体" w:hAnsi="宋体" w:eastAsia="黑体"/>
        </w:rPr>
        <w:t>附表A-6：未入围投标人名单（系统自动生成）</w:t>
      </w:r>
      <w:r>
        <w:tab/>
      </w:r>
      <w:r>
        <w:fldChar w:fldCharType="begin"/>
      </w:r>
      <w:r>
        <w:instrText xml:space="preserve"> PAGEREF _Toc114222758 \h </w:instrText>
      </w:r>
      <w:r>
        <w:fldChar w:fldCharType="separate"/>
      </w:r>
      <w:r>
        <w:t>51</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"_Toc114222759" </w:instrText>
      </w:r>
      <w:r>
        <w:fldChar w:fldCharType="separate"/>
      </w:r>
      <w:r>
        <w:rPr>
          <w:rStyle w:val="41"/>
          <w:rFonts w:ascii="黑体" w:hAnsi="宋体" w:eastAsia="黑体"/>
        </w:rPr>
        <w:t>附表A-7：工程量清单总报价得分表（系统自动生成）</w:t>
      </w:r>
      <w:r>
        <w:tab/>
      </w:r>
      <w:r>
        <w:fldChar w:fldCharType="begin"/>
      </w:r>
      <w:r>
        <w:instrText xml:space="preserve"> PAGEREF _Toc114222759 \h </w:instrText>
      </w:r>
      <w:r>
        <w:fldChar w:fldCharType="separate"/>
      </w:r>
      <w:r>
        <w:t>52</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"_Toc114222760" </w:instrText>
      </w:r>
      <w:r>
        <w:fldChar w:fldCharType="separate"/>
      </w:r>
      <w:r>
        <w:rPr>
          <w:rStyle w:val="41"/>
          <w:rFonts w:ascii="黑体" w:hAnsi="宋体" w:eastAsia="黑体"/>
        </w:rPr>
        <w:t>附表A-8：分部分项清单综合单价评分表（系统自动生成）</w:t>
      </w:r>
      <w:r>
        <w:tab/>
      </w:r>
      <w:r>
        <w:fldChar w:fldCharType="begin"/>
      </w:r>
      <w:r>
        <w:instrText xml:space="preserve"> PAGEREF _Toc114222760 \h </w:instrText>
      </w:r>
      <w:r>
        <w:fldChar w:fldCharType="separate"/>
      </w:r>
      <w:r>
        <w:t>53</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"_Toc114222761" </w:instrText>
      </w:r>
      <w:r>
        <w:fldChar w:fldCharType="separate"/>
      </w:r>
      <w:r>
        <w:rPr>
          <w:rStyle w:val="41"/>
          <w:rFonts w:ascii="黑体" w:hAnsi="宋体" w:eastAsia="黑体"/>
        </w:rPr>
        <w:t>附表A-9：商务标评分结果汇总表（系统自动生成）</w:t>
      </w:r>
      <w:r>
        <w:tab/>
      </w:r>
      <w:r>
        <w:fldChar w:fldCharType="begin"/>
      </w:r>
      <w:r>
        <w:instrText xml:space="preserve"> PAGEREF _Toc114222761 \h </w:instrText>
      </w:r>
      <w:r>
        <w:fldChar w:fldCharType="separate"/>
      </w:r>
      <w:r>
        <w:t>53</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"_Toc114222762" </w:instrText>
      </w:r>
      <w:r>
        <w:fldChar w:fldCharType="separate"/>
      </w:r>
      <w:r>
        <w:rPr>
          <w:rStyle w:val="41"/>
          <w:rFonts w:ascii="黑体" w:hAnsi="宋体" w:eastAsia="黑体"/>
        </w:rPr>
        <w:t>附表A-10：评标结果汇总表（系统自动生成）</w:t>
      </w:r>
      <w:r>
        <w:tab/>
      </w:r>
      <w:r>
        <w:fldChar w:fldCharType="begin"/>
      </w:r>
      <w:r>
        <w:instrText xml:space="preserve"> PAGEREF _Toc114222762 \h </w:instrText>
      </w:r>
      <w:r>
        <w:fldChar w:fldCharType="separate"/>
      </w:r>
      <w:r>
        <w:t>54</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"_Toc114222763" </w:instrText>
      </w:r>
      <w:r>
        <w:fldChar w:fldCharType="separate"/>
      </w:r>
      <w:r>
        <w:rPr>
          <w:rStyle w:val="41"/>
          <w:rFonts w:ascii="黑体" w:hAnsi="宋体" w:eastAsia="黑体"/>
        </w:rPr>
        <w:t>附表A-11：否决投标的情况记录表（系统自动生成）</w:t>
      </w:r>
      <w:r>
        <w:tab/>
      </w:r>
      <w:r>
        <w:fldChar w:fldCharType="begin"/>
      </w:r>
      <w:r>
        <w:instrText xml:space="preserve"> PAGEREF _Toc114222763 \h </w:instrText>
      </w:r>
      <w:r>
        <w:fldChar w:fldCharType="separate"/>
      </w:r>
      <w:r>
        <w:t>56</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"_Toc114222764" </w:instrText>
      </w:r>
      <w:r>
        <w:fldChar w:fldCharType="separate"/>
      </w:r>
      <w:r>
        <w:rPr>
          <w:rStyle w:val="41"/>
          <w:rFonts w:ascii="黑体" w:hAnsi="宋体" w:eastAsia="黑体"/>
        </w:rPr>
        <w:t>附表A-12：评标委员会复核意见表</w:t>
      </w:r>
      <w:r>
        <w:tab/>
      </w:r>
      <w:r>
        <w:fldChar w:fldCharType="begin"/>
      </w:r>
      <w:r>
        <w:instrText xml:space="preserve"> PAGEREF _Toc114222764 \h </w:instrText>
      </w:r>
      <w:r>
        <w:fldChar w:fldCharType="separate"/>
      </w:r>
      <w:r>
        <w:t>57</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"_Toc114222765" </w:instrText>
      </w:r>
      <w:r>
        <w:fldChar w:fldCharType="separate"/>
      </w:r>
      <w:r>
        <w:rPr>
          <w:rStyle w:val="41"/>
          <w:rFonts w:ascii="黑体" w:hAnsi="宋体" w:eastAsia="黑体"/>
        </w:rPr>
        <w:t>附表A-13：评标委员会复核否决投标情况说明</w:t>
      </w:r>
      <w:r>
        <w:tab/>
      </w:r>
      <w:r>
        <w:fldChar w:fldCharType="begin"/>
      </w:r>
      <w:r>
        <w:instrText xml:space="preserve"> PAGEREF _Toc114222765 \h </w:instrText>
      </w:r>
      <w:r>
        <w:fldChar w:fldCharType="separate"/>
      </w:r>
      <w:r>
        <w:t>58</w:t>
      </w:r>
      <w:r>
        <w:fldChar w:fldCharType="end"/>
      </w:r>
      <w:r>
        <w:fldChar w:fldCharType="end"/>
      </w:r>
    </w:p>
    <w:p>
      <w:pPr>
        <w:pStyle w:val="31"/>
        <w:tabs>
          <w:tab w:val="right" w:leader="dot" w:pos="8494"/>
        </w:tabs>
        <w:rPr>
          <w:rFonts w:asciiTheme="minorHAnsi" w:hAnsiTheme="minorHAnsi" w:eastAsiaTheme="minorEastAsia" w:cstheme="minorBidi"/>
          <w:szCs w:val="22"/>
        </w:rPr>
      </w:pPr>
      <w:r>
        <w:fldChar w:fldCharType="begin"/>
      </w:r>
      <w:r>
        <w:instrText xml:space="preserve"> HYPERLINK \l "_Toc114222766" </w:instrText>
      </w:r>
      <w:r>
        <w:fldChar w:fldCharType="separate"/>
      </w:r>
      <w:r>
        <w:rPr>
          <w:rStyle w:val="41"/>
          <w:rFonts w:ascii="黑体" w:hAnsi="宋体" w:eastAsia="黑体"/>
        </w:rPr>
        <w:t>第三章  评标办法（简易评标法）</w:t>
      </w:r>
      <w:r>
        <w:tab/>
      </w:r>
      <w:r>
        <w:fldChar w:fldCharType="begin"/>
      </w:r>
      <w:r>
        <w:instrText xml:space="preserve"> PAGEREF _Toc114222766 \h </w:instrText>
      </w:r>
      <w:r>
        <w:fldChar w:fldCharType="separate"/>
      </w:r>
      <w:r>
        <w:t>58</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"_Toc114222767" </w:instrText>
      </w:r>
      <w:r>
        <w:fldChar w:fldCharType="separate"/>
      </w:r>
      <w:r>
        <w:rPr>
          <w:rStyle w:val="41"/>
          <w:rFonts w:ascii="黑体" w:hAnsi="宋体" w:eastAsia="黑体"/>
        </w:rPr>
        <w:t>1. 评标方法</w:t>
      </w:r>
      <w:r>
        <w:tab/>
      </w:r>
      <w:r>
        <w:fldChar w:fldCharType="begin"/>
      </w:r>
      <w:r>
        <w:instrText xml:space="preserve"> PAGEREF _Toc114222767 \h </w:instrText>
      </w:r>
      <w:r>
        <w:fldChar w:fldCharType="separate"/>
      </w:r>
      <w:r>
        <w:t>64</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"_Toc114222768" </w:instrText>
      </w:r>
      <w:r>
        <w:fldChar w:fldCharType="separate"/>
      </w:r>
      <w:r>
        <w:rPr>
          <w:rStyle w:val="41"/>
          <w:rFonts w:ascii="黑体" w:hAnsi="宋体" w:eastAsia="黑体"/>
        </w:rPr>
        <w:t>2. 评审标准</w:t>
      </w:r>
      <w:r>
        <w:tab/>
      </w:r>
      <w:r>
        <w:fldChar w:fldCharType="begin"/>
      </w:r>
      <w:r>
        <w:instrText xml:space="preserve"> PAGEREF _Toc114222768 \h </w:instrText>
      </w:r>
      <w:r>
        <w:fldChar w:fldCharType="separate"/>
      </w:r>
      <w:r>
        <w:t>64</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"_Toc114222769" </w:instrText>
      </w:r>
      <w:r>
        <w:fldChar w:fldCharType="separate"/>
      </w:r>
      <w:r>
        <w:rPr>
          <w:rStyle w:val="41"/>
          <w:rFonts w:ascii="黑体" w:hAnsi="宋体" w:eastAsia="黑体"/>
        </w:rPr>
        <w:t>3. 评标程序</w:t>
      </w:r>
      <w:r>
        <w:tab/>
      </w:r>
      <w:r>
        <w:fldChar w:fldCharType="begin"/>
      </w:r>
      <w:r>
        <w:instrText xml:space="preserve"> PAGEREF _Toc114222769 \h </w:instrText>
      </w:r>
      <w:r>
        <w:fldChar w:fldCharType="separate"/>
      </w:r>
      <w:r>
        <w:t>64</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"_Toc114222770" </w:instrText>
      </w:r>
      <w:r>
        <w:fldChar w:fldCharType="separate"/>
      </w:r>
      <w:r>
        <w:rPr>
          <w:rStyle w:val="41"/>
          <w:rFonts w:ascii="黑体" w:hAnsi="宋体" w:eastAsia="黑体"/>
        </w:rPr>
        <w:t>附件A：评标详细程序</w:t>
      </w:r>
      <w:r>
        <w:tab/>
      </w:r>
      <w:r>
        <w:fldChar w:fldCharType="begin"/>
      </w:r>
      <w:r>
        <w:instrText xml:space="preserve"> PAGEREF _Toc114222770 \h </w:instrText>
      </w:r>
      <w:r>
        <w:fldChar w:fldCharType="separate"/>
      </w:r>
      <w:r>
        <w:t>67</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"_Toc114222771" </w:instrText>
      </w:r>
      <w:r>
        <w:fldChar w:fldCharType="separate"/>
      </w:r>
      <w:r>
        <w:rPr>
          <w:rStyle w:val="41"/>
          <w:rFonts w:ascii="黑体" w:hAnsi="宋体" w:eastAsia="黑体"/>
        </w:rPr>
        <w:t>附件B：否决投标的条件</w:t>
      </w:r>
      <w:r>
        <w:tab/>
      </w:r>
      <w:r>
        <w:fldChar w:fldCharType="begin"/>
      </w:r>
      <w:r>
        <w:instrText xml:space="preserve"> PAGEREF _Toc114222771 \h </w:instrText>
      </w:r>
      <w:r>
        <w:fldChar w:fldCharType="separate"/>
      </w:r>
      <w:r>
        <w:t>75</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"_Toc114222772" </w:instrText>
      </w:r>
      <w:r>
        <w:fldChar w:fldCharType="separate"/>
      </w:r>
      <w:r>
        <w:rPr>
          <w:rStyle w:val="41"/>
          <w:rFonts w:ascii="黑体" w:hAnsi="宋体" w:eastAsia="黑体"/>
        </w:rPr>
        <w:t>附表A-1：评标委员会签到表</w:t>
      </w:r>
      <w:r>
        <w:tab/>
      </w:r>
      <w:r>
        <w:fldChar w:fldCharType="begin"/>
      </w:r>
      <w:r>
        <w:instrText xml:space="preserve"> PAGEREF _Toc114222772 \h </w:instrText>
      </w:r>
      <w:r>
        <w:fldChar w:fldCharType="separate"/>
      </w:r>
      <w:r>
        <w:t>77</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"_Toc114222773" </w:instrText>
      </w:r>
      <w:r>
        <w:fldChar w:fldCharType="separate"/>
      </w:r>
      <w:r>
        <w:rPr>
          <w:rStyle w:val="41"/>
          <w:rFonts w:ascii="黑体" w:hAnsi="宋体" w:eastAsia="黑体"/>
        </w:rPr>
        <w:t>附表A-2：形式评审记录表（系统自动生成）</w:t>
      </w:r>
      <w:r>
        <w:tab/>
      </w:r>
      <w:r>
        <w:fldChar w:fldCharType="begin"/>
      </w:r>
      <w:r>
        <w:instrText xml:space="preserve"> PAGEREF _Toc114222773 \h </w:instrText>
      </w:r>
      <w:r>
        <w:fldChar w:fldCharType="separate"/>
      </w:r>
      <w:r>
        <w:t>78</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"_Toc114222774" </w:instrText>
      </w:r>
      <w:r>
        <w:fldChar w:fldCharType="separate"/>
      </w:r>
      <w:r>
        <w:rPr>
          <w:rStyle w:val="41"/>
          <w:rFonts w:ascii="黑体" w:hAnsi="宋体" w:eastAsia="黑体"/>
        </w:rPr>
        <w:t>附表A-3：资格评审记录表（系统自动生成）</w:t>
      </w:r>
      <w:r>
        <w:tab/>
      </w:r>
      <w:r>
        <w:fldChar w:fldCharType="begin"/>
      </w:r>
      <w:r>
        <w:instrText xml:space="preserve"> PAGEREF _Toc114222774 \h </w:instrText>
      </w:r>
      <w:r>
        <w:fldChar w:fldCharType="separate"/>
      </w:r>
      <w:r>
        <w:t>79</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"_Toc114222775" </w:instrText>
      </w:r>
      <w:r>
        <w:fldChar w:fldCharType="separate"/>
      </w:r>
      <w:r>
        <w:rPr>
          <w:rStyle w:val="41"/>
          <w:rFonts w:ascii="黑体" w:hAnsi="宋体" w:eastAsia="黑体"/>
        </w:rPr>
        <w:t>附表A-4：响应性评审记录表（系统自动生成）</w:t>
      </w:r>
      <w:r>
        <w:tab/>
      </w:r>
      <w:r>
        <w:fldChar w:fldCharType="begin"/>
      </w:r>
      <w:r>
        <w:instrText xml:space="preserve"> PAGEREF _Toc114222775 \h </w:instrText>
      </w:r>
      <w:r>
        <w:fldChar w:fldCharType="separate"/>
      </w:r>
      <w:r>
        <w:t>80</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"_Toc114222776" </w:instrText>
      </w:r>
      <w:r>
        <w:fldChar w:fldCharType="separate"/>
      </w:r>
      <w:r>
        <w:rPr>
          <w:rStyle w:val="41"/>
          <w:rFonts w:ascii="黑体" w:hAnsi="宋体" w:eastAsia="黑体"/>
        </w:rPr>
        <w:t>附表A-5：进入详细评审的合格有效投标人名单（系统自动生成）</w:t>
      </w:r>
      <w:r>
        <w:tab/>
      </w:r>
      <w:r>
        <w:fldChar w:fldCharType="begin"/>
      </w:r>
      <w:r>
        <w:instrText xml:space="preserve"> PAGEREF _Toc114222776 \h </w:instrText>
      </w:r>
      <w:r>
        <w:fldChar w:fldCharType="separate"/>
      </w:r>
      <w:r>
        <w:t>80</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"_Toc114222777" </w:instrText>
      </w:r>
      <w:r>
        <w:fldChar w:fldCharType="separate"/>
      </w:r>
      <w:r>
        <w:rPr>
          <w:rStyle w:val="41"/>
          <w:rFonts w:ascii="黑体" w:hAnsi="宋体" w:eastAsia="黑体"/>
        </w:rPr>
        <w:t>附表A-6：未进入详细评审的有效投标人名单（系统自动生成）</w:t>
      </w:r>
      <w:r>
        <w:tab/>
      </w:r>
      <w:r>
        <w:fldChar w:fldCharType="begin"/>
      </w:r>
      <w:r>
        <w:instrText xml:space="preserve"> PAGEREF _Toc114222777 \h </w:instrText>
      </w:r>
      <w:r>
        <w:fldChar w:fldCharType="separate"/>
      </w:r>
      <w:r>
        <w:t>82</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"_Toc114222778" </w:instrText>
      </w:r>
      <w:r>
        <w:fldChar w:fldCharType="separate"/>
      </w:r>
      <w:r>
        <w:rPr>
          <w:rStyle w:val="41"/>
          <w:rFonts w:ascii="黑体" w:hAnsi="宋体" w:eastAsia="黑体"/>
        </w:rPr>
        <w:t>附表A-7：工程量清单总报价得分表（系统自动生成）</w:t>
      </w:r>
      <w:r>
        <w:tab/>
      </w:r>
      <w:r>
        <w:fldChar w:fldCharType="begin"/>
      </w:r>
      <w:r>
        <w:instrText xml:space="preserve"> PAGEREF _Toc114222778 \h </w:instrText>
      </w:r>
      <w:r>
        <w:fldChar w:fldCharType="separate"/>
      </w:r>
      <w:r>
        <w:t>82</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"_Toc114222779" </w:instrText>
      </w:r>
      <w:r>
        <w:fldChar w:fldCharType="separate"/>
      </w:r>
      <w:r>
        <w:rPr>
          <w:rStyle w:val="41"/>
          <w:rFonts w:ascii="黑体" w:hAnsi="宋体" w:eastAsia="黑体"/>
        </w:rPr>
        <w:t>附表A-8：分部分项清单综合单价评分表（系统自动生成）</w:t>
      </w:r>
      <w:r>
        <w:tab/>
      </w:r>
      <w:r>
        <w:fldChar w:fldCharType="begin"/>
      </w:r>
      <w:r>
        <w:instrText xml:space="preserve"> PAGEREF _Toc114222779 \h </w:instrText>
      </w:r>
      <w:r>
        <w:fldChar w:fldCharType="separate"/>
      </w:r>
      <w:r>
        <w:t>84</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"_Toc114222780" </w:instrText>
      </w:r>
      <w:r>
        <w:fldChar w:fldCharType="separate"/>
      </w:r>
      <w:r>
        <w:rPr>
          <w:rStyle w:val="41"/>
          <w:rFonts w:ascii="黑体" w:hAnsi="宋体" w:eastAsia="黑体"/>
        </w:rPr>
        <w:t>附表A-9：主要材料评分表</w:t>
      </w:r>
      <w:r>
        <w:tab/>
      </w:r>
      <w:r>
        <w:fldChar w:fldCharType="begin"/>
      </w:r>
      <w:r>
        <w:instrText xml:space="preserve"> PAGEREF _Toc114222780 \h </w:instrText>
      </w:r>
      <w:r>
        <w:fldChar w:fldCharType="separate"/>
      </w:r>
      <w:r>
        <w:t>84</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"_Toc114222781" </w:instrText>
      </w:r>
      <w:r>
        <w:fldChar w:fldCharType="separate"/>
      </w:r>
      <w:r>
        <w:rPr>
          <w:rStyle w:val="41"/>
          <w:rFonts w:ascii="黑体" w:hAnsi="宋体" w:eastAsia="黑体"/>
        </w:rPr>
        <w:t>附表A-10：商务标评分结果汇总表（系统自动生成）</w:t>
      </w:r>
      <w:r>
        <w:tab/>
      </w:r>
      <w:r>
        <w:fldChar w:fldCharType="begin"/>
      </w:r>
      <w:r>
        <w:instrText xml:space="preserve"> PAGEREF _Toc114222781 \h </w:instrText>
      </w:r>
      <w:r>
        <w:fldChar w:fldCharType="separate"/>
      </w:r>
      <w:r>
        <w:t>86</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"_Toc114222782" </w:instrText>
      </w:r>
      <w:r>
        <w:fldChar w:fldCharType="separate"/>
      </w:r>
      <w:r>
        <w:rPr>
          <w:rStyle w:val="41"/>
          <w:rFonts w:ascii="黑体" w:hAnsi="宋体" w:eastAsia="黑体"/>
        </w:rPr>
        <w:t>附表A-11：评标结果汇总表（系统自动生成）</w:t>
      </w:r>
      <w:r>
        <w:tab/>
      </w:r>
      <w:r>
        <w:fldChar w:fldCharType="begin"/>
      </w:r>
      <w:r>
        <w:instrText xml:space="preserve"> PAGEREF _Toc114222782 \h </w:instrText>
      </w:r>
      <w:r>
        <w:fldChar w:fldCharType="separate"/>
      </w:r>
      <w:r>
        <w:t>87</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"_Toc114222783" </w:instrText>
      </w:r>
      <w:r>
        <w:fldChar w:fldCharType="separate"/>
      </w:r>
      <w:r>
        <w:rPr>
          <w:rStyle w:val="41"/>
          <w:rFonts w:ascii="黑体" w:hAnsi="宋体" w:eastAsia="黑体"/>
        </w:rPr>
        <w:t>附表A-12：否决投标的情况记录表（系统自动生成）</w:t>
      </w:r>
      <w:r>
        <w:tab/>
      </w:r>
      <w:r>
        <w:fldChar w:fldCharType="begin"/>
      </w:r>
      <w:r>
        <w:instrText xml:space="preserve"> PAGEREF _Toc114222783 \h </w:instrText>
      </w:r>
      <w:r>
        <w:fldChar w:fldCharType="separate"/>
      </w:r>
      <w:r>
        <w:t>88</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"_Toc114222784" </w:instrText>
      </w:r>
      <w:r>
        <w:fldChar w:fldCharType="separate"/>
      </w:r>
      <w:r>
        <w:rPr>
          <w:rStyle w:val="41"/>
          <w:rFonts w:ascii="黑体" w:hAnsi="宋体" w:eastAsia="黑体"/>
        </w:rPr>
        <w:t>附表A-13：评标委员会复核意见表</w:t>
      </w:r>
      <w:r>
        <w:tab/>
      </w:r>
      <w:r>
        <w:fldChar w:fldCharType="begin"/>
      </w:r>
      <w:r>
        <w:instrText xml:space="preserve"> PAGEREF _Toc114222784 \h </w:instrText>
      </w:r>
      <w:r>
        <w:fldChar w:fldCharType="separate"/>
      </w:r>
      <w:r>
        <w:t>89</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"_Toc114222785" </w:instrText>
      </w:r>
      <w:r>
        <w:fldChar w:fldCharType="separate"/>
      </w:r>
      <w:r>
        <w:rPr>
          <w:rStyle w:val="41"/>
          <w:rFonts w:ascii="黑体" w:hAnsi="宋体" w:eastAsia="黑体"/>
        </w:rPr>
        <w:t>附表A-14：评标委员会复核否决投标情况说明</w:t>
      </w:r>
      <w:r>
        <w:tab/>
      </w:r>
      <w:r>
        <w:fldChar w:fldCharType="begin"/>
      </w:r>
      <w:r>
        <w:instrText xml:space="preserve"> PAGEREF _Toc114222785 \h </w:instrText>
      </w:r>
      <w:r>
        <w:fldChar w:fldCharType="separate"/>
      </w:r>
      <w:r>
        <w:t>90</w:t>
      </w:r>
      <w:r>
        <w:fldChar w:fldCharType="end"/>
      </w:r>
      <w:r>
        <w:fldChar w:fldCharType="end"/>
      </w:r>
    </w:p>
    <w:p>
      <w:pPr>
        <w:pStyle w:val="31"/>
        <w:tabs>
          <w:tab w:val="right" w:leader="dot" w:pos="8494"/>
        </w:tabs>
        <w:rPr>
          <w:rFonts w:asciiTheme="minorHAnsi" w:hAnsiTheme="minorHAnsi" w:eastAsiaTheme="minorEastAsia" w:cstheme="minorBidi"/>
          <w:szCs w:val="22"/>
        </w:rPr>
      </w:pPr>
      <w:r>
        <w:fldChar w:fldCharType="begin"/>
      </w:r>
      <w:r>
        <w:instrText xml:space="preserve"> HYPERLINK \l "_Toc114222786" </w:instrText>
      </w:r>
      <w:r>
        <w:fldChar w:fldCharType="separate"/>
      </w:r>
      <w:r>
        <w:rPr>
          <w:rStyle w:val="41"/>
          <w:rFonts w:ascii="黑体" w:eastAsia="黑体"/>
        </w:rPr>
        <w:t>第四章  合同条款及格式</w:t>
      </w:r>
      <w:r>
        <w:tab/>
      </w:r>
      <w:r>
        <w:fldChar w:fldCharType="begin"/>
      </w:r>
      <w:r>
        <w:instrText xml:space="preserve"> PAGEREF _Toc114222786 \h </w:instrText>
      </w:r>
      <w:r>
        <w:fldChar w:fldCharType="separate"/>
      </w:r>
      <w:r>
        <w:t>91</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"_Toc114222787" </w:instrText>
      </w:r>
      <w:r>
        <w:fldChar w:fldCharType="separate"/>
      </w:r>
      <w:r>
        <w:rPr>
          <w:rStyle w:val="41"/>
          <w:rFonts w:ascii="宋体" w:hAnsi="宋体"/>
        </w:rPr>
        <w:t>第一节  合同协议书</w:t>
      </w:r>
      <w:r>
        <w:tab/>
      </w:r>
      <w:r>
        <w:fldChar w:fldCharType="begin"/>
      </w:r>
      <w:r>
        <w:instrText xml:space="preserve"> PAGEREF _Toc114222787 \h </w:instrText>
      </w:r>
      <w:r>
        <w:fldChar w:fldCharType="separate"/>
      </w:r>
      <w:r>
        <w:t>92</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"_Toc114222788" </w:instrText>
      </w:r>
      <w:r>
        <w:fldChar w:fldCharType="separate"/>
      </w:r>
      <w:r>
        <w:rPr>
          <w:rStyle w:val="41"/>
          <w:rFonts w:ascii="黑体" w:hAnsi="黑体"/>
        </w:rPr>
        <w:t>一、工程概况</w:t>
      </w:r>
      <w:r>
        <w:tab/>
      </w:r>
      <w:r>
        <w:fldChar w:fldCharType="begin"/>
      </w:r>
      <w:r>
        <w:instrText xml:space="preserve"> PAGEREF _Toc114222788 \h </w:instrText>
      </w:r>
      <w:r>
        <w:fldChar w:fldCharType="separate"/>
      </w:r>
      <w:r>
        <w:t>92</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"_Toc114222789" </w:instrText>
      </w:r>
      <w:r>
        <w:fldChar w:fldCharType="separate"/>
      </w:r>
      <w:r>
        <w:rPr>
          <w:rStyle w:val="41"/>
          <w:rFonts w:ascii="黑体" w:hAnsi="黑体"/>
        </w:rPr>
        <w:t>二、合同工期</w:t>
      </w:r>
      <w:r>
        <w:tab/>
      </w:r>
      <w:r>
        <w:fldChar w:fldCharType="begin"/>
      </w:r>
      <w:r>
        <w:instrText xml:space="preserve"> PAGEREF _Toc114222789 \h </w:instrText>
      </w:r>
      <w:r>
        <w:fldChar w:fldCharType="separate"/>
      </w:r>
      <w:r>
        <w:t>92</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"_Toc114222790" </w:instrText>
      </w:r>
      <w:r>
        <w:fldChar w:fldCharType="separate"/>
      </w:r>
      <w:r>
        <w:rPr>
          <w:rStyle w:val="41"/>
          <w:rFonts w:ascii="黑体" w:hAnsi="黑体"/>
        </w:rPr>
        <w:t>三、质量标准</w:t>
      </w:r>
      <w:r>
        <w:tab/>
      </w:r>
      <w:r>
        <w:fldChar w:fldCharType="begin"/>
      </w:r>
      <w:r>
        <w:instrText xml:space="preserve"> PAGEREF _Toc114222790 \h </w:instrText>
      </w:r>
      <w:r>
        <w:fldChar w:fldCharType="separate"/>
      </w:r>
      <w:r>
        <w:t>92</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"_Toc114222791" </w:instrText>
      </w:r>
      <w:r>
        <w:fldChar w:fldCharType="separate"/>
      </w:r>
      <w:r>
        <w:rPr>
          <w:rStyle w:val="41"/>
          <w:rFonts w:ascii="黑体" w:hAnsi="黑体"/>
        </w:rPr>
        <w:t>四、签约合同价与合同价格形式</w:t>
      </w:r>
      <w:r>
        <w:tab/>
      </w:r>
      <w:r>
        <w:fldChar w:fldCharType="begin"/>
      </w:r>
      <w:r>
        <w:instrText xml:space="preserve"> PAGEREF _Toc114222791 \h </w:instrText>
      </w:r>
      <w:r>
        <w:fldChar w:fldCharType="separate"/>
      </w:r>
      <w:r>
        <w:t>92</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"_Toc114222792" </w:instrText>
      </w:r>
      <w:r>
        <w:fldChar w:fldCharType="separate"/>
      </w:r>
      <w:r>
        <w:rPr>
          <w:rStyle w:val="41"/>
          <w:rFonts w:ascii="黑体" w:hAnsi="黑体"/>
        </w:rPr>
        <w:t>五、项目经理</w:t>
      </w:r>
      <w:r>
        <w:tab/>
      </w:r>
      <w:r>
        <w:fldChar w:fldCharType="begin"/>
      </w:r>
      <w:r>
        <w:instrText xml:space="preserve"> PAGEREF _Toc114222792 \h </w:instrText>
      </w:r>
      <w:r>
        <w:fldChar w:fldCharType="separate"/>
      </w:r>
      <w:r>
        <w:t>93</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"_Toc114222793" </w:instrText>
      </w:r>
      <w:r>
        <w:fldChar w:fldCharType="separate"/>
      </w:r>
      <w:r>
        <w:rPr>
          <w:rStyle w:val="41"/>
          <w:rFonts w:ascii="黑体" w:hAnsi="黑体"/>
        </w:rPr>
        <w:t>六、合同文件构成</w:t>
      </w:r>
      <w:r>
        <w:tab/>
      </w:r>
      <w:r>
        <w:fldChar w:fldCharType="begin"/>
      </w:r>
      <w:r>
        <w:instrText xml:space="preserve"> PAGEREF _Toc114222793 \h </w:instrText>
      </w:r>
      <w:r>
        <w:fldChar w:fldCharType="separate"/>
      </w:r>
      <w:r>
        <w:t>93</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"_Toc114222794" </w:instrText>
      </w:r>
      <w:r>
        <w:fldChar w:fldCharType="separate"/>
      </w:r>
      <w:r>
        <w:rPr>
          <w:rStyle w:val="41"/>
          <w:rFonts w:ascii="黑体" w:hAnsi="黑体"/>
        </w:rPr>
        <w:t>七、承诺</w:t>
      </w:r>
      <w:r>
        <w:tab/>
      </w:r>
      <w:r>
        <w:fldChar w:fldCharType="begin"/>
      </w:r>
      <w:r>
        <w:instrText xml:space="preserve"> PAGEREF _Toc114222794 \h </w:instrText>
      </w:r>
      <w:r>
        <w:fldChar w:fldCharType="separate"/>
      </w:r>
      <w:r>
        <w:t>93</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"_Toc114222795" </w:instrText>
      </w:r>
      <w:r>
        <w:fldChar w:fldCharType="separate"/>
      </w:r>
      <w:r>
        <w:rPr>
          <w:rStyle w:val="41"/>
          <w:rFonts w:ascii="黑体" w:hAnsi="黑体"/>
        </w:rPr>
        <w:t>八、词语含义</w:t>
      </w:r>
      <w:r>
        <w:tab/>
      </w:r>
      <w:r>
        <w:fldChar w:fldCharType="begin"/>
      </w:r>
      <w:r>
        <w:instrText xml:space="preserve"> PAGEREF _Toc114222795 \h </w:instrText>
      </w:r>
      <w:r>
        <w:fldChar w:fldCharType="separate"/>
      </w:r>
      <w:r>
        <w:t>93</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"_Toc114222796" </w:instrText>
      </w:r>
      <w:r>
        <w:fldChar w:fldCharType="separate"/>
      </w:r>
      <w:r>
        <w:rPr>
          <w:rStyle w:val="41"/>
          <w:rFonts w:ascii="黑体" w:hAnsi="黑体"/>
        </w:rPr>
        <w:t>九、签订时间</w:t>
      </w:r>
      <w:r>
        <w:tab/>
      </w:r>
      <w:r>
        <w:fldChar w:fldCharType="begin"/>
      </w:r>
      <w:r>
        <w:instrText xml:space="preserve"> PAGEREF _Toc114222796 \h </w:instrText>
      </w:r>
      <w:r>
        <w:fldChar w:fldCharType="separate"/>
      </w:r>
      <w:r>
        <w:t>93</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"_Toc114222797" </w:instrText>
      </w:r>
      <w:r>
        <w:fldChar w:fldCharType="separate"/>
      </w:r>
      <w:r>
        <w:rPr>
          <w:rStyle w:val="41"/>
          <w:rFonts w:ascii="黑体" w:hAnsi="黑体"/>
        </w:rPr>
        <w:t>十、签订地点</w:t>
      </w:r>
      <w:r>
        <w:tab/>
      </w:r>
      <w:r>
        <w:fldChar w:fldCharType="begin"/>
      </w:r>
      <w:r>
        <w:instrText xml:space="preserve"> PAGEREF _Toc114222797 \h </w:instrText>
      </w:r>
      <w:r>
        <w:fldChar w:fldCharType="separate"/>
      </w:r>
      <w:r>
        <w:t>93</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"_Toc114222798" </w:instrText>
      </w:r>
      <w:r>
        <w:fldChar w:fldCharType="separate"/>
      </w:r>
      <w:r>
        <w:rPr>
          <w:rStyle w:val="41"/>
          <w:rFonts w:ascii="黑体" w:hAnsi="黑体"/>
        </w:rPr>
        <w:t>十一、补充协议</w:t>
      </w:r>
      <w:r>
        <w:tab/>
      </w:r>
      <w:r>
        <w:fldChar w:fldCharType="begin"/>
      </w:r>
      <w:r>
        <w:instrText xml:space="preserve"> PAGEREF _Toc114222798 \h </w:instrText>
      </w:r>
      <w:r>
        <w:fldChar w:fldCharType="separate"/>
      </w:r>
      <w:r>
        <w:t>93</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"_Toc114222799" </w:instrText>
      </w:r>
      <w:r>
        <w:fldChar w:fldCharType="separate"/>
      </w:r>
      <w:r>
        <w:rPr>
          <w:rStyle w:val="41"/>
          <w:rFonts w:ascii="黑体" w:hAnsi="黑体"/>
        </w:rPr>
        <w:t>十二、合同生效</w:t>
      </w:r>
      <w:r>
        <w:tab/>
      </w:r>
      <w:r>
        <w:fldChar w:fldCharType="begin"/>
      </w:r>
      <w:r>
        <w:instrText xml:space="preserve"> PAGEREF _Toc114222799 \h </w:instrText>
      </w:r>
      <w:r>
        <w:fldChar w:fldCharType="separate"/>
      </w:r>
      <w:r>
        <w:t>93</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"_Toc114222800" </w:instrText>
      </w:r>
      <w:r>
        <w:fldChar w:fldCharType="separate"/>
      </w:r>
      <w:r>
        <w:rPr>
          <w:rStyle w:val="41"/>
          <w:rFonts w:ascii="黑体" w:hAnsi="黑体"/>
        </w:rPr>
        <w:t>十三、合同份数</w:t>
      </w:r>
      <w:r>
        <w:tab/>
      </w:r>
      <w:r>
        <w:fldChar w:fldCharType="begin"/>
      </w:r>
      <w:r>
        <w:instrText xml:space="preserve"> PAGEREF _Toc114222800 \h </w:instrText>
      </w:r>
      <w:r>
        <w:fldChar w:fldCharType="separate"/>
      </w:r>
      <w:r>
        <w:t>94</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"_Toc114222801" </w:instrText>
      </w:r>
      <w:r>
        <w:fldChar w:fldCharType="separate"/>
      </w:r>
      <w:r>
        <w:rPr>
          <w:rStyle w:val="41"/>
          <w:rFonts w:ascii="黑体" w:hAnsi="宋体" w:eastAsia="黑体"/>
        </w:rPr>
        <w:t>第二节  通用合同条款</w:t>
      </w:r>
      <w:r>
        <w:tab/>
      </w:r>
      <w:r>
        <w:fldChar w:fldCharType="begin"/>
      </w:r>
      <w:r>
        <w:instrText xml:space="preserve"> PAGEREF _Toc114222801 \h </w:instrText>
      </w:r>
      <w:r>
        <w:fldChar w:fldCharType="separate"/>
      </w:r>
      <w:r>
        <w:t>95</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"_Toc114222802" </w:instrText>
      </w:r>
      <w:r>
        <w:fldChar w:fldCharType="separate"/>
      </w:r>
      <w:r>
        <w:rPr>
          <w:rStyle w:val="41"/>
          <w:rFonts w:ascii="黑体" w:hAnsi="黑体"/>
        </w:rPr>
        <w:t>1.一般约定</w:t>
      </w:r>
      <w:r>
        <w:tab/>
      </w:r>
      <w:r>
        <w:fldChar w:fldCharType="begin"/>
      </w:r>
      <w:r>
        <w:instrText xml:space="preserve"> PAGEREF _Toc114222802 \h </w:instrText>
      </w:r>
      <w:r>
        <w:fldChar w:fldCharType="separate"/>
      </w:r>
      <w:r>
        <w:t>95</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"_Toc114222803" </w:instrText>
      </w:r>
      <w:r>
        <w:fldChar w:fldCharType="separate"/>
      </w:r>
      <w:r>
        <w:rPr>
          <w:rStyle w:val="41"/>
          <w:rFonts w:ascii="黑体" w:hAnsi="黑体"/>
        </w:rPr>
        <w:t>2. 发包人</w:t>
      </w:r>
      <w:r>
        <w:tab/>
      </w:r>
      <w:r>
        <w:fldChar w:fldCharType="begin"/>
      </w:r>
      <w:r>
        <w:instrText xml:space="preserve"> PAGEREF _Toc114222803 \h </w:instrText>
      </w:r>
      <w:r>
        <w:fldChar w:fldCharType="separate"/>
      </w:r>
      <w:r>
        <w:t>102</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"_Toc114222804" </w:instrText>
      </w:r>
      <w:r>
        <w:fldChar w:fldCharType="separate"/>
      </w:r>
      <w:r>
        <w:rPr>
          <w:rStyle w:val="41"/>
          <w:rFonts w:ascii="黑体" w:hAnsi="黑体"/>
        </w:rPr>
        <w:t>3. 承包人</w:t>
      </w:r>
      <w:r>
        <w:tab/>
      </w:r>
      <w:r>
        <w:fldChar w:fldCharType="begin"/>
      </w:r>
      <w:r>
        <w:instrText xml:space="preserve"> PAGEREF _Toc114222804 \h </w:instrText>
      </w:r>
      <w:r>
        <w:fldChar w:fldCharType="separate"/>
      </w:r>
      <w:r>
        <w:t>104</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"_Toc114222805" </w:instrText>
      </w:r>
      <w:r>
        <w:fldChar w:fldCharType="separate"/>
      </w:r>
      <w:r>
        <w:rPr>
          <w:rStyle w:val="41"/>
          <w:rFonts w:ascii="黑体" w:hAnsi="黑体"/>
        </w:rPr>
        <w:t>4. 监理人</w:t>
      </w:r>
      <w:r>
        <w:tab/>
      </w:r>
      <w:r>
        <w:fldChar w:fldCharType="begin"/>
      </w:r>
      <w:r>
        <w:instrText xml:space="preserve"> PAGEREF _Toc114222805 \h </w:instrText>
      </w:r>
      <w:r>
        <w:fldChar w:fldCharType="separate"/>
      </w:r>
      <w:r>
        <w:t>108</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"_Toc114222806" </w:instrText>
      </w:r>
      <w:r>
        <w:fldChar w:fldCharType="separate"/>
      </w:r>
      <w:r>
        <w:rPr>
          <w:rStyle w:val="41"/>
          <w:rFonts w:ascii="黑体" w:hAnsi="黑体"/>
        </w:rPr>
        <w:t>5. 工程质量</w:t>
      </w:r>
      <w:r>
        <w:tab/>
      </w:r>
      <w:r>
        <w:fldChar w:fldCharType="begin"/>
      </w:r>
      <w:r>
        <w:instrText xml:space="preserve"> PAGEREF _Toc114222806 \h </w:instrText>
      </w:r>
      <w:r>
        <w:fldChar w:fldCharType="separate"/>
      </w:r>
      <w:r>
        <w:t>109</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"_Toc114222807" </w:instrText>
      </w:r>
      <w:r>
        <w:fldChar w:fldCharType="separate"/>
      </w:r>
      <w:r>
        <w:rPr>
          <w:rStyle w:val="41"/>
          <w:rFonts w:ascii="黑体" w:hAnsi="黑体"/>
        </w:rPr>
        <w:t>6. 安全文明施工与环境保护</w:t>
      </w:r>
      <w:r>
        <w:tab/>
      </w:r>
      <w:r>
        <w:fldChar w:fldCharType="begin"/>
      </w:r>
      <w:r>
        <w:instrText xml:space="preserve"> PAGEREF _Toc114222807 \h </w:instrText>
      </w:r>
      <w:r>
        <w:fldChar w:fldCharType="separate"/>
      </w:r>
      <w:r>
        <w:t>111</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"_Toc114222808" </w:instrText>
      </w:r>
      <w:r>
        <w:fldChar w:fldCharType="separate"/>
      </w:r>
      <w:r>
        <w:rPr>
          <w:rStyle w:val="41"/>
          <w:rFonts w:ascii="黑体" w:hAnsi="黑体"/>
        </w:rPr>
        <w:t>7. 工期和进度</w:t>
      </w:r>
      <w:r>
        <w:tab/>
      </w:r>
      <w:r>
        <w:fldChar w:fldCharType="begin"/>
      </w:r>
      <w:r>
        <w:instrText xml:space="preserve"> PAGEREF _Toc114222808 \h </w:instrText>
      </w:r>
      <w:r>
        <w:fldChar w:fldCharType="separate"/>
      </w:r>
      <w:r>
        <w:t>114</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"_Toc114222809" </w:instrText>
      </w:r>
      <w:r>
        <w:fldChar w:fldCharType="separate"/>
      </w:r>
      <w:r>
        <w:rPr>
          <w:rStyle w:val="41"/>
          <w:rFonts w:ascii="黑体" w:hAnsi="黑体"/>
        </w:rPr>
        <w:t>8. 材料与设备</w:t>
      </w:r>
      <w:r>
        <w:tab/>
      </w:r>
      <w:r>
        <w:fldChar w:fldCharType="begin"/>
      </w:r>
      <w:r>
        <w:instrText xml:space="preserve"> PAGEREF _Toc114222809 \h </w:instrText>
      </w:r>
      <w:r>
        <w:fldChar w:fldCharType="separate"/>
      </w:r>
      <w:r>
        <w:t>118</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"_Toc114222810" </w:instrText>
      </w:r>
      <w:r>
        <w:fldChar w:fldCharType="separate"/>
      </w:r>
      <w:r>
        <w:rPr>
          <w:rStyle w:val="41"/>
          <w:rFonts w:ascii="黑体" w:hAnsi="黑体"/>
        </w:rPr>
        <w:t>9. 试验与检验</w:t>
      </w:r>
      <w:r>
        <w:tab/>
      </w:r>
      <w:r>
        <w:fldChar w:fldCharType="begin"/>
      </w:r>
      <w:r>
        <w:instrText xml:space="preserve"> PAGEREF _Toc114222810 \h </w:instrText>
      </w:r>
      <w:r>
        <w:fldChar w:fldCharType="separate"/>
      </w:r>
      <w:r>
        <w:t>122</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"_Toc114222811" </w:instrText>
      </w:r>
      <w:r>
        <w:fldChar w:fldCharType="separate"/>
      </w:r>
      <w:r>
        <w:rPr>
          <w:rStyle w:val="41"/>
          <w:rFonts w:ascii="黑体" w:hAnsi="黑体"/>
        </w:rPr>
        <w:t>10. 变更</w:t>
      </w:r>
      <w:r>
        <w:tab/>
      </w:r>
      <w:r>
        <w:fldChar w:fldCharType="begin"/>
      </w:r>
      <w:r>
        <w:instrText xml:space="preserve"> PAGEREF _Toc114222811 \h </w:instrText>
      </w:r>
      <w:r>
        <w:fldChar w:fldCharType="separate"/>
      </w:r>
      <w:r>
        <w:t>123</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"_Toc114222812" </w:instrText>
      </w:r>
      <w:r>
        <w:fldChar w:fldCharType="separate"/>
      </w:r>
      <w:r>
        <w:rPr>
          <w:rStyle w:val="41"/>
          <w:rFonts w:ascii="黑体" w:hAnsi="黑体"/>
        </w:rPr>
        <w:t>11. 价格调整</w:t>
      </w:r>
      <w:r>
        <w:tab/>
      </w:r>
      <w:r>
        <w:fldChar w:fldCharType="begin"/>
      </w:r>
      <w:r>
        <w:instrText xml:space="preserve"> PAGEREF _Toc114222812 \h </w:instrText>
      </w:r>
      <w:r>
        <w:fldChar w:fldCharType="separate"/>
      </w:r>
      <w:r>
        <w:t>127</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"_Toc114222813" </w:instrText>
      </w:r>
      <w:r>
        <w:fldChar w:fldCharType="separate"/>
      </w:r>
      <w:r>
        <w:rPr>
          <w:rStyle w:val="41"/>
          <w:rFonts w:ascii="黑体" w:hAnsi="黑体"/>
        </w:rPr>
        <w:t>12. 合同价格、计量与支付</w:t>
      </w:r>
      <w:r>
        <w:tab/>
      </w:r>
      <w:r>
        <w:fldChar w:fldCharType="begin"/>
      </w:r>
      <w:r>
        <w:instrText xml:space="preserve"> PAGEREF _Toc114222813 \h </w:instrText>
      </w:r>
      <w:r>
        <w:fldChar w:fldCharType="separate"/>
      </w:r>
      <w:r>
        <w:t>129</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"_Toc114222814" </w:instrText>
      </w:r>
      <w:r>
        <w:fldChar w:fldCharType="separate"/>
      </w:r>
      <w:r>
        <w:rPr>
          <w:rStyle w:val="41"/>
          <w:rFonts w:ascii="黑体" w:hAnsi="黑体"/>
        </w:rPr>
        <w:t>13. 验收和工程试车</w:t>
      </w:r>
      <w:r>
        <w:tab/>
      </w:r>
      <w:r>
        <w:fldChar w:fldCharType="begin"/>
      </w:r>
      <w:r>
        <w:instrText xml:space="preserve"> PAGEREF _Toc114222814 \h </w:instrText>
      </w:r>
      <w:r>
        <w:fldChar w:fldCharType="separate"/>
      </w:r>
      <w:r>
        <w:t>133</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"_Toc114222815" </w:instrText>
      </w:r>
      <w:r>
        <w:fldChar w:fldCharType="separate"/>
      </w:r>
      <w:r>
        <w:rPr>
          <w:rStyle w:val="41"/>
          <w:rFonts w:ascii="黑体" w:hAnsi="黑体"/>
        </w:rPr>
        <w:t>14. 竣工结算</w:t>
      </w:r>
      <w:r>
        <w:tab/>
      </w:r>
      <w:r>
        <w:fldChar w:fldCharType="begin"/>
      </w:r>
      <w:r>
        <w:instrText xml:space="preserve"> PAGEREF _Toc114222815 \h </w:instrText>
      </w:r>
      <w:r>
        <w:fldChar w:fldCharType="separate"/>
      </w:r>
      <w:r>
        <w:t>137</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"_Toc114222816" </w:instrText>
      </w:r>
      <w:r>
        <w:fldChar w:fldCharType="separate"/>
      </w:r>
      <w:r>
        <w:rPr>
          <w:rStyle w:val="41"/>
          <w:rFonts w:ascii="黑体" w:hAnsi="黑体"/>
        </w:rPr>
        <w:t>15. 缺陷责任与保修</w:t>
      </w:r>
      <w:r>
        <w:tab/>
      </w:r>
      <w:r>
        <w:fldChar w:fldCharType="begin"/>
      </w:r>
      <w:r>
        <w:instrText xml:space="preserve"> PAGEREF _Toc114222816 \h </w:instrText>
      </w:r>
      <w:r>
        <w:fldChar w:fldCharType="separate"/>
      </w:r>
      <w:r>
        <w:t>139</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"_Toc114222817" </w:instrText>
      </w:r>
      <w:r>
        <w:fldChar w:fldCharType="separate"/>
      </w:r>
      <w:r>
        <w:rPr>
          <w:rStyle w:val="41"/>
          <w:rFonts w:ascii="黑体" w:hAnsi="黑体"/>
        </w:rPr>
        <w:t>16. 违约</w:t>
      </w:r>
      <w:r>
        <w:tab/>
      </w:r>
      <w:r>
        <w:fldChar w:fldCharType="begin"/>
      </w:r>
      <w:r>
        <w:instrText xml:space="preserve"> PAGEREF _Toc114222817 \h </w:instrText>
      </w:r>
      <w:r>
        <w:fldChar w:fldCharType="separate"/>
      </w:r>
      <w:r>
        <w:t>141</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"_Toc114222818" </w:instrText>
      </w:r>
      <w:r>
        <w:fldChar w:fldCharType="separate"/>
      </w:r>
      <w:r>
        <w:rPr>
          <w:rStyle w:val="41"/>
          <w:rFonts w:ascii="黑体" w:hAnsi="黑体"/>
        </w:rPr>
        <w:t>17. 不可抗力</w:t>
      </w:r>
      <w:r>
        <w:tab/>
      </w:r>
      <w:r>
        <w:fldChar w:fldCharType="begin"/>
      </w:r>
      <w:r>
        <w:instrText xml:space="preserve"> PAGEREF _Toc114222818 \h </w:instrText>
      </w:r>
      <w:r>
        <w:fldChar w:fldCharType="separate"/>
      </w:r>
      <w:r>
        <w:t>144</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"_Toc114222819" </w:instrText>
      </w:r>
      <w:r>
        <w:fldChar w:fldCharType="separate"/>
      </w:r>
      <w:r>
        <w:rPr>
          <w:rStyle w:val="41"/>
          <w:rFonts w:ascii="黑体" w:hAnsi="黑体"/>
        </w:rPr>
        <w:t>18. 保险</w:t>
      </w:r>
      <w:r>
        <w:tab/>
      </w:r>
      <w:r>
        <w:fldChar w:fldCharType="begin"/>
      </w:r>
      <w:r>
        <w:instrText xml:space="preserve"> PAGEREF _Toc114222819 \h </w:instrText>
      </w:r>
      <w:r>
        <w:fldChar w:fldCharType="separate"/>
      </w:r>
      <w:r>
        <w:t>146</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"_Toc114222820" </w:instrText>
      </w:r>
      <w:r>
        <w:fldChar w:fldCharType="separate"/>
      </w:r>
      <w:r>
        <w:rPr>
          <w:rStyle w:val="41"/>
          <w:rFonts w:ascii="黑体" w:hAnsi="黑体"/>
        </w:rPr>
        <w:t>19. 索赔</w:t>
      </w:r>
      <w:r>
        <w:tab/>
      </w:r>
      <w:r>
        <w:fldChar w:fldCharType="begin"/>
      </w:r>
      <w:r>
        <w:instrText xml:space="preserve"> PAGEREF _Toc114222820 \h </w:instrText>
      </w:r>
      <w:r>
        <w:fldChar w:fldCharType="separate"/>
      </w:r>
      <w:r>
        <w:t>147</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"_Toc114222821" </w:instrText>
      </w:r>
      <w:r>
        <w:fldChar w:fldCharType="separate"/>
      </w:r>
      <w:r>
        <w:rPr>
          <w:rStyle w:val="41"/>
          <w:rFonts w:ascii="黑体" w:hAnsi="黑体"/>
        </w:rPr>
        <w:t>20. 争议解决</w:t>
      </w:r>
      <w:r>
        <w:tab/>
      </w:r>
      <w:r>
        <w:fldChar w:fldCharType="begin"/>
      </w:r>
      <w:r>
        <w:instrText xml:space="preserve"> PAGEREF _Toc114222821 \h </w:instrText>
      </w:r>
      <w:r>
        <w:fldChar w:fldCharType="separate"/>
      </w:r>
      <w:r>
        <w:t>148</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"_Toc114222822" </w:instrText>
      </w:r>
      <w:r>
        <w:fldChar w:fldCharType="separate"/>
      </w:r>
      <w:r>
        <w:rPr>
          <w:rStyle w:val="41"/>
          <w:rFonts w:ascii="黑体" w:hAnsi="宋体" w:eastAsia="黑体"/>
          <w:bCs/>
        </w:rPr>
        <w:t>第三节  专用合同条款（需增加登记表给招标人或招标代理填写）</w:t>
      </w:r>
      <w:r>
        <w:tab/>
      </w:r>
      <w:r>
        <w:fldChar w:fldCharType="begin"/>
      </w:r>
      <w:r>
        <w:instrText xml:space="preserve"> PAGEREF _Toc114222822 \h </w:instrText>
      </w:r>
      <w:r>
        <w:fldChar w:fldCharType="separate"/>
      </w:r>
      <w:r>
        <w:t>150</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"_Toc114222823" </w:instrText>
      </w:r>
      <w:r>
        <w:fldChar w:fldCharType="separate"/>
      </w:r>
      <w:r>
        <w:rPr>
          <w:rStyle w:val="41"/>
          <w:rFonts w:ascii="黑体" w:hAnsi="黑体"/>
        </w:rPr>
        <w:t>1. 一般约定</w:t>
      </w:r>
      <w:r>
        <w:tab/>
      </w:r>
      <w:r>
        <w:fldChar w:fldCharType="begin"/>
      </w:r>
      <w:r>
        <w:instrText xml:space="preserve"> PAGEREF _Toc114222823 \h </w:instrText>
      </w:r>
      <w:r>
        <w:fldChar w:fldCharType="separate"/>
      </w:r>
      <w:r>
        <w:t>150</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"_Toc114222824" </w:instrText>
      </w:r>
      <w:r>
        <w:fldChar w:fldCharType="separate"/>
      </w:r>
      <w:r>
        <w:rPr>
          <w:rStyle w:val="41"/>
          <w:rFonts w:ascii="黑体" w:hAnsi="黑体"/>
        </w:rPr>
        <w:t>2. 发包人</w:t>
      </w:r>
      <w:r>
        <w:tab/>
      </w:r>
      <w:r>
        <w:fldChar w:fldCharType="begin"/>
      </w:r>
      <w:r>
        <w:instrText xml:space="preserve"> PAGEREF _Toc114222824 \h </w:instrText>
      </w:r>
      <w:r>
        <w:fldChar w:fldCharType="separate"/>
      </w:r>
      <w:r>
        <w:t>152</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"_Toc114222825" </w:instrText>
      </w:r>
      <w:r>
        <w:fldChar w:fldCharType="separate"/>
      </w:r>
      <w:r>
        <w:rPr>
          <w:rStyle w:val="41"/>
          <w:rFonts w:ascii="黑体" w:hAnsi="黑体"/>
        </w:rPr>
        <w:t>3. 承包人</w:t>
      </w:r>
      <w:r>
        <w:tab/>
      </w:r>
      <w:r>
        <w:fldChar w:fldCharType="begin"/>
      </w:r>
      <w:r>
        <w:instrText xml:space="preserve"> PAGEREF _Toc114222825 \h </w:instrText>
      </w:r>
      <w:r>
        <w:fldChar w:fldCharType="separate"/>
      </w:r>
      <w:r>
        <w:t>153</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"_Toc114222826" </w:instrText>
      </w:r>
      <w:r>
        <w:fldChar w:fldCharType="separate"/>
      </w:r>
      <w:r>
        <w:rPr>
          <w:rStyle w:val="41"/>
          <w:rFonts w:ascii="黑体" w:hAnsi="黑体"/>
        </w:rPr>
        <w:t>4. 监理人</w:t>
      </w:r>
      <w:r>
        <w:tab/>
      </w:r>
      <w:r>
        <w:fldChar w:fldCharType="begin"/>
      </w:r>
      <w:r>
        <w:instrText xml:space="preserve"> PAGEREF _Toc114222826 \h </w:instrText>
      </w:r>
      <w:r>
        <w:fldChar w:fldCharType="separate"/>
      </w:r>
      <w:r>
        <w:t>155</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"_Toc114222827" </w:instrText>
      </w:r>
      <w:r>
        <w:fldChar w:fldCharType="separate"/>
      </w:r>
      <w:r>
        <w:rPr>
          <w:rStyle w:val="41"/>
          <w:rFonts w:ascii="黑体" w:hAnsi="黑体"/>
        </w:rPr>
        <w:t>5. 工程质量</w:t>
      </w:r>
      <w:r>
        <w:tab/>
      </w:r>
      <w:r>
        <w:fldChar w:fldCharType="begin"/>
      </w:r>
      <w:r>
        <w:instrText xml:space="preserve"> PAGEREF _Toc114222827 \h </w:instrText>
      </w:r>
      <w:r>
        <w:fldChar w:fldCharType="separate"/>
      </w:r>
      <w:r>
        <w:t>156</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"_Toc114222828" </w:instrText>
      </w:r>
      <w:r>
        <w:fldChar w:fldCharType="separate"/>
      </w:r>
      <w:r>
        <w:rPr>
          <w:rStyle w:val="41"/>
          <w:rFonts w:ascii="黑体" w:hAnsi="黑体"/>
        </w:rPr>
        <w:t>6. 安全文明施工与环境保护</w:t>
      </w:r>
      <w:r>
        <w:tab/>
      </w:r>
      <w:r>
        <w:fldChar w:fldCharType="begin"/>
      </w:r>
      <w:r>
        <w:instrText xml:space="preserve"> PAGEREF _Toc114222828 \h </w:instrText>
      </w:r>
      <w:r>
        <w:fldChar w:fldCharType="separate"/>
      </w:r>
      <w:r>
        <w:t>156</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"_Toc114222829" </w:instrText>
      </w:r>
      <w:r>
        <w:fldChar w:fldCharType="separate"/>
      </w:r>
      <w:r>
        <w:rPr>
          <w:rStyle w:val="41"/>
          <w:rFonts w:ascii="黑体" w:hAnsi="黑体"/>
        </w:rPr>
        <w:t>7. 工期和进度</w:t>
      </w:r>
      <w:r>
        <w:tab/>
      </w:r>
      <w:r>
        <w:fldChar w:fldCharType="begin"/>
      </w:r>
      <w:r>
        <w:instrText xml:space="preserve"> PAGEREF _Toc114222829 \h </w:instrText>
      </w:r>
      <w:r>
        <w:fldChar w:fldCharType="separate"/>
      </w:r>
      <w:r>
        <w:t>157</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"_Toc114222830" </w:instrText>
      </w:r>
      <w:r>
        <w:fldChar w:fldCharType="separate"/>
      </w:r>
      <w:r>
        <w:rPr>
          <w:rStyle w:val="41"/>
          <w:rFonts w:ascii="黑体" w:hAnsi="黑体"/>
        </w:rPr>
        <w:t>8. 材料与设备</w:t>
      </w:r>
      <w:r>
        <w:tab/>
      </w:r>
      <w:r>
        <w:fldChar w:fldCharType="begin"/>
      </w:r>
      <w:r>
        <w:instrText xml:space="preserve"> PAGEREF _Toc114222830 \h </w:instrText>
      </w:r>
      <w:r>
        <w:fldChar w:fldCharType="separate"/>
      </w:r>
      <w:r>
        <w:t>158</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"_Toc114222831" </w:instrText>
      </w:r>
      <w:r>
        <w:fldChar w:fldCharType="separate"/>
      </w:r>
      <w:r>
        <w:rPr>
          <w:rStyle w:val="41"/>
          <w:rFonts w:ascii="黑体" w:hAnsi="黑体"/>
        </w:rPr>
        <w:t>9. 试验与检验</w:t>
      </w:r>
      <w:r>
        <w:tab/>
      </w:r>
      <w:r>
        <w:fldChar w:fldCharType="begin"/>
      </w:r>
      <w:r>
        <w:instrText xml:space="preserve"> PAGEREF _Toc114222831 \h </w:instrText>
      </w:r>
      <w:r>
        <w:fldChar w:fldCharType="separate"/>
      </w:r>
      <w:r>
        <w:t>158</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"_Toc114222832" </w:instrText>
      </w:r>
      <w:r>
        <w:fldChar w:fldCharType="separate"/>
      </w:r>
      <w:r>
        <w:rPr>
          <w:rStyle w:val="41"/>
          <w:rFonts w:ascii="黑体" w:hAnsi="黑体"/>
        </w:rPr>
        <w:t>10. 变更</w:t>
      </w:r>
      <w:r>
        <w:tab/>
      </w:r>
      <w:r>
        <w:fldChar w:fldCharType="begin"/>
      </w:r>
      <w:r>
        <w:instrText xml:space="preserve"> PAGEREF _Toc114222832 \h </w:instrText>
      </w:r>
      <w:r>
        <w:fldChar w:fldCharType="separate"/>
      </w:r>
      <w:r>
        <w:t>159</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"_Toc114222833" </w:instrText>
      </w:r>
      <w:r>
        <w:fldChar w:fldCharType="separate"/>
      </w:r>
      <w:r>
        <w:rPr>
          <w:rStyle w:val="41"/>
          <w:rFonts w:ascii="黑体" w:hAnsi="黑体"/>
        </w:rPr>
        <w:t>11. 价格调整</w:t>
      </w:r>
      <w:r>
        <w:tab/>
      </w:r>
      <w:r>
        <w:fldChar w:fldCharType="begin"/>
      </w:r>
      <w:r>
        <w:instrText xml:space="preserve"> PAGEREF _Toc114222833 \h </w:instrText>
      </w:r>
      <w:r>
        <w:fldChar w:fldCharType="separate"/>
      </w:r>
      <w:r>
        <w:t>160</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"_Toc114222834" </w:instrText>
      </w:r>
      <w:r>
        <w:fldChar w:fldCharType="separate"/>
      </w:r>
      <w:r>
        <w:rPr>
          <w:rStyle w:val="41"/>
          <w:rFonts w:ascii="黑体" w:hAnsi="黑体"/>
        </w:rPr>
        <w:t>12. 合同价格、计量与支付</w:t>
      </w:r>
      <w:r>
        <w:tab/>
      </w:r>
      <w:r>
        <w:fldChar w:fldCharType="begin"/>
      </w:r>
      <w:r>
        <w:instrText xml:space="preserve"> PAGEREF _Toc114222834 \h </w:instrText>
      </w:r>
      <w:r>
        <w:fldChar w:fldCharType="separate"/>
      </w:r>
      <w:r>
        <w:t>161</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"_Toc114222835" </w:instrText>
      </w:r>
      <w:r>
        <w:fldChar w:fldCharType="separate"/>
      </w:r>
      <w:r>
        <w:rPr>
          <w:rStyle w:val="41"/>
          <w:rFonts w:ascii="黑体" w:hAnsi="黑体"/>
        </w:rPr>
        <w:t>13. 验收和工程试车</w:t>
      </w:r>
      <w:r>
        <w:tab/>
      </w:r>
      <w:r>
        <w:fldChar w:fldCharType="begin"/>
      </w:r>
      <w:r>
        <w:instrText xml:space="preserve"> PAGEREF _Toc114222835 \h </w:instrText>
      </w:r>
      <w:r>
        <w:fldChar w:fldCharType="separate"/>
      </w:r>
      <w:r>
        <w:t>163</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"_Toc114222836" </w:instrText>
      </w:r>
      <w:r>
        <w:fldChar w:fldCharType="separate"/>
      </w:r>
      <w:r>
        <w:rPr>
          <w:rStyle w:val="41"/>
          <w:rFonts w:ascii="黑体" w:hAnsi="黑体"/>
        </w:rPr>
        <w:t>14. 竣工结算</w:t>
      </w:r>
      <w:r>
        <w:tab/>
      </w:r>
      <w:r>
        <w:fldChar w:fldCharType="begin"/>
      </w:r>
      <w:r>
        <w:instrText xml:space="preserve"> PAGEREF _Toc114222836 \h </w:instrText>
      </w:r>
      <w:r>
        <w:fldChar w:fldCharType="separate"/>
      </w:r>
      <w:r>
        <w:t>164</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"_Toc114222837" </w:instrText>
      </w:r>
      <w:r>
        <w:fldChar w:fldCharType="separate"/>
      </w:r>
      <w:r>
        <w:rPr>
          <w:rStyle w:val="41"/>
          <w:rFonts w:ascii="黑体" w:hAnsi="黑体"/>
        </w:rPr>
        <w:t>15. 缺陷责任期与保修</w:t>
      </w:r>
      <w:r>
        <w:tab/>
      </w:r>
      <w:r>
        <w:fldChar w:fldCharType="begin"/>
      </w:r>
      <w:r>
        <w:instrText xml:space="preserve"> PAGEREF _Toc114222837 \h </w:instrText>
      </w:r>
      <w:r>
        <w:fldChar w:fldCharType="separate"/>
      </w:r>
      <w:r>
        <w:t>164</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"_Toc114222838" </w:instrText>
      </w:r>
      <w:r>
        <w:fldChar w:fldCharType="separate"/>
      </w:r>
      <w:r>
        <w:rPr>
          <w:rStyle w:val="41"/>
          <w:rFonts w:ascii="黑体" w:hAnsi="黑体"/>
        </w:rPr>
        <w:t>16. 违约</w:t>
      </w:r>
      <w:r>
        <w:tab/>
      </w:r>
      <w:r>
        <w:fldChar w:fldCharType="begin"/>
      </w:r>
      <w:r>
        <w:instrText xml:space="preserve"> PAGEREF _Toc114222838 \h </w:instrText>
      </w:r>
      <w:r>
        <w:fldChar w:fldCharType="separate"/>
      </w:r>
      <w:r>
        <w:t>165</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"_Toc114222839" </w:instrText>
      </w:r>
      <w:r>
        <w:fldChar w:fldCharType="separate"/>
      </w:r>
      <w:r>
        <w:rPr>
          <w:rStyle w:val="41"/>
          <w:rFonts w:ascii="黑体" w:hAnsi="黑体"/>
        </w:rPr>
        <w:t>17.不可抗力</w:t>
      </w:r>
      <w:r>
        <w:tab/>
      </w:r>
      <w:r>
        <w:fldChar w:fldCharType="begin"/>
      </w:r>
      <w:r>
        <w:instrText xml:space="preserve"> PAGEREF _Toc114222839 \h </w:instrText>
      </w:r>
      <w:r>
        <w:fldChar w:fldCharType="separate"/>
      </w:r>
      <w:r>
        <w:t>167</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"_Toc114222840" </w:instrText>
      </w:r>
      <w:r>
        <w:fldChar w:fldCharType="separate"/>
      </w:r>
      <w:r>
        <w:rPr>
          <w:rStyle w:val="41"/>
          <w:rFonts w:ascii="黑体" w:hAnsi="黑体"/>
        </w:rPr>
        <w:t>18.保险</w:t>
      </w:r>
      <w:r>
        <w:tab/>
      </w:r>
      <w:r>
        <w:fldChar w:fldCharType="begin"/>
      </w:r>
      <w:r>
        <w:instrText xml:space="preserve"> PAGEREF _Toc114222840 \h </w:instrText>
      </w:r>
      <w:r>
        <w:fldChar w:fldCharType="separate"/>
      </w:r>
      <w:r>
        <w:t>167</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"_Toc114222841" </w:instrText>
      </w:r>
      <w:r>
        <w:fldChar w:fldCharType="separate"/>
      </w:r>
      <w:r>
        <w:rPr>
          <w:rStyle w:val="41"/>
          <w:rFonts w:ascii="黑体" w:hAnsi="黑体"/>
        </w:rPr>
        <w:t>20. 争议解决</w:t>
      </w:r>
      <w:r>
        <w:tab/>
      </w:r>
      <w:r>
        <w:fldChar w:fldCharType="begin"/>
      </w:r>
      <w:r>
        <w:instrText xml:space="preserve"> PAGEREF _Toc114222841 \h </w:instrText>
      </w:r>
      <w:r>
        <w:fldChar w:fldCharType="separate"/>
      </w:r>
      <w:r>
        <w:t>167</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"_Toc114222842" </w:instrText>
      </w:r>
      <w:r>
        <w:fldChar w:fldCharType="separate"/>
      </w:r>
      <w:r>
        <w:rPr>
          <w:rStyle w:val="41"/>
          <w:rFonts w:ascii="黑体" w:hAnsi="宋体" w:eastAsia="黑体"/>
        </w:rPr>
        <w:t>第四节  合同附件格式</w:t>
      </w:r>
      <w:r>
        <w:tab/>
      </w:r>
      <w:r>
        <w:fldChar w:fldCharType="begin"/>
      </w:r>
      <w:r>
        <w:instrText xml:space="preserve"> PAGEREF _Toc114222842 \h </w:instrText>
      </w:r>
      <w:r>
        <w:fldChar w:fldCharType="separate"/>
      </w:r>
      <w:r>
        <w:t>169</w:t>
      </w:r>
      <w:r>
        <w:fldChar w:fldCharType="end"/>
      </w:r>
      <w:r>
        <w:fldChar w:fldCharType="end"/>
      </w:r>
    </w:p>
    <w:p>
      <w:pPr>
        <w:pStyle w:val="31"/>
        <w:tabs>
          <w:tab w:val="right" w:leader="dot" w:pos="8494"/>
        </w:tabs>
        <w:rPr>
          <w:rFonts w:asciiTheme="minorHAnsi" w:hAnsiTheme="minorHAnsi" w:eastAsiaTheme="minorEastAsia" w:cstheme="minorBidi"/>
          <w:szCs w:val="22"/>
        </w:rPr>
      </w:pPr>
      <w:r>
        <w:fldChar w:fldCharType="begin"/>
      </w:r>
      <w:r>
        <w:instrText xml:space="preserve"> HYPERLINK \l "_Toc114222843" </w:instrText>
      </w:r>
      <w:r>
        <w:fldChar w:fldCharType="separate"/>
      </w:r>
      <w:r>
        <w:rPr>
          <w:rStyle w:val="41"/>
          <w:rFonts w:ascii="黑体" w:hAnsi="宋体" w:eastAsia="黑体"/>
        </w:rPr>
        <w:t>第五章  工程量清单</w:t>
      </w:r>
      <w:r>
        <w:tab/>
      </w:r>
      <w:r>
        <w:fldChar w:fldCharType="begin"/>
      </w:r>
      <w:r>
        <w:instrText xml:space="preserve"> PAGEREF _Toc114222843 \h </w:instrText>
      </w:r>
      <w:r>
        <w:fldChar w:fldCharType="separate"/>
      </w:r>
      <w:r>
        <w:t>188</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"_Toc114222844" </w:instrText>
      </w:r>
      <w:r>
        <w:fldChar w:fldCharType="separate"/>
      </w:r>
      <w:r>
        <w:rPr>
          <w:rStyle w:val="41"/>
          <w:rFonts w:ascii="黑体" w:hAnsi="宋体" w:eastAsia="黑体"/>
        </w:rPr>
        <w:t>1、工程量清单说明</w:t>
      </w:r>
      <w:r>
        <w:tab/>
      </w:r>
      <w:r>
        <w:fldChar w:fldCharType="begin"/>
      </w:r>
      <w:r>
        <w:instrText xml:space="preserve"> PAGEREF _Toc114222844 \h </w:instrText>
      </w:r>
      <w:r>
        <w:fldChar w:fldCharType="separate"/>
      </w:r>
      <w:r>
        <w:t>188</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"_Toc114222845" </w:instrText>
      </w:r>
      <w:r>
        <w:fldChar w:fldCharType="separate"/>
      </w:r>
      <w:r>
        <w:rPr>
          <w:rStyle w:val="41"/>
          <w:rFonts w:ascii="黑体" w:hAnsi="宋体" w:eastAsia="黑体"/>
        </w:rPr>
        <w:t>2、投标报价说明</w:t>
      </w:r>
      <w:r>
        <w:tab/>
      </w:r>
      <w:r>
        <w:fldChar w:fldCharType="begin"/>
      </w:r>
      <w:r>
        <w:instrText xml:space="preserve"> PAGEREF _Toc114222845 \h </w:instrText>
      </w:r>
      <w:r>
        <w:fldChar w:fldCharType="separate"/>
      </w:r>
      <w:r>
        <w:t>188</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"_Toc114222846" </w:instrText>
      </w:r>
      <w:r>
        <w:fldChar w:fldCharType="separate"/>
      </w:r>
      <w:r>
        <w:rPr>
          <w:rStyle w:val="41"/>
          <w:rFonts w:ascii="黑体" w:eastAsia="黑体"/>
        </w:rPr>
        <w:t>3、其他说明</w:t>
      </w:r>
      <w:r>
        <w:tab/>
      </w:r>
      <w:r>
        <w:fldChar w:fldCharType="begin"/>
      </w:r>
      <w:r>
        <w:instrText xml:space="preserve"> PAGEREF _Toc114222846 \h </w:instrText>
      </w:r>
      <w:r>
        <w:fldChar w:fldCharType="separate"/>
      </w:r>
      <w:r>
        <w:t>191</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"_Toc114222847" </w:instrText>
      </w:r>
      <w:r>
        <w:fldChar w:fldCharType="separate"/>
      </w:r>
      <w:r>
        <w:rPr>
          <w:rStyle w:val="41"/>
          <w:rFonts w:ascii="黑体" w:hAnsi="宋体" w:eastAsia="黑体"/>
        </w:rPr>
        <w:t>4、工程计价文件</w:t>
      </w:r>
      <w:r>
        <w:tab/>
      </w:r>
      <w:r>
        <w:fldChar w:fldCharType="begin"/>
      </w:r>
      <w:r>
        <w:instrText xml:space="preserve"> PAGEREF _Toc114222847 \h </w:instrText>
      </w:r>
      <w:r>
        <w:fldChar w:fldCharType="separate"/>
      </w:r>
      <w:r>
        <w:t>194</w:t>
      </w:r>
      <w:r>
        <w:fldChar w:fldCharType="end"/>
      </w:r>
      <w:r>
        <w:fldChar w:fldCharType="end"/>
      </w:r>
    </w:p>
    <w:p>
      <w:pPr>
        <w:pStyle w:val="26"/>
        <w:rPr>
          <w:rFonts w:asciiTheme="minorHAnsi" w:hAnsiTheme="minorHAnsi" w:eastAsiaTheme="minorEastAsia" w:cstheme="minorBidi"/>
          <w:sz w:val="21"/>
          <w:szCs w:val="22"/>
        </w:rPr>
      </w:pPr>
      <w:r>
        <w:fldChar w:fldCharType="begin"/>
      </w:r>
      <w:r>
        <w:instrText xml:space="preserve"> HYPERLINK \l "_Toc114222848" </w:instrText>
      </w:r>
      <w:r>
        <w:fldChar w:fldCharType="separate"/>
      </w:r>
      <w:r>
        <w:rPr>
          <w:rStyle w:val="41"/>
          <w:rFonts w:ascii="黑体" w:eastAsia="黑体"/>
        </w:rPr>
        <w:t>第二卷</w:t>
      </w:r>
      <w:r>
        <w:tab/>
      </w:r>
      <w:r>
        <w:fldChar w:fldCharType="begin"/>
      </w:r>
      <w:r>
        <w:instrText xml:space="preserve"> PAGEREF _Toc114222848 \h </w:instrText>
      </w:r>
      <w:r>
        <w:fldChar w:fldCharType="separate"/>
      </w:r>
      <w:r>
        <w:t>217</w:t>
      </w:r>
      <w:r>
        <w:fldChar w:fldCharType="end"/>
      </w:r>
      <w:r>
        <w:fldChar w:fldCharType="end"/>
      </w:r>
    </w:p>
    <w:p>
      <w:pPr>
        <w:pStyle w:val="31"/>
        <w:tabs>
          <w:tab w:val="right" w:leader="dot" w:pos="8494"/>
        </w:tabs>
        <w:rPr>
          <w:rFonts w:asciiTheme="minorHAnsi" w:hAnsiTheme="minorHAnsi" w:eastAsiaTheme="minorEastAsia" w:cstheme="minorBidi"/>
          <w:szCs w:val="22"/>
        </w:rPr>
      </w:pPr>
      <w:r>
        <w:fldChar w:fldCharType="begin"/>
      </w:r>
      <w:r>
        <w:instrText xml:space="preserve"> HYPERLINK \l "_Toc114222849" </w:instrText>
      </w:r>
      <w:r>
        <w:fldChar w:fldCharType="separate"/>
      </w:r>
      <w:r>
        <w:rPr>
          <w:rStyle w:val="41"/>
          <w:rFonts w:ascii="黑体" w:eastAsia="黑体"/>
        </w:rPr>
        <w:t>第六章  图  纸</w:t>
      </w:r>
      <w:r>
        <w:tab/>
      </w:r>
      <w:r>
        <w:fldChar w:fldCharType="begin"/>
      </w:r>
      <w:r>
        <w:instrText xml:space="preserve"> PAGEREF _Toc114222849 \h </w:instrText>
      </w:r>
      <w:r>
        <w:fldChar w:fldCharType="separate"/>
      </w:r>
      <w:r>
        <w:t>218</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"_Toc114222850" </w:instrText>
      </w:r>
      <w:r>
        <w:fldChar w:fldCharType="separate"/>
      </w:r>
      <w:r>
        <w:rPr>
          <w:rStyle w:val="41"/>
          <w:rFonts w:ascii="黑体" w:hAnsi="宋体" w:eastAsia="黑体"/>
        </w:rPr>
        <w:t>1．图纸目录</w:t>
      </w:r>
      <w:r>
        <w:tab/>
      </w:r>
      <w:r>
        <w:fldChar w:fldCharType="begin"/>
      </w:r>
      <w:r>
        <w:instrText xml:space="preserve"> PAGEREF _Toc114222850 \h </w:instrText>
      </w:r>
      <w:r>
        <w:fldChar w:fldCharType="separate"/>
      </w:r>
      <w:r>
        <w:t>219</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"_Toc114222851" </w:instrText>
      </w:r>
      <w:r>
        <w:fldChar w:fldCharType="separate"/>
      </w:r>
      <w:r>
        <w:rPr>
          <w:rStyle w:val="41"/>
          <w:rFonts w:ascii="黑体" w:eastAsia="黑体"/>
        </w:rPr>
        <w:t>2．图  纸</w:t>
      </w:r>
      <w:r>
        <w:tab/>
      </w:r>
      <w:r>
        <w:fldChar w:fldCharType="begin"/>
      </w:r>
      <w:r>
        <w:instrText xml:space="preserve"> PAGEREF _Toc114222851 \h </w:instrText>
      </w:r>
      <w:r>
        <w:fldChar w:fldCharType="separate"/>
      </w:r>
      <w:r>
        <w:t>220</w:t>
      </w:r>
      <w:r>
        <w:fldChar w:fldCharType="end"/>
      </w:r>
      <w:r>
        <w:fldChar w:fldCharType="end"/>
      </w:r>
    </w:p>
    <w:p>
      <w:pPr>
        <w:pStyle w:val="26"/>
        <w:rPr>
          <w:rFonts w:asciiTheme="minorHAnsi" w:hAnsiTheme="minorHAnsi" w:eastAsiaTheme="minorEastAsia" w:cstheme="minorBidi"/>
          <w:sz w:val="21"/>
          <w:szCs w:val="22"/>
        </w:rPr>
      </w:pPr>
      <w:r>
        <w:fldChar w:fldCharType="begin"/>
      </w:r>
      <w:r>
        <w:instrText xml:space="preserve"> HYPERLINK \l "_Toc114222852" </w:instrText>
      </w:r>
      <w:r>
        <w:fldChar w:fldCharType="separate"/>
      </w:r>
      <w:r>
        <w:rPr>
          <w:rStyle w:val="41"/>
          <w:rFonts w:ascii="黑体" w:eastAsia="黑体"/>
        </w:rPr>
        <w:t>第三卷</w:t>
      </w:r>
      <w:r>
        <w:tab/>
      </w:r>
      <w:r>
        <w:fldChar w:fldCharType="begin"/>
      </w:r>
      <w:r>
        <w:instrText xml:space="preserve"> PAGEREF _Toc114222852 \h </w:instrText>
      </w:r>
      <w:r>
        <w:fldChar w:fldCharType="separate"/>
      </w:r>
      <w:r>
        <w:t>221</w:t>
      </w:r>
      <w:r>
        <w:fldChar w:fldCharType="end"/>
      </w:r>
      <w:r>
        <w:fldChar w:fldCharType="end"/>
      </w:r>
    </w:p>
    <w:p>
      <w:pPr>
        <w:pStyle w:val="31"/>
        <w:tabs>
          <w:tab w:val="right" w:leader="dot" w:pos="8494"/>
        </w:tabs>
        <w:rPr>
          <w:rFonts w:asciiTheme="minorHAnsi" w:hAnsiTheme="minorHAnsi" w:eastAsiaTheme="minorEastAsia" w:cstheme="minorBidi"/>
          <w:szCs w:val="22"/>
        </w:rPr>
      </w:pPr>
      <w:r>
        <w:fldChar w:fldCharType="begin"/>
      </w:r>
      <w:r>
        <w:instrText xml:space="preserve"> HYPERLINK \l "_Toc114222853" </w:instrText>
      </w:r>
      <w:r>
        <w:fldChar w:fldCharType="separate"/>
      </w:r>
      <w:r>
        <w:rPr>
          <w:rStyle w:val="41"/>
          <w:rFonts w:ascii="黑体" w:eastAsia="黑体"/>
        </w:rPr>
        <w:t>第七章  技术标准和要求</w:t>
      </w:r>
      <w:r>
        <w:tab/>
      </w:r>
      <w:r>
        <w:fldChar w:fldCharType="begin"/>
      </w:r>
      <w:r>
        <w:instrText xml:space="preserve"> PAGEREF _Toc114222853 \h </w:instrText>
      </w:r>
      <w:r>
        <w:fldChar w:fldCharType="separate"/>
      </w:r>
      <w:r>
        <w:t>223</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"_Toc114222854" </w:instrText>
      </w:r>
      <w:r>
        <w:fldChar w:fldCharType="separate"/>
      </w:r>
      <w:r>
        <w:rPr>
          <w:rStyle w:val="41"/>
          <w:rFonts w:ascii="黑体" w:eastAsia="黑体"/>
        </w:rPr>
        <w:t>第一节 一般要求</w:t>
      </w:r>
      <w:r>
        <w:tab/>
      </w:r>
      <w:r>
        <w:fldChar w:fldCharType="begin"/>
      </w:r>
      <w:r>
        <w:instrText xml:space="preserve"> PAGEREF _Toc114222854 \h </w:instrText>
      </w:r>
      <w:r>
        <w:fldChar w:fldCharType="separate"/>
      </w:r>
      <w:r>
        <w:t>223</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"_Toc114222855" </w:instrText>
      </w:r>
      <w:r>
        <w:fldChar w:fldCharType="separate"/>
      </w:r>
      <w:r>
        <w:rPr>
          <w:rStyle w:val="41"/>
          <w:rFonts w:ascii="黑体" w:hAnsi="宋体" w:eastAsia="黑体"/>
        </w:rPr>
        <w:t>1.工程说明</w:t>
      </w:r>
      <w:r>
        <w:tab/>
      </w:r>
      <w:r>
        <w:fldChar w:fldCharType="begin"/>
      </w:r>
      <w:r>
        <w:instrText xml:space="preserve"> PAGEREF _Toc114222855 \h </w:instrText>
      </w:r>
      <w:r>
        <w:fldChar w:fldCharType="separate"/>
      </w:r>
      <w:r>
        <w:t>223</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"_Toc114222856" </w:instrText>
      </w:r>
      <w:r>
        <w:fldChar w:fldCharType="separate"/>
      </w:r>
      <w:r>
        <w:rPr>
          <w:rStyle w:val="41"/>
          <w:rFonts w:ascii="黑体" w:hAnsi="宋体" w:eastAsia="黑体"/>
        </w:rPr>
        <w:t>2.承包范围</w:t>
      </w:r>
      <w:r>
        <w:tab/>
      </w:r>
      <w:r>
        <w:fldChar w:fldCharType="begin"/>
      </w:r>
      <w:r>
        <w:instrText xml:space="preserve"> PAGEREF _Toc114222856 \h </w:instrText>
      </w:r>
      <w:r>
        <w:fldChar w:fldCharType="separate"/>
      </w:r>
      <w:r>
        <w:t>224</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"_Toc114222857" </w:instrText>
      </w:r>
      <w:r>
        <w:fldChar w:fldCharType="separate"/>
      </w:r>
      <w:r>
        <w:rPr>
          <w:rStyle w:val="41"/>
          <w:rFonts w:ascii="黑体" w:hAnsi="宋体" w:eastAsia="黑体"/>
        </w:rPr>
        <w:t>3.工期要求</w:t>
      </w:r>
      <w:r>
        <w:tab/>
      </w:r>
      <w:r>
        <w:fldChar w:fldCharType="begin"/>
      </w:r>
      <w:r>
        <w:instrText xml:space="preserve"> PAGEREF _Toc114222857 \h </w:instrText>
      </w:r>
      <w:r>
        <w:fldChar w:fldCharType="separate"/>
      </w:r>
      <w:r>
        <w:t>225</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"_Toc114222858" </w:instrText>
      </w:r>
      <w:r>
        <w:fldChar w:fldCharType="separate"/>
      </w:r>
      <w:r>
        <w:rPr>
          <w:rStyle w:val="41"/>
          <w:rFonts w:ascii="黑体" w:hAnsi="宋体" w:eastAsia="黑体"/>
        </w:rPr>
        <w:t>4.质量要求</w:t>
      </w:r>
      <w:r>
        <w:tab/>
      </w:r>
      <w:r>
        <w:fldChar w:fldCharType="begin"/>
      </w:r>
      <w:r>
        <w:instrText xml:space="preserve"> PAGEREF _Toc114222858 \h </w:instrText>
      </w:r>
      <w:r>
        <w:fldChar w:fldCharType="separate"/>
      </w:r>
      <w:r>
        <w:t>225</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"_Toc114222859" </w:instrText>
      </w:r>
      <w:r>
        <w:fldChar w:fldCharType="separate"/>
      </w:r>
      <w:r>
        <w:rPr>
          <w:rStyle w:val="41"/>
          <w:rFonts w:ascii="黑体" w:hAnsi="宋体" w:eastAsia="黑体"/>
        </w:rPr>
        <w:t>5.适用规范和标准</w:t>
      </w:r>
      <w:r>
        <w:tab/>
      </w:r>
      <w:r>
        <w:fldChar w:fldCharType="begin"/>
      </w:r>
      <w:r>
        <w:instrText xml:space="preserve"> PAGEREF _Toc114222859 \h </w:instrText>
      </w:r>
      <w:r>
        <w:fldChar w:fldCharType="separate"/>
      </w:r>
      <w:r>
        <w:t>226</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"_Toc114222860" </w:instrText>
      </w:r>
      <w:r>
        <w:fldChar w:fldCharType="separate"/>
      </w:r>
      <w:r>
        <w:rPr>
          <w:rStyle w:val="41"/>
          <w:rFonts w:ascii="黑体" w:hAnsi="宋体" w:eastAsia="黑体"/>
        </w:rPr>
        <w:t>6.安全文明施工</w:t>
      </w:r>
      <w:r>
        <w:tab/>
      </w:r>
      <w:r>
        <w:fldChar w:fldCharType="begin"/>
      </w:r>
      <w:r>
        <w:instrText xml:space="preserve"> PAGEREF _Toc114222860 \h </w:instrText>
      </w:r>
      <w:r>
        <w:fldChar w:fldCharType="separate"/>
      </w:r>
      <w:r>
        <w:t>226</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"_Toc114222861" </w:instrText>
      </w:r>
      <w:r>
        <w:fldChar w:fldCharType="separate"/>
      </w:r>
      <w:r>
        <w:rPr>
          <w:rStyle w:val="41"/>
          <w:rFonts w:ascii="黑体" w:hAnsi="宋体" w:eastAsia="黑体"/>
        </w:rPr>
        <w:t>7.治安保卫</w:t>
      </w:r>
      <w:r>
        <w:tab/>
      </w:r>
      <w:r>
        <w:fldChar w:fldCharType="begin"/>
      </w:r>
      <w:r>
        <w:instrText xml:space="preserve"> PAGEREF _Toc114222861 \h </w:instrText>
      </w:r>
      <w:r>
        <w:fldChar w:fldCharType="separate"/>
      </w:r>
      <w:r>
        <w:t>235</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"_Toc114222862" </w:instrText>
      </w:r>
      <w:r>
        <w:fldChar w:fldCharType="separate"/>
      </w:r>
      <w:r>
        <w:rPr>
          <w:rStyle w:val="41"/>
          <w:rFonts w:ascii="黑体" w:hAnsi="宋体" w:eastAsia="黑体"/>
        </w:rPr>
        <w:t>8.地上、地下设施和周边建筑物的临时保护</w:t>
      </w:r>
      <w:r>
        <w:tab/>
      </w:r>
      <w:r>
        <w:fldChar w:fldCharType="begin"/>
      </w:r>
      <w:r>
        <w:instrText xml:space="preserve"> PAGEREF _Toc114222862 \h </w:instrText>
      </w:r>
      <w:r>
        <w:fldChar w:fldCharType="separate"/>
      </w:r>
      <w:r>
        <w:t>236</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"_Toc114222863" </w:instrText>
      </w:r>
      <w:r>
        <w:fldChar w:fldCharType="separate"/>
      </w:r>
      <w:r>
        <w:rPr>
          <w:rStyle w:val="41"/>
          <w:rFonts w:ascii="黑体" w:hAnsi="宋体" w:eastAsia="黑体"/>
        </w:rPr>
        <w:t>9.样品和材料代换</w:t>
      </w:r>
      <w:r>
        <w:tab/>
      </w:r>
      <w:r>
        <w:fldChar w:fldCharType="begin"/>
      </w:r>
      <w:r>
        <w:instrText xml:space="preserve"> PAGEREF _Toc114222863 \h </w:instrText>
      </w:r>
      <w:r>
        <w:fldChar w:fldCharType="separate"/>
      </w:r>
      <w:r>
        <w:t>236</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"_Toc114222864" </w:instrText>
      </w:r>
      <w:r>
        <w:fldChar w:fldCharType="separate"/>
      </w:r>
      <w:r>
        <w:rPr>
          <w:rStyle w:val="41"/>
          <w:rFonts w:ascii="黑体" w:hAnsi="宋体" w:eastAsia="黑体"/>
        </w:rPr>
        <w:t>10.进口材料和工程设备</w:t>
      </w:r>
      <w:r>
        <w:tab/>
      </w:r>
      <w:r>
        <w:fldChar w:fldCharType="begin"/>
      </w:r>
      <w:r>
        <w:instrText xml:space="preserve"> PAGEREF _Toc114222864 \h </w:instrText>
      </w:r>
      <w:r>
        <w:fldChar w:fldCharType="separate"/>
      </w:r>
      <w:r>
        <w:t>238</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"_Toc114222865" </w:instrText>
      </w:r>
      <w:r>
        <w:fldChar w:fldCharType="separate"/>
      </w:r>
      <w:r>
        <w:rPr>
          <w:rStyle w:val="41"/>
          <w:rFonts w:ascii="黑体" w:hAnsi="宋体" w:eastAsia="黑体"/>
        </w:rPr>
        <w:t>11.进度报告和进度例会</w:t>
      </w:r>
      <w:r>
        <w:tab/>
      </w:r>
      <w:r>
        <w:fldChar w:fldCharType="begin"/>
      </w:r>
      <w:r>
        <w:instrText xml:space="preserve"> PAGEREF _Toc114222865 \h </w:instrText>
      </w:r>
      <w:r>
        <w:fldChar w:fldCharType="separate"/>
      </w:r>
      <w:r>
        <w:t>238</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"_Toc114222866" </w:instrText>
      </w:r>
      <w:r>
        <w:fldChar w:fldCharType="separate"/>
      </w:r>
      <w:r>
        <w:rPr>
          <w:rStyle w:val="41"/>
          <w:rFonts w:ascii="黑体" w:hAnsi="宋体" w:eastAsia="黑体"/>
        </w:rPr>
        <w:t>12.试验和检验</w:t>
      </w:r>
      <w:r>
        <w:tab/>
      </w:r>
      <w:r>
        <w:fldChar w:fldCharType="begin"/>
      </w:r>
      <w:r>
        <w:instrText xml:space="preserve"> PAGEREF _Toc114222866 \h </w:instrText>
      </w:r>
      <w:r>
        <w:fldChar w:fldCharType="separate"/>
      </w:r>
      <w:r>
        <w:t>240</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"_Toc114222867" </w:instrText>
      </w:r>
      <w:r>
        <w:fldChar w:fldCharType="separate"/>
      </w:r>
      <w:r>
        <w:rPr>
          <w:rStyle w:val="41"/>
          <w:rFonts w:ascii="黑体" w:hAnsi="宋体" w:eastAsia="黑体"/>
        </w:rPr>
        <w:t>13.计日工</w:t>
      </w:r>
      <w:r>
        <w:tab/>
      </w:r>
      <w:r>
        <w:fldChar w:fldCharType="begin"/>
      </w:r>
      <w:r>
        <w:instrText xml:space="preserve"> PAGEREF _Toc114222867 \h </w:instrText>
      </w:r>
      <w:r>
        <w:fldChar w:fldCharType="separate"/>
      </w:r>
      <w:r>
        <w:t>240</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"_Toc114222868" </w:instrText>
      </w:r>
      <w:r>
        <w:fldChar w:fldCharType="separate"/>
      </w:r>
      <w:r>
        <w:rPr>
          <w:rStyle w:val="41"/>
          <w:rFonts w:ascii="黑体" w:hAnsi="宋体" w:eastAsia="黑体"/>
        </w:rPr>
        <w:t>14.计量与支付</w:t>
      </w:r>
      <w:r>
        <w:tab/>
      </w:r>
      <w:r>
        <w:fldChar w:fldCharType="begin"/>
      </w:r>
      <w:r>
        <w:instrText xml:space="preserve"> PAGEREF _Toc114222868 \h </w:instrText>
      </w:r>
      <w:r>
        <w:fldChar w:fldCharType="separate"/>
      </w:r>
      <w:r>
        <w:t>241</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"_Toc114222869" </w:instrText>
      </w:r>
      <w:r>
        <w:fldChar w:fldCharType="separate"/>
      </w:r>
      <w:r>
        <w:rPr>
          <w:rStyle w:val="41"/>
          <w:rFonts w:ascii="黑体" w:hAnsi="宋体" w:eastAsia="黑体"/>
        </w:rPr>
        <w:t>15.竣工验收和工程移交</w:t>
      </w:r>
      <w:r>
        <w:tab/>
      </w:r>
      <w:r>
        <w:fldChar w:fldCharType="begin"/>
      </w:r>
      <w:r>
        <w:instrText xml:space="preserve"> PAGEREF _Toc114222869 \h </w:instrText>
      </w:r>
      <w:r>
        <w:fldChar w:fldCharType="separate"/>
      </w:r>
      <w:r>
        <w:t>243</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"_Toc114222870" </w:instrText>
      </w:r>
      <w:r>
        <w:fldChar w:fldCharType="separate"/>
      </w:r>
      <w:r>
        <w:rPr>
          <w:rStyle w:val="41"/>
          <w:rFonts w:ascii="黑体" w:hAnsi="宋体" w:eastAsia="黑体"/>
        </w:rPr>
        <w:t>16.BIM技术工作要求（如有）</w:t>
      </w:r>
      <w:r>
        <w:tab/>
      </w:r>
      <w:r>
        <w:fldChar w:fldCharType="begin"/>
      </w:r>
      <w:r>
        <w:instrText xml:space="preserve"> PAGEREF _Toc114222870 \h </w:instrText>
      </w:r>
      <w:r>
        <w:fldChar w:fldCharType="separate"/>
      </w:r>
      <w:r>
        <w:t>244</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"_Toc114222871" </w:instrText>
      </w:r>
      <w:r>
        <w:fldChar w:fldCharType="separate"/>
      </w:r>
      <w:r>
        <w:rPr>
          <w:rStyle w:val="41"/>
          <w:rFonts w:ascii="黑体" w:hAnsi="宋体" w:eastAsia="黑体"/>
        </w:rPr>
        <w:t>1．材料和工程设备技术要求</w:t>
      </w:r>
      <w:r>
        <w:tab/>
      </w:r>
      <w:r>
        <w:fldChar w:fldCharType="begin"/>
      </w:r>
      <w:r>
        <w:instrText xml:space="preserve"> PAGEREF _Toc114222871 \h </w:instrText>
      </w:r>
      <w:r>
        <w:fldChar w:fldCharType="separate"/>
      </w:r>
      <w:r>
        <w:t>246</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"_Toc114222872" </w:instrText>
      </w:r>
      <w:r>
        <w:fldChar w:fldCharType="separate"/>
      </w:r>
      <w:r>
        <w:rPr>
          <w:rStyle w:val="41"/>
          <w:rFonts w:ascii="黑体" w:hAnsi="宋体" w:eastAsia="黑体"/>
        </w:rPr>
        <w:t>2.特殊技术要求</w:t>
      </w:r>
      <w:r>
        <w:tab/>
      </w:r>
      <w:r>
        <w:fldChar w:fldCharType="begin"/>
      </w:r>
      <w:r>
        <w:instrText xml:space="preserve"> PAGEREF _Toc114222872 \h </w:instrText>
      </w:r>
      <w:r>
        <w:fldChar w:fldCharType="separate"/>
      </w:r>
      <w:r>
        <w:t>246</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"_Toc114222873" </w:instrText>
      </w:r>
      <w:r>
        <w:fldChar w:fldCharType="separate"/>
      </w:r>
      <w:r>
        <w:rPr>
          <w:rStyle w:val="41"/>
          <w:rFonts w:ascii="黑体" w:hAnsi="宋体" w:eastAsia="黑体"/>
        </w:rPr>
        <w:t>3．新技术、新工艺和新材料</w:t>
      </w:r>
      <w:r>
        <w:tab/>
      </w:r>
      <w:r>
        <w:fldChar w:fldCharType="begin"/>
      </w:r>
      <w:r>
        <w:instrText xml:space="preserve"> PAGEREF _Toc114222873 \h </w:instrText>
      </w:r>
      <w:r>
        <w:fldChar w:fldCharType="separate"/>
      </w:r>
      <w:r>
        <w:t>246</w:t>
      </w:r>
      <w:r>
        <w:fldChar w:fldCharType="end"/>
      </w:r>
      <w:r>
        <w:fldChar w:fldCharType="end"/>
      </w:r>
    </w:p>
    <w:p>
      <w:pPr>
        <w:pStyle w:val="27"/>
        <w:tabs>
          <w:tab w:val="right" w:leader="dot" w:pos="8494"/>
        </w:tabs>
        <w:rPr>
          <w:rFonts w:asciiTheme="minorHAnsi" w:hAnsiTheme="minorHAnsi" w:eastAsiaTheme="minorEastAsia" w:cstheme="minorBidi"/>
          <w:szCs w:val="22"/>
        </w:rPr>
      </w:pPr>
      <w:r>
        <w:fldChar w:fldCharType="begin"/>
      </w:r>
      <w:r>
        <w:instrText xml:space="preserve"> HYPERLINK \l "_Toc114222874" </w:instrText>
      </w:r>
      <w:r>
        <w:fldChar w:fldCharType="separate"/>
      </w:r>
      <w:r>
        <w:rPr>
          <w:rStyle w:val="41"/>
          <w:rFonts w:ascii="黑体" w:hAnsi="宋体" w:eastAsia="黑体"/>
        </w:rPr>
        <w:t>4．其他特殊技术标准和要求</w:t>
      </w:r>
      <w:r>
        <w:tab/>
      </w:r>
      <w:r>
        <w:fldChar w:fldCharType="begin"/>
      </w:r>
      <w:r>
        <w:instrText xml:space="preserve"> PAGEREF _Toc114222874 \h </w:instrText>
      </w:r>
      <w:r>
        <w:fldChar w:fldCharType="separate"/>
      </w:r>
      <w:r>
        <w:t>247</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"_Toc114222875" </w:instrText>
      </w:r>
      <w:r>
        <w:fldChar w:fldCharType="separate"/>
      </w:r>
      <w:r>
        <w:rPr>
          <w:rStyle w:val="41"/>
          <w:rFonts w:ascii="黑体" w:hAnsi="宋体" w:eastAsia="黑体"/>
        </w:rPr>
        <w:t>第三节  适用的国家、行业以及地方规范、标准和规程</w:t>
      </w:r>
      <w:r>
        <w:tab/>
      </w:r>
      <w:r>
        <w:fldChar w:fldCharType="begin"/>
      </w:r>
      <w:r>
        <w:instrText xml:space="preserve"> PAGEREF _Toc114222875 \h </w:instrText>
      </w:r>
      <w:r>
        <w:fldChar w:fldCharType="separate"/>
      </w:r>
      <w:r>
        <w:t>248</w:t>
      </w:r>
      <w:r>
        <w:fldChar w:fldCharType="end"/>
      </w:r>
      <w:r>
        <w:fldChar w:fldCharType="end"/>
      </w:r>
    </w:p>
    <w:p>
      <w:pPr>
        <w:pStyle w:val="26"/>
        <w:rPr>
          <w:rFonts w:asciiTheme="minorHAnsi" w:hAnsiTheme="minorHAnsi" w:eastAsiaTheme="minorEastAsia" w:cstheme="minorBidi"/>
          <w:sz w:val="21"/>
          <w:szCs w:val="22"/>
        </w:rPr>
      </w:pPr>
      <w:r>
        <w:fldChar w:fldCharType="begin"/>
      </w:r>
      <w:r>
        <w:instrText xml:space="preserve"> HYPERLINK \l "_Toc114222876" </w:instrText>
      </w:r>
      <w:r>
        <w:fldChar w:fldCharType="separate"/>
      </w:r>
      <w:r>
        <w:rPr>
          <w:rStyle w:val="41"/>
          <w:rFonts w:ascii="黑体" w:eastAsia="黑体"/>
        </w:rPr>
        <w:t>第四卷</w:t>
      </w:r>
      <w:r>
        <w:tab/>
      </w:r>
      <w:r>
        <w:fldChar w:fldCharType="begin"/>
      </w:r>
      <w:r>
        <w:instrText xml:space="preserve"> PAGEREF _Toc114222876 \h </w:instrText>
      </w:r>
      <w:r>
        <w:fldChar w:fldCharType="separate"/>
      </w:r>
      <w:r>
        <w:t>250</w:t>
      </w:r>
      <w:r>
        <w:fldChar w:fldCharType="end"/>
      </w:r>
      <w:r>
        <w:fldChar w:fldCharType="end"/>
      </w:r>
    </w:p>
    <w:p>
      <w:pPr>
        <w:pStyle w:val="31"/>
        <w:tabs>
          <w:tab w:val="right" w:leader="dot" w:pos="8494"/>
        </w:tabs>
        <w:rPr>
          <w:rFonts w:asciiTheme="minorHAnsi" w:hAnsiTheme="minorHAnsi" w:eastAsiaTheme="minorEastAsia" w:cstheme="minorBidi"/>
          <w:szCs w:val="22"/>
        </w:rPr>
      </w:pPr>
      <w:r>
        <w:fldChar w:fldCharType="begin"/>
      </w:r>
      <w:r>
        <w:instrText xml:space="preserve"> HYPERLINK \l "_Toc114222877" </w:instrText>
      </w:r>
      <w:r>
        <w:fldChar w:fldCharType="separate"/>
      </w:r>
      <w:r>
        <w:rPr>
          <w:rStyle w:val="41"/>
          <w:rFonts w:ascii="黑体" w:eastAsia="黑体"/>
        </w:rPr>
        <w:t>第八章  投标文件格式</w:t>
      </w:r>
      <w:r>
        <w:tab/>
      </w:r>
      <w:r>
        <w:fldChar w:fldCharType="begin"/>
      </w:r>
      <w:r>
        <w:instrText xml:space="preserve"> PAGEREF _Toc114222877 \h </w:instrText>
      </w:r>
      <w:r>
        <w:fldChar w:fldCharType="separate"/>
      </w:r>
      <w:r>
        <w:t>251</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"_Toc114222878" </w:instrText>
      </w:r>
      <w:r>
        <w:fldChar w:fldCharType="separate"/>
      </w:r>
      <w:r>
        <w:rPr>
          <w:rStyle w:val="41"/>
          <w:rFonts w:ascii="黑体" w:hAnsi="宋体" w:eastAsia="黑体"/>
        </w:rPr>
        <w:t>一、投标函及投标函附录</w:t>
      </w:r>
      <w:r>
        <w:tab/>
      </w:r>
      <w:r>
        <w:fldChar w:fldCharType="begin"/>
      </w:r>
      <w:r>
        <w:instrText xml:space="preserve"> PAGEREF _Toc114222878 \h </w:instrText>
      </w:r>
      <w:r>
        <w:fldChar w:fldCharType="separate"/>
      </w:r>
      <w:r>
        <w:t>254</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"_Toc114222879" </w:instrText>
      </w:r>
      <w:r>
        <w:fldChar w:fldCharType="separate"/>
      </w:r>
      <w:r>
        <w:rPr>
          <w:rStyle w:val="41"/>
          <w:rFonts w:ascii="黑体" w:hAnsi="宋体" w:eastAsia="黑体"/>
        </w:rPr>
        <w:t>二、法定代表人身份证明</w:t>
      </w:r>
      <w:r>
        <w:tab/>
      </w:r>
      <w:r>
        <w:fldChar w:fldCharType="begin"/>
      </w:r>
      <w:r>
        <w:instrText xml:space="preserve"> PAGEREF _Toc114222879 \h </w:instrText>
      </w:r>
      <w:r>
        <w:fldChar w:fldCharType="separate"/>
      </w:r>
      <w:r>
        <w:t>257</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"_Toc114222880" </w:instrText>
      </w:r>
      <w:r>
        <w:fldChar w:fldCharType="separate"/>
      </w:r>
      <w:r>
        <w:rPr>
          <w:rStyle w:val="41"/>
          <w:rFonts w:ascii="黑体" w:hAnsi="宋体" w:eastAsia="黑体"/>
        </w:rPr>
        <w:t>三、授权委托书</w:t>
      </w:r>
      <w:r>
        <w:tab/>
      </w:r>
      <w:r>
        <w:fldChar w:fldCharType="begin"/>
      </w:r>
      <w:r>
        <w:instrText xml:space="preserve"> PAGEREF _Toc114222880 \h </w:instrText>
      </w:r>
      <w:r>
        <w:fldChar w:fldCharType="separate"/>
      </w:r>
      <w:r>
        <w:t>258</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"_Toc114222881" </w:instrText>
      </w:r>
      <w:r>
        <w:fldChar w:fldCharType="separate"/>
      </w:r>
      <w:r>
        <w:rPr>
          <w:rStyle w:val="41"/>
          <w:rFonts w:ascii="黑体" w:hAnsi="宋体" w:eastAsia="黑体"/>
        </w:rPr>
        <w:t>四、联合体协议书</w:t>
      </w:r>
      <w:r>
        <w:tab/>
      </w:r>
      <w:r>
        <w:fldChar w:fldCharType="begin"/>
      </w:r>
      <w:r>
        <w:instrText xml:space="preserve"> PAGEREF _Toc114222881 \h </w:instrText>
      </w:r>
      <w:r>
        <w:fldChar w:fldCharType="separate"/>
      </w:r>
      <w:r>
        <w:t>259</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"_Toc114222882" </w:instrText>
      </w:r>
      <w:r>
        <w:fldChar w:fldCharType="separate"/>
      </w:r>
      <w:r>
        <w:rPr>
          <w:rStyle w:val="41"/>
          <w:rFonts w:ascii="黑体" w:hAnsi="宋体" w:eastAsia="黑体"/>
          <w:highlight w:val="yellow"/>
        </w:rPr>
        <w:t>五、投标保证金（确认）</w:t>
      </w:r>
      <w:r>
        <w:tab/>
      </w:r>
      <w:r>
        <w:fldChar w:fldCharType="begin"/>
      </w:r>
      <w:r>
        <w:instrText xml:space="preserve"> PAGEREF _Toc114222882 \h </w:instrText>
      </w:r>
      <w:r>
        <w:fldChar w:fldCharType="separate"/>
      </w:r>
      <w:r>
        <w:t>260</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"_Toc114222883" </w:instrText>
      </w:r>
      <w:r>
        <w:fldChar w:fldCharType="separate"/>
      </w:r>
      <w:r>
        <w:rPr>
          <w:rStyle w:val="41"/>
          <w:rFonts w:ascii="黑体" w:hAnsi="宋体" w:eastAsia="黑体"/>
        </w:rPr>
        <w:t>六、已标价工程量清单</w:t>
      </w:r>
      <w:r>
        <w:tab/>
      </w:r>
      <w:r>
        <w:fldChar w:fldCharType="begin"/>
      </w:r>
      <w:r>
        <w:instrText xml:space="preserve"> PAGEREF _Toc114222883 \h </w:instrText>
      </w:r>
      <w:r>
        <w:fldChar w:fldCharType="separate"/>
      </w:r>
      <w:r>
        <w:t>261</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"_Toc114222884" </w:instrText>
      </w:r>
      <w:r>
        <w:fldChar w:fldCharType="separate"/>
      </w:r>
      <w:r>
        <w:rPr>
          <w:rStyle w:val="41"/>
          <w:rFonts w:ascii="黑体" w:hAnsi="宋体" w:eastAsia="黑体"/>
        </w:rPr>
        <w:t>七、项目管理机构</w:t>
      </w:r>
      <w:r>
        <w:tab/>
      </w:r>
      <w:r>
        <w:fldChar w:fldCharType="begin"/>
      </w:r>
      <w:r>
        <w:instrText xml:space="preserve"> PAGEREF _Toc114222884 \h </w:instrText>
      </w:r>
      <w:r>
        <w:fldChar w:fldCharType="separate"/>
      </w:r>
      <w:r>
        <w:t>262</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"_Toc114222885" </w:instrText>
      </w:r>
      <w:r>
        <w:fldChar w:fldCharType="separate"/>
      </w:r>
      <w:r>
        <w:rPr>
          <w:rStyle w:val="41"/>
          <w:rFonts w:ascii="黑体" w:hAnsi="宋体" w:eastAsia="黑体"/>
        </w:rPr>
        <w:t>八、拟分包计划表</w:t>
      </w:r>
      <w:r>
        <w:tab/>
      </w:r>
      <w:r>
        <w:fldChar w:fldCharType="begin"/>
      </w:r>
      <w:r>
        <w:instrText xml:space="preserve"> PAGEREF _Toc114222885 \h </w:instrText>
      </w:r>
      <w:r>
        <w:fldChar w:fldCharType="separate"/>
      </w:r>
      <w:r>
        <w:t>268</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"_Toc114222886" </w:instrText>
      </w:r>
      <w:r>
        <w:fldChar w:fldCharType="separate"/>
      </w:r>
      <w:r>
        <w:rPr>
          <w:rStyle w:val="41"/>
          <w:rFonts w:ascii="黑体" w:hAnsi="宋体" w:eastAsia="黑体"/>
        </w:rPr>
        <w:t>九、资格审查资料</w:t>
      </w:r>
      <w:r>
        <w:tab/>
      </w:r>
      <w:r>
        <w:fldChar w:fldCharType="begin"/>
      </w:r>
      <w:r>
        <w:instrText xml:space="preserve"> PAGEREF _Toc114222886 \h </w:instrText>
      </w:r>
      <w:r>
        <w:fldChar w:fldCharType="separate"/>
      </w:r>
      <w:r>
        <w:t>269</w:t>
      </w:r>
      <w:r>
        <w:fldChar w:fldCharType="end"/>
      </w:r>
      <w:r>
        <w:fldChar w:fldCharType="end"/>
      </w:r>
    </w:p>
    <w:p>
      <w:pPr>
        <w:pStyle w:val="20"/>
        <w:tabs>
          <w:tab w:val="right" w:leader="dot" w:pos="8494"/>
        </w:tabs>
        <w:rPr>
          <w:rFonts w:asciiTheme="minorHAnsi" w:hAnsiTheme="minorHAnsi" w:eastAsiaTheme="minorEastAsia" w:cstheme="minorBidi"/>
          <w:szCs w:val="22"/>
        </w:rPr>
      </w:pPr>
      <w:r>
        <w:fldChar w:fldCharType="begin"/>
      </w:r>
      <w:r>
        <w:instrText xml:space="preserve"> HYPERLINK \l "_Toc114222887" </w:instrText>
      </w:r>
      <w:r>
        <w:fldChar w:fldCharType="separate"/>
      </w:r>
      <w:r>
        <w:rPr>
          <w:rStyle w:val="41"/>
          <w:rFonts w:ascii="黑体" w:hAnsi="宋体" w:eastAsia="黑体"/>
        </w:rPr>
        <w:t>十、其他材料</w:t>
      </w:r>
      <w:r>
        <w:tab/>
      </w:r>
      <w:r>
        <w:fldChar w:fldCharType="begin"/>
      </w:r>
      <w:r>
        <w:instrText xml:space="preserve"> PAGEREF _Toc114222887 \h </w:instrText>
      </w:r>
      <w:r>
        <w:fldChar w:fldCharType="separate"/>
      </w:r>
      <w:r>
        <w:t>272</w:t>
      </w:r>
      <w:r>
        <w:fldChar w:fldCharType="end"/>
      </w:r>
      <w:r>
        <w:fldChar w:fldCharType="end"/>
      </w:r>
    </w:p>
    <w:p>
      <w:pPr>
        <w:ind w:firstLine="435"/>
        <w:jc w:val="center"/>
        <w:rPr>
          <w:color w:val="000000"/>
        </w:rPr>
        <w:sectPr>
          <w:pgSz w:w="11906" w:h="16838"/>
          <w:pgMar w:top="1588" w:right="1701" w:bottom="1418" w:left="1701" w:header="851" w:footer="851" w:gutter="0"/>
          <w:pgNumType w:fmt="upperRoman" w:start="1" w:chapStyle="1"/>
          <w:cols w:space="425" w:num="1"/>
          <w:docGrid w:type="lines" w:linePitch="312" w:charSpace="0"/>
        </w:sectPr>
      </w:pPr>
      <w:r>
        <w:rPr>
          <w:rFonts w:ascii="宋体" w:hAnsi="宋体"/>
          <w:color w:val="000000"/>
          <w:sz w:val="28"/>
          <w:szCs w:val="28"/>
        </w:rPr>
        <w:fldChar w:fldCharType="end"/>
      </w:r>
    </w:p>
    <w:p>
      <w:pPr>
        <w:jc w:val="center"/>
        <w:outlineLvl w:val="0"/>
        <w:rPr>
          <w:rFonts w:ascii="黑体" w:eastAsia="黑体"/>
          <w:color w:val="000000"/>
          <w:sz w:val="32"/>
          <w:szCs w:val="32"/>
        </w:rPr>
      </w:pPr>
      <w:bookmarkStart w:id="0" w:name="_Toc295812156"/>
      <w:bookmarkStart w:id="1" w:name="_Toc114222719"/>
      <w:r>
        <w:rPr>
          <w:rFonts w:hint="eastAsia" w:ascii="黑体" w:eastAsia="黑体"/>
          <w:color w:val="000000"/>
          <w:sz w:val="32"/>
          <w:szCs w:val="32"/>
        </w:rPr>
        <w:t>第一卷</w:t>
      </w:r>
      <w:bookmarkEnd w:id="0"/>
      <w:bookmarkEnd w:id="1"/>
    </w:p>
    <w:p>
      <w:pPr>
        <w:rPr>
          <w:rFonts w:ascii="黑体" w:eastAsia="黑体"/>
          <w:color w:val="000000"/>
          <w:sz w:val="32"/>
          <w:szCs w:val="32"/>
        </w:rPr>
      </w:pPr>
    </w:p>
    <w:p>
      <w:pPr>
        <w:jc w:val="center"/>
        <w:rPr>
          <w:rFonts w:ascii="黑体" w:eastAsia="黑体"/>
          <w:color w:val="000000"/>
          <w:sz w:val="32"/>
          <w:szCs w:val="32"/>
        </w:rPr>
      </w:pPr>
    </w:p>
    <w:p>
      <w:pPr>
        <w:jc w:val="center"/>
        <w:rPr>
          <w:rFonts w:ascii="黑体" w:eastAsia="黑体"/>
          <w:color w:val="000000"/>
          <w:sz w:val="32"/>
          <w:szCs w:val="32"/>
        </w:rPr>
      </w:pPr>
    </w:p>
    <w:p>
      <w:pPr>
        <w:jc w:val="center"/>
        <w:rPr>
          <w:rFonts w:ascii="黑体" w:eastAsia="黑体"/>
          <w:color w:val="000000"/>
          <w:sz w:val="32"/>
          <w:szCs w:val="32"/>
        </w:rPr>
      </w:pPr>
      <w:r>
        <w:rPr>
          <w:rFonts w:ascii="黑体" w:eastAsia="黑体"/>
          <w:color w:val="000000"/>
          <w:sz w:val="32"/>
          <w:szCs w:val="32"/>
        </w:rPr>
        <w:br w:type="page"/>
      </w:r>
    </w:p>
    <w:p>
      <w:pPr>
        <w:jc w:val="center"/>
        <w:rPr>
          <w:rFonts w:ascii="黑体" w:eastAsia="黑体"/>
          <w:color w:val="000000"/>
          <w:sz w:val="32"/>
          <w:szCs w:val="32"/>
        </w:rPr>
      </w:pPr>
      <w:bookmarkStart w:id="2" w:name="_Toc295812157"/>
      <w:r>
        <w:rPr>
          <w:rFonts w:hint="eastAsia" w:ascii="黑体" w:eastAsia="黑体"/>
          <w:color w:val="000000"/>
          <w:sz w:val="32"/>
          <w:szCs w:val="32"/>
        </w:rPr>
        <w:t>第一章  招标公告</w:t>
      </w:r>
      <w:bookmarkEnd w:id="2"/>
    </w:p>
    <w:p>
      <w:pPr>
        <w:rPr>
          <w:rFonts w:ascii="黑体" w:eastAsia="黑体"/>
          <w:color w:val="000000"/>
          <w:sz w:val="48"/>
          <w:szCs w:val="48"/>
        </w:rPr>
      </w:pPr>
    </w:p>
    <w:p>
      <w:pPr>
        <w:ind w:firstLine="435"/>
        <w:jc w:val="center"/>
        <w:outlineLvl w:val="1"/>
        <w:rPr>
          <w:rFonts w:ascii="黑体" w:eastAsia="黑体"/>
          <w:color w:val="000000"/>
          <w:sz w:val="32"/>
          <w:szCs w:val="32"/>
        </w:rPr>
      </w:pPr>
      <w:r>
        <w:rPr>
          <w:rFonts w:ascii="黑体" w:eastAsia="黑体"/>
          <w:color w:val="000000"/>
          <w:sz w:val="48"/>
          <w:szCs w:val="48"/>
        </w:rPr>
        <w:br w:type="page"/>
      </w:r>
      <w:bookmarkStart w:id="3" w:name="_Toc295812158"/>
      <w:bookmarkStart w:id="4" w:name="_Toc114222720"/>
      <w:r>
        <w:rPr>
          <w:rFonts w:hint="eastAsia" w:ascii="黑体" w:eastAsia="黑体"/>
          <w:color w:val="000000"/>
          <w:sz w:val="32"/>
          <w:szCs w:val="32"/>
        </w:rPr>
        <w:t>第一章  招标公告</w:t>
      </w:r>
      <w:bookmarkEnd w:id="3"/>
      <w:bookmarkEnd w:id="4"/>
    </w:p>
    <w:p>
      <w:pPr>
        <w:ind w:firstLine="3360" w:firstLineChars="1400"/>
        <w:rPr>
          <w:color w:val="000000"/>
          <w:sz w:val="24"/>
        </w:rPr>
      </w:pPr>
      <w:permStart w:id="6" w:edGrp="everyone"/>
      <w:r>
        <w:rPr>
          <w:rFonts w:hint="eastAsia"/>
          <w:color w:val="000000"/>
          <w:sz w:val="24"/>
          <w:lang w:eastAsia="zh-CN"/>
        </w:rPr>
        <w:t>（</w:t>
      </w:r>
      <w:r>
        <w:rPr>
          <w:rFonts w:hint="eastAsia"/>
          <w:color w:val="000000"/>
          <w:sz w:val="24"/>
        </w:rPr>
        <w:t>项目名称</w:t>
      </w:r>
      <w:r>
        <w:rPr>
          <w:rFonts w:hint="eastAsia"/>
          <w:color w:val="000000"/>
          <w:sz w:val="24"/>
          <w:lang w:eastAsia="zh-CN"/>
        </w:rPr>
        <w:t>）</w:t>
      </w:r>
      <w:r>
        <w:rPr>
          <w:color w:val="000000"/>
          <w:sz w:val="24"/>
        </w:rPr>
        <w:t xml:space="preserve"> </w:t>
      </w:r>
      <w:permEnd w:id="6"/>
      <w:r>
        <w:rPr>
          <w:rFonts w:hint="eastAsia" w:ascii="黑体" w:eastAsia="黑体"/>
          <w:color w:val="000000"/>
          <w:sz w:val="24"/>
        </w:rPr>
        <w:t>招标公告</w:t>
      </w:r>
    </w:p>
    <w:p>
      <w:pPr>
        <w:spacing w:before="93" w:beforeLines="30" w:after="93" w:afterLines="30"/>
        <w:outlineLvl w:val="2"/>
        <w:rPr>
          <w:rFonts w:ascii="黑体" w:eastAsia="黑体"/>
          <w:color w:val="000000"/>
          <w:sz w:val="24"/>
        </w:rPr>
      </w:pPr>
      <w:bookmarkStart w:id="5" w:name="_Toc295812159"/>
      <w:bookmarkStart w:id="6" w:name="_Toc114222721"/>
      <w:r>
        <w:rPr>
          <w:rFonts w:hint="eastAsia" w:ascii="黑体" w:eastAsia="黑体"/>
          <w:color w:val="000000"/>
          <w:sz w:val="24"/>
        </w:rPr>
        <w:t>1.招标条件</w:t>
      </w:r>
      <w:bookmarkEnd w:id="5"/>
      <w:bookmarkEnd w:id="6"/>
    </w:p>
    <w:p>
      <w:pPr>
        <w:spacing w:line="460" w:lineRule="exact"/>
        <w:ind w:firstLine="437"/>
        <w:rPr>
          <w:color w:val="000000"/>
        </w:rPr>
      </w:pPr>
      <w:r>
        <w:rPr>
          <w:rFonts w:hint="eastAsia"/>
          <w:color w:val="000000"/>
        </w:rPr>
        <w:t>本招标项目</w:t>
      </w:r>
      <w:permStart w:id="7" w:edGrp="everyone"/>
      <w:r>
        <w:rPr>
          <w:color w:val="000000"/>
        </w:rPr>
        <w:t xml:space="preserve"> </w:t>
      </w:r>
      <w:r>
        <w:rPr>
          <w:rFonts w:hint="eastAsia"/>
          <w:color w:val="000000"/>
          <w:lang w:eastAsia="zh-CN"/>
        </w:rPr>
        <w:t>（</w:t>
      </w:r>
      <w:r>
        <w:rPr>
          <w:rFonts w:hint="eastAsia"/>
          <w:color w:val="000000"/>
        </w:rPr>
        <w:t>项目名称</w:t>
      </w:r>
      <w:r>
        <w:rPr>
          <w:rFonts w:hint="eastAsia"/>
          <w:color w:val="000000"/>
          <w:lang w:eastAsia="zh-CN"/>
        </w:rPr>
        <w:t>）</w:t>
      </w:r>
      <w:r>
        <w:rPr>
          <w:rFonts w:hint="eastAsia"/>
          <w:color w:val="000000"/>
        </w:rPr>
        <w:t xml:space="preserve"> </w:t>
      </w:r>
      <w:permEnd w:id="7"/>
      <w:r>
        <w:rPr>
          <w:rFonts w:hint="eastAsia"/>
          <w:color w:val="000000"/>
        </w:rPr>
        <w:t>已由</w:t>
      </w:r>
      <w:permStart w:id="8" w:edGrp="everyone"/>
      <w:r>
        <w:rPr>
          <w:rFonts w:hint="eastAsia"/>
          <w:color w:val="000000"/>
          <w:lang w:eastAsia="zh-CN"/>
        </w:rPr>
        <w:t>（</w:t>
      </w:r>
      <w:r>
        <w:rPr>
          <w:rFonts w:hint="eastAsia"/>
          <w:color w:val="000000"/>
        </w:rPr>
        <w:t>项目审批、核准或备案机关名称</w:t>
      </w:r>
      <w:r>
        <w:rPr>
          <w:rFonts w:hint="eastAsia"/>
          <w:color w:val="000000"/>
          <w:lang w:eastAsia="zh-CN"/>
        </w:rPr>
        <w:t>）</w:t>
      </w:r>
      <w:permEnd w:id="8"/>
      <w:r>
        <w:rPr>
          <w:rFonts w:hint="eastAsia"/>
          <w:color w:val="000000"/>
        </w:rPr>
        <w:t>以</w:t>
      </w:r>
      <w:permStart w:id="9" w:edGrp="everyone"/>
      <w:r>
        <w:rPr>
          <w:color w:val="000000"/>
        </w:rPr>
        <w:t xml:space="preserve"> </w:t>
      </w:r>
      <w:r>
        <w:rPr>
          <w:rFonts w:hint="eastAsia"/>
          <w:color w:val="000000"/>
        </w:rPr>
        <w:t>（批文名称</w:t>
      </w:r>
      <w:r>
        <w:rPr>
          <w:color w:val="000000"/>
        </w:rPr>
        <w:t>及编号</w:t>
      </w:r>
      <w:r>
        <w:rPr>
          <w:rFonts w:hint="eastAsia"/>
          <w:color w:val="000000"/>
        </w:rPr>
        <w:t xml:space="preserve">） </w:t>
      </w:r>
      <w:permEnd w:id="9"/>
      <w:r>
        <w:rPr>
          <w:rFonts w:hint="eastAsia"/>
          <w:color w:val="000000"/>
        </w:rPr>
        <w:t>批准建设，招标人</w:t>
      </w:r>
      <w:r>
        <w:rPr>
          <w:rFonts w:hint="eastAsia"/>
          <w:color w:val="000000"/>
          <w:lang w:eastAsia="zh-CN"/>
        </w:rPr>
        <w:t>（</w:t>
      </w:r>
      <w:r>
        <w:rPr>
          <w:rFonts w:hint="eastAsia"/>
          <w:color w:val="000000"/>
        </w:rPr>
        <w:t>项目业主</w:t>
      </w:r>
      <w:r>
        <w:rPr>
          <w:rFonts w:hint="eastAsia"/>
          <w:color w:val="000000"/>
          <w:lang w:eastAsia="zh-CN"/>
        </w:rPr>
        <w:t>）</w:t>
      </w:r>
      <w:r>
        <w:rPr>
          <w:rFonts w:hint="eastAsia"/>
          <w:color w:val="000000"/>
        </w:rPr>
        <w:t>为</w:t>
      </w:r>
      <w:permStart w:id="10" w:edGrp="everyone"/>
      <w:r>
        <w:rPr>
          <w:rFonts w:hint="eastAsia"/>
          <w:color w:val="000000"/>
        </w:rPr>
        <w:t xml:space="preserve"> </w:t>
      </w:r>
      <w:r>
        <w:rPr>
          <w:color w:val="000000"/>
        </w:rPr>
        <w:t xml:space="preserve"> </w:t>
      </w:r>
      <w:r>
        <w:rPr>
          <w:rFonts w:hint="eastAsia"/>
          <w:color w:val="000000"/>
        </w:rPr>
        <w:t xml:space="preserve"> </w:t>
      </w:r>
      <w:permEnd w:id="10"/>
      <w:r>
        <w:rPr>
          <w:rFonts w:hint="eastAsia"/>
          <w:color w:val="000000"/>
        </w:rPr>
        <w:t>，建设资金来自</w:t>
      </w:r>
      <w:permStart w:id="11" w:edGrp="everyone"/>
      <w:r>
        <w:rPr>
          <w:rFonts w:hint="eastAsia"/>
          <w:color w:val="000000"/>
        </w:rPr>
        <w:t xml:space="preserve">（资金来源） </w:t>
      </w:r>
      <w:permEnd w:id="11"/>
      <w:r>
        <w:rPr>
          <w:rFonts w:hint="eastAsia"/>
          <w:color w:val="000000"/>
        </w:rPr>
        <w:t>，项目出资比例为</w:t>
      </w:r>
      <w:permStart w:id="12" w:edGrp="everyone"/>
      <w:r>
        <w:rPr>
          <w:rFonts w:hint="eastAsia"/>
          <w:color w:val="000000"/>
        </w:rPr>
        <w:t xml:space="preserve">   </w:t>
      </w:r>
      <w:permEnd w:id="12"/>
      <w:r>
        <w:rPr>
          <w:rFonts w:hint="eastAsia"/>
          <w:color w:val="000000"/>
        </w:rPr>
        <w:t>。项目已具备招标条件，现对该项目</w:t>
      </w:r>
      <w:permStart w:id="13" w:edGrp="everyone"/>
      <w:r>
        <w:rPr>
          <w:rFonts w:hint="eastAsia"/>
          <w:color w:val="000000"/>
        </w:rPr>
        <w:t xml:space="preserve">   </w:t>
      </w:r>
      <w:permEnd w:id="13"/>
      <w:r>
        <w:rPr>
          <w:rFonts w:hint="eastAsia"/>
          <w:color w:val="000000"/>
        </w:rPr>
        <w:t>进行公开招标。</w:t>
      </w:r>
    </w:p>
    <w:p>
      <w:pPr>
        <w:spacing w:before="93" w:beforeLines="30" w:after="93" w:afterLines="30"/>
        <w:outlineLvl w:val="2"/>
        <w:rPr>
          <w:rFonts w:ascii="黑体" w:eastAsia="黑体"/>
          <w:color w:val="000000"/>
          <w:sz w:val="24"/>
        </w:rPr>
      </w:pPr>
      <w:bookmarkStart w:id="7" w:name="_Toc114222722"/>
      <w:bookmarkStart w:id="8" w:name="_Toc295812160"/>
      <w:r>
        <w:rPr>
          <w:rFonts w:hint="eastAsia" w:ascii="黑体" w:eastAsia="黑体"/>
          <w:color w:val="000000"/>
          <w:sz w:val="24"/>
        </w:rPr>
        <w:t>2.项目概况与招标范围</w:t>
      </w:r>
      <w:bookmarkEnd w:id="7"/>
      <w:bookmarkEnd w:id="8"/>
    </w:p>
    <w:p>
      <w:pPr>
        <w:autoSpaceDE w:val="0"/>
        <w:autoSpaceDN w:val="0"/>
        <w:adjustRightInd w:val="0"/>
        <w:spacing w:line="360" w:lineRule="auto"/>
        <w:ind w:firstLine="420" w:firstLineChars="200"/>
        <w:jc w:val="left"/>
        <w:rPr>
          <w:color w:val="000000"/>
        </w:rPr>
      </w:pPr>
      <w:r>
        <w:rPr>
          <w:color w:val="000000"/>
        </w:rPr>
        <w:t>2.1</w:t>
      </w:r>
      <w:r>
        <w:rPr>
          <w:rFonts w:hint="eastAsia"/>
          <w:color w:val="000000"/>
        </w:rPr>
        <w:t>建设地点：</w:t>
      </w:r>
      <w:permStart w:id="14" w:edGrp="everyone"/>
      <w:r>
        <w:rPr>
          <w:rFonts w:hint="eastAsia"/>
          <w:color w:val="000000"/>
        </w:rPr>
        <w:t xml:space="preserve"> </w:t>
      </w:r>
      <w:permEnd w:id="14"/>
    </w:p>
    <w:p>
      <w:pPr>
        <w:autoSpaceDE w:val="0"/>
        <w:autoSpaceDN w:val="0"/>
        <w:adjustRightInd w:val="0"/>
        <w:spacing w:line="360" w:lineRule="auto"/>
        <w:ind w:firstLine="420" w:firstLineChars="200"/>
        <w:jc w:val="left"/>
        <w:rPr>
          <w:color w:val="000000"/>
        </w:rPr>
      </w:pPr>
      <w:r>
        <w:rPr>
          <w:color w:val="000000"/>
        </w:rPr>
        <w:t>2.2</w:t>
      </w:r>
      <w:r>
        <w:rPr>
          <w:rFonts w:hint="eastAsia"/>
          <w:color w:val="000000"/>
        </w:rPr>
        <w:t>建设内容及规模：</w:t>
      </w:r>
      <w:permStart w:id="15" w:edGrp="everyone"/>
      <w:r>
        <w:rPr>
          <w:rFonts w:hint="eastAsia"/>
          <w:color w:val="000000"/>
        </w:rPr>
        <w:t xml:space="preserve"> </w:t>
      </w:r>
      <w:permEnd w:id="15"/>
    </w:p>
    <w:p>
      <w:pPr>
        <w:autoSpaceDE w:val="0"/>
        <w:autoSpaceDN w:val="0"/>
        <w:adjustRightInd w:val="0"/>
        <w:spacing w:line="360" w:lineRule="auto"/>
        <w:ind w:firstLine="420" w:firstLineChars="200"/>
        <w:jc w:val="left"/>
        <w:rPr>
          <w:color w:val="000000"/>
        </w:rPr>
      </w:pPr>
      <w:r>
        <w:rPr>
          <w:color w:val="000000"/>
        </w:rPr>
        <w:t>2.3</w:t>
      </w:r>
      <w:r>
        <w:rPr>
          <w:rFonts w:hint="eastAsia"/>
          <w:color w:val="000000"/>
        </w:rPr>
        <w:t>计划工期：</w:t>
      </w:r>
      <w:permStart w:id="16" w:edGrp="everyone"/>
      <w:r>
        <w:rPr>
          <w:rFonts w:hint="eastAsia"/>
          <w:color w:val="000000"/>
        </w:rPr>
        <w:t xml:space="preserve">  </w:t>
      </w:r>
      <w:permEnd w:id="16"/>
      <w:r>
        <w:rPr>
          <w:rFonts w:hint="eastAsia"/>
          <w:color w:val="000000"/>
        </w:rPr>
        <w:t>日历天</w:t>
      </w:r>
      <w:permStart w:id="17" w:edGrp="everyone"/>
      <w:r>
        <w:rPr>
          <w:rFonts w:hint="eastAsia"/>
          <w:color w:val="000000"/>
        </w:rPr>
        <w:t xml:space="preserve"> ，</w:t>
      </w:r>
      <w:permEnd w:id="17"/>
      <w:r>
        <w:rPr>
          <w:rFonts w:hint="eastAsia"/>
          <w:color w:val="000000"/>
        </w:rPr>
        <w:t>缺陷责任期：</w:t>
      </w:r>
      <w:permStart w:id="18" w:edGrp="everyone"/>
      <w:r>
        <w:rPr>
          <w:rFonts w:hint="eastAsia"/>
          <w:color w:val="000000"/>
        </w:rPr>
        <w:t xml:space="preserve">  </w:t>
      </w:r>
      <w:permEnd w:id="18"/>
      <w:r>
        <w:rPr>
          <w:rFonts w:hint="eastAsia"/>
          <w:color w:val="000000"/>
        </w:rPr>
        <w:t>日历天。</w:t>
      </w:r>
    </w:p>
    <w:p>
      <w:pPr>
        <w:spacing w:line="460" w:lineRule="exact"/>
        <w:ind w:firstLine="437"/>
        <w:rPr>
          <w:color w:val="000000"/>
          <w:u w:val="single"/>
        </w:rPr>
      </w:pPr>
      <w:r>
        <w:rPr>
          <w:color w:val="000000"/>
        </w:rPr>
        <w:t>2.4</w:t>
      </w:r>
      <w:r>
        <w:rPr>
          <w:rFonts w:hint="eastAsia"/>
          <w:color w:val="000000"/>
        </w:rPr>
        <w:t>招标范围：</w:t>
      </w:r>
      <w:permStart w:id="19" w:edGrp="everyone"/>
    </w:p>
    <w:permEnd w:id="19"/>
    <w:p>
      <w:pPr>
        <w:spacing w:line="460" w:lineRule="exact"/>
        <w:ind w:firstLine="437"/>
      </w:pPr>
      <w:r>
        <w:rPr>
          <w:color w:val="000000"/>
        </w:rPr>
        <w:t>2</w:t>
      </w:r>
      <w:r>
        <w:rPr>
          <w:rFonts w:hint="eastAsia"/>
          <w:color w:val="000000"/>
        </w:rPr>
        <w:t>.</w:t>
      </w:r>
      <w:r>
        <w:rPr>
          <w:color w:val="000000"/>
        </w:rPr>
        <w:t>5</w:t>
      </w:r>
      <w:r>
        <w:rPr>
          <w:rFonts w:hint="eastAsia"/>
        </w:rPr>
        <w:t>招标控制价：</w:t>
      </w:r>
      <w:permStart w:id="20" w:edGrp="everyone"/>
      <w:r>
        <w:rPr>
          <w:rFonts w:hint="eastAsia"/>
        </w:rPr>
        <w:t xml:space="preserve"> </w:t>
      </w:r>
      <w:permEnd w:id="20"/>
      <w:r>
        <w:rPr>
          <w:rFonts w:hint="eastAsia"/>
        </w:rPr>
        <w:t>元</w:t>
      </w:r>
    </w:p>
    <w:p>
      <w:pPr>
        <w:spacing w:line="460" w:lineRule="exact"/>
        <w:ind w:firstLine="437"/>
      </w:pPr>
      <w:r>
        <w:t xml:space="preserve">2.6 </w:t>
      </w:r>
      <w:r>
        <w:rPr>
          <w:rFonts w:hint="eastAsia"/>
        </w:rPr>
        <w:t>质量要求：</w:t>
      </w:r>
      <w:permStart w:id="21" w:edGrp="everyone"/>
      <w:r>
        <w:rPr>
          <w:rFonts w:hint="eastAsia"/>
        </w:rPr>
        <w:t xml:space="preserve"> </w:t>
      </w:r>
    </w:p>
    <w:p>
      <w:pPr>
        <w:spacing w:line="460" w:lineRule="exact"/>
        <w:ind w:firstLine="437"/>
      </w:pPr>
      <w:r>
        <w:rPr>
          <w:rFonts w:hint="eastAsia"/>
          <w:color w:val="FF0000"/>
        </w:rPr>
        <w:t>2.7 应用</w:t>
      </w:r>
      <w:r>
        <w:rPr>
          <w:color w:val="FF0000"/>
          <w:lang w:val="en"/>
        </w:rPr>
        <w:t>BIM</w:t>
      </w:r>
      <w:r>
        <w:rPr>
          <w:rFonts w:hint="eastAsia"/>
          <w:color w:val="FF0000"/>
          <w:lang w:val="en"/>
        </w:rPr>
        <w:t>技术：</w:t>
      </w:r>
      <w:bookmarkStart w:id="9" w:name="_Toc295812161"/>
      <w:r>
        <w:rPr>
          <w:rFonts w:hint="eastAsia"/>
          <w:color w:val="FF0000"/>
          <w:lang w:val="en"/>
        </w:rPr>
        <w:t xml:space="preserve"> </w:t>
      </w:r>
    </w:p>
    <w:permEnd w:id="21"/>
    <w:p>
      <w:pPr>
        <w:spacing w:before="93" w:beforeLines="30" w:after="93" w:afterLines="30"/>
        <w:outlineLvl w:val="2"/>
        <w:rPr>
          <w:rFonts w:ascii="黑体" w:eastAsia="黑体"/>
          <w:color w:val="000000"/>
          <w:sz w:val="24"/>
        </w:rPr>
      </w:pPr>
      <w:r>
        <w:rPr>
          <w:rFonts w:hint="eastAsia" w:ascii="黑体" w:eastAsia="黑体"/>
          <w:color w:val="000000"/>
          <w:sz w:val="24"/>
        </w:rPr>
        <w:t>3.投标人资格要求</w:t>
      </w:r>
      <w:bookmarkEnd w:id="9"/>
    </w:p>
    <w:p>
      <w:pPr>
        <w:spacing w:line="460" w:lineRule="exact"/>
        <w:ind w:firstLine="437"/>
        <w:rPr>
          <w:color w:val="000000"/>
        </w:rPr>
      </w:pPr>
      <w:r>
        <w:rPr>
          <w:rFonts w:hint="eastAsia"/>
          <w:color w:val="000000"/>
        </w:rPr>
        <w:t>3.1本次招标要求投标人须具备</w:t>
      </w:r>
      <w:permStart w:id="22" w:edGrp="everyone"/>
      <w:r>
        <w:rPr>
          <w:rFonts w:hint="eastAsia"/>
          <w:color w:val="000000"/>
        </w:rPr>
        <w:t xml:space="preserve">  </w:t>
      </w:r>
      <w:permEnd w:id="22"/>
      <w:r>
        <w:rPr>
          <w:rFonts w:hint="eastAsia"/>
          <w:color w:val="000000"/>
        </w:rPr>
        <w:t>资质，并在人员、设备、资金等方面具有相应的施工能力，其中，投标人拟派项目负责人（项目经理）须具备</w:t>
      </w:r>
      <w:r>
        <w:rPr>
          <w:rFonts w:hint="eastAsia"/>
          <w:color w:val="000000"/>
          <w:u w:val="single"/>
        </w:rPr>
        <w:t xml:space="preserve"> </w:t>
      </w:r>
      <w:r>
        <w:rPr>
          <w:rFonts w:hint="eastAsia"/>
          <w:color w:val="000000"/>
        </w:rPr>
        <w:t>求未担任其他在施建设工程项目的项目负责人（项目经理）。</w:t>
      </w:r>
    </w:p>
    <w:p>
      <w:pPr>
        <w:spacing w:line="460" w:lineRule="exact"/>
        <w:ind w:firstLine="437"/>
        <w:rPr>
          <w:color w:val="000000"/>
        </w:rPr>
      </w:pPr>
      <w:r>
        <w:rPr>
          <w:rFonts w:hint="eastAsia"/>
          <w:color w:val="000000"/>
        </w:rPr>
        <w:t>3.2本次招标</w:t>
      </w:r>
      <w:permStart w:id="23" w:edGrp="everyone"/>
      <w:r>
        <w:rPr>
          <w:rFonts w:hint="eastAsia"/>
          <w:color w:val="000000"/>
          <w:lang w:eastAsia="zh-CN"/>
        </w:rPr>
        <w:t>（</w:t>
      </w:r>
      <w:r>
        <w:rPr>
          <w:rFonts w:hint="eastAsia"/>
          <w:color w:val="000000"/>
        </w:rPr>
        <w:t>接受或不接受</w:t>
      </w:r>
      <w:r>
        <w:rPr>
          <w:rFonts w:hint="eastAsia"/>
          <w:color w:val="000000"/>
          <w:lang w:eastAsia="zh-CN"/>
        </w:rPr>
        <w:t>）</w:t>
      </w:r>
      <w:permEnd w:id="23"/>
      <w:r>
        <w:rPr>
          <w:rFonts w:hint="eastAsia"/>
          <w:color w:val="000000"/>
        </w:rPr>
        <w:t>联合体投标。联合体投标的，应满足下列要求：</w:t>
      </w:r>
      <w:permStart w:id="24" w:edGrp="everyone"/>
      <w:r>
        <w:rPr>
          <w:rFonts w:hint="eastAsia"/>
          <w:color w:val="000000"/>
        </w:rPr>
        <w:t xml:space="preserve">  </w:t>
      </w:r>
      <w:permEnd w:id="24"/>
      <w:r>
        <w:rPr>
          <w:rFonts w:hint="eastAsia"/>
          <w:color w:val="000000"/>
        </w:rPr>
        <w:t>。</w:t>
      </w:r>
    </w:p>
    <w:p>
      <w:pPr>
        <w:spacing w:line="460" w:lineRule="exact"/>
        <w:ind w:firstLine="437"/>
        <w:rPr>
          <w:color w:val="000000"/>
        </w:rPr>
      </w:pPr>
      <w:r>
        <w:rPr>
          <w:rFonts w:hint="eastAsia"/>
          <w:color w:val="000000"/>
        </w:rPr>
        <w:t>3.3各投标人均可就本招标项目上述标段中的</w:t>
      </w:r>
      <w:permStart w:id="25" w:edGrp="everyone"/>
      <w:r>
        <w:rPr>
          <w:rFonts w:hint="eastAsia"/>
          <w:color w:val="000000"/>
        </w:rPr>
        <w:t xml:space="preserve"> </w:t>
      </w:r>
      <w:r>
        <w:rPr>
          <w:rFonts w:hint="eastAsia"/>
          <w:color w:val="000000"/>
          <w:lang w:eastAsia="zh-CN"/>
        </w:rPr>
        <w:t>（</w:t>
      </w:r>
      <w:r>
        <w:rPr>
          <w:rFonts w:hint="eastAsia"/>
          <w:color w:val="000000"/>
        </w:rPr>
        <w:t>具体数量</w:t>
      </w:r>
      <w:r>
        <w:rPr>
          <w:rFonts w:hint="eastAsia"/>
          <w:color w:val="000000"/>
          <w:lang w:eastAsia="zh-CN"/>
        </w:rPr>
        <w:t>）</w:t>
      </w:r>
      <w:r>
        <w:rPr>
          <w:color w:val="000000"/>
        </w:rPr>
        <w:t xml:space="preserve"> </w:t>
      </w:r>
      <w:r>
        <w:rPr>
          <w:rFonts w:hint="eastAsia"/>
          <w:color w:val="000000"/>
        </w:rPr>
        <w:t xml:space="preserve"> </w:t>
      </w:r>
      <w:permEnd w:id="25"/>
      <w:r>
        <w:rPr>
          <w:rFonts w:hint="eastAsia"/>
          <w:color w:val="000000"/>
        </w:rPr>
        <w:t>个标段投标，但最多允许中标</w:t>
      </w:r>
      <w:permStart w:id="26" w:edGrp="everyone"/>
      <w:r>
        <w:rPr>
          <w:rFonts w:hint="eastAsia"/>
          <w:color w:val="000000"/>
          <w:lang w:eastAsia="zh-CN"/>
        </w:rPr>
        <w:t>（</w:t>
      </w:r>
      <w:r>
        <w:rPr>
          <w:rFonts w:hint="eastAsia"/>
          <w:color w:val="000000"/>
        </w:rPr>
        <w:t>具体数量</w:t>
      </w:r>
      <w:r>
        <w:rPr>
          <w:rFonts w:hint="eastAsia"/>
          <w:color w:val="000000"/>
          <w:lang w:eastAsia="zh-CN"/>
        </w:rPr>
        <w:t>）</w:t>
      </w:r>
      <w:r>
        <w:rPr>
          <w:rFonts w:hint="eastAsia"/>
          <w:color w:val="000000"/>
        </w:rPr>
        <w:t xml:space="preserve"> </w:t>
      </w:r>
      <w:r>
        <w:rPr>
          <w:color w:val="000000"/>
        </w:rPr>
        <w:t xml:space="preserve"> </w:t>
      </w:r>
      <w:permEnd w:id="26"/>
      <w:r>
        <w:rPr>
          <w:rFonts w:hint="eastAsia"/>
          <w:color w:val="000000"/>
        </w:rPr>
        <w:t>个标段</w:t>
      </w:r>
      <w:r>
        <w:rPr>
          <w:rFonts w:hint="eastAsia"/>
          <w:color w:val="000000"/>
          <w:lang w:eastAsia="zh-CN"/>
        </w:rPr>
        <w:t>（</w:t>
      </w:r>
      <w:r>
        <w:rPr>
          <w:rFonts w:hint="eastAsia"/>
          <w:color w:val="000000"/>
        </w:rPr>
        <w:t>适用于分标段的招标项目</w:t>
      </w:r>
      <w:r>
        <w:rPr>
          <w:rFonts w:hint="eastAsia"/>
          <w:color w:val="000000"/>
          <w:lang w:eastAsia="zh-CN"/>
        </w:rPr>
        <w:t>）</w:t>
      </w:r>
      <w:r>
        <w:rPr>
          <w:rFonts w:hint="eastAsia"/>
          <w:color w:val="000000"/>
        </w:rPr>
        <w:t>。</w:t>
      </w:r>
    </w:p>
    <w:p>
      <w:pPr>
        <w:spacing w:line="460" w:lineRule="exact"/>
        <w:ind w:firstLine="437"/>
      </w:pPr>
      <w:r>
        <w:rPr>
          <w:rFonts w:hint="eastAsia"/>
          <w:color w:val="000000"/>
        </w:rPr>
        <w:t>3.4</w:t>
      </w:r>
      <w:r>
        <w:t xml:space="preserve"> </w:t>
      </w:r>
      <w:r>
        <w:rPr>
          <w:rFonts w:hint="eastAsia"/>
        </w:rPr>
        <w:t>投标人参与投标前，应当根据《海南省建筑企业诚信档案手册管理办法》的规定，通过省住房和城乡建设厅网站（</w:t>
      </w:r>
      <w:r>
        <w:rPr>
          <w:rFonts w:hint="eastAsia"/>
          <w:lang w:eastAsia="zh-CN"/>
        </w:rPr>
        <w:t>http://zjt.hainan.gov.cn/</w:t>
      </w:r>
      <w:r>
        <w:rPr>
          <w:rFonts w:hint="eastAsia"/>
        </w:rPr>
        <w:t>）登录海南省房屋建筑工程全过程监管信息平台申请《海南省建筑企业诚信档案手册》。</w:t>
      </w:r>
    </w:p>
    <w:p>
      <w:pPr>
        <w:spacing w:line="460" w:lineRule="exact"/>
        <w:ind w:firstLine="437"/>
      </w:pPr>
      <w:r>
        <w:rPr>
          <w:rFonts w:hint="eastAsia"/>
          <w:color w:val="000000"/>
        </w:rPr>
        <w:t>3.5 “信用中国”网站（www.creditchina.gov.cn）查询：投标人被人民法院列为失信被执行人的，投标活动依法予以限制。</w:t>
      </w:r>
    </w:p>
    <w:p>
      <w:pPr>
        <w:spacing w:before="93" w:beforeLines="30" w:after="93" w:afterLines="30"/>
        <w:outlineLvl w:val="2"/>
        <w:rPr>
          <w:rFonts w:ascii="黑体" w:eastAsia="黑体"/>
          <w:color w:val="000000"/>
          <w:sz w:val="24"/>
        </w:rPr>
      </w:pPr>
      <w:bookmarkStart w:id="10" w:name="_Toc114222723"/>
      <w:bookmarkStart w:id="11" w:name="_Toc295812162"/>
      <w:r>
        <w:rPr>
          <w:rFonts w:hint="eastAsia" w:ascii="黑体" w:eastAsia="黑体"/>
          <w:color w:val="000000"/>
          <w:sz w:val="24"/>
        </w:rPr>
        <w:t>4.招标文件的获取</w:t>
      </w:r>
      <w:bookmarkEnd w:id="10"/>
      <w:bookmarkEnd w:id="11"/>
    </w:p>
    <w:p>
      <w:pPr>
        <w:spacing w:after="156" w:afterLines="50" w:line="440" w:lineRule="exact"/>
        <w:ind w:firstLine="437"/>
        <w:rPr>
          <w:color w:val="000000"/>
        </w:rPr>
      </w:pPr>
      <w:r>
        <w:rPr>
          <w:rFonts w:hint="eastAsia"/>
          <w:color w:val="000000"/>
        </w:rPr>
        <w:t>4.1</w:t>
      </w:r>
      <w:r>
        <w:rPr>
          <w:rFonts w:hint="eastAsia"/>
        </w:rPr>
        <w:t>请于</w:t>
      </w:r>
      <w:permStart w:id="27" w:edGrp="everyone"/>
      <w:r>
        <w:rPr>
          <w:rFonts w:hint="eastAsia" w:ascii="黑体" w:eastAsia="黑体"/>
          <w:sz w:val="28"/>
          <w:szCs w:val="28"/>
          <w:u w:val="single"/>
        </w:rPr>
        <w:t>xx</w:t>
      </w:r>
      <w:permEnd w:id="27"/>
      <w:r>
        <w:rPr>
          <w:rFonts w:hint="eastAsia"/>
        </w:rPr>
        <w:t>年</w:t>
      </w:r>
      <w:permStart w:id="28" w:edGrp="everyone"/>
      <w:r>
        <w:rPr>
          <w:rFonts w:hint="eastAsia" w:ascii="黑体" w:eastAsia="黑体"/>
          <w:sz w:val="28"/>
          <w:szCs w:val="28"/>
          <w:u w:val="single"/>
        </w:rPr>
        <w:t>xx</w:t>
      </w:r>
      <w:permEnd w:id="28"/>
      <w:r>
        <w:rPr>
          <w:rFonts w:hint="eastAsia"/>
        </w:rPr>
        <w:t>月</w:t>
      </w:r>
      <w:permStart w:id="29" w:edGrp="everyone"/>
      <w:r>
        <w:rPr>
          <w:rFonts w:hint="eastAsia" w:ascii="黑体" w:eastAsia="黑体"/>
          <w:sz w:val="28"/>
          <w:szCs w:val="28"/>
          <w:u w:val="single"/>
        </w:rPr>
        <w:t>xx</w:t>
      </w:r>
      <w:permEnd w:id="29"/>
      <w:r>
        <w:rPr>
          <w:rFonts w:hint="eastAsia"/>
        </w:rPr>
        <w:t>日</w:t>
      </w:r>
      <w:permStart w:id="30" w:edGrp="everyone"/>
      <w:r>
        <w:rPr>
          <w:rFonts w:hint="eastAsia" w:ascii="黑体" w:eastAsia="黑体"/>
          <w:sz w:val="28"/>
          <w:szCs w:val="28"/>
          <w:u w:val="single"/>
        </w:rPr>
        <w:t>xx</w:t>
      </w:r>
      <w:permEnd w:id="30"/>
      <w:r>
        <w:rPr>
          <w:rFonts w:hint="eastAsia"/>
        </w:rPr>
        <w:t>时</w:t>
      </w:r>
      <w:permStart w:id="31" w:edGrp="everyone"/>
      <w:r>
        <w:rPr>
          <w:rFonts w:hint="eastAsia" w:ascii="黑体" w:eastAsia="黑体"/>
          <w:sz w:val="28"/>
          <w:szCs w:val="28"/>
          <w:u w:val="single"/>
        </w:rPr>
        <w:t>xx</w:t>
      </w:r>
      <w:permEnd w:id="31"/>
      <w:r>
        <w:rPr>
          <w:rFonts w:hint="eastAsia"/>
        </w:rPr>
        <w:t>分至</w:t>
      </w:r>
      <w:permStart w:id="32" w:edGrp="everyone"/>
      <w:r>
        <w:rPr>
          <w:rFonts w:hint="eastAsia" w:ascii="黑体" w:eastAsia="黑体"/>
          <w:sz w:val="28"/>
          <w:szCs w:val="28"/>
          <w:u w:val="single"/>
        </w:rPr>
        <w:t>xx</w:t>
      </w:r>
      <w:permEnd w:id="32"/>
      <w:r>
        <w:rPr>
          <w:rFonts w:hint="eastAsia"/>
        </w:rPr>
        <w:t>年</w:t>
      </w:r>
      <w:permStart w:id="33" w:edGrp="everyone"/>
      <w:r>
        <w:rPr>
          <w:rFonts w:hint="eastAsia" w:ascii="黑体" w:eastAsia="黑体"/>
          <w:sz w:val="28"/>
          <w:szCs w:val="28"/>
          <w:u w:val="single"/>
        </w:rPr>
        <w:t>xx</w:t>
      </w:r>
      <w:permEnd w:id="33"/>
      <w:r>
        <w:rPr>
          <w:rFonts w:hint="eastAsia"/>
        </w:rPr>
        <w:t>月</w:t>
      </w:r>
      <w:permStart w:id="34" w:edGrp="everyone"/>
      <w:r>
        <w:rPr>
          <w:rFonts w:hint="eastAsia" w:ascii="黑体" w:eastAsia="黑体"/>
          <w:sz w:val="28"/>
          <w:szCs w:val="28"/>
          <w:u w:val="single"/>
        </w:rPr>
        <w:t>xx</w:t>
      </w:r>
      <w:permEnd w:id="34"/>
      <w:r>
        <w:rPr>
          <w:rFonts w:hint="eastAsia"/>
        </w:rPr>
        <w:t>日</w:t>
      </w:r>
      <w:permStart w:id="35" w:edGrp="everyone"/>
      <w:r>
        <w:rPr>
          <w:rFonts w:hint="eastAsia" w:ascii="黑体" w:eastAsia="黑体"/>
          <w:sz w:val="28"/>
          <w:szCs w:val="28"/>
          <w:u w:val="single"/>
        </w:rPr>
        <w:t>xx</w:t>
      </w:r>
      <w:permEnd w:id="35"/>
      <w:r>
        <w:rPr>
          <w:rFonts w:hint="eastAsia"/>
        </w:rPr>
        <w:t>时</w:t>
      </w:r>
      <w:permStart w:id="36" w:edGrp="everyone"/>
      <w:r>
        <w:rPr>
          <w:rFonts w:hint="eastAsia" w:ascii="黑体" w:eastAsia="黑体"/>
          <w:sz w:val="28"/>
          <w:szCs w:val="28"/>
          <w:u w:val="single"/>
        </w:rPr>
        <w:t>xx</w:t>
      </w:r>
      <w:permEnd w:id="36"/>
      <w:r>
        <w:rPr>
          <w:rFonts w:hint="eastAsia"/>
        </w:rPr>
        <w:t>分</w:t>
      </w:r>
      <w:r>
        <w:rPr>
          <w:color w:val="000000"/>
          <w:szCs w:val="21"/>
        </w:rPr>
        <w:t>（北京时间，下同），</w:t>
      </w:r>
      <w:r>
        <w:rPr>
          <w:rFonts w:hint="eastAsia"/>
        </w:rPr>
        <w:t>从</w:t>
      </w:r>
      <w:permStart w:id="37" w:edGrp="everyone"/>
      <w:r>
        <w:rPr>
          <w:rFonts w:hint="eastAsia"/>
        </w:rPr>
        <w:t>全国公共资源交易平台（海南省）（</w:t>
      </w:r>
      <w:r>
        <w:rPr>
          <w:rFonts w:hint="eastAsia"/>
          <w:lang w:eastAsia="zh-CN"/>
        </w:rPr>
        <w:t>http://zw.hainan.gov.cn/ggzyjy</w:t>
      </w:r>
      <w:r>
        <w:t>/</w:t>
      </w:r>
      <w:r>
        <w:rPr>
          <w:rFonts w:hint="eastAsia"/>
        </w:rPr>
        <w:t>）</w:t>
      </w:r>
      <w:permEnd w:id="37"/>
      <w:r>
        <w:rPr>
          <w:rFonts w:hint="eastAsia"/>
        </w:rPr>
        <w:t>下载招标文件。</w:t>
      </w:r>
    </w:p>
    <w:p>
      <w:pPr>
        <w:spacing w:after="156" w:afterLines="50" w:line="440" w:lineRule="exact"/>
        <w:ind w:firstLine="437"/>
        <w:rPr>
          <w:color w:val="000000"/>
        </w:rPr>
      </w:pPr>
      <w:r>
        <w:rPr>
          <w:rFonts w:hint="eastAsia"/>
          <w:color w:val="000000"/>
        </w:rPr>
        <w:t>4.2招标文件每套售价</w:t>
      </w:r>
      <w:permStart w:id="38" w:edGrp="everyone"/>
      <w:r>
        <w:rPr>
          <w:rFonts w:hint="eastAsia"/>
          <w:color w:val="000000"/>
        </w:rPr>
        <w:t xml:space="preserve">  </w:t>
      </w:r>
      <w:permEnd w:id="38"/>
      <w:r>
        <w:rPr>
          <w:rFonts w:hint="eastAsia"/>
          <w:color w:val="000000"/>
        </w:rPr>
        <w:t>元</w:t>
      </w:r>
      <w:r>
        <w:rPr>
          <w:rFonts w:hint="eastAsia"/>
        </w:rPr>
        <w:t>（</w:t>
      </w:r>
      <w:permStart w:id="39" w:edGrp="everyone"/>
      <w:r>
        <w:rPr>
          <w:rFonts w:hint="eastAsia"/>
          <w:color w:val="000000"/>
        </w:rPr>
        <w:t xml:space="preserve"> 是否有 </w:t>
      </w:r>
      <w:permEnd w:id="39"/>
      <w:r>
        <w:rPr>
          <w:color w:val="000000"/>
          <w:szCs w:val="21"/>
        </w:rPr>
        <w:t>图纸</w:t>
      </w:r>
      <w:r>
        <w:rPr>
          <w:rFonts w:hint="eastAsia"/>
          <w:color w:val="000000"/>
          <w:szCs w:val="21"/>
        </w:rPr>
        <w:t>）</w:t>
      </w:r>
      <w:r>
        <w:rPr>
          <w:rFonts w:hint="eastAsia"/>
          <w:color w:val="000000"/>
        </w:rPr>
        <w:t>，售后不退；</w:t>
      </w:r>
      <w:r>
        <w:t>投标保证金的金额</w:t>
      </w:r>
      <w:r>
        <w:rPr>
          <w:rFonts w:hint="eastAsia"/>
        </w:rPr>
        <w:t>：</w:t>
      </w:r>
      <w:permStart w:id="40" w:edGrp="everyone"/>
      <w:r>
        <w:rPr>
          <w:rFonts w:hint="eastAsia" w:ascii="黑体" w:eastAsia="黑体"/>
          <w:sz w:val="28"/>
          <w:szCs w:val="28"/>
          <w:u w:val="single"/>
        </w:rPr>
        <w:t>xxxx</w:t>
      </w:r>
      <w:permEnd w:id="40"/>
      <w:r>
        <w:t>元</w:t>
      </w:r>
      <w:r>
        <w:rPr>
          <w:rFonts w:hint="eastAsia"/>
          <w:color w:val="000000"/>
        </w:rPr>
        <w:t>。</w:t>
      </w:r>
    </w:p>
    <w:p>
      <w:pPr>
        <w:spacing w:before="93" w:beforeLines="30" w:after="93" w:afterLines="30"/>
        <w:outlineLvl w:val="2"/>
        <w:rPr>
          <w:rFonts w:ascii="黑体" w:eastAsia="黑体"/>
          <w:color w:val="000000"/>
          <w:sz w:val="24"/>
        </w:rPr>
      </w:pPr>
      <w:bookmarkStart w:id="12" w:name="_Toc114222724"/>
      <w:bookmarkStart w:id="13" w:name="_Toc295812163"/>
      <w:r>
        <w:rPr>
          <w:rFonts w:hint="eastAsia" w:ascii="黑体" w:eastAsia="黑体"/>
          <w:color w:val="000000"/>
          <w:sz w:val="24"/>
        </w:rPr>
        <w:t>5.投标文件和保证金的递交</w:t>
      </w:r>
      <w:bookmarkEnd w:id="12"/>
      <w:bookmarkEnd w:id="13"/>
    </w:p>
    <w:p>
      <w:pPr>
        <w:spacing w:line="440" w:lineRule="exact"/>
        <w:ind w:firstLine="435"/>
        <w:rPr>
          <w:color w:val="000000"/>
        </w:rPr>
      </w:pPr>
      <w:r>
        <w:rPr>
          <w:rFonts w:hint="eastAsia"/>
          <w:color w:val="000000"/>
        </w:rPr>
        <w:t>5.1投标文件递交的截止时间</w:t>
      </w:r>
      <w:r>
        <w:rPr>
          <w:rFonts w:hint="eastAsia"/>
          <w:color w:val="000000"/>
          <w:lang w:eastAsia="zh-CN"/>
        </w:rPr>
        <w:t>（</w:t>
      </w:r>
      <w:r>
        <w:rPr>
          <w:rFonts w:hint="eastAsia"/>
          <w:color w:val="000000"/>
        </w:rPr>
        <w:t>投标截止时间，下同</w:t>
      </w:r>
      <w:r>
        <w:rPr>
          <w:rFonts w:hint="eastAsia"/>
          <w:color w:val="000000"/>
          <w:lang w:eastAsia="zh-CN"/>
        </w:rPr>
        <w:t>）</w:t>
      </w:r>
      <w:r>
        <w:rPr>
          <w:rFonts w:hint="eastAsia"/>
          <w:color w:val="000000"/>
        </w:rPr>
        <w:t>为</w:t>
      </w:r>
      <w:permStart w:id="41" w:edGrp="everyone"/>
      <w:r>
        <w:rPr>
          <w:rFonts w:hint="eastAsia"/>
          <w:color w:val="000000"/>
        </w:rPr>
        <w:t xml:space="preserve"> </w:t>
      </w:r>
      <w:permEnd w:id="41"/>
      <w:r>
        <w:rPr>
          <w:rFonts w:hint="eastAsia"/>
          <w:color w:val="000000"/>
        </w:rPr>
        <w:t>年</w:t>
      </w:r>
      <w:permStart w:id="42" w:edGrp="everyone"/>
      <w:r>
        <w:rPr>
          <w:rFonts w:hint="eastAsia"/>
          <w:color w:val="000000"/>
        </w:rPr>
        <w:t xml:space="preserve"> </w:t>
      </w:r>
      <w:permEnd w:id="42"/>
      <w:r>
        <w:rPr>
          <w:rFonts w:hint="eastAsia"/>
          <w:color w:val="000000"/>
        </w:rPr>
        <w:t>月</w:t>
      </w:r>
      <w:permStart w:id="43" w:edGrp="everyone"/>
      <w:r>
        <w:rPr>
          <w:rFonts w:hint="eastAsia"/>
          <w:color w:val="000000"/>
        </w:rPr>
        <w:t xml:space="preserve"> </w:t>
      </w:r>
      <w:permEnd w:id="43"/>
      <w:r>
        <w:rPr>
          <w:rFonts w:hint="eastAsia"/>
          <w:color w:val="000000"/>
        </w:rPr>
        <w:t>日</w:t>
      </w:r>
      <w:permStart w:id="44" w:edGrp="everyone"/>
      <w:r>
        <w:rPr>
          <w:rFonts w:hint="eastAsia"/>
          <w:color w:val="000000"/>
        </w:rPr>
        <w:t xml:space="preserve"> </w:t>
      </w:r>
      <w:permEnd w:id="44"/>
      <w:r>
        <w:rPr>
          <w:rFonts w:hint="eastAsia"/>
          <w:color w:val="000000"/>
        </w:rPr>
        <w:t>时</w:t>
      </w:r>
      <w:permStart w:id="45" w:edGrp="everyone"/>
      <w:r>
        <w:rPr>
          <w:rFonts w:hint="eastAsia"/>
          <w:color w:val="000000"/>
        </w:rPr>
        <w:t xml:space="preserve"> </w:t>
      </w:r>
      <w:permEnd w:id="45"/>
      <w:r>
        <w:rPr>
          <w:rFonts w:hint="eastAsia"/>
          <w:color w:val="000000"/>
        </w:rPr>
        <w:t>分，地点为</w:t>
      </w:r>
      <w:permStart w:id="46" w:edGrp="everyone"/>
      <w:r>
        <w:rPr>
          <w:rFonts w:hint="eastAsia"/>
          <w:color w:val="000000"/>
        </w:rPr>
        <w:t>海南省公共资源交易中心</w:t>
      </w:r>
      <w:r>
        <w:rPr>
          <w:rFonts w:hint="eastAsia"/>
          <w:color w:val="000000"/>
          <w:lang w:eastAsia="zh-CN"/>
        </w:rPr>
        <w:t>（</w:t>
      </w:r>
      <w:r>
        <w:rPr>
          <w:rFonts w:hint="eastAsia"/>
          <w:color w:val="000000"/>
        </w:rPr>
        <w:t>海口市国兴大道9号</w:t>
      </w:r>
      <w:r>
        <w:rPr>
          <w:rFonts w:hint="eastAsia"/>
          <w:color w:val="000000"/>
          <w:lang w:eastAsia="zh-CN"/>
        </w:rPr>
        <w:t>）</w:t>
      </w:r>
      <w:r>
        <w:rPr>
          <w:rFonts w:hint="eastAsia"/>
          <w:color w:val="000000"/>
          <w:u w:val="single"/>
        </w:rPr>
        <w:t xml:space="preserve">     </w:t>
      </w:r>
      <w:permEnd w:id="46"/>
      <w:r>
        <w:rPr>
          <w:rFonts w:hint="eastAsia"/>
          <w:color w:val="000000"/>
        </w:rPr>
        <w:t>。（适用于现场递交）</w:t>
      </w:r>
    </w:p>
    <w:p>
      <w:pPr>
        <w:spacing w:line="440" w:lineRule="exact"/>
        <w:ind w:firstLine="435"/>
        <w:rPr>
          <w:color w:val="000000"/>
        </w:rPr>
      </w:pPr>
      <w:r>
        <w:rPr>
          <w:color w:val="000000"/>
        </w:rPr>
        <w:t>5</w:t>
      </w:r>
      <w:r>
        <w:rPr>
          <w:rFonts w:hint="eastAsia"/>
          <w:color w:val="000000"/>
        </w:rPr>
        <w:t>.</w:t>
      </w:r>
      <w:r>
        <w:rPr>
          <w:color w:val="000000"/>
        </w:rPr>
        <w:t xml:space="preserve">2 </w:t>
      </w:r>
      <w:r>
        <w:rPr>
          <w:color w:val="000000"/>
          <w:szCs w:val="21"/>
        </w:rPr>
        <w:t>投标文件递交的截止时间（投标截止时间，下同）为</w:t>
      </w:r>
      <w:permStart w:id="47" w:edGrp="everyone"/>
      <w:r>
        <w:rPr>
          <w:rFonts w:hint="eastAsia"/>
          <w:color w:val="000000"/>
          <w:szCs w:val="21"/>
        </w:rPr>
        <w:t xml:space="preserve"> </w:t>
      </w:r>
      <w:permEnd w:id="47"/>
      <w:r>
        <w:rPr>
          <w:color w:val="000000"/>
          <w:szCs w:val="21"/>
        </w:rPr>
        <w:t>年</w:t>
      </w:r>
      <w:permStart w:id="48" w:edGrp="everyone"/>
      <w:r>
        <w:rPr>
          <w:rFonts w:hint="eastAsia"/>
          <w:color w:val="000000"/>
          <w:szCs w:val="21"/>
        </w:rPr>
        <w:t xml:space="preserve"> </w:t>
      </w:r>
      <w:permEnd w:id="48"/>
      <w:r>
        <w:rPr>
          <w:color w:val="000000"/>
          <w:szCs w:val="21"/>
        </w:rPr>
        <w:t>月</w:t>
      </w:r>
      <w:permStart w:id="49" w:edGrp="everyone"/>
      <w:r>
        <w:rPr>
          <w:rFonts w:hint="eastAsia"/>
          <w:color w:val="000000"/>
          <w:szCs w:val="21"/>
        </w:rPr>
        <w:t xml:space="preserve"> </w:t>
      </w:r>
      <w:permEnd w:id="49"/>
      <w:r>
        <w:rPr>
          <w:color w:val="000000"/>
          <w:szCs w:val="21"/>
        </w:rPr>
        <w:t>日</w:t>
      </w:r>
      <w:permStart w:id="50" w:edGrp="everyone"/>
      <w:r>
        <w:rPr>
          <w:rFonts w:hint="eastAsia"/>
          <w:color w:val="000000"/>
          <w:szCs w:val="21"/>
        </w:rPr>
        <w:t xml:space="preserve"> </w:t>
      </w:r>
      <w:permEnd w:id="50"/>
      <w:r>
        <w:rPr>
          <w:color w:val="000000"/>
          <w:szCs w:val="21"/>
        </w:rPr>
        <w:t>时</w:t>
      </w:r>
      <w:permStart w:id="51" w:edGrp="everyone"/>
      <w:r>
        <w:rPr>
          <w:rFonts w:hint="eastAsia"/>
          <w:color w:val="000000"/>
          <w:szCs w:val="21"/>
        </w:rPr>
        <w:t xml:space="preserve"> </w:t>
      </w:r>
      <w:permEnd w:id="51"/>
      <w:r>
        <w:rPr>
          <w:color w:val="000000"/>
          <w:szCs w:val="21"/>
        </w:rPr>
        <w:t>分。</w:t>
      </w:r>
      <w:r>
        <w:rPr>
          <w:rFonts w:hint="eastAsia"/>
          <w:color w:val="000000"/>
          <w:szCs w:val="21"/>
        </w:rPr>
        <w:t>投标人应当通过远程或者到招标投标交易场所使用数字身份认证锁登录</w:t>
      </w:r>
      <w:r>
        <w:rPr>
          <w:rFonts w:hint="eastAsia"/>
        </w:rPr>
        <w:t>全国公共资源交易平台（海南省）（</w:t>
      </w:r>
      <w:r>
        <w:rPr>
          <w:rFonts w:hint="eastAsia"/>
          <w:lang w:eastAsia="zh-CN"/>
        </w:rPr>
        <w:t>http://zw.hainan.gov.cn/ggzy</w:t>
      </w:r>
      <w:r>
        <w:rPr>
          <w:rFonts w:hint="eastAsia"/>
          <w:lang w:val="en-US" w:eastAsia="zh-CN"/>
        </w:rPr>
        <w:t>jy</w:t>
      </w:r>
      <w:r>
        <w:t>/</w:t>
      </w:r>
      <w:r>
        <w:rPr>
          <w:rFonts w:hint="eastAsia"/>
        </w:rPr>
        <w:t>）</w:t>
      </w:r>
      <w:r>
        <w:rPr>
          <w:rFonts w:hint="eastAsia"/>
          <w:color w:val="000000"/>
          <w:szCs w:val="21"/>
        </w:rPr>
        <w:t>上传。（适用于网络递交）</w:t>
      </w:r>
    </w:p>
    <w:p>
      <w:pPr>
        <w:spacing w:before="297" w:line="227" w:lineRule="auto"/>
        <w:ind w:left="2" w:firstLine="422" w:firstLineChars="201"/>
        <w:jc w:val="both"/>
        <w:rPr>
          <w:color w:val="000000"/>
          <w:szCs w:val="21"/>
        </w:rPr>
      </w:pPr>
      <w:r>
        <w:rPr>
          <w:rFonts w:hint="eastAsia"/>
        </w:rPr>
        <w:t>5.3投标</w:t>
      </w:r>
      <w:r>
        <w:rPr>
          <w:color w:val="000000"/>
          <w:szCs w:val="21"/>
        </w:rPr>
        <w:t>保证金到账截止日期：</w:t>
      </w:r>
      <w:permStart w:id="52" w:edGrp="everyone"/>
      <w:r>
        <w:rPr>
          <w:rFonts w:ascii="黑体" w:eastAsia="黑体"/>
          <w:sz w:val="28"/>
          <w:szCs w:val="28"/>
          <w:u w:val="single"/>
        </w:rPr>
        <w:t xml:space="preserve">  </w:t>
      </w:r>
      <w:permEnd w:id="52"/>
      <w:r>
        <w:rPr>
          <w:rFonts w:hint="eastAsia"/>
        </w:rPr>
        <w:t>年</w:t>
      </w:r>
      <w:permStart w:id="53" w:edGrp="everyone"/>
      <w:r>
        <w:rPr>
          <w:rFonts w:ascii="黑体" w:eastAsia="黑体"/>
          <w:sz w:val="28"/>
          <w:szCs w:val="28"/>
          <w:u w:val="single"/>
        </w:rPr>
        <w:t xml:space="preserve">  </w:t>
      </w:r>
      <w:permEnd w:id="53"/>
      <w:r>
        <w:rPr>
          <w:rFonts w:hint="eastAsia"/>
        </w:rPr>
        <w:t>月</w:t>
      </w:r>
      <w:permStart w:id="54" w:edGrp="everyone"/>
      <w:r>
        <w:rPr>
          <w:rFonts w:ascii="黑体" w:eastAsia="黑体"/>
          <w:sz w:val="28"/>
          <w:szCs w:val="28"/>
          <w:u w:val="single"/>
        </w:rPr>
        <w:t xml:space="preserve">  </w:t>
      </w:r>
      <w:permEnd w:id="54"/>
      <w:r>
        <w:rPr>
          <w:rFonts w:hint="eastAsia"/>
        </w:rPr>
        <w:t>日</w:t>
      </w:r>
      <w:permStart w:id="55" w:edGrp="everyone"/>
      <w:r>
        <w:rPr>
          <w:rFonts w:ascii="黑体" w:eastAsia="黑体"/>
          <w:sz w:val="28"/>
          <w:szCs w:val="28"/>
          <w:u w:val="single"/>
        </w:rPr>
        <w:t xml:space="preserve">  </w:t>
      </w:r>
      <w:permEnd w:id="55"/>
      <w:r>
        <w:rPr>
          <w:rFonts w:hint="eastAsia"/>
        </w:rPr>
        <w:t>时</w:t>
      </w:r>
      <w:permStart w:id="56" w:edGrp="everyone"/>
      <w:r>
        <w:rPr>
          <w:rFonts w:ascii="黑体" w:eastAsia="黑体"/>
          <w:sz w:val="28"/>
          <w:szCs w:val="28"/>
          <w:u w:val="single"/>
        </w:rPr>
        <w:t xml:space="preserve">  </w:t>
      </w:r>
      <w:permEnd w:id="56"/>
      <w:r>
        <w:rPr>
          <w:rFonts w:hint="eastAsia"/>
        </w:rPr>
        <w:t>分，</w:t>
      </w:r>
      <w:bookmarkStart w:id="14" w:name="OLE_LINK3"/>
      <w:bookmarkStart w:id="15" w:name="OLE_LINK4"/>
      <w:r>
        <w:rPr>
          <w:color w:val="000000"/>
          <w:szCs w:val="21"/>
        </w:rPr>
        <w:t>投标保证金的形式：</w:t>
      </w:r>
      <w:bookmarkEnd w:id="14"/>
      <w:bookmarkEnd w:id="15"/>
      <w:r>
        <w:rPr>
          <w:szCs w:val="21"/>
        </w:rPr>
        <w:t>网上支付</w:t>
      </w:r>
      <w:r>
        <w:rPr>
          <w:rFonts w:hint="eastAsia"/>
          <w:szCs w:val="21"/>
        </w:rPr>
        <w:t>或</w:t>
      </w:r>
      <w:r>
        <w:rPr>
          <w:rFonts w:hint="eastAsia"/>
          <w:color w:val="000000"/>
          <w:szCs w:val="21"/>
        </w:rPr>
        <w:t>线下银行转账</w:t>
      </w:r>
      <w:r>
        <w:rPr>
          <w:color w:val="000000"/>
          <w:szCs w:val="21"/>
        </w:rPr>
        <w:t>支付</w:t>
      </w:r>
      <w:permStart w:id="57" w:edGrp="everyone"/>
      <w:r>
        <w:rPr>
          <w:rFonts w:hint="eastAsia"/>
          <w:color w:val="000000"/>
          <w:szCs w:val="21"/>
        </w:rPr>
        <w:t>、</w:t>
      </w:r>
      <w:r>
        <w:fldChar w:fldCharType="begin"/>
      </w:r>
      <w:r>
        <w:instrText xml:space="preserve"> HYPERLINK "https://www.baidu.com/s?wd=%E9%93%B6%E8%A1%8C%E4%BF%9D%E5%87%BD&amp;tn=44039180_cpr&amp;fenlei=mv6quAkxTZn0IZRqIHckPjm4nH00T1YLrjwbnH03uWu9PWN-PjRY0ZwV5Hcvrjm3rH6sPfKWUMw85HfYnjn4nH6sgvPsT6KdThsqpZwYTjCEQLGCpyw9Uz4Bmy-bIi4WUvYETgN-TLwGUv3EnHnYP1TLrjDvP1DzrHndrj6d" \t "_blank" </w:instrText>
      </w:r>
      <w:r>
        <w:fldChar w:fldCharType="separate"/>
      </w:r>
      <w:r>
        <w:rPr>
          <w:rFonts w:hint="eastAsia"/>
          <w:color w:val="000000"/>
          <w:szCs w:val="21"/>
        </w:rPr>
        <w:t>银行保函</w:t>
      </w:r>
      <w:r>
        <w:rPr>
          <w:rFonts w:hint="eastAsia"/>
          <w:color w:val="000000"/>
          <w:szCs w:val="21"/>
        </w:rPr>
        <w:fldChar w:fldCharType="end"/>
      </w:r>
      <w:r>
        <w:rPr>
          <w:color w:val="000000"/>
          <w:szCs w:val="21"/>
        </w:rPr>
        <w:t>支付</w:t>
      </w:r>
      <w:permEnd w:id="57"/>
      <w:r>
        <w:rPr>
          <w:rFonts w:hint="eastAsia"/>
          <w:color w:val="000000"/>
          <w:szCs w:val="21"/>
        </w:rPr>
        <w:t>，支付地址：</w:t>
      </w:r>
      <w:permStart w:id="58" w:edGrp="everyone"/>
      <w:r>
        <w:rPr>
          <w:rFonts w:hint="eastAsia"/>
          <w:szCs w:val="21"/>
          <w:lang w:eastAsia="zh-CN"/>
        </w:rPr>
        <w:t>http://zw.hainan.gov.cn/ggzy</w:t>
      </w:r>
      <w:r>
        <w:rPr>
          <w:rFonts w:hint="eastAsia"/>
          <w:szCs w:val="21"/>
          <w:lang w:val="en-US" w:eastAsia="zh-CN"/>
        </w:rPr>
        <w:t>jy</w:t>
      </w:r>
      <w:r>
        <w:rPr>
          <w:rFonts w:hint="eastAsia"/>
          <w:szCs w:val="21"/>
          <w:lang w:eastAsia="zh-CN"/>
        </w:rPr>
        <w:t>/</w:t>
      </w:r>
      <w:r>
        <w:rPr>
          <w:rFonts w:ascii="宋体" w:hAnsi="宋体" w:eastAsia="宋体" w:cs="宋体"/>
          <w:spacing w:val="-3"/>
          <w:sz w:val="24"/>
          <w:szCs w:val="24"/>
        </w:rPr>
        <w:t>(远程不见面开标仅支持线上方式</w:t>
      </w:r>
      <w:r>
        <w:rPr>
          <w:rFonts w:ascii="宋体" w:hAnsi="宋体" w:eastAsia="宋体" w:cs="宋体"/>
          <w:spacing w:val="7"/>
          <w:sz w:val="24"/>
          <w:szCs w:val="24"/>
        </w:rPr>
        <w:t xml:space="preserve"> </w:t>
      </w:r>
      <w:r>
        <w:rPr>
          <w:rFonts w:ascii="宋体" w:hAnsi="宋体" w:eastAsia="宋体" w:cs="宋体"/>
          <w:spacing w:val="-6"/>
          <w:sz w:val="24"/>
          <w:szCs w:val="24"/>
        </w:rPr>
        <w:t>递交保证金)。</w:t>
      </w:r>
      <w:permEnd w:id="58"/>
    </w:p>
    <w:p>
      <w:pPr>
        <w:spacing w:before="156" w:beforeLines="50" w:after="312" w:afterLines="100"/>
        <w:ind w:firstLine="420"/>
        <w:outlineLvl w:val="2"/>
        <w:rPr>
          <w:color w:val="000000"/>
        </w:rPr>
      </w:pPr>
      <w:bookmarkStart w:id="16" w:name="_Toc114222725"/>
      <w:bookmarkStart w:id="17" w:name="_Toc295812164"/>
      <w:r>
        <w:rPr>
          <w:rFonts w:hint="eastAsia"/>
          <w:color w:val="000000"/>
        </w:rPr>
        <w:t>5.</w:t>
      </w:r>
      <w:r>
        <w:rPr>
          <w:color w:val="000000"/>
        </w:rPr>
        <w:t>4</w:t>
      </w:r>
      <w:r>
        <w:rPr>
          <w:rFonts w:hint="eastAsia"/>
          <w:color w:val="000000"/>
        </w:rPr>
        <w:t>逾期送达的或者未送达指定地点的投标文件，招标人不予受理</w:t>
      </w:r>
      <w:r>
        <w:rPr>
          <w:rFonts w:hint="eastAsia"/>
          <w:color w:val="000000"/>
          <w:lang w:eastAsia="zh-CN"/>
        </w:rPr>
        <w:t>。</w:t>
      </w:r>
      <w:bookmarkEnd w:id="16"/>
    </w:p>
    <w:p>
      <w:pPr>
        <w:spacing w:before="93" w:beforeLines="30" w:after="93" w:afterLines="30"/>
        <w:outlineLvl w:val="2"/>
        <w:rPr>
          <w:rFonts w:ascii="黑体" w:eastAsia="黑体"/>
          <w:color w:val="000000"/>
          <w:sz w:val="24"/>
        </w:rPr>
      </w:pPr>
      <w:bookmarkStart w:id="18" w:name="_Toc114222726"/>
      <w:r>
        <w:rPr>
          <w:rFonts w:hint="eastAsia" w:ascii="黑体" w:eastAsia="黑体"/>
          <w:color w:val="000000"/>
          <w:sz w:val="24"/>
        </w:rPr>
        <w:t>6.发布公告的媒介</w:t>
      </w:r>
      <w:bookmarkEnd w:id="17"/>
      <w:bookmarkEnd w:id="18"/>
    </w:p>
    <w:p>
      <w:pPr>
        <w:spacing w:line="440" w:lineRule="exact"/>
        <w:ind w:firstLine="437"/>
        <w:rPr>
          <w:color w:val="000000"/>
        </w:rPr>
      </w:pPr>
      <w:r>
        <w:rPr>
          <w:rFonts w:hint="eastAsia"/>
          <w:color w:val="000000"/>
        </w:rPr>
        <w:t>本次招标公告在《全国公共资源交易平台（海南省）》</w:t>
      </w:r>
      <w:permStart w:id="59" w:edGrp="everyone"/>
      <w:r>
        <w:rPr>
          <w:rFonts w:hint="eastAsia"/>
          <w:color w:val="000000"/>
        </w:rPr>
        <w:t xml:space="preserve">     </w:t>
      </w:r>
      <w:permEnd w:id="59"/>
      <w:r>
        <w:rPr>
          <w:rFonts w:hint="eastAsia"/>
          <w:color w:val="000000"/>
        </w:rPr>
        <w:t>等媒介上发布。</w:t>
      </w:r>
    </w:p>
    <w:p>
      <w:pPr>
        <w:spacing w:before="93" w:beforeLines="30" w:after="93" w:afterLines="30"/>
        <w:outlineLvl w:val="2"/>
        <w:rPr>
          <w:rFonts w:ascii="黑体" w:eastAsia="黑体"/>
          <w:color w:val="000000"/>
          <w:sz w:val="24"/>
        </w:rPr>
      </w:pPr>
      <w:bookmarkStart w:id="19" w:name="_Toc114222727"/>
      <w:r>
        <w:rPr>
          <w:rFonts w:ascii="黑体" w:eastAsia="黑体"/>
          <w:color w:val="000000"/>
          <w:sz w:val="24"/>
        </w:rPr>
        <w:t>7</w:t>
      </w:r>
      <w:r>
        <w:rPr>
          <w:rFonts w:hint="eastAsia" w:ascii="黑体" w:eastAsia="黑体"/>
          <w:color w:val="000000"/>
          <w:sz w:val="24"/>
        </w:rPr>
        <w:t>.其他</w:t>
      </w:r>
      <w:bookmarkEnd w:id="19"/>
    </w:p>
    <w:p>
      <w:pPr>
        <w:spacing w:line="440" w:lineRule="exact"/>
        <w:ind w:firstLine="437"/>
        <w:rPr>
          <w:color w:val="000000"/>
        </w:rPr>
      </w:pPr>
      <w:r>
        <w:t>7</w:t>
      </w:r>
      <w:r>
        <w:rPr>
          <w:color w:val="000000"/>
        </w:rPr>
        <w:t>.</w:t>
      </w:r>
      <w:r>
        <w:rPr>
          <w:rFonts w:hint="eastAsia"/>
          <w:color w:val="000000"/>
        </w:rPr>
        <w:t>1投标人须在</w:t>
      </w:r>
      <w:permStart w:id="60" w:edGrp="everyone"/>
      <w:r>
        <w:rPr>
          <w:rFonts w:hint="eastAsia"/>
          <w:color w:val="000000"/>
        </w:rPr>
        <w:t>全国公共资源交易平台（海南省）企业信息管理系统（</w:t>
      </w:r>
      <w:r>
        <w:rPr>
          <w:rFonts w:hint="eastAsia"/>
          <w:color w:val="000000"/>
          <w:lang w:eastAsia="zh-CN"/>
        </w:rPr>
        <w:t>http://zw.hainan.gov.cn/ggzyjy</w:t>
      </w:r>
      <w:r>
        <w:rPr>
          <w:rFonts w:hint="eastAsia"/>
          <w:color w:val="000000"/>
        </w:rPr>
        <w:t>/</w:t>
      </w:r>
      <w:r>
        <w:rPr>
          <w:rFonts w:hint="eastAsia"/>
          <w:color w:val="000000"/>
          <w:lang w:eastAsia="zh-CN"/>
        </w:rPr>
        <w:t>）</w:t>
      </w:r>
      <w:permEnd w:id="60"/>
      <w:r>
        <w:rPr>
          <w:rFonts w:hint="eastAsia"/>
          <w:color w:val="000000"/>
        </w:rPr>
        <w:t>中登记企业信息，</w:t>
      </w:r>
      <w:r>
        <w:rPr>
          <w:rFonts w:hint="eastAsia"/>
          <w:color w:val="000000"/>
          <w:lang w:eastAsia="zh-CN"/>
        </w:rPr>
        <w:t>然后登录</w:t>
      </w:r>
      <w:permStart w:id="61" w:edGrp="everyone"/>
      <w:r>
        <w:rPr>
          <w:rFonts w:hint="eastAsia"/>
          <w:color w:val="000000"/>
        </w:rPr>
        <w:t>招投标交易平台</w:t>
      </w:r>
      <w:r>
        <w:rPr>
          <w:rFonts w:hint="eastAsia"/>
          <w:color w:val="000000"/>
          <w:lang w:eastAsia="zh-CN"/>
        </w:rPr>
        <w:t>（http://zw.hainan.gov.cn/ggzyjy</w:t>
      </w:r>
      <w:r>
        <w:rPr>
          <w:color w:val="000000"/>
        </w:rPr>
        <w:t>/</w:t>
      </w:r>
      <w:r>
        <w:rPr>
          <w:rFonts w:hint="eastAsia"/>
          <w:color w:val="000000"/>
          <w:lang w:eastAsia="zh-CN"/>
        </w:rPr>
        <w:t>）</w:t>
      </w:r>
      <w:permEnd w:id="61"/>
      <w:r>
        <w:rPr>
          <w:rFonts w:hint="eastAsia"/>
          <w:color w:val="000000"/>
        </w:rPr>
        <w:t>下载、查看电子版的招标文件及其他文件；</w:t>
      </w:r>
    </w:p>
    <w:p>
      <w:pPr>
        <w:spacing w:line="440" w:lineRule="exact"/>
        <w:ind w:firstLine="437"/>
        <w:rPr>
          <w:color w:val="000000"/>
        </w:rPr>
      </w:pPr>
      <w:r>
        <w:rPr>
          <w:color w:val="000000"/>
        </w:rPr>
        <w:t>7</w:t>
      </w:r>
      <w:r>
        <w:rPr>
          <w:rFonts w:hint="eastAsia"/>
          <w:color w:val="000000"/>
        </w:rPr>
        <w:t>.2电子标（招标文件后缀名.</w:t>
      </w:r>
      <w:r>
        <w:rPr>
          <w:color w:val="000000"/>
        </w:rPr>
        <w:t>GZBS</w:t>
      </w:r>
      <w:r>
        <w:rPr>
          <w:rFonts w:hint="eastAsia"/>
          <w:color w:val="000000"/>
        </w:rPr>
        <w:t>）：必须使用最新版本的</w:t>
      </w:r>
      <w:permStart w:id="62" w:edGrp="everyone"/>
      <w:r>
        <w:rPr>
          <w:rFonts w:hint="eastAsia"/>
          <w:color w:val="000000"/>
        </w:rPr>
        <w:t>电子投标工具（在</w:t>
      </w:r>
      <w:r>
        <w:rPr>
          <w:rFonts w:hint="eastAsia"/>
          <w:color w:val="000000"/>
          <w:lang w:eastAsia="zh-CN"/>
        </w:rPr>
        <w:t>http://zw.hainan.gov.cn/ggzyjy</w:t>
      </w:r>
      <w:r>
        <w:rPr>
          <w:color w:val="000000"/>
        </w:rPr>
        <w:t>/ggzy/xgrjxz/index.jhtml</w:t>
      </w:r>
      <w:r>
        <w:rPr>
          <w:rFonts w:hint="eastAsia"/>
          <w:color w:val="000000"/>
        </w:rPr>
        <w:t>下载投标工具）</w:t>
      </w:r>
      <w:permEnd w:id="62"/>
      <w:r>
        <w:rPr>
          <w:rFonts w:hint="eastAsia"/>
          <w:color w:val="000000"/>
        </w:rPr>
        <w:t>制作电子版的投标文件；</w:t>
      </w:r>
    </w:p>
    <w:p>
      <w:pPr>
        <w:spacing w:line="440" w:lineRule="exact"/>
        <w:ind w:firstLine="437"/>
        <w:rPr>
          <w:color w:val="000000"/>
        </w:rPr>
      </w:pPr>
      <w:r>
        <w:rPr>
          <w:color w:val="000000"/>
        </w:rPr>
        <w:t>7</w:t>
      </w:r>
      <w:r>
        <w:rPr>
          <w:rFonts w:hint="eastAsia"/>
          <w:color w:val="000000"/>
        </w:rPr>
        <w:t>.3投标截止时间前，必须在网上上传电子投标书——（电子标：投标书为</w:t>
      </w:r>
      <w:r>
        <w:rPr>
          <w:color w:val="000000"/>
        </w:rPr>
        <w:t>GTBS</w:t>
      </w:r>
      <w:r>
        <w:rPr>
          <w:rFonts w:hint="eastAsia"/>
          <w:color w:val="000000"/>
        </w:rPr>
        <w:t>格式；非电子标：投标书需上传PDF加密压缩的rar格式）；</w:t>
      </w:r>
    </w:p>
    <w:p>
      <w:pPr>
        <w:spacing w:line="440" w:lineRule="exact"/>
        <w:ind w:firstLine="437"/>
        <w:rPr>
          <w:color w:val="000000"/>
        </w:rPr>
      </w:pPr>
      <w:r>
        <w:rPr>
          <w:color w:val="000000"/>
        </w:rPr>
        <w:t>7</w:t>
      </w:r>
      <w:r>
        <w:rPr>
          <w:rFonts w:hint="eastAsia"/>
          <w:color w:val="000000"/>
        </w:rPr>
        <w:t>.4开标的时候必须携带加密锁</w:t>
      </w:r>
      <w:r>
        <w:rPr>
          <w:rFonts w:hint="eastAsia"/>
          <w:color w:val="000000"/>
          <w:lang w:eastAsia="zh-CN"/>
        </w:rPr>
        <w:t>（</w:t>
      </w:r>
      <w:r>
        <w:rPr>
          <w:rFonts w:hint="eastAsia"/>
          <w:color w:val="000000"/>
        </w:rPr>
        <w:t>CA数字认证锁</w:t>
      </w:r>
      <w:r>
        <w:rPr>
          <w:rFonts w:hint="eastAsia"/>
          <w:color w:val="000000"/>
          <w:lang w:eastAsia="zh-CN"/>
        </w:rPr>
        <w:t>）</w:t>
      </w:r>
      <w:r>
        <w:rPr>
          <w:rFonts w:hint="eastAsia"/>
          <w:color w:val="000000"/>
        </w:rPr>
        <w:t>和光盘、U盘拷贝的电子版投标书。</w:t>
      </w:r>
    </w:p>
    <w:p>
      <w:pPr>
        <w:spacing w:before="93" w:beforeLines="30" w:after="93" w:afterLines="30"/>
        <w:outlineLvl w:val="2"/>
        <w:rPr>
          <w:rFonts w:ascii="黑体" w:eastAsia="黑体"/>
          <w:color w:val="000000"/>
          <w:sz w:val="24"/>
        </w:rPr>
      </w:pPr>
      <w:bookmarkStart w:id="20" w:name="_Toc295812165"/>
      <w:bookmarkStart w:id="21" w:name="_Toc114222728"/>
      <w:r>
        <w:rPr>
          <w:rFonts w:hint="eastAsia" w:ascii="黑体" w:eastAsia="黑体"/>
          <w:color w:val="000000"/>
          <w:sz w:val="24"/>
        </w:rPr>
        <w:t>8.联系方式</w:t>
      </w:r>
      <w:bookmarkEnd w:id="20"/>
      <w:bookmarkEnd w:id="21"/>
    </w:p>
    <w:tbl>
      <w:tblPr>
        <w:tblStyle w:val="36"/>
        <w:tblW w:w="0" w:type="auto"/>
        <w:tblInd w:w="0" w:type="dxa"/>
        <w:tblLayout w:type="autofit"/>
        <w:tblCellMar>
          <w:top w:w="0" w:type="dxa"/>
          <w:left w:w="108" w:type="dxa"/>
          <w:bottom w:w="0" w:type="dxa"/>
          <w:right w:w="108" w:type="dxa"/>
        </w:tblCellMar>
      </w:tblPr>
      <w:tblGrid>
        <w:gridCol w:w="1368"/>
        <w:gridCol w:w="2992"/>
        <w:gridCol w:w="1688"/>
        <w:gridCol w:w="2672"/>
      </w:tblGrid>
      <w:tr>
        <w:tc>
          <w:tcPr>
            <w:tcW w:w="1368" w:type="dxa"/>
            <w:shd w:val="clear" w:color="auto" w:fill="auto"/>
          </w:tcPr>
          <w:p>
            <w:pPr>
              <w:rPr>
                <w:color w:val="000000"/>
              </w:rPr>
            </w:pPr>
            <w:permStart w:id="63" w:edGrp="everyone" w:colFirst="1" w:colLast="1"/>
            <w:permStart w:id="64" w:edGrp="everyone" w:colFirst="3" w:colLast="3"/>
            <w:r>
              <w:rPr>
                <w:rFonts w:hint="eastAsia"/>
                <w:color w:val="000000"/>
              </w:rPr>
              <w:t>招标人：</w:t>
            </w:r>
          </w:p>
        </w:tc>
        <w:tc>
          <w:tcPr>
            <w:tcW w:w="2992" w:type="dxa"/>
            <w:shd w:val="clear" w:color="auto" w:fill="auto"/>
          </w:tcPr>
          <w:p>
            <w:pPr>
              <w:rPr>
                <w:color w:val="000000"/>
              </w:rPr>
            </w:pPr>
            <w:r>
              <w:rPr>
                <w:rFonts w:hint="eastAsia"/>
                <w:color w:val="000000"/>
              </w:rPr>
              <w:t xml:space="preserve"> </w:t>
            </w:r>
          </w:p>
        </w:tc>
        <w:tc>
          <w:tcPr>
            <w:tcW w:w="1688" w:type="dxa"/>
            <w:shd w:val="clear" w:color="auto" w:fill="auto"/>
          </w:tcPr>
          <w:p>
            <w:pPr>
              <w:rPr>
                <w:color w:val="000000"/>
              </w:rPr>
            </w:pPr>
            <w:r>
              <w:rPr>
                <w:rFonts w:hint="eastAsia"/>
                <w:color w:val="000000"/>
              </w:rPr>
              <w:t>招标代理机构：</w:t>
            </w:r>
          </w:p>
        </w:tc>
        <w:tc>
          <w:tcPr>
            <w:tcW w:w="2672" w:type="dxa"/>
            <w:shd w:val="clear" w:color="auto" w:fill="auto"/>
          </w:tcPr>
          <w:p>
            <w:pPr>
              <w:rPr>
                <w:color w:val="000000"/>
              </w:rPr>
            </w:pPr>
            <w:r>
              <w:rPr>
                <w:rFonts w:hint="eastAsia"/>
                <w:color w:val="000000"/>
              </w:rPr>
              <w:t xml:space="preserve"> </w:t>
            </w:r>
          </w:p>
        </w:tc>
      </w:tr>
      <w:permEnd w:id="63"/>
      <w:permEnd w:id="64"/>
      <w:tr>
        <w:tc>
          <w:tcPr>
            <w:tcW w:w="1368" w:type="dxa"/>
            <w:shd w:val="clear" w:color="auto" w:fill="auto"/>
          </w:tcPr>
          <w:p>
            <w:pPr>
              <w:rPr>
                <w:color w:val="000000"/>
              </w:rPr>
            </w:pPr>
            <w:permStart w:id="65" w:edGrp="everyone" w:colFirst="1" w:colLast="1"/>
            <w:permStart w:id="66" w:edGrp="everyone" w:colFirst="3" w:colLast="3"/>
            <w:r>
              <w:rPr>
                <w:rFonts w:hint="eastAsia"/>
                <w:color w:val="000000"/>
              </w:rPr>
              <w:t>地址：</w:t>
            </w:r>
          </w:p>
        </w:tc>
        <w:tc>
          <w:tcPr>
            <w:tcW w:w="2992" w:type="dxa"/>
            <w:shd w:val="clear" w:color="auto" w:fill="auto"/>
          </w:tcPr>
          <w:p>
            <w:pPr>
              <w:rPr>
                <w:color w:val="000000"/>
              </w:rPr>
            </w:pPr>
            <w:r>
              <w:rPr>
                <w:rFonts w:hint="eastAsia"/>
                <w:color w:val="000000"/>
              </w:rPr>
              <w:t xml:space="preserve"> </w:t>
            </w:r>
          </w:p>
        </w:tc>
        <w:tc>
          <w:tcPr>
            <w:tcW w:w="1688" w:type="dxa"/>
            <w:shd w:val="clear" w:color="auto" w:fill="auto"/>
          </w:tcPr>
          <w:p>
            <w:pPr>
              <w:rPr>
                <w:color w:val="000000"/>
              </w:rPr>
            </w:pPr>
            <w:r>
              <w:rPr>
                <w:rFonts w:hint="eastAsia"/>
                <w:color w:val="000000"/>
              </w:rPr>
              <w:t>地址：</w:t>
            </w:r>
          </w:p>
        </w:tc>
        <w:tc>
          <w:tcPr>
            <w:tcW w:w="2672" w:type="dxa"/>
            <w:shd w:val="clear" w:color="auto" w:fill="auto"/>
          </w:tcPr>
          <w:p>
            <w:pPr>
              <w:rPr>
                <w:color w:val="000000"/>
              </w:rPr>
            </w:pPr>
            <w:r>
              <w:rPr>
                <w:rFonts w:hint="eastAsia"/>
                <w:color w:val="000000"/>
              </w:rPr>
              <w:t xml:space="preserve"> </w:t>
            </w:r>
          </w:p>
        </w:tc>
      </w:tr>
      <w:permEnd w:id="65"/>
      <w:permEnd w:id="66"/>
      <w:tr>
        <w:tc>
          <w:tcPr>
            <w:tcW w:w="1368" w:type="dxa"/>
            <w:shd w:val="clear" w:color="auto" w:fill="auto"/>
          </w:tcPr>
          <w:p>
            <w:pPr>
              <w:rPr>
                <w:color w:val="000000"/>
              </w:rPr>
            </w:pPr>
            <w:permStart w:id="67" w:edGrp="everyone" w:colFirst="1" w:colLast="1"/>
            <w:permStart w:id="68" w:edGrp="everyone" w:colFirst="3" w:colLast="3"/>
            <w:r>
              <w:rPr>
                <w:rFonts w:hint="eastAsia"/>
                <w:color w:val="FF0000"/>
              </w:rPr>
              <w:t>联系人（全称）：</w:t>
            </w:r>
          </w:p>
        </w:tc>
        <w:tc>
          <w:tcPr>
            <w:tcW w:w="2992" w:type="dxa"/>
            <w:shd w:val="clear" w:color="auto" w:fill="auto"/>
          </w:tcPr>
          <w:p>
            <w:pPr>
              <w:rPr>
                <w:color w:val="000000"/>
              </w:rPr>
            </w:pPr>
            <w:r>
              <w:rPr>
                <w:rFonts w:hint="eastAsia"/>
                <w:color w:val="000000"/>
              </w:rPr>
              <w:t xml:space="preserve"> </w:t>
            </w:r>
          </w:p>
        </w:tc>
        <w:tc>
          <w:tcPr>
            <w:tcW w:w="1688" w:type="dxa"/>
            <w:shd w:val="clear" w:color="auto" w:fill="auto"/>
          </w:tcPr>
          <w:p>
            <w:pPr>
              <w:rPr>
                <w:color w:val="000000"/>
              </w:rPr>
            </w:pPr>
            <w:r>
              <w:rPr>
                <w:rFonts w:hint="eastAsia"/>
                <w:color w:val="FF0000"/>
              </w:rPr>
              <w:t>联系人（全称）：</w:t>
            </w:r>
          </w:p>
        </w:tc>
        <w:tc>
          <w:tcPr>
            <w:tcW w:w="2672" w:type="dxa"/>
            <w:shd w:val="clear" w:color="auto" w:fill="auto"/>
          </w:tcPr>
          <w:p>
            <w:pPr>
              <w:rPr>
                <w:color w:val="000000"/>
              </w:rPr>
            </w:pPr>
            <w:r>
              <w:rPr>
                <w:rFonts w:hint="eastAsia"/>
                <w:color w:val="000000"/>
              </w:rPr>
              <w:t xml:space="preserve"> </w:t>
            </w:r>
          </w:p>
        </w:tc>
      </w:tr>
      <w:permEnd w:id="67"/>
      <w:permEnd w:id="68"/>
      <w:tr>
        <w:tc>
          <w:tcPr>
            <w:tcW w:w="1368" w:type="dxa"/>
            <w:shd w:val="clear" w:color="auto" w:fill="auto"/>
          </w:tcPr>
          <w:p>
            <w:pPr>
              <w:rPr>
                <w:color w:val="000000"/>
              </w:rPr>
            </w:pPr>
            <w:permStart w:id="69" w:edGrp="everyone" w:colFirst="1" w:colLast="1"/>
            <w:permStart w:id="70" w:edGrp="everyone" w:colFirst="3" w:colLast="3"/>
            <w:r>
              <w:rPr>
                <w:rFonts w:hint="eastAsia"/>
                <w:color w:val="000000"/>
              </w:rPr>
              <w:t>电话：</w:t>
            </w:r>
          </w:p>
        </w:tc>
        <w:tc>
          <w:tcPr>
            <w:tcW w:w="2992" w:type="dxa"/>
            <w:shd w:val="clear" w:color="auto" w:fill="auto"/>
          </w:tcPr>
          <w:p>
            <w:pPr>
              <w:rPr>
                <w:color w:val="000000"/>
              </w:rPr>
            </w:pPr>
            <w:r>
              <w:rPr>
                <w:rFonts w:hint="eastAsia"/>
                <w:color w:val="000000"/>
              </w:rPr>
              <w:t xml:space="preserve"> </w:t>
            </w:r>
          </w:p>
        </w:tc>
        <w:tc>
          <w:tcPr>
            <w:tcW w:w="1688" w:type="dxa"/>
            <w:shd w:val="clear" w:color="auto" w:fill="auto"/>
          </w:tcPr>
          <w:p>
            <w:pPr>
              <w:rPr>
                <w:color w:val="000000"/>
              </w:rPr>
            </w:pPr>
            <w:r>
              <w:rPr>
                <w:rFonts w:hint="eastAsia"/>
                <w:color w:val="000000"/>
              </w:rPr>
              <w:t>电话：</w:t>
            </w:r>
          </w:p>
        </w:tc>
        <w:tc>
          <w:tcPr>
            <w:tcW w:w="2672" w:type="dxa"/>
            <w:shd w:val="clear" w:color="auto" w:fill="auto"/>
          </w:tcPr>
          <w:p>
            <w:pPr>
              <w:rPr>
                <w:color w:val="000000"/>
              </w:rPr>
            </w:pPr>
            <w:r>
              <w:rPr>
                <w:rFonts w:hint="eastAsia"/>
                <w:color w:val="000000"/>
              </w:rPr>
              <w:t xml:space="preserve"> </w:t>
            </w:r>
          </w:p>
        </w:tc>
      </w:tr>
      <w:permEnd w:id="69"/>
      <w:permEnd w:id="70"/>
    </w:tbl>
    <w:p>
      <w:pPr>
        <w:wordWrap w:val="0"/>
        <w:spacing w:before="312" w:beforeLines="100" w:line="380" w:lineRule="exact"/>
        <w:ind w:firstLine="437"/>
        <w:jc w:val="right"/>
        <w:rPr>
          <w:rFonts w:ascii="黑体" w:eastAsia="黑体"/>
          <w:color w:val="000000"/>
          <w:sz w:val="32"/>
          <w:szCs w:val="32"/>
        </w:rPr>
      </w:pPr>
      <w:permStart w:id="71" w:edGrp="everyone"/>
      <w:r>
        <w:rPr>
          <w:rFonts w:hint="eastAsia" w:ascii="宋体" w:hAnsi="宋体"/>
          <w:color w:val="000000"/>
          <w:szCs w:val="21"/>
        </w:rPr>
        <w:t xml:space="preserve">  </w:t>
      </w:r>
      <w:permEnd w:id="71"/>
      <w:r>
        <w:rPr>
          <w:rFonts w:hint="eastAsia" w:ascii="宋体" w:hAnsi="宋体"/>
          <w:color w:val="000000"/>
          <w:szCs w:val="21"/>
        </w:rPr>
        <w:t>年</w:t>
      </w:r>
      <w:permStart w:id="72" w:edGrp="everyone"/>
      <w:r>
        <w:rPr>
          <w:rFonts w:hint="eastAsia" w:ascii="宋体" w:hAnsi="宋体"/>
          <w:color w:val="000000"/>
          <w:szCs w:val="21"/>
        </w:rPr>
        <w:t xml:space="preserve">  </w:t>
      </w:r>
      <w:permEnd w:id="72"/>
      <w:r>
        <w:rPr>
          <w:rFonts w:hint="eastAsia" w:ascii="宋体" w:hAnsi="宋体"/>
          <w:color w:val="000000"/>
          <w:szCs w:val="21"/>
        </w:rPr>
        <w:t>月</w:t>
      </w:r>
      <w:permStart w:id="73" w:edGrp="everyone"/>
      <w:r>
        <w:rPr>
          <w:rFonts w:hint="eastAsia" w:ascii="宋体" w:hAnsi="宋体"/>
          <w:color w:val="000000"/>
          <w:szCs w:val="21"/>
        </w:rPr>
        <w:t xml:space="preserve">  </w:t>
      </w:r>
      <w:permEnd w:id="73"/>
      <w:r>
        <w:rPr>
          <w:rFonts w:hint="eastAsia" w:ascii="宋体" w:hAnsi="宋体"/>
          <w:color w:val="000000"/>
          <w:szCs w:val="21"/>
        </w:rPr>
        <w:t>日</w:t>
      </w:r>
    </w:p>
    <w:p>
      <w:pPr>
        <w:spacing w:after="312" w:afterLines="100" w:line="380" w:lineRule="exact"/>
        <w:ind w:firstLine="437"/>
        <w:jc w:val="center"/>
        <w:rPr>
          <w:rFonts w:ascii="黑体" w:eastAsia="黑体"/>
          <w:color w:val="000000"/>
          <w:sz w:val="32"/>
          <w:szCs w:val="32"/>
        </w:rPr>
      </w:pPr>
      <w:r>
        <w:rPr>
          <w:rFonts w:ascii="黑体" w:eastAsia="黑体"/>
          <w:color w:val="000000"/>
          <w:sz w:val="32"/>
          <w:szCs w:val="32"/>
        </w:rPr>
        <w:br w:type="page"/>
      </w:r>
    </w:p>
    <w:p>
      <w:pPr>
        <w:rPr>
          <w:rFonts w:ascii="黑体" w:eastAsia="黑体"/>
          <w:sz w:val="28"/>
          <w:szCs w:val="28"/>
        </w:rPr>
      </w:pPr>
      <w:bookmarkStart w:id="22" w:name="_Toc295812175"/>
    </w:p>
    <w:p>
      <w:pPr>
        <w:jc w:val="center"/>
        <w:rPr>
          <w:rFonts w:ascii="黑体" w:eastAsia="黑体"/>
          <w:color w:val="000000"/>
          <w:sz w:val="28"/>
          <w:szCs w:val="28"/>
        </w:rPr>
      </w:pPr>
      <w:r>
        <w:rPr>
          <w:rFonts w:hint="eastAsia" w:ascii="黑体" w:eastAsia="黑体"/>
          <w:color w:val="000000"/>
          <w:sz w:val="32"/>
          <w:szCs w:val="32"/>
        </w:rPr>
        <w:t>第二章  投标人须知</w:t>
      </w:r>
      <w:r>
        <w:rPr>
          <w:rFonts w:ascii="黑体" w:eastAsia="黑体"/>
          <w:sz w:val="28"/>
          <w:szCs w:val="28"/>
        </w:rPr>
        <w:br w:type="page"/>
      </w:r>
    </w:p>
    <w:p>
      <w:pPr>
        <w:spacing w:before="156" w:beforeLines="50" w:after="312" w:afterLines="100" w:line="400" w:lineRule="exact"/>
        <w:jc w:val="center"/>
        <w:outlineLvl w:val="1"/>
        <w:rPr>
          <w:rFonts w:ascii="黑体" w:eastAsia="黑体"/>
          <w:color w:val="000000"/>
          <w:sz w:val="28"/>
          <w:szCs w:val="28"/>
        </w:rPr>
      </w:pPr>
      <w:bookmarkStart w:id="23" w:name="_Toc114222729"/>
      <w:r>
        <w:rPr>
          <w:rFonts w:hint="eastAsia" w:ascii="黑体" w:eastAsia="黑体"/>
          <w:color w:val="000000"/>
          <w:sz w:val="28"/>
          <w:szCs w:val="28"/>
        </w:rPr>
        <w:t>第二章  投标人须知</w:t>
      </w:r>
      <w:bookmarkEnd w:id="22"/>
      <w:bookmarkEnd w:id="23"/>
    </w:p>
    <w:p>
      <w:pPr>
        <w:rPr>
          <w:rFonts w:ascii="黑体" w:eastAsia="黑体"/>
          <w:color w:val="000000"/>
          <w:sz w:val="28"/>
          <w:szCs w:val="28"/>
        </w:rPr>
      </w:pPr>
      <w:r>
        <w:rPr>
          <w:rFonts w:hint="eastAsia" w:ascii="黑体" w:eastAsia="黑体"/>
          <w:color w:val="000000"/>
          <w:sz w:val="28"/>
          <w:szCs w:val="28"/>
        </w:rPr>
        <w:t>投标人须知前附表</w:t>
      </w:r>
    </w:p>
    <w:tbl>
      <w:tblPr>
        <w:tblStyle w:val="36"/>
        <w:tblW w:w="8864"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1"/>
        <w:gridCol w:w="9"/>
        <w:gridCol w:w="2806"/>
        <w:gridCol w:w="4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1" w:type="dxa"/>
            <w:vAlign w:val="center"/>
          </w:tcPr>
          <w:p>
            <w:pPr>
              <w:jc w:val="center"/>
              <w:rPr>
                <w:color w:val="000000"/>
              </w:rPr>
            </w:pPr>
            <w:r>
              <w:rPr>
                <w:rFonts w:hint="eastAsia"/>
                <w:color w:val="000000"/>
              </w:rPr>
              <w:t>条款号</w:t>
            </w:r>
          </w:p>
        </w:tc>
        <w:tc>
          <w:tcPr>
            <w:tcW w:w="2815" w:type="dxa"/>
            <w:gridSpan w:val="2"/>
            <w:vAlign w:val="center"/>
          </w:tcPr>
          <w:p>
            <w:pPr>
              <w:jc w:val="center"/>
              <w:rPr>
                <w:color w:val="000000"/>
              </w:rPr>
            </w:pPr>
            <w:r>
              <w:rPr>
                <w:rFonts w:hint="eastAsia"/>
                <w:color w:val="000000"/>
              </w:rPr>
              <w:t>条款名称</w:t>
            </w:r>
          </w:p>
        </w:tc>
        <w:tc>
          <w:tcPr>
            <w:tcW w:w="4538" w:type="dxa"/>
            <w:vAlign w:val="center"/>
          </w:tcPr>
          <w:p>
            <w:pPr>
              <w:jc w:val="center"/>
              <w:rPr>
                <w:color w:val="000000"/>
              </w:rPr>
            </w:pPr>
            <w:r>
              <w:rPr>
                <w:rFonts w:hint="eastAsia"/>
                <w:color w:val="000000"/>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1" w:type="dxa"/>
            <w:vAlign w:val="center"/>
          </w:tcPr>
          <w:p>
            <w:pPr>
              <w:jc w:val="center"/>
              <w:rPr>
                <w:color w:val="000000"/>
              </w:rPr>
            </w:pPr>
            <w:r>
              <w:rPr>
                <w:rFonts w:hint="eastAsia"/>
                <w:color w:val="000000"/>
              </w:rPr>
              <w:t>1.1.2</w:t>
            </w:r>
          </w:p>
        </w:tc>
        <w:tc>
          <w:tcPr>
            <w:tcW w:w="2815" w:type="dxa"/>
            <w:gridSpan w:val="2"/>
            <w:vAlign w:val="center"/>
          </w:tcPr>
          <w:p>
            <w:pPr>
              <w:rPr>
                <w:color w:val="000000"/>
              </w:rPr>
            </w:pPr>
            <w:r>
              <w:rPr>
                <w:rFonts w:hint="eastAsia"/>
                <w:color w:val="000000"/>
              </w:rPr>
              <w:t>招标人</w:t>
            </w:r>
          </w:p>
        </w:tc>
        <w:tc>
          <w:tcPr>
            <w:tcW w:w="4538" w:type="dxa"/>
            <w:vAlign w:val="center"/>
          </w:tcPr>
          <w:p>
            <w:pPr>
              <w:spacing w:line="312" w:lineRule="auto"/>
              <w:rPr>
                <w:color w:val="000000"/>
                <w:u w:val="single"/>
              </w:rPr>
            </w:pPr>
            <w:r>
              <w:rPr>
                <w:rFonts w:hint="eastAsia"/>
                <w:color w:val="000000"/>
              </w:rPr>
              <w:t>名称：</w:t>
            </w:r>
            <w:permStart w:id="74" w:edGrp="everyone"/>
            <w:r>
              <w:rPr>
                <w:rFonts w:hint="eastAsia"/>
                <w:color w:val="000000"/>
              </w:rPr>
              <w:t xml:space="preserve">  </w:t>
            </w:r>
            <w:permEnd w:id="74"/>
          </w:p>
          <w:p>
            <w:pPr>
              <w:spacing w:line="312" w:lineRule="auto"/>
              <w:rPr>
                <w:color w:val="000000"/>
                <w:u w:val="single"/>
              </w:rPr>
            </w:pPr>
            <w:r>
              <w:rPr>
                <w:rFonts w:hint="eastAsia"/>
                <w:color w:val="000000"/>
              </w:rPr>
              <w:t>地址：</w:t>
            </w:r>
            <w:permStart w:id="75" w:edGrp="everyone"/>
            <w:r>
              <w:rPr>
                <w:rFonts w:hint="eastAsia"/>
                <w:color w:val="000000"/>
              </w:rPr>
              <w:t xml:space="preserve">  </w:t>
            </w:r>
            <w:permEnd w:id="75"/>
          </w:p>
          <w:p>
            <w:pPr>
              <w:spacing w:line="312" w:lineRule="auto"/>
              <w:rPr>
                <w:color w:val="000000"/>
              </w:rPr>
            </w:pPr>
            <w:r>
              <w:rPr>
                <w:rFonts w:hint="eastAsia"/>
                <w:color w:val="000000"/>
              </w:rPr>
              <w:t>联系人：</w:t>
            </w:r>
            <w:bookmarkStart w:id="24" w:name="OLE_LINK82"/>
            <w:bookmarkStart w:id="25" w:name="OLE_LINK83"/>
            <w:permStart w:id="76" w:edGrp="everyone"/>
            <w:r>
              <w:rPr>
                <w:rFonts w:hint="eastAsia"/>
                <w:color w:val="000000"/>
              </w:rPr>
              <w:t xml:space="preserve">  </w:t>
            </w:r>
            <w:bookmarkEnd w:id="24"/>
            <w:bookmarkEnd w:id="25"/>
            <w:permEnd w:id="76"/>
          </w:p>
          <w:p>
            <w:pPr>
              <w:spacing w:line="312" w:lineRule="auto"/>
              <w:rPr>
                <w:color w:val="000000"/>
                <w:u w:val="single"/>
              </w:rPr>
            </w:pPr>
            <w:r>
              <w:rPr>
                <w:rFonts w:hint="eastAsia"/>
                <w:color w:val="000000"/>
              </w:rPr>
              <w:t>电话：</w:t>
            </w:r>
            <w:permStart w:id="77" w:edGrp="everyone"/>
            <w:r>
              <w:rPr>
                <w:rFonts w:hint="eastAsia"/>
                <w:color w:val="000000"/>
              </w:rPr>
              <w:t xml:space="preserve">  </w:t>
            </w:r>
            <w:permEnd w:id="77"/>
          </w:p>
          <w:p>
            <w:pPr>
              <w:spacing w:line="312" w:lineRule="auto"/>
              <w:rPr>
                <w:color w:val="000000"/>
                <w:u w:val="single"/>
              </w:rPr>
            </w:pPr>
            <w:r>
              <w:rPr>
                <w:rFonts w:hint="eastAsia"/>
                <w:color w:val="000000"/>
              </w:rPr>
              <w:t>电子邮件：</w:t>
            </w:r>
            <w:permStart w:id="78" w:edGrp="everyone"/>
            <w:r>
              <w:rPr>
                <w:rFonts w:hint="eastAsia"/>
                <w:color w:val="000000"/>
              </w:rPr>
              <w:t xml:space="preserve">  </w:t>
            </w:r>
            <w:permEnd w:id="7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1" w:type="dxa"/>
            <w:vAlign w:val="center"/>
          </w:tcPr>
          <w:p>
            <w:pPr>
              <w:jc w:val="center"/>
              <w:rPr>
                <w:color w:val="000000"/>
              </w:rPr>
            </w:pPr>
            <w:r>
              <w:rPr>
                <w:rFonts w:hint="eastAsia"/>
                <w:color w:val="000000"/>
              </w:rPr>
              <w:t>1.1.3</w:t>
            </w:r>
          </w:p>
        </w:tc>
        <w:tc>
          <w:tcPr>
            <w:tcW w:w="2815" w:type="dxa"/>
            <w:gridSpan w:val="2"/>
            <w:vAlign w:val="center"/>
          </w:tcPr>
          <w:p>
            <w:pPr>
              <w:rPr>
                <w:color w:val="000000"/>
              </w:rPr>
            </w:pPr>
            <w:r>
              <w:rPr>
                <w:rFonts w:hint="eastAsia"/>
                <w:color w:val="000000"/>
              </w:rPr>
              <w:t>招标代理机构</w:t>
            </w:r>
          </w:p>
        </w:tc>
        <w:tc>
          <w:tcPr>
            <w:tcW w:w="4538" w:type="dxa"/>
            <w:vAlign w:val="center"/>
          </w:tcPr>
          <w:p>
            <w:pPr>
              <w:spacing w:line="312" w:lineRule="auto"/>
              <w:rPr>
                <w:color w:val="000000"/>
                <w:u w:val="single"/>
              </w:rPr>
            </w:pPr>
            <w:r>
              <w:rPr>
                <w:rFonts w:hint="eastAsia"/>
                <w:color w:val="000000"/>
              </w:rPr>
              <w:t>名称：</w:t>
            </w:r>
            <w:permStart w:id="79" w:edGrp="everyone"/>
            <w:r>
              <w:rPr>
                <w:rFonts w:hint="eastAsia"/>
                <w:color w:val="000000"/>
              </w:rPr>
              <w:t xml:space="preserve">  </w:t>
            </w:r>
            <w:permEnd w:id="79"/>
          </w:p>
          <w:p>
            <w:pPr>
              <w:spacing w:line="312" w:lineRule="auto"/>
              <w:rPr>
                <w:color w:val="000000"/>
                <w:u w:val="single"/>
              </w:rPr>
            </w:pPr>
            <w:r>
              <w:rPr>
                <w:rFonts w:hint="eastAsia"/>
                <w:color w:val="000000"/>
              </w:rPr>
              <w:t>地址：</w:t>
            </w:r>
            <w:permStart w:id="80" w:edGrp="everyone"/>
            <w:r>
              <w:rPr>
                <w:rFonts w:hint="eastAsia"/>
                <w:color w:val="000000"/>
              </w:rPr>
              <w:t xml:space="preserve">  </w:t>
            </w:r>
            <w:permEnd w:id="80"/>
          </w:p>
          <w:p>
            <w:pPr>
              <w:spacing w:line="312" w:lineRule="auto"/>
              <w:rPr>
                <w:color w:val="000000"/>
                <w:u w:val="single"/>
              </w:rPr>
            </w:pPr>
            <w:r>
              <w:rPr>
                <w:rFonts w:hint="eastAsia"/>
                <w:color w:val="000000"/>
              </w:rPr>
              <w:t>联系人：</w:t>
            </w:r>
            <w:permStart w:id="81" w:edGrp="everyone"/>
            <w:r>
              <w:rPr>
                <w:rFonts w:hint="eastAsia"/>
                <w:color w:val="000000"/>
              </w:rPr>
              <w:t xml:space="preserve">  </w:t>
            </w:r>
            <w:permEnd w:id="81"/>
          </w:p>
          <w:p>
            <w:pPr>
              <w:spacing w:line="312" w:lineRule="auto"/>
              <w:rPr>
                <w:color w:val="000000"/>
                <w:u w:val="single"/>
              </w:rPr>
            </w:pPr>
            <w:r>
              <w:rPr>
                <w:rFonts w:hint="eastAsia"/>
                <w:color w:val="000000"/>
              </w:rPr>
              <w:t>电话：</w:t>
            </w:r>
            <w:permStart w:id="82" w:edGrp="everyone"/>
            <w:r>
              <w:rPr>
                <w:rFonts w:hint="eastAsia"/>
                <w:color w:val="000000"/>
              </w:rPr>
              <w:t xml:space="preserve">  </w:t>
            </w:r>
            <w:permEnd w:id="82"/>
          </w:p>
          <w:p>
            <w:pPr>
              <w:spacing w:line="312" w:lineRule="auto"/>
              <w:rPr>
                <w:color w:val="000000"/>
                <w:u w:val="single"/>
              </w:rPr>
            </w:pPr>
            <w:r>
              <w:rPr>
                <w:rFonts w:hint="eastAsia"/>
                <w:color w:val="000000"/>
              </w:rPr>
              <w:t>电子邮件：</w:t>
            </w:r>
            <w:permStart w:id="83" w:edGrp="everyone"/>
            <w:r>
              <w:rPr>
                <w:rFonts w:hint="eastAsia"/>
                <w:color w:val="000000"/>
              </w:rPr>
              <w:t xml:space="preserve">  </w:t>
            </w:r>
            <w:permEnd w:id="8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1" w:type="dxa"/>
            <w:vAlign w:val="center"/>
          </w:tcPr>
          <w:p>
            <w:pPr>
              <w:jc w:val="center"/>
              <w:rPr>
                <w:color w:val="000000"/>
              </w:rPr>
            </w:pPr>
            <w:r>
              <w:rPr>
                <w:rFonts w:hint="eastAsia"/>
                <w:color w:val="000000"/>
              </w:rPr>
              <w:t>1.1.4</w:t>
            </w:r>
          </w:p>
        </w:tc>
        <w:tc>
          <w:tcPr>
            <w:tcW w:w="2815" w:type="dxa"/>
            <w:gridSpan w:val="2"/>
            <w:vAlign w:val="center"/>
          </w:tcPr>
          <w:p>
            <w:pPr>
              <w:rPr>
                <w:color w:val="000000"/>
              </w:rPr>
            </w:pPr>
            <w:r>
              <w:rPr>
                <w:rFonts w:hint="eastAsia"/>
                <w:color w:val="000000"/>
              </w:rPr>
              <w:t>项目名称</w:t>
            </w:r>
          </w:p>
        </w:tc>
        <w:tc>
          <w:tcPr>
            <w:tcW w:w="4538" w:type="dxa"/>
            <w:vAlign w:val="center"/>
          </w:tcPr>
          <w:p>
            <w:pPr>
              <w:rPr>
                <w:color w:val="000000"/>
                <w:u w:val="single"/>
              </w:rPr>
            </w:pPr>
            <w:permStart w:id="84" w:edGrp="everyone"/>
            <w:r>
              <w:rPr>
                <w:rFonts w:hint="eastAsia"/>
                <w:color w:val="000000"/>
                <w:u w:val="single"/>
              </w:rPr>
              <w:t xml:space="preserve">  </w:t>
            </w:r>
            <w:permEnd w:id="8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1" w:type="dxa"/>
            <w:vAlign w:val="center"/>
          </w:tcPr>
          <w:p>
            <w:pPr>
              <w:jc w:val="center"/>
              <w:rPr>
                <w:color w:val="000000"/>
              </w:rPr>
            </w:pPr>
            <w:r>
              <w:rPr>
                <w:rFonts w:hint="eastAsia"/>
                <w:color w:val="000000"/>
              </w:rPr>
              <w:t>1.1.5</w:t>
            </w:r>
          </w:p>
        </w:tc>
        <w:tc>
          <w:tcPr>
            <w:tcW w:w="2815" w:type="dxa"/>
            <w:gridSpan w:val="2"/>
            <w:vAlign w:val="center"/>
          </w:tcPr>
          <w:p>
            <w:pPr>
              <w:rPr>
                <w:color w:val="000000"/>
              </w:rPr>
            </w:pPr>
            <w:r>
              <w:rPr>
                <w:rFonts w:hint="eastAsia"/>
                <w:color w:val="000000"/>
              </w:rPr>
              <w:t>建设地点</w:t>
            </w:r>
          </w:p>
        </w:tc>
        <w:tc>
          <w:tcPr>
            <w:tcW w:w="4538" w:type="dxa"/>
            <w:vAlign w:val="center"/>
          </w:tcPr>
          <w:p>
            <w:pPr>
              <w:rPr>
                <w:color w:val="000000"/>
                <w:u w:val="single"/>
              </w:rPr>
            </w:pPr>
            <w:permStart w:id="85" w:edGrp="everyone"/>
            <w:r>
              <w:rPr>
                <w:rFonts w:hint="eastAsia"/>
                <w:color w:val="000000"/>
                <w:u w:val="single"/>
              </w:rPr>
              <w:t xml:space="preserve"> </w:t>
            </w:r>
            <w:r>
              <w:rPr>
                <w:color w:val="000000"/>
                <w:u w:val="single"/>
              </w:rPr>
              <w:t xml:space="preserve"> </w:t>
            </w:r>
            <w:permEnd w:id="8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1" w:type="dxa"/>
            <w:vAlign w:val="center"/>
          </w:tcPr>
          <w:p>
            <w:pPr>
              <w:jc w:val="center"/>
              <w:rPr>
                <w:color w:val="000000"/>
              </w:rPr>
            </w:pPr>
            <w:r>
              <w:rPr>
                <w:rFonts w:hint="eastAsia"/>
                <w:color w:val="000000"/>
              </w:rPr>
              <w:t>1.2.1</w:t>
            </w:r>
          </w:p>
        </w:tc>
        <w:tc>
          <w:tcPr>
            <w:tcW w:w="2815" w:type="dxa"/>
            <w:gridSpan w:val="2"/>
            <w:vAlign w:val="center"/>
          </w:tcPr>
          <w:p>
            <w:pPr>
              <w:rPr>
                <w:color w:val="000000"/>
              </w:rPr>
            </w:pPr>
            <w:r>
              <w:rPr>
                <w:rFonts w:hint="eastAsia"/>
                <w:color w:val="000000"/>
              </w:rPr>
              <w:t>资金来源</w:t>
            </w:r>
          </w:p>
        </w:tc>
        <w:tc>
          <w:tcPr>
            <w:tcW w:w="4538" w:type="dxa"/>
            <w:vAlign w:val="center"/>
          </w:tcPr>
          <w:p>
            <w:pPr>
              <w:rPr>
                <w:color w:val="000000"/>
                <w:u w:val="single"/>
              </w:rPr>
            </w:pPr>
            <w:permStart w:id="86" w:edGrp="everyone"/>
            <w:r>
              <w:rPr>
                <w:rFonts w:hint="eastAsia"/>
                <w:color w:val="000000"/>
                <w:u w:val="single"/>
              </w:rPr>
              <w:t xml:space="preserve"> </w:t>
            </w:r>
            <w:r>
              <w:rPr>
                <w:color w:val="000000"/>
                <w:u w:val="single"/>
              </w:rPr>
              <w:t xml:space="preserve"> </w:t>
            </w:r>
            <w:permEnd w:id="8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1" w:type="dxa"/>
            <w:vAlign w:val="center"/>
          </w:tcPr>
          <w:p>
            <w:pPr>
              <w:jc w:val="center"/>
              <w:rPr>
                <w:color w:val="000000"/>
              </w:rPr>
            </w:pPr>
            <w:r>
              <w:rPr>
                <w:rFonts w:hint="eastAsia"/>
                <w:color w:val="000000"/>
              </w:rPr>
              <w:t>1.2.2</w:t>
            </w:r>
          </w:p>
        </w:tc>
        <w:tc>
          <w:tcPr>
            <w:tcW w:w="2815" w:type="dxa"/>
            <w:gridSpan w:val="2"/>
            <w:vAlign w:val="center"/>
          </w:tcPr>
          <w:p>
            <w:pPr>
              <w:rPr>
                <w:color w:val="000000"/>
              </w:rPr>
            </w:pPr>
            <w:r>
              <w:rPr>
                <w:rFonts w:hint="eastAsia"/>
                <w:color w:val="000000"/>
              </w:rPr>
              <w:t>出资比例</w:t>
            </w:r>
          </w:p>
        </w:tc>
        <w:tc>
          <w:tcPr>
            <w:tcW w:w="4538" w:type="dxa"/>
            <w:vAlign w:val="center"/>
          </w:tcPr>
          <w:p>
            <w:pPr>
              <w:rPr>
                <w:color w:val="000000"/>
                <w:u w:val="single"/>
              </w:rPr>
            </w:pPr>
            <w:permStart w:id="87" w:edGrp="everyone"/>
            <w:r>
              <w:rPr>
                <w:rFonts w:hint="eastAsia"/>
                <w:color w:val="000000"/>
                <w:u w:val="single"/>
              </w:rPr>
              <w:t xml:space="preserve"> </w:t>
            </w:r>
            <w:r>
              <w:rPr>
                <w:color w:val="000000"/>
                <w:u w:val="single"/>
              </w:rPr>
              <w:t xml:space="preserve"> </w:t>
            </w:r>
            <w:permEnd w:id="8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1" w:type="dxa"/>
            <w:vAlign w:val="center"/>
          </w:tcPr>
          <w:p>
            <w:pPr>
              <w:jc w:val="center"/>
              <w:rPr>
                <w:color w:val="000000"/>
              </w:rPr>
            </w:pPr>
            <w:r>
              <w:rPr>
                <w:rFonts w:hint="eastAsia"/>
                <w:color w:val="000000"/>
              </w:rPr>
              <w:t>1.2.3</w:t>
            </w:r>
          </w:p>
        </w:tc>
        <w:tc>
          <w:tcPr>
            <w:tcW w:w="2815" w:type="dxa"/>
            <w:gridSpan w:val="2"/>
            <w:vAlign w:val="center"/>
          </w:tcPr>
          <w:p>
            <w:pPr>
              <w:rPr>
                <w:color w:val="000000"/>
              </w:rPr>
            </w:pPr>
            <w:r>
              <w:rPr>
                <w:rFonts w:hint="eastAsia"/>
                <w:color w:val="000000"/>
              </w:rPr>
              <w:t>资金落实情况</w:t>
            </w:r>
          </w:p>
        </w:tc>
        <w:tc>
          <w:tcPr>
            <w:tcW w:w="4538" w:type="dxa"/>
            <w:vAlign w:val="center"/>
          </w:tcPr>
          <w:p>
            <w:pPr>
              <w:rPr>
                <w:color w:val="000000"/>
                <w:u w:val="single"/>
              </w:rPr>
            </w:pPr>
            <w:permStart w:id="88" w:edGrp="everyone"/>
            <w:r>
              <w:rPr>
                <w:rFonts w:hint="eastAsia"/>
                <w:color w:val="000000"/>
                <w:u w:val="single"/>
              </w:rPr>
              <w:t xml:space="preserve">  </w:t>
            </w:r>
            <w:permEnd w:id="8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1" w:type="dxa"/>
            <w:vAlign w:val="center"/>
          </w:tcPr>
          <w:p>
            <w:pPr>
              <w:jc w:val="center"/>
              <w:rPr>
                <w:color w:val="000000"/>
              </w:rPr>
            </w:pPr>
            <w:r>
              <w:rPr>
                <w:rFonts w:hint="eastAsia"/>
                <w:color w:val="000000"/>
              </w:rPr>
              <w:t>1.3.1</w:t>
            </w:r>
          </w:p>
        </w:tc>
        <w:tc>
          <w:tcPr>
            <w:tcW w:w="2815" w:type="dxa"/>
            <w:gridSpan w:val="2"/>
            <w:vAlign w:val="center"/>
          </w:tcPr>
          <w:p>
            <w:pPr>
              <w:rPr>
                <w:color w:val="000000"/>
              </w:rPr>
            </w:pPr>
            <w:r>
              <w:rPr>
                <w:rFonts w:hint="eastAsia"/>
                <w:color w:val="000000"/>
              </w:rPr>
              <w:t>招标范围</w:t>
            </w:r>
          </w:p>
        </w:tc>
        <w:tc>
          <w:tcPr>
            <w:tcW w:w="4538" w:type="dxa"/>
            <w:vAlign w:val="center"/>
          </w:tcPr>
          <w:p>
            <w:pPr>
              <w:spacing w:line="360" w:lineRule="auto"/>
              <w:rPr>
                <w:color w:val="000000"/>
                <w:u w:val="single"/>
              </w:rPr>
            </w:pPr>
            <w:permStart w:id="89" w:edGrp="everyone"/>
            <w:r>
              <w:rPr>
                <w:rFonts w:hint="eastAsia"/>
                <w:color w:val="000000"/>
                <w:u w:val="single"/>
              </w:rPr>
              <w:t xml:space="preserve">  </w:t>
            </w:r>
            <w:permEnd w:id="89"/>
          </w:p>
          <w:p>
            <w:pPr>
              <w:spacing w:line="360" w:lineRule="auto"/>
              <w:rPr>
                <w:color w:val="000000"/>
              </w:rPr>
            </w:pPr>
            <w:r>
              <w:rPr>
                <w:rFonts w:hint="eastAsia"/>
                <w:color w:val="000000"/>
              </w:rPr>
              <w:t>关于招标范围的详细说明见第七章“技术标准和要求”。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1" w:type="dxa"/>
            <w:vAlign w:val="center"/>
          </w:tcPr>
          <w:p>
            <w:pPr>
              <w:jc w:val="center"/>
              <w:rPr>
                <w:color w:val="000000"/>
              </w:rPr>
            </w:pPr>
            <w:r>
              <w:rPr>
                <w:rFonts w:hint="eastAsia"/>
                <w:color w:val="000000"/>
              </w:rPr>
              <w:t>1.3.2</w:t>
            </w:r>
          </w:p>
        </w:tc>
        <w:tc>
          <w:tcPr>
            <w:tcW w:w="2815" w:type="dxa"/>
            <w:gridSpan w:val="2"/>
            <w:vAlign w:val="center"/>
          </w:tcPr>
          <w:p>
            <w:pPr>
              <w:rPr>
                <w:color w:val="000000"/>
              </w:rPr>
            </w:pPr>
            <w:r>
              <w:rPr>
                <w:rFonts w:hint="eastAsia"/>
                <w:color w:val="000000"/>
              </w:rPr>
              <w:t>计划工期</w:t>
            </w:r>
          </w:p>
        </w:tc>
        <w:tc>
          <w:tcPr>
            <w:tcW w:w="4538" w:type="dxa"/>
            <w:vAlign w:val="center"/>
          </w:tcPr>
          <w:p>
            <w:pPr>
              <w:spacing w:line="360" w:lineRule="auto"/>
              <w:rPr>
                <w:color w:val="000000"/>
              </w:rPr>
            </w:pPr>
            <w:r>
              <w:rPr>
                <w:rFonts w:hint="eastAsia"/>
                <w:color w:val="000000"/>
              </w:rPr>
              <w:t>计划工期：</w:t>
            </w:r>
            <w:permStart w:id="90" w:edGrp="everyone"/>
            <w:r>
              <w:rPr>
                <w:rFonts w:hint="eastAsia"/>
                <w:color w:val="000000"/>
              </w:rPr>
              <w:t xml:space="preserve"> </w:t>
            </w:r>
            <w:r>
              <w:rPr>
                <w:color w:val="000000"/>
              </w:rPr>
              <w:t xml:space="preserve"> </w:t>
            </w:r>
            <w:permEnd w:id="90"/>
            <w:r>
              <w:rPr>
                <w:rFonts w:hint="eastAsia"/>
                <w:color w:val="000000"/>
              </w:rPr>
              <w:t>日历天</w:t>
            </w:r>
          </w:p>
          <w:p>
            <w:pPr>
              <w:spacing w:line="360" w:lineRule="auto"/>
              <w:rPr>
                <w:color w:val="000000"/>
              </w:rPr>
            </w:pPr>
            <w:r>
              <w:rPr>
                <w:rFonts w:hint="eastAsia"/>
                <w:color w:val="000000"/>
              </w:rPr>
              <w:t>计划开工日期：</w:t>
            </w:r>
            <w:permStart w:id="91" w:edGrp="everyone"/>
            <w:r>
              <w:rPr>
                <w:rFonts w:hint="eastAsia"/>
                <w:color w:val="000000"/>
              </w:rPr>
              <w:t xml:space="preserve">  </w:t>
            </w:r>
            <w:permEnd w:id="91"/>
            <w:r>
              <w:rPr>
                <w:rFonts w:hint="eastAsia"/>
                <w:color w:val="000000"/>
              </w:rPr>
              <w:t>年</w:t>
            </w:r>
            <w:permStart w:id="92" w:edGrp="everyone"/>
            <w:r>
              <w:rPr>
                <w:rFonts w:hint="eastAsia"/>
                <w:color w:val="000000"/>
              </w:rPr>
              <w:t xml:space="preserve">  </w:t>
            </w:r>
            <w:permEnd w:id="92"/>
            <w:r>
              <w:rPr>
                <w:rFonts w:hint="eastAsia"/>
                <w:color w:val="000000"/>
              </w:rPr>
              <w:t>月</w:t>
            </w:r>
            <w:permStart w:id="93" w:edGrp="everyone"/>
            <w:r>
              <w:rPr>
                <w:rFonts w:hint="eastAsia"/>
                <w:color w:val="000000"/>
              </w:rPr>
              <w:t xml:space="preserve">  </w:t>
            </w:r>
            <w:permEnd w:id="93"/>
            <w:r>
              <w:rPr>
                <w:rFonts w:hint="eastAsia"/>
                <w:color w:val="000000"/>
              </w:rPr>
              <w:t>日</w:t>
            </w:r>
          </w:p>
          <w:p>
            <w:pPr>
              <w:spacing w:line="360" w:lineRule="auto"/>
              <w:rPr>
                <w:color w:val="000000"/>
              </w:rPr>
            </w:pPr>
            <w:r>
              <w:rPr>
                <w:rFonts w:hint="eastAsia"/>
                <w:color w:val="000000"/>
              </w:rPr>
              <w:t>计划竣工日期：</w:t>
            </w:r>
            <w:permStart w:id="94" w:edGrp="everyone"/>
            <w:r>
              <w:rPr>
                <w:rFonts w:hint="eastAsia"/>
                <w:color w:val="000000"/>
              </w:rPr>
              <w:t xml:space="preserve">  </w:t>
            </w:r>
            <w:permEnd w:id="94"/>
            <w:r>
              <w:rPr>
                <w:rFonts w:hint="eastAsia"/>
                <w:color w:val="000000"/>
              </w:rPr>
              <w:t>年</w:t>
            </w:r>
            <w:permStart w:id="95" w:edGrp="everyone"/>
            <w:r>
              <w:rPr>
                <w:rFonts w:hint="eastAsia"/>
                <w:color w:val="000000"/>
              </w:rPr>
              <w:t xml:space="preserve">  </w:t>
            </w:r>
            <w:permEnd w:id="95"/>
            <w:r>
              <w:rPr>
                <w:rFonts w:hint="eastAsia"/>
                <w:color w:val="000000"/>
              </w:rPr>
              <w:t>月</w:t>
            </w:r>
            <w:permStart w:id="96" w:edGrp="everyone"/>
            <w:r>
              <w:rPr>
                <w:rFonts w:hint="eastAsia"/>
                <w:color w:val="000000"/>
              </w:rPr>
              <w:t xml:space="preserve">  </w:t>
            </w:r>
            <w:permEnd w:id="96"/>
            <w:r>
              <w:rPr>
                <w:rFonts w:hint="eastAsia"/>
                <w:color w:val="000000"/>
              </w:rPr>
              <w:t>日</w:t>
            </w:r>
          </w:p>
          <w:p>
            <w:pPr>
              <w:spacing w:line="360" w:lineRule="auto"/>
              <w:rPr>
                <w:color w:val="000000"/>
              </w:rPr>
            </w:pPr>
            <w:r>
              <w:rPr>
                <w:rFonts w:hint="eastAsia"/>
                <w:color w:val="000000"/>
              </w:rPr>
              <w:t>除上述总工期外，发包人还要求以下区段</w:t>
            </w:r>
          </w:p>
          <w:p>
            <w:pPr>
              <w:spacing w:line="360" w:lineRule="auto"/>
              <w:rPr>
                <w:color w:val="000000"/>
                <w:u w:val="single"/>
              </w:rPr>
            </w:pPr>
            <w:r>
              <w:rPr>
                <w:rFonts w:hint="eastAsia"/>
                <w:color w:val="000000"/>
              </w:rPr>
              <w:t>工期：</w:t>
            </w:r>
            <w:permStart w:id="97" w:edGrp="everyone"/>
            <w:r>
              <w:rPr>
                <w:rFonts w:hint="eastAsia"/>
                <w:color w:val="000000"/>
                <w:u w:val="single"/>
              </w:rPr>
              <w:t xml:space="preserve"> </w:t>
            </w:r>
          </w:p>
          <w:permEnd w:id="97"/>
          <w:p>
            <w:pPr>
              <w:spacing w:line="360" w:lineRule="auto"/>
              <w:rPr>
                <w:color w:val="000000"/>
                <w:u w:val="single"/>
              </w:rPr>
            </w:pPr>
            <w:r>
              <w:rPr>
                <w:rFonts w:hint="eastAsia"/>
                <w:color w:val="000000"/>
              </w:rPr>
              <w:t>有关工期的详细要求见第七章“技术标准和要求”。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57" w:hRule="atLeast"/>
        </w:trPr>
        <w:tc>
          <w:tcPr>
            <w:tcW w:w="1511" w:type="dxa"/>
            <w:vAlign w:val="center"/>
          </w:tcPr>
          <w:p>
            <w:pPr>
              <w:jc w:val="center"/>
              <w:rPr>
                <w:color w:val="000000"/>
              </w:rPr>
            </w:pPr>
            <w:r>
              <w:rPr>
                <w:rFonts w:hint="eastAsia"/>
                <w:color w:val="000000"/>
              </w:rPr>
              <w:t>1.3.3</w:t>
            </w:r>
          </w:p>
        </w:tc>
        <w:tc>
          <w:tcPr>
            <w:tcW w:w="2815" w:type="dxa"/>
            <w:gridSpan w:val="2"/>
            <w:vAlign w:val="center"/>
          </w:tcPr>
          <w:p>
            <w:pPr>
              <w:rPr>
                <w:color w:val="000000"/>
              </w:rPr>
            </w:pPr>
            <w:r>
              <w:rPr>
                <w:rFonts w:hint="eastAsia"/>
                <w:color w:val="000000"/>
              </w:rPr>
              <w:t>质量要求</w:t>
            </w:r>
          </w:p>
        </w:tc>
        <w:tc>
          <w:tcPr>
            <w:tcW w:w="4538" w:type="dxa"/>
            <w:vAlign w:val="center"/>
          </w:tcPr>
          <w:p>
            <w:pPr>
              <w:spacing w:line="312" w:lineRule="auto"/>
              <w:rPr>
                <w:color w:val="000000"/>
                <w:u w:val="single"/>
              </w:rPr>
            </w:pPr>
            <w:r>
              <w:rPr>
                <w:rFonts w:hint="eastAsia"/>
                <w:color w:val="000000"/>
              </w:rPr>
              <w:t>质量标准：</w:t>
            </w:r>
            <w:permStart w:id="98" w:edGrp="everyone"/>
            <w:r>
              <w:rPr>
                <w:rFonts w:hint="eastAsia"/>
                <w:color w:val="000000"/>
              </w:rPr>
              <w:t xml:space="preserve"> </w:t>
            </w:r>
            <w:r>
              <w:rPr>
                <w:rFonts w:hint="eastAsia"/>
                <w:color w:val="FF0000"/>
              </w:rPr>
              <w:t xml:space="preserve"> </w:t>
            </w:r>
            <w:permEnd w:id="98"/>
          </w:p>
          <w:p>
            <w:pPr>
              <w:spacing w:line="312" w:lineRule="auto"/>
              <w:rPr>
                <w:color w:val="000000"/>
              </w:rPr>
            </w:pPr>
            <w:r>
              <w:rPr>
                <w:rFonts w:hint="eastAsia"/>
                <w:color w:val="000000"/>
              </w:rPr>
              <w:t>关于质量要求的详细说明见第七章“技术标准和要求”。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1" w:type="dxa"/>
            <w:vAlign w:val="center"/>
          </w:tcPr>
          <w:p>
            <w:pPr>
              <w:jc w:val="center"/>
              <w:rPr>
                <w:color w:val="000000"/>
              </w:rPr>
            </w:pPr>
            <w:r>
              <w:rPr>
                <w:rFonts w:hint="eastAsia"/>
                <w:color w:val="000000"/>
              </w:rPr>
              <w:t>1.4.1</w:t>
            </w:r>
          </w:p>
        </w:tc>
        <w:tc>
          <w:tcPr>
            <w:tcW w:w="2815" w:type="dxa"/>
            <w:gridSpan w:val="2"/>
            <w:vAlign w:val="center"/>
          </w:tcPr>
          <w:p>
            <w:pPr>
              <w:rPr>
                <w:color w:val="000000"/>
              </w:rPr>
            </w:pPr>
            <w:r>
              <w:rPr>
                <w:rFonts w:hint="eastAsia"/>
                <w:color w:val="000000"/>
              </w:rPr>
              <w:t>投标人资质条件、能力和企业诚信</w:t>
            </w:r>
          </w:p>
        </w:tc>
        <w:tc>
          <w:tcPr>
            <w:tcW w:w="4538" w:type="dxa"/>
            <w:vAlign w:val="center"/>
          </w:tcPr>
          <w:p>
            <w:pPr>
              <w:numPr>
                <w:ilvl w:val="0"/>
                <w:numId w:val="1"/>
              </w:numPr>
              <w:spacing w:line="276" w:lineRule="auto"/>
              <w:jc w:val="left"/>
              <w:rPr>
                <w:rFonts w:hint="eastAsia"/>
                <w:color w:val="000000"/>
              </w:rPr>
            </w:pPr>
            <w:r>
              <w:rPr>
                <w:rFonts w:hint="eastAsia"/>
                <w:color w:val="000000"/>
              </w:rPr>
              <w:t>资质要求</w:t>
            </w:r>
            <w:r>
              <w:rPr>
                <w:rFonts w:hint="eastAsia"/>
                <w:color w:val="000000"/>
                <w:u w:val="single"/>
              </w:rPr>
              <w:t xml:space="preserve">：系统自动判定，判定规则见附表 八 </w:t>
            </w:r>
            <w:r>
              <w:rPr>
                <w:rFonts w:hint="eastAsia"/>
                <w:color w:val="000000"/>
              </w:rPr>
              <w:t>。</w:t>
            </w:r>
          </w:p>
          <w:p>
            <w:pPr>
              <w:numPr>
                <w:ilvl w:val="0"/>
                <w:numId w:val="0"/>
              </w:numPr>
              <w:spacing w:line="276" w:lineRule="auto"/>
              <w:jc w:val="left"/>
              <w:rPr>
                <w:rFonts w:hint="eastAsia"/>
                <w:color w:val="000000"/>
              </w:rPr>
            </w:pPr>
            <w:r>
              <w:rPr>
                <w:rFonts w:hint="eastAsia"/>
                <w:color w:val="000000"/>
              </w:rPr>
              <w:t>本次招标要求投标人须具备独立法人资格</w:t>
            </w:r>
            <w:r>
              <w:rPr>
                <w:rFonts w:hint="eastAsia"/>
                <w:color w:val="000000"/>
                <w:lang w:eastAsia="zh-CN"/>
              </w:rPr>
              <w:t>，</w:t>
            </w:r>
            <w:r>
              <w:rPr>
                <w:rFonts w:hint="eastAsia"/>
                <w:color w:val="000000"/>
              </w:rPr>
              <w:t>以及具备有效的安全生产许可证, 同时具备</w:t>
            </w:r>
            <w:r>
              <w:rPr>
                <w:rFonts w:hint="eastAsia"/>
                <w:color w:val="000000"/>
                <w:lang w:val="en-US" w:eastAsia="zh-CN"/>
              </w:rPr>
              <w:t>行业主管部门</w:t>
            </w:r>
            <w:r>
              <w:rPr>
                <w:rFonts w:hint="eastAsia"/>
                <w:color w:val="000000"/>
              </w:rPr>
              <w:t>核发的施工资质：</w:t>
            </w:r>
          </w:p>
          <w:p>
            <w:pPr>
              <w:spacing w:line="276" w:lineRule="auto"/>
              <w:jc w:val="left"/>
              <w:rPr>
                <w:color w:val="000000"/>
                <w:u w:val="single"/>
              </w:rPr>
            </w:pPr>
            <w:r>
              <w:rPr>
                <w:rFonts w:hint="eastAsia"/>
                <w:color w:val="000000"/>
              </w:rPr>
              <w:t>1、</w:t>
            </w:r>
            <w:r>
              <w:rPr>
                <w:rFonts w:hint="eastAsia"/>
                <w:color w:val="000000"/>
                <w:lang w:val="en-US" w:eastAsia="zh-CN"/>
              </w:rPr>
              <w:t>____</w:t>
            </w:r>
            <w:r>
              <w:rPr>
                <w:rFonts w:hint="eastAsia"/>
                <w:color w:val="000000"/>
              </w:rPr>
              <w:t>级及以上资质。</w:t>
            </w:r>
          </w:p>
          <w:p>
            <w:pPr>
              <w:pStyle w:val="91"/>
              <w:spacing w:line="276" w:lineRule="auto"/>
              <w:ind w:firstLine="0" w:firstLineChars="0"/>
              <w:rPr>
                <w:color w:val="000000"/>
              </w:rPr>
            </w:pPr>
            <w:r>
              <w:rPr>
                <w:rFonts w:hint="eastAsia"/>
                <w:color w:val="000000"/>
              </w:rPr>
              <w:t>二、企业信誉要求：</w:t>
            </w:r>
          </w:p>
          <w:p>
            <w:pPr>
              <w:pStyle w:val="14"/>
              <w:numPr>
                <w:ilvl w:val="255"/>
                <w:numId w:val="0"/>
              </w:numPr>
              <w:rPr>
                <w:color w:val="000000"/>
              </w:rPr>
            </w:pPr>
            <w:r>
              <w:rPr>
                <w:rFonts w:hint="eastAsia"/>
                <w:color w:val="000000"/>
              </w:rPr>
              <w:t>1、投标人未被人民法院列为失信被执行人。两个以上的自然人、法人或者其他组织组成一个联合体，以一个投标人的身份共同参加投标活动的，所有联合体成员应均未被列为失信被执行人。联合体中有一个或一个以上成员属于失信被执行人的，联合体视为失信被执行人。签订合同前或执行合同中，投标人为失信被执行人的，招标人依法取消其中标资格或中止合同；</w:t>
            </w:r>
          </w:p>
          <w:p>
            <w:pPr>
              <w:spacing w:line="400" w:lineRule="exact"/>
              <w:rPr>
                <w:color w:val="000000"/>
              </w:rPr>
            </w:pPr>
            <w:r>
              <w:rPr>
                <w:rFonts w:hint="eastAsia"/>
                <w:color w:val="000000"/>
              </w:rPr>
              <w:t>2、未被责令停业的；</w:t>
            </w:r>
          </w:p>
          <w:p>
            <w:pPr>
              <w:spacing w:line="400" w:lineRule="exact"/>
              <w:rPr>
                <w:color w:val="000000"/>
              </w:rPr>
            </w:pPr>
            <w:r>
              <w:rPr>
                <w:rFonts w:hint="eastAsia"/>
                <w:color w:val="000000"/>
              </w:rPr>
              <w:t>3、投标资格未被暂停或取消投标资格的；</w:t>
            </w:r>
          </w:p>
          <w:p>
            <w:pPr>
              <w:spacing w:line="400" w:lineRule="exact"/>
              <w:rPr>
                <w:color w:val="000000"/>
              </w:rPr>
            </w:pPr>
            <w:r>
              <w:rPr>
                <w:rFonts w:hint="eastAsia"/>
                <w:color w:val="000000"/>
              </w:rPr>
              <w:t>4、财产未被接管或冻结的；</w:t>
            </w:r>
          </w:p>
          <w:p>
            <w:pPr>
              <w:pStyle w:val="14"/>
              <w:numPr>
                <w:ilvl w:val="255"/>
                <w:numId w:val="0"/>
              </w:numPr>
              <w:spacing w:line="276" w:lineRule="auto"/>
              <w:rPr>
                <w:rFonts w:hint="eastAsia"/>
                <w:color w:val="000000"/>
              </w:rPr>
            </w:pPr>
            <w:r>
              <w:rPr>
                <w:rFonts w:hint="eastAsia"/>
                <w:color w:val="000000"/>
              </w:rPr>
              <w:t>5、在最近三年内没有骗取中标或严重违约或重大工程质量问题的。</w:t>
            </w:r>
          </w:p>
          <w:p>
            <w:pPr>
              <w:pStyle w:val="14"/>
              <w:numPr>
                <w:ilvl w:val="255"/>
                <w:numId w:val="0"/>
              </w:numPr>
              <w:spacing w:line="276" w:lineRule="auto"/>
              <w:rPr>
                <w:rFonts w:hint="eastAsia"/>
                <w:color w:val="000000"/>
              </w:rPr>
            </w:pPr>
            <w:r>
              <w:rPr>
                <w:spacing w:val="-1"/>
              </w:rPr>
              <w:t>投标文件中应附上述企业信誉要求的承诺函。承诺函格式见</w:t>
            </w:r>
            <w:r>
              <w:rPr>
                <w:spacing w:val="18"/>
              </w:rPr>
              <w:t xml:space="preserve"> </w:t>
            </w:r>
            <w:r>
              <w:rPr>
                <w:spacing w:val="-5"/>
              </w:rPr>
              <w:t>附表十一</w:t>
            </w:r>
          </w:p>
          <w:p>
            <w:pPr>
              <w:pStyle w:val="14"/>
              <w:numPr>
                <w:ilvl w:val="255"/>
                <w:numId w:val="0"/>
              </w:numPr>
              <w:spacing w:line="276" w:lineRule="auto"/>
              <w:rPr>
                <w:color w:val="000000"/>
              </w:rPr>
            </w:pPr>
            <w:r>
              <w:rPr>
                <w:rFonts w:hint="eastAsia"/>
                <w:color w:val="000000"/>
              </w:rPr>
              <w:t>三、项目经理资格（系统依据项目规模自动判断，判断标准见附表</w:t>
            </w:r>
            <w:r>
              <w:rPr>
                <w:rFonts w:hint="eastAsia"/>
                <w:color w:val="000000"/>
                <w:u w:val="single"/>
              </w:rPr>
              <w:t>八</w:t>
            </w:r>
            <w:r>
              <w:rPr>
                <w:rFonts w:hint="eastAsia"/>
                <w:color w:val="000000"/>
              </w:rPr>
              <w:t>）：</w:t>
            </w:r>
          </w:p>
          <w:p>
            <w:pPr>
              <w:spacing w:line="276" w:lineRule="auto"/>
              <w:rPr>
                <w:color w:val="000000"/>
              </w:rPr>
            </w:pPr>
            <w:r>
              <w:rPr>
                <w:rFonts w:hint="eastAsia"/>
                <w:color w:val="000000"/>
              </w:rPr>
              <w:t>项目负责人（项目经理）资格：</w:t>
            </w:r>
            <w:permStart w:id="99" w:edGrp="everyone"/>
            <w:r>
              <w:rPr>
                <w:rFonts w:hint="eastAsia"/>
                <w:color w:val="000000"/>
              </w:rPr>
              <w:t xml:space="preserve"> </w:t>
            </w:r>
            <w:permEnd w:id="99"/>
            <w:r>
              <w:rPr>
                <w:rFonts w:hint="eastAsia"/>
                <w:color w:val="000000"/>
              </w:rPr>
              <w:t>专业</w:t>
            </w:r>
            <w:permStart w:id="100" w:edGrp="everyone"/>
            <w:r>
              <w:rPr>
                <w:rFonts w:hint="eastAsia"/>
                <w:color w:val="000000"/>
              </w:rPr>
              <w:t xml:space="preserve">  </w:t>
            </w:r>
            <w:permEnd w:id="100"/>
            <w:r>
              <w:rPr>
                <w:rFonts w:hint="eastAsia"/>
                <w:color w:val="000000"/>
              </w:rPr>
              <w:t>级（含以上级）注册建造师执业资格，且不得担任其他在施建设工程项目的项目负责人（项目经理）。</w:t>
            </w:r>
            <w:permStart w:id="101" w:edGrp="everyone"/>
            <w:r>
              <w:rPr>
                <w:rFonts w:hint="eastAsia"/>
                <w:color w:val="000000"/>
                <w:u w:val="single"/>
              </w:rPr>
              <w:t>拟派本项目负责人的注册证书原件信息应与确认投标时填写的负责人一致。</w:t>
            </w:r>
            <w:permEnd w:id="101"/>
          </w:p>
          <w:p>
            <w:pPr>
              <w:pStyle w:val="14"/>
              <w:rPr>
                <w:rFonts w:hint="eastAsia"/>
                <w:color w:val="000000"/>
              </w:rPr>
            </w:pPr>
            <w:r>
              <w:rPr>
                <w:rFonts w:hint="eastAsia"/>
                <w:color w:val="000000"/>
              </w:rPr>
              <w:t>注：简易评估法、经评审的最低价法仅对项目负责人（项目经理）资格进行评审，不对其他关键岗位人员资格进行评</w:t>
            </w:r>
          </w:p>
          <w:p>
            <w:pPr>
              <w:pStyle w:val="14"/>
              <w:rPr>
                <w:rFonts w:hint="eastAsia"/>
                <w:color w:val="000000"/>
              </w:rPr>
            </w:pPr>
            <w:r>
              <w:rPr>
                <w:rFonts w:hint="eastAsia"/>
                <w:color w:val="000000"/>
              </w:rPr>
              <w:t>审。投标人应当增强契约精神和守约观念，诚实守信、恪守商业道德，加强企业自律，不得存在出借资质、参与串通投标、弄虚作假等违法违规行为，应当严格按照招标文件要求编制投标文件，根据招标项目关键岗位人员的配备标准和规定填报时间(收到中标通知书10日内)填报关键岗位人员信</w:t>
            </w:r>
          </w:p>
          <w:p>
            <w:pPr>
              <w:pStyle w:val="14"/>
              <w:rPr>
                <w:color w:val="000000"/>
              </w:rPr>
            </w:pPr>
            <w:r>
              <w:rPr>
                <w:rFonts w:hint="eastAsia"/>
                <w:color w:val="000000"/>
              </w:rPr>
              <w:t>息。从投标文件提交之日起至评标结束之日，其投标文件中承诺的项目负责人不得在其他项目投标中重复使用，已经中标的项目负责人不得重复参与其他项目投标，并承诺对投标文件的合法性、真实性、有效性负责。招标人在中标通知书发出前，应当核对中标人提交的关键岗位人员的配备情况。中标人存在下列情形之一的，招标人应及时报告行业监督部门，并依据“机器”评标结果名单排序依次确定其他中标候选人为中标人并按照相关法律法规进行处理：</w:t>
            </w:r>
          </w:p>
          <w:p>
            <w:pPr>
              <w:pStyle w:val="14"/>
              <w:rPr>
                <w:color w:val="000000"/>
              </w:rPr>
            </w:pPr>
            <w:r>
              <w:rPr>
                <w:rFonts w:hint="eastAsia"/>
                <w:color w:val="000000"/>
              </w:rPr>
              <w:t>（1）填报的关键岗位人员不符合招标项目配备标准的；</w:t>
            </w:r>
          </w:p>
          <w:p>
            <w:pPr>
              <w:pStyle w:val="14"/>
              <w:rPr>
                <w:color w:val="000000"/>
              </w:rPr>
            </w:pPr>
            <w:r>
              <w:rPr>
                <w:rFonts w:hint="eastAsia"/>
                <w:color w:val="000000"/>
              </w:rPr>
              <w:t>（2）不在规定时间内进行填报的。</w:t>
            </w:r>
          </w:p>
          <w:p>
            <w:pPr>
              <w:spacing w:line="276" w:lineRule="auto"/>
              <w:rPr>
                <w:color w:val="000000"/>
              </w:rPr>
            </w:pPr>
            <w:r>
              <w:rPr>
                <w:rFonts w:hint="eastAsia"/>
                <w:color w:val="000000"/>
              </w:rPr>
              <w:t>四、其他要求：</w:t>
            </w:r>
          </w:p>
          <w:p>
            <w:pPr>
              <w:spacing w:line="276" w:lineRule="auto"/>
              <w:jc w:val="left"/>
            </w:pPr>
            <w:r>
              <w:rPr>
                <w:rFonts w:hint="eastAsia"/>
                <w:color w:val="000000"/>
              </w:rPr>
              <w:t>1、</w:t>
            </w:r>
            <w:r>
              <w:rPr>
                <w:rFonts w:hint="eastAsia"/>
              </w:rPr>
              <w:t>建筑业企业参与投标前，应当根据《海南省建筑企业诚信档案手册管理办法》的规定，通过省住房和城乡建设厅网站（</w:t>
            </w:r>
            <w:r>
              <w:rPr>
                <w:rFonts w:hint="eastAsia"/>
                <w:lang w:eastAsia="zh-CN"/>
              </w:rPr>
              <w:t>http://zjt.hainan.gov.cn/</w:t>
            </w:r>
            <w:r>
              <w:rPr>
                <w:rFonts w:hint="eastAsia"/>
              </w:rPr>
              <w:t>）登录海南省房屋建筑工程全过程监管信息平台申请《海南省建筑企业诚信档案手册》并按要求填写项目名称、项目地址、拟派驻的</w:t>
            </w:r>
            <w:r>
              <w:rPr>
                <w:rFonts w:hint="eastAsia"/>
                <w:color w:val="000000"/>
              </w:rPr>
              <w:t>项目负责人（项目经理）信息</w:t>
            </w:r>
            <w:r>
              <w:rPr>
                <w:rFonts w:hint="eastAsia"/>
              </w:rPr>
              <w:t>。</w:t>
            </w:r>
          </w:p>
          <w:p>
            <w:pPr>
              <w:spacing w:line="276" w:lineRule="auto"/>
              <w:rPr>
                <w:rFonts w:hint="eastAsia"/>
                <w:color w:val="000000"/>
              </w:rPr>
            </w:pPr>
            <w:r>
              <w:rPr>
                <w:rFonts w:hint="eastAsia"/>
                <w:color w:val="000000"/>
              </w:rPr>
              <w:t>2、其他要求在合同条款中注明。</w:t>
            </w:r>
          </w:p>
          <w:p>
            <w:pPr>
              <w:spacing w:line="276" w:lineRule="auto"/>
              <w:rPr>
                <w:rFonts w:hint="eastAsia"/>
                <w:color w:val="000000"/>
              </w:rPr>
            </w:pPr>
            <w:r>
              <w:rPr>
                <w:rFonts w:hint="eastAsia"/>
                <w:color w:val="000000"/>
              </w:rPr>
              <w:t>3、本项目招标代理费由中标单位按国家规定的收费标准支付。</w:t>
            </w:r>
          </w:p>
          <w:p>
            <w:pPr>
              <w:spacing w:line="276" w:lineRule="auto"/>
              <w:rPr>
                <w:rFonts w:hint="eastAsia"/>
                <w:color w:val="000000"/>
              </w:rPr>
            </w:pPr>
            <w:r>
              <w:rPr>
                <w:rFonts w:hint="eastAsia"/>
                <w:color w:val="000000"/>
              </w:rPr>
              <w:t>4、如发现投标单位存在串通投标行为，招标人及招标代理机构上报行政主管部门，并不予退还投标保证金。（须提供承诺函）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1" w:type="dxa"/>
            <w:vAlign w:val="center"/>
          </w:tcPr>
          <w:p>
            <w:pPr>
              <w:jc w:val="center"/>
              <w:rPr>
                <w:color w:val="000000"/>
              </w:rPr>
            </w:pPr>
            <w:r>
              <w:rPr>
                <w:rFonts w:hint="eastAsia"/>
                <w:color w:val="000000"/>
              </w:rPr>
              <w:t>1.4.2</w:t>
            </w:r>
          </w:p>
        </w:tc>
        <w:tc>
          <w:tcPr>
            <w:tcW w:w="2815" w:type="dxa"/>
            <w:gridSpan w:val="2"/>
            <w:vAlign w:val="center"/>
          </w:tcPr>
          <w:p>
            <w:pPr>
              <w:rPr>
                <w:color w:val="000000"/>
              </w:rPr>
            </w:pPr>
            <w:r>
              <w:rPr>
                <w:rFonts w:hint="eastAsia"/>
                <w:color w:val="000000"/>
              </w:rPr>
              <w:t>是否接受联合体投标</w:t>
            </w:r>
          </w:p>
        </w:tc>
        <w:tc>
          <w:tcPr>
            <w:tcW w:w="4538" w:type="dxa"/>
            <w:vAlign w:val="center"/>
          </w:tcPr>
          <w:p>
            <w:pPr>
              <w:rPr>
                <w:color w:val="000000"/>
              </w:rPr>
            </w:pPr>
            <w:sdt>
              <w:sdtPr>
                <w:rPr>
                  <w:rFonts w:hint="eastAsia"/>
                  <w:color w:val="000000"/>
                </w:rPr>
                <w:id w:val="-1"/>
                <w14:checkbox>
                  <w14:checked w14:val="0"/>
                  <w14:checkedState w14:val="2612" w14:font="MS Gothic"/>
                  <w14:uncheckedState w14:val="2610" w14:font="MS Gothic"/>
                </w14:checkbox>
              </w:sdtPr>
              <w:sdtEndPr>
                <w:rPr>
                  <w:rFonts w:hint="eastAsia"/>
                  <w:color w:val="000000"/>
                </w:rPr>
              </w:sdtEndPr>
              <w:sdtContent>
                <w:r>
                  <w:rPr>
                    <w:rFonts w:hint="eastAsia" w:ascii="MS Gothic" w:hAnsi="MS Gothic" w:eastAsia="MS Gothic"/>
                    <w:color w:val="000000"/>
                  </w:rPr>
                  <w:t>☐</w:t>
                </w:r>
              </w:sdtContent>
            </w:sdt>
            <w:r>
              <w:rPr>
                <w:rFonts w:hint="eastAsia"/>
                <w:color w:val="000000"/>
              </w:rPr>
              <w:t>不接受</w:t>
            </w:r>
          </w:p>
          <w:p>
            <w:pPr>
              <w:rPr>
                <w:color w:val="000000"/>
              </w:rPr>
            </w:pPr>
            <w:sdt>
              <w:sdtPr>
                <w:rPr>
                  <w:rFonts w:hint="eastAsia"/>
                  <w:color w:val="000000"/>
                </w:rPr>
                <w:id w:val="26692278"/>
                <w14:checkbox>
                  <w14:checked w14:val="0"/>
                  <w14:checkedState w14:val="2612" w14:font="MS Gothic"/>
                  <w14:uncheckedState w14:val="2610" w14:font="MS Gothic"/>
                </w14:checkbox>
              </w:sdtPr>
              <w:sdtEndPr>
                <w:rPr>
                  <w:rFonts w:hint="eastAsia"/>
                  <w:color w:val="000000"/>
                </w:rPr>
              </w:sdtEndPr>
              <w:sdtContent>
                <w:r>
                  <w:rPr>
                    <w:rFonts w:hint="eastAsia" w:ascii="MS Gothic" w:hAnsi="MS Gothic" w:eastAsia="MS Gothic"/>
                    <w:color w:val="000000"/>
                  </w:rPr>
                  <w:t>☐</w:t>
                </w:r>
              </w:sdtContent>
            </w:sdt>
            <w:r>
              <w:rPr>
                <w:rFonts w:hint="eastAsia"/>
                <w:color w:val="000000"/>
              </w:rPr>
              <w:t>接受，应满足下列要求：</w:t>
            </w:r>
          </w:p>
          <w:p>
            <w:pPr>
              <w:spacing w:line="312" w:lineRule="auto"/>
              <w:rPr>
                <w:color w:val="000000"/>
              </w:rPr>
            </w:pPr>
            <w:r>
              <w:rPr>
                <w:rFonts w:hint="eastAsia"/>
                <w:color w:val="000000"/>
              </w:rPr>
              <w:t>（1）提交联合体各成员单位共同签订的共同投标协议，明确各成员单位各自的权利和义务以及应当承担的责任，同时载明联合体各成员单位的具体工作分工；</w:t>
            </w:r>
          </w:p>
          <w:p>
            <w:pPr>
              <w:spacing w:line="312" w:lineRule="auto"/>
              <w:rPr>
                <w:color w:val="000000"/>
              </w:rPr>
            </w:pPr>
            <w:r>
              <w:rPr>
                <w:rFonts w:hint="eastAsia"/>
                <w:color w:val="000000"/>
              </w:rPr>
              <w:t>（2）联合体各成员单位应当具备与联合体协议中约定的分工相适应的施工资质或资格以及施工能力；</w:t>
            </w:r>
          </w:p>
          <w:p>
            <w:pPr>
              <w:spacing w:line="312" w:lineRule="auto"/>
              <w:rPr>
                <w:color w:val="000000"/>
              </w:rPr>
            </w:pPr>
            <w:r>
              <w:rPr>
                <w:rFonts w:hint="eastAsia"/>
                <w:color w:val="000000"/>
              </w:rPr>
              <w:t>（3）联合体各方签订共同投标协议后，不得再以自己名义单独或者以其他联合体成员的名义参加同一项目的投标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1" w:type="dxa"/>
            <w:vAlign w:val="center"/>
          </w:tcPr>
          <w:p>
            <w:pPr>
              <w:jc w:val="center"/>
              <w:rPr>
                <w:color w:val="000000"/>
              </w:rPr>
            </w:pPr>
            <w:r>
              <w:rPr>
                <w:rFonts w:hint="eastAsia"/>
                <w:color w:val="000000"/>
              </w:rPr>
              <w:t>1.9.1</w:t>
            </w:r>
          </w:p>
        </w:tc>
        <w:tc>
          <w:tcPr>
            <w:tcW w:w="2815" w:type="dxa"/>
            <w:gridSpan w:val="2"/>
            <w:vAlign w:val="center"/>
          </w:tcPr>
          <w:p>
            <w:pPr>
              <w:rPr>
                <w:color w:val="000000"/>
              </w:rPr>
            </w:pPr>
            <w:r>
              <w:rPr>
                <w:rFonts w:hint="eastAsia"/>
                <w:color w:val="000000"/>
              </w:rPr>
              <w:t>踏勘现场</w:t>
            </w:r>
          </w:p>
        </w:tc>
        <w:tc>
          <w:tcPr>
            <w:tcW w:w="4538" w:type="dxa"/>
            <w:vAlign w:val="center"/>
          </w:tcPr>
          <w:p>
            <w:pPr>
              <w:rPr>
                <w:color w:val="000000"/>
              </w:rPr>
            </w:pPr>
            <w:sdt>
              <w:sdtPr>
                <w:rPr>
                  <w:rFonts w:hint="eastAsia"/>
                  <w:color w:val="000000"/>
                </w:rPr>
                <w:id w:val="313837815"/>
                <w14:checkbox>
                  <w14:checked w14:val="0"/>
                  <w14:checkedState w14:val="2612" w14:font="MS Gothic"/>
                  <w14:uncheckedState w14:val="2610" w14:font="MS Gothic"/>
                </w14:checkbox>
              </w:sdtPr>
              <w:sdtEndPr>
                <w:rPr>
                  <w:rFonts w:hint="eastAsia"/>
                  <w:color w:val="000000"/>
                </w:rPr>
              </w:sdtEndPr>
              <w:sdtContent>
                <w:r>
                  <w:rPr>
                    <w:rFonts w:hint="eastAsia" w:ascii="MS Gothic" w:hAnsi="MS Gothic" w:eastAsia="MS Gothic"/>
                    <w:color w:val="000000"/>
                  </w:rPr>
                  <w:t>☐</w:t>
                </w:r>
              </w:sdtContent>
            </w:sdt>
            <w:r>
              <w:rPr>
                <w:rFonts w:hint="eastAsia"/>
                <w:color w:val="000000"/>
              </w:rPr>
              <w:t>不组织</w:t>
            </w:r>
          </w:p>
          <w:p>
            <w:pPr>
              <w:rPr>
                <w:color w:val="000000"/>
              </w:rPr>
            </w:pPr>
            <w:sdt>
              <w:sdtPr>
                <w:rPr>
                  <w:rFonts w:hint="eastAsia"/>
                  <w:color w:val="000000"/>
                </w:rPr>
                <w:id w:val="1847511366"/>
                <w14:checkbox>
                  <w14:checked w14:val="0"/>
                  <w14:checkedState w14:val="2612" w14:font="MS Gothic"/>
                  <w14:uncheckedState w14:val="2610" w14:font="MS Gothic"/>
                </w14:checkbox>
              </w:sdtPr>
              <w:sdtEndPr>
                <w:rPr>
                  <w:rFonts w:hint="eastAsia"/>
                  <w:color w:val="000000"/>
                </w:rPr>
              </w:sdtEndPr>
              <w:sdtContent>
                <w:r>
                  <w:rPr>
                    <w:rFonts w:hint="eastAsia" w:ascii="MS Gothic" w:hAnsi="MS Gothic" w:eastAsia="MS Gothic"/>
                    <w:color w:val="000000"/>
                  </w:rPr>
                  <w:t>☐</w:t>
                </w:r>
              </w:sdtContent>
            </w:sdt>
            <w:r>
              <w:rPr>
                <w:rFonts w:hint="eastAsia"/>
                <w:color w:val="000000"/>
              </w:rPr>
              <w:t>组织，踏勘时间：</w:t>
            </w:r>
            <w:permStart w:id="102" w:edGrp="everyone"/>
            <w:r>
              <w:rPr>
                <w:rFonts w:hint="eastAsia"/>
                <w:color w:val="000000"/>
                <w:u w:val="single"/>
              </w:rPr>
              <w:t xml:space="preserve">      </w:t>
            </w:r>
            <w:permEnd w:id="102"/>
          </w:p>
          <w:p>
            <w:pPr>
              <w:spacing w:line="312" w:lineRule="auto"/>
              <w:rPr>
                <w:color w:val="000000"/>
                <w:u w:val="single"/>
              </w:rPr>
            </w:pPr>
            <w:r>
              <w:rPr>
                <w:rFonts w:hint="eastAsia"/>
                <w:color w:val="000000"/>
              </w:rPr>
              <w:t>踏勘集中地点：</w:t>
            </w:r>
            <w:permStart w:id="103" w:edGrp="everyone"/>
            <w:r>
              <w:rPr>
                <w:rFonts w:hint="eastAsia"/>
                <w:color w:val="000000"/>
                <w:u w:val="single"/>
              </w:rPr>
              <w:t xml:space="preserve"> </w:t>
            </w:r>
            <w:r>
              <w:rPr>
                <w:color w:val="000000"/>
                <w:u w:val="single"/>
              </w:rPr>
              <w:t xml:space="preserve">           </w:t>
            </w:r>
            <w:permEnd w:id="10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1" w:type="dxa"/>
            <w:vAlign w:val="center"/>
          </w:tcPr>
          <w:p>
            <w:pPr>
              <w:jc w:val="center"/>
              <w:rPr>
                <w:color w:val="000000"/>
              </w:rPr>
            </w:pPr>
            <w:r>
              <w:rPr>
                <w:rFonts w:hint="eastAsia"/>
                <w:color w:val="000000"/>
              </w:rPr>
              <w:t>1.10.1</w:t>
            </w:r>
          </w:p>
        </w:tc>
        <w:tc>
          <w:tcPr>
            <w:tcW w:w="2815" w:type="dxa"/>
            <w:gridSpan w:val="2"/>
            <w:vAlign w:val="center"/>
          </w:tcPr>
          <w:p>
            <w:pPr>
              <w:rPr>
                <w:color w:val="000000"/>
              </w:rPr>
            </w:pPr>
            <w:r>
              <w:rPr>
                <w:rFonts w:hint="eastAsia"/>
                <w:color w:val="000000"/>
              </w:rPr>
              <w:t>投标预备会</w:t>
            </w:r>
          </w:p>
        </w:tc>
        <w:tc>
          <w:tcPr>
            <w:tcW w:w="4538" w:type="dxa"/>
            <w:vAlign w:val="center"/>
          </w:tcPr>
          <w:p>
            <w:pPr>
              <w:rPr>
                <w:color w:val="000000"/>
              </w:rPr>
            </w:pPr>
            <w:sdt>
              <w:sdtPr>
                <w:rPr>
                  <w:rFonts w:hint="eastAsia"/>
                  <w:color w:val="000000"/>
                </w:rPr>
                <w:id w:val="388854510"/>
                <w14:checkbox>
                  <w14:checked w14:val="0"/>
                  <w14:checkedState w14:val="2612" w14:font="MS Gothic"/>
                  <w14:uncheckedState w14:val="2610" w14:font="MS Gothic"/>
                </w14:checkbox>
              </w:sdtPr>
              <w:sdtEndPr>
                <w:rPr>
                  <w:rFonts w:hint="eastAsia"/>
                  <w:color w:val="000000"/>
                </w:rPr>
              </w:sdtEndPr>
              <w:sdtContent>
                <w:r>
                  <w:rPr>
                    <w:rFonts w:hint="eastAsia" w:ascii="MS Gothic" w:hAnsi="MS Gothic" w:eastAsia="MS Gothic"/>
                    <w:color w:val="000000"/>
                  </w:rPr>
                  <w:t>☐</w:t>
                </w:r>
              </w:sdtContent>
            </w:sdt>
            <w:r>
              <w:rPr>
                <w:rFonts w:hint="eastAsia"/>
                <w:color w:val="000000"/>
              </w:rPr>
              <w:t>不召开</w:t>
            </w:r>
          </w:p>
          <w:p>
            <w:pPr>
              <w:rPr>
                <w:color w:val="000000"/>
              </w:rPr>
            </w:pPr>
            <w:sdt>
              <w:sdtPr>
                <w:rPr>
                  <w:rFonts w:hint="eastAsia"/>
                  <w:color w:val="000000"/>
                </w:rPr>
                <w:id w:val="1489356493"/>
                <w14:checkbox>
                  <w14:checked w14:val="0"/>
                  <w14:checkedState w14:val="2612" w14:font="MS Gothic"/>
                  <w14:uncheckedState w14:val="2610" w14:font="MS Gothic"/>
                </w14:checkbox>
              </w:sdtPr>
              <w:sdtEndPr>
                <w:rPr>
                  <w:rFonts w:hint="eastAsia"/>
                  <w:color w:val="000000"/>
                </w:rPr>
              </w:sdtEndPr>
              <w:sdtContent>
                <w:r>
                  <w:rPr>
                    <w:rFonts w:hint="eastAsia" w:ascii="MS Gothic" w:hAnsi="MS Gothic" w:eastAsia="MS Gothic"/>
                    <w:color w:val="000000"/>
                  </w:rPr>
                  <w:t>☐</w:t>
                </w:r>
              </w:sdtContent>
            </w:sdt>
            <w:r>
              <w:rPr>
                <w:rFonts w:hint="eastAsia"/>
                <w:color w:val="000000"/>
              </w:rPr>
              <w:t>召开，召开时间：</w:t>
            </w:r>
            <w:permStart w:id="104" w:edGrp="everyone"/>
            <w:r>
              <w:rPr>
                <w:rFonts w:hint="eastAsia"/>
                <w:color w:val="000000"/>
                <w:u w:val="single"/>
              </w:rPr>
              <w:t xml:space="preserve">           </w:t>
            </w:r>
            <w:permEnd w:id="104"/>
          </w:p>
          <w:p>
            <w:pPr>
              <w:spacing w:line="312" w:lineRule="auto"/>
              <w:rPr>
                <w:color w:val="000000"/>
                <w:u w:val="single"/>
              </w:rPr>
            </w:pPr>
            <w:r>
              <w:rPr>
                <w:rFonts w:hint="eastAsia"/>
                <w:color w:val="000000"/>
              </w:rPr>
              <w:t>召开地点：</w:t>
            </w:r>
            <w:permStart w:id="105" w:edGrp="everyone"/>
            <w:r>
              <w:rPr>
                <w:rFonts w:hint="eastAsia"/>
                <w:color w:val="000000"/>
                <w:u w:val="single"/>
              </w:rPr>
              <w:t xml:space="preserve">                    </w:t>
            </w:r>
            <w:permEnd w:id="10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1" w:type="dxa"/>
            <w:vAlign w:val="center"/>
          </w:tcPr>
          <w:p>
            <w:pPr>
              <w:jc w:val="center"/>
              <w:rPr>
                <w:color w:val="000000"/>
              </w:rPr>
            </w:pPr>
            <w:r>
              <w:rPr>
                <w:rFonts w:hint="eastAsia"/>
                <w:color w:val="000000"/>
              </w:rPr>
              <w:t>1.10.2</w:t>
            </w:r>
          </w:p>
        </w:tc>
        <w:tc>
          <w:tcPr>
            <w:tcW w:w="2815" w:type="dxa"/>
            <w:gridSpan w:val="2"/>
            <w:vAlign w:val="center"/>
          </w:tcPr>
          <w:p>
            <w:pPr>
              <w:rPr>
                <w:color w:val="000000"/>
              </w:rPr>
            </w:pPr>
            <w:r>
              <w:rPr>
                <w:rFonts w:hint="eastAsia"/>
                <w:color w:val="000000"/>
              </w:rPr>
              <w:t>投标人提出问题的截止时间</w:t>
            </w:r>
          </w:p>
        </w:tc>
        <w:tc>
          <w:tcPr>
            <w:tcW w:w="4538" w:type="dxa"/>
            <w:vAlign w:val="center"/>
          </w:tcPr>
          <w:p>
            <w:pPr>
              <w:spacing w:line="312" w:lineRule="auto"/>
              <w:rPr>
                <w:color w:val="000000"/>
              </w:rPr>
            </w:pPr>
            <w:r>
              <w:rPr>
                <w:rFonts w:hint="eastAsia"/>
                <w:color w:val="000000"/>
              </w:rPr>
              <w:t>按照《招标投标法实施条例》相关规定执行：第二十二条对招标文件有异议的，应当在投标截止时间10日前提出。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1" w:type="dxa"/>
            <w:vAlign w:val="center"/>
          </w:tcPr>
          <w:p>
            <w:pPr>
              <w:jc w:val="center"/>
              <w:rPr>
                <w:color w:val="000000"/>
              </w:rPr>
            </w:pPr>
            <w:r>
              <w:rPr>
                <w:rFonts w:hint="eastAsia"/>
                <w:color w:val="000000"/>
              </w:rPr>
              <w:t>1.10.3</w:t>
            </w:r>
          </w:p>
        </w:tc>
        <w:tc>
          <w:tcPr>
            <w:tcW w:w="2815" w:type="dxa"/>
            <w:gridSpan w:val="2"/>
            <w:vAlign w:val="center"/>
          </w:tcPr>
          <w:p>
            <w:pPr>
              <w:rPr>
                <w:color w:val="000000"/>
              </w:rPr>
            </w:pPr>
            <w:r>
              <w:rPr>
                <w:rFonts w:hint="eastAsia"/>
                <w:color w:val="000000"/>
              </w:rPr>
              <w:t>招标人书面澄清或修改的时间</w:t>
            </w:r>
          </w:p>
        </w:tc>
        <w:tc>
          <w:tcPr>
            <w:tcW w:w="4538" w:type="dxa"/>
            <w:vAlign w:val="center"/>
          </w:tcPr>
          <w:p>
            <w:pPr>
              <w:spacing w:line="312" w:lineRule="auto"/>
              <w:rPr>
                <w:color w:val="000000"/>
              </w:rPr>
            </w:pPr>
            <w:r>
              <w:rPr>
                <w:rFonts w:hint="eastAsia"/>
                <w:color w:val="000000"/>
              </w:rPr>
              <w:t>提交投标文件</w:t>
            </w:r>
            <w:r>
              <w:rPr>
                <w:rFonts w:hint="eastAsia"/>
                <w:color w:val="000000"/>
                <w:lang w:eastAsia="zh-CN"/>
              </w:rPr>
              <w:t>截止时间</w:t>
            </w:r>
            <w:r>
              <w:rPr>
                <w:rFonts w:hint="eastAsia"/>
                <w:color w:val="000000"/>
              </w:rPr>
              <w:t>至少15日前。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1" w:type="dxa"/>
            <w:vAlign w:val="center"/>
          </w:tcPr>
          <w:p>
            <w:pPr>
              <w:jc w:val="center"/>
              <w:rPr>
                <w:color w:val="000000"/>
              </w:rPr>
            </w:pPr>
            <w:r>
              <w:rPr>
                <w:rFonts w:hint="eastAsia"/>
                <w:color w:val="000000"/>
              </w:rPr>
              <w:t>1.11</w:t>
            </w:r>
          </w:p>
        </w:tc>
        <w:tc>
          <w:tcPr>
            <w:tcW w:w="2815" w:type="dxa"/>
            <w:gridSpan w:val="2"/>
            <w:vAlign w:val="center"/>
          </w:tcPr>
          <w:p>
            <w:pPr>
              <w:rPr>
                <w:color w:val="000000"/>
              </w:rPr>
            </w:pPr>
            <w:r>
              <w:rPr>
                <w:rFonts w:hint="eastAsia"/>
                <w:color w:val="000000"/>
              </w:rPr>
              <w:t>分包</w:t>
            </w:r>
          </w:p>
        </w:tc>
        <w:tc>
          <w:tcPr>
            <w:tcW w:w="4538" w:type="dxa"/>
            <w:vAlign w:val="center"/>
          </w:tcPr>
          <w:p>
            <w:pPr>
              <w:rPr>
                <w:color w:val="000000"/>
              </w:rPr>
            </w:pPr>
            <w:sdt>
              <w:sdtPr>
                <w:rPr>
                  <w:rFonts w:hint="eastAsia"/>
                  <w:color w:val="000000"/>
                </w:rPr>
                <w:id w:val="1172296352"/>
                <w14:checkbox>
                  <w14:checked w14:val="0"/>
                  <w14:checkedState w14:val="2612" w14:font="MS Gothic"/>
                  <w14:uncheckedState w14:val="2610" w14:font="MS Gothic"/>
                </w14:checkbox>
              </w:sdtPr>
              <w:sdtEndPr>
                <w:rPr>
                  <w:rFonts w:hint="eastAsia"/>
                  <w:color w:val="000000"/>
                </w:rPr>
              </w:sdtEndPr>
              <w:sdtContent>
                <w:r>
                  <w:rPr>
                    <w:rFonts w:hint="eastAsia" w:ascii="MS Gothic" w:hAnsi="MS Gothic" w:eastAsia="MS Gothic"/>
                    <w:color w:val="000000"/>
                  </w:rPr>
                  <w:t>☐</w:t>
                </w:r>
              </w:sdtContent>
            </w:sdt>
            <w:r>
              <w:rPr>
                <w:rFonts w:hint="eastAsia"/>
                <w:color w:val="000000"/>
              </w:rPr>
              <w:t>不允许</w:t>
            </w:r>
          </w:p>
          <w:p>
            <w:pPr>
              <w:rPr>
                <w:color w:val="000000"/>
              </w:rPr>
            </w:pPr>
            <w:sdt>
              <w:sdtPr>
                <w:rPr>
                  <w:rFonts w:hint="eastAsia"/>
                  <w:color w:val="000000"/>
                </w:rPr>
                <w:id w:val="-1"/>
                <w14:checkbox>
                  <w14:checked w14:val="0"/>
                  <w14:checkedState w14:val="2612" w14:font="MS Gothic"/>
                  <w14:uncheckedState w14:val="2610" w14:font="MS Gothic"/>
                </w14:checkbox>
              </w:sdtPr>
              <w:sdtEndPr>
                <w:rPr>
                  <w:rFonts w:hint="eastAsia"/>
                  <w:color w:val="000000"/>
                </w:rPr>
              </w:sdtEndPr>
              <w:sdtContent>
                <w:r>
                  <w:rPr>
                    <w:rFonts w:hint="eastAsia" w:ascii="MS Gothic" w:hAnsi="MS Gothic" w:eastAsia="MS Gothic"/>
                    <w:color w:val="000000"/>
                  </w:rPr>
                  <w:t>☐</w:t>
                </w:r>
              </w:sdtContent>
            </w:sdt>
            <w:bookmarkStart w:id="26" w:name="_Hlk114157488"/>
            <w:r>
              <w:rPr>
                <w:rFonts w:hint="eastAsia"/>
                <w:color w:val="000000"/>
              </w:rPr>
              <w:t>允许，分包内容要求：</w:t>
            </w:r>
            <w:permStart w:id="106" w:edGrp="everyone"/>
            <w:r>
              <w:rPr>
                <w:rFonts w:hint="eastAsia"/>
                <w:color w:val="000000"/>
                <w:u w:val="single"/>
              </w:rPr>
              <w:t xml:space="preserve"> </w:t>
            </w:r>
            <w:r>
              <w:rPr>
                <w:color w:val="000000"/>
                <w:u w:val="single"/>
              </w:rPr>
              <w:t xml:space="preserve">      </w:t>
            </w:r>
            <w:permEnd w:id="106"/>
          </w:p>
          <w:p>
            <w:pPr>
              <w:spacing w:line="312" w:lineRule="auto"/>
              <w:rPr>
                <w:color w:val="000000"/>
                <w:u w:val="single"/>
              </w:rPr>
            </w:pPr>
            <w:r>
              <w:rPr>
                <w:rFonts w:hint="eastAsia"/>
                <w:color w:val="000000"/>
              </w:rPr>
              <w:t>分包金额要求：</w:t>
            </w:r>
            <w:permStart w:id="107" w:edGrp="everyone"/>
            <w:r>
              <w:rPr>
                <w:rFonts w:hint="eastAsia"/>
                <w:color w:val="000000"/>
                <w:u w:val="single"/>
              </w:rPr>
              <w:t xml:space="preserve"> </w:t>
            </w:r>
            <w:r>
              <w:rPr>
                <w:color w:val="000000"/>
                <w:u w:val="single"/>
              </w:rPr>
              <w:t xml:space="preserve">      </w:t>
            </w:r>
            <w:r>
              <w:rPr>
                <w:rFonts w:hint="eastAsia"/>
                <w:color w:val="000000"/>
                <w:u w:val="single"/>
              </w:rPr>
              <w:t xml:space="preserve"> </w:t>
            </w:r>
            <w:r>
              <w:rPr>
                <w:color w:val="000000"/>
                <w:u w:val="single"/>
              </w:rPr>
              <w:t xml:space="preserve">      </w:t>
            </w:r>
            <w:r>
              <w:rPr>
                <w:rFonts w:hint="eastAsia"/>
                <w:color w:val="000000"/>
                <w:u w:val="single"/>
              </w:rPr>
              <w:t xml:space="preserve"> </w:t>
            </w:r>
            <w:r>
              <w:rPr>
                <w:color w:val="000000"/>
                <w:u w:val="single"/>
              </w:rPr>
              <w:t xml:space="preserve">      </w:t>
            </w:r>
            <w:r>
              <w:rPr>
                <w:rFonts w:hint="eastAsia"/>
                <w:color w:val="000000"/>
              </w:rPr>
              <w:t xml:space="preserve"> </w:t>
            </w:r>
            <w:permEnd w:id="107"/>
          </w:p>
          <w:p>
            <w:pPr>
              <w:spacing w:line="312" w:lineRule="auto"/>
              <w:rPr>
                <w:color w:val="000000"/>
                <w:u w:val="single"/>
              </w:rPr>
            </w:pPr>
            <w:r>
              <w:rPr>
                <w:rFonts w:hint="eastAsia"/>
                <w:color w:val="000000"/>
              </w:rPr>
              <w:t>接受分包的第三人资质要求：</w:t>
            </w:r>
            <w:permStart w:id="108" w:edGrp="everyone"/>
            <w:r>
              <w:rPr>
                <w:rFonts w:hint="eastAsia"/>
                <w:color w:val="000000"/>
                <w:u w:val="single"/>
              </w:rPr>
              <w:t xml:space="preserve">         </w:t>
            </w:r>
            <w:bookmarkEnd w:id="26"/>
            <w:permEnd w:id="10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1" w:type="dxa"/>
            <w:vAlign w:val="center"/>
          </w:tcPr>
          <w:p>
            <w:pPr>
              <w:jc w:val="center"/>
              <w:rPr>
                <w:color w:val="000000"/>
              </w:rPr>
            </w:pPr>
            <w:r>
              <w:rPr>
                <w:rFonts w:hint="eastAsia"/>
                <w:color w:val="000000"/>
              </w:rPr>
              <w:t>2.1</w:t>
            </w:r>
          </w:p>
        </w:tc>
        <w:tc>
          <w:tcPr>
            <w:tcW w:w="2815" w:type="dxa"/>
            <w:gridSpan w:val="2"/>
            <w:vAlign w:val="center"/>
          </w:tcPr>
          <w:p>
            <w:pPr>
              <w:rPr>
                <w:color w:val="000000"/>
              </w:rPr>
            </w:pPr>
            <w:r>
              <w:rPr>
                <w:rFonts w:hint="eastAsia"/>
                <w:color w:val="000000"/>
              </w:rPr>
              <w:t>构成招标文件的其他材料</w:t>
            </w:r>
          </w:p>
        </w:tc>
        <w:tc>
          <w:tcPr>
            <w:tcW w:w="4538" w:type="dxa"/>
            <w:vAlign w:val="center"/>
          </w:tcPr>
          <w:p>
            <w:pPr>
              <w:spacing w:line="288" w:lineRule="auto"/>
              <w:rPr>
                <w:color w:val="000000"/>
                <w:u w:val="single"/>
              </w:rPr>
            </w:pPr>
            <w:permStart w:id="109" w:edGrp="everyone"/>
            <w:r>
              <w:rPr>
                <w:color w:val="000000"/>
                <w:u w:val="single"/>
              </w:rPr>
              <w:t xml:space="preserve">   </w:t>
            </w:r>
            <w:r>
              <w:rPr>
                <w:spacing w:val="-2"/>
              </w:rPr>
              <w:t>工程量清单，图纸，招标文件的修改、澄清、补遗书等</w:t>
            </w:r>
            <w:r>
              <w:rPr>
                <w:color w:val="000000"/>
                <w:u w:val="single"/>
              </w:rPr>
              <w:t xml:space="preserve">  </w:t>
            </w:r>
            <w:r>
              <w:rPr>
                <w:rFonts w:hint="eastAsia"/>
                <w:color w:val="000000"/>
                <w:u w:val="single"/>
              </w:rPr>
              <w:t xml:space="preserve"> </w:t>
            </w:r>
            <w:permEnd w:id="10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1" w:type="dxa"/>
            <w:vAlign w:val="center"/>
          </w:tcPr>
          <w:p>
            <w:pPr>
              <w:jc w:val="center"/>
              <w:rPr>
                <w:color w:val="000000"/>
              </w:rPr>
            </w:pPr>
            <w:r>
              <w:rPr>
                <w:rFonts w:hint="eastAsia"/>
                <w:color w:val="000000"/>
              </w:rPr>
              <w:t>2.2.1</w:t>
            </w:r>
          </w:p>
        </w:tc>
        <w:tc>
          <w:tcPr>
            <w:tcW w:w="2815" w:type="dxa"/>
            <w:gridSpan w:val="2"/>
            <w:vAlign w:val="center"/>
          </w:tcPr>
          <w:p>
            <w:pPr>
              <w:rPr>
                <w:color w:val="000000"/>
              </w:rPr>
            </w:pPr>
            <w:r>
              <w:rPr>
                <w:rFonts w:hint="eastAsia"/>
                <w:color w:val="000000"/>
              </w:rPr>
              <w:t>投标人要求澄清招标文件的截止时间</w:t>
            </w:r>
          </w:p>
        </w:tc>
        <w:tc>
          <w:tcPr>
            <w:tcW w:w="4538" w:type="dxa"/>
            <w:vAlign w:val="center"/>
          </w:tcPr>
          <w:p>
            <w:pPr>
              <w:spacing w:line="288" w:lineRule="auto"/>
              <w:rPr>
                <w:color w:val="000000"/>
                <w:u w:val="single"/>
              </w:rPr>
            </w:pPr>
            <w:r>
              <w:rPr>
                <w:rFonts w:hint="eastAsia"/>
                <w:color w:val="000000"/>
              </w:rPr>
              <w:t>按照《招标投标法实施条例》相关规定执行：第二十一条</w:t>
            </w:r>
            <w:r>
              <w:rPr>
                <w:rFonts w:hint="eastAsia"/>
                <w:color w:val="000000"/>
                <w:shd w:val="clear" w:color="auto" w:fill="FFFFFF"/>
              </w:rPr>
              <w:t>投标截止时间至少15日前，不足15日的，招标人应当顺延提投标文件的截止时间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1" w:type="dxa"/>
            <w:vAlign w:val="center"/>
          </w:tcPr>
          <w:p>
            <w:pPr>
              <w:jc w:val="center"/>
              <w:rPr>
                <w:color w:val="000000"/>
              </w:rPr>
            </w:pPr>
            <w:r>
              <w:rPr>
                <w:rFonts w:hint="eastAsia"/>
                <w:color w:val="000000"/>
              </w:rPr>
              <w:t>2.2.2</w:t>
            </w:r>
          </w:p>
        </w:tc>
        <w:tc>
          <w:tcPr>
            <w:tcW w:w="2815" w:type="dxa"/>
            <w:gridSpan w:val="2"/>
            <w:vAlign w:val="center"/>
          </w:tcPr>
          <w:p>
            <w:pPr>
              <w:rPr>
                <w:color w:val="000000"/>
              </w:rPr>
            </w:pPr>
            <w:r>
              <w:rPr>
                <w:rFonts w:hint="eastAsia"/>
                <w:color w:val="000000"/>
              </w:rPr>
              <w:t>投标截止时间</w:t>
            </w:r>
          </w:p>
        </w:tc>
        <w:tc>
          <w:tcPr>
            <w:tcW w:w="4538" w:type="dxa"/>
            <w:vAlign w:val="center"/>
          </w:tcPr>
          <w:p>
            <w:pPr>
              <w:spacing w:line="288" w:lineRule="auto"/>
              <w:rPr>
                <w:color w:val="000000"/>
                <w:u w:val="single"/>
              </w:rPr>
            </w:pPr>
            <w:permStart w:id="110" w:edGrp="everyone"/>
            <w:r>
              <w:rPr>
                <w:rFonts w:hint="eastAsia"/>
                <w:color w:val="000000"/>
                <w:u w:val="single"/>
              </w:rPr>
              <w:t xml:space="preserve">  </w:t>
            </w:r>
            <w:permEnd w:id="110"/>
            <w:r>
              <w:rPr>
                <w:rFonts w:hint="eastAsia"/>
                <w:color w:val="000000"/>
              </w:rPr>
              <w:t>年</w:t>
            </w:r>
            <w:permStart w:id="111" w:edGrp="everyone"/>
            <w:r>
              <w:rPr>
                <w:rFonts w:hint="eastAsia"/>
                <w:color w:val="000000"/>
                <w:u w:val="single"/>
              </w:rPr>
              <w:t xml:space="preserve">  </w:t>
            </w:r>
            <w:permEnd w:id="111"/>
            <w:r>
              <w:rPr>
                <w:rFonts w:hint="eastAsia"/>
                <w:color w:val="000000"/>
              </w:rPr>
              <w:t>月</w:t>
            </w:r>
            <w:permStart w:id="112" w:edGrp="everyone"/>
            <w:r>
              <w:rPr>
                <w:rFonts w:hint="eastAsia"/>
                <w:color w:val="000000"/>
                <w:u w:val="single"/>
              </w:rPr>
              <w:t xml:space="preserve">  </w:t>
            </w:r>
            <w:permEnd w:id="112"/>
            <w:r>
              <w:rPr>
                <w:rFonts w:hint="eastAsia"/>
                <w:color w:val="000000"/>
              </w:rPr>
              <w:t>日</w:t>
            </w:r>
            <w:permStart w:id="113" w:edGrp="everyone"/>
            <w:r>
              <w:rPr>
                <w:rFonts w:hint="eastAsia"/>
                <w:color w:val="000000"/>
                <w:u w:val="single"/>
              </w:rPr>
              <w:t xml:space="preserve">  </w:t>
            </w:r>
            <w:permEnd w:id="113"/>
            <w:r>
              <w:rPr>
                <w:rFonts w:hint="eastAsia"/>
                <w:color w:val="000000"/>
              </w:rPr>
              <w:t>时</w:t>
            </w:r>
            <w:permStart w:id="114" w:edGrp="everyone"/>
            <w:r>
              <w:rPr>
                <w:rFonts w:hint="eastAsia"/>
                <w:color w:val="000000"/>
                <w:u w:val="single"/>
              </w:rPr>
              <w:t xml:space="preserve">  </w:t>
            </w:r>
            <w:permEnd w:id="114"/>
            <w:r>
              <w:rPr>
                <w:rFonts w:hint="eastAsia"/>
                <w:color w:val="000000"/>
              </w:rPr>
              <w:t>分</w:t>
            </w:r>
          </w:p>
          <w:p>
            <w:pPr>
              <w:spacing w:line="288" w:lineRule="auto"/>
              <w:rPr>
                <w:color w:val="000000"/>
                <w:u w:val="single"/>
              </w:rPr>
            </w:pPr>
            <w:permStart w:id="115" w:edGrp="everyone"/>
            <w:r>
              <w:rPr>
                <w:rFonts w:hint="eastAsia"/>
                <w:color w:val="000000"/>
                <w:u w:val="single"/>
              </w:rPr>
              <w:t xml:space="preserve">  </w:t>
            </w:r>
            <w:permEnd w:id="11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1" w:type="dxa"/>
            <w:vAlign w:val="center"/>
          </w:tcPr>
          <w:p>
            <w:pPr>
              <w:jc w:val="center"/>
              <w:rPr>
                <w:color w:val="000000"/>
              </w:rPr>
            </w:pPr>
            <w:r>
              <w:rPr>
                <w:rFonts w:hint="eastAsia"/>
                <w:color w:val="000000"/>
              </w:rPr>
              <w:t>2.2.3</w:t>
            </w:r>
          </w:p>
        </w:tc>
        <w:tc>
          <w:tcPr>
            <w:tcW w:w="2815" w:type="dxa"/>
            <w:gridSpan w:val="2"/>
            <w:vAlign w:val="center"/>
          </w:tcPr>
          <w:p>
            <w:pPr>
              <w:rPr>
                <w:color w:val="000000"/>
              </w:rPr>
            </w:pPr>
            <w:r>
              <w:rPr>
                <w:rFonts w:hint="eastAsia"/>
                <w:color w:val="000000"/>
              </w:rPr>
              <w:t>投标人确认收到招标文件澄清的时间</w:t>
            </w:r>
          </w:p>
        </w:tc>
        <w:tc>
          <w:tcPr>
            <w:tcW w:w="4538" w:type="dxa"/>
            <w:vAlign w:val="center"/>
          </w:tcPr>
          <w:p>
            <w:pPr>
              <w:spacing w:line="288" w:lineRule="auto"/>
              <w:rPr>
                <w:color w:val="000000"/>
                <w:u w:val="single"/>
              </w:rPr>
            </w:pPr>
            <w:r>
              <w:rPr>
                <w:rFonts w:hint="eastAsia"/>
                <w:color w:val="000000"/>
              </w:rPr>
              <w:t>在收到相应澄清文件后24小时内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1" w:type="dxa"/>
            <w:vAlign w:val="center"/>
          </w:tcPr>
          <w:p>
            <w:pPr>
              <w:jc w:val="center"/>
              <w:rPr>
                <w:color w:val="000000"/>
              </w:rPr>
            </w:pPr>
            <w:r>
              <w:rPr>
                <w:rFonts w:hint="eastAsia"/>
                <w:color w:val="000000"/>
              </w:rPr>
              <w:t>2.3.2</w:t>
            </w:r>
          </w:p>
        </w:tc>
        <w:tc>
          <w:tcPr>
            <w:tcW w:w="2815" w:type="dxa"/>
            <w:gridSpan w:val="2"/>
            <w:vAlign w:val="center"/>
          </w:tcPr>
          <w:p>
            <w:pPr>
              <w:rPr>
                <w:color w:val="000000"/>
              </w:rPr>
            </w:pPr>
            <w:r>
              <w:rPr>
                <w:rFonts w:hint="eastAsia"/>
                <w:color w:val="000000"/>
              </w:rPr>
              <w:t>投标人确认收到招标文件修改的时间</w:t>
            </w:r>
          </w:p>
        </w:tc>
        <w:tc>
          <w:tcPr>
            <w:tcW w:w="4538" w:type="dxa"/>
            <w:vAlign w:val="center"/>
          </w:tcPr>
          <w:p>
            <w:pPr>
              <w:spacing w:line="288" w:lineRule="auto"/>
              <w:rPr>
                <w:color w:val="000000"/>
              </w:rPr>
            </w:pPr>
            <w:r>
              <w:rPr>
                <w:rFonts w:hint="eastAsia"/>
                <w:color w:val="000000"/>
              </w:rPr>
              <w:t>在收到相应修改文件后24小时内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1" w:type="dxa"/>
            <w:vAlign w:val="center"/>
          </w:tcPr>
          <w:p>
            <w:pPr>
              <w:jc w:val="center"/>
              <w:rPr>
                <w:color w:val="000000"/>
              </w:rPr>
            </w:pPr>
            <w:r>
              <w:rPr>
                <w:rFonts w:hint="eastAsia"/>
                <w:color w:val="000000"/>
              </w:rPr>
              <w:t>3.1.1</w:t>
            </w:r>
          </w:p>
        </w:tc>
        <w:tc>
          <w:tcPr>
            <w:tcW w:w="2815" w:type="dxa"/>
            <w:gridSpan w:val="2"/>
            <w:vAlign w:val="center"/>
          </w:tcPr>
          <w:p>
            <w:pPr>
              <w:rPr>
                <w:color w:val="000000"/>
              </w:rPr>
            </w:pPr>
            <w:r>
              <w:rPr>
                <w:rFonts w:hint="eastAsia"/>
                <w:color w:val="000000"/>
              </w:rPr>
              <w:t>构成投标文件的其他材料</w:t>
            </w:r>
          </w:p>
        </w:tc>
        <w:tc>
          <w:tcPr>
            <w:tcW w:w="4538" w:type="dxa"/>
            <w:vAlign w:val="center"/>
          </w:tcPr>
          <w:p>
            <w:pPr>
              <w:spacing w:line="288" w:lineRule="auto"/>
              <w:rPr>
                <w:color w:val="000000"/>
                <w:u w:val="single"/>
              </w:rPr>
            </w:pPr>
            <w:permStart w:id="116" w:edGrp="everyone"/>
            <w:r>
              <w:rPr>
                <w:rFonts w:hint="eastAsia"/>
                <w:color w:val="000000"/>
                <w:u w:val="single"/>
              </w:rPr>
              <w:t xml:space="preserve"> </w:t>
            </w:r>
            <w:r>
              <w:rPr>
                <w:color w:val="000000"/>
                <w:u w:val="single"/>
              </w:rPr>
              <w:t xml:space="preserve">   </w:t>
            </w:r>
            <w:r>
              <w:rPr>
                <w:rFonts w:hint="eastAsia"/>
                <w:color w:val="000000"/>
                <w:u w:val="single"/>
              </w:rPr>
              <w:t xml:space="preserve"> </w:t>
            </w:r>
            <w:permEnd w:id="11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1" w:type="dxa"/>
            <w:vAlign w:val="center"/>
          </w:tcPr>
          <w:p>
            <w:pPr>
              <w:jc w:val="center"/>
              <w:rPr>
                <w:color w:val="000000"/>
              </w:rPr>
            </w:pPr>
            <w:r>
              <w:rPr>
                <w:rFonts w:hint="eastAsia"/>
                <w:color w:val="000000"/>
              </w:rPr>
              <w:t>3.3.1</w:t>
            </w:r>
          </w:p>
        </w:tc>
        <w:tc>
          <w:tcPr>
            <w:tcW w:w="2815" w:type="dxa"/>
            <w:gridSpan w:val="2"/>
            <w:vAlign w:val="center"/>
          </w:tcPr>
          <w:p>
            <w:pPr>
              <w:rPr>
                <w:color w:val="000000"/>
              </w:rPr>
            </w:pPr>
            <w:r>
              <w:rPr>
                <w:rFonts w:hint="eastAsia"/>
                <w:color w:val="000000"/>
              </w:rPr>
              <w:t>投标有效期</w:t>
            </w:r>
          </w:p>
        </w:tc>
        <w:tc>
          <w:tcPr>
            <w:tcW w:w="4538" w:type="dxa"/>
            <w:vAlign w:val="center"/>
          </w:tcPr>
          <w:p>
            <w:pPr>
              <w:spacing w:line="288" w:lineRule="auto"/>
              <w:ind w:firstLine="2"/>
              <w:rPr>
                <w:color w:val="000000"/>
              </w:rPr>
            </w:pPr>
            <w:permStart w:id="117" w:edGrp="everyone"/>
            <w:r>
              <w:rPr>
                <w:rFonts w:hint="eastAsia"/>
                <w:color w:val="000000"/>
                <w:u w:val="single"/>
              </w:rPr>
              <w:t xml:space="preserve"> </w:t>
            </w:r>
            <w:r>
              <w:rPr>
                <w:color w:val="000000"/>
                <w:u w:val="single"/>
              </w:rPr>
              <w:t xml:space="preserve">   </w:t>
            </w:r>
            <w:r>
              <w:rPr>
                <w:rFonts w:hint="eastAsia"/>
                <w:color w:val="000000"/>
                <w:u w:val="single"/>
              </w:rPr>
              <w:t xml:space="preserve"> </w:t>
            </w:r>
            <w:permEnd w:id="117"/>
            <w:r>
              <w:rPr>
                <w:rFonts w:hint="eastAsia"/>
                <w:color w:val="000000"/>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1" w:type="dxa"/>
            <w:vAlign w:val="center"/>
          </w:tcPr>
          <w:p>
            <w:pPr>
              <w:jc w:val="center"/>
              <w:rPr>
                <w:color w:val="000000"/>
              </w:rPr>
            </w:pPr>
            <w:r>
              <w:rPr>
                <w:rFonts w:hint="eastAsia"/>
                <w:color w:val="000000"/>
              </w:rPr>
              <w:t>3.4.1</w:t>
            </w:r>
          </w:p>
        </w:tc>
        <w:tc>
          <w:tcPr>
            <w:tcW w:w="2815" w:type="dxa"/>
            <w:gridSpan w:val="2"/>
            <w:vAlign w:val="center"/>
          </w:tcPr>
          <w:p>
            <w:pPr>
              <w:rPr>
                <w:color w:val="000000"/>
              </w:rPr>
            </w:pPr>
            <w:r>
              <w:rPr>
                <w:rFonts w:hint="eastAsia"/>
                <w:color w:val="000000"/>
              </w:rPr>
              <w:t>是否提交投标保证金</w:t>
            </w:r>
          </w:p>
        </w:tc>
        <w:tc>
          <w:tcPr>
            <w:tcW w:w="4538" w:type="dxa"/>
            <w:vAlign w:val="center"/>
          </w:tcPr>
          <w:p>
            <w:pPr>
              <w:spacing w:line="288" w:lineRule="auto"/>
              <w:ind w:firstLine="210" w:firstLineChars="100"/>
              <w:rPr>
                <w:color w:val="000000"/>
              </w:rPr>
            </w:pPr>
            <w:sdt>
              <w:sdtPr>
                <w:rPr>
                  <w:rFonts w:hint="eastAsia"/>
                  <w:color w:val="000000"/>
                </w:rPr>
                <w:id w:val="1992754257"/>
                <w14:checkbox>
                  <w14:checked w14:val="0"/>
                  <w14:checkedState w14:val="2612" w14:font="MS Gothic"/>
                  <w14:uncheckedState w14:val="2610" w14:font="MS Gothic"/>
                </w14:checkbox>
              </w:sdtPr>
              <w:sdtEndPr>
                <w:rPr>
                  <w:rFonts w:hint="eastAsia"/>
                  <w:color w:val="000000"/>
                </w:rPr>
              </w:sdtEndPr>
              <w:sdtContent>
                <w:r>
                  <w:rPr>
                    <w:rFonts w:hint="eastAsia" w:ascii="MS Gothic" w:hAnsi="MS Gothic" w:eastAsia="MS Gothic"/>
                    <w:color w:val="000000"/>
                  </w:rPr>
                  <w:t>☐</w:t>
                </w:r>
              </w:sdtContent>
            </w:sdt>
            <w:r>
              <w:rPr>
                <w:rFonts w:hint="eastAsia"/>
                <w:color w:val="000000"/>
              </w:rPr>
              <w:t>否</w:t>
            </w:r>
          </w:p>
          <w:p>
            <w:pPr>
              <w:spacing w:line="288" w:lineRule="auto"/>
              <w:ind w:firstLine="210" w:firstLineChars="100"/>
              <w:rPr>
                <w:color w:val="000000"/>
              </w:rPr>
            </w:pPr>
            <w:sdt>
              <w:sdtPr>
                <w:rPr>
                  <w:rFonts w:hint="eastAsia"/>
                  <w:color w:val="000000"/>
                </w:rPr>
                <w:id w:val="715017443"/>
                <w14:checkbox>
                  <w14:checked w14:val="0"/>
                  <w14:checkedState w14:val="2612" w14:font="MS Gothic"/>
                  <w14:uncheckedState w14:val="2610" w14:font="MS Gothic"/>
                </w14:checkbox>
              </w:sdtPr>
              <w:sdtEndPr>
                <w:rPr>
                  <w:rFonts w:hint="eastAsia"/>
                  <w:color w:val="000000"/>
                </w:rPr>
              </w:sdtEndPr>
              <w:sdtContent>
                <w:r>
                  <w:rPr>
                    <w:rFonts w:hint="eastAsia" w:ascii="MS Gothic" w:hAnsi="MS Gothic" w:eastAsia="MS Gothic"/>
                    <w:color w:val="000000"/>
                  </w:rPr>
                  <w:t>☐</w:t>
                </w:r>
              </w:sdtContent>
            </w:sdt>
            <w:r>
              <w:rPr>
                <w:rFonts w:hint="eastAsia"/>
                <w:color w:val="000000"/>
              </w:rPr>
              <w:t>是</w:t>
            </w:r>
          </w:p>
          <w:p>
            <w:pPr>
              <w:spacing w:line="288" w:lineRule="auto"/>
              <w:rPr>
                <w:color w:val="000000"/>
              </w:rPr>
            </w:pPr>
            <w:r>
              <w:rPr>
                <w:rFonts w:hint="eastAsia"/>
                <w:color w:val="000000"/>
              </w:rPr>
              <w:t>（1）投标保证金的形式：银行转账、银行保函、电子保函、建设工程投标保证保险支付等。银行转账应当从其基本账户中转出。</w:t>
            </w:r>
          </w:p>
          <w:p>
            <w:pPr>
              <w:spacing w:line="288" w:lineRule="auto"/>
              <w:rPr>
                <w:color w:val="000000"/>
              </w:rPr>
            </w:pPr>
            <w:r>
              <w:rPr>
                <w:rFonts w:hint="eastAsia"/>
                <w:color w:val="000000"/>
              </w:rPr>
              <w:t>投标保证金的金额：</w:t>
            </w:r>
            <w:permStart w:id="118" w:edGrp="everyone"/>
            <w:r>
              <w:rPr>
                <w:color w:val="000000"/>
                <w:u w:val="single"/>
              </w:rPr>
              <w:t xml:space="preserve">    </w:t>
            </w:r>
            <w:r>
              <w:rPr>
                <w:rFonts w:hint="eastAsia"/>
                <w:color w:val="000000"/>
                <w:u w:val="single"/>
              </w:rPr>
              <w:t xml:space="preserve"> </w:t>
            </w:r>
            <w:r>
              <w:rPr>
                <w:rFonts w:hint="eastAsia"/>
                <w:color w:val="000000"/>
              </w:rPr>
              <w:t xml:space="preserve"> </w:t>
            </w:r>
            <w:permEnd w:id="118"/>
            <w:r>
              <w:rPr>
                <w:rFonts w:hint="eastAsia"/>
                <w:color w:val="000000"/>
              </w:rPr>
              <w:t>（不得超过</w:t>
            </w:r>
            <w:r>
              <w:rPr>
                <w:rFonts w:hint="eastAsia"/>
                <w:color w:val="000000"/>
                <w:shd w:val="clear" w:color="auto" w:fill="FFFFFF"/>
              </w:rPr>
              <w:t>项目估算价</w:t>
            </w:r>
            <w:r>
              <w:rPr>
                <w:rFonts w:hint="eastAsia"/>
                <w:color w:val="000000"/>
              </w:rPr>
              <w:t>的2%；投标人需要一次性转账所需金额）</w:t>
            </w:r>
          </w:p>
          <w:p>
            <w:pPr>
              <w:spacing w:line="288" w:lineRule="auto"/>
              <w:rPr>
                <w:color w:val="000000"/>
              </w:rPr>
            </w:pPr>
            <w:r>
              <w:rPr>
                <w:rFonts w:hint="eastAsia"/>
                <w:color w:val="000000"/>
              </w:rPr>
              <w:t>户名：</w:t>
            </w:r>
            <w:permStart w:id="119" w:edGrp="everyone"/>
            <w:r>
              <w:rPr>
                <w:rFonts w:hint="eastAsia"/>
                <w:color w:val="000000"/>
                <w:u w:val="single"/>
              </w:rPr>
              <w:t>获取地址全国公共资源交易平台（海南省）（</w:t>
            </w:r>
            <w:r>
              <w:rPr>
                <w:rFonts w:hint="eastAsia"/>
                <w:color w:val="000000"/>
                <w:u w:val="single"/>
                <w:lang w:eastAsia="zh-CN"/>
              </w:rPr>
              <w:t>http://zw.hainan.gov.cn/ggzyjy</w:t>
            </w:r>
            <w:r>
              <w:rPr>
                <w:color w:val="000000"/>
                <w:u w:val="single"/>
              </w:rPr>
              <w:t>/</w:t>
            </w:r>
            <w:r>
              <w:rPr>
                <w:rFonts w:hint="eastAsia"/>
                <w:color w:val="000000"/>
                <w:u w:val="single"/>
              </w:rPr>
              <w:t>）</w:t>
            </w:r>
            <w:permEnd w:id="119"/>
          </w:p>
          <w:p>
            <w:pPr>
              <w:spacing w:line="288" w:lineRule="auto"/>
              <w:rPr>
                <w:color w:val="000000"/>
                <w:u w:val="single"/>
              </w:rPr>
            </w:pPr>
            <w:r>
              <w:rPr>
                <w:rFonts w:hint="eastAsia"/>
                <w:color w:val="000000"/>
              </w:rPr>
              <w:t>开户行：</w:t>
            </w:r>
            <w:permStart w:id="120" w:edGrp="everyone"/>
            <w:r>
              <w:rPr>
                <w:rFonts w:hint="eastAsia"/>
                <w:color w:val="000000"/>
                <w:u w:val="single"/>
              </w:rPr>
              <w:t>获取地址全国公共资源交易平台（海南省）（</w:t>
            </w:r>
            <w:r>
              <w:rPr>
                <w:rFonts w:hint="eastAsia"/>
                <w:color w:val="000000"/>
                <w:u w:val="single"/>
                <w:lang w:eastAsia="zh-CN"/>
              </w:rPr>
              <w:t>http://zw.hainan.gov.cn/ggzyjy</w:t>
            </w:r>
            <w:r>
              <w:rPr>
                <w:color w:val="000000"/>
                <w:u w:val="single"/>
              </w:rPr>
              <w:t>/</w:t>
            </w:r>
            <w:r>
              <w:rPr>
                <w:rFonts w:hint="eastAsia"/>
                <w:color w:val="000000"/>
                <w:u w:val="single"/>
              </w:rPr>
              <w:t>）</w:t>
            </w:r>
            <w:permEnd w:id="120"/>
          </w:p>
          <w:p>
            <w:pPr>
              <w:spacing w:line="288" w:lineRule="auto"/>
              <w:rPr>
                <w:color w:val="000000"/>
                <w:u w:val="single"/>
              </w:rPr>
            </w:pPr>
            <w:r>
              <w:rPr>
                <w:rFonts w:hint="eastAsia"/>
                <w:color w:val="000000"/>
              </w:rPr>
              <w:t>账号：</w:t>
            </w:r>
            <w:permStart w:id="121" w:edGrp="everyone"/>
            <w:r>
              <w:rPr>
                <w:rFonts w:hint="eastAsia"/>
                <w:color w:val="000000"/>
                <w:u w:val="single"/>
              </w:rPr>
              <w:t>获取地址全国公共资源交易平台（海南省）（</w:t>
            </w:r>
            <w:r>
              <w:fldChar w:fldCharType="begin"/>
            </w:r>
            <w:r>
              <w:instrText xml:space="preserve"> HYPERLINK "http://zw.hainan.gov.cn/ggzy/" </w:instrText>
            </w:r>
            <w:r>
              <w:fldChar w:fldCharType="separate"/>
            </w:r>
            <w:r>
              <w:rPr>
                <w:rStyle w:val="41"/>
                <w:rFonts w:hint="eastAsia"/>
                <w:lang w:eastAsia="zh-CN"/>
              </w:rPr>
              <w:t>http://zw.hainan.gov.cn/ggzyjy</w:t>
            </w:r>
            <w:r>
              <w:rPr>
                <w:rStyle w:val="41"/>
              </w:rPr>
              <w:t>/</w:t>
            </w:r>
            <w:r>
              <w:rPr>
                <w:rStyle w:val="41"/>
              </w:rPr>
              <w:fldChar w:fldCharType="end"/>
            </w:r>
            <w:r>
              <w:rPr>
                <w:rFonts w:hint="eastAsia"/>
                <w:color w:val="000000"/>
                <w:u w:val="single"/>
              </w:rPr>
              <w:t>）</w:t>
            </w:r>
          </w:p>
          <w:p>
            <w:pPr>
              <w:spacing w:line="288" w:lineRule="auto"/>
              <w:rPr>
                <w:color w:val="000000"/>
              </w:rPr>
            </w:pPr>
            <w:r>
              <w:rPr>
                <w:rFonts w:hint="eastAsia"/>
                <w:color w:val="000000"/>
                <w:highlight w:val="green"/>
                <w:lang w:eastAsia="zh-CN"/>
              </w:rPr>
              <w:t>（2）</w:t>
            </w:r>
            <w:r>
              <w:rPr>
                <w:rFonts w:hint="eastAsia"/>
                <w:color w:val="000000"/>
                <w:highlight w:val="green"/>
              </w:rPr>
              <w:t>投标人递交纸质保函的，应将纸质保函扫描件上传并同步上传纸质保函真实性承诺函，承诺函见附表</w:t>
            </w:r>
            <w:r>
              <w:rPr>
                <w:spacing w:val="-1"/>
              </w:rPr>
              <w:t>十二</w:t>
            </w:r>
            <w:r>
              <w:rPr>
                <w:rFonts w:hint="eastAsia"/>
                <w:color w:val="000000"/>
              </w:rPr>
              <w:t xml:space="preserve"> </w:t>
            </w:r>
            <w:r>
              <w:rPr>
                <w:color w:val="000000"/>
              </w:rPr>
              <w:t xml:space="preserve">    </w:t>
            </w:r>
            <w:permEnd w:id="121"/>
          </w:p>
          <w:p>
            <w:pPr>
              <w:spacing w:line="288" w:lineRule="auto"/>
              <w:rPr>
                <w:color w:val="000000"/>
              </w:rPr>
            </w:pPr>
            <w:r>
              <w:rPr>
                <w:rFonts w:hint="eastAsia"/>
                <w:color w:val="000000"/>
              </w:rPr>
              <w:t>递交截止时间：投标截止时间。</w:t>
            </w:r>
          </w:p>
          <w:p>
            <w:pPr>
              <w:spacing w:line="288" w:lineRule="auto"/>
              <w:rPr>
                <w:color w:val="000000"/>
              </w:rPr>
            </w:pPr>
            <w:r>
              <w:rPr>
                <w:rFonts w:hint="eastAsia"/>
                <w:color w:val="000000"/>
              </w:rPr>
              <w:t>不符合上述要求的，否决其投标。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7" w:hRule="atLeast"/>
        </w:trPr>
        <w:tc>
          <w:tcPr>
            <w:tcW w:w="1511" w:type="dxa"/>
            <w:vAlign w:val="center"/>
          </w:tcPr>
          <w:p>
            <w:pPr>
              <w:jc w:val="center"/>
              <w:rPr>
                <w:color w:val="000000"/>
              </w:rPr>
            </w:pPr>
            <w:r>
              <w:rPr>
                <w:rFonts w:hint="eastAsia"/>
                <w:color w:val="000000"/>
              </w:rPr>
              <w:t>3.7.3</w:t>
            </w:r>
          </w:p>
        </w:tc>
        <w:tc>
          <w:tcPr>
            <w:tcW w:w="2815" w:type="dxa"/>
            <w:gridSpan w:val="2"/>
            <w:vAlign w:val="center"/>
          </w:tcPr>
          <w:p>
            <w:pPr>
              <w:rPr>
                <w:color w:val="000000"/>
              </w:rPr>
            </w:pPr>
            <w:r>
              <w:rPr>
                <w:rFonts w:hint="eastAsia"/>
                <w:color w:val="000000"/>
              </w:rPr>
              <w:t>签字和（或）盖章要求</w:t>
            </w:r>
          </w:p>
        </w:tc>
        <w:tc>
          <w:tcPr>
            <w:tcW w:w="4538" w:type="dxa"/>
            <w:vAlign w:val="center"/>
          </w:tcPr>
          <w:p>
            <w:pPr>
              <w:spacing w:line="288" w:lineRule="auto"/>
              <w:rPr>
                <w:color w:val="000000"/>
              </w:rPr>
            </w:pPr>
            <w:r>
              <w:rPr>
                <w:color w:val="000000"/>
              </w:rPr>
              <w:t>招标文件中明确投标文件中需签字和盖章的地方应按要求进行电子签字或盖上电子章。</w:t>
            </w:r>
          </w:p>
          <w:p>
            <w:pPr>
              <w:spacing w:line="288" w:lineRule="auto"/>
              <w:rPr>
                <w:color w:val="000000"/>
              </w:rPr>
            </w:pPr>
            <w:r>
              <w:rPr>
                <w:color w:val="000000"/>
              </w:rPr>
              <w:t>投标函及投标函附录应在规定位置加盖投标单位及其法人或授权委托人电子签字或盖章（以联合体名义进行投标的仅需加盖牵头单位的电子签章）</w:t>
            </w:r>
          </w:p>
          <w:p>
            <w:pPr>
              <w:spacing w:line="288" w:lineRule="auto"/>
              <w:rPr>
                <w:color w:val="000000"/>
              </w:rPr>
            </w:pPr>
            <w:r>
              <w:rPr>
                <w:color w:val="000000"/>
              </w:rPr>
              <w:t>电子签字或盖章应使用对应使用人或单位的CA数字证书加</w:t>
            </w:r>
          </w:p>
          <w:p>
            <w:pPr>
              <w:spacing w:line="288" w:lineRule="auto"/>
              <w:rPr>
                <w:color w:val="000000"/>
              </w:rPr>
            </w:pPr>
            <w:r>
              <w:rPr>
                <w:color w:val="000000"/>
              </w:rPr>
              <w:t>盖，若CA数字证书信息与投标单位名称或其法人或授权委托人不符否决投标）</w:t>
            </w:r>
          </w:p>
          <w:p>
            <w:pPr>
              <w:spacing w:line="288" w:lineRule="auto"/>
              <w:rPr>
                <w:color w:val="000000"/>
              </w:rPr>
            </w:pPr>
            <w:r>
              <w:rPr>
                <w:color w:val="000000"/>
              </w:rPr>
              <w:t>注：请投标人在使用电子投标工具完成盖章后仔细核对投标</w:t>
            </w:r>
          </w:p>
          <w:p>
            <w:pPr>
              <w:spacing w:line="288" w:lineRule="auto"/>
              <w:rPr>
                <w:color w:val="000000"/>
              </w:rPr>
            </w:pPr>
            <w:r>
              <w:rPr>
                <w:color w:val="000000"/>
              </w:rPr>
              <w:t>文件“十一、智能评审数据”中的“投标函盖章集合”及“投标函附录盖章集合”的准确性。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14" w:hRule="atLeast"/>
        </w:trPr>
        <w:tc>
          <w:tcPr>
            <w:tcW w:w="1511" w:type="dxa"/>
            <w:vAlign w:val="center"/>
          </w:tcPr>
          <w:p>
            <w:pPr>
              <w:jc w:val="center"/>
              <w:rPr>
                <w:color w:val="000000"/>
              </w:rPr>
            </w:pPr>
            <w:r>
              <w:rPr>
                <w:rFonts w:hint="eastAsia"/>
                <w:color w:val="000000"/>
              </w:rPr>
              <w:t>4.1.1</w:t>
            </w:r>
          </w:p>
        </w:tc>
        <w:tc>
          <w:tcPr>
            <w:tcW w:w="2815" w:type="dxa"/>
            <w:gridSpan w:val="2"/>
            <w:vAlign w:val="center"/>
          </w:tcPr>
          <w:p>
            <w:pPr>
              <w:rPr>
                <w:color w:val="000000"/>
              </w:rPr>
            </w:pPr>
            <w:r>
              <w:rPr>
                <w:rFonts w:hint="eastAsia"/>
              </w:rPr>
              <w:t>投标文件的密封及标记</w:t>
            </w:r>
          </w:p>
        </w:tc>
        <w:tc>
          <w:tcPr>
            <w:tcW w:w="4538" w:type="dxa"/>
            <w:vAlign w:val="center"/>
          </w:tcPr>
          <w:p>
            <w:pPr>
              <w:pStyle w:val="14"/>
              <w:rPr>
                <w:rFonts w:hint="eastAsia"/>
              </w:rPr>
            </w:pPr>
            <w:r>
              <w:rPr>
                <w:rFonts w:hint="eastAsia"/>
              </w:rPr>
              <w:t>电子投标文件使用CA数字证书进行加密，未加密的电子投标文件将无法上传至交易平台。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1" w:type="dxa"/>
            <w:vAlign w:val="center"/>
          </w:tcPr>
          <w:p>
            <w:pPr>
              <w:jc w:val="center"/>
              <w:rPr>
                <w:color w:val="000000"/>
              </w:rPr>
            </w:pPr>
            <w:r>
              <w:rPr>
                <w:rFonts w:hint="eastAsia"/>
                <w:color w:val="000000"/>
              </w:rPr>
              <w:t>4.2.2</w:t>
            </w:r>
          </w:p>
        </w:tc>
        <w:tc>
          <w:tcPr>
            <w:tcW w:w="2815" w:type="dxa"/>
            <w:gridSpan w:val="2"/>
            <w:vAlign w:val="center"/>
          </w:tcPr>
          <w:p>
            <w:pPr>
              <w:rPr>
                <w:color w:val="000000"/>
              </w:rPr>
            </w:pPr>
            <w:r>
              <w:rPr>
                <w:rFonts w:hint="eastAsia"/>
                <w:color w:val="000000"/>
              </w:rPr>
              <w:t>递交投标文件地点</w:t>
            </w:r>
          </w:p>
        </w:tc>
        <w:tc>
          <w:tcPr>
            <w:tcW w:w="4538" w:type="dxa"/>
            <w:vAlign w:val="center"/>
          </w:tcPr>
          <w:p>
            <w:pPr>
              <w:spacing w:before="156" w:beforeLines="50" w:line="288" w:lineRule="auto"/>
              <w:rPr>
                <w:color w:val="000000"/>
              </w:rPr>
            </w:pPr>
            <w:r>
              <w:rPr>
                <w:rFonts w:hint="eastAsia"/>
                <w:color w:val="000000"/>
              </w:rPr>
              <w:t>电子版投标文件上传地址：</w:t>
            </w:r>
            <w:permStart w:id="122" w:edGrp="everyone"/>
            <w:r>
              <w:rPr>
                <w:rFonts w:hint="eastAsia"/>
                <w:color w:val="000000"/>
                <w:u w:val="single"/>
              </w:rPr>
              <w:t>全国公共资源交易平台（海南省）（</w:t>
            </w:r>
            <w:r>
              <w:rPr>
                <w:rFonts w:hint="eastAsia"/>
                <w:color w:val="000000"/>
                <w:u w:val="single"/>
                <w:lang w:eastAsia="zh-CN"/>
              </w:rPr>
              <w:t>http://zw.hainan.gov.cn/ggzyjy</w:t>
            </w:r>
            <w:r>
              <w:rPr>
                <w:color w:val="000000"/>
                <w:u w:val="single"/>
              </w:rPr>
              <w:t>/</w:t>
            </w:r>
            <w:r>
              <w:rPr>
                <w:rFonts w:hint="eastAsia"/>
                <w:color w:val="000000"/>
                <w:u w:val="single"/>
              </w:rPr>
              <w:t>）</w:t>
            </w:r>
            <w:r>
              <w:rPr>
                <w:rFonts w:hint="eastAsia"/>
                <w:color w:val="000000"/>
              </w:rPr>
              <w:t>）</w:t>
            </w:r>
            <w:permEnd w:id="12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1" w:type="dxa"/>
            <w:vAlign w:val="center"/>
          </w:tcPr>
          <w:p>
            <w:pPr>
              <w:jc w:val="center"/>
              <w:rPr>
                <w:color w:val="000000"/>
              </w:rPr>
            </w:pPr>
            <w:r>
              <w:rPr>
                <w:rFonts w:hint="eastAsia"/>
                <w:color w:val="000000"/>
              </w:rPr>
              <w:t>4.2.3</w:t>
            </w:r>
          </w:p>
        </w:tc>
        <w:tc>
          <w:tcPr>
            <w:tcW w:w="2815" w:type="dxa"/>
            <w:gridSpan w:val="2"/>
            <w:vAlign w:val="center"/>
          </w:tcPr>
          <w:p>
            <w:pPr>
              <w:rPr>
                <w:color w:val="000000"/>
              </w:rPr>
            </w:pPr>
            <w:r>
              <w:rPr>
                <w:rFonts w:hint="eastAsia"/>
                <w:color w:val="000000"/>
              </w:rPr>
              <w:t>是否退还投标文件</w:t>
            </w:r>
          </w:p>
        </w:tc>
        <w:tc>
          <w:tcPr>
            <w:tcW w:w="4538" w:type="dxa"/>
            <w:vAlign w:val="center"/>
          </w:tcPr>
          <w:p>
            <w:pPr>
              <w:rPr>
                <w:color w:val="000000"/>
              </w:rPr>
            </w:pPr>
            <w:sdt>
              <w:sdtPr>
                <w:rPr>
                  <w:rFonts w:hint="eastAsia"/>
                  <w:color w:val="000000"/>
                </w:rPr>
                <w:id w:val="925458285"/>
                <w14:checkbox>
                  <w14:checked w14:val="0"/>
                  <w14:checkedState w14:val="2612" w14:font="MS Gothic"/>
                  <w14:uncheckedState w14:val="2610" w14:font="MS Gothic"/>
                </w14:checkbox>
              </w:sdtPr>
              <w:sdtEndPr>
                <w:rPr>
                  <w:rFonts w:hint="eastAsia"/>
                  <w:color w:val="000000"/>
                </w:rPr>
              </w:sdtEndPr>
              <w:sdtContent>
                <w:r>
                  <w:rPr>
                    <w:rFonts w:hint="eastAsia" w:ascii="MS Gothic" w:hAnsi="MS Gothic" w:eastAsia="MS Gothic"/>
                    <w:color w:val="000000"/>
                  </w:rPr>
                  <w:t>☐</w:t>
                </w:r>
              </w:sdtContent>
            </w:sdt>
            <w:r>
              <w:rPr>
                <w:rFonts w:hint="eastAsia"/>
                <w:color w:val="000000"/>
              </w:rPr>
              <w:t>否</w:t>
            </w:r>
          </w:p>
          <w:p>
            <w:pPr>
              <w:rPr>
                <w:color w:val="000000"/>
              </w:rPr>
            </w:pPr>
            <w:sdt>
              <w:sdtPr>
                <w:rPr>
                  <w:rFonts w:hint="eastAsia"/>
                  <w:color w:val="000000"/>
                </w:rPr>
                <w:id w:val="-1"/>
                <w14:checkbox>
                  <w14:checked w14:val="0"/>
                  <w14:checkedState w14:val="2612" w14:font="MS Gothic"/>
                  <w14:uncheckedState w14:val="2610" w14:font="MS Gothic"/>
                </w14:checkbox>
              </w:sdtPr>
              <w:sdtEndPr>
                <w:rPr>
                  <w:rFonts w:hint="eastAsia"/>
                  <w:color w:val="000000"/>
                </w:rPr>
              </w:sdtEndPr>
              <w:sdtContent>
                <w:r>
                  <w:rPr>
                    <w:rFonts w:hint="eastAsia" w:ascii="MS Gothic" w:hAnsi="MS Gothic" w:eastAsia="MS Gothic"/>
                    <w:color w:val="000000"/>
                  </w:rPr>
                  <w:t>☐</w:t>
                </w:r>
              </w:sdtContent>
            </w:sdt>
            <w:r>
              <w:rPr>
                <w:rFonts w:hint="eastAsia"/>
                <w:color w:val="000000"/>
              </w:rPr>
              <w:t>是，退还安排：</w:t>
            </w:r>
            <w:permStart w:id="123" w:edGrp="everyone"/>
            <w:r>
              <w:rPr>
                <w:rFonts w:hint="eastAsia"/>
                <w:color w:val="000000"/>
                <w:u w:val="single"/>
              </w:rPr>
              <w:t xml:space="preserve"> </w:t>
            </w:r>
            <w:r>
              <w:rPr>
                <w:color w:val="000000"/>
                <w:u w:val="single"/>
              </w:rPr>
              <w:t xml:space="preserve">   </w:t>
            </w:r>
            <w:r>
              <w:rPr>
                <w:color w:val="000000"/>
              </w:rPr>
              <w:t xml:space="preserve"> </w:t>
            </w:r>
            <w:r>
              <w:rPr>
                <w:rFonts w:hint="eastAsia"/>
                <w:color w:val="000000"/>
              </w:rPr>
              <w:t xml:space="preserve"> </w:t>
            </w:r>
            <w:permEnd w:id="12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1" w:type="dxa"/>
            <w:vAlign w:val="center"/>
          </w:tcPr>
          <w:p>
            <w:pPr>
              <w:jc w:val="center"/>
              <w:rPr>
                <w:color w:val="000000"/>
              </w:rPr>
            </w:pPr>
            <w:r>
              <w:rPr>
                <w:rFonts w:hint="eastAsia"/>
                <w:color w:val="000000"/>
              </w:rPr>
              <w:t>5.1</w:t>
            </w:r>
          </w:p>
        </w:tc>
        <w:tc>
          <w:tcPr>
            <w:tcW w:w="2815" w:type="dxa"/>
            <w:gridSpan w:val="2"/>
            <w:vAlign w:val="center"/>
          </w:tcPr>
          <w:p>
            <w:pPr>
              <w:rPr>
                <w:color w:val="000000"/>
              </w:rPr>
            </w:pPr>
            <w:r>
              <w:rPr>
                <w:rFonts w:hint="eastAsia"/>
                <w:color w:val="000000"/>
              </w:rPr>
              <w:t>开标时间和地点</w:t>
            </w:r>
          </w:p>
        </w:tc>
        <w:tc>
          <w:tcPr>
            <w:tcW w:w="4538" w:type="dxa"/>
            <w:vAlign w:val="center"/>
          </w:tcPr>
          <w:p>
            <w:pPr>
              <w:spacing w:line="288" w:lineRule="auto"/>
              <w:rPr>
                <w:color w:val="000000"/>
              </w:rPr>
            </w:pPr>
            <w:r>
              <w:rPr>
                <w:rFonts w:hint="eastAsia"/>
                <w:color w:val="000000"/>
              </w:rPr>
              <w:t>开标时间：同投标截止时间</w:t>
            </w:r>
          </w:p>
          <w:p>
            <w:pPr>
              <w:spacing w:line="288" w:lineRule="auto"/>
              <w:rPr>
                <w:color w:val="000000"/>
                <w:u w:val="single"/>
              </w:rPr>
            </w:pPr>
            <w:r>
              <w:rPr>
                <w:rFonts w:hint="eastAsia"/>
                <w:color w:val="000000"/>
              </w:rPr>
              <w:t>开标地点：</w:t>
            </w:r>
            <w:permStart w:id="124" w:edGrp="everyone"/>
            <w:r>
              <w:rPr>
                <w:rFonts w:hint="eastAsia"/>
                <w:color w:val="000000"/>
                <w:u w:val="single"/>
              </w:rPr>
              <w:t xml:space="preserve">海南省公共资源交易中心     </w:t>
            </w:r>
            <w:permEnd w:id="12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24" w:hRule="atLeast"/>
        </w:trPr>
        <w:tc>
          <w:tcPr>
            <w:tcW w:w="1511" w:type="dxa"/>
            <w:vAlign w:val="center"/>
          </w:tcPr>
          <w:p>
            <w:pPr>
              <w:jc w:val="center"/>
              <w:rPr>
                <w:color w:val="000000"/>
              </w:rPr>
            </w:pPr>
            <w:r>
              <w:rPr>
                <w:rFonts w:hint="eastAsia"/>
                <w:color w:val="000000"/>
              </w:rPr>
              <w:t>5.2</w:t>
            </w:r>
          </w:p>
        </w:tc>
        <w:tc>
          <w:tcPr>
            <w:tcW w:w="2815" w:type="dxa"/>
            <w:gridSpan w:val="2"/>
            <w:vAlign w:val="center"/>
          </w:tcPr>
          <w:p>
            <w:pPr>
              <w:rPr>
                <w:color w:val="000000"/>
              </w:rPr>
            </w:pPr>
            <w:r>
              <w:rPr>
                <w:rFonts w:hint="eastAsia"/>
                <w:color w:val="000000"/>
              </w:rPr>
              <w:t>开标程序</w:t>
            </w:r>
          </w:p>
        </w:tc>
        <w:tc>
          <w:tcPr>
            <w:tcW w:w="4538" w:type="dxa"/>
            <w:vAlign w:val="center"/>
          </w:tcPr>
          <w:p>
            <w:pPr>
              <w:spacing w:line="288" w:lineRule="auto"/>
              <w:rPr>
                <w:color w:val="000000"/>
              </w:rPr>
            </w:pPr>
            <w:r>
              <w:rPr>
                <w:rFonts w:hint="eastAsia"/>
                <w:color w:val="000000"/>
              </w:rPr>
              <w:t>（1）宣布开标纪律；</w:t>
            </w:r>
          </w:p>
          <w:p>
            <w:pPr>
              <w:spacing w:line="288" w:lineRule="auto"/>
              <w:rPr>
                <w:color w:val="000000"/>
              </w:rPr>
            </w:pPr>
            <w:r>
              <w:rPr>
                <w:rFonts w:hint="eastAsia"/>
                <w:color w:val="000000"/>
              </w:rPr>
              <w:t>（2）公布在投标截止时间前递交投标文件的投标人名称；</w:t>
            </w:r>
          </w:p>
          <w:p>
            <w:pPr>
              <w:spacing w:line="288" w:lineRule="auto"/>
              <w:rPr>
                <w:color w:val="000000"/>
              </w:rPr>
            </w:pPr>
            <w:r>
              <w:rPr>
                <w:rFonts w:hint="eastAsia"/>
                <w:color w:val="000000"/>
              </w:rPr>
              <w:t>（3）宣布开标人、唱标人、记录人、监标人等有关人员姓名；</w:t>
            </w:r>
          </w:p>
          <w:p>
            <w:pPr>
              <w:spacing w:line="288" w:lineRule="auto"/>
              <w:rPr>
                <w:color w:val="000000"/>
              </w:rPr>
            </w:pPr>
            <w:r>
              <w:rPr>
                <w:rFonts w:hint="eastAsia"/>
                <w:color w:val="000000"/>
              </w:rPr>
              <w:t>（4）招标人组织投标人代表使用投标人的企业CA数字证书线上或线下解密投标文件；</w:t>
            </w:r>
          </w:p>
          <w:p>
            <w:pPr>
              <w:spacing w:line="288" w:lineRule="auto"/>
              <w:rPr>
                <w:color w:val="000000"/>
              </w:rPr>
            </w:pPr>
            <w:r>
              <w:rPr>
                <w:rFonts w:hint="eastAsia"/>
                <w:color w:val="000000"/>
              </w:rPr>
              <w:t>（5）设有标底的，公布标底；</w:t>
            </w:r>
          </w:p>
          <w:p>
            <w:pPr>
              <w:spacing w:line="288" w:lineRule="auto"/>
              <w:rPr>
                <w:color w:val="000000"/>
              </w:rPr>
            </w:pPr>
            <w:r>
              <w:rPr>
                <w:rFonts w:hint="eastAsia"/>
                <w:color w:val="000000"/>
              </w:rPr>
              <w:t>（6）按照宣布的开标顺序当众开标，公布投标人名称、标段名称、投标保证金的递交情况、投标报价、质量目标、工期及其他内容，并记录在案；</w:t>
            </w:r>
          </w:p>
          <w:p>
            <w:pPr>
              <w:spacing w:line="288" w:lineRule="auto"/>
              <w:rPr>
                <w:color w:val="000000"/>
              </w:rPr>
            </w:pPr>
            <w:r>
              <w:rPr>
                <w:color w:val="000000"/>
              </w:rPr>
              <w:t>（7）通过“机器管招投标”系统的自动比对、筛选功能对所有投标文件的IP地址、计算机网卡MAC地址、计价软件加密锁号和数据储存设备序列号等信息进行自动比对，筛选出合格投标文件进入评标环节，将存在涉嫌串通投标的投标文件自动截留，不得进入评标环节。存在下列情况之一的投标文件将被自动截留：</w:t>
            </w:r>
          </w:p>
          <w:p>
            <w:pPr>
              <w:spacing w:line="288" w:lineRule="auto"/>
              <w:rPr>
                <w:color w:val="000000"/>
                <w:highlight w:val="yellow"/>
              </w:rPr>
            </w:pPr>
            <w:r>
              <w:rPr>
                <w:color w:val="000000"/>
                <w:highlight w:val="yellow"/>
              </w:rPr>
              <w:t>a.投标文件上传的IP地址一致的；</w:t>
            </w:r>
          </w:p>
          <w:p>
            <w:pPr>
              <w:spacing w:line="288" w:lineRule="auto"/>
              <w:rPr>
                <w:color w:val="000000"/>
                <w:highlight w:val="yellow"/>
              </w:rPr>
            </w:pPr>
            <w:r>
              <w:rPr>
                <w:color w:val="000000"/>
                <w:highlight w:val="yellow"/>
              </w:rPr>
              <w:t>b.编制投标文件时计算机的网卡MAC地址一致</w:t>
            </w:r>
            <w:r>
              <w:rPr>
                <w:rFonts w:hint="eastAsia"/>
                <w:color w:val="000000"/>
                <w:highlight w:val="yellow"/>
                <w:lang w:val="en-US" w:eastAsia="zh-CN"/>
              </w:rPr>
              <w:t>且</w:t>
            </w:r>
            <w:r>
              <w:rPr>
                <w:color w:val="000000"/>
                <w:highlight w:val="yellow"/>
              </w:rPr>
              <w:t>数据储存设备序列号一致的；</w:t>
            </w:r>
          </w:p>
          <w:p>
            <w:pPr>
              <w:spacing w:line="288" w:lineRule="auto"/>
              <w:rPr>
                <w:color w:val="000000"/>
                <w:highlight w:val="yellow"/>
              </w:rPr>
            </w:pPr>
            <w:r>
              <w:rPr>
                <w:rFonts w:hint="eastAsia"/>
                <w:color w:val="000000"/>
                <w:highlight w:val="yellow"/>
                <w:lang w:val="en-US" w:eastAsia="zh-CN"/>
              </w:rPr>
              <w:t>c</w:t>
            </w:r>
            <w:r>
              <w:rPr>
                <w:color w:val="000000"/>
                <w:highlight w:val="yellow"/>
              </w:rPr>
              <w:t>.计价软件加密锁号或实名制公司名称一致的。</w:t>
            </w:r>
          </w:p>
          <w:p>
            <w:pPr>
              <w:spacing w:line="288" w:lineRule="auto"/>
              <w:rPr>
                <w:color w:val="000000"/>
              </w:rPr>
            </w:pPr>
            <w:r>
              <w:rPr>
                <w:color w:val="000000"/>
              </w:rPr>
              <w:t>（8）投标人代表、监标人、记录人等有关人员在开标记录上签字（电子章）确认；</w:t>
            </w:r>
          </w:p>
          <w:p>
            <w:pPr>
              <w:spacing w:line="288" w:lineRule="auto"/>
              <w:rPr>
                <w:color w:val="000000"/>
              </w:rPr>
            </w:pPr>
            <w:r>
              <w:rPr>
                <w:color w:val="000000"/>
              </w:rPr>
              <w:t>（9）投标人对开标有异议的，应及时提出，由招标人或其委托代理机构即时答复处理。所有异议处理完毕后，由招标人或其委托代理机构确认开标结束。</w:t>
            </w:r>
          </w:p>
          <w:p>
            <w:pPr>
              <w:spacing w:line="288" w:lineRule="auto"/>
              <w:rPr>
                <w:color w:val="000000"/>
              </w:rPr>
            </w:pPr>
            <w:r>
              <w:rPr>
                <w:color w:val="000000"/>
              </w:rPr>
              <w:t>（10）开标结束。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1" w:type="dxa"/>
            <w:vAlign w:val="center"/>
          </w:tcPr>
          <w:p>
            <w:pPr>
              <w:jc w:val="center"/>
              <w:rPr>
                <w:color w:val="000000"/>
              </w:rPr>
            </w:pPr>
            <w:r>
              <w:rPr>
                <w:rFonts w:hint="eastAsia"/>
                <w:color w:val="000000"/>
              </w:rPr>
              <w:t>6.1.1</w:t>
            </w:r>
          </w:p>
        </w:tc>
        <w:tc>
          <w:tcPr>
            <w:tcW w:w="2815" w:type="dxa"/>
            <w:gridSpan w:val="2"/>
            <w:vAlign w:val="center"/>
          </w:tcPr>
          <w:p>
            <w:pPr>
              <w:rPr>
                <w:color w:val="000000"/>
              </w:rPr>
            </w:pPr>
            <w:r>
              <w:rPr>
                <w:rFonts w:hint="eastAsia"/>
                <w:color w:val="000000"/>
              </w:rPr>
              <w:t>评标委员会的组建</w:t>
            </w:r>
          </w:p>
        </w:tc>
        <w:tc>
          <w:tcPr>
            <w:tcW w:w="4538" w:type="dxa"/>
            <w:vAlign w:val="center"/>
          </w:tcPr>
          <w:p>
            <w:pPr>
              <w:spacing w:line="288" w:lineRule="auto"/>
              <w:rPr>
                <w:color w:val="000000"/>
              </w:rPr>
            </w:pPr>
            <w:r>
              <w:rPr>
                <w:rFonts w:hint="eastAsia"/>
                <w:color w:val="000000"/>
              </w:rPr>
              <w:t>评标委员会构成：</w:t>
            </w:r>
          </w:p>
          <w:p>
            <w:pPr>
              <w:spacing w:line="288" w:lineRule="auto"/>
              <w:rPr>
                <w:color w:val="000000"/>
              </w:rPr>
            </w:pPr>
            <w:bookmarkStart w:id="27" w:name="_Hlk114159065"/>
            <w:r>
              <w:rPr>
                <w:rFonts w:hint="eastAsia"/>
                <w:color w:val="000000"/>
              </w:rPr>
              <w:t>评委总人数</w:t>
            </w:r>
            <w:permStart w:id="125" w:edGrp="everyone"/>
            <w:r>
              <w:rPr>
                <w:rFonts w:hint="eastAsia"/>
                <w:color w:val="000000"/>
                <w:u w:val="single"/>
              </w:rPr>
              <w:t xml:space="preserve">   </w:t>
            </w:r>
            <w:permEnd w:id="125"/>
            <w:r>
              <w:rPr>
                <w:rFonts w:hint="eastAsia"/>
                <w:color w:val="000000"/>
              </w:rPr>
              <w:t>人</w:t>
            </w:r>
          </w:p>
          <w:bookmarkEnd w:id="27"/>
          <w:p>
            <w:pPr>
              <w:rPr>
                <w:color w:val="000000"/>
              </w:rPr>
            </w:pPr>
            <w:r>
              <w:rPr>
                <w:rFonts w:hint="eastAsia"/>
                <w:color w:val="000000"/>
              </w:rPr>
              <w:t>专家成员确定方式：</w:t>
            </w:r>
          </w:p>
          <w:p>
            <w:pPr>
              <w:rPr>
                <w:color w:val="000000"/>
              </w:rPr>
            </w:pPr>
            <w:r>
              <w:rPr>
                <w:rFonts w:hint="eastAsia"/>
                <w:color w:val="000000"/>
              </w:rPr>
              <w:t>（1）专家成员从</w:t>
            </w:r>
            <w:permStart w:id="126" w:edGrp="everyone"/>
            <w:r>
              <w:rPr>
                <w:rFonts w:hint="eastAsia"/>
                <w:color w:val="000000"/>
              </w:rPr>
              <w:t xml:space="preserve"> 海南省综合评标专家库 </w:t>
            </w:r>
            <w:permEnd w:id="126"/>
            <w:r>
              <w:rPr>
                <w:rFonts w:hint="eastAsia"/>
                <w:color w:val="000000"/>
              </w:rPr>
              <w:t>中随机抽取；</w:t>
            </w:r>
          </w:p>
          <w:p>
            <w:pPr>
              <w:rPr>
                <w:color w:val="000000"/>
              </w:rPr>
            </w:pPr>
            <w:r>
              <w:rPr>
                <w:rFonts w:hint="eastAsia"/>
                <w:color w:val="000000"/>
              </w:rPr>
              <w:t>（2）技术、经济等方面专家不得少于三分之二；</w:t>
            </w:r>
          </w:p>
          <w:p>
            <w:pPr>
              <w:rPr>
                <w:color w:val="000000"/>
              </w:rPr>
            </w:pPr>
            <w:r>
              <w:rPr>
                <w:rFonts w:hint="eastAsia"/>
                <w:color w:val="000000"/>
              </w:rPr>
              <w:t>（3）至少有1名注册造价工程师。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1" w:type="dxa"/>
            <w:vAlign w:val="top"/>
          </w:tcPr>
          <w:p>
            <w:pPr>
              <w:spacing w:line="337" w:lineRule="auto"/>
              <w:rPr>
                <w:rFonts w:ascii="Arial"/>
                <w:sz w:val="21"/>
              </w:rPr>
            </w:pPr>
          </w:p>
          <w:p>
            <w:pPr>
              <w:spacing w:line="337" w:lineRule="auto"/>
              <w:rPr>
                <w:rFonts w:ascii="Arial"/>
                <w:sz w:val="21"/>
              </w:rPr>
            </w:pPr>
          </w:p>
          <w:p>
            <w:pPr>
              <w:pStyle w:val="95"/>
              <w:spacing w:before="59" w:line="183" w:lineRule="auto"/>
              <w:ind w:left="473" w:leftChars="0"/>
              <w:rPr>
                <w:rFonts w:hint="eastAsia" w:ascii="宋体" w:hAnsi="宋体" w:eastAsia="宋体" w:cs="宋体"/>
                <w:kern w:val="2"/>
                <w:sz w:val="18"/>
                <w:szCs w:val="18"/>
                <w:lang w:val="en-US" w:eastAsia="en-US" w:bidi="ar-SA"/>
              </w:rPr>
            </w:pPr>
            <w:r>
              <w:rPr>
                <w:spacing w:val="-2"/>
              </w:rPr>
              <w:t>6.2</w:t>
            </w:r>
          </w:p>
        </w:tc>
        <w:tc>
          <w:tcPr>
            <w:tcW w:w="2815" w:type="dxa"/>
            <w:gridSpan w:val="2"/>
            <w:vAlign w:val="top"/>
          </w:tcPr>
          <w:p>
            <w:pPr>
              <w:spacing w:line="323" w:lineRule="auto"/>
              <w:rPr>
                <w:rFonts w:ascii="Arial"/>
                <w:sz w:val="21"/>
              </w:rPr>
            </w:pPr>
          </w:p>
          <w:p>
            <w:pPr>
              <w:spacing w:line="323" w:lineRule="auto"/>
              <w:rPr>
                <w:rFonts w:ascii="Arial"/>
                <w:sz w:val="21"/>
              </w:rPr>
            </w:pPr>
          </w:p>
          <w:p>
            <w:pPr>
              <w:pStyle w:val="95"/>
              <w:spacing w:before="58" w:line="219" w:lineRule="auto"/>
              <w:ind w:left="319" w:leftChars="0"/>
              <w:rPr>
                <w:rFonts w:hint="eastAsia" w:ascii="宋体" w:hAnsi="宋体" w:eastAsia="宋体" w:cs="宋体"/>
                <w:kern w:val="2"/>
                <w:sz w:val="18"/>
                <w:szCs w:val="18"/>
                <w:lang w:val="en-US" w:eastAsia="en-US" w:bidi="ar-SA"/>
              </w:rPr>
            </w:pPr>
            <w:r>
              <w:rPr>
                <w:spacing w:val="1"/>
              </w:rPr>
              <w:t>“机器”评审</w:t>
            </w:r>
          </w:p>
        </w:tc>
        <w:tc>
          <w:tcPr>
            <w:tcW w:w="4538" w:type="dxa"/>
            <w:vAlign w:val="top"/>
          </w:tcPr>
          <w:p>
            <w:pPr>
              <w:pStyle w:val="95"/>
              <w:spacing w:before="75" w:line="216" w:lineRule="auto"/>
              <w:ind w:left="155" w:right="224"/>
            </w:pPr>
            <w:r>
              <w:t>本项目为机器评审项目，机器管招投标系统投</w:t>
            </w:r>
            <w:r>
              <w:rPr>
                <w:spacing w:val="-1"/>
              </w:rPr>
              <w:t>标工具将在投</w:t>
            </w:r>
            <w:r>
              <w:t>标文件中生成“智能评审数据”（详细格式见</w:t>
            </w:r>
            <w:r>
              <w:rPr>
                <w:spacing w:val="-1"/>
              </w:rPr>
              <w:t>招标文件中投标文件格式章节中的“十一、智能评审数据”</w:t>
            </w:r>
            <w:r>
              <w:rPr>
                <w:spacing w:val="1"/>
              </w:rPr>
              <w:t>），</w:t>
            </w:r>
            <w:r>
              <w:rPr>
                <w:spacing w:val="-1"/>
              </w:rPr>
              <w:t>机器评审</w:t>
            </w:r>
            <w:r>
              <w:t>内容以机器管招投标系统投标工具从投标人主</w:t>
            </w:r>
            <w:r>
              <w:rPr>
                <w:spacing w:val="-1"/>
              </w:rPr>
              <w:t>体库获取的智</w:t>
            </w:r>
            <w:r>
              <w:t>能评审数据为准，若智能评审数据与投标人所</w:t>
            </w:r>
            <w:r>
              <w:rPr>
                <w:spacing w:val="-1"/>
              </w:rPr>
              <w:t>上传相关支撑</w:t>
            </w:r>
            <w:r>
              <w:t>材料不一致，以机器管招投标系统生成的智</w:t>
            </w:r>
            <w:r>
              <w:rPr>
                <w:spacing w:val="-1"/>
              </w:rPr>
              <w:t>能评审数据为</w:t>
            </w:r>
          </w:p>
          <w:p>
            <w:pPr>
              <w:pStyle w:val="95"/>
              <w:spacing w:line="220" w:lineRule="auto"/>
              <w:ind w:left="157" w:leftChars="0"/>
              <w:rPr>
                <w:rFonts w:hint="eastAsia" w:ascii="宋体" w:hAnsi="宋体" w:eastAsia="宋体" w:cs="宋体"/>
                <w:kern w:val="2"/>
                <w:sz w:val="18"/>
                <w:szCs w:val="18"/>
                <w:lang w:val="en-US" w:eastAsia="en-US" w:bidi="ar-SA"/>
              </w:rPr>
            </w:pPr>
            <w:r>
              <w:rPr>
                <w:spacing w:val="-9"/>
              </w:rPr>
              <w:t>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1"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pStyle w:val="95"/>
              <w:spacing w:before="58" w:line="184" w:lineRule="auto"/>
              <w:ind w:left="476" w:leftChars="0"/>
              <w:rPr>
                <w:rFonts w:ascii="宋体" w:hAnsi="宋体" w:eastAsia="宋体" w:cs="宋体"/>
                <w:kern w:val="2"/>
                <w:sz w:val="18"/>
                <w:szCs w:val="18"/>
                <w:lang w:val="en-US" w:eastAsia="en-US" w:bidi="ar-SA"/>
              </w:rPr>
            </w:pPr>
            <w:r>
              <w:rPr>
                <w:spacing w:val="-3"/>
              </w:rPr>
              <w:t>7.1</w:t>
            </w:r>
          </w:p>
        </w:tc>
        <w:tc>
          <w:tcPr>
            <w:tcW w:w="2815" w:type="dxa"/>
            <w:gridSpan w:val="2"/>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95"/>
              <w:spacing w:before="59" w:line="220" w:lineRule="auto"/>
              <w:ind w:left="516" w:leftChars="0"/>
              <w:rPr>
                <w:rFonts w:ascii="宋体" w:hAnsi="宋体" w:eastAsia="宋体" w:cs="宋体"/>
                <w:kern w:val="2"/>
                <w:sz w:val="18"/>
                <w:szCs w:val="18"/>
                <w:lang w:val="en-US" w:eastAsia="en-US" w:bidi="ar-SA"/>
              </w:rPr>
            </w:pPr>
            <w:r>
              <w:rPr>
                <w:spacing w:val="-3"/>
              </w:rPr>
              <w:t>定标方式</w:t>
            </w:r>
          </w:p>
        </w:tc>
        <w:tc>
          <w:tcPr>
            <w:tcW w:w="4538" w:type="dxa"/>
            <w:vAlign w:val="top"/>
          </w:tcPr>
          <w:p>
            <w:pPr>
              <w:pStyle w:val="95"/>
              <w:tabs>
                <w:tab w:val="left" w:pos="207"/>
              </w:tabs>
              <w:spacing w:before="114" w:line="247" w:lineRule="auto"/>
              <w:ind w:left="157" w:right="194" w:firstLine="51"/>
            </w:pPr>
            <w:r>
              <w:drawing>
                <wp:inline distT="0" distB="0" distL="0" distR="0">
                  <wp:extent cx="123825" cy="123825"/>
                  <wp:effectExtent l="0" t="0" r="3175" b="3175"/>
                  <wp:docPr id="1" name="IM 42"/>
                  <wp:cNvGraphicFramePr/>
                  <a:graphic xmlns:a="http://schemas.openxmlformats.org/drawingml/2006/main">
                    <a:graphicData uri="http://schemas.openxmlformats.org/drawingml/2006/picture">
                      <pic:pic xmlns:pic="http://schemas.openxmlformats.org/drawingml/2006/picture">
                        <pic:nvPicPr>
                          <pic:cNvPr id="1" name="IM 42"/>
                          <pic:cNvPicPr/>
                        </pic:nvPicPr>
                        <pic:blipFill>
                          <a:blip r:embed="rId37"/>
                          <a:stretch>
                            <a:fillRect/>
                          </a:stretch>
                        </pic:blipFill>
                        <pic:spPr>
                          <a:xfrm>
                            <a:off x="0" y="0"/>
                            <a:ext cx="123899" cy="123898"/>
                          </a:xfrm>
                          <a:prstGeom prst="rect">
                            <a:avLst/>
                          </a:prstGeom>
                        </pic:spPr>
                      </pic:pic>
                    </a:graphicData>
                  </a:graphic>
                </wp:inline>
              </w:drawing>
            </w:r>
            <w:r>
              <w:rPr>
                <w:spacing w:val="1"/>
              </w:rPr>
              <w:t>评标委员会推荐的中标候选人数3名，并标明</w:t>
            </w:r>
            <w:r>
              <w:t>排列顺序。</w:t>
            </w:r>
            <w:r>
              <w:tab/>
            </w:r>
            <w:r>
              <w:drawing>
                <wp:inline distT="0" distB="0" distL="0" distR="0">
                  <wp:extent cx="124460" cy="123825"/>
                  <wp:effectExtent l="0" t="0" r="2540" b="3175"/>
                  <wp:docPr id="2" name="IM 44"/>
                  <wp:cNvGraphicFramePr/>
                  <a:graphic xmlns:a="http://schemas.openxmlformats.org/drawingml/2006/main">
                    <a:graphicData uri="http://schemas.openxmlformats.org/drawingml/2006/picture">
                      <pic:pic xmlns:pic="http://schemas.openxmlformats.org/drawingml/2006/picture">
                        <pic:nvPicPr>
                          <pic:cNvPr id="2" name="IM 44"/>
                          <pic:cNvPicPr/>
                        </pic:nvPicPr>
                        <pic:blipFill>
                          <a:blip r:embed="rId38"/>
                          <a:stretch>
                            <a:fillRect/>
                          </a:stretch>
                        </pic:blipFill>
                        <pic:spPr>
                          <a:xfrm>
                            <a:off x="0" y="0"/>
                            <a:ext cx="124487" cy="123898"/>
                          </a:xfrm>
                          <a:prstGeom prst="rect">
                            <a:avLst/>
                          </a:prstGeom>
                        </pic:spPr>
                      </pic:pic>
                    </a:graphicData>
                  </a:graphic>
                </wp:inline>
              </w:drawing>
            </w:r>
            <w:r>
              <w:rPr>
                <w:spacing w:val="2"/>
              </w:rPr>
              <w:t>推荐的中标候选人数3名，并且确定排名第一的</w:t>
            </w:r>
            <w:r>
              <w:rPr>
                <w:spacing w:val="1"/>
              </w:rPr>
              <w:t>中标候选</w:t>
            </w:r>
            <w:r>
              <w:rPr>
                <w:spacing w:val="-5"/>
              </w:rPr>
              <w:t>人为中标人。</w:t>
            </w:r>
          </w:p>
          <w:p>
            <w:pPr>
              <w:pStyle w:val="95"/>
              <w:spacing w:before="29" w:line="232" w:lineRule="auto"/>
              <w:ind w:left="159" w:right="194" w:firstLine="49"/>
            </w:pPr>
            <w:r>
              <w:drawing>
                <wp:inline distT="0" distB="0" distL="0" distR="0">
                  <wp:extent cx="123825" cy="123825"/>
                  <wp:effectExtent l="0" t="0" r="3175" b="3175"/>
                  <wp:docPr id="3" name="IM 46"/>
                  <wp:cNvGraphicFramePr/>
                  <a:graphic xmlns:a="http://schemas.openxmlformats.org/drawingml/2006/main">
                    <a:graphicData uri="http://schemas.openxmlformats.org/drawingml/2006/picture">
                      <pic:pic xmlns:pic="http://schemas.openxmlformats.org/drawingml/2006/picture">
                        <pic:nvPicPr>
                          <pic:cNvPr id="3" name="IM 46"/>
                          <pic:cNvPicPr/>
                        </pic:nvPicPr>
                        <pic:blipFill>
                          <a:blip r:embed="rId39"/>
                          <a:stretch>
                            <a:fillRect/>
                          </a:stretch>
                        </pic:blipFill>
                        <pic:spPr>
                          <a:xfrm>
                            <a:off x="0" y="0"/>
                            <a:ext cx="123899" cy="123899"/>
                          </a:xfrm>
                          <a:prstGeom prst="rect">
                            <a:avLst/>
                          </a:prstGeom>
                        </pic:spPr>
                      </pic:pic>
                    </a:graphicData>
                  </a:graphic>
                </wp:inline>
              </w:drawing>
            </w:r>
            <w:r>
              <w:rPr>
                <w:spacing w:val="2"/>
              </w:rPr>
              <w:t>评定分离，评标委员会合格的3名中标候选人，</w:t>
            </w:r>
            <w:r>
              <w:rPr>
                <w:spacing w:val="1"/>
              </w:rPr>
              <w:t>不标明排</w:t>
            </w:r>
            <w:r>
              <w:rPr>
                <w:spacing w:val="-7"/>
              </w:rPr>
              <w:t>列顺序。</w:t>
            </w:r>
          </w:p>
          <w:p>
            <w:pPr>
              <w:pStyle w:val="95"/>
              <w:spacing w:before="29" w:line="232" w:lineRule="auto"/>
              <w:ind w:left="155" w:leftChars="0" w:right="464" w:rightChars="0" w:firstLine="53" w:firstLineChars="0"/>
              <w:rPr>
                <w:rFonts w:hint="eastAsia" w:ascii="宋体" w:hAnsi="宋体" w:eastAsia="宋体" w:cs="宋体"/>
                <w:kern w:val="2"/>
                <w:sz w:val="18"/>
                <w:szCs w:val="18"/>
                <w:lang w:val="en-US" w:eastAsia="en-US" w:bidi="ar-SA"/>
              </w:rPr>
            </w:pPr>
            <w:r>
              <w:drawing>
                <wp:inline distT="0" distB="0" distL="0" distR="0">
                  <wp:extent cx="123825" cy="123825"/>
                  <wp:effectExtent l="0" t="0" r="3175" b="3175"/>
                  <wp:docPr id="4" name="IM 48"/>
                  <wp:cNvGraphicFramePr/>
                  <a:graphic xmlns:a="http://schemas.openxmlformats.org/drawingml/2006/main">
                    <a:graphicData uri="http://schemas.openxmlformats.org/drawingml/2006/picture">
                      <pic:pic xmlns:pic="http://schemas.openxmlformats.org/drawingml/2006/picture">
                        <pic:nvPicPr>
                          <pic:cNvPr id="4" name="IM 48"/>
                          <pic:cNvPicPr/>
                        </pic:nvPicPr>
                        <pic:blipFill>
                          <a:blip r:embed="rId40"/>
                          <a:stretch>
                            <a:fillRect/>
                          </a:stretch>
                        </pic:blipFill>
                        <pic:spPr>
                          <a:xfrm>
                            <a:off x="0" y="0"/>
                            <a:ext cx="123899" cy="123898"/>
                          </a:xfrm>
                          <a:prstGeom prst="rect">
                            <a:avLst/>
                          </a:prstGeom>
                        </pic:spPr>
                      </pic:pic>
                    </a:graphicData>
                  </a:graphic>
                </wp:inline>
              </w:drawing>
            </w:r>
            <w:r>
              <w:rPr>
                <w:spacing w:val="-4"/>
              </w:rPr>
              <w:t>“机器”推荐的中标候选人，评标委员会负责对“机</w:t>
            </w:r>
            <w:r>
              <w:rPr>
                <w:spacing w:val="-3"/>
              </w:rPr>
              <w:t>器”的评标结果进行复核。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1" w:type="dxa"/>
            <w:vAlign w:val="center"/>
          </w:tcPr>
          <w:p>
            <w:pPr>
              <w:jc w:val="center"/>
              <w:rPr>
                <w:color w:val="000000"/>
              </w:rPr>
            </w:pPr>
            <w:r>
              <w:rPr>
                <w:rFonts w:hint="eastAsia"/>
                <w:color w:val="000000"/>
              </w:rPr>
              <w:t>7.3.1</w:t>
            </w:r>
          </w:p>
        </w:tc>
        <w:tc>
          <w:tcPr>
            <w:tcW w:w="2815" w:type="dxa"/>
            <w:gridSpan w:val="2"/>
            <w:vAlign w:val="center"/>
          </w:tcPr>
          <w:p>
            <w:pPr>
              <w:rPr>
                <w:color w:val="000000"/>
              </w:rPr>
            </w:pPr>
            <w:r>
              <w:rPr>
                <w:rFonts w:hint="eastAsia"/>
                <w:color w:val="000000"/>
              </w:rPr>
              <w:t>履约担保</w:t>
            </w:r>
          </w:p>
        </w:tc>
        <w:tc>
          <w:tcPr>
            <w:tcW w:w="4538" w:type="dxa"/>
            <w:vAlign w:val="center"/>
          </w:tcPr>
          <w:p>
            <w:pPr>
              <w:spacing w:line="288" w:lineRule="auto"/>
              <w:rPr>
                <w:color w:val="000000"/>
              </w:rPr>
            </w:pPr>
            <w:bookmarkStart w:id="28" w:name="_Hlk114159136"/>
            <w:r>
              <w:rPr>
                <w:rFonts w:hint="eastAsia"/>
                <w:color w:val="000000"/>
              </w:rPr>
              <w:t>履约担保的形式：</w:t>
            </w:r>
            <w:permStart w:id="127" w:edGrp="everyone"/>
            <w:r>
              <w:rPr>
                <w:color w:val="000000"/>
                <w:u w:val="single"/>
              </w:rPr>
              <w:t xml:space="preserve">  </w:t>
            </w:r>
            <w:r>
              <w:rPr>
                <w:rFonts w:hint="eastAsia"/>
                <w:color w:val="000000"/>
                <w:u w:val="single"/>
              </w:rPr>
              <w:t xml:space="preserve"> </w:t>
            </w:r>
            <w:permEnd w:id="127"/>
          </w:p>
          <w:p>
            <w:pPr>
              <w:spacing w:line="288" w:lineRule="auto"/>
              <w:rPr>
                <w:color w:val="000000"/>
              </w:rPr>
            </w:pPr>
            <w:r>
              <w:rPr>
                <w:rFonts w:hint="eastAsia"/>
                <w:color w:val="000000"/>
              </w:rPr>
              <w:t>履约担保的金额</w:t>
            </w:r>
            <w:bookmarkEnd w:id="28"/>
            <w:r>
              <w:rPr>
                <w:rFonts w:hint="eastAsia"/>
                <w:color w:val="000000"/>
              </w:rPr>
              <w:t>：</w:t>
            </w:r>
            <w:permStart w:id="128" w:edGrp="everyone"/>
            <w:r>
              <w:rPr>
                <w:rFonts w:hint="eastAsia"/>
                <w:color w:val="000000"/>
                <w:u w:val="single"/>
              </w:rPr>
              <w:t xml:space="preserve"> </w:t>
            </w:r>
            <w:r>
              <w:rPr>
                <w:color w:val="000000"/>
                <w:u w:val="single"/>
              </w:rPr>
              <w:t xml:space="preserve">  </w:t>
            </w:r>
            <w:r>
              <w:rPr>
                <w:rFonts w:hint="eastAsia"/>
                <w:color w:val="000000"/>
                <w:u w:val="single"/>
              </w:rPr>
              <w:t xml:space="preserve"> </w:t>
            </w:r>
            <w:permEnd w:id="12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64" w:type="dxa"/>
            <w:gridSpan w:val="4"/>
            <w:vAlign w:val="center"/>
          </w:tcPr>
          <w:p>
            <w:pPr>
              <w:spacing w:line="312" w:lineRule="auto"/>
              <w:rPr>
                <w:rFonts w:ascii="黑体" w:eastAsia="黑体"/>
                <w:color w:val="000000"/>
                <w:sz w:val="24"/>
              </w:rPr>
            </w:pPr>
            <w:r>
              <w:rPr>
                <w:rFonts w:hint="eastAsia" w:ascii="黑体" w:eastAsia="黑体"/>
                <w:color w:val="000000"/>
                <w:sz w:val="24"/>
              </w:rPr>
              <w:t>10.  需要补充的其他内容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64" w:type="dxa"/>
            <w:gridSpan w:val="4"/>
            <w:vAlign w:val="center"/>
          </w:tcPr>
          <w:p>
            <w:pPr>
              <w:spacing w:line="312" w:lineRule="auto"/>
              <w:rPr>
                <w:color w:val="000000"/>
              </w:rPr>
            </w:pPr>
            <w:r>
              <w:rPr>
                <w:rFonts w:hint="eastAsia"/>
                <w:color w:val="000000"/>
              </w:rPr>
              <w:t>10.1招标控制价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20" w:type="dxa"/>
            <w:gridSpan w:val="2"/>
            <w:vAlign w:val="center"/>
          </w:tcPr>
          <w:p>
            <w:pPr>
              <w:spacing w:line="312" w:lineRule="auto"/>
              <w:jc w:val="center"/>
              <w:rPr>
                <w:color w:val="000000"/>
              </w:rPr>
            </w:pPr>
          </w:p>
        </w:tc>
        <w:tc>
          <w:tcPr>
            <w:tcW w:w="2806" w:type="dxa"/>
            <w:vAlign w:val="center"/>
          </w:tcPr>
          <w:p>
            <w:pPr>
              <w:spacing w:line="312" w:lineRule="auto"/>
              <w:rPr>
                <w:color w:val="000000"/>
              </w:rPr>
            </w:pPr>
            <w:r>
              <w:rPr>
                <w:rFonts w:hint="eastAsia"/>
                <w:color w:val="000000"/>
              </w:rPr>
              <w:t>招标控制价</w:t>
            </w:r>
          </w:p>
        </w:tc>
        <w:tc>
          <w:tcPr>
            <w:tcW w:w="4538" w:type="dxa"/>
            <w:vAlign w:val="center"/>
          </w:tcPr>
          <w:p>
            <w:pPr>
              <w:rPr>
                <w:color w:val="000000"/>
              </w:rPr>
            </w:pPr>
            <w:bookmarkStart w:id="29" w:name="_Hlk114159177"/>
            <w:r>
              <w:rPr>
                <w:rFonts w:hint="eastAsia"/>
                <w:color w:val="000000"/>
              </w:rPr>
              <w:t>招标控制价为：</w:t>
            </w:r>
            <w:permStart w:id="129" w:edGrp="everyone"/>
            <w:r>
              <w:rPr>
                <w:rFonts w:hint="eastAsia"/>
                <w:color w:val="000000"/>
                <w:u w:val="single"/>
              </w:rPr>
              <w:t xml:space="preserve"> </w:t>
            </w:r>
            <w:r>
              <w:rPr>
                <w:color w:val="000000"/>
                <w:u w:val="single"/>
              </w:rPr>
              <w:t xml:space="preserve">     </w:t>
            </w:r>
            <w:r>
              <w:rPr>
                <w:rFonts w:hint="eastAsia"/>
                <w:color w:val="000000"/>
                <w:u w:val="single"/>
              </w:rPr>
              <w:t xml:space="preserve"> </w:t>
            </w:r>
            <w:permEnd w:id="129"/>
            <w:r>
              <w:rPr>
                <w:rFonts w:hint="eastAsia"/>
                <w:color w:val="000000"/>
              </w:rPr>
              <w:t>元；</w:t>
            </w:r>
          </w:p>
          <w:p>
            <w:pPr>
              <w:rPr>
                <w:color w:val="000000"/>
              </w:rPr>
            </w:pPr>
            <w:r>
              <w:rPr>
                <w:rFonts w:hint="eastAsia"/>
                <w:color w:val="000000"/>
              </w:rPr>
              <w:t>其中暂列金额：</w:t>
            </w:r>
            <w:permStart w:id="130" w:edGrp="everyone"/>
            <w:r>
              <w:rPr>
                <w:rFonts w:hint="eastAsia"/>
                <w:color w:val="000000"/>
                <w:u w:val="single"/>
              </w:rPr>
              <w:t xml:space="preserve"> </w:t>
            </w:r>
            <w:r>
              <w:rPr>
                <w:color w:val="000000"/>
                <w:u w:val="single"/>
              </w:rPr>
              <w:t xml:space="preserve">     </w:t>
            </w:r>
            <w:r>
              <w:rPr>
                <w:rFonts w:hint="eastAsia"/>
                <w:color w:val="000000"/>
                <w:u w:val="single"/>
              </w:rPr>
              <w:t xml:space="preserve"> </w:t>
            </w:r>
            <w:permEnd w:id="130"/>
            <w:r>
              <w:rPr>
                <w:rFonts w:hint="eastAsia"/>
                <w:color w:val="000000"/>
              </w:rPr>
              <w:t>元；</w:t>
            </w:r>
          </w:p>
          <w:p>
            <w:pPr>
              <w:rPr>
                <w:color w:val="000000"/>
              </w:rPr>
            </w:pPr>
            <w:r>
              <w:rPr>
                <w:rFonts w:hint="eastAsia"/>
                <w:color w:val="000000"/>
              </w:rPr>
              <w:t>专业工程暂估价：</w:t>
            </w:r>
            <w:permStart w:id="131" w:edGrp="everyone"/>
            <w:r>
              <w:rPr>
                <w:rFonts w:hint="eastAsia"/>
                <w:color w:val="000000"/>
                <w:u w:val="single"/>
              </w:rPr>
              <w:t xml:space="preserve">     </w:t>
            </w:r>
            <w:permEnd w:id="131"/>
            <w:r>
              <w:rPr>
                <w:rFonts w:hint="eastAsia"/>
                <w:color w:val="000000"/>
              </w:rPr>
              <w:t>元。</w:t>
            </w:r>
            <w:bookmarkEnd w:id="2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64" w:type="dxa"/>
            <w:gridSpan w:val="4"/>
            <w:vAlign w:val="top"/>
          </w:tcPr>
          <w:p>
            <w:pPr>
              <w:pStyle w:val="95"/>
              <w:spacing w:before="77" w:line="219" w:lineRule="auto"/>
              <w:ind w:left="170" w:leftChars="0"/>
              <w:rPr>
                <w:rFonts w:hint="eastAsia" w:ascii="Times New Roman" w:hAnsi="Times New Roman" w:eastAsia="宋体" w:cs="Times New Roman"/>
                <w:color w:val="000000"/>
                <w:kern w:val="2"/>
                <w:sz w:val="21"/>
                <w:szCs w:val="24"/>
                <w:lang w:val="en-US" w:eastAsia="en-US" w:bidi="ar-SA"/>
              </w:rPr>
            </w:pPr>
            <w:r>
              <w:rPr>
                <w:rFonts w:hint="eastAsia" w:ascii="Times New Roman" w:hAnsi="Times New Roman" w:eastAsia="宋体" w:cs="Times New Roman"/>
                <w:color w:val="000000"/>
                <w:kern w:val="2"/>
                <w:sz w:val="21"/>
                <w:szCs w:val="24"/>
                <w:lang w:val="en-US" w:eastAsia="zh-CN" w:bidi="ar-SA"/>
              </w:rPr>
              <w:t>10.2投标文件电子版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11" w:type="dxa"/>
            <w:vAlign w:val="top"/>
          </w:tcPr>
          <w:p>
            <w:pPr>
              <w:spacing w:line="312" w:lineRule="auto"/>
              <w:rPr>
                <w:rFonts w:hint="eastAsia" w:ascii="Times New Roman" w:hAnsi="Times New Roman" w:eastAsia="宋体" w:cs="Times New Roman"/>
                <w:color w:val="000000"/>
                <w:kern w:val="2"/>
                <w:sz w:val="21"/>
                <w:szCs w:val="24"/>
                <w:lang w:val="en-US" w:eastAsia="zh-CN" w:bidi="ar-SA"/>
              </w:rPr>
            </w:pPr>
          </w:p>
        </w:tc>
        <w:tc>
          <w:tcPr>
            <w:tcW w:w="2815" w:type="dxa"/>
            <w:gridSpan w:val="2"/>
            <w:vAlign w:val="top"/>
          </w:tcPr>
          <w:p>
            <w:pPr>
              <w:spacing w:line="312" w:lineRule="auto"/>
              <w:rPr>
                <w:rFonts w:hint="eastAsia" w:ascii="Times New Roman" w:hAnsi="Times New Roman" w:eastAsia="宋体" w:cs="Times New Roman"/>
                <w:color w:val="000000"/>
                <w:kern w:val="2"/>
                <w:sz w:val="21"/>
                <w:szCs w:val="24"/>
                <w:lang w:val="en-US" w:eastAsia="zh-CN" w:bidi="ar-SA"/>
              </w:rPr>
            </w:pPr>
          </w:p>
          <w:p>
            <w:pPr>
              <w:spacing w:line="312" w:lineRule="auto"/>
              <w:rPr>
                <w:rFonts w:hint="eastAsia" w:ascii="Times New Roman" w:hAnsi="Times New Roman" w:eastAsia="宋体" w:cs="Times New Roman"/>
                <w:color w:val="000000"/>
                <w:kern w:val="2"/>
                <w:sz w:val="21"/>
                <w:szCs w:val="24"/>
                <w:lang w:val="en-US" w:eastAsia="zh-CN" w:bidi="ar-SA"/>
              </w:rPr>
            </w:pPr>
          </w:p>
          <w:p>
            <w:pPr>
              <w:spacing w:line="312" w:lineRule="auto"/>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投标人在递交投标</w:t>
            </w:r>
          </w:p>
          <w:p>
            <w:pPr>
              <w:spacing w:line="312" w:lineRule="auto"/>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文件时，同时递交</w:t>
            </w:r>
          </w:p>
          <w:p>
            <w:pPr>
              <w:spacing w:line="312" w:lineRule="auto"/>
              <w:rPr>
                <w:rFonts w:hint="eastAsia" w:ascii="Times New Roman" w:hAnsi="Times New Roman" w:eastAsia="宋体" w:cs="Times New Roman"/>
                <w:color w:val="000000"/>
                <w:kern w:val="2"/>
                <w:sz w:val="21"/>
                <w:szCs w:val="24"/>
                <w:lang w:val="en-US" w:eastAsia="en-US" w:bidi="ar-SA"/>
              </w:rPr>
            </w:pPr>
            <w:r>
              <w:rPr>
                <w:rFonts w:hint="eastAsia" w:ascii="Times New Roman" w:hAnsi="Times New Roman" w:eastAsia="宋体" w:cs="Times New Roman"/>
                <w:color w:val="000000"/>
                <w:kern w:val="2"/>
                <w:sz w:val="21"/>
                <w:szCs w:val="24"/>
                <w:lang w:val="en-US" w:eastAsia="zh-CN" w:bidi="ar-SA"/>
              </w:rPr>
              <w:t>投标文件电子版</w:t>
            </w:r>
          </w:p>
        </w:tc>
        <w:tc>
          <w:tcPr>
            <w:tcW w:w="4538" w:type="dxa"/>
            <w:vAlign w:val="top"/>
          </w:tcPr>
          <w:p>
            <w:pPr>
              <w:spacing w:line="312" w:lineRule="auto"/>
              <w:rPr>
                <w:rFonts w:hint="eastAsia" w:ascii="Times New Roman" w:hAnsi="Times New Roman" w:eastAsia="宋体" w:cs="Times New Roman"/>
                <w:color w:val="000000"/>
                <w:kern w:val="2"/>
                <w:sz w:val="21"/>
                <w:szCs w:val="24"/>
                <w:lang w:val="en-US" w:eastAsia="en-US" w:bidi="ar-SA"/>
              </w:rPr>
            </w:pPr>
            <w:r>
              <w:rPr>
                <w:rFonts w:hint="eastAsia" w:ascii="Times New Roman" w:hAnsi="Times New Roman" w:eastAsia="宋体" w:cs="Times New Roman"/>
                <w:color w:val="000000"/>
                <w:kern w:val="2"/>
                <w:sz w:val="21"/>
                <w:szCs w:val="24"/>
                <w:lang w:val="en-US" w:eastAsia="zh-CN" w:bidi="ar-SA"/>
              </w:rPr>
              <w:t>投标人提交一张包含相同内容的投标文件光盘和U盘以备CA解密失败时使用，光盘和U盘应密封完好（包装及密封形式不限）。光盘和U盘只能有文件名一致、内容一致的电子投标文件，不得含有其他无关文件，否则其投标将被拒绝。开标时，以在电子招标投标系统上传的文件导入为准，如上传文件无法导入，则导入光盘和U盘的文件。若电子招标投标系统上传的文件、光盘和U盘文件全部无法读取，则该投标文件应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64" w:type="dxa"/>
            <w:gridSpan w:val="4"/>
            <w:vAlign w:val="top"/>
          </w:tcPr>
          <w:p>
            <w:pPr>
              <w:pStyle w:val="95"/>
              <w:spacing w:before="77" w:line="219" w:lineRule="auto"/>
              <w:rPr>
                <w:rFonts w:ascii="宋体" w:hAnsi="宋体" w:eastAsia="宋体" w:cs="宋体"/>
                <w:kern w:val="2"/>
                <w:sz w:val="18"/>
                <w:szCs w:val="18"/>
                <w:lang w:val="en-US" w:eastAsia="en-US" w:bidi="ar-SA"/>
              </w:rPr>
            </w:pPr>
            <w:r>
              <w:rPr>
                <w:rFonts w:hint="eastAsia" w:ascii="Times New Roman" w:hAnsi="Times New Roman" w:eastAsia="宋体" w:cs="Times New Roman"/>
                <w:color w:val="000000"/>
                <w:kern w:val="2"/>
                <w:sz w:val="21"/>
                <w:szCs w:val="24"/>
                <w:lang w:val="en-US" w:eastAsia="zh-CN" w:bidi="ar-SA"/>
              </w:rPr>
              <w:t>10.3投标人代表出席开标会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20" w:type="dxa"/>
            <w:gridSpan w:val="2"/>
            <w:vAlign w:val="top"/>
          </w:tcPr>
          <w:p>
            <w:pPr>
              <w:rPr>
                <w:rFonts w:ascii="Arial" w:hAnsi="Times New Roman" w:eastAsia="宋体" w:cs="Times New Roman"/>
                <w:kern w:val="2"/>
                <w:sz w:val="21"/>
                <w:szCs w:val="24"/>
                <w:lang w:val="en-US" w:eastAsia="zh-CN" w:bidi="ar-SA"/>
              </w:rPr>
            </w:pPr>
          </w:p>
        </w:tc>
        <w:tc>
          <w:tcPr>
            <w:tcW w:w="7344" w:type="dxa"/>
            <w:gridSpan w:val="2"/>
            <w:vAlign w:val="top"/>
          </w:tcPr>
          <w:p>
            <w:pPr>
              <w:rPr>
                <w:color w:val="000000"/>
              </w:rPr>
            </w:pPr>
            <w:r>
              <w:rPr>
                <w:spacing w:val="-2"/>
              </w:rPr>
              <w:t>按照本</w:t>
            </w:r>
            <w:r>
              <w:rPr>
                <w:rFonts w:hint="eastAsia" w:eastAsia="宋体"/>
                <w:color w:val="000000"/>
              </w:rPr>
              <w:t>须知第5.1款的规定，招标人邀请所有投标人参加开标会。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64" w:type="dxa"/>
            <w:gridSpan w:val="4"/>
            <w:vAlign w:val="center"/>
          </w:tcPr>
          <w:p>
            <w:pPr>
              <w:rPr>
                <w:color w:val="000000"/>
              </w:rPr>
            </w:pPr>
            <w:r>
              <w:rPr>
                <w:color w:val="000000"/>
              </w:rPr>
              <w:t>10.</w:t>
            </w:r>
            <w:r>
              <w:rPr>
                <w:rFonts w:hint="eastAsia"/>
                <w:color w:val="000000"/>
                <w:lang w:val="en-US" w:eastAsia="zh-CN"/>
              </w:rPr>
              <w:t>4</w:t>
            </w:r>
            <w:r>
              <w:rPr>
                <w:rFonts w:hint="eastAsia"/>
                <w:color w:val="000000"/>
              </w:rPr>
              <w:t>中标公示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20" w:type="dxa"/>
            <w:gridSpan w:val="2"/>
            <w:vAlign w:val="center"/>
          </w:tcPr>
          <w:p>
            <w:pPr>
              <w:spacing w:line="312" w:lineRule="auto"/>
              <w:rPr>
                <w:color w:val="000000"/>
              </w:rPr>
            </w:pPr>
          </w:p>
        </w:tc>
        <w:tc>
          <w:tcPr>
            <w:tcW w:w="7344" w:type="dxa"/>
            <w:gridSpan w:val="2"/>
            <w:vAlign w:val="center"/>
          </w:tcPr>
          <w:p>
            <w:pPr>
              <w:spacing w:line="312" w:lineRule="auto"/>
              <w:rPr>
                <w:color w:val="000000"/>
              </w:rPr>
            </w:pPr>
            <w:r>
              <w:rPr>
                <w:rFonts w:hint="eastAsia"/>
                <w:color w:val="000000"/>
              </w:rPr>
              <w:t>依法必须进行招标的项目，招标人应当自收到评标报告之日起3日内公示中标候选人，公示期不得少于3日。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64" w:type="dxa"/>
            <w:gridSpan w:val="4"/>
            <w:vAlign w:val="center"/>
          </w:tcPr>
          <w:p>
            <w:pPr>
              <w:spacing w:line="312" w:lineRule="auto"/>
              <w:ind w:left="210" w:hanging="210" w:hangingChars="100"/>
              <w:rPr>
                <w:color w:val="000000"/>
              </w:rPr>
            </w:pPr>
            <w:r>
              <w:rPr>
                <w:rFonts w:hint="eastAsia"/>
                <w:color w:val="000000"/>
              </w:rPr>
              <w:t>10.</w:t>
            </w:r>
            <w:r>
              <w:rPr>
                <w:rFonts w:hint="eastAsia"/>
                <w:color w:val="000000"/>
                <w:lang w:val="en-US" w:eastAsia="zh-CN"/>
              </w:rPr>
              <w:t>5</w:t>
            </w:r>
            <w:r>
              <w:rPr>
                <w:rFonts w:hint="eastAsia"/>
                <w:color w:val="000000"/>
              </w:rPr>
              <w:t>知识产权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20" w:type="dxa"/>
            <w:gridSpan w:val="2"/>
            <w:vAlign w:val="center"/>
          </w:tcPr>
          <w:p>
            <w:pPr>
              <w:spacing w:line="312" w:lineRule="auto"/>
              <w:rPr>
                <w:color w:val="000000"/>
              </w:rPr>
            </w:pPr>
          </w:p>
        </w:tc>
        <w:tc>
          <w:tcPr>
            <w:tcW w:w="7344" w:type="dxa"/>
            <w:gridSpan w:val="2"/>
            <w:vAlign w:val="center"/>
          </w:tcPr>
          <w:p>
            <w:pPr>
              <w:spacing w:line="312" w:lineRule="auto"/>
              <w:rPr>
                <w:color w:val="000000"/>
              </w:rPr>
            </w:pPr>
            <w:r>
              <w:rPr>
                <w:rFonts w:hint="eastAsia"/>
                <w:color w:val="000000"/>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64" w:type="dxa"/>
            <w:gridSpan w:val="4"/>
            <w:vAlign w:val="top"/>
          </w:tcPr>
          <w:p>
            <w:pPr>
              <w:pStyle w:val="95"/>
              <w:spacing w:before="78" w:line="220" w:lineRule="auto"/>
              <w:rPr>
                <w:rFonts w:hint="eastAsia" w:ascii="Times New Roman" w:hAnsi="Times New Roman" w:eastAsia="宋体" w:cs="Times New Roman"/>
                <w:color w:val="000000"/>
                <w:kern w:val="2"/>
                <w:sz w:val="21"/>
                <w:szCs w:val="24"/>
                <w:lang w:val="en-US" w:eastAsia="en-US" w:bidi="ar-SA"/>
              </w:rPr>
            </w:pPr>
            <w:r>
              <w:rPr>
                <w:rFonts w:hint="eastAsia" w:ascii="Times New Roman" w:hAnsi="Times New Roman" w:eastAsia="宋体" w:cs="Times New Roman"/>
                <w:color w:val="000000"/>
                <w:kern w:val="2"/>
                <w:sz w:val="21"/>
                <w:szCs w:val="24"/>
                <w:lang w:val="en-US" w:eastAsia="zh-CN" w:bidi="ar-SA"/>
              </w:rPr>
              <w:t>10.6重新招标的其他情形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20" w:type="dxa"/>
            <w:gridSpan w:val="2"/>
            <w:vAlign w:val="top"/>
          </w:tcPr>
          <w:p>
            <w:pPr>
              <w:rPr>
                <w:rFonts w:hint="eastAsia" w:eastAsia="宋体"/>
                <w:color w:val="000000"/>
                <w:lang w:val="en-US" w:eastAsia="zh-CN"/>
              </w:rPr>
            </w:pPr>
          </w:p>
        </w:tc>
        <w:tc>
          <w:tcPr>
            <w:tcW w:w="7344" w:type="dxa"/>
            <w:gridSpan w:val="2"/>
            <w:vAlign w:val="top"/>
          </w:tcPr>
          <w:p>
            <w:pPr>
              <w:rPr>
                <w:rFonts w:hint="eastAsia" w:eastAsia="宋体"/>
                <w:color w:val="000000"/>
                <w:lang w:val="en-US" w:eastAsia="en-US"/>
              </w:rPr>
            </w:pPr>
            <w:r>
              <w:rPr>
                <w:rFonts w:hint="eastAsia" w:eastAsia="宋体"/>
                <w:color w:val="000000"/>
              </w:rPr>
              <w:t>除投标人须知正文第8条规定的情形外，除非已经产生中标候选人，在投标有效期内同意延长投标有效期的投标人少于3个的，招标人应当依法重新招标。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64" w:type="dxa"/>
            <w:gridSpan w:val="4"/>
            <w:vAlign w:val="center"/>
          </w:tcPr>
          <w:p>
            <w:pPr>
              <w:spacing w:line="312" w:lineRule="auto"/>
              <w:ind w:left="210" w:hanging="210" w:hangingChars="100"/>
              <w:rPr>
                <w:color w:val="000000"/>
              </w:rPr>
            </w:pPr>
            <w:r>
              <w:rPr>
                <w:rFonts w:hint="eastAsia"/>
                <w:color w:val="000000"/>
              </w:rPr>
              <w:t>10.</w:t>
            </w:r>
            <w:r>
              <w:rPr>
                <w:rFonts w:hint="eastAsia"/>
                <w:color w:val="000000"/>
                <w:lang w:val="en-US" w:eastAsia="zh-CN"/>
              </w:rPr>
              <w:t>7</w:t>
            </w:r>
            <w:r>
              <w:rPr>
                <w:rFonts w:hint="eastAsia"/>
                <w:color w:val="000000"/>
              </w:rPr>
              <w:t>同义词语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20" w:type="dxa"/>
            <w:gridSpan w:val="2"/>
            <w:vAlign w:val="center"/>
          </w:tcPr>
          <w:p>
            <w:pPr>
              <w:spacing w:line="312" w:lineRule="auto"/>
              <w:rPr>
                <w:color w:val="000000"/>
              </w:rPr>
            </w:pPr>
          </w:p>
        </w:tc>
        <w:tc>
          <w:tcPr>
            <w:tcW w:w="7344" w:type="dxa"/>
            <w:gridSpan w:val="2"/>
            <w:vAlign w:val="center"/>
          </w:tcPr>
          <w:p>
            <w:pPr>
              <w:rPr>
                <w:color w:val="000000"/>
              </w:rPr>
            </w:pPr>
            <w:r>
              <w:rPr>
                <w:rFonts w:hint="eastAsia"/>
                <w:color w:val="000000"/>
              </w:rPr>
              <w:t>构成招标文件组成部分的“通用合同条款</w:t>
            </w:r>
            <w:r>
              <w:rPr>
                <w:rFonts w:hint="eastAsia"/>
                <w:color w:val="000000"/>
                <w:lang w:eastAsia="zh-CN"/>
              </w:rPr>
              <w:t>”“</w:t>
            </w:r>
            <w:r>
              <w:rPr>
                <w:rFonts w:hint="eastAsia"/>
                <w:color w:val="000000"/>
              </w:rPr>
              <w:t>专用合同条款</w:t>
            </w:r>
            <w:r>
              <w:rPr>
                <w:rFonts w:hint="eastAsia"/>
                <w:color w:val="000000"/>
                <w:lang w:eastAsia="zh-CN"/>
              </w:rPr>
              <w:t>”“</w:t>
            </w:r>
            <w:r>
              <w:rPr>
                <w:rFonts w:hint="eastAsia"/>
                <w:color w:val="000000"/>
              </w:rPr>
              <w:t>技术标准和要求”和“工程量清单”等章节中出现的措辞“发包人”和“承包人”，在招标投标阶段应当分别按“招标人”和“投标人”进行理解。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64" w:type="dxa"/>
            <w:gridSpan w:val="4"/>
            <w:vAlign w:val="center"/>
          </w:tcPr>
          <w:p>
            <w:pPr>
              <w:spacing w:line="312" w:lineRule="auto"/>
              <w:ind w:left="210" w:hanging="210" w:hangingChars="100"/>
              <w:rPr>
                <w:color w:val="000000"/>
              </w:rPr>
            </w:pPr>
            <w:r>
              <w:rPr>
                <w:rFonts w:hint="eastAsia"/>
                <w:color w:val="000000"/>
              </w:rPr>
              <w:t>10.</w:t>
            </w:r>
            <w:r>
              <w:rPr>
                <w:rFonts w:hint="eastAsia"/>
                <w:color w:val="000000"/>
                <w:lang w:val="en-US" w:eastAsia="zh-CN"/>
              </w:rPr>
              <w:t>8</w:t>
            </w:r>
            <w:r>
              <w:rPr>
                <w:rFonts w:hint="eastAsia"/>
                <w:color w:val="000000"/>
              </w:rPr>
              <w:t>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20" w:type="dxa"/>
            <w:gridSpan w:val="2"/>
            <w:vAlign w:val="center"/>
          </w:tcPr>
          <w:p>
            <w:pPr>
              <w:spacing w:line="312" w:lineRule="auto"/>
              <w:rPr>
                <w:color w:val="000000"/>
              </w:rPr>
            </w:pPr>
          </w:p>
        </w:tc>
        <w:tc>
          <w:tcPr>
            <w:tcW w:w="7344" w:type="dxa"/>
            <w:gridSpan w:val="2"/>
            <w:vAlign w:val="center"/>
          </w:tcPr>
          <w:p>
            <w:pPr>
              <w:rPr>
                <w:color w:val="000000"/>
              </w:rPr>
            </w:pPr>
            <w:r>
              <w:rPr>
                <w:rFonts w:hint="eastAsia"/>
                <w:color w:val="000000"/>
              </w:rPr>
              <w:t>本项目的招标投标活动及其相关当事人应当接受有管辖权的建设工程招标投标行政监督部门依法实施的监督。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64" w:type="dxa"/>
            <w:gridSpan w:val="4"/>
            <w:vAlign w:val="center"/>
          </w:tcPr>
          <w:p>
            <w:pPr>
              <w:spacing w:line="312" w:lineRule="auto"/>
              <w:ind w:left="210" w:hanging="210" w:hangingChars="100"/>
              <w:rPr>
                <w:color w:val="000000"/>
              </w:rPr>
            </w:pPr>
            <w:r>
              <w:rPr>
                <w:rFonts w:hint="eastAsia"/>
                <w:color w:val="000000"/>
              </w:rPr>
              <w:t>10.</w:t>
            </w:r>
            <w:r>
              <w:rPr>
                <w:rFonts w:hint="eastAsia"/>
                <w:color w:val="000000"/>
                <w:lang w:val="en-US" w:eastAsia="zh-CN"/>
              </w:rPr>
              <w:t>9</w:t>
            </w:r>
            <w:r>
              <w:rPr>
                <w:rFonts w:hint="eastAsia"/>
                <w:color w:val="000000"/>
              </w:rPr>
              <w:t>解释权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20" w:type="dxa"/>
            <w:gridSpan w:val="2"/>
            <w:vAlign w:val="center"/>
          </w:tcPr>
          <w:p>
            <w:pPr>
              <w:spacing w:line="312" w:lineRule="auto"/>
              <w:rPr>
                <w:color w:val="000000"/>
              </w:rPr>
            </w:pPr>
          </w:p>
        </w:tc>
        <w:tc>
          <w:tcPr>
            <w:tcW w:w="7344" w:type="dxa"/>
            <w:gridSpan w:val="2"/>
            <w:vAlign w:val="center"/>
          </w:tcPr>
          <w:p>
            <w:pPr>
              <w:spacing w:line="312" w:lineRule="auto"/>
              <w:rPr>
                <w:color w:val="000000"/>
              </w:rPr>
            </w:pPr>
            <w:r>
              <w:rPr>
                <w:rFonts w:hint="eastAsia"/>
                <w:color w:val="000000"/>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负责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64" w:type="dxa"/>
            <w:gridSpan w:val="4"/>
            <w:vAlign w:val="center"/>
          </w:tcPr>
          <w:p>
            <w:pPr>
              <w:rPr>
                <w:color w:val="000000"/>
              </w:rPr>
            </w:pPr>
            <w:r>
              <w:rPr>
                <w:spacing w:val="-2"/>
              </w:rPr>
              <w:t>10.10投标报价要求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20" w:type="dxa"/>
            <w:gridSpan w:val="2"/>
            <w:vAlign w:val="center"/>
          </w:tcPr>
          <w:p>
            <w:pPr>
              <w:spacing w:line="312" w:lineRule="auto"/>
              <w:jc w:val="center"/>
              <w:rPr>
                <w:color w:val="000000"/>
              </w:rPr>
            </w:pPr>
            <w:r>
              <w:rPr>
                <w:rFonts w:hint="eastAsia"/>
                <w:color w:val="000000"/>
              </w:rPr>
              <w:t>10.</w:t>
            </w:r>
            <w:r>
              <w:rPr>
                <w:rFonts w:hint="eastAsia"/>
                <w:color w:val="000000"/>
                <w:lang w:val="en-US" w:eastAsia="zh-CN"/>
              </w:rPr>
              <w:t>10</w:t>
            </w:r>
            <w:r>
              <w:rPr>
                <w:rFonts w:hint="eastAsia"/>
                <w:color w:val="000000"/>
              </w:rPr>
              <w:t>.1</w:t>
            </w:r>
          </w:p>
        </w:tc>
        <w:tc>
          <w:tcPr>
            <w:tcW w:w="7344" w:type="dxa"/>
            <w:gridSpan w:val="2"/>
            <w:vAlign w:val="center"/>
          </w:tcPr>
          <w:p>
            <w:pPr>
              <w:spacing w:line="312" w:lineRule="auto"/>
              <w:rPr>
                <w:rFonts w:hint="eastAsia" w:ascii="宋体" w:hAnsi="宋体"/>
                <w:color w:val="000000"/>
                <w:szCs w:val="21"/>
              </w:rPr>
            </w:pPr>
            <w:r>
              <w:rPr>
                <w:rFonts w:hint="eastAsia" w:ascii="宋体" w:hAnsi="宋体"/>
                <w:color w:val="000000"/>
                <w:szCs w:val="21"/>
              </w:rPr>
              <w:t>工程建设项目结构：投标人工程建设项目结构应与招标文件一致；</w:t>
            </w:r>
          </w:p>
          <w:p>
            <w:pPr>
              <w:spacing w:line="312" w:lineRule="auto"/>
              <w:rPr>
                <w:rFonts w:hint="eastAsia" w:ascii="宋体" w:hAnsi="宋体"/>
                <w:color w:val="000000"/>
                <w:szCs w:val="21"/>
              </w:rPr>
            </w:pPr>
            <w:r>
              <w:rPr>
                <w:rFonts w:hint="eastAsia" w:ascii="宋体" w:hAnsi="宋体"/>
                <w:color w:val="000000"/>
                <w:szCs w:val="21"/>
              </w:rPr>
              <w:t>工程量清单：工程量清单中项目编码、项目名称、项目特征、计量单位、工程数量应与招标文件提供的一致；</w:t>
            </w:r>
          </w:p>
          <w:p>
            <w:pPr>
              <w:spacing w:line="312" w:lineRule="auto"/>
              <w:rPr>
                <w:rFonts w:hint="eastAsia" w:ascii="宋体" w:hAnsi="宋体"/>
                <w:color w:val="000000"/>
                <w:szCs w:val="21"/>
              </w:rPr>
            </w:pPr>
            <w:r>
              <w:rPr>
                <w:rFonts w:hint="eastAsia" w:ascii="宋体" w:hAnsi="宋体"/>
                <w:color w:val="000000"/>
                <w:szCs w:val="21"/>
              </w:rPr>
              <w:t>主要材料：投标人所填报的主材序号、主材编码、主材名称应与招标文件一致；</w:t>
            </w:r>
          </w:p>
          <w:p>
            <w:pPr>
              <w:spacing w:line="312" w:lineRule="auto"/>
              <w:rPr>
                <w:rFonts w:hint="eastAsia" w:ascii="宋体" w:hAnsi="宋体"/>
                <w:color w:val="000000"/>
                <w:szCs w:val="21"/>
              </w:rPr>
            </w:pPr>
            <w:r>
              <w:rPr>
                <w:rFonts w:hint="eastAsia" w:ascii="宋体" w:hAnsi="宋体"/>
                <w:color w:val="000000"/>
                <w:szCs w:val="21"/>
              </w:rPr>
              <w:t>不可竞争费：投标报价中不可竞争费用项目、费率计算应与招标文件一致；</w:t>
            </w:r>
          </w:p>
          <w:p>
            <w:pPr>
              <w:spacing w:line="312" w:lineRule="auto"/>
              <w:rPr>
                <w:rFonts w:hint="eastAsia" w:ascii="宋体" w:hAnsi="宋体"/>
                <w:color w:val="000000"/>
                <w:szCs w:val="21"/>
              </w:rPr>
            </w:pPr>
            <w:r>
              <w:rPr>
                <w:rFonts w:hint="eastAsia" w:ascii="宋体" w:hAnsi="宋体"/>
                <w:color w:val="000000"/>
                <w:szCs w:val="21"/>
              </w:rPr>
              <w:t>专业工程暂估价、暂列金额：投标人报价中专业工程暂估价和暂列金额应与招标文件一致；</w:t>
            </w:r>
          </w:p>
          <w:p>
            <w:pPr>
              <w:spacing w:line="312" w:lineRule="auto"/>
              <w:rPr>
                <w:rFonts w:hint="eastAsia" w:ascii="宋体" w:hAnsi="宋体"/>
                <w:color w:val="000000"/>
                <w:szCs w:val="21"/>
              </w:rPr>
            </w:pPr>
            <w:r>
              <w:rPr>
                <w:rFonts w:hint="eastAsia" w:ascii="宋体" w:hAnsi="宋体"/>
                <w:color w:val="000000"/>
                <w:szCs w:val="21"/>
              </w:rPr>
              <w:t>人工工资单价：投标报价中最终体现的人工工资单价不得低于省住房和城乡建设厅发布的人工工资单价。</w:t>
            </w:r>
          </w:p>
          <w:p>
            <w:pPr>
              <w:spacing w:line="312" w:lineRule="auto"/>
              <w:rPr>
                <w:rFonts w:ascii="宋体" w:hAnsi="宋体"/>
                <w:color w:val="000000"/>
                <w:szCs w:val="21"/>
              </w:rPr>
            </w:pPr>
            <w:r>
              <w:rPr>
                <w:rFonts w:hint="eastAsia" w:ascii="宋体" w:hAnsi="宋体"/>
                <w:color w:val="000000"/>
                <w:szCs w:val="21"/>
              </w:rPr>
              <w:t>投标人已标价的工程量清单：需提交符合海南省工程清单数据接口文件要求的清单数据文件。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20" w:type="dxa"/>
            <w:gridSpan w:val="2"/>
            <w:vAlign w:val="center"/>
          </w:tcPr>
          <w:p>
            <w:pPr>
              <w:spacing w:line="312" w:lineRule="auto"/>
              <w:jc w:val="center"/>
              <w:rPr>
                <w:color w:val="000000"/>
              </w:rPr>
            </w:pPr>
            <w:permStart w:id="132" w:edGrp="everyone" w:colFirst="0" w:colLast="0"/>
            <w:permStart w:id="133" w:edGrp="everyone" w:colFirst="1" w:colLast="1"/>
            <w:permStart w:id="134" w:edGrp="everyone" w:colFirst="2" w:colLast="2"/>
          </w:p>
        </w:tc>
        <w:tc>
          <w:tcPr>
            <w:tcW w:w="7344" w:type="dxa"/>
            <w:gridSpan w:val="2"/>
            <w:vAlign w:val="center"/>
          </w:tcPr>
          <w:p>
            <w:pPr>
              <w:rPr>
                <w:color w:val="000000"/>
              </w:rPr>
            </w:pPr>
            <w:r>
              <w:rPr>
                <w:rFonts w:hint="eastAsia"/>
                <w:color w:val="000000"/>
              </w:rPr>
              <w:t xml:space="preserve"> </w:t>
            </w:r>
          </w:p>
        </w:tc>
      </w:tr>
      <w:permEnd w:id="132"/>
      <w:permEnd w:id="133"/>
      <w:permEnd w:id="134"/>
    </w:tbl>
    <w:p>
      <w:pPr>
        <w:spacing w:before="312" w:beforeLines="100"/>
        <w:rPr>
          <w:rFonts w:ascii="黑体" w:eastAsia="黑体"/>
          <w:color w:val="000000"/>
          <w:sz w:val="28"/>
          <w:szCs w:val="28"/>
        </w:rPr>
      </w:pPr>
      <w:r>
        <w:rPr>
          <w:rFonts w:hint="eastAsia" w:ascii="黑体" w:eastAsia="黑体"/>
          <w:color w:val="000000"/>
        </w:rPr>
        <w:br w:type="page"/>
      </w:r>
      <w:r>
        <w:rPr>
          <w:rFonts w:hint="eastAsia" w:ascii="黑体" w:eastAsia="黑体"/>
          <w:color w:val="000000"/>
          <w:sz w:val="28"/>
          <w:szCs w:val="28"/>
        </w:rPr>
        <w:t>投标人须知正文部分</w:t>
      </w:r>
    </w:p>
    <w:p>
      <w:pPr>
        <w:spacing w:before="312" w:beforeLines="100" w:after="249" w:afterLines="80" w:line="380" w:lineRule="exact"/>
        <w:outlineLvl w:val="2"/>
        <w:rPr>
          <w:rFonts w:ascii="黑体" w:hAnsi="宋体" w:eastAsia="黑体"/>
          <w:color w:val="000000"/>
          <w:sz w:val="24"/>
        </w:rPr>
      </w:pPr>
      <w:bookmarkStart w:id="30" w:name="_Toc152045529"/>
      <w:bookmarkStart w:id="31" w:name="_Toc144974497"/>
      <w:bookmarkStart w:id="32" w:name="_Toc295812176"/>
      <w:bookmarkStart w:id="33" w:name="_Toc179632546"/>
      <w:bookmarkStart w:id="34" w:name="_Toc152042305"/>
      <w:bookmarkStart w:id="35" w:name="_Toc114222730"/>
      <w:r>
        <w:rPr>
          <w:rFonts w:hint="eastAsia" w:ascii="黑体" w:hAnsi="宋体" w:eastAsia="黑体"/>
          <w:color w:val="000000"/>
          <w:sz w:val="24"/>
        </w:rPr>
        <w:t>1. 总则</w:t>
      </w:r>
      <w:bookmarkEnd w:id="30"/>
      <w:bookmarkEnd w:id="31"/>
      <w:bookmarkEnd w:id="32"/>
      <w:bookmarkEnd w:id="33"/>
      <w:bookmarkEnd w:id="34"/>
      <w:bookmarkEnd w:id="35"/>
    </w:p>
    <w:p>
      <w:pPr>
        <w:rPr>
          <w:rFonts w:ascii="黑体" w:eastAsia="黑体"/>
          <w:color w:val="000000"/>
          <w:sz w:val="24"/>
        </w:rPr>
      </w:pPr>
      <w:bookmarkStart w:id="36" w:name="_Toc152042306"/>
      <w:bookmarkStart w:id="37" w:name="_Toc179632547"/>
      <w:bookmarkStart w:id="38" w:name="_Toc144974498"/>
      <w:bookmarkStart w:id="39" w:name="_Toc152045530"/>
      <w:r>
        <w:rPr>
          <w:rFonts w:hint="eastAsia" w:ascii="黑体" w:eastAsia="黑体"/>
          <w:color w:val="000000"/>
          <w:sz w:val="24"/>
        </w:rPr>
        <w:t>1.1 项目概况</w:t>
      </w:r>
      <w:bookmarkEnd w:id="36"/>
      <w:bookmarkEnd w:id="37"/>
      <w:bookmarkEnd w:id="38"/>
      <w:bookmarkEnd w:id="39"/>
    </w:p>
    <w:p>
      <w:pPr>
        <w:spacing w:line="400" w:lineRule="exact"/>
        <w:ind w:firstLine="420" w:firstLineChars="200"/>
        <w:rPr>
          <w:color w:val="000000"/>
        </w:rPr>
      </w:pPr>
      <w:r>
        <w:rPr>
          <w:rFonts w:hint="eastAsia"/>
          <w:color w:val="000000"/>
        </w:rPr>
        <w:t>1.1.1根据《中华人民共和国招标投标法》等有关法律、法规和规章的规定，本招标项目已具备招标条件，现对本标段施工进行招标。</w:t>
      </w:r>
    </w:p>
    <w:p>
      <w:pPr>
        <w:spacing w:line="400" w:lineRule="exact"/>
        <w:ind w:firstLine="420" w:firstLineChars="200"/>
        <w:rPr>
          <w:color w:val="000000"/>
        </w:rPr>
      </w:pPr>
      <w:r>
        <w:rPr>
          <w:rFonts w:hint="eastAsia"/>
          <w:color w:val="000000"/>
        </w:rPr>
        <w:t>1.1.2 本招标项目招标人：见投标人须知前附表。</w:t>
      </w:r>
    </w:p>
    <w:p>
      <w:pPr>
        <w:spacing w:line="400" w:lineRule="exact"/>
        <w:ind w:firstLine="420" w:firstLineChars="200"/>
        <w:rPr>
          <w:color w:val="000000"/>
        </w:rPr>
      </w:pPr>
      <w:r>
        <w:rPr>
          <w:rFonts w:hint="eastAsia"/>
          <w:color w:val="000000"/>
        </w:rPr>
        <w:t>1.1.3 本标段招标代理机构：见投标人须知前附表。</w:t>
      </w:r>
    </w:p>
    <w:p>
      <w:pPr>
        <w:spacing w:line="400" w:lineRule="exact"/>
        <w:ind w:firstLine="420" w:firstLineChars="200"/>
        <w:rPr>
          <w:color w:val="000000"/>
        </w:rPr>
      </w:pPr>
      <w:r>
        <w:rPr>
          <w:rFonts w:hint="eastAsia"/>
          <w:color w:val="000000"/>
        </w:rPr>
        <w:t>1.1.4 本招标项目名称：见投标人须知前附表。</w:t>
      </w:r>
    </w:p>
    <w:p>
      <w:pPr>
        <w:spacing w:line="400" w:lineRule="exact"/>
        <w:ind w:firstLine="420" w:firstLineChars="200"/>
        <w:rPr>
          <w:color w:val="000000"/>
        </w:rPr>
      </w:pPr>
      <w:r>
        <w:rPr>
          <w:rFonts w:hint="eastAsia"/>
          <w:color w:val="000000"/>
        </w:rPr>
        <w:t>1.1.5 本标段建设地点：见投标人须知前附表。</w:t>
      </w:r>
    </w:p>
    <w:p>
      <w:pPr>
        <w:rPr>
          <w:rFonts w:ascii="黑体" w:eastAsia="黑体"/>
          <w:color w:val="000000"/>
          <w:sz w:val="24"/>
        </w:rPr>
      </w:pPr>
      <w:bookmarkStart w:id="40" w:name="_Toc152045531"/>
      <w:bookmarkStart w:id="41" w:name="_Toc144974499"/>
      <w:bookmarkStart w:id="42" w:name="_Toc179632548"/>
      <w:bookmarkStart w:id="43" w:name="_Toc152042307"/>
      <w:r>
        <w:rPr>
          <w:rFonts w:hint="eastAsia" w:ascii="黑体" w:eastAsia="黑体"/>
          <w:color w:val="000000"/>
          <w:sz w:val="24"/>
        </w:rPr>
        <w:t>1.2 资金来源和落实情况</w:t>
      </w:r>
      <w:bookmarkEnd w:id="40"/>
      <w:bookmarkEnd w:id="41"/>
      <w:bookmarkEnd w:id="42"/>
      <w:bookmarkEnd w:id="43"/>
    </w:p>
    <w:p>
      <w:pPr>
        <w:spacing w:line="400" w:lineRule="exact"/>
        <w:ind w:firstLine="420" w:firstLineChars="200"/>
        <w:rPr>
          <w:color w:val="000000"/>
        </w:rPr>
      </w:pPr>
      <w:r>
        <w:rPr>
          <w:rFonts w:hint="eastAsia"/>
          <w:color w:val="000000"/>
        </w:rPr>
        <w:t>1.2.1 本招标项目的资金来源：见投标人须知前附表。</w:t>
      </w:r>
    </w:p>
    <w:p>
      <w:pPr>
        <w:spacing w:line="400" w:lineRule="exact"/>
        <w:ind w:firstLine="420" w:firstLineChars="200"/>
        <w:rPr>
          <w:color w:val="000000"/>
        </w:rPr>
      </w:pPr>
      <w:r>
        <w:rPr>
          <w:rFonts w:hint="eastAsia"/>
          <w:color w:val="000000"/>
        </w:rPr>
        <w:t>1.2.2 本招标项目的出资比例：见投标人须知前附表。</w:t>
      </w:r>
    </w:p>
    <w:p>
      <w:pPr>
        <w:spacing w:line="400" w:lineRule="exact"/>
        <w:ind w:firstLine="420" w:firstLineChars="200"/>
        <w:rPr>
          <w:color w:val="000000"/>
        </w:rPr>
      </w:pPr>
      <w:r>
        <w:rPr>
          <w:rFonts w:hint="eastAsia"/>
          <w:color w:val="000000"/>
        </w:rPr>
        <w:t>1.2.3 本招标项目的资金落实情况：见投标人须知前附表。</w:t>
      </w:r>
    </w:p>
    <w:p>
      <w:pPr>
        <w:rPr>
          <w:rFonts w:ascii="黑体" w:eastAsia="黑体"/>
          <w:color w:val="000000"/>
          <w:sz w:val="24"/>
        </w:rPr>
      </w:pPr>
      <w:bookmarkStart w:id="44" w:name="_Toc144974500"/>
      <w:bookmarkStart w:id="45" w:name="_Toc179632549"/>
      <w:bookmarkStart w:id="46" w:name="_Toc152042308"/>
      <w:bookmarkStart w:id="47" w:name="_Toc152045532"/>
      <w:r>
        <w:rPr>
          <w:rFonts w:hint="eastAsia" w:ascii="黑体" w:eastAsia="黑体"/>
          <w:color w:val="000000"/>
          <w:sz w:val="24"/>
        </w:rPr>
        <w:t>1.3 招标范围、计划工期和质量要求</w:t>
      </w:r>
      <w:bookmarkEnd w:id="44"/>
      <w:bookmarkEnd w:id="45"/>
      <w:bookmarkEnd w:id="46"/>
      <w:bookmarkEnd w:id="47"/>
    </w:p>
    <w:p>
      <w:pPr>
        <w:spacing w:line="400" w:lineRule="exact"/>
        <w:ind w:firstLine="420" w:firstLineChars="200"/>
        <w:rPr>
          <w:color w:val="000000"/>
        </w:rPr>
      </w:pPr>
      <w:r>
        <w:rPr>
          <w:rFonts w:hint="eastAsia"/>
          <w:color w:val="000000"/>
        </w:rPr>
        <w:t>1.3.1 本次招标范围：见投标人须知前附表。</w:t>
      </w:r>
    </w:p>
    <w:p>
      <w:pPr>
        <w:spacing w:line="400" w:lineRule="exact"/>
        <w:ind w:firstLine="420" w:firstLineChars="200"/>
        <w:rPr>
          <w:color w:val="000000"/>
        </w:rPr>
      </w:pPr>
      <w:r>
        <w:rPr>
          <w:rFonts w:hint="eastAsia"/>
          <w:color w:val="000000"/>
        </w:rPr>
        <w:t>1.3.2 本标段的计划工期：见投标人须知前附表。</w:t>
      </w:r>
    </w:p>
    <w:p>
      <w:pPr>
        <w:spacing w:line="400" w:lineRule="exact"/>
        <w:ind w:firstLine="420" w:firstLineChars="200"/>
        <w:rPr>
          <w:color w:val="000000"/>
        </w:rPr>
      </w:pPr>
      <w:r>
        <w:rPr>
          <w:rFonts w:hint="eastAsia"/>
          <w:color w:val="000000"/>
        </w:rPr>
        <w:t>1.3.3 本标段的质量要求：见投标人须知前附表。</w:t>
      </w:r>
    </w:p>
    <w:p>
      <w:pPr>
        <w:rPr>
          <w:rFonts w:ascii="黑体" w:eastAsia="黑体"/>
          <w:color w:val="000000"/>
          <w:sz w:val="24"/>
        </w:rPr>
      </w:pPr>
      <w:bookmarkStart w:id="48" w:name="_Toc152042310"/>
      <w:bookmarkStart w:id="49" w:name="_Toc144974502"/>
      <w:bookmarkStart w:id="50" w:name="_Toc152045534"/>
      <w:bookmarkStart w:id="51" w:name="_Toc179632551"/>
      <w:r>
        <w:rPr>
          <w:rFonts w:hint="eastAsia" w:ascii="黑体" w:eastAsia="黑体"/>
          <w:color w:val="000000"/>
          <w:sz w:val="24"/>
        </w:rPr>
        <w:t>1.4 投标人资格要求</w:t>
      </w:r>
      <w:bookmarkEnd w:id="48"/>
      <w:bookmarkEnd w:id="49"/>
      <w:bookmarkEnd w:id="50"/>
      <w:bookmarkEnd w:id="51"/>
    </w:p>
    <w:p>
      <w:pPr>
        <w:spacing w:line="400" w:lineRule="exact"/>
        <w:ind w:firstLine="420" w:firstLineChars="200"/>
        <w:rPr>
          <w:color w:val="000000"/>
        </w:rPr>
      </w:pPr>
      <w:r>
        <w:rPr>
          <w:rFonts w:hint="eastAsia"/>
          <w:color w:val="000000"/>
        </w:rPr>
        <w:t>1.4.1投标人应具备承担本标段施工的资质条件</w:t>
      </w:r>
      <w:r>
        <w:rPr>
          <w:rFonts w:hint="eastAsia"/>
          <w:color w:val="000000"/>
          <w:lang w:eastAsia="zh-CN"/>
        </w:rPr>
        <w:t>、</w:t>
      </w:r>
      <w:r>
        <w:rPr>
          <w:rFonts w:hint="eastAsia"/>
          <w:color w:val="000000"/>
        </w:rPr>
        <w:t>企业诚信。</w:t>
      </w:r>
    </w:p>
    <w:p>
      <w:pPr>
        <w:spacing w:line="400" w:lineRule="exact"/>
        <w:ind w:firstLine="718" w:firstLineChars="342"/>
        <w:rPr>
          <w:color w:val="000000"/>
        </w:rPr>
      </w:pPr>
      <w:r>
        <w:rPr>
          <w:rFonts w:hint="eastAsia"/>
          <w:color w:val="000000"/>
        </w:rPr>
        <w:t>（1）资质条件：见投标人须知前附表；</w:t>
      </w:r>
    </w:p>
    <w:p>
      <w:pPr>
        <w:spacing w:line="400" w:lineRule="exact"/>
        <w:ind w:firstLine="718" w:firstLineChars="342"/>
        <w:rPr>
          <w:color w:val="000000"/>
        </w:rPr>
      </w:pPr>
      <w:r>
        <w:rPr>
          <w:rFonts w:hint="eastAsia"/>
          <w:color w:val="000000"/>
        </w:rPr>
        <w:t>（2）企业诚信要求：见投标人须知前附表</w:t>
      </w:r>
      <w:r>
        <w:rPr>
          <w:rFonts w:hint="eastAsia"/>
          <w:color w:val="000000"/>
          <w:lang w:eastAsia="zh-CN"/>
        </w:rPr>
        <w:t>；</w:t>
      </w:r>
    </w:p>
    <w:p>
      <w:pPr>
        <w:spacing w:line="400" w:lineRule="exact"/>
        <w:ind w:firstLine="735" w:firstLineChars="350"/>
        <w:rPr>
          <w:color w:val="000000"/>
        </w:rPr>
      </w:pPr>
      <w:r>
        <w:rPr>
          <w:rFonts w:hint="eastAsia"/>
          <w:color w:val="000000"/>
        </w:rPr>
        <w:t>（3）项目负责人（项目经理）资格：见投标人须知前附表；</w:t>
      </w:r>
    </w:p>
    <w:p>
      <w:pPr>
        <w:spacing w:line="400" w:lineRule="exact"/>
        <w:ind w:firstLine="735" w:firstLineChars="350"/>
        <w:rPr>
          <w:color w:val="000000"/>
        </w:rPr>
      </w:pPr>
      <w:r>
        <w:rPr>
          <w:rFonts w:hint="eastAsia"/>
          <w:color w:val="000000"/>
        </w:rPr>
        <w:t>（4）其他要求：见投标人须知前附表。</w:t>
      </w:r>
    </w:p>
    <w:p>
      <w:pPr>
        <w:spacing w:line="400" w:lineRule="exact"/>
        <w:ind w:firstLine="420" w:firstLineChars="200"/>
        <w:rPr>
          <w:color w:val="000000"/>
        </w:rPr>
      </w:pPr>
      <w:r>
        <w:rPr>
          <w:rFonts w:hint="eastAsia"/>
          <w:color w:val="000000"/>
        </w:rPr>
        <w:t>1.4.2 投标人须知前附表规定接受联合体投标的，除应符合本章第1.4.1项和投标人须知前附表的要求外，还应遵守以下规定：</w:t>
      </w:r>
    </w:p>
    <w:p>
      <w:pPr>
        <w:ind w:firstLine="600"/>
        <w:rPr>
          <w:rFonts w:ascii="宋体" w:hAnsi="宋体"/>
          <w:color w:val="000000"/>
          <w:szCs w:val="21"/>
        </w:rPr>
      </w:pPr>
      <w:r>
        <w:rPr>
          <w:rFonts w:hint="eastAsia" w:ascii="宋体" w:hAnsi="宋体"/>
          <w:color w:val="000000"/>
          <w:szCs w:val="21"/>
        </w:rPr>
        <w:t>（1）提交联合体各成员单位共同签订的共同投标协议，明确各成员单位各自的权利和义务以及应当承担的责任，同时载明联合体各成员单位的具体工作分工；</w:t>
      </w:r>
    </w:p>
    <w:p>
      <w:pPr>
        <w:ind w:firstLine="600"/>
        <w:rPr>
          <w:rFonts w:ascii="宋体" w:hAnsi="宋体"/>
          <w:color w:val="000000"/>
          <w:szCs w:val="21"/>
        </w:rPr>
      </w:pPr>
      <w:r>
        <w:rPr>
          <w:rFonts w:hint="eastAsia" w:ascii="宋体" w:hAnsi="宋体"/>
          <w:color w:val="000000"/>
          <w:szCs w:val="21"/>
        </w:rPr>
        <w:t>（2）联合体各成员单位应当具备与联合体协议中约定的分工相适应的施工资质或资格以及施工能力；</w:t>
      </w:r>
    </w:p>
    <w:p>
      <w:pPr>
        <w:ind w:firstLine="600"/>
        <w:rPr>
          <w:rFonts w:ascii="宋体" w:hAnsi="宋体"/>
          <w:color w:val="000000"/>
          <w:szCs w:val="21"/>
        </w:rPr>
      </w:pPr>
      <w:r>
        <w:rPr>
          <w:rFonts w:hint="eastAsia" w:ascii="宋体" w:hAnsi="宋体"/>
          <w:color w:val="000000"/>
          <w:szCs w:val="21"/>
        </w:rPr>
        <w:t>（3）联合体各方签订共同投标协议后，不得再以自己名义单独或者以其他联合体成员的名义参加同一项目的投标。</w:t>
      </w:r>
    </w:p>
    <w:p>
      <w:pPr>
        <w:spacing w:line="400" w:lineRule="exact"/>
        <w:ind w:firstLine="567" w:firstLineChars="270"/>
        <w:rPr>
          <w:color w:val="000000"/>
        </w:rPr>
      </w:pPr>
      <w:r>
        <w:rPr>
          <w:rFonts w:hint="eastAsia"/>
          <w:color w:val="000000"/>
        </w:rPr>
        <w:t>（4）由同一专业的单位组成的联合体，按照资质等级较低的单位确定资质等级；</w:t>
      </w:r>
    </w:p>
    <w:p>
      <w:pPr>
        <w:spacing w:line="400" w:lineRule="exact"/>
        <w:ind w:firstLine="420" w:firstLineChars="200"/>
        <w:rPr>
          <w:color w:val="000000"/>
        </w:rPr>
      </w:pPr>
      <w:r>
        <w:rPr>
          <w:rFonts w:hint="eastAsia"/>
          <w:color w:val="000000"/>
        </w:rPr>
        <w:t>1.4.3 投标人不得存在下列情形之一：</w:t>
      </w:r>
    </w:p>
    <w:p>
      <w:pPr>
        <w:spacing w:line="400" w:lineRule="exact"/>
        <w:ind w:firstLine="718" w:firstLineChars="342"/>
        <w:rPr>
          <w:color w:val="000000"/>
        </w:rPr>
      </w:pPr>
      <w:r>
        <w:rPr>
          <w:rFonts w:hint="eastAsia"/>
          <w:color w:val="000000"/>
        </w:rPr>
        <w:t>（1）为招标人不具有独立法人资格的附属机构（单位）；</w:t>
      </w:r>
    </w:p>
    <w:p>
      <w:pPr>
        <w:spacing w:line="400" w:lineRule="exact"/>
        <w:ind w:firstLine="718" w:firstLineChars="342"/>
        <w:rPr>
          <w:color w:val="000000"/>
        </w:rPr>
      </w:pPr>
      <w:r>
        <w:rPr>
          <w:rFonts w:hint="eastAsia"/>
          <w:color w:val="000000"/>
        </w:rPr>
        <w:t>（2）为本标段前期准备提供设计或咨询服务的，但设计施工总承包的除外；</w:t>
      </w:r>
    </w:p>
    <w:p>
      <w:pPr>
        <w:spacing w:line="400" w:lineRule="exact"/>
        <w:ind w:firstLine="718" w:firstLineChars="342"/>
        <w:rPr>
          <w:color w:val="000000"/>
        </w:rPr>
      </w:pPr>
      <w:r>
        <w:rPr>
          <w:rFonts w:hint="eastAsia"/>
          <w:color w:val="000000"/>
        </w:rPr>
        <w:t>（3）为本标段的监理人；</w:t>
      </w:r>
    </w:p>
    <w:p>
      <w:pPr>
        <w:spacing w:line="400" w:lineRule="exact"/>
        <w:ind w:firstLine="718" w:firstLineChars="342"/>
        <w:rPr>
          <w:color w:val="000000"/>
        </w:rPr>
      </w:pPr>
      <w:r>
        <w:rPr>
          <w:rFonts w:hint="eastAsia"/>
          <w:color w:val="000000"/>
        </w:rPr>
        <w:t>（4）为本标段的代建人；</w:t>
      </w:r>
    </w:p>
    <w:p>
      <w:pPr>
        <w:spacing w:line="400" w:lineRule="exact"/>
        <w:ind w:firstLine="718" w:firstLineChars="342"/>
        <w:rPr>
          <w:color w:val="000000"/>
        </w:rPr>
      </w:pPr>
      <w:r>
        <w:rPr>
          <w:rFonts w:hint="eastAsia"/>
          <w:color w:val="000000"/>
        </w:rPr>
        <w:t>（5）为本标段提供招标代理服务的；</w:t>
      </w:r>
    </w:p>
    <w:p>
      <w:pPr>
        <w:spacing w:line="400" w:lineRule="exact"/>
        <w:ind w:firstLine="718" w:firstLineChars="342"/>
        <w:rPr>
          <w:color w:val="000000"/>
        </w:rPr>
      </w:pPr>
      <w:r>
        <w:rPr>
          <w:rFonts w:hint="eastAsia"/>
          <w:color w:val="000000"/>
        </w:rPr>
        <w:t>（6）与本标段的监理人或代建人或招标代理机构同为一个法定代表人的；</w:t>
      </w:r>
    </w:p>
    <w:p>
      <w:pPr>
        <w:spacing w:line="400" w:lineRule="exact"/>
        <w:ind w:firstLine="718" w:firstLineChars="342"/>
        <w:rPr>
          <w:color w:val="000000"/>
        </w:rPr>
      </w:pPr>
      <w:r>
        <w:rPr>
          <w:rFonts w:hint="eastAsia"/>
          <w:color w:val="000000"/>
        </w:rPr>
        <w:t>（7）与本标段的监理人或代建人或招标代理机构相互控股或参股的；</w:t>
      </w:r>
    </w:p>
    <w:p>
      <w:pPr>
        <w:spacing w:line="400" w:lineRule="exact"/>
        <w:ind w:firstLine="718" w:firstLineChars="342"/>
        <w:rPr>
          <w:color w:val="000000"/>
        </w:rPr>
      </w:pPr>
      <w:r>
        <w:rPr>
          <w:rFonts w:hint="eastAsia"/>
          <w:color w:val="000000"/>
        </w:rPr>
        <w:t>（8）与本标段的监理人或代建人或招标代理机构相互任职或工作的；</w:t>
      </w:r>
    </w:p>
    <w:p>
      <w:pPr>
        <w:spacing w:line="400" w:lineRule="exact"/>
        <w:ind w:firstLine="718" w:firstLineChars="342"/>
        <w:rPr>
          <w:color w:val="000000"/>
        </w:rPr>
      </w:pPr>
      <w:r>
        <w:rPr>
          <w:rFonts w:hint="eastAsia"/>
          <w:color w:val="000000"/>
        </w:rPr>
        <w:t>（9）被责令停业的；</w:t>
      </w:r>
    </w:p>
    <w:p>
      <w:pPr>
        <w:spacing w:line="400" w:lineRule="exact"/>
        <w:ind w:firstLine="718" w:firstLineChars="342"/>
        <w:rPr>
          <w:color w:val="000000"/>
        </w:rPr>
      </w:pPr>
      <w:r>
        <w:rPr>
          <w:rFonts w:hint="eastAsia"/>
          <w:color w:val="000000"/>
        </w:rPr>
        <w:t>（10）被暂停或取消投标资格的；</w:t>
      </w:r>
    </w:p>
    <w:p>
      <w:pPr>
        <w:spacing w:line="400" w:lineRule="exact"/>
        <w:ind w:firstLine="718" w:firstLineChars="342"/>
        <w:rPr>
          <w:color w:val="000000"/>
        </w:rPr>
      </w:pPr>
      <w:r>
        <w:rPr>
          <w:rFonts w:hint="eastAsia"/>
          <w:color w:val="000000"/>
        </w:rPr>
        <w:t>（11）财产被接管或冻结的；</w:t>
      </w:r>
    </w:p>
    <w:p>
      <w:pPr>
        <w:spacing w:line="400" w:lineRule="exact"/>
        <w:ind w:firstLine="718" w:firstLineChars="342"/>
        <w:rPr>
          <w:color w:val="000000"/>
        </w:rPr>
      </w:pPr>
      <w:r>
        <w:rPr>
          <w:rFonts w:hint="eastAsia"/>
          <w:color w:val="000000"/>
        </w:rPr>
        <w:t>（12）在最近三年内有骗取中标或严重违约或重大工程质量问题的。</w:t>
      </w:r>
    </w:p>
    <w:p>
      <w:pPr>
        <w:rPr>
          <w:rFonts w:ascii="黑体" w:eastAsia="黑体"/>
          <w:color w:val="000000"/>
          <w:sz w:val="24"/>
        </w:rPr>
      </w:pPr>
      <w:bookmarkStart w:id="52" w:name="_Toc144974503"/>
      <w:bookmarkStart w:id="53" w:name="_Toc152045535"/>
      <w:bookmarkStart w:id="54" w:name="_Toc179632552"/>
      <w:bookmarkStart w:id="55" w:name="_Toc152042311"/>
      <w:r>
        <w:rPr>
          <w:rFonts w:hint="eastAsia" w:ascii="黑体" w:eastAsia="黑体"/>
          <w:color w:val="000000"/>
          <w:sz w:val="24"/>
        </w:rPr>
        <w:t>1.5 费用承担</w:t>
      </w:r>
      <w:bookmarkEnd w:id="52"/>
      <w:bookmarkEnd w:id="53"/>
      <w:bookmarkEnd w:id="54"/>
      <w:bookmarkEnd w:id="55"/>
    </w:p>
    <w:p>
      <w:pPr>
        <w:spacing w:line="400" w:lineRule="exact"/>
        <w:ind w:firstLine="420" w:firstLineChars="200"/>
        <w:rPr>
          <w:color w:val="000000"/>
        </w:rPr>
      </w:pPr>
      <w:r>
        <w:rPr>
          <w:rFonts w:hint="eastAsia"/>
          <w:color w:val="000000"/>
        </w:rPr>
        <w:t>投标人准备和参加投标活动发生的费用自理。</w:t>
      </w:r>
    </w:p>
    <w:p>
      <w:pPr>
        <w:rPr>
          <w:rFonts w:ascii="黑体" w:eastAsia="黑体"/>
          <w:color w:val="000000"/>
          <w:sz w:val="24"/>
        </w:rPr>
      </w:pPr>
      <w:bookmarkStart w:id="56" w:name="_Toc152045536"/>
      <w:bookmarkStart w:id="57" w:name="_Toc179632553"/>
      <w:bookmarkStart w:id="58" w:name="_Toc152042312"/>
      <w:bookmarkStart w:id="59" w:name="_Toc144974504"/>
      <w:r>
        <w:rPr>
          <w:rFonts w:hint="eastAsia" w:ascii="黑体" w:eastAsia="黑体"/>
          <w:color w:val="000000"/>
          <w:sz w:val="24"/>
        </w:rPr>
        <w:t>1.6 保密</w:t>
      </w:r>
      <w:bookmarkEnd w:id="56"/>
      <w:bookmarkEnd w:id="57"/>
      <w:bookmarkEnd w:id="58"/>
      <w:bookmarkEnd w:id="59"/>
    </w:p>
    <w:p>
      <w:pPr>
        <w:spacing w:line="400" w:lineRule="exact"/>
        <w:ind w:firstLine="420" w:firstLineChars="200"/>
        <w:rPr>
          <w:color w:val="000000"/>
        </w:rPr>
      </w:pPr>
      <w:r>
        <w:rPr>
          <w:rFonts w:hint="eastAsia"/>
          <w:color w:val="000000"/>
        </w:rPr>
        <w:t>参与招标投标活动的各方应对招标文件和投标文件中的商业和技术等秘密保密，违者应对由此造成的后果承担法律责任。</w:t>
      </w:r>
    </w:p>
    <w:p>
      <w:pPr>
        <w:rPr>
          <w:rFonts w:ascii="黑体" w:eastAsia="黑体"/>
          <w:color w:val="000000"/>
          <w:sz w:val="24"/>
        </w:rPr>
      </w:pPr>
      <w:bookmarkStart w:id="60" w:name="_Toc144974505"/>
      <w:bookmarkStart w:id="61" w:name="_Toc152045537"/>
      <w:bookmarkStart w:id="62" w:name="_Toc152042313"/>
      <w:bookmarkStart w:id="63" w:name="_Toc179632554"/>
      <w:r>
        <w:rPr>
          <w:rFonts w:hint="eastAsia" w:ascii="黑体" w:eastAsia="黑体"/>
          <w:color w:val="000000"/>
          <w:sz w:val="24"/>
        </w:rPr>
        <w:t>1.7 语言</w:t>
      </w:r>
      <w:bookmarkEnd w:id="60"/>
      <w:r>
        <w:rPr>
          <w:rFonts w:hint="eastAsia" w:ascii="黑体" w:eastAsia="黑体"/>
          <w:color w:val="000000"/>
          <w:sz w:val="24"/>
        </w:rPr>
        <w:t>文字</w:t>
      </w:r>
      <w:bookmarkEnd w:id="61"/>
      <w:bookmarkEnd w:id="62"/>
      <w:bookmarkEnd w:id="63"/>
    </w:p>
    <w:p>
      <w:pPr>
        <w:spacing w:line="400" w:lineRule="exact"/>
        <w:ind w:firstLine="420" w:firstLineChars="200"/>
        <w:rPr>
          <w:color w:val="000000"/>
        </w:rPr>
      </w:pPr>
      <w:r>
        <w:rPr>
          <w:rFonts w:hint="eastAsia"/>
          <w:color w:val="000000"/>
        </w:rPr>
        <w:t>除专用术语外，与招标投标有关的语言均使用中文。必要时专用术语应附有中文注释。</w:t>
      </w:r>
    </w:p>
    <w:p>
      <w:pPr>
        <w:rPr>
          <w:rFonts w:ascii="黑体" w:eastAsia="黑体"/>
          <w:color w:val="000000"/>
          <w:sz w:val="24"/>
        </w:rPr>
      </w:pPr>
      <w:bookmarkStart w:id="64" w:name="_Toc152045538"/>
      <w:bookmarkStart w:id="65" w:name="_Toc152042314"/>
      <w:bookmarkStart w:id="66" w:name="_Toc144974506"/>
      <w:bookmarkStart w:id="67" w:name="_Toc179632555"/>
      <w:r>
        <w:rPr>
          <w:rFonts w:hint="eastAsia" w:ascii="黑体" w:eastAsia="黑体"/>
          <w:color w:val="000000"/>
          <w:sz w:val="24"/>
        </w:rPr>
        <w:t>1.8 计量单位</w:t>
      </w:r>
      <w:bookmarkEnd w:id="64"/>
      <w:bookmarkEnd w:id="65"/>
      <w:bookmarkEnd w:id="66"/>
      <w:bookmarkEnd w:id="67"/>
    </w:p>
    <w:p>
      <w:pPr>
        <w:spacing w:line="400" w:lineRule="exact"/>
        <w:ind w:firstLine="420" w:firstLineChars="200"/>
        <w:rPr>
          <w:color w:val="000000"/>
        </w:rPr>
      </w:pPr>
      <w:r>
        <w:rPr>
          <w:rFonts w:hint="eastAsia"/>
          <w:color w:val="000000"/>
        </w:rPr>
        <w:t>所有计量均采用中华人民共和国法定计量单位。</w:t>
      </w:r>
    </w:p>
    <w:p>
      <w:pPr>
        <w:rPr>
          <w:rFonts w:ascii="黑体" w:eastAsia="黑体"/>
          <w:color w:val="000000"/>
          <w:sz w:val="24"/>
        </w:rPr>
      </w:pPr>
      <w:bookmarkStart w:id="68" w:name="_Toc152045539"/>
      <w:bookmarkStart w:id="69" w:name="_Toc179632556"/>
      <w:bookmarkStart w:id="70" w:name="_Toc144974507"/>
      <w:bookmarkStart w:id="71" w:name="_Toc152042315"/>
      <w:r>
        <w:rPr>
          <w:rFonts w:hint="eastAsia" w:ascii="黑体" w:eastAsia="黑体"/>
          <w:color w:val="000000"/>
          <w:sz w:val="24"/>
        </w:rPr>
        <w:t>1.9 踏勘现场</w:t>
      </w:r>
      <w:bookmarkEnd w:id="68"/>
      <w:bookmarkEnd w:id="69"/>
      <w:bookmarkEnd w:id="70"/>
      <w:bookmarkEnd w:id="71"/>
    </w:p>
    <w:p>
      <w:pPr>
        <w:spacing w:line="400" w:lineRule="exact"/>
        <w:ind w:firstLine="420" w:firstLineChars="200"/>
        <w:rPr>
          <w:color w:val="000000"/>
        </w:rPr>
      </w:pPr>
      <w:r>
        <w:rPr>
          <w:rFonts w:hint="eastAsia"/>
          <w:color w:val="000000"/>
        </w:rPr>
        <w:t>1.9.1 投标人须知前附表规定组织踏勘现场的，招标人按投标人须知前附表规定的时间、地点组织投标人踏勘项目现场。</w:t>
      </w:r>
    </w:p>
    <w:p>
      <w:pPr>
        <w:spacing w:line="400" w:lineRule="exact"/>
        <w:ind w:firstLine="420" w:firstLineChars="200"/>
        <w:rPr>
          <w:color w:val="000000"/>
        </w:rPr>
      </w:pPr>
      <w:r>
        <w:rPr>
          <w:rFonts w:hint="eastAsia"/>
          <w:color w:val="000000"/>
        </w:rPr>
        <w:t>1.9.2 投标人踏勘现场发生的费用自理。</w:t>
      </w:r>
    </w:p>
    <w:p>
      <w:pPr>
        <w:spacing w:line="400" w:lineRule="exact"/>
        <w:ind w:firstLine="420" w:firstLineChars="200"/>
        <w:rPr>
          <w:color w:val="000000"/>
        </w:rPr>
      </w:pPr>
      <w:r>
        <w:rPr>
          <w:rFonts w:hint="eastAsia"/>
          <w:color w:val="000000"/>
        </w:rPr>
        <w:t>1.9.3 除招标人的原因外，投标人自行负责在踏勘现场中所发生的人员伤亡和财产损失。</w:t>
      </w:r>
    </w:p>
    <w:p>
      <w:pPr>
        <w:spacing w:line="400" w:lineRule="exact"/>
        <w:ind w:firstLine="420" w:firstLineChars="200"/>
        <w:rPr>
          <w:color w:val="000000"/>
        </w:rPr>
      </w:pPr>
      <w:r>
        <w:rPr>
          <w:rFonts w:hint="eastAsia"/>
          <w:color w:val="000000"/>
        </w:rPr>
        <w:t>1.9.4 招标人在踏勘现场中介绍的工程场地和相关的周边环境情况，供投标人在编制投标文件时参考，招标人不对投标人据此作出的判断和决策负责。</w:t>
      </w:r>
    </w:p>
    <w:p>
      <w:pPr>
        <w:rPr>
          <w:rFonts w:ascii="黑体" w:eastAsia="黑体"/>
          <w:color w:val="000000"/>
          <w:sz w:val="24"/>
        </w:rPr>
      </w:pPr>
      <w:bookmarkStart w:id="72" w:name="_Toc152042316"/>
      <w:bookmarkStart w:id="73" w:name="_Toc179632557"/>
      <w:bookmarkStart w:id="74" w:name="_Toc144974508"/>
      <w:bookmarkStart w:id="75" w:name="_Toc152045540"/>
      <w:r>
        <w:rPr>
          <w:rFonts w:hint="eastAsia" w:ascii="黑体" w:eastAsia="黑体"/>
          <w:color w:val="000000"/>
          <w:sz w:val="24"/>
        </w:rPr>
        <w:t>1.10 投标预备会</w:t>
      </w:r>
      <w:bookmarkEnd w:id="72"/>
      <w:bookmarkEnd w:id="73"/>
      <w:bookmarkEnd w:id="74"/>
      <w:bookmarkEnd w:id="75"/>
    </w:p>
    <w:p>
      <w:pPr>
        <w:spacing w:line="400" w:lineRule="exact"/>
        <w:ind w:firstLine="420" w:firstLineChars="200"/>
        <w:rPr>
          <w:color w:val="000000"/>
        </w:rPr>
      </w:pPr>
      <w:r>
        <w:rPr>
          <w:rFonts w:hint="eastAsia"/>
          <w:color w:val="000000"/>
        </w:rPr>
        <w:t>1.10.1 投标人须知前附表规定召开投标预备会的，招标人按投标人须知前附表规定的时间和地点召开投标预备会，澄清投标人提出的问题。</w:t>
      </w:r>
    </w:p>
    <w:p>
      <w:pPr>
        <w:spacing w:line="400" w:lineRule="exact"/>
        <w:ind w:firstLine="420" w:firstLineChars="200"/>
        <w:rPr>
          <w:color w:val="000000"/>
        </w:rPr>
      </w:pPr>
      <w:r>
        <w:rPr>
          <w:rFonts w:hint="eastAsia"/>
          <w:color w:val="000000"/>
        </w:rPr>
        <w:t>1.10.2 投标人应在投标人须知前附表规定的时间前，以书面形式将提出的问题送达招标人，以便招标人在会议期间澄清。</w:t>
      </w:r>
    </w:p>
    <w:p>
      <w:pPr>
        <w:spacing w:line="400" w:lineRule="exact"/>
        <w:ind w:firstLine="420" w:firstLineChars="200"/>
        <w:rPr>
          <w:color w:val="000000"/>
        </w:rPr>
      </w:pPr>
      <w:r>
        <w:rPr>
          <w:rFonts w:hint="eastAsia"/>
          <w:color w:val="000000"/>
        </w:rPr>
        <w:t>1.10.3 投标预备会后，招标人在投标人须知前附表规定的时间内，将对投标人所提问题的澄清，以书面方式通知所有购买招标文件的投标人。该澄清内容为招标文件的组成部分。</w:t>
      </w:r>
    </w:p>
    <w:p>
      <w:pPr>
        <w:rPr>
          <w:rFonts w:ascii="黑体" w:eastAsia="黑体"/>
          <w:color w:val="000000"/>
          <w:sz w:val="24"/>
        </w:rPr>
      </w:pPr>
      <w:bookmarkStart w:id="76" w:name="_Toc152042317"/>
      <w:bookmarkStart w:id="77" w:name="_Toc144974509"/>
      <w:bookmarkStart w:id="78" w:name="_Toc152045541"/>
      <w:bookmarkStart w:id="79" w:name="_Toc179632558"/>
      <w:r>
        <w:rPr>
          <w:rFonts w:hint="eastAsia" w:ascii="黑体" w:eastAsia="黑体"/>
          <w:color w:val="000000"/>
          <w:sz w:val="24"/>
        </w:rPr>
        <w:t>1.11 分包</w:t>
      </w:r>
      <w:bookmarkEnd w:id="76"/>
      <w:bookmarkEnd w:id="77"/>
      <w:bookmarkEnd w:id="78"/>
      <w:bookmarkEnd w:id="79"/>
    </w:p>
    <w:p>
      <w:pPr>
        <w:spacing w:line="400" w:lineRule="exact"/>
        <w:ind w:firstLine="567" w:firstLineChars="270"/>
        <w:rPr>
          <w:color w:val="000000"/>
        </w:rPr>
      </w:pPr>
      <w:r>
        <w:rPr>
          <w:rFonts w:hint="eastAsia"/>
          <w:color w:val="000000"/>
        </w:rPr>
        <w:t>投标人拟在中标后将中标项目的部分非主体、非关键性工作进行分包的，应符合投标人须知前附表规定的分包内容、分包金额和接受分包的第三人资质要求等限制性条件。</w:t>
      </w:r>
    </w:p>
    <w:p>
      <w:pPr>
        <w:spacing w:before="312" w:beforeLines="100" w:after="312" w:afterLines="100"/>
        <w:outlineLvl w:val="2"/>
        <w:rPr>
          <w:rFonts w:ascii="黑体" w:eastAsia="黑体"/>
          <w:color w:val="000000"/>
          <w:sz w:val="24"/>
        </w:rPr>
      </w:pPr>
      <w:bookmarkStart w:id="80" w:name="_Toc144974510"/>
      <w:bookmarkStart w:id="81" w:name="_Toc114222731"/>
      <w:bookmarkStart w:id="82" w:name="_Toc295812177"/>
      <w:bookmarkStart w:id="83" w:name="_Toc179632560"/>
      <w:bookmarkStart w:id="84" w:name="_Toc152045542"/>
      <w:bookmarkStart w:id="85" w:name="_Toc152042318"/>
      <w:r>
        <w:rPr>
          <w:rFonts w:hint="eastAsia" w:ascii="黑体" w:eastAsia="黑体"/>
          <w:color w:val="000000"/>
          <w:sz w:val="24"/>
        </w:rPr>
        <w:t>2. 招标文件</w:t>
      </w:r>
      <w:bookmarkEnd w:id="80"/>
      <w:bookmarkEnd w:id="81"/>
      <w:bookmarkEnd w:id="82"/>
      <w:bookmarkEnd w:id="83"/>
      <w:bookmarkEnd w:id="84"/>
      <w:bookmarkEnd w:id="85"/>
    </w:p>
    <w:p>
      <w:pPr>
        <w:rPr>
          <w:rFonts w:ascii="黑体" w:eastAsia="黑体"/>
          <w:color w:val="000000"/>
          <w:sz w:val="24"/>
        </w:rPr>
      </w:pPr>
      <w:bookmarkStart w:id="86" w:name="_Toc152045543"/>
      <w:bookmarkStart w:id="87" w:name="_Toc144974511"/>
      <w:bookmarkStart w:id="88" w:name="_Toc179632561"/>
      <w:bookmarkStart w:id="89" w:name="_Toc152042319"/>
      <w:r>
        <w:rPr>
          <w:rFonts w:hint="eastAsia" w:ascii="黑体" w:eastAsia="黑体"/>
          <w:color w:val="000000"/>
          <w:sz w:val="24"/>
        </w:rPr>
        <w:t>2.1 招标文件的组成</w:t>
      </w:r>
      <w:bookmarkEnd w:id="86"/>
      <w:bookmarkEnd w:id="87"/>
      <w:bookmarkEnd w:id="88"/>
      <w:bookmarkEnd w:id="89"/>
    </w:p>
    <w:p>
      <w:pPr>
        <w:spacing w:line="400" w:lineRule="exact"/>
        <w:ind w:firstLine="424" w:firstLineChars="202"/>
        <w:rPr>
          <w:color w:val="000000"/>
        </w:rPr>
      </w:pPr>
      <w:r>
        <w:rPr>
          <w:rFonts w:hint="eastAsia"/>
          <w:color w:val="000000"/>
        </w:rPr>
        <w:t>本招标文件包括：</w:t>
      </w:r>
    </w:p>
    <w:p>
      <w:pPr>
        <w:spacing w:line="400" w:lineRule="exact"/>
        <w:ind w:firstLine="359" w:firstLineChars="171"/>
        <w:rPr>
          <w:color w:val="000000"/>
        </w:rPr>
      </w:pPr>
      <w:r>
        <w:rPr>
          <w:rFonts w:hint="eastAsia"/>
          <w:color w:val="000000"/>
        </w:rPr>
        <w:t>（1）招标公告；</w:t>
      </w:r>
    </w:p>
    <w:p>
      <w:pPr>
        <w:spacing w:line="400" w:lineRule="exact"/>
        <w:ind w:firstLine="359" w:firstLineChars="171"/>
        <w:rPr>
          <w:color w:val="000000"/>
        </w:rPr>
      </w:pPr>
      <w:r>
        <w:rPr>
          <w:rFonts w:hint="eastAsia"/>
          <w:color w:val="000000"/>
        </w:rPr>
        <w:t>（2）投标人须知；</w:t>
      </w:r>
    </w:p>
    <w:p>
      <w:pPr>
        <w:spacing w:line="400" w:lineRule="exact"/>
        <w:ind w:firstLine="359" w:firstLineChars="171"/>
        <w:rPr>
          <w:color w:val="000000"/>
        </w:rPr>
      </w:pPr>
      <w:r>
        <w:rPr>
          <w:rFonts w:hint="eastAsia"/>
          <w:color w:val="000000"/>
        </w:rPr>
        <w:t>（3）评标办法；</w:t>
      </w:r>
    </w:p>
    <w:p>
      <w:pPr>
        <w:spacing w:line="400" w:lineRule="exact"/>
        <w:ind w:firstLine="359" w:firstLineChars="171"/>
        <w:rPr>
          <w:color w:val="000000"/>
        </w:rPr>
      </w:pPr>
      <w:r>
        <w:rPr>
          <w:rFonts w:hint="eastAsia"/>
          <w:color w:val="000000"/>
        </w:rPr>
        <w:t>（4）合同条款及格式；</w:t>
      </w:r>
    </w:p>
    <w:p>
      <w:pPr>
        <w:spacing w:line="400" w:lineRule="exact"/>
        <w:ind w:firstLine="359" w:firstLineChars="171"/>
        <w:rPr>
          <w:color w:val="000000"/>
        </w:rPr>
      </w:pPr>
      <w:r>
        <w:rPr>
          <w:rFonts w:hint="eastAsia"/>
          <w:color w:val="000000"/>
        </w:rPr>
        <w:t>（5）工程量清单；</w:t>
      </w:r>
    </w:p>
    <w:p>
      <w:pPr>
        <w:spacing w:line="400" w:lineRule="exact"/>
        <w:ind w:firstLine="359" w:firstLineChars="171"/>
        <w:rPr>
          <w:color w:val="000000"/>
        </w:rPr>
      </w:pPr>
      <w:r>
        <w:rPr>
          <w:rFonts w:hint="eastAsia"/>
          <w:color w:val="000000"/>
        </w:rPr>
        <w:t>（6）图纸；</w:t>
      </w:r>
    </w:p>
    <w:p>
      <w:pPr>
        <w:spacing w:line="400" w:lineRule="exact"/>
        <w:ind w:firstLine="359" w:firstLineChars="171"/>
        <w:rPr>
          <w:color w:val="000000"/>
        </w:rPr>
      </w:pPr>
      <w:r>
        <w:rPr>
          <w:rFonts w:hint="eastAsia"/>
          <w:color w:val="000000"/>
        </w:rPr>
        <w:t>（7）技术标准和要求；</w:t>
      </w:r>
    </w:p>
    <w:p>
      <w:pPr>
        <w:spacing w:line="400" w:lineRule="exact"/>
        <w:ind w:firstLine="359" w:firstLineChars="171"/>
        <w:rPr>
          <w:color w:val="000000"/>
        </w:rPr>
      </w:pPr>
      <w:r>
        <w:rPr>
          <w:rFonts w:hint="eastAsia"/>
          <w:color w:val="000000"/>
        </w:rPr>
        <w:t>（8）投标文件格式；</w:t>
      </w:r>
    </w:p>
    <w:p>
      <w:pPr>
        <w:spacing w:line="400" w:lineRule="exact"/>
        <w:ind w:firstLine="359" w:firstLineChars="171"/>
        <w:rPr>
          <w:color w:val="000000"/>
        </w:rPr>
      </w:pPr>
      <w:r>
        <w:rPr>
          <w:rFonts w:hint="eastAsia"/>
          <w:color w:val="000000"/>
        </w:rPr>
        <w:t>（9）投标人须知前附表规定的其他材料。</w:t>
      </w:r>
    </w:p>
    <w:p>
      <w:pPr>
        <w:spacing w:line="400" w:lineRule="exact"/>
        <w:ind w:firstLine="420" w:firstLineChars="200"/>
        <w:rPr>
          <w:color w:val="000000"/>
        </w:rPr>
      </w:pPr>
      <w:r>
        <w:rPr>
          <w:rFonts w:hint="eastAsia"/>
          <w:color w:val="000000"/>
        </w:rPr>
        <w:t>根据本章第1.10款、第2.2款和第2.3款对招标文件所作的澄清、修改，构成招标文件的组成部分。</w:t>
      </w:r>
    </w:p>
    <w:p>
      <w:pPr>
        <w:rPr>
          <w:rFonts w:ascii="黑体" w:eastAsia="黑体"/>
          <w:color w:val="000000"/>
          <w:sz w:val="24"/>
        </w:rPr>
      </w:pPr>
      <w:bookmarkStart w:id="90" w:name="_Toc152045544"/>
      <w:bookmarkStart w:id="91" w:name="_Toc152042320"/>
      <w:bookmarkStart w:id="92" w:name="_Toc179632562"/>
      <w:bookmarkStart w:id="93" w:name="_Toc144974512"/>
      <w:r>
        <w:rPr>
          <w:rFonts w:hint="eastAsia" w:ascii="黑体" w:eastAsia="黑体"/>
          <w:color w:val="000000"/>
          <w:sz w:val="24"/>
        </w:rPr>
        <w:t>2.2 招标文件的澄清</w:t>
      </w:r>
      <w:bookmarkEnd w:id="90"/>
      <w:bookmarkEnd w:id="91"/>
      <w:bookmarkEnd w:id="92"/>
      <w:bookmarkEnd w:id="93"/>
    </w:p>
    <w:p>
      <w:pPr>
        <w:spacing w:line="400" w:lineRule="exact"/>
        <w:ind w:firstLine="420" w:firstLineChars="200"/>
        <w:rPr>
          <w:color w:val="000000"/>
        </w:rPr>
      </w:pPr>
      <w:r>
        <w:rPr>
          <w:rFonts w:hint="eastAsia"/>
          <w:color w:val="000000"/>
        </w:rPr>
        <w:t>2.2.1投标人应仔细阅读和检查招标文件的全部内容。如有疑问，应在规定时间内，通过招标文件电子版下载页面提交，要求招标人对招标文件予以澄清。</w:t>
      </w:r>
    </w:p>
    <w:p>
      <w:pPr>
        <w:spacing w:line="400" w:lineRule="exact"/>
        <w:ind w:firstLine="420" w:firstLineChars="200"/>
        <w:rPr>
          <w:color w:val="000000"/>
        </w:rPr>
      </w:pPr>
      <w:r>
        <w:rPr>
          <w:rFonts w:hint="eastAsia"/>
          <w:color w:val="000000"/>
        </w:rPr>
        <w:t>2.2.2 招标文件的澄清将在投标人须知前附表规定的投标截止时间15天前以电子版形式提供潜在投标人下载，但不指明澄清问题的来源。如果澄清发出的时间距投标截止时间不足15天，招标人相应顺延提交投标文件的截止时间。</w:t>
      </w:r>
    </w:p>
    <w:p>
      <w:pPr>
        <w:spacing w:line="400" w:lineRule="exact"/>
        <w:ind w:firstLine="420" w:firstLineChars="200"/>
        <w:rPr>
          <w:color w:val="000000"/>
        </w:rPr>
      </w:pPr>
      <w:r>
        <w:rPr>
          <w:rFonts w:hint="eastAsia"/>
          <w:color w:val="000000"/>
        </w:rPr>
        <w:t>2.2.3 投标人应及时下载招标文件的澄清电子版。因未及时下载招标文件的澄清电子版所造成的后果，由投标人自行承担。</w:t>
      </w:r>
    </w:p>
    <w:p>
      <w:pPr>
        <w:rPr>
          <w:rFonts w:ascii="黑体" w:eastAsia="黑体"/>
          <w:color w:val="000000"/>
          <w:sz w:val="24"/>
        </w:rPr>
      </w:pPr>
      <w:bookmarkStart w:id="94" w:name="_Toc144974513"/>
      <w:bookmarkStart w:id="95" w:name="_Toc179632563"/>
      <w:bookmarkStart w:id="96" w:name="_Toc152045545"/>
      <w:bookmarkStart w:id="97" w:name="_Toc152042321"/>
      <w:r>
        <w:rPr>
          <w:rFonts w:hint="eastAsia" w:ascii="黑体" w:eastAsia="黑体"/>
          <w:color w:val="000000"/>
          <w:sz w:val="24"/>
        </w:rPr>
        <w:t>2.3 招标文件的修改</w:t>
      </w:r>
      <w:bookmarkEnd w:id="94"/>
      <w:bookmarkEnd w:id="95"/>
      <w:bookmarkEnd w:id="96"/>
      <w:bookmarkEnd w:id="97"/>
    </w:p>
    <w:p>
      <w:pPr>
        <w:spacing w:line="400" w:lineRule="exact"/>
        <w:ind w:firstLine="420" w:firstLineChars="200"/>
        <w:rPr>
          <w:color w:val="000000"/>
        </w:rPr>
      </w:pPr>
      <w:r>
        <w:rPr>
          <w:rFonts w:hint="eastAsia"/>
          <w:color w:val="000000"/>
        </w:rPr>
        <w:t>2.3.1 投标人应及时下载招标文件的澄清电子版。因未及时下载招标文件的澄清电子版所造成的后果，由投标人自行承担。</w:t>
      </w:r>
    </w:p>
    <w:p>
      <w:pPr>
        <w:spacing w:line="400" w:lineRule="exact"/>
        <w:ind w:firstLine="420" w:firstLineChars="200"/>
        <w:rPr>
          <w:color w:val="000000"/>
        </w:rPr>
      </w:pPr>
      <w:r>
        <w:rPr>
          <w:rFonts w:hint="eastAsia"/>
          <w:color w:val="000000"/>
        </w:rPr>
        <w:t>2.3.2 在投标截止时间15天前，招标人可以修改招标文件，并提供招标文件的修改电子版方便潜在投标人下载。如果修改招标文件的时间距投标截止时间不足15天，招标人相应顺延提交投标文件的截止时间。</w:t>
      </w:r>
    </w:p>
    <w:p>
      <w:pPr>
        <w:spacing w:before="312" w:beforeLines="100" w:after="312" w:afterLines="100"/>
        <w:outlineLvl w:val="2"/>
        <w:rPr>
          <w:rFonts w:ascii="黑体" w:eastAsia="黑体"/>
          <w:color w:val="000000"/>
          <w:sz w:val="24"/>
        </w:rPr>
      </w:pPr>
      <w:bookmarkStart w:id="98" w:name="_Toc144974514"/>
      <w:bookmarkStart w:id="99" w:name="_Toc152042322"/>
      <w:bookmarkStart w:id="100" w:name="_Toc179632564"/>
      <w:bookmarkStart w:id="101" w:name="_Toc295812178"/>
      <w:bookmarkStart w:id="102" w:name="_Toc114222732"/>
      <w:bookmarkStart w:id="103" w:name="_Toc152045546"/>
      <w:r>
        <w:rPr>
          <w:rFonts w:hint="eastAsia" w:ascii="黑体" w:eastAsia="黑体"/>
          <w:color w:val="000000"/>
          <w:sz w:val="24"/>
        </w:rPr>
        <w:t>3. 投标文件</w:t>
      </w:r>
      <w:bookmarkEnd w:id="98"/>
      <w:bookmarkEnd w:id="99"/>
      <w:bookmarkEnd w:id="100"/>
      <w:bookmarkEnd w:id="101"/>
      <w:bookmarkEnd w:id="102"/>
      <w:bookmarkEnd w:id="103"/>
    </w:p>
    <w:p>
      <w:pPr>
        <w:rPr>
          <w:rFonts w:ascii="黑体" w:eastAsia="黑体"/>
          <w:color w:val="000000"/>
          <w:sz w:val="24"/>
        </w:rPr>
      </w:pPr>
      <w:bookmarkStart w:id="104" w:name="_Toc179632565"/>
      <w:bookmarkStart w:id="105" w:name="_Toc144974515"/>
      <w:bookmarkStart w:id="106" w:name="_Toc152042323"/>
      <w:bookmarkStart w:id="107" w:name="_Toc152045547"/>
      <w:r>
        <w:rPr>
          <w:rFonts w:hint="eastAsia" w:ascii="黑体" w:eastAsia="黑体"/>
          <w:color w:val="000000"/>
          <w:sz w:val="24"/>
        </w:rPr>
        <w:t>3.1 投标文件的组成</w:t>
      </w:r>
      <w:bookmarkEnd w:id="104"/>
      <w:bookmarkEnd w:id="105"/>
      <w:bookmarkEnd w:id="106"/>
      <w:bookmarkEnd w:id="107"/>
    </w:p>
    <w:p>
      <w:pPr>
        <w:spacing w:line="400" w:lineRule="exact"/>
        <w:ind w:firstLine="420" w:firstLineChars="200"/>
        <w:rPr>
          <w:color w:val="000000"/>
        </w:rPr>
      </w:pPr>
      <w:r>
        <w:rPr>
          <w:rFonts w:hint="eastAsia"/>
          <w:color w:val="000000"/>
        </w:rPr>
        <w:t>3.1.1投标文件应包括下列内容：</w:t>
      </w:r>
    </w:p>
    <w:p>
      <w:pPr>
        <w:spacing w:line="400" w:lineRule="exact"/>
        <w:ind w:firstLine="359" w:firstLineChars="171"/>
        <w:rPr>
          <w:color w:val="000000"/>
        </w:rPr>
      </w:pPr>
      <w:r>
        <w:rPr>
          <w:rFonts w:hint="eastAsia"/>
          <w:color w:val="000000"/>
        </w:rPr>
        <w:t>（1）投标函及投标函附录；</w:t>
      </w:r>
    </w:p>
    <w:p>
      <w:pPr>
        <w:spacing w:line="400" w:lineRule="exact"/>
        <w:ind w:firstLine="359" w:firstLineChars="171"/>
        <w:rPr>
          <w:color w:val="000000"/>
        </w:rPr>
      </w:pPr>
      <w:r>
        <w:rPr>
          <w:rFonts w:hint="eastAsia"/>
          <w:color w:val="000000"/>
        </w:rPr>
        <w:t>（2）法定代表人身份证明</w:t>
      </w:r>
    </w:p>
    <w:p>
      <w:pPr>
        <w:spacing w:line="400" w:lineRule="exact"/>
        <w:ind w:firstLine="359" w:firstLineChars="171"/>
        <w:rPr>
          <w:color w:val="000000"/>
        </w:rPr>
      </w:pPr>
      <w:r>
        <w:rPr>
          <w:rFonts w:hint="eastAsia"/>
          <w:color w:val="000000"/>
        </w:rPr>
        <w:t>（3）授权委托书；</w:t>
      </w:r>
    </w:p>
    <w:p>
      <w:pPr>
        <w:spacing w:line="400" w:lineRule="exact"/>
        <w:ind w:firstLine="359" w:firstLineChars="171"/>
        <w:rPr>
          <w:color w:val="000000"/>
        </w:rPr>
      </w:pPr>
      <w:r>
        <w:rPr>
          <w:rFonts w:hint="eastAsia"/>
          <w:color w:val="000000"/>
        </w:rPr>
        <w:t>（</w:t>
      </w:r>
      <w:r>
        <w:rPr>
          <w:color w:val="000000"/>
        </w:rPr>
        <w:t>4</w:t>
      </w:r>
      <w:r>
        <w:rPr>
          <w:rFonts w:hint="eastAsia"/>
          <w:color w:val="000000"/>
        </w:rPr>
        <w:t>）联合体协议书；</w:t>
      </w:r>
    </w:p>
    <w:p>
      <w:pPr>
        <w:spacing w:line="400" w:lineRule="exact"/>
        <w:ind w:firstLine="359" w:firstLineChars="171"/>
        <w:rPr>
          <w:color w:val="000000"/>
        </w:rPr>
      </w:pPr>
      <w:r>
        <w:rPr>
          <w:rFonts w:hint="eastAsia"/>
          <w:color w:val="000000"/>
        </w:rPr>
        <w:t>（</w:t>
      </w:r>
      <w:r>
        <w:rPr>
          <w:color w:val="000000"/>
        </w:rPr>
        <w:t>5</w:t>
      </w:r>
      <w:r>
        <w:rPr>
          <w:rFonts w:hint="eastAsia"/>
          <w:color w:val="000000"/>
        </w:rPr>
        <w:t>）投标保证金；</w:t>
      </w:r>
    </w:p>
    <w:p>
      <w:pPr>
        <w:spacing w:line="400" w:lineRule="exact"/>
        <w:ind w:firstLine="359" w:firstLineChars="171"/>
        <w:rPr>
          <w:color w:val="000000"/>
        </w:rPr>
      </w:pPr>
      <w:r>
        <w:rPr>
          <w:rFonts w:hint="eastAsia"/>
          <w:color w:val="000000"/>
        </w:rPr>
        <w:t>（</w:t>
      </w:r>
      <w:r>
        <w:rPr>
          <w:color w:val="000000"/>
        </w:rPr>
        <w:t>6</w:t>
      </w:r>
      <w:r>
        <w:rPr>
          <w:rFonts w:hint="eastAsia"/>
          <w:color w:val="000000"/>
        </w:rPr>
        <w:t>）已标价工程量清单；</w:t>
      </w:r>
    </w:p>
    <w:p>
      <w:pPr>
        <w:spacing w:line="400" w:lineRule="exact"/>
        <w:ind w:firstLine="359" w:firstLineChars="171"/>
        <w:rPr>
          <w:color w:val="000000"/>
        </w:rPr>
      </w:pPr>
      <w:r>
        <w:rPr>
          <w:rFonts w:hint="eastAsia"/>
          <w:color w:val="000000"/>
        </w:rPr>
        <w:t>（</w:t>
      </w:r>
      <w:r>
        <w:rPr>
          <w:color w:val="000000"/>
        </w:rPr>
        <w:t>7</w:t>
      </w:r>
      <w:r>
        <w:rPr>
          <w:rFonts w:hint="eastAsia"/>
          <w:color w:val="000000"/>
        </w:rPr>
        <w:t>）项目管理机构；</w:t>
      </w:r>
    </w:p>
    <w:p>
      <w:pPr>
        <w:spacing w:line="400" w:lineRule="exact"/>
        <w:ind w:firstLine="359" w:firstLineChars="171"/>
        <w:rPr>
          <w:color w:val="000000"/>
        </w:rPr>
      </w:pPr>
      <w:r>
        <w:rPr>
          <w:rFonts w:hint="eastAsia"/>
          <w:color w:val="000000"/>
        </w:rPr>
        <w:t>（</w:t>
      </w:r>
      <w:r>
        <w:rPr>
          <w:color w:val="000000"/>
        </w:rPr>
        <w:t>8</w:t>
      </w:r>
      <w:r>
        <w:rPr>
          <w:rFonts w:hint="eastAsia"/>
          <w:color w:val="000000"/>
        </w:rPr>
        <w:t>）拟分包项目情况表；</w:t>
      </w:r>
    </w:p>
    <w:p>
      <w:pPr>
        <w:spacing w:line="400" w:lineRule="exact"/>
        <w:ind w:firstLine="359" w:firstLineChars="171"/>
        <w:rPr>
          <w:color w:val="000000"/>
        </w:rPr>
      </w:pPr>
      <w:r>
        <w:rPr>
          <w:rFonts w:hint="eastAsia"/>
          <w:color w:val="000000"/>
        </w:rPr>
        <w:t>（9）资格审查资料；</w:t>
      </w:r>
    </w:p>
    <w:p>
      <w:pPr>
        <w:spacing w:line="400" w:lineRule="exact"/>
        <w:ind w:firstLine="359" w:firstLineChars="171"/>
        <w:rPr>
          <w:color w:val="000000"/>
        </w:rPr>
      </w:pPr>
      <w:r>
        <w:rPr>
          <w:rFonts w:hint="eastAsia"/>
          <w:color w:val="000000"/>
        </w:rPr>
        <w:t>（10）投标人须知前附表规定的其他材料。</w:t>
      </w:r>
    </w:p>
    <w:p>
      <w:pPr>
        <w:spacing w:line="400" w:lineRule="exact"/>
        <w:ind w:firstLine="359" w:firstLineChars="171"/>
        <w:rPr>
          <w:color w:val="000000"/>
        </w:rPr>
      </w:pPr>
      <w:r>
        <w:rPr>
          <w:rFonts w:hint="eastAsia"/>
          <w:color w:val="000000"/>
        </w:rPr>
        <w:t>3.1.2 投标人须知前附表规定不接受联合体投标的，或投标人没有组成联合体的，投标文件不包括本章第3.1.1（3）目所指的联合体协议书。</w:t>
      </w:r>
    </w:p>
    <w:p>
      <w:pPr>
        <w:rPr>
          <w:rFonts w:ascii="黑体" w:eastAsia="黑体"/>
          <w:color w:val="000000"/>
          <w:sz w:val="24"/>
        </w:rPr>
      </w:pPr>
      <w:bookmarkStart w:id="108" w:name="_Toc179632566"/>
      <w:bookmarkStart w:id="109" w:name="_Toc152045548"/>
      <w:bookmarkStart w:id="110" w:name="_Toc144974516"/>
      <w:bookmarkStart w:id="111" w:name="_Toc152042324"/>
      <w:r>
        <w:rPr>
          <w:rFonts w:hint="eastAsia" w:ascii="黑体" w:eastAsia="黑体"/>
          <w:color w:val="000000"/>
          <w:sz w:val="24"/>
        </w:rPr>
        <w:t>3.2 投标报价</w:t>
      </w:r>
      <w:bookmarkEnd w:id="108"/>
      <w:bookmarkEnd w:id="109"/>
      <w:bookmarkEnd w:id="110"/>
      <w:bookmarkEnd w:id="111"/>
    </w:p>
    <w:p>
      <w:pPr>
        <w:spacing w:line="400" w:lineRule="exact"/>
        <w:ind w:firstLine="420" w:firstLineChars="200"/>
        <w:rPr>
          <w:color w:val="000000"/>
        </w:rPr>
      </w:pPr>
      <w:r>
        <w:rPr>
          <w:rFonts w:hint="eastAsia"/>
          <w:color w:val="000000"/>
        </w:rPr>
        <w:t>3.2.1 投标人应按第五章“工程量清单”的要求填写相应表格。</w:t>
      </w:r>
    </w:p>
    <w:p>
      <w:pPr>
        <w:spacing w:line="400" w:lineRule="exact"/>
        <w:ind w:firstLine="420" w:firstLineChars="200"/>
        <w:rPr>
          <w:color w:val="000000"/>
        </w:rPr>
      </w:pPr>
      <w:r>
        <w:rPr>
          <w:rFonts w:hint="eastAsia"/>
          <w:color w:val="000000"/>
        </w:rPr>
        <w:t>3.2.2 投标人在投标截止时间前修改投标函中的投标总报价，应同时修改第五章“工程量清单”中的相应报价。此修改须符合本章第4.3款的有关要求。</w:t>
      </w:r>
    </w:p>
    <w:p>
      <w:pPr>
        <w:rPr>
          <w:rFonts w:ascii="黑体" w:eastAsia="黑体"/>
          <w:color w:val="000000"/>
          <w:sz w:val="24"/>
        </w:rPr>
      </w:pPr>
      <w:bookmarkStart w:id="112" w:name="_Toc144974517"/>
      <w:bookmarkStart w:id="113" w:name="_Toc152045549"/>
      <w:bookmarkStart w:id="114" w:name="_Toc152042325"/>
      <w:bookmarkStart w:id="115" w:name="_Toc179632567"/>
      <w:r>
        <w:rPr>
          <w:rFonts w:hint="eastAsia" w:ascii="黑体" w:eastAsia="黑体"/>
          <w:color w:val="000000"/>
          <w:sz w:val="24"/>
        </w:rPr>
        <w:t>3.3 投标有效期</w:t>
      </w:r>
      <w:bookmarkEnd w:id="112"/>
      <w:bookmarkEnd w:id="113"/>
      <w:bookmarkEnd w:id="114"/>
      <w:bookmarkEnd w:id="115"/>
    </w:p>
    <w:p>
      <w:pPr>
        <w:spacing w:line="400" w:lineRule="exact"/>
        <w:ind w:firstLine="420" w:firstLineChars="200"/>
        <w:rPr>
          <w:color w:val="000000"/>
        </w:rPr>
      </w:pPr>
      <w:r>
        <w:rPr>
          <w:rFonts w:hint="eastAsia"/>
          <w:color w:val="000000"/>
        </w:rPr>
        <w:t>3.3.1 在投标人须知前附表规定的投标有效期内，投标人不得要求撤销或修改其投标文件。</w:t>
      </w:r>
    </w:p>
    <w:p>
      <w:pPr>
        <w:spacing w:line="400" w:lineRule="exact"/>
        <w:ind w:firstLine="420" w:firstLineChars="200"/>
        <w:rPr>
          <w:color w:val="000000"/>
        </w:rPr>
      </w:pPr>
      <w:r>
        <w:rPr>
          <w:rFonts w:hint="eastAsia"/>
          <w:color w:val="000000"/>
        </w:rPr>
        <w:t>3.3.2出现特殊情况需要延长投标有效期的，招标人应当通过交易平台通知所有投标人延长投标有效期。标人同意延长的，应相应延长其投标保证金的有效期，但不得要求或被允许修改或撤销其投标文件；投标人拒绝延长的，其投标失效，但投标人有权收回其投标保证金。</w:t>
      </w:r>
    </w:p>
    <w:p>
      <w:pPr>
        <w:rPr>
          <w:rFonts w:ascii="黑体" w:eastAsia="黑体"/>
          <w:color w:val="000000"/>
          <w:sz w:val="24"/>
        </w:rPr>
      </w:pPr>
      <w:bookmarkStart w:id="116" w:name="_Toc152042326"/>
      <w:bookmarkStart w:id="117" w:name="_Toc152045550"/>
      <w:bookmarkStart w:id="118" w:name="_Toc144974518"/>
      <w:bookmarkStart w:id="119" w:name="_Toc179632568"/>
      <w:r>
        <w:rPr>
          <w:rFonts w:hint="eastAsia" w:ascii="黑体" w:eastAsia="黑体"/>
          <w:color w:val="000000"/>
          <w:sz w:val="24"/>
        </w:rPr>
        <w:t>3.4 投标保证金</w:t>
      </w:r>
      <w:bookmarkEnd w:id="116"/>
      <w:bookmarkEnd w:id="117"/>
      <w:bookmarkEnd w:id="118"/>
      <w:bookmarkEnd w:id="119"/>
    </w:p>
    <w:p>
      <w:pPr>
        <w:spacing w:line="400" w:lineRule="exact"/>
        <w:ind w:firstLine="420" w:firstLineChars="200"/>
        <w:rPr>
          <w:color w:val="000000"/>
        </w:rPr>
      </w:pPr>
      <w:r>
        <w:rPr>
          <w:rFonts w:hint="eastAsia"/>
          <w:color w:val="000000"/>
        </w:rPr>
        <w:t>3.4.1 投标人在递交投标文件的同时，应按投标人须知前附表规定的金额、担保形式和第八章“投标文件格式”规定的投标保证金格式递交投标保证金，并作为其投标文件的组成部分。联合体投标的，其投标保证金由牵头人递交，并应符合投标人须知前附表的规定。</w:t>
      </w:r>
    </w:p>
    <w:p>
      <w:pPr>
        <w:spacing w:line="400" w:lineRule="exact"/>
        <w:ind w:firstLine="420" w:firstLineChars="200"/>
        <w:rPr>
          <w:color w:val="000000"/>
        </w:rPr>
      </w:pPr>
      <w:r>
        <w:rPr>
          <w:rFonts w:hint="eastAsia"/>
          <w:color w:val="000000"/>
        </w:rPr>
        <w:t>3.4.2 投标人不按本章第3.4.1项要求提交投标保证金的，否决其投标。</w:t>
      </w:r>
    </w:p>
    <w:p>
      <w:pPr>
        <w:spacing w:line="400" w:lineRule="exact"/>
        <w:ind w:firstLine="420" w:firstLineChars="200"/>
        <w:rPr>
          <w:color w:val="000000"/>
        </w:rPr>
      </w:pPr>
      <w:r>
        <w:rPr>
          <w:rFonts w:hint="eastAsia"/>
          <w:color w:val="000000"/>
        </w:rPr>
        <w:t>3.4.3 招标人与中标人签订合同后5个工作日内，向未中标的投标人和中标人退还投标保证金。</w:t>
      </w:r>
    </w:p>
    <w:p>
      <w:pPr>
        <w:spacing w:line="400" w:lineRule="exact"/>
        <w:ind w:firstLine="420" w:firstLineChars="200"/>
        <w:rPr>
          <w:color w:val="000000"/>
        </w:rPr>
      </w:pPr>
      <w:r>
        <w:rPr>
          <w:rFonts w:hint="eastAsia"/>
          <w:color w:val="000000"/>
        </w:rPr>
        <w:t>3.4.4 有下列情形之一的，投标保证金将不予退还：</w:t>
      </w:r>
    </w:p>
    <w:p>
      <w:pPr>
        <w:spacing w:line="400" w:lineRule="exact"/>
        <w:ind w:firstLine="718" w:firstLineChars="342"/>
        <w:rPr>
          <w:color w:val="000000"/>
        </w:rPr>
      </w:pPr>
      <w:r>
        <w:rPr>
          <w:rFonts w:hint="eastAsia"/>
          <w:color w:val="000000"/>
        </w:rPr>
        <w:t>（1）投标人在规定的投标有效期内撤销或修改其投标文件；</w:t>
      </w:r>
    </w:p>
    <w:p>
      <w:pPr>
        <w:spacing w:line="400" w:lineRule="exact"/>
        <w:ind w:firstLine="718" w:firstLineChars="342"/>
        <w:rPr>
          <w:color w:val="000000"/>
        </w:rPr>
      </w:pPr>
      <w:r>
        <w:rPr>
          <w:rFonts w:hint="eastAsia"/>
          <w:color w:val="000000"/>
        </w:rPr>
        <w:t>（2）中标人在收到中标通知书后，无正当理由拒签合同协议书或未按招标文件规定提交履约担保。</w:t>
      </w:r>
    </w:p>
    <w:p>
      <w:pPr>
        <w:rPr>
          <w:rFonts w:ascii="黑体" w:eastAsia="黑体"/>
          <w:color w:val="000000"/>
          <w:sz w:val="24"/>
        </w:rPr>
      </w:pPr>
      <w:bookmarkStart w:id="120" w:name="_Toc152045554"/>
      <w:bookmarkStart w:id="121" w:name="_Toc144974522"/>
      <w:bookmarkStart w:id="122" w:name="_Toc179632572"/>
      <w:bookmarkStart w:id="123" w:name="_Toc152042330"/>
      <w:r>
        <w:rPr>
          <w:rFonts w:hint="eastAsia" w:ascii="黑体" w:eastAsia="黑体"/>
          <w:color w:val="000000"/>
          <w:sz w:val="24"/>
        </w:rPr>
        <w:t>3.</w:t>
      </w:r>
      <w:r>
        <w:rPr>
          <w:rFonts w:ascii="黑体" w:eastAsia="黑体"/>
          <w:color w:val="000000"/>
          <w:sz w:val="24"/>
        </w:rPr>
        <w:t>5</w:t>
      </w:r>
      <w:r>
        <w:rPr>
          <w:rFonts w:hint="eastAsia" w:ascii="黑体" w:eastAsia="黑体"/>
          <w:color w:val="000000"/>
          <w:sz w:val="24"/>
        </w:rPr>
        <w:t xml:space="preserve"> 投标文件的编制</w:t>
      </w:r>
      <w:bookmarkEnd w:id="120"/>
      <w:bookmarkEnd w:id="121"/>
      <w:bookmarkEnd w:id="122"/>
      <w:bookmarkEnd w:id="123"/>
    </w:p>
    <w:p>
      <w:pPr>
        <w:spacing w:line="400" w:lineRule="exact"/>
        <w:ind w:firstLine="420" w:firstLineChars="200"/>
        <w:rPr>
          <w:color w:val="000000"/>
        </w:rPr>
      </w:pPr>
      <w:r>
        <w:rPr>
          <w:rFonts w:hint="eastAsia"/>
          <w:color w:val="000000"/>
        </w:rPr>
        <w:t>3.</w:t>
      </w:r>
      <w:r>
        <w:rPr>
          <w:color w:val="000000"/>
        </w:rPr>
        <w:t>5</w:t>
      </w:r>
      <w:r>
        <w:rPr>
          <w:rFonts w:hint="eastAsia"/>
          <w:color w:val="000000"/>
        </w:rPr>
        <w:t>.1投标文件应按第八章“投标文件格式”进行编写，如有必要，可以增加附页，作为投标文件的组成部分。其中，投标函附录在满足招标文件实质性要求的基础上，可以提出比招标文件要求更有利于招标人的承诺。</w:t>
      </w:r>
    </w:p>
    <w:p>
      <w:pPr>
        <w:spacing w:line="400" w:lineRule="exact"/>
        <w:ind w:firstLine="420" w:firstLineChars="200"/>
        <w:rPr>
          <w:color w:val="000000"/>
          <w:szCs w:val="21"/>
        </w:rPr>
      </w:pPr>
      <w:r>
        <w:rPr>
          <w:rFonts w:hint="eastAsia"/>
          <w:color w:val="000000"/>
        </w:rPr>
        <w:t>3.</w:t>
      </w:r>
      <w:r>
        <w:rPr>
          <w:color w:val="000000"/>
        </w:rPr>
        <w:t>5</w:t>
      </w:r>
      <w:r>
        <w:rPr>
          <w:rFonts w:hint="eastAsia"/>
          <w:color w:val="000000"/>
        </w:rPr>
        <w:t>.2 投标文件应当对招标文件有关</w:t>
      </w:r>
      <w:r>
        <w:rPr>
          <w:rFonts w:hint="eastAsia"/>
          <w:color w:val="000000"/>
          <w:szCs w:val="21"/>
        </w:rPr>
        <w:t>工期、投标有效期、质量要求、技术标准和要求、招标范围等实质性内容作出响应。</w:t>
      </w:r>
    </w:p>
    <w:p>
      <w:pPr>
        <w:spacing w:line="400" w:lineRule="exact"/>
        <w:ind w:firstLine="420" w:firstLineChars="200"/>
        <w:rPr>
          <w:color w:val="000000"/>
        </w:rPr>
      </w:pPr>
      <w:r>
        <w:rPr>
          <w:rFonts w:hint="eastAsia"/>
          <w:color w:val="000000"/>
        </w:rPr>
        <w:t>3.</w:t>
      </w:r>
      <w:r>
        <w:rPr>
          <w:color w:val="000000"/>
        </w:rPr>
        <w:t>5</w:t>
      </w:r>
      <w:r>
        <w:rPr>
          <w:rFonts w:hint="eastAsia"/>
          <w:color w:val="000000"/>
        </w:rPr>
        <w:t>.3</w:t>
      </w:r>
      <w:r>
        <w:rPr>
          <w:color w:val="000000"/>
        </w:rPr>
        <w:t>投标文件全部采用电子文档，除投标人须知前附表另有规定外，投标文件所附证书证件均为原件扫描件，并</w:t>
      </w:r>
      <w:r>
        <w:rPr>
          <w:szCs w:val="21"/>
        </w:rPr>
        <w:t>采用单位和个人数字证书，按招标文件要求在相应位置加盖电子印章</w:t>
      </w:r>
      <w:r>
        <w:rPr>
          <w:color w:val="000000"/>
        </w:rPr>
        <w:t>。由投标人的法定代表人签字或加盖电子印章的，应附法定代表人身份证明，由代理人签字或加盖电子印章的，应附由法定代表人签署的授权委托书。签字或盖章的具体要求见投标人须知前附表</w:t>
      </w:r>
      <w:r>
        <w:rPr>
          <w:rFonts w:hint="eastAsia"/>
          <w:color w:val="000000"/>
        </w:rPr>
        <w:t>。</w:t>
      </w:r>
    </w:p>
    <w:p>
      <w:pPr>
        <w:spacing w:before="312" w:beforeLines="100" w:after="312" w:afterLines="100"/>
        <w:outlineLvl w:val="2"/>
        <w:rPr>
          <w:rFonts w:ascii="黑体" w:eastAsia="黑体"/>
          <w:color w:val="000000"/>
          <w:sz w:val="24"/>
        </w:rPr>
      </w:pPr>
      <w:bookmarkStart w:id="124" w:name="_Toc144974523"/>
      <w:bookmarkStart w:id="125" w:name="_Toc152045555"/>
      <w:bookmarkStart w:id="126" w:name="_Toc152042331"/>
      <w:bookmarkStart w:id="127" w:name="_Toc179632573"/>
      <w:bookmarkStart w:id="128" w:name="_Toc114222733"/>
      <w:bookmarkStart w:id="129" w:name="_Toc295812179"/>
      <w:r>
        <w:rPr>
          <w:rFonts w:hint="eastAsia" w:ascii="黑体" w:eastAsia="黑体"/>
          <w:color w:val="000000"/>
          <w:sz w:val="24"/>
        </w:rPr>
        <w:t>4. 投标</w:t>
      </w:r>
      <w:bookmarkEnd w:id="124"/>
      <w:bookmarkEnd w:id="125"/>
      <w:bookmarkEnd w:id="126"/>
      <w:bookmarkEnd w:id="127"/>
      <w:bookmarkEnd w:id="128"/>
      <w:bookmarkEnd w:id="129"/>
    </w:p>
    <w:p>
      <w:pPr>
        <w:rPr>
          <w:rFonts w:ascii="黑体" w:eastAsia="黑体"/>
          <w:color w:val="000000"/>
          <w:sz w:val="24"/>
        </w:rPr>
      </w:pPr>
      <w:bookmarkStart w:id="130" w:name="_Toc152045556"/>
      <w:bookmarkStart w:id="131" w:name="_Toc179632574"/>
      <w:bookmarkStart w:id="132" w:name="_Toc144974524"/>
      <w:bookmarkStart w:id="133" w:name="_Toc152042332"/>
      <w:r>
        <w:rPr>
          <w:rFonts w:hint="eastAsia" w:ascii="黑体" w:eastAsia="黑体"/>
          <w:color w:val="000000"/>
          <w:sz w:val="24"/>
        </w:rPr>
        <w:t>4.1 投标文件的密封和标记</w:t>
      </w:r>
      <w:bookmarkEnd w:id="130"/>
      <w:bookmarkEnd w:id="131"/>
      <w:bookmarkEnd w:id="132"/>
      <w:bookmarkEnd w:id="133"/>
    </w:p>
    <w:p>
      <w:pPr>
        <w:ind w:firstLine="420" w:firstLineChars="200"/>
        <w:rPr>
          <w:color w:val="000000"/>
        </w:rPr>
      </w:pPr>
      <w:bookmarkStart w:id="134" w:name="_Toc152045557"/>
      <w:bookmarkStart w:id="135" w:name="_Toc144974525"/>
      <w:bookmarkStart w:id="136" w:name="_Toc179632575"/>
      <w:bookmarkStart w:id="137" w:name="_Toc152042333"/>
      <w:r>
        <w:rPr>
          <w:color w:val="000000"/>
        </w:rPr>
        <w:t>投标人应当按照招标文件和电子招标投标交易平台的要求加密投标文件，具体要求见投标人须知前附表。</w:t>
      </w:r>
    </w:p>
    <w:p>
      <w:pPr>
        <w:rPr>
          <w:rFonts w:ascii="黑体" w:eastAsia="黑体"/>
          <w:color w:val="000000"/>
          <w:sz w:val="24"/>
        </w:rPr>
      </w:pPr>
      <w:r>
        <w:rPr>
          <w:rFonts w:hint="eastAsia" w:ascii="黑体" w:eastAsia="黑体"/>
          <w:color w:val="000000"/>
          <w:sz w:val="24"/>
        </w:rPr>
        <w:t>4.2 投标文件的递交</w:t>
      </w:r>
      <w:bookmarkEnd w:id="134"/>
      <w:bookmarkEnd w:id="135"/>
      <w:bookmarkEnd w:id="136"/>
      <w:bookmarkEnd w:id="137"/>
    </w:p>
    <w:p>
      <w:pPr>
        <w:spacing w:line="400" w:lineRule="exact"/>
        <w:ind w:firstLine="420" w:firstLineChars="200"/>
        <w:rPr>
          <w:color w:val="000000"/>
        </w:rPr>
      </w:pPr>
      <w:r>
        <w:rPr>
          <w:rFonts w:hint="eastAsia"/>
          <w:color w:val="000000"/>
        </w:rPr>
        <w:t>4.2.1 投标人应在本章第2.2.2项规定的投标截止时间前递交投标文件。</w:t>
      </w:r>
    </w:p>
    <w:p>
      <w:pPr>
        <w:spacing w:line="400" w:lineRule="exact"/>
        <w:ind w:firstLine="420" w:firstLineChars="200"/>
        <w:rPr>
          <w:color w:val="000000"/>
        </w:rPr>
      </w:pPr>
      <w:r>
        <w:rPr>
          <w:rFonts w:hint="eastAsia"/>
          <w:color w:val="000000"/>
        </w:rPr>
        <w:t>4.2.2 投标人递交投标文件的地点：见投标人须知前附表。</w:t>
      </w:r>
    </w:p>
    <w:p>
      <w:pPr>
        <w:spacing w:line="400" w:lineRule="exact"/>
        <w:ind w:firstLine="420" w:firstLineChars="200"/>
        <w:rPr>
          <w:color w:val="000000"/>
        </w:rPr>
      </w:pPr>
      <w:r>
        <w:rPr>
          <w:rFonts w:hint="eastAsia"/>
          <w:color w:val="000000"/>
        </w:rPr>
        <w:t>4.2.3 除投标人须知前附表另有规定外，投标人所递交的投标文件不予退还。</w:t>
      </w:r>
    </w:p>
    <w:p>
      <w:pPr>
        <w:spacing w:line="400" w:lineRule="exact"/>
        <w:ind w:firstLine="420" w:firstLineChars="200"/>
        <w:rPr>
          <w:rStyle w:val="42"/>
        </w:rPr>
      </w:pPr>
      <w:r>
        <w:rPr>
          <w:rFonts w:hint="eastAsia"/>
          <w:color w:val="000000"/>
        </w:rPr>
        <w:t>4.2.4 电子交易平台在投标截止时间前收到投标人送达的投标文件，应当即时向投标人发出确认回执通知，并妥善保存投标文件</w:t>
      </w:r>
      <w:r>
        <w:rPr>
          <w:rStyle w:val="42"/>
          <w:rFonts w:hint="eastAsia"/>
        </w:rPr>
        <w:t>。</w:t>
      </w:r>
    </w:p>
    <w:p>
      <w:pPr>
        <w:spacing w:line="400" w:lineRule="exact"/>
        <w:ind w:firstLine="420" w:firstLineChars="200"/>
        <w:rPr>
          <w:color w:val="000000"/>
        </w:rPr>
      </w:pPr>
      <w:r>
        <w:rPr>
          <w:rFonts w:hint="eastAsia"/>
          <w:color w:val="000000"/>
        </w:rPr>
        <w:t xml:space="preserve">4.2.5 </w:t>
      </w:r>
      <w:r>
        <w:rPr>
          <w:rFonts w:hint="eastAsia"/>
        </w:rPr>
        <w:t>投标人应在投标人须知前附表第</w:t>
      </w:r>
      <w:r>
        <w:t>2.2.2</w:t>
      </w:r>
      <w:r>
        <w:rPr>
          <w:rFonts w:hint="eastAsia"/>
        </w:rPr>
        <w:t>项规定的投标截止时间前，完成投标文件的传输递交。投标截止时间前未完成投标文件传输的，视为撤回投标文件。投标截止时间后送达的投标文件，电子交易平台应当拒收。</w:t>
      </w:r>
    </w:p>
    <w:p>
      <w:pPr>
        <w:rPr>
          <w:rFonts w:ascii="黑体" w:eastAsia="黑体"/>
          <w:color w:val="000000"/>
          <w:sz w:val="24"/>
        </w:rPr>
      </w:pPr>
      <w:bookmarkStart w:id="138" w:name="_Toc179632576"/>
      <w:bookmarkStart w:id="139" w:name="_Toc152045558"/>
      <w:bookmarkStart w:id="140" w:name="_Toc152042334"/>
      <w:bookmarkStart w:id="141" w:name="_Toc144974526"/>
      <w:r>
        <w:rPr>
          <w:rFonts w:hint="eastAsia" w:ascii="黑体" w:eastAsia="黑体"/>
          <w:color w:val="000000"/>
          <w:sz w:val="24"/>
        </w:rPr>
        <w:t>4.3 投标文件的修改与撤回</w:t>
      </w:r>
      <w:bookmarkEnd w:id="138"/>
      <w:bookmarkEnd w:id="139"/>
      <w:bookmarkEnd w:id="140"/>
      <w:bookmarkEnd w:id="141"/>
    </w:p>
    <w:p>
      <w:pPr>
        <w:spacing w:line="400" w:lineRule="exact"/>
        <w:ind w:firstLine="420" w:firstLineChars="200"/>
        <w:rPr>
          <w:color w:val="000000"/>
        </w:rPr>
      </w:pPr>
      <w:r>
        <w:rPr>
          <w:rFonts w:hint="eastAsia"/>
          <w:color w:val="000000"/>
        </w:rPr>
        <w:t xml:space="preserve">4.3.1 </w:t>
      </w:r>
      <w:r>
        <w:rPr>
          <w:rFonts w:hint="eastAsia"/>
        </w:rPr>
        <w:t>4</w:t>
      </w:r>
      <w:r>
        <w:t>.3.1</w:t>
      </w:r>
      <w:r>
        <w:rPr>
          <w:rFonts w:hint="eastAsia"/>
        </w:rPr>
        <w:t>投标截止时间前可以对已经递交的投标文件进行替换或者撤回。</w:t>
      </w:r>
    </w:p>
    <w:p>
      <w:pPr>
        <w:spacing w:line="400" w:lineRule="exact"/>
        <w:ind w:firstLine="480" w:firstLineChars="200"/>
        <w:rPr>
          <w:rFonts w:ascii="黑体" w:eastAsia="黑体"/>
          <w:color w:val="000000"/>
          <w:sz w:val="24"/>
        </w:rPr>
      </w:pPr>
      <w:bookmarkStart w:id="142" w:name="_Toc179632577"/>
      <w:bookmarkStart w:id="143" w:name="_Toc144974527"/>
      <w:bookmarkStart w:id="144" w:name="_Toc152045559"/>
      <w:bookmarkStart w:id="145" w:name="_Toc295812180"/>
      <w:bookmarkStart w:id="146" w:name="_Toc152042335"/>
      <w:r>
        <w:rPr>
          <w:rFonts w:hint="eastAsia" w:ascii="黑体" w:eastAsia="黑体"/>
          <w:color w:val="000000"/>
          <w:sz w:val="24"/>
        </w:rPr>
        <w:t>5. 开标</w:t>
      </w:r>
      <w:bookmarkEnd w:id="142"/>
      <w:bookmarkEnd w:id="143"/>
      <w:bookmarkEnd w:id="144"/>
      <w:bookmarkEnd w:id="145"/>
      <w:bookmarkEnd w:id="146"/>
    </w:p>
    <w:p>
      <w:pPr>
        <w:rPr>
          <w:rFonts w:ascii="黑体" w:eastAsia="黑体"/>
          <w:color w:val="000000"/>
          <w:sz w:val="24"/>
        </w:rPr>
      </w:pPr>
      <w:bookmarkStart w:id="147" w:name="_Toc152045560"/>
      <w:bookmarkStart w:id="148" w:name="_Toc144974528"/>
      <w:bookmarkStart w:id="149" w:name="_Toc179632578"/>
      <w:bookmarkStart w:id="150" w:name="_Toc152042336"/>
      <w:r>
        <w:rPr>
          <w:rFonts w:hint="eastAsia" w:ascii="黑体" w:eastAsia="黑体"/>
          <w:color w:val="000000"/>
          <w:sz w:val="24"/>
        </w:rPr>
        <w:t>5.1 开标时间和地点</w:t>
      </w:r>
      <w:bookmarkEnd w:id="147"/>
      <w:bookmarkEnd w:id="148"/>
      <w:bookmarkEnd w:id="149"/>
      <w:bookmarkEnd w:id="150"/>
    </w:p>
    <w:p>
      <w:pPr>
        <w:spacing w:line="400" w:lineRule="exact"/>
        <w:ind w:firstLine="420" w:firstLineChars="200"/>
        <w:rPr>
          <w:color w:val="000000"/>
        </w:rPr>
      </w:pPr>
      <w:r>
        <w:rPr>
          <w:rFonts w:hint="eastAsia"/>
          <w:color w:val="000000"/>
        </w:rPr>
        <w:t>招标人在本章第2.2.2项规定的投标截止时间（开标时间）和投标人须知前附表规定的地点公开开标，并邀请所有投标人的法定代表人或其委托代理人准时参加。</w:t>
      </w:r>
    </w:p>
    <w:p>
      <w:pPr>
        <w:rPr>
          <w:rFonts w:ascii="黑体" w:eastAsia="黑体"/>
          <w:color w:val="000000"/>
          <w:sz w:val="24"/>
        </w:rPr>
      </w:pPr>
      <w:bookmarkStart w:id="151" w:name="_Toc152042337"/>
      <w:bookmarkStart w:id="152" w:name="_Toc144974529"/>
      <w:bookmarkStart w:id="153" w:name="_Toc179632579"/>
      <w:bookmarkStart w:id="154" w:name="_Toc152045561"/>
      <w:r>
        <w:rPr>
          <w:rFonts w:hint="eastAsia" w:ascii="黑体" w:eastAsia="黑体"/>
          <w:color w:val="000000"/>
          <w:sz w:val="24"/>
        </w:rPr>
        <w:t>5.2 开标程序</w:t>
      </w:r>
      <w:bookmarkEnd w:id="151"/>
      <w:bookmarkEnd w:id="152"/>
      <w:bookmarkEnd w:id="153"/>
      <w:bookmarkEnd w:id="154"/>
    </w:p>
    <w:p>
      <w:pPr>
        <w:spacing w:line="400" w:lineRule="exact"/>
        <w:ind w:firstLine="420" w:firstLineChars="200"/>
        <w:rPr>
          <w:rFonts w:hint="eastAsia" w:eastAsia="宋体"/>
          <w:color w:val="000000"/>
        </w:rPr>
      </w:pPr>
      <w:r>
        <w:rPr>
          <w:rFonts w:hint="eastAsia" w:eastAsia="宋体"/>
          <w:color w:val="000000"/>
        </w:rPr>
        <w:t>主持人按下列程序进行开标：</w:t>
      </w:r>
    </w:p>
    <w:p>
      <w:pPr>
        <w:spacing w:line="400" w:lineRule="exact"/>
        <w:ind w:firstLine="420" w:firstLineChars="200"/>
        <w:rPr>
          <w:rFonts w:hint="eastAsia" w:eastAsia="宋体"/>
          <w:color w:val="000000"/>
        </w:rPr>
      </w:pPr>
      <w:r>
        <w:rPr>
          <w:rFonts w:hint="eastAsia" w:eastAsia="宋体"/>
          <w:color w:val="000000"/>
        </w:rPr>
        <w:t>（1）宣布开标纪律；</w:t>
      </w:r>
    </w:p>
    <w:p>
      <w:pPr>
        <w:spacing w:line="400" w:lineRule="exact"/>
        <w:ind w:firstLine="420" w:firstLineChars="200"/>
        <w:rPr>
          <w:rFonts w:hint="eastAsia" w:eastAsia="宋体"/>
          <w:color w:val="000000"/>
        </w:rPr>
      </w:pPr>
      <w:r>
        <w:rPr>
          <w:rFonts w:hint="eastAsia" w:eastAsia="宋体"/>
          <w:color w:val="000000"/>
        </w:rPr>
        <w:t>（2）公布在投标截止时间前递交投标文件的投标人名称，并点名确认投标人是否派人到场；</w:t>
      </w:r>
    </w:p>
    <w:p>
      <w:pPr>
        <w:spacing w:line="400" w:lineRule="exact"/>
        <w:ind w:firstLine="420" w:firstLineChars="200"/>
        <w:rPr>
          <w:rFonts w:hint="eastAsia" w:eastAsia="宋体"/>
          <w:color w:val="000000"/>
        </w:rPr>
      </w:pPr>
      <w:r>
        <w:rPr>
          <w:rFonts w:hint="eastAsia" w:eastAsia="宋体"/>
          <w:color w:val="000000"/>
        </w:rPr>
        <w:t>（3）宣布开标人、唱标人、记录人、监标人等有关人员姓名；</w:t>
      </w:r>
    </w:p>
    <w:p>
      <w:pPr>
        <w:spacing w:line="400" w:lineRule="exact"/>
        <w:ind w:firstLine="420" w:firstLineChars="200"/>
        <w:rPr>
          <w:rFonts w:hint="eastAsia" w:eastAsia="宋体"/>
          <w:color w:val="000000"/>
        </w:rPr>
      </w:pPr>
      <w:r>
        <w:rPr>
          <w:rFonts w:hint="eastAsia" w:eastAsia="宋体"/>
          <w:color w:val="000000"/>
        </w:rPr>
        <w:t>（4）招标人组织投标人代表使用投标人的企业CA数字证书解密投标文件；（5）设有标底的，公布标底；</w:t>
      </w:r>
    </w:p>
    <w:p>
      <w:pPr>
        <w:spacing w:line="400" w:lineRule="exact"/>
        <w:ind w:firstLine="420" w:firstLineChars="200"/>
        <w:rPr>
          <w:rFonts w:hint="eastAsia" w:eastAsia="宋体"/>
          <w:color w:val="000000"/>
        </w:rPr>
      </w:pPr>
      <w:r>
        <w:rPr>
          <w:rFonts w:hint="eastAsia" w:eastAsia="宋体"/>
          <w:color w:val="000000"/>
        </w:rPr>
        <w:t>（6）设有工程成本价的，公布工程成本价；</w:t>
      </w:r>
    </w:p>
    <w:p>
      <w:pPr>
        <w:spacing w:line="400" w:lineRule="exact"/>
        <w:ind w:firstLine="420" w:firstLineChars="200"/>
        <w:rPr>
          <w:rFonts w:hint="eastAsia" w:eastAsia="宋体"/>
          <w:color w:val="000000"/>
        </w:rPr>
      </w:pPr>
      <w:r>
        <w:rPr>
          <w:rFonts w:hint="eastAsia" w:eastAsia="宋体"/>
          <w:color w:val="000000"/>
        </w:rPr>
        <w:t>（7）按照宣布的开标顺序当众开标，公布投标人名称、标段名称、投标保证金的递交情况、投标报价、质量目标、工期及其他内容，并记录在案；</w:t>
      </w:r>
    </w:p>
    <w:p>
      <w:pPr>
        <w:spacing w:line="400" w:lineRule="exact"/>
        <w:ind w:firstLine="420" w:firstLineChars="200"/>
        <w:rPr>
          <w:rFonts w:hint="eastAsia" w:eastAsia="宋体"/>
          <w:color w:val="000000"/>
        </w:rPr>
      </w:pPr>
      <w:r>
        <w:rPr>
          <w:rFonts w:hint="eastAsia" w:eastAsia="宋体"/>
          <w:color w:val="000000"/>
        </w:rPr>
        <w:t>（8）投标人代表、监标人、记录人等有关人员在开标记录上签字确认；</w:t>
      </w:r>
    </w:p>
    <w:p>
      <w:pPr>
        <w:spacing w:line="400" w:lineRule="exact"/>
        <w:ind w:firstLine="420" w:firstLineChars="200"/>
        <w:rPr>
          <w:rFonts w:hint="eastAsia" w:eastAsia="宋体"/>
          <w:color w:val="000000"/>
        </w:rPr>
      </w:pPr>
      <w:r>
        <w:rPr>
          <w:rFonts w:hint="eastAsia" w:eastAsia="宋体"/>
          <w:color w:val="000000"/>
        </w:rPr>
        <w:t>（9）投标人对开标有异议的，应及时提出，由招标人或其委托代理机构即时答复处理。所有异议处理完毕后，由招标人或其委托代理机构确认开标结束。</w:t>
      </w:r>
    </w:p>
    <w:p>
      <w:pPr>
        <w:spacing w:line="400" w:lineRule="exact"/>
        <w:ind w:firstLine="420" w:firstLineChars="200"/>
        <w:rPr>
          <w:rFonts w:hint="eastAsia" w:eastAsia="宋体"/>
          <w:color w:val="000000"/>
        </w:rPr>
      </w:pPr>
      <w:r>
        <w:rPr>
          <w:rFonts w:hint="eastAsia" w:eastAsia="宋体"/>
          <w:color w:val="000000"/>
        </w:rPr>
        <w:t>注：投标人未提出异议的，视同其认可开标过程、开标内容和开标结果。</w:t>
      </w:r>
    </w:p>
    <w:p>
      <w:pPr>
        <w:spacing w:line="400" w:lineRule="exact"/>
        <w:ind w:firstLine="420" w:firstLineChars="200"/>
        <w:rPr>
          <w:rFonts w:hint="eastAsia" w:eastAsia="宋体"/>
          <w:color w:val="000000"/>
        </w:rPr>
      </w:pPr>
      <w:r>
        <w:rPr>
          <w:rFonts w:hint="eastAsia" w:eastAsia="宋体"/>
          <w:color w:val="000000"/>
        </w:rPr>
        <w:t>（10）开标结束。</w:t>
      </w:r>
    </w:p>
    <w:p>
      <w:pPr>
        <w:spacing w:before="312" w:beforeLines="100" w:after="312" w:afterLines="100"/>
        <w:outlineLvl w:val="2"/>
        <w:rPr>
          <w:rFonts w:ascii="黑体" w:eastAsia="黑体"/>
          <w:color w:val="000000"/>
          <w:sz w:val="24"/>
        </w:rPr>
      </w:pPr>
      <w:bookmarkStart w:id="155" w:name="_Toc152045562"/>
      <w:bookmarkStart w:id="156" w:name="_Toc295812181"/>
      <w:bookmarkStart w:id="157" w:name="_Toc152042338"/>
      <w:bookmarkStart w:id="158" w:name="_Toc144974530"/>
      <w:bookmarkStart w:id="159" w:name="_Toc179632580"/>
      <w:bookmarkStart w:id="160" w:name="_Toc114222734"/>
      <w:r>
        <w:rPr>
          <w:rFonts w:hint="eastAsia" w:ascii="黑体" w:eastAsia="黑体"/>
          <w:color w:val="000000"/>
          <w:sz w:val="24"/>
        </w:rPr>
        <w:t>6.评标</w:t>
      </w:r>
      <w:bookmarkEnd w:id="155"/>
      <w:bookmarkEnd w:id="156"/>
      <w:bookmarkEnd w:id="157"/>
      <w:bookmarkEnd w:id="158"/>
      <w:bookmarkEnd w:id="159"/>
      <w:bookmarkEnd w:id="160"/>
    </w:p>
    <w:p>
      <w:pPr>
        <w:rPr>
          <w:rFonts w:ascii="黑体" w:eastAsia="黑体"/>
          <w:color w:val="000000"/>
          <w:sz w:val="24"/>
        </w:rPr>
      </w:pPr>
      <w:bookmarkStart w:id="161" w:name="_Toc179632581"/>
      <w:bookmarkStart w:id="162" w:name="_Toc152045563"/>
      <w:bookmarkStart w:id="163" w:name="_Toc144974531"/>
      <w:bookmarkStart w:id="164" w:name="_Toc152042339"/>
      <w:r>
        <w:rPr>
          <w:rFonts w:hint="eastAsia" w:ascii="黑体" w:eastAsia="黑体"/>
          <w:color w:val="000000"/>
          <w:sz w:val="24"/>
        </w:rPr>
        <w:t>6.1评标委员会</w:t>
      </w:r>
      <w:bookmarkEnd w:id="161"/>
      <w:bookmarkEnd w:id="162"/>
      <w:bookmarkEnd w:id="163"/>
      <w:bookmarkEnd w:id="164"/>
    </w:p>
    <w:p>
      <w:pPr>
        <w:spacing w:line="400" w:lineRule="exact"/>
        <w:ind w:firstLine="420" w:firstLineChars="200"/>
        <w:rPr>
          <w:color w:val="000000"/>
        </w:rPr>
      </w:pPr>
      <w:r>
        <w:rPr>
          <w:rFonts w:hint="eastAsia"/>
          <w:color w:val="000000"/>
        </w:rPr>
        <w:t>6.1.1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pPr>
        <w:spacing w:line="400" w:lineRule="exact"/>
        <w:ind w:firstLine="420" w:firstLineChars="200"/>
        <w:rPr>
          <w:color w:val="000000"/>
        </w:rPr>
      </w:pPr>
      <w:r>
        <w:rPr>
          <w:rFonts w:hint="eastAsia"/>
          <w:color w:val="000000"/>
        </w:rPr>
        <w:t>6.1.2评标委员会成员有下列情形之一的，应当回避：</w:t>
      </w:r>
    </w:p>
    <w:p>
      <w:pPr>
        <w:spacing w:line="400" w:lineRule="exact"/>
        <w:ind w:firstLine="718" w:firstLineChars="342"/>
        <w:rPr>
          <w:color w:val="000000"/>
        </w:rPr>
      </w:pPr>
      <w:r>
        <w:rPr>
          <w:rFonts w:hint="eastAsia"/>
          <w:color w:val="000000"/>
        </w:rPr>
        <w:t>（1）招标人或投标人的主要负责人的近亲属；</w:t>
      </w:r>
    </w:p>
    <w:p>
      <w:pPr>
        <w:spacing w:line="400" w:lineRule="exact"/>
        <w:ind w:firstLine="718" w:firstLineChars="342"/>
        <w:rPr>
          <w:color w:val="000000"/>
        </w:rPr>
      </w:pPr>
      <w:r>
        <w:rPr>
          <w:rFonts w:hint="eastAsia"/>
          <w:color w:val="000000"/>
        </w:rPr>
        <w:t>（2）项目主管部门或者行政监督部门的人员；</w:t>
      </w:r>
    </w:p>
    <w:p>
      <w:pPr>
        <w:spacing w:line="400" w:lineRule="exact"/>
        <w:ind w:firstLine="718" w:firstLineChars="342"/>
        <w:rPr>
          <w:color w:val="000000"/>
        </w:rPr>
      </w:pPr>
      <w:r>
        <w:rPr>
          <w:rFonts w:hint="eastAsia"/>
          <w:color w:val="000000"/>
        </w:rPr>
        <w:t>（3）与投标人有经济利益关系，可能影响对投标公正评审的；</w:t>
      </w:r>
    </w:p>
    <w:p>
      <w:pPr>
        <w:spacing w:line="400" w:lineRule="exact"/>
        <w:ind w:firstLine="718" w:firstLineChars="342"/>
        <w:rPr>
          <w:color w:val="000000"/>
        </w:rPr>
      </w:pPr>
      <w:r>
        <w:rPr>
          <w:rFonts w:hint="eastAsia"/>
          <w:color w:val="000000"/>
        </w:rPr>
        <w:t>（4）曾因在招标、评标以及其他与招标投标有关活动中从事违法行为而受过行政处罚或刑事处罚的。</w:t>
      </w:r>
    </w:p>
    <w:p>
      <w:pPr>
        <w:rPr>
          <w:rFonts w:ascii="黑体" w:eastAsia="黑体"/>
          <w:color w:val="000000"/>
          <w:sz w:val="24"/>
        </w:rPr>
      </w:pPr>
      <w:bookmarkStart w:id="165" w:name="_Toc152045564"/>
      <w:bookmarkStart w:id="166" w:name="_Toc144974532"/>
      <w:bookmarkStart w:id="167" w:name="_Toc152042340"/>
      <w:bookmarkStart w:id="168" w:name="_Toc179632582"/>
      <w:r>
        <w:rPr>
          <w:rFonts w:hint="eastAsia" w:ascii="黑体" w:eastAsia="黑体"/>
          <w:color w:val="000000"/>
          <w:sz w:val="24"/>
        </w:rPr>
        <w:t>6.2评标原则</w:t>
      </w:r>
      <w:bookmarkEnd w:id="165"/>
      <w:bookmarkEnd w:id="166"/>
      <w:bookmarkEnd w:id="167"/>
      <w:bookmarkEnd w:id="168"/>
      <w:r>
        <w:rPr>
          <w:rFonts w:hint="eastAsia" w:ascii="黑体" w:eastAsia="黑体"/>
          <w:color w:val="000000"/>
          <w:sz w:val="24"/>
        </w:rPr>
        <w:tab/>
      </w:r>
    </w:p>
    <w:p>
      <w:pPr>
        <w:spacing w:line="400" w:lineRule="exact"/>
        <w:ind w:firstLine="420" w:firstLineChars="200"/>
        <w:rPr>
          <w:color w:val="000000"/>
        </w:rPr>
      </w:pPr>
      <w:r>
        <w:rPr>
          <w:rFonts w:hint="eastAsia"/>
          <w:color w:val="000000"/>
        </w:rPr>
        <w:t>评标活动遵循公平、公正、科学和择优的原则。</w:t>
      </w:r>
    </w:p>
    <w:p>
      <w:pPr>
        <w:rPr>
          <w:rFonts w:ascii="黑体" w:eastAsia="黑体"/>
          <w:color w:val="000000"/>
          <w:sz w:val="24"/>
        </w:rPr>
      </w:pPr>
      <w:bookmarkStart w:id="169" w:name="_Toc144974533"/>
      <w:bookmarkStart w:id="170" w:name="_Toc152045565"/>
      <w:bookmarkStart w:id="171" w:name="_Toc152042341"/>
      <w:bookmarkStart w:id="172" w:name="_Toc179632583"/>
      <w:r>
        <w:rPr>
          <w:rFonts w:hint="eastAsia" w:ascii="黑体" w:eastAsia="黑体"/>
          <w:color w:val="000000"/>
          <w:sz w:val="24"/>
        </w:rPr>
        <w:t>6.3评标</w:t>
      </w:r>
      <w:bookmarkEnd w:id="169"/>
      <w:bookmarkEnd w:id="170"/>
      <w:bookmarkEnd w:id="171"/>
      <w:bookmarkEnd w:id="172"/>
    </w:p>
    <w:p>
      <w:pPr>
        <w:spacing w:line="400" w:lineRule="exact"/>
        <w:ind w:firstLine="420" w:firstLineChars="200"/>
        <w:rPr>
          <w:color w:val="000000"/>
        </w:rPr>
      </w:pPr>
      <w:r>
        <w:rPr>
          <w:rFonts w:hint="eastAsia"/>
          <w:color w:val="000000"/>
        </w:rPr>
        <w:t>评标委员会按照第三章“评标办法”规定的方法、评审因素、标准和程序对投标文件进行评审。第三章“评标办法”没有规定的方法、评审因素和标准，不作为评标依据。</w:t>
      </w:r>
    </w:p>
    <w:p>
      <w:pPr>
        <w:spacing w:before="312" w:beforeLines="100" w:after="312" w:afterLines="100"/>
        <w:outlineLvl w:val="2"/>
        <w:rPr>
          <w:rFonts w:ascii="黑体" w:eastAsia="黑体"/>
          <w:color w:val="000000"/>
          <w:sz w:val="24"/>
        </w:rPr>
      </w:pPr>
      <w:bookmarkStart w:id="173" w:name="_Toc152045566"/>
      <w:bookmarkStart w:id="174" w:name="_Toc114222735"/>
      <w:bookmarkStart w:id="175" w:name="_Toc144974534"/>
      <w:bookmarkStart w:id="176" w:name="_Toc179632584"/>
      <w:bookmarkStart w:id="177" w:name="_Toc152042342"/>
      <w:bookmarkStart w:id="178" w:name="_Toc295812182"/>
      <w:r>
        <w:rPr>
          <w:rFonts w:hint="eastAsia" w:ascii="黑体" w:eastAsia="黑体"/>
          <w:color w:val="000000"/>
          <w:sz w:val="24"/>
        </w:rPr>
        <w:t>7.合同授予</w:t>
      </w:r>
      <w:bookmarkEnd w:id="173"/>
      <w:bookmarkEnd w:id="174"/>
      <w:bookmarkEnd w:id="175"/>
      <w:bookmarkEnd w:id="176"/>
      <w:bookmarkEnd w:id="177"/>
      <w:bookmarkEnd w:id="178"/>
    </w:p>
    <w:p>
      <w:pPr>
        <w:rPr>
          <w:rFonts w:ascii="黑体" w:eastAsia="黑体"/>
          <w:color w:val="000000"/>
          <w:sz w:val="24"/>
        </w:rPr>
      </w:pPr>
      <w:bookmarkStart w:id="179" w:name="_Toc179632585"/>
      <w:bookmarkStart w:id="180" w:name="_Toc152045567"/>
      <w:bookmarkStart w:id="181" w:name="_Toc152042343"/>
      <w:bookmarkStart w:id="182" w:name="_Toc144974535"/>
      <w:r>
        <w:rPr>
          <w:rFonts w:hint="eastAsia" w:ascii="黑体" w:eastAsia="黑体"/>
          <w:color w:val="000000"/>
          <w:sz w:val="24"/>
        </w:rPr>
        <w:t>7.1定标方式</w:t>
      </w:r>
      <w:bookmarkEnd w:id="179"/>
      <w:bookmarkEnd w:id="180"/>
      <w:bookmarkEnd w:id="181"/>
      <w:bookmarkEnd w:id="182"/>
    </w:p>
    <w:p>
      <w:pPr>
        <w:spacing w:line="400" w:lineRule="exact"/>
        <w:ind w:firstLine="420" w:firstLineChars="200"/>
        <w:rPr>
          <w:color w:val="000000"/>
        </w:rPr>
      </w:pPr>
      <w:r>
        <w:rPr>
          <w:rFonts w:hint="eastAsia"/>
          <w:color w:val="000000"/>
        </w:rPr>
        <w:t>除投标人须知前附表规定评标委员会直接确定中标人外，招标人依据评标委员会推荐的中标候选人确定中标人，评标委员会推荐中标候选人的人数见投标人须知前附表。</w:t>
      </w:r>
    </w:p>
    <w:p>
      <w:pPr>
        <w:rPr>
          <w:rFonts w:ascii="黑体" w:eastAsia="黑体"/>
          <w:color w:val="000000"/>
          <w:sz w:val="24"/>
        </w:rPr>
      </w:pPr>
      <w:bookmarkStart w:id="183" w:name="_Toc179632586"/>
      <w:bookmarkStart w:id="184" w:name="_Toc144974536"/>
      <w:bookmarkStart w:id="185" w:name="_Toc152042344"/>
      <w:bookmarkStart w:id="186" w:name="_Toc152045568"/>
      <w:r>
        <w:rPr>
          <w:rFonts w:hint="eastAsia" w:ascii="黑体" w:eastAsia="黑体"/>
          <w:color w:val="000000"/>
          <w:sz w:val="24"/>
        </w:rPr>
        <w:t>7.2中标通知</w:t>
      </w:r>
      <w:bookmarkEnd w:id="183"/>
      <w:bookmarkEnd w:id="184"/>
      <w:bookmarkEnd w:id="185"/>
      <w:bookmarkEnd w:id="186"/>
    </w:p>
    <w:p>
      <w:pPr>
        <w:spacing w:line="400" w:lineRule="exact"/>
        <w:ind w:firstLine="420" w:firstLineChars="200"/>
        <w:rPr>
          <w:color w:val="000000"/>
        </w:rPr>
      </w:pPr>
      <w:r>
        <w:rPr>
          <w:rFonts w:hint="eastAsia"/>
          <w:color w:val="000000"/>
        </w:rPr>
        <w:t>在本章第3.3款规定的投标有效期内，招标人以书面形式向中标人发出中标通知书，同时将中标结果通知未中标的投标人。</w:t>
      </w:r>
    </w:p>
    <w:p>
      <w:pPr>
        <w:rPr>
          <w:rFonts w:ascii="黑体" w:eastAsia="黑体"/>
          <w:color w:val="000000"/>
          <w:sz w:val="24"/>
        </w:rPr>
      </w:pPr>
      <w:bookmarkStart w:id="187" w:name="_Toc144974537"/>
      <w:bookmarkStart w:id="188" w:name="_Toc152042345"/>
      <w:bookmarkStart w:id="189" w:name="_Toc179632587"/>
      <w:bookmarkStart w:id="190" w:name="_Toc152045569"/>
      <w:r>
        <w:rPr>
          <w:rFonts w:hint="eastAsia" w:ascii="黑体" w:eastAsia="黑体"/>
          <w:color w:val="000000"/>
          <w:sz w:val="24"/>
        </w:rPr>
        <w:t>7.3履约担保</w:t>
      </w:r>
      <w:bookmarkEnd w:id="187"/>
      <w:bookmarkEnd w:id="188"/>
      <w:bookmarkEnd w:id="189"/>
      <w:bookmarkEnd w:id="190"/>
    </w:p>
    <w:p>
      <w:pPr>
        <w:spacing w:line="400" w:lineRule="exact"/>
        <w:ind w:firstLine="420" w:firstLineChars="200"/>
        <w:rPr>
          <w:color w:val="000000"/>
        </w:rPr>
      </w:pPr>
      <w:r>
        <w:rPr>
          <w:rFonts w:hint="eastAsia"/>
          <w:color w:val="000000"/>
        </w:rPr>
        <w:t>7.3.1在签订合同前，中标人应按投标人须知前附表规定的金额、担保形式和招标文件第四章“合同条款及格式”规定的履约担保格式向招标人提交履约担保。联合体中标的，其履约担保由牵头人递交，并应符合投标人须知前附表规定的金额、担保形式和招标文件第四章“合同条款及格式”规定的履约担保格式要求。</w:t>
      </w:r>
    </w:p>
    <w:p>
      <w:pPr>
        <w:spacing w:line="400" w:lineRule="exact"/>
        <w:ind w:firstLine="420" w:firstLineChars="200"/>
        <w:rPr>
          <w:color w:val="000000"/>
        </w:rPr>
      </w:pPr>
      <w:r>
        <w:rPr>
          <w:rFonts w:hint="eastAsia"/>
          <w:color w:val="000000"/>
        </w:rPr>
        <w:t>7.3.2中标人不能按本章第7.3.1项要求提交履约担保的，视为放弃中标，其投标保证金不予退还，给招标人造成的损失超过投标保证金数额的，中标人还应当对超过部分予以赔偿。</w:t>
      </w:r>
    </w:p>
    <w:p>
      <w:pPr>
        <w:rPr>
          <w:rFonts w:ascii="黑体" w:eastAsia="黑体"/>
          <w:color w:val="000000"/>
          <w:sz w:val="24"/>
        </w:rPr>
      </w:pPr>
      <w:bookmarkStart w:id="191" w:name="_Toc144974538"/>
      <w:bookmarkStart w:id="192" w:name="_Toc152042346"/>
      <w:bookmarkStart w:id="193" w:name="_Toc152045570"/>
      <w:bookmarkStart w:id="194" w:name="_Toc179632588"/>
      <w:r>
        <w:rPr>
          <w:rFonts w:hint="eastAsia" w:ascii="黑体" w:eastAsia="黑体"/>
          <w:color w:val="000000"/>
          <w:sz w:val="24"/>
        </w:rPr>
        <w:t>7.4签订合同</w:t>
      </w:r>
      <w:bookmarkEnd w:id="191"/>
      <w:bookmarkEnd w:id="192"/>
      <w:bookmarkEnd w:id="193"/>
      <w:bookmarkEnd w:id="194"/>
    </w:p>
    <w:p>
      <w:pPr>
        <w:spacing w:line="400" w:lineRule="exact"/>
        <w:ind w:firstLine="420" w:firstLineChars="200"/>
        <w:rPr>
          <w:color w:val="000000"/>
        </w:rPr>
      </w:pPr>
      <w:r>
        <w:rPr>
          <w:rFonts w:hint="eastAsia"/>
          <w:color w:val="000000"/>
        </w:rPr>
        <w:t>7.4.1招标人和中标人应当自中标通知书发出之日起30天内，根据招标文件和中标人的投标文件订立书面合同。中标人无正当理由拒签合同的，招标人取消其中标资格，其投标保证金不予退还；给招标人造成的损失超过投标保证金数额的，中标人还应当对超过部分予以赔偿。</w:t>
      </w:r>
    </w:p>
    <w:p>
      <w:pPr>
        <w:spacing w:line="400" w:lineRule="exact"/>
        <w:ind w:firstLine="420" w:firstLineChars="200"/>
        <w:rPr>
          <w:color w:val="000000"/>
        </w:rPr>
      </w:pPr>
      <w:r>
        <w:rPr>
          <w:rFonts w:hint="eastAsia"/>
          <w:color w:val="000000"/>
        </w:rPr>
        <w:t>7.4.2发出中标通知书后，招标人无正当理由拒签合同的，招标人向中标人退还投标保证金；给中标人造成损失的，还应当赔偿损失。</w:t>
      </w:r>
    </w:p>
    <w:p>
      <w:pPr>
        <w:spacing w:before="312" w:beforeLines="100" w:after="312" w:afterLines="100"/>
        <w:outlineLvl w:val="2"/>
        <w:rPr>
          <w:rFonts w:ascii="黑体" w:eastAsia="黑体"/>
          <w:color w:val="000000"/>
          <w:sz w:val="24"/>
        </w:rPr>
      </w:pPr>
      <w:bookmarkStart w:id="195" w:name="_Toc295812183"/>
      <w:bookmarkStart w:id="196" w:name="_Toc152042347"/>
      <w:bookmarkStart w:id="197" w:name="_Toc114222736"/>
      <w:bookmarkStart w:id="198" w:name="_Toc152045571"/>
      <w:bookmarkStart w:id="199" w:name="_Toc144974539"/>
      <w:bookmarkStart w:id="200" w:name="_Toc179632589"/>
      <w:r>
        <w:rPr>
          <w:rFonts w:hint="eastAsia" w:ascii="黑体" w:eastAsia="黑体"/>
          <w:color w:val="000000"/>
          <w:sz w:val="24"/>
        </w:rPr>
        <w:t>8.重新招标和不再招标</w:t>
      </w:r>
      <w:bookmarkEnd w:id="195"/>
      <w:bookmarkEnd w:id="196"/>
      <w:bookmarkEnd w:id="197"/>
      <w:bookmarkEnd w:id="198"/>
      <w:bookmarkEnd w:id="199"/>
      <w:bookmarkEnd w:id="200"/>
    </w:p>
    <w:p>
      <w:pPr>
        <w:rPr>
          <w:rFonts w:ascii="黑体" w:eastAsia="黑体"/>
          <w:color w:val="000000"/>
          <w:sz w:val="24"/>
        </w:rPr>
      </w:pPr>
      <w:bookmarkStart w:id="201" w:name="_Toc144974540"/>
      <w:bookmarkStart w:id="202" w:name="_Toc152045572"/>
      <w:bookmarkStart w:id="203" w:name="_Toc179632590"/>
      <w:bookmarkStart w:id="204" w:name="_Toc152042348"/>
      <w:r>
        <w:rPr>
          <w:rFonts w:hint="eastAsia" w:ascii="黑体" w:eastAsia="黑体"/>
          <w:color w:val="000000"/>
          <w:sz w:val="24"/>
        </w:rPr>
        <w:t>8.1重新招标</w:t>
      </w:r>
      <w:bookmarkEnd w:id="201"/>
      <w:bookmarkEnd w:id="202"/>
      <w:bookmarkEnd w:id="203"/>
      <w:bookmarkEnd w:id="204"/>
    </w:p>
    <w:p>
      <w:pPr>
        <w:spacing w:line="400" w:lineRule="exact"/>
        <w:ind w:firstLine="420" w:firstLineChars="200"/>
        <w:rPr>
          <w:color w:val="000000"/>
        </w:rPr>
      </w:pPr>
      <w:bookmarkStart w:id="205" w:name="_Toc152042349"/>
      <w:bookmarkStart w:id="206" w:name="_Toc144974541"/>
      <w:bookmarkStart w:id="207" w:name="_Toc179632591"/>
      <w:bookmarkStart w:id="208" w:name="_Toc152045573"/>
      <w:r>
        <w:rPr>
          <w:rFonts w:hint="eastAsia"/>
          <w:color w:val="000000"/>
        </w:rPr>
        <w:t>有下列情形之一的，招标人将重新招标：</w:t>
      </w:r>
    </w:p>
    <w:p>
      <w:pPr>
        <w:spacing w:line="400" w:lineRule="exact"/>
        <w:ind w:firstLine="359" w:firstLineChars="171"/>
        <w:rPr>
          <w:color w:val="000000"/>
        </w:rPr>
      </w:pPr>
      <w:r>
        <w:rPr>
          <w:rFonts w:hint="eastAsia"/>
          <w:color w:val="000000"/>
        </w:rPr>
        <w:t>（1）投标截止时间止，投标人少于3个的；</w:t>
      </w:r>
    </w:p>
    <w:p>
      <w:pPr>
        <w:spacing w:line="400" w:lineRule="exact"/>
        <w:ind w:firstLine="359" w:firstLineChars="171"/>
        <w:rPr>
          <w:color w:val="000000"/>
        </w:rPr>
      </w:pPr>
      <w:r>
        <w:rPr>
          <w:rFonts w:hint="eastAsia"/>
          <w:color w:val="000000"/>
        </w:rPr>
        <w:t>（</w:t>
      </w:r>
      <w:r>
        <w:rPr>
          <w:color w:val="000000"/>
        </w:rPr>
        <w:t>2</w:t>
      </w:r>
      <w:r>
        <w:rPr>
          <w:rFonts w:hint="eastAsia"/>
          <w:color w:val="000000"/>
        </w:rPr>
        <w:t>）有效投标人少于3家时，招标人应重新组织招标。</w:t>
      </w:r>
    </w:p>
    <w:p>
      <w:pPr>
        <w:rPr>
          <w:rFonts w:ascii="黑体" w:eastAsia="黑体"/>
          <w:color w:val="000000"/>
          <w:sz w:val="24"/>
        </w:rPr>
      </w:pPr>
      <w:r>
        <w:rPr>
          <w:rFonts w:hint="eastAsia" w:ascii="黑体" w:eastAsia="黑体"/>
          <w:color w:val="000000"/>
          <w:sz w:val="24"/>
        </w:rPr>
        <w:t>8.2不再招标</w:t>
      </w:r>
      <w:bookmarkEnd w:id="205"/>
      <w:bookmarkEnd w:id="206"/>
      <w:bookmarkEnd w:id="207"/>
      <w:bookmarkEnd w:id="208"/>
    </w:p>
    <w:p>
      <w:pPr>
        <w:spacing w:line="400" w:lineRule="exact"/>
        <w:ind w:firstLine="420" w:firstLineChars="200"/>
        <w:rPr>
          <w:color w:val="000000"/>
        </w:rPr>
      </w:pPr>
      <w:r>
        <w:rPr>
          <w:rFonts w:hint="eastAsia"/>
          <w:color w:val="000000"/>
        </w:rPr>
        <w:t>重新招标后投标人仍少于3个或者所有投标被否决的，属于必须审批或核准的工程建设项目，经原审批或核准部门批准后不再进行招标。</w:t>
      </w:r>
    </w:p>
    <w:p>
      <w:pPr>
        <w:spacing w:before="312" w:beforeLines="100" w:after="312" w:afterLines="100"/>
        <w:outlineLvl w:val="2"/>
        <w:rPr>
          <w:rFonts w:ascii="黑体" w:eastAsia="黑体"/>
          <w:color w:val="000000"/>
          <w:sz w:val="24"/>
        </w:rPr>
      </w:pPr>
      <w:bookmarkStart w:id="209" w:name="_Toc179632592"/>
      <w:bookmarkStart w:id="210" w:name="_Toc144974542"/>
      <w:bookmarkStart w:id="211" w:name="_Toc295812184"/>
      <w:bookmarkStart w:id="212" w:name="_Toc152042350"/>
      <w:bookmarkStart w:id="213" w:name="_Toc114222737"/>
      <w:bookmarkStart w:id="214" w:name="_Toc152045574"/>
      <w:r>
        <w:rPr>
          <w:rFonts w:hint="eastAsia" w:ascii="黑体" w:eastAsia="黑体"/>
          <w:color w:val="000000"/>
          <w:sz w:val="24"/>
        </w:rPr>
        <w:t>9.纪律和监督</w:t>
      </w:r>
      <w:bookmarkEnd w:id="209"/>
      <w:bookmarkEnd w:id="210"/>
      <w:bookmarkEnd w:id="211"/>
      <w:bookmarkEnd w:id="212"/>
      <w:bookmarkEnd w:id="213"/>
      <w:bookmarkEnd w:id="214"/>
    </w:p>
    <w:p>
      <w:pPr>
        <w:rPr>
          <w:rFonts w:ascii="黑体" w:eastAsia="黑体"/>
          <w:color w:val="000000"/>
          <w:sz w:val="24"/>
        </w:rPr>
      </w:pPr>
      <w:bookmarkStart w:id="215" w:name="_Toc179632593"/>
      <w:bookmarkStart w:id="216" w:name="_Toc152042351"/>
      <w:bookmarkStart w:id="217" w:name="_Toc144974543"/>
      <w:bookmarkStart w:id="218" w:name="_Toc152045575"/>
      <w:r>
        <w:rPr>
          <w:rFonts w:hint="eastAsia" w:ascii="黑体" w:eastAsia="黑体"/>
          <w:color w:val="000000"/>
          <w:sz w:val="24"/>
        </w:rPr>
        <w:t>9.1对招标人的纪律要求</w:t>
      </w:r>
      <w:bookmarkEnd w:id="215"/>
      <w:bookmarkEnd w:id="216"/>
      <w:bookmarkEnd w:id="217"/>
      <w:bookmarkEnd w:id="218"/>
    </w:p>
    <w:p>
      <w:pPr>
        <w:spacing w:line="400" w:lineRule="exact"/>
        <w:ind w:firstLine="420" w:firstLineChars="200"/>
        <w:rPr>
          <w:color w:val="000000"/>
        </w:rPr>
      </w:pPr>
      <w:r>
        <w:rPr>
          <w:rFonts w:hint="eastAsia"/>
          <w:color w:val="000000"/>
        </w:rPr>
        <w:t>招标人不得</w:t>
      </w:r>
      <w:r>
        <w:rPr>
          <w:rFonts w:hint="eastAsia"/>
          <w:color w:val="000000"/>
          <w:lang w:eastAsia="zh-CN"/>
        </w:rPr>
        <w:t>泄露</w:t>
      </w:r>
      <w:r>
        <w:rPr>
          <w:rFonts w:hint="eastAsia"/>
          <w:color w:val="000000"/>
        </w:rPr>
        <w:t>招标投标活动中应当保密的情况和资料，不得与投标人串通损害国家利益、社会公共利益或者他人合法权益。</w:t>
      </w:r>
    </w:p>
    <w:p>
      <w:pPr>
        <w:rPr>
          <w:rFonts w:ascii="黑体" w:eastAsia="黑体"/>
          <w:color w:val="000000"/>
          <w:sz w:val="24"/>
        </w:rPr>
      </w:pPr>
      <w:bookmarkStart w:id="219" w:name="_Toc179632594"/>
      <w:bookmarkStart w:id="220" w:name="_Toc152045576"/>
      <w:bookmarkStart w:id="221" w:name="_Toc152042352"/>
      <w:bookmarkStart w:id="222" w:name="_Toc144974544"/>
      <w:r>
        <w:rPr>
          <w:rFonts w:hint="eastAsia" w:ascii="黑体" w:eastAsia="黑体"/>
          <w:color w:val="000000"/>
          <w:sz w:val="24"/>
        </w:rPr>
        <w:t>9.2对投标人的纪律要求</w:t>
      </w:r>
      <w:bookmarkEnd w:id="219"/>
      <w:bookmarkEnd w:id="220"/>
      <w:bookmarkEnd w:id="221"/>
      <w:bookmarkEnd w:id="222"/>
    </w:p>
    <w:p>
      <w:pPr>
        <w:spacing w:line="400" w:lineRule="exact"/>
        <w:ind w:firstLine="420" w:firstLineChars="200"/>
        <w:rPr>
          <w:color w:val="000000"/>
        </w:rPr>
      </w:pPr>
      <w:r>
        <w:rPr>
          <w:rFonts w:hint="eastAsia"/>
          <w:color w:val="000000"/>
        </w:rPr>
        <w:t>投标人不得相互串通投标或者与招标人串通投标，不得向招标人或者评标委员会成员行贿谋取中标，不得以他人名义投标或者以其他方式弄虚作假骗取中标；投标人不得以任何方式干扰、影响评标工作。</w:t>
      </w:r>
    </w:p>
    <w:p>
      <w:pPr>
        <w:rPr>
          <w:rFonts w:ascii="黑体" w:eastAsia="黑体"/>
          <w:color w:val="000000"/>
          <w:sz w:val="24"/>
        </w:rPr>
      </w:pPr>
      <w:bookmarkStart w:id="223" w:name="_Toc152042353"/>
      <w:bookmarkStart w:id="224" w:name="_Toc144974545"/>
      <w:bookmarkStart w:id="225" w:name="_Toc179632595"/>
      <w:bookmarkStart w:id="226" w:name="_Toc152045577"/>
      <w:r>
        <w:rPr>
          <w:rFonts w:hint="eastAsia" w:ascii="黑体" w:eastAsia="黑体"/>
          <w:color w:val="000000"/>
          <w:sz w:val="24"/>
        </w:rPr>
        <w:t>9.3对评标委员会成员的纪律要求</w:t>
      </w:r>
      <w:bookmarkEnd w:id="223"/>
      <w:bookmarkEnd w:id="224"/>
      <w:bookmarkEnd w:id="225"/>
      <w:bookmarkEnd w:id="226"/>
    </w:p>
    <w:p>
      <w:pPr>
        <w:spacing w:line="400" w:lineRule="exact"/>
        <w:ind w:firstLine="420" w:firstLineChars="200"/>
        <w:rPr>
          <w:color w:val="000000"/>
        </w:rPr>
      </w:pPr>
      <w:r>
        <w:rPr>
          <w:rFonts w:hint="eastAsia"/>
          <w:color w:val="000000"/>
        </w:rPr>
        <w:t>评标委员会成员不得收受他人的财物或者其他好处，不得向他人</w:t>
      </w:r>
      <w:r>
        <w:rPr>
          <w:rFonts w:hint="eastAsia"/>
          <w:color w:val="000000"/>
          <w:lang w:eastAsia="zh-CN"/>
        </w:rPr>
        <w:t>透露</w:t>
      </w:r>
      <w:r>
        <w:rPr>
          <w:rFonts w:hint="eastAsia"/>
          <w:color w:val="000000"/>
        </w:rPr>
        <w:t>对投标文件的评审和比较、中标候选人的推荐情况以及评标有关的其他情况。在评标活动中，评标委员会成员不得擅离职守，影响评标程序正常进行，不得使用第三章“评标办法”没有规定的评审因素和标准进行评标。</w:t>
      </w:r>
    </w:p>
    <w:p>
      <w:pPr>
        <w:rPr>
          <w:rFonts w:ascii="黑体" w:eastAsia="黑体"/>
          <w:color w:val="000000"/>
          <w:sz w:val="24"/>
        </w:rPr>
      </w:pPr>
      <w:bookmarkStart w:id="227" w:name="_Toc152042354"/>
      <w:bookmarkStart w:id="228" w:name="_Toc179632596"/>
      <w:bookmarkStart w:id="229" w:name="_Toc152045578"/>
      <w:bookmarkStart w:id="230" w:name="_Toc144974546"/>
      <w:r>
        <w:rPr>
          <w:rFonts w:hint="eastAsia" w:ascii="黑体" w:eastAsia="黑体"/>
          <w:color w:val="000000"/>
          <w:sz w:val="24"/>
        </w:rPr>
        <w:t>9.4对与评标活动有关的工作人员的纪律要求</w:t>
      </w:r>
      <w:bookmarkEnd w:id="227"/>
      <w:bookmarkEnd w:id="228"/>
      <w:bookmarkEnd w:id="229"/>
    </w:p>
    <w:p>
      <w:pPr>
        <w:spacing w:line="400" w:lineRule="exact"/>
        <w:ind w:firstLine="420" w:firstLineChars="200"/>
        <w:rPr>
          <w:color w:val="000000"/>
        </w:rPr>
      </w:pPr>
      <w:bookmarkStart w:id="231" w:name="_Toc152042355"/>
      <w:r>
        <w:rPr>
          <w:rFonts w:hint="eastAsia"/>
          <w:color w:val="000000"/>
        </w:rPr>
        <w:t>与评标活动有关的工作人员不得收受他人的财物或者其他好处，不得向他人</w:t>
      </w:r>
      <w:r>
        <w:rPr>
          <w:rFonts w:hint="eastAsia"/>
          <w:color w:val="000000"/>
          <w:lang w:eastAsia="zh-CN"/>
        </w:rPr>
        <w:t>透露</w:t>
      </w:r>
      <w:r>
        <w:rPr>
          <w:rFonts w:hint="eastAsia"/>
          <w:color w:val="000000"/>
        </w:rPr>
        <w:t>对投标文件的评审和比较、中标候选人的推荐情况以及评标有关的其他情况。在评标活动中，与评标活动有关的工作人员不得擅离职守，影响评标程序正常进行。</w:t>
      </w:r>
      <w:bookmarkEnd w:id="231"/>
    </w:p>
    <w:p>
      <w:pPr>
        <w:rPr>
          <w:rFonts w:ascii="黑体" w:eastAsia="黑体"/>
          <w:color w:val="000000"/>
          <w:sz w:val="24"/>
        </w:rPr>
      </w:pPr>
      <w:bookmarkStart w:id="232" w:name="_Toc179632597"/>
      <w:bookmarkStart w:id="233" w:name="_Toc152045579"/>
      <w:bookmarkStart w:id="234" w:name="_Toc152042356"/>
      <w:r>
        <w:rPr>
          <w:rFonts w:hint="eastAsia" w:ascii="黑体" w:eastAsia="黑体"/>
          <w:color w:val="000000"/>
          <w:sz w:val="24"/>
        </w:rPr>
        <w:t>9.5投诉</w:t>
      </w:r>
      <w:bookmarkEnd w:id="230"/>
      <w:bookmarkEnd w:id="232"/>
      <w:bookmarkEnd w:id="233"/>
      <w:bookmarkEnd w:id="234"/>
    </w:p>
    <w:p>
      <w:pPr>
        <w:spacing w:line="400" w:lineRule="exact"/>
        <w:ind w:firstLine="420" w:firstLineChars="200"/>
        <w:rPr>
          <w:color w:val="000000"/>
        </w:rPr>
      </w:pPr>
      <w:r>
        <w:rPr>
          <w:rFonts w:hint="eastAsia"/>
          <w:color w:val="000000"/>
        </w:rPr>
        <w:t>投标人和其他利害关系人认为本次招标活动违反法律、法规和规章规定的，有权向有关行政监督部门投诉。</w:t>
      </w:r>
    </w:p>
    <w:p>
      <w:pPr>
        <w:spacing w:before="312" w:beforeLines="100" w:after="312" w:afterLines="100"/>
        <w:outlineLvl w:val="2"/>
        <w:rPr>
          <w:rFonts w:ascii="黑体" w:eastAsia="黑体"/>
          <w:color w:val="000000"/>
          <w:sz w:val="24"/>
        </w:rPr>
      </w:pPr>
      <w:bookmarkStart w:id="235" w:name="_Toc179632598"/>
      <w:bookmarkStart w:id="236" w:name="_Toc152042357"/>
      <w:bookmarkStart w:id="237" w:name="_Toc152045580"/>
      <w:bookmarkStart w:id="238" w:name="_Toc295812185"/>
      <w:bookmarkStart w:id="239" w:name="_Toc144974547"/>
      <w:bookmarkStart w:id="240" w:name="_Toc114222738"/>
      <w:r>
        <w:rPr>
          <w:rFonts w:hint="eastAsia" w:ascii="黑体" w:eastAsia="黑体"/>
          <w:color w:val="000000"/>
          <w:sz w:val="24"/>
        </w:rPr>
        <w:t>10.需要补充的其他内容</w:t>
      </w:r>
      <w:bookmarkEnd w:id="235"/>
      <w:bookmarkEnd w:id="236"/>
      <w:bookmarkEnd w:id="237"/>
      <w:bookmarkEnd w:id="238"/>
      <w:bookmarkEnd w:id="239"/>
      <w:bookmarkEnd w:id="240"/>
    </w:p>
    <w:p>
      <w:pPr>
        <w:spacing w:line="400" w:lineRule="exact"/>
        <w:ind w:firstLine="420" w:firstLineChars="200"/>
        <w:rPr>
          <w:color w:val="000000"/>
        </w:rPr>
      </w:pPr>
      <w:r>
        <w:rPr>
          <w:rFonts w:hint="eastAsia"/>
          <w:color w:val="000000"/>
        </w:rPr>
        <w:t>需要补充的其他内容：见投标人须知前附表。</w:t>
      </w:r>
    </w:p>
    <w:p>
      <w:pPr>
        <w:spacing w:line="400" w:lineRule="exact"/>
        <w:ind w:firstLine="420" w:firstLineChars="200"/>
        <w:rPr>
          <w:color w:val="000000"/>
        </w:rPr>
      </w:pPr>
    </w:p>
    <w:p>
      <w:pPr>
        <w:spacing w:line="400" w:lineRule="exact"/>
        <w:outlineLvl w:val="2"/>
        <w:rPr>
          <w:color w:val="000000"/>
          <w:sz w:val="24"/>
        </w:rPr>
        <w:sectPr>
          <w:pgSz w:w="11906" w:h="16838"/>
          <w:pgMar w:top="1588" w:right="1701" w:bottom="1418" w:left="1701" w:header="851" w:footer="851" w:gutter="0"/>
          <w:pgNumType w:start="1" w:chapStyle="1"/>
          <w:cols w:space="425" w:num="1"/>
          <w:docGrid w:type="lines" w:linePitch="312" w:charSpace="0"/>
        </w:sectPr>
      </w:pPr>
    </w:p>
    <w:p>
      <w:pPr>
        <w:spacing w:before="312" w:beforeLines="100"/>
        <w:outlineLvl w:val="2"/>
        <w:rPr>
          <w:rFonts w:ascii="黑体" w:eastAsia="黑体"/>
          <w:i/>
          <w:iCs/>
          <w:color w:val="000000"/>
          <w:sz w:val="24"/>
        </w:rPr>
      </w:pPr>
      <w:bookmarkStart w:id="241" w:name="_Toc295812186"/>
      <w:bookmarkStart w:id="242" w:name="_Toc114222739"/>
      <w:r>
        <w:rPr>
          <w:rFonts w:hint="eastAsia" w:ascii="黑体" w:eastAsia="黑体"/>
          <w:color w:val="000000"/>
          <w:sz w:val="24"/>
        </w:rPr>
        <w:t>附表一：开标记录表</w:t>
      </w:r>
      <w:bookmarkEnd w:id="241"/>
      <w:r>
        <w:rPr>
          <w:rFonts w:hint="eastAsia" w:ascii="黑体" w:eastAsia="黑体"/>
          <w:i/>
          <w:iCs/>
          <w:color w:val="000000"/>
          <w:sz w:val="24"/>
        </w:rPr>
        <w:t>（系统自动读取生成）</w:t>
      </w:r>
      <w:bookmarkEnd w:id="242"/>
    </w:p>
    <w:p>
      <w:pPr>
        <w:rPr>
          <w:rFonts w:ascii="宋体" w:hAnsi="宋体" w:cs="宋体"/>
          <w:color w:val="000000"/>
          <w:sz w:val="24"/>
        </w:rPr>
      </w:pPr>
    </w:p>
    <w:p>
      <w:pPr>
        <w:pStyle w:val="94"/>
        <w:spacing w:before="60" w:beforeAutospacing="0" w:after="60" w:afterAutospacing="0" w:line="312" w:lineRule="auto"/>
        <w:jc w:val="center"/>
        <w:rPr>
          <w:rFonts w:ascii="楷体" w:hAnsi="楷体" w:eastAsia="楷体" w:cs="Helvetica"/>
          <w:b/>
          <w:bCs/>
          <w:color w:val="333333"/>
          <w:sz w:val="28"/>
          <w:szCs w:val="28"/>
        </w:rPr>
      </w:pPr>
      <w:r>
        <w:rPr>
          <w:rFonts w:hint="eastAsia" w:ascii="楷体" w:hAnsi="楷体" w:eastAsia="楷体" w:cs="Helvetica"/>
          <w:b/>
          <w:bCs/>
          <w:color w:val="333333"/>
          <w:sz w:val="28"/>
          <w:szCs w:val="28"/>
        </w:rPr>
        <w:t>开标记录表</w:t>
      </w:r>
    </w:p>
    <w:p>
      <w:pPr>
        <w:jc w:val="center"/>
        <w:rPr>
          <w:rFonts w:ascii="楷体" w:hAnsi="楷体" w:eastAsia="楷体"/>
        </w:rPr>
      </w:pPr>
      <w:r>
        <w:rPr>
          <w:rFonts w:hint="eastAsia" w:ascii="楷体" w:hAnsi="楷体" w:eastAsia="楷体"/>
        </w:rPr>
        <w:t>项目名称：</w:t>
      </w:r>
      <w:r>
        <w:rPr>
          <w:rFonts w:hint="eastAsia" w:ascii="楷体" w:hAnsi="楷体" w:eastAsia="楷体"/>
          <w:u w:val="single"/>
        </w:rPr>
        <w:t>（自动读取）</w:t>
      </w:r>
      <w:r>
        <w:rPr>
          <w:rFonts w:ascii="楷体" w:hAnsi="楷体" w:eastAsia="楷体"/>
          <w:u w:val="single"/>
        </w:rPr>
        <w:t xml:space="preserve">       </w:t>
      </w:r>
      <w:r>
        <w:rPr>
          <w:rFonts w:ascii="楷体" w:hAnsi="楷体" w:eastAsia="楷体"/>
        </w:rPr>
        <w:t xml:space="preserve"> 项目编号</w:t>
      </w:r>
      <w:r>
        <w:rPr>
          <w:rFonts w:hint="eastAsia" w:ascii="楷体" w:hAnsi="楷体" w:eastAsia="楷体"/>
        </w:rPr>
        <w:t>：</w:t>
      </w:r>
      <w:r>
        <w:rPr>
          <w:rFonts w:hint="eastAsia" w:ascii="楷体" w:hAnsi="楷体" w:eastAsia="楷体"/>
          <w:u w:val="single"/>
        </w:rPr>
        <w:t>（自动读取）</w:t>
      </w:r>
    </w:p>
    <w:p>
      <w:pPr>
        <w:jc w:val="center"/>
        <w:rPr>
          <w:rFonts w:ascii="楷体" w:hAnsi="楷体" w:eastAsia="楷体"/>
        </w:rPr>
      </w:pPr>
      <w:r>
        <w:rPr>
          <w:rFonts w:hint="eastAsia" w:ascii="楷体" w:hAnsi="楷体" w:eastAsia="楷体"/>
        </w:rPr>
        <w:t>标段名称：</w:t>
      </w:r>
      <w:r>
        <w:rPr>
          <w:rFonts w:hint="eastAsia" w:ascii="楷体" w:hAnsi="楷体" w:eastAsia="楷体"/>
          <w:u w:val="single"/>
        </w:rPr>
        <w:t>（自动读取）</w:t>
      </w:r>
      <w:r>
        <w:rPr>
          <w:rFonts w:ascii="楷体" w:hAnsi="楷体" w:eastAsia="楷体"/>
          <w:u w:val="single"/>
        </w:rPr>
        <w:t xml:space="preserve">        </w:t>
      </w:r>
      <w:r>
        <w:rPr>
          <w:rFonts w:ascii="楷体" w:hAnsi="楷体" w:eastAsia="楷体"/>
        </w:rPr>
        <w:t xml:space="preserve"> </w:t>
      </w:r>
      <w:r>
        <w:rPr>
          <w:rFonts w:hint="eastAsia" w:ascii="楷体" w:hAnsi="楷体" w:eastAsia="楷体"/>
        </w:rPr>
        <w:t>标段</w:t>
      </w:r>
      <w:r>
        <w:rPr>
          <w:rFonts w:ascii="楷体" w:hAnsi="楷体" w:eastAsia="楷体"/>
        </w:rPr>
        <w:t>编号</w:t>
      </w:r>
      <w:r>
        <w:rPr>
          <w:rFonts w:hint="eastAsia" w:ascii="楷体" w:hAnsi="楷体" w:eastAsia="楷体"/>
        </w:rPr>
        <w:t>：</w:t>
      </w:r>
      <w:r>
        <w:rPr>
          <w:rFonts w:hint="eastAsia" w:ascii="楷体" w:hAnsi="楷体" w:eastAsia="楷体"/>
          <w:u w:val="single"/>
        </w:rPr>
        <w:t>（自动读取）</w:t>
      </w:r>
    </w:p>
    <w:p>
      <w:pPr>
        <w:jc w:val="center"/>
        <w:rPr>
          <w:rFonts w:ascii="楷体" w:hAnsi="楷体" w:eastAsia="楷体"/>
        </w:rPr>
      </w:pPr>
      <w:r>
        <w:rPr>
          <w:rFonts w:hint="eastAsia" w:ascii="楷体" w:hAnsi="楷体" w:eastAsia="楷体"/>
        </w:rPr>
        <w:t>开标时间：</w:t>
      </w:r>
      <w:r>
        <w:rPr>
          <w:rFonts w:hint="eastAsia" w:ascii="楷体" w:hAnsi="楷体" w:eastAsia="楷体"/>
          <w:u w:val="single"/>
        </w:rPr>
        <w:t>（自动读取）</w:t>
      </w:r>
      <w:r>
        <w:rPr>
          <w:rFonts w:ascii="楷体" w:hAnsi="楷体" w:eastAsia="楷体"/>
          <w:u w:val="single"/>
        </w:rPr>
        <w:t xml:space="preserve">        </w:t>
      </w:r>
      <w:r>
        <w:rPr>
          <w:rFonts w:ascii="楷体" w:hAnsi="楷体" w:eastAsia="楷体"/>
        </w:rPr>
        <w:t xml:space="preserve"> 开标地点</w:t>
      </w:r>
      <w:r>
        <w:rPr>
          <w:rFonts w:hint="eastAsia" w:ascii="楷体" w:hAnsi="楷体" w:eastAsia="楷体"/>
        </w:rPr>
        <w:t>：</w:t>
      </w:r>
      <w:r>
        <w:rPr>
          <w:rFonts w:hint="eastAsia" w:ascii="楷体" w:hAnsi="楷体" w:eastAsia="楷体"/>
          <w:u w:val="single"/>
        </w:rPr>
        <w:t>（自动读取）</w:t>
      </w:r>
    </w:p>
    <w:p>
      <w:pPr>
        <w:ind w:left="2100" w:firstLine="560"/>
        <w:rPr>
          <w:rFonts w:ascii="仿宋" w:hAnsi="仿宋" w:eastAsia="仿宋"/>
          <w:highlight w:val="yellow"/>
        </w:rPr>
      </w:pPr>
    </w:p>
    <w:tbl>
      <w:tblPr>
        <w:tblStyle w:val="37"/>
        <w:tblW w:w="14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075"/>
        <w:gridCol w:w="802"/>
        <w:gridCol w:w="1339"/>
        <w:gridCol w:w="1339"/>
        <w:gridCol w:w="1874"/>
        <w:gridCol w:w="2008"/>
        <w:gridCol w:w="1025"/>
        <w:gridCol w:w="1560"/>
        <w:gridCol w:w="1559"/>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93" w:hRule="atLeast"/>
          <w:jc w:val="center"/>
        </w:trPr>
        <w:tc>
          <w:tcPr>
            <w:tcW w:w="665" w:type="dxa"/>
            <w:vAlign w:val="center"/>
          </w:tcPr>
          <w:p>
            <w:pPr>
              <w:widowControl/>
              <w:jc w:val="center"/>
              <w:rPr>
                <w:rFonts w:ascii="楷体" w:hAnsi="楷体" w:eastAsia="楷体" w:cs="宋体"/>
                <w:bCs/>
                <w:color w:val="000000"/>
                <w:sz w:val="24"/>
              </w:rPr>
            </w:pPr>
            <w:r>
              <w:rPr>
                <w:rFonts w:hint="eastAsia" w:ascii="楷体" w:hAnsi="楷体" w:eastAsia="楷体" w:cs="宋体"/>
                <w:bCs/>
                <w:color w:val="000000"/>
                <w:sz w:val="24"/>
              </w:rPr>
              <w:t>序号</w:t>
            </w:r>
          </w:p>
        </w:tc>
        <w:tc>
          <w:tcPr>
            <w:tcW w:w="1075" w:type="dxa"/>
            <w:vAlign w:val="center"/>
          </w:tcPr>
          <w:p>
            <w:pPr>
              <w:jc w:val="center"/>
              <w:rPr>
                <w:rFonts w:ascii="楷体" w:hAnsi="楷体" w:eastAsia="楷体" w:cs="微软雅黑"/>
                <w:sz w:val="24"/>
              </w:rPr>
            </w:pPr>
            <w:r>
              <w:rPr>
                <w:rFonts w:hint="eastAsia" w:ascii="楷体" w:hAnsi="楷体" w:eastAsia="楷体" w:cs="微软雅黑"/>
                <w:sz w:val="24"/>
              </w:rPr>
              <w:t>投标单位名称</w:t>
            </w:r>
          </w:p>
        </w:tc>
        <w:tc>
          <w:tcPr>
            <w:tcW w:w="802" w:type="dxa"/>
            <w:vAlign w:val="center"/>
          </w:tcPr>
          <w:p>
            <w:pPr>
              <w:jc w:val="center"/>
              <w:rPr>
                <w:rFonts w:ascii="楷体" w:hAnsi="楷体" w:eastAsia="楷体" w:cs="微软雅黑"/>
                <w:sz w:val="24"/>
              </w:rPr>
            </w:pPr>
            <w:r>
              <w:rPr>
                <w:rFonts w:hint="eastAsia" w:ascii="楷体" w:hAnsi="楷体" w:eastAsia="楷体" w:cs="微软雅黑"/>
                <w:sz w:val="24"/>
              </w:rPr>
              <w:t>解密情况</w:t>
            </w:r>
          </w:p>
        </w:tc>
        <w:tc>
          <w:tcPr>
            <w:tcW w:w="1339" w:type="dxa"/>
            <w:vAlign w:val="center"/>
          </w:tcPr>
          <w:p>
            <w:pPr>
              <w:jc w:val="center"/>
              <w:rPr>
                <w:rFonts w:ascii="楷体" w:hAnsi="楷体" w:eastAsia="楷体" w:cs="微软雅黑"/>
                <w:sz w:val="24"/>
              </w:rPr>
            </w:pPr>
            <w:r>
              <w:rPr>
                <w:rFonts w:hint="eastAsia" w:ascii="楷体" w:hAnsi="楷体" w:eastAsia="楷体" w:cs="微软雅黑"/>
                <w:sz w:val="24"/>
              </w:rPr>
              <w:t>企业诚信等级排名</w:t>
            </w:r>
          </w:p>
        </w:tc>
        <w:tc>
          <w:tcPr>
            <w:tcW w:w="1339" w:type="dxa"/>
            <w:vAlign w:val="center"/>
          </w:tcPr>
          <w:p>
            <w:pPr>
              <w:jc w:val="center"/>
              <w:rPr>
                <w:rFonts w:ascii="楷体" w:hAnsi="楷体" w:eastAsia="楷体" w:cs="微软雅黑"/>
                <w:sz w:val="24"/>
              </w:rPr>
            </w:pPr>
            <w:r>
              <w:rPr>
                <w:rFonts w:hint="eastAsia" w:ascii="楷体" w:hAnsi="楷体" w:eastAsia="楷体" w:cs="微软雅黑"/>
                <w:sz w:val="24"/>
              </w:rPr>
              <w:t>项目经理（项目负责人）姓名</w:t>
            </w:r>
          </w:p>
        </w:tc>
        <w:tc>
          <w:tcPr>
            <w:tcW w:w="1874" w:type="dxa"/>
            <w:vAlign w:val="center"/>
          </w:tcPr>
          <w:p>
            <w:pPr>
              <w:jc w:val="center"/>
              <w:rPr>
                <w:rFonts w:ascii="楷体" w:hAnsi="楷体" w:eastAsia="楷体" w:cs="微软雅黑"/>
                <w:sz w:val="24"/>
              </w:rPr>
            </w:pPr>
            <w:r>
              <w:rPr>
                <w:rFonts w:hint="eastAsia" w:ascii="楷体" w:hAnsi="楷体" w:eastAsia="楷体" w:cs="微软雅黑"/>
                <w:sz w:val="24"/>
              </w:rPr>
              <w:t>项目经理（项目负责人）执业资格注册编号</w:t>
            </w:r>
          </w:p>
        </w:tc>
        <w:tc>
          <w:tcPr>
            <w:tcW w:w="2008" w:type="dxa"/>
            <w:vAlign w:val="center"/>
          </w:tcPr>
          <w:p>
            <w:pPr>
              <w:jc w:val="center"/>
              <w:rPr>
                <w:rFonts w:ascii="楷体" w:hAnsi="楷体" w:eastAsia="楷体" w:cs="微软雅黑"/>
                <w:sz w:val="24"/>
              </w:rPr>
            </w:pPr>
            <w:r>
              <w:rPr>
                <w:rFonts w:hint="eastAsia" w:ascii="楷体" w:hAnsi="楷体" w:eastAsia="楷体" w:cs="微软雅黑"/>
                <w:sz w:val="24"/>
              </w:rPr>
              <w:t>项目经理（项目负责人）执业资格证书有效期</w:t>
            </w:r>
          </w:p>
        </w:tc>
        <w:tc>
          <w:tcPr>
            <w:tcW w:w="1025" w:type="dxa"/>
            <w:vAlign w:val="center"/>
          </w:tcPr>
          <w:p>
            <w:pPr>
              <w:jc w:val="center"/>
              <w:rPr>
                <w:rFonts w:ascii="楷体" w:hAnsi="楷体" w:eastAsia="楷体" w:cs="微软雅黑"/>
                <w:sz w:val="24"/>
              </w:rPr>
            </w:pPr>
            <w:r>
              <w:rPr>
                <w:rFonts w:hint="eastAsia" w:ascii="楷体" w:hAnsi="楷体" w:eastAsia="楷体" w:cs="微软雅黑"/>
                <w:sz w:val="24"/>
              </w:rPr>
              <w:t>投标保证金</w:t>
            </w:r>
          </w:p>
        </w:tc>
        <w:tc>
          <w:tcPr>
            <w:tcW w:w="1560" w:type="dxa"/>
            <w:vAlign w:val="center"/>
          </w:tcPr>
          <w:p>
            <w:pPr>
              <w:jc w:val="center"/>
              <w:rPr>
                <w:rFonts w:ascii="楷体" w:hAnsi="楷体" w:eastAsia="楷体" w:cs="微软雅黑"/>
                <w:sz w:val="24"/>
              </w:rPr>
            </w:pPr>
            <w:r>
              <w:rPr>
                <w:rFonts w:hint="eastAsia" w:ascii="楷体" w:hAnsi="楷体" w:eastAsia="楷体" w:cs="微软雅黑"/>
                <w:sz w:val="24"/>
              </w:rPr>
              <w:t>投标总报价</w:t>
            </w:r>
          </w:p>
        </w:tc>
        <w:tc>
          <w:tcPr>
            <w:tcW w:w="1559" w:type="dxa"/>
            <w:vAlign w:val="center"/>
          </w:tcPr>
          <w:p>
            <w:pPr>
              <w:jc w:val="center"/>
              <w:rPr>
                <w:rFonts w:ascii="楷体" w:hAnsi="楷体" w:eastAsia="楷体" w:cs="微软雅黑"/>
                <w:sz w:val="24"/>
              </w:rPr>
            </w:pPr>
            <w:r>
              <w:rPr>
                <w:rFonts w:hint="eastAsia" w:ascii="楷体" w:hAnsi="楷体" w:eastAsia="楷体" w:cs="微软雅黑"/>
                <w:sz w:val="24"/>
              </w:rPr>
              <w:t>质量</w:t>
            </w:r>
          </w:p>
          <w:p>
            <w:pPr>
              <w:jc w:val="center"/>
              <w:rPr>
                <w:rFonts w:ascii="楷体" w:hAnsi="楷体" w:eastAsia="楷体" w:cs="微软雅黑"/>
                <w:sz w:val="24"/>
              </w:rPr>
            </w:pPr>
            <w:r>
              <w:rPr>
                <w:rFonts w:hint="eastAsia" w:ascii="楷体" w:hAnsi="楷体" w:eastAsia="楷体" w:cs="微软雅黑"/>
                <w:sz w:val="24"/>
              </w:rPr>
              <w:t>目标</w:t>
            </w:r>
          </w:p>
        </w:tc>
        <w:tc>
          <w:tcPr>
            <w:tcW w:w="1276" w:type="dxa"/>
            <w:vAlign w:val="center"/>
          </w:tcPr>
          <w:p>
            <w:pPr>
              <w:jc w:val="center"/>
              <w:rPr>
                <w:rFonts w:ascii="楷体" w:hAnsi="楷体" w:eastAsia="楷体" w:cs="微软雅黑"/>
                <w:sz w:val="24"/>
              </w:rPr>
            </w:pPr>
            <w:r>
              <w:rPr>
                <w:rFonts w:hint="eastAsia" w:ascii="楷体" w:hAnsi="楷体" w:eastAsia="楷体" w:cs="微软雅黑"/>
                <w:sz w:val="24"/>
              </w:rPr>
              <w:t>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4" w:hRule="atLeast"/>
          <w:jc w:val="center"/>
        </w:trPr>
        <w:tc>
          <w:tcPr>
            <w:tcW w:w="665" w:type="dxa"/>
            <w:vAlign w:val="center"/>
          </w:tcPr>
          <w:p>
            <w:pPr>
              <w:widowControl/>
              <w:jc w:val="center"/>
              <w:rPr>
                <w:rFonts w:ascii="楷体" w:hAnsi="楷体" w:eastAsia="楷体" w:cs="宋体"/>
                <w:color w:val="000000"/>
                <w:sz w:val="24"/>
                <w:szCs w:val="18"/>
              </w:rPr>
            </w:pPr>
            <w:r>
              <w:rPr>
                <w:rFonts w:ascii="楷体" w:hAnsi="楷体" w:eastAsia="楷体" w:cs="宋体"/>
                <w:color w:val="000000"/>
                <w:sz w:val="24"/>
                <w:szCs w:val="18"/>
              </w:rPr>
              <w:t>1</w:t>
            </w:r>
          </w:p>
        </w:tc>
        <w:tc>
          <w:tcPr>
            <w:tcW w:w="1075" w:type="dxa"/>
            <w:vAlign w:val="center"/>
          </w:tcPr>
          <w:p>
            <w:pPr>
              <w:ind w:firstLine="480"/>
              <w:jc w:val="center"/>
              <w:rPr>
                <w:rFonts w:ascii="楷体" w:hAnsi="楷体" w:eastAsia="楷体" w:cs="微软雅黑"/>
                <w:sz w:val="24"/>
                <w:szCs w:val="18"/>
              </w:rPr>
            </w:pPr>
          </w:p>
        </w:tc>
        <w:tc>
          <w:tcPr>
            <w:tcW w:w="802" w:type="dxa"/>
            <w:vAlign w:val="center"/>
          </w:tcPr>
          <w:p>
            <w:pPr>
              <w:ind w:firstLine="480"/>
              <w:jc w:val="center"/>
              <w:rPr>
                <w:rFonts w:ascii="楷体" w:hAnsi="楷体" w:eastAsia="楷体" w:cs="微软雅黑"/>
                <w:sz w:val="24"/>
              </w:rPr>
            </w:pPr>
          </w:p>
        </w:tc>
        <w:tc>
          <w:tcPr>
            <w:tcW w:w="1339" w:type="dxa"/>
            <w:vAlign w:val="center"/>
          </w:tcPr>
          <w:p>
            <w:pPr>
              <w:ind w:firstLine="480"/>
              <w:jc w:val="center"/>
              <w:rPr>
                <w:rFonts w:ascii="楷体" w:hAnsi="楷体" w:eastAsia="楷体" w:cs="微软雅黑"/>
                <w:sz w:val="24"/>
              </w:rPr>
            </w:pPr>
          </w:p>
        </w:tc>
        <w:tc>
          <w:tcPr>
            <w:tcW w:w="1339" w:type="dxa"/>
            <w:vAlign w:val="center"/>
          </w:tcPr>
          <w:p>
            <w:pPr>
              <w:ind w:firstLine="480"/>
              <w:jc w:val="center"/>
              <w:rPr>
                <w:rFonts w:ascii="楷体" w:hAnsi="楷体" w:eastAsia="楷体" w:cs="微软雅黑"/>
                <w:sz w:val="24"/>
              </w:rPr>
            </w:pPr>
          </w:p>
        </w:tc>
        <w:tc>
          <w:tcPr>
            <w:tcW w:w="1874" w:type="dxa"/>
            <w:vAlign w:val="center"/>
          </w:tcPr>
          <w:p>
            <w:pPr>
              <w:ind w:firstLine="480"/>
              <w:jc w:val="center"/>
              <w:rPr>
                <w:rFonts w:ascii="楷体" w:hAnsi="楷体" w:eastAsia="楷体" w:cs="微软雅黑"/>
                <w:sz w:val="24"/>
              </w:rPr>
            </w:pPr>
          </w:p>
        </w:tc>
        <w:tc>
          <w:tcPr>
            <w:tcW w:w="2008" w:type="dxa"/>
            <w:vAlign w:val="center"/>
          </w:tcPr>
          <w:p>
            <w:pPr>
              <w:ind w:firstLine="480"/>
              <w:jc w:val="center"/>
              <w:rPr>
                <w:rFonts w:ascii="楷体" w:hAnsi="楷体" w:eastAsia="楷体" w:cs="微软雅黑"/>
                <w:sz w:val="24"/>
              </w:rPr>
            </w:pPr>
          </w:p>
        </w:tc>
        <w:tc>
          <w:tcPr>
            <w:tcW w:w="1025" w:type="dxa"/>
            <w:vAlign w:val="center"/>
          </w:tcPr>
          <w:p>
            <w:pPr>
              <w:ind w:firstLine="480"/>
              <w:jc w:val="center"/>
              <w:rPr>
                <w:rFonts w:ascii="楷体" w:hAnsi="楷体" w:eastAsia="楷体" w:cs="微软雅黑"/>
                <w:sz w:val="24"/>
              </w:rPr>
            </w:pPr>
          </w:p>
        </w:tc>
        <w:tc>
          <w:tcPr>
            <w:tcW w:w="1560" w:type="dxa"/>
            <w:vAlign w:val="center"/>
          </w:tcPr>
          <w:p>
            <w:pPr>
              <w:ind w:firstLine="480"/>
              <w:jc w:val="center"/>
              <w:rPr>
                <w:rFonts w:ascii="楷体" w:hAnsi="楷体" w:eastAsia="楷体" w:cs="微软雅黑"/>
                <w:sz w:val="24"/>
              </w:rPr>
            </w:pPr>
          </w:p>
        </w:tc>
        <w:tc>
          <w:tcPr>
            <w:tcW w:w="1559" w:type="dxa"/>
            <w:vAlign w:val="center"/>
          </w:tcPr>
          <w:p>
            <w:pPr>
              <w:ind w:firstLine="480"/>
              <w:jc w:val="center"/>
              <w:rPr>
                <w:rFonts w:ascii="楷体" w:hAnsi="楷体" w:eastAsia="楷体" w:cs="微软雅黑"/>
                <w:sz w:val="24"/>
              </w:rPr>
            </w:pPr>
          </w:p>
        </w:tc>
        <w:tc>
          <w:tcPr>
            <w:tcW w:w="1276" w:type="dxa"/>
            <w:vAlign w:val="center"/>
          </w:tcPr>
          <w:p>
            <w:pPr>
              <w:ind w:firstLine="480"/>
              <w:jc w:val="center"/>
              <w:rPr>
                <w:rFonts w:ascii="楷体" w:hAnsi="楷体" w:eastAsia="楷体" w:cs="微软雅黑"/>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4" w:hRule="atLeast"/>
          <w:jc w:val="center"/>
        </w:trPr>
        <w:tc>
          <w:tcPr>
            <w:tcW w:w="665" w:type="dxa"/>
            <w:vAlign w:val="center"/>
          </w:tcPr>
          <w:p>
            <w:pPr>
              <w:widowControl/>
              <w:jc w:val="center"/>
              <w:rPr>
                <w:rFonts w:ascii="楷体" w:hAnsi="楷体" w:eastAsia="楷体" w:cs="宋体"/>
                <w:color w:val="000000"/>
                <w:sz w:val="24"/>
                <w:szCs w:val="18"/>
              </w:rPr>
            </w:pPr>
            <w:r>
              <w:rPr>
                <w:rFonts w:hint="eastAsia" w:ascii="楷体" w:hAnsi="楷体" w:eastAsia="楷体" w:cs="宋体"/>
                <w:color w:val="000000"/>
                <w:sz w:val="24"/>
                <w:szCs w:val="18"/>
              </w:rPr>
              <w:t>2</w:t>
            </w:r>
          </w:p>
        </w:tc>
        <w:tc>
          <w:tcPr>
            <w:tcW w:w="1075" w:type="dxa"/>
            <w:vAlign w:val="center"/>
          </w:tcPr>
          <w:p>
            <w:pPr>
              <w:ind w:firstLine="480"/>
              <w:jc w:val="center"/>
              <w:rPr>
                <w:rFonts w:ascii="楷体" w:hAnsi="楷体" w:eastAsia="楷体" w:cs="微软雅黑"/>
                <w:sz w:val="24"/>
                <w:szCs w:val="18"/>
              </w:rPr>
            </w:pPr>
          </w:p>
        </w:tc>
        <w:tc>
          <w:tcPr>
            <w:tcW w:w="802" w:type="dxa"/>
            <w:vAlign w:val="center"/>
          </w:tcPr>
          <w:p>
            <w:pPr>
              <w:ind w:firstLine="480"/>
              <w:jc w:val="center"/>
              <w:rPr>
                <w:rFonts w:ascii="楷体" w:hAnsi="楷体" w:eastAsia="楷体" w:cs="微软雅黑"/>
                <w:sz w:val="24"/>
              </w:rPr>
            </w:pPr>
          </w:p>
        </w:tc>
        <w:tc>
          <w:tcPr>
            <w:tcW w:w="1339" w:type="dxa"/>
            <w:vAlign w:val="center"/>
          </w:tcPr>
          <w:p>
            <w:pPr>
              <w:ind w:firstLine="480"/>
              <w:jc w:val="center"/>
              <w:rPr>
                <w:rFonts w:ascii="楷体" w:hAnsi="楷体" w:eastAsia="楷体" w:cs="微软雅黑"/>
                <w:sz w:val="24"/>
              </w:rPr>
            </w:pPr>
          </w:p>
        </w:tc>
        <w:tc>
          <w:tcPr>
            <w:tcW w:w="1339" w:type="dxa"/>
            <w:vAlign w:val="center"/>
          </w:tcPr>
          <w:p>
            <w:pPr>
              <w:ind w:firstLine="480"/>
              <w:jc w:val="center"/>
              <w:rPr>
                <w:rFonts w:ascii="楷体" w:hAnsi="楷体" w:eastAsia="楷体" w:cs="微软雅黑"/>
                <w:sz w:val="24"/>
              </w:rPr>
            </w:pPr>
          </w:p>
        </w:tc>
        <w:tc>
          <w:tcPr>
            <w:tcW w:w="1874" w:type="dxa"/>
            <w:vAlign w:val="center"/>
          </w:tcPr>
          <w:p>
            <w:pPr>
              <w:ind w:firstLine="480"/>
              <w:jc w:val="center"/>
              <w:rPr>
                <w:rFonts w:ascii="楷体" w:hAnsi="楷体" w:eastAsia="楷体" w:cs="微软雅黑"/>
                <w:sz w:val="24"/>
              </w:rPr>
            </w:pPr>
          </w:p>
        </w:tc>
        <w:tc>
          <w:tcPr>
            <w:tcW w:w="2008" w:type="dxa"/>
            <w:vAlign w:val="center"/>
          </w:tcPr>
          <w:p>
            <w:pPr>
              <w:ind w:firstLine="480"/>
              <w:jc w:val="center"/>
              <w:rPr>
                <w:rFonts w:ascii="楷体" w:hAnsi="楷体" w:eastAsia="楷体" w:cs="微软雅黑"/>
                <w:sz w:val="24"/>
              </w:rPr>
            </w:pPr>
          </w:p>
        </w:tc>
        <w:tc>
          <w:tcPr>
            <w:tcW w:w="1025" w:type="dxa"/>
            <w:vAlign w:val="center"/>
          </w:tcPr>
          <w:p>
            <w:pPr>
              <w:ind w:firstLine="480"/>
              <w:jc w:val="center"/>
              <w:rPr>
                <w:rFonts w:ascii="楷体" w:hAnsi="楷体" w:eastAsia="楷体" w:cs="微软雅黑"/>
                <w:sz w:val="24"/>
              </w:rPr>
            </w:pPr>
          </w:p>
        </w:tc>
        <w:tc>
          <w:tcPr>
            <w:tcW w:w="1560" w:type="dxa"/>
            <w:vAlign w:val="center"/>
          </w:tcPr>
          <w:p>
            <w:pPr>
              <w:ind w:firstLine="480"/>
              <w:jc w:val="center"/>
              <w:rPr>
                <w:rFonts w:ascii="楷体" w:hAnsi="楷体" w:eastAsia="楷体" w:cs="微软雅黑"/>
                <w:sz w:val="24"/>
              </w:rPr>
            </w:pPr>
          </w:p>
        </w:tc>
        <w:tc>
          <w:tcPr>
            <w:tcW w:w="1559" w:type="dxa"/>
            <w:vAlign w:val="center"/>
          </w:tcPr>
          <w:p>
            <w:pPr>
              <w:ind w:firstLine="480"/>
              <w:jc w:val="center"/>
              <w:rPr>
                <w:rFonts w:ascii="楷体" w:hAnsi="楷体" w:eastAsia="楷体" w:cs="微软雅黑"/>
                <w:sz w:val="24"/>
              </w:rPr>
            </w:pPr>
          </w:p>
        </w:tc>
        <w:tc>
          <w:tcPr>
            <w:tcW w:w="1276" w:type="dxa"/>
            <w:vAlign w:val="center"/>
          </w:tcPr>
          <w:p>
            <w:pPr>
              <w:ind w:firstLine="480"/>
              <w:jc w:val="center"/>
              <w:rPr>
                <w:rFonts w:ascii="楷体" w:hAnsi="楷体" w:eastAsia="楷体" w:cs="微软雅黑"/>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4" w:hRule="atLeast"/>
          <w:jc w:val="center"/>
        </w:trPr>
        <w:tc>
          <w:tcPr>
            <w:tcW w:w="665" w:type="dxa"/>
            <w:vAlign w:val="center"/>
          </w:tcPr>
          <w:p>
            <w:pPr>
              <w:widowControl/>
              <w:jc w:val="center"/>
              <w:rPr>
                <w:rFonts w:ascii="楷体" w:hAnsi="楷体" w:eastAsia="楷体" w:cs="宋体"/>
                <w:color w:val="000000"/>
                <w:sz w:val="24"/>
                <w:szCs w:val="18"/>
              </w:rPr>
            </w:pPr>
            <w:r>
              <w:rPr>
                <w:rFonts w:hint="eastAsia" w:ascii="楷体" w:hAnsi="楷体" w:eastAsia="楷体" w:cs="宋体"/>
                <w:color w:val="000000"/>
                <w:sz w:val="24"/>
                <w:szCs w:val="18"/>
              </w:rPr>
              <w:t>3</w:t>
            </w:r>
          </w:p>
        </w:tc>
        <w:tc>
          <w:tcPr>
            <w:tcW w:w="1075" w:type="dxa"/>
            <w:vAlign w:val="center"/>
          </w:tcPr>
          <w:p>
            <w:pPr>
              <w:ind w:firstLine="480"/>
              <w:jc w:val="center"/>
              <w:rPr>
                <w:rFonts w:ascii="楷体" w:hAnsi="楷体" w:eastAsia="楷体" w:cs="微软雅黑"/>
                <w:sz w:val="24"/>
                <w:szCs w:val="18"/>
              </w:rPr>
            </w:pPr>
          </w:p>
        </w:tc>
        <w:tc>
          <w:tcPr>
            <w:tcW w:w="802" w:type="dxa"/>
            <w:vAlign w:val="center"/>
          </w:tcPr>
          <w:p>
            <w:pPr>
              <w:ind w:firstLine="480"/>
              <w:jc w:val="center"/>
              <w:rPr>
                <w:rFonts w:ascii="楷体" w:hAnsi="楷体" w:eastAsia="楷体" w:cs="微软雅黑"/>
                <w:sz w:val="24"/>
              </w:rPr>
            </w:pPr>
          </w:p>
        </w:tc>
        <w:tc>
          <w:tcPr>
            <w:tcW w:w="1339" w:type="dxa"/>
            <w:vAlign w:val="center"/>
          </w:tcPr>
          <w:p>
            <w:pPr>
              <w:ind w:firstLine="480"/>
              <w:jc w:val="center"/>
              <w:rPr>
                <w:rFonts w:ascii="楷体" w:hAnsi="楷体" w:eastAsia="楷体" w:cs="微软雅黑"/>
                <w:sz w:val="24"/>
              </w:rPr>
            </w:pPr>
          </w:p>
        </w:tc>
        <w:tc>
          <w:tcPr>
            <w:tcW w:w="1339" w:type="dxa"/>
            <w:vAlign w:val="center"/>
          </w:tcPr>
          <w:p>
            <w:pPr>
              <w:ind w:firstLine="480"/>
              <w:jc w:val="center"/>
              <w:rPr>
                <w:rFonts w:ascii="楷体" w:hAnsi="楷体" w:eastAsia="楷体" w:cs="微软雅黑"/>
                <w:sz w:val="24"/>
              </w:rPr>
            </w:pPr>
          </w:p>
        </w:tc>
        <w:tc>
          <w:tcPr>
            <w:tcW w:w="1874" w:type="dxa"/>
            <w:vAlign w:val="center"/>
          </w:tcPr>
          <w:p>
            <w:pPr>
              <w:ind w:firstLine="480"/>
              <w:jc w:val="center"/>
              <w:rPr>
                <w:rFonts w:ascii="楷体" w:hAnsi="楷体" w:eastAsia="楷体" w:cs="微软雅黑"/>
                <w:sz w:val="24"/>
              </w:rPr>
            </w:pPr>
          </w:p>
        </w:tc>
        <w:tc>
          <w:tcPr>
            <w:tcW w:w="2008" w:type="dxa"/>
            <w:vAlign w:val="center"/>
          </w:tcPr>
          <w:p>
            <w:pPr>
              <w:ind w:firstLine="480"/>
              <w:jc w:val="center"/>
              <w:rPr>
                <w:rFonts w:ascii="楷体" w:hAnsi="楷体" w:eastAsia="楷体" w:cs="微软雅黑"/>
                <w:sz w:val="24"/>
              </w:rPr>
            </w:pPr>
          </w:p>
        </w:tc>
        <w:tc>
          <w:tcPr>
            <w:tcW w:w="1025" w:type="dxa"/>
            <w:vAlign w:val="center"/>
          </w:tcPr>
          <w:p>
            <w:pPr>
              <w:ind w:firstLine="480"/>
              <w:jc w:val="center"/>
              <w:rPr>
                <w:rFonts w:ascii="楷体" w:hAnsi="楷体" w:eastAsia="楷体" w:cs="微软雅黑"/>
                <w:sz w:val="24"/>
              </w:rPr>
            </w:pPr>
          </w:p>
        </w:tc>
        <w:tc>
          <w:tcPr>
            <w:tcW w:w="1560" w:type="dxa"/>
            <w:vAlign w:val="center"/>
          </w:tcPr>
          <w:p>
            <w:pPr>
              <w:ind w:firstLine="480"/>
              <w:jc w:val="center"/>
              <w:rPr>
                <w:rFonts w:ascii="楷体" w:hAnsi="楷体" w:eastAsia="楷体" w:cs="微软雅黑"/>
                <w:sz w:val="24"/>
              </w:rPr>
            </w:pPr>
          </w:p>
        </w:tc>
        <w:tc>
          <w:tcPr>
            <w:tcW w:w="1559" w:type="dxa"/>
            <w:vAlign w:val="center"/>
          </w:tcPr>
          <w:p>
            <w:pPr>
              <w:ind w:firstLine="480"/>
              <w:jc w:val="center"/>
              <w:rPr>
                <w:rFonts w:ascii="楷体" w:hAnsi="楷体" w:eastAsia="楷体" w:cs="微软雅黑"/>
                <w:sz w:val="24"/>
              </w:rPr>
            </w:pPr>
          </w:p>
        </w:tc>
        <w:tc>
          <w:tcPr>
            <w:tcW w:w="1276" w:type="dxa"/>
            <w:vAlign w:val="center"/>
          </w:tcPr>
          <w:p>
            <w:pPr>
              <w:ind w:firstLine="480"/>
              <w:jc w:val="center"/>
              <w:rPr>
                <w:rFonts w:ascii="楷体" w:hAnsi="楷体" w:eastAsia="楷体" w:cs="微软雅黑"/>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2" w:hRule="atLeast"/>
          <w:jc w:val="center"/>
        </w:trPr>
        <w:tc>
          <w:tcPr>
            <w:tcW w:w="665" w:type="dxa"/>
            <w:vAlign w:val="center"/>
          </w:tcPr>
          <w:p>
            <w:pPr>
              <w:widowControl/>
              <w:jc w:val="center"/>
              <w:rPr>
                <w:rFonts w:ascii="楷体" w:hAnsi="楷体" w:eastAsia="楷体" w:cs="宋体"/>
                <w:color w:val="000000"/>
                <w:sz w:val="24"/>
                <w:szCs w:val="18"/>
              </w:rPr>
            </w:pPr>
            <w:r>
              <w:rPr>
                <w:rFonts w:hint="eastAsia" w:ascii="楷体" w:hAnsi="楷体" w:eastAsia="楷体" w:cs="宋体"/>
                <w:color w:val="000000"/>
                <w:sz w:val="24"/>
                <w:szCs w:val="18"/>
              </w:rPr>
              <w:t>……</w:t>
            </w:r>
          </w:p>
        </w:tc>
        <w:tc>
          <w:tcPr>
            <w:tcW w:w="1075" w:type="dxa"/>
            <w:vAlign w:val="center"/>
          </w:tcPr>
          <w:p>
            <w:pPr>
              <w:ind w:firstLine="480"/>
              <w:jc w:val="center"/>
              <w:rPr>
                <w:rFonts w:ascii="楷体" w:hAnsi="楷体" w:eastAsia="楷体" w:cs="微软雅黑"/>
                <w:sz w:val="24"/>
                <w:szCs w:val="18"/>
              </w:rPr>
            </w:pPr>
          </w:p>
        </w:tc>
        <w:tc>
          <w:tcPr>
            <w:tcW w:w="802" w:type="dxa"/>
            <w:vAlign w:val="center"/>
          </w:tcPr>
          <w:p>
            <w:pPr>
              <w:ind w:firstLine="480"/>
              <w:jc w:val="center"/>
              <w:rPr>
                <w:rFonts w:ascii="楷体" w:hAnsi="楷体" w:eastAsia="楷体" w:cs="微软雅黑"/>
                <w:sz w:val="24"/>
              </w:rPr>
            </w:pPr>
          </w:p>
        </w:tc>
        <w:tc>
          <w:tcPr>
            <w:tcW w:w="1339" w:type="dxa"/>
            <w:vAlign w:val="center"/>
          </w:tcPr>
          <w:p>
            <w:pPr>
              <w:ind w:firstLine="480"/>
              <w:jc w:val="center"/>
              <w:rPr>
                <w:rFonts w:ascii="楷体" w:hAnsi="楷体" w:eastAsia="楷体" w:cs="微软雅黑"/>
                <w:sz w:val="24"/>
              </w:rPr>
            </w:pPr>
          </w:p>
        </w:tc>
        <w:tc>
          <w:tcPr>
            <w:tcW w:w="1339" w:type="dxa"/>
            <w:vAlign w:val="center"/>
          </w:tcPr>
          <w:p>
            <w:pPr>
              <w:ind w:firstLine="480"/>
              <w:jc w:val="center"/>
              <w:rPr>
                <w:rFonts w:ascii="楷体" w:hAnsi="楷体" w:eastAsia="楷体" w:cs="微软雅黑"/>
                <w:sz w:val="24"/>
              </w:rPr>
            </w:pPr>
          </w:p>
        </w:tc>
        <w:tc>
          <w:tcPr>
            <w:tcW w:w="1874" w:type="dxa"/>
            <w:vAlign w:val="center"/>
          </w:tcPr>
          <w:p>
            <w:pPr>
              <w:ind w:firstLine="480"/>
              <w:jc w:val="center"/>
              <w:rPr>
                <w:rFonts w:ascii="楷体" w:hAnsi="楷体" w:eastAsia="楷体" w:cs="微软雅黑"/>
                <w:sz w:val="24"/>
              </w:rPr>
            </w:pPr>
          </w:p>
        </w:tc>
        <w:tc>
          <w:tcPr>
            <w:tcW w:w="2008" w:type="dxa"/>
            <w:vAlign w:val="center"/>
          </w:tcPr>
          <w:p>
            <w:pPr>
              <w:ind w:firstLine="480"/>
              <w:jc w:val="center"/>
              <w:rPr>
                <w:rFonts w:ascii="楷体" w:hAnsi="楷体" w:eastAsia="楷体" w:cs="微软雅黑"/>
                <w:sz w:val="24"/>
              </w:rPr>
            </w:pPr>
          </w:p>
        </w:tc>
        <w:tc>
          <w:tcPr>
            <w:tcW w:w="1025" w:type="dxa"/>
            <w:vAlign w:val="center"/>
          </w:tcPr>
          <w:p>
            <w:pPr>
              <w:ind w:firstLine="480"/>
              <w:jc w:val="center"/>
              <w:rPr>
                <w:rFonts w:ascii="楷体" w:hAnsi="楷体" w:eastAsia="楷体" w:cs="微软雅黑"/>
                <w:sz w:val="24"/>
              </w:rPr>
            </w:pPr>
          </w:p>
        </w:tc>
        <w:tc>
          <w:tcPr>
            <w:tcW w:w="1560" w:type="dxa"/>
            <w:vAlign w:val="center"/>
          </w:tcPr>
          <w:p>
            <w:pPr>
              <w:ind w:firstLine="480"/>
              <w:jc w:val="center"/>
              <w:rPr>
                <w:rFonts w:ascii="楷体" w:hAnsi="楷体" w:eastAsia="楷体" w:cs="微软雅黑"/>
                <w:sz w:val="24"/>
              </w:rPr>
            </w:pPr>
          </w:p>
        </w:tc>
        <w:tc>
          <w:tcPr>
            <w:tcW w:w="1559" w:type="dxa"/>
            <w:vAlign w:val="center"/>
          </w:tcPr>
          <w:p>
            <w:pPr>
              <w:ind w:firstLine="480"/>
              <w:jc w:val="center"/>
              <w:rPr>
                <w:rFonts w:ascii="楷体" w:hAnsi="楷体" w:eastAsia="楷体" w:cs="微软雅黑"/>
                <w:sz w:val="24"/>
              </w:rPr>
            </w:pPr>
          </w:p>
        </w:tc>
        <w:tc>
          <w:tcPr>
            <w:tcW w:w="1276" w:type="dxa"/>
            <w:vAlign w:val="center"/>
          </w:tcPr>
          <w:p>
            <w:pPr>
              <w:ind w:firstLine="480"/>
              <w:jc w:val="center"/>
              <w:rPr>
                <w:rFonts w:ascii="楷体" w:hAnsi="楷体" w:eastAsia="楷体" w:cs="微软雅黑"/>
                <w:sz w:val="24"/>
              </w:rPr>
            </w:pPr>
          </w:p>
        </w:tc>
      </w:tr>
    </w:tbl>
    <w:p>
      <w:pPr>
        <w:spacing w:line="360" w:lineRule="auto"/>
        <w:ind w:firstLine="210" w:firstLineChars="100"/>
        <w:rPr>
          <w:rFonts w:ascii="楷体" w:hAnsi="楷体" w:eastAsia="楷体"/>
        </w:rPr>
      </w:pPr>
      <w:r>
        <w:rPr>
          <w:rFonts w:hint="eastAsia" w:ascii="楷体" w:hAnsi="楷体" w:eastAsia="楷体"/>
        </w:rPr>
        <w:t>招标代理代表：</w:t>
      </w:r>
      <w:r>
        <w:rPr>
          <w:rFonts w:hint="eastAsia" w:ascii="楷体" w:hAnsi="楷体" w:eastAsia="楷体"/>
          <w:u w:val="single"/>
        </w:rPr>
        <w:t>（自动读取）</w:t>
      </w:r>
      <w:r>
        <w:rPr>
          <w:rFonts w:ascii="楷体" w:hAnsi="楷体" w:eastAsia="楷体"/>
          <w:u w:val="single"/>
        </w:rPr>
        <w:t xml:space="preserve"> </w:t>
      </w:r>
      <w:r>
        <w:rPr>
          <w:rFonts w:ascii="楷体" w:hAnsi="楷体" w:eastAsia="楷体"/>
        </w:rPr>
        <w:tab/>
      </w:r>
      <w:r>
        <w:rPr>
          <w:rFonts w:ascii="楷体" w:hAnsi="楷体" w:eastAsia="楷体"/>
        </w:rPr>
        <w:tab/>
      </w:r>
    </w:p>
    <w:p>
      <w:pPr>
        <w:spacing w:line="360" w:lineRule="auto"/>
        <w:ind w:firstLine="210" w:firstLineChars="100"/>
        <w:rPr>
          <w:rFonts w:ascii="楷体" w:hAnsi="楷体" w:eastAsia="楷体"/>
        </w:rPr>
      </w:pPr>
      <w:r>
        <w:rPr>
          <w:rFonts w:hint="eastAsia" w:ascii="楷体" w:hAnsi="楷体" w:eastAsia="楷体"/>
        </w:rPr>
        <w:t>监标人：</w:t>
      </w:r>
      <w:r>
        <w:rPr>
          <w:rFonts w:hint="eastAsia" w:ascii="楷体" w:hAnsi="楷体" w:eastAsia="楷体"/>
          <w:u w:val="single"/>
        </w:rPr>
        <w:t>（自动读取）</w:t>
      </w:r>
      <w:r>
        <w:rPr>
          <w:rFonts w:ascii="楷体" w:hAnsi="楷体" w:eastAsia="楷体"/>
          <w:u w:val="single"/>
        </w:rPr>
        <w:t xml:space="preserve">       </w:t>
      </w:r>
      <w:r>
        <w:rPr>
          <w:rFonts w:ascii="楷体" w:hAnsi="楷体" w:eastAsia="楷体"/>
        </w:rPr>
        <w:t xml:space="preserve">   </w:t>
      </w:r>
      <w:r>
        <w:rPr>
          <w:rFonts w:ascii="楷体" w:hAnsi="楷体" w:eastAsia="楷体"/>
        </w:rPr>
        <w:tab/>
      </w:r>
      <w:r>
        <w:rPr>
          <w:rFonts w:ascii="楷体" w:hAnsi="楷体" w:eastAsia="楷体"/>
        </w:rPr>
        <w:tab/>
      </w:r>
      <w:r>
        <w:rPr>
          <w:rFonts w:ascii="楷体" w:hAnsi="楷体" w:eastAsia="楷体"/>
        </w:rPr>
        <w:tab/>
      </w:r>
      <w:r>
        <w:rPr>
          <w:rFonts w:ascii="楷体" w:hAnsi="楷体" w:eastAsia="楷体"/>
        </w:rPr>
        <w:tab/>
      </w:r>
      <w:r>
        <w:rPr>
          <w:rFonts w:ascii="楷体" w:hAnsi="楷体" w:eastAsia="楷体"/>
        </w:rPr>
        <w:tab/>
      </w:r>
      <w:r>
        <w:rPr>
          <w:rFonts w:ascii="楷体" w:hAnsi="楷体" w:eastAsia="楷体"/>
        </w:rPr>
        <w:tab/>
      </w:r>
      <w:r>
        <w:rPr>
          <w:rFonts w:ascii="楷体" w:hAnsi="楷体" w:eastAsia="楷体"/>
        </w:rPr>
        <w:tab/>
      </w:r>
      <w:r>
        <w:rPr>
          <w:rFonts w:ascii="楷体" w:hAnsi="楷体" w:eastAsia="楷体"/>
        </w:rPr>
        <w:tab/>
      </w:r>
      <w:r>
        <w:rPr>
          <w:rFonts w:ascii="楷体" w:hAnsi="楷体" w:eastAsia="楷体"/>
        </w:rPr>
        <w:t xml:space="preserve">           </w:t>
      </w:r>
    </w:p>
    <w:p>
      <w:pPr>
        <w:jc w:val="left"/>
        <w:rPr>
          <w:rFonts w:ascii="楷体" w:hAnsi="楷体" w:eastAsia="楷体"/>
          <w:b/>
          <w:bCs/>
          <w:sz w:val="32"/>
          <w:szCs w:val="32"/>
        </w:rPr>
      </w:pPr>
      <w:r>
        <w:rPr>
          <w:rFonts w:ascii="楷体" w:hAnsi="楷体" w:eastAsia="楷体"/>
        </w:rPr>
        <w:t xml:space="preserve">        </w:t>
      </w:r>
      <w:r>
        <w:rPr>
          <w:rFonts w:ascii="楷体" w:hAnsi="楷体" w:eastAsia="楷体"/>
        </w:rPr>
        <w:tab/>
      </w:r>
      <w:r>
        <w:rPr>
          <w:rFonts w:ascii="楷体" w:hAnsi="楷体" w:eastAsia="楷体"/>
        </w:rPr>
        <w:tab/>
      </w:r>
      <w:r>
        <w:rPr>
          <w:rFonts w:ascii="楷体" w:hAnsi="楷体" w:eastAsia="楷体"/>
        </w:rPr>
        <w:tab/>
      </w:r>
      <w:r>
        <w:rPr>
          <w:rFonts w:ascii="楷体" w:hAnsi="楷体" w:eastAsia="楷体"/>
        </w:rPr>
        <w:tab/>
      </w:r>
      <w:r>
        <w:rPr>
          <w:rFonts w:ascii="楷体" w:hAnsi="楷体" w:eastAsia="楷体"/>
        </w:rPr>
        <w:tab/>
      </w:r>
      <w:r>
        <w:rPr>
          <w:rFonts w:ascii="楷体" w:hAnsi="楷体" w:eastAsia="楷体"/>
        </w:rPr>
        <w:tab/>
      </w:r>
      <w:r>
        <w:rPr>
          <w:rFonts w:ascii="楷体" w:hAnsi="楷体" w:eastAsia="楷体"/>
        </w:rPr>
        <w:tab/>
      </w:r>
      <w:r>
        <w:rPr>
          <w:rFonts w:ascii="楷体" w:hAnsi="楷体" w:eastAsia="楷体"/>
        </w:rPr>
        <w:tab/>
      </w:r>
      <w:r>
        <w:rPr>
          <w:rFonts w:hint="eastAsia" w:ascii="楷体" w:hAnsi="楷体" w:eastAsia="楷体"/>
        </w:rPr>
        <w:t>XX年XX</w:t>
      </w:r>
      <w:r>
        <w:rPr>
          <w:rFonts w:ascii="楷体" w:hAnsi="楷体" w:eastAsia="楷体"/>
        </w:rPr>
        <w:t>月</w:t>
      </w:r>
      <w:r>
        <w:rPr>
          <w:rFonts w:hint="eastAsia" w:ascii="楷体" w:hAnsi="楷体" w:eastAsia="楷体"/>
        </w:rPr>
        <w:t>XX</w:t>
      </w:r>
      <w:r>
        <w:rPr>
          <w:rFonts w:ascii="楷体" w:hAnsi="楷体" w:eastAsia="楷体"/>
        </w:rPr>
        <w:t>日</w:t>
      </w:r>
      <w:r>
        <w:rPr>
          <w:rFonts w:hint="eastAsia" w:ascii="楷体" w:hAnsi="楷体" w:eastAsia="楷体"/>
        </w:rPr>
        <w:t>（自动读取）</w:t>
      </w:r>
    </w:p>
    <w:p>
      <w:pPr>
        <w:rPr>
          <w:color w:val="000000"/>
        </w:rPr>
        <w:sectPr>
          <w:pgSz w:w="16838" w:h="11906" w:orient="landscape"/>
          <w:pgMar w:top="1701" w:right="1418" w:bottom="1701" w:left="1588" w:header="851" w:footer="851" w:gutter="0"/>
          <w:pgNumType w:chapStyle="1"/>
          <w:cols w:space="425" w:num="1"/>
          <w:docGrid w:type="linesAndChars" w:linePitch="312" w:charSpace="0"/>
        </w:sectPr>
      </w:pPr>
    </w:p>
    <w:p>
      <w:pPr>
        <w:spacing w:before="312" w:beforeLines="100" w:after="312" w:afterLines="100"/>
        <w:outlineLvl w:val="2"/>
        <w:rPr>
          <w:rFonts w:ascii="黑体" w:eastAsia="黑体"/>
          <w:color w:val="000000"/>
          <w:sz w:val="24"/>
        </w:rPr>
      </w:pPr>
      <w:bookmarkStart w:id="243" w:name="_Toc114222740"/>
      <w:bookmarkStart w:id="244" w:name="_Toc295812187"/>
      <w:r>
        <w:rPr>
          <w:rFonts w:hint="eastAsia" w:ascii="黑体" w:eastAsia="黑体"/>
          <w:color w:val="000000"/>
          <w:sz w:val="24"/>
        </w:rPr>
        <w:t>附表二：问题澄清通知</w:t>
      </w:r>
      <w:bookmarkEnd w:id="243"/>
      <w:bookmarkEnd w:id="244"/>
    </w:p>
    <w:p>
      <w:pPr>
        <w:spacing w:before="312" w:beforeLines="100" w:after="312" w:afterLines="100" w:line="400" w:lineRule="exact"/>
        <w:jc w:val="center"/>
        <w:rPr>
          <w:rFonts w:ascii="黑体" w:eastAsia="黑体"/>
          <w:color w:val="000000"/>
          <w:sz w:val="28"/>
          <w:szCs w:val="28"/>
        </w:rPr>
      </w:pPr>
      <w:r>
        <w:rPr>
          <w:rFonts w:hint="eastAsia" w:ascii="黑体" w:eastAsia="黑体"/>
          <w:color w:val="000000"/>
          <w:sz w:val="28"/>
          <w:szCs w:val="28"/>
        </w:rPr>
        <w:t>问题澄清通知</w:t>
      </w:r>
    </w:p>
    <w:p>
      <w:pPr>
        <w:spacing w:line="400" w:lineRule="exact"/>
        <w:ind w:firstLine="5355" w:firstLineChars="2550"/>
        <w:rPr>
          <w:color w:val="000000"/>
          <w:u w:val="single"/>
        </w:rPr>
      </w:pPr>
      <w:r>
        <w:rPr>
          <w:rFonts w:hint="eastAsia"/>
          <w:color w:val="000000"/>
        </w:rPr>
        <w:t>编号：</w:t>
      </w:r>
    </w:p>
    <w:p>
      <w:pPr>
        <w:spacing w:line="480" w:lineRule="exact"/>
        <w:ind w:firstLine="420" w:firstLineChars="200"/>
        <w:rPr>
          <w:color w:val="000000"/>
        </w:rPr>
      </w:pPr>
      <w:r>
        <w:rPr>
          <w:rFonts w:hint="eastAsia"/>
          <w:color w:val="000000"/>
          <w:u w:val="single"/>
        </w:rPr>
        <w:t>（投标人名称）</w:t>
      </w:r>
      <w:r>
        <w:rPr>
          <w:rFonts w:hint="eastAsia"/>
          <w:color w:val="000000"/>
        </w:rPr>
        <w:t>：</w:t>
      </w:r>
    </w:p>
    <w:p>
      <w:pPr>
        <w:spacing w:line="480" w:lineRule="exact"/>
        <w:ind w:firstLine="420" w:firstLineChars="200"/>
        <w:rPr>
          <w:color w:val="000000"/>
        </w:rPr>
      </w:pPr>
      <w:r>
        <w:rPr>
          <w:rFonts w:hint="eastAsia"/>
          <w:color w:val="000000"/>
          <w:u w:val="single"/>
        </w:rPr>
        <w:t>（项目名称）标</w:t>
      </w:r>
      <w:r>
        <w:rPr>
          <w:rFonts w:hint="eastAsia"/>
          <w:color w:val="000000"/>
        </w:rPr>
        <w:t>段施工招标的评标委员会，对你方的投标文件进行了仔细的审查，现需你方对以下问题以书面形式予以澄清、说明或者补正：</w:t>
      </w:r>
    </w:p>
    <w:p>
      <w:pPr>
        <w:spacing w:line="480" w:lineRule="exact"/>
        <w:ind w:firstLine="420" w:firstLineChars="200"/>
        <w:rPr>
          <w:color w:val="000000"/>
        </w:rPr>
      </w:pPr>
      <w:r>
        <w:rPr>
          <w:rFonts w:hint="eastAsia"/>
          <w:color w:val="000000"/>
        </w:rPr>
        <w:t xml:space="preserve">1、 </w:t>
      </w:r>
      <w:r>
        <w:rPr>
          <w:color w:val="000000"/>
          <w:u w:val="single"/>
        </w:rPr>
        <w:t xml:space="preserve">                                    </w:t>
      </w:r>
      <w:r>
        <w:rPr>
          <w:color w:val="000000"/>
        </w:rPr>
        <w:t xml:space="preserve"> </w:t>
      </w:r>
    </w:p>
    <w:p>
      <w:pPr>
        <w:spacing w:line="480" w:lineRule="exact"/>
        <w:ind w:firstLine="420" w:firstLineChars="200"/>
        <w:rPr>
          <w:color w:val="000000"/>
        </w:rPr>
      </w:pPr>
      <w:r>
        <w:rPr>
          <w:color w:val="000000"/>
        </w:rPr>
        <w:t>2</w:t>
      </w:r>
      <w:r>
        <w:rPr>
          <w:rFonts w:hint="eastAsia"/>
          <w:color w:val="000000"/>
        </w:rPr>
        <w:t xml:space="preserve">、 </w:t>
      </w:r>
      <w:r>
        <w:rPr>
          <w:color w:val="000000"/>
          <w:u w:val="single"/>
        </w:rPr>
        <w:t xml:space="preserve">                                    </w:t>
      </w:r>
      <w:r>
        <w:rPr>
          <w:color w:val="000000"/>
        </w:rPr>
        <w:t xml:space="preserve"> </w:t>
      </w:r>
    </w:p>
    <w:p>
      <w:pPr>
        <w:spacing w:line="480" w:lineRule="exact"/>
        <w:ind w:firstLine="420" w:firstLineChars="200"/>
        <w:rPr>
          <w:color w:val="000000"/>
        </w:rPr>
      </w:pPr>
      <w:r>
        <w:rPr>
          <w:color w:val="000000"/>
        </w:rPr>
        <w:t>3</w:t>
      </w:r>
      <w:r>
        <w:rPr>
          <w:rFonts w:hint="eastAsia"/>
          <w:color w:val="000000"/>
        </w:rPr>
        <w:t xml:space="preserve">、 </w:t>
      </w:r>
      <w:r>
        <w:rPr>
          <w:color w:val="000000"/>
          <w:u w:val="single"/>
        </w:rPr>
        <w:t xml:space="preserve">                                    </w:t>
      </w:r>
      <w:r>
        <w:rPr>
          <w:color w:val="000000"/>
        </w:rPr>
        <w:t xml:space="preserve"> </w:t>
      </w:r>
    </w:p>
    <w:p>
      <w:pPr>
        <w:spacing w:line="480" w:lineRule="exact"/>
        <w:ind w:firstLine="420" w:firstLineChars="200"/>
        <w:rPr>
          <w:color w:val="000000"/>
        </w:rPr>
      </w:pPr>
      <w:r>
        <w:rPr>
          <w:rFonts w:hint="eastAsia"/>
          <w:color w:val="000000"/>
        </w:rPr>
        <w:t>……</w:t>
      </w:r>
    </w:p>
    <w:p>
      <w:pPr>
        <w:spacing w:line="480" w:lineRule="exact"/>
        <w:ind w:firstLine="630" w:firstLineChars="300"/>
        <w:rPr>
          <w:color w:val="000000"/>
        </w:rPr>
      </w:pPr>
      <w:r>
        <w:rPr>
          <w:rFonts w:hint="eastAsia"/>
          <w:color w:val="000000"/>
        </w:rPr>
        <w:t>请将上述问题的澄清在本通知发出后</w:t>
      </w:r>
      <w:r>
        <w:rPr>
          <w:color w:val="000000"/>
          <w:u w:val="single"/>
        </w:rPr>
        <w:t xml:space="preserve">     </w:t>
      </w:r>
      <w:r>
        <w:rPr>
          <w:rFonts w:hint="eastAsia"/>
          <w:color w:val="000000"/>
        </w:rPr>
        <w:t>分钟内在平台上直接回复，逾期未回复将按评标委员会理解内容进行评审。</w:t>
      </w:r>
    </w:p>
    <w:p>
      <w:pPr>
        <w:spacing w:line="480" w:lineRule="exact"/>
        <w:ind w:firstLine="420" w:firstLineChars="200"/>
        <w:rPr>
          <w:color w:val="000000"/>
        </w:rPr>
      </w:pPr>
    </w:p>
    <w:p>
      <w:pPr>
        <w:spacing w:line="480" w:lineRule="exact"/>
        <w:ind w:firstLine="3570" w:firstLineChars="1700"/>
        <w:rPr>
          <w:color w:val="000000"/>
        </w:rPr>
      </w:pPr>
      <w:r>
        <w:rPr>
          <w:rFonts w:hint="eastAsia"/>
          <w:color w:val="000000"/>
          <w:u w:val="single"/>
        </w:rPr>
        <w:t>（项目名称）</w:t>
      </w:r>
      <w:r>
        <w:rPr>
          <w:rFonts w:hint="eastAsia" w:ascii="黑体" w:eastAsia="黑体"/>
          <w:color w:val="000000"/>
        </w:rPr>
        <w:t>标段施工招标评标委员会</w:t>
      </w:r>
    </w:p>
    <w:p>
      <w:pPr>
        <w:spacing w:line="480" w:lineRule="exact"/>
        <w:ind w:firstLine="2625" w:firstLineChars="1250"/>
        <w:jc w:val="center"/>
        <w:rPr>
          <w:color w:val="000000"/>
        </w:rPr>
      </w:pPr>
      <w:r>
        <w:rPr>
          <w:rFonts w:hint="eastAsia"/>
          <w:color w:val="000000"/>
        </w:rPr>
        <w:t>（评标委员会成员签电子章）</w:t>
      </w:r>
    </w:p>
    <w:p>
      <w:pPr>
        <w:spacing w:line="480" w:lineRule="exact"/>
        <w:ind w:firstLine="3570" w:firstLineChars="1700"/>
        <w:rPr>
          <w:color w:val="000000"/>
        </w:rPr>
      </w:pPr>
      <w:r>
        <w:rPr>
          <w:rFonts w:hint="eastAsia"/>
          <w:color w:val="000000"/>
        </w:rPr>
        <w:t xml:space="preserve">年  月  日 </w:t>
      </w:r>
      <w:r>
        <w:rPr>
          <w:color w:val="000000"/>
        </w:rPr>
        <w:t xml:space="preserve">  </w:t>
      </w:r>
      <w:r>
        <w:rPr>
          <w:rFonts w:hint="eastAsia"/>
          <w:color w:val="000000"/>
        </w:rPr>
        <w:t>时（日期及时间自动读取）</w:t>
      </w:r>
    </w:p>
    <w:p>
      <w:pPr>
        <w:spacing w:before="312" w:beforeLines="100" w:after="312" w:afterLines="100"/>
        <w:outlineLvl w:val="2"/>
        <w:rPr>
          <w:rFonts w:ascii="黑体" w:eastAsia="黑体"/>
          <w:color w:val="000000"/>
          <w:sz w:val="24"/>
        </w:rPr>
      </w:pPr>
      <w:r>
        <w:rPr>
          <w:color w:val="000000"/>
        </w:rPr>
        <w:br w:type="page"/>
      </w:r>
      <w:bookmarkStart w:id="245" w:name="_Toc295812188"/>
      <w:bookmarkStart w:id="246" w:name="_Toc114222741"/>
      <w:r>
        <w:rPr>
          <w:rFonts w:hint="eastAsia" w:ascii="黑体" w:eastAsia="黑体"/>
          <w:color w:val="000000"/>
          <w:sz w:val="24"/>
        </w:rPr>
        <w:t>附表三：问题的澄清</w:t>
      </w:r>
      <w:bookmarkEnd w:id="245"/>
      <w:bookmarkEnd w:id="246"/>
    </w:p>
    <w:p>
      <w:pPr>
        <w:spacing w:before="312" w:beforeLines="100" w:after="312" w:afterLines="100" w:line="480" w:lineRule="exact"/>
        <w:jc w:val="center"/>
        <w:rPr>
          <w:rFonts w:ascii="黑体" w:eastAsia="黑体"/>
          <w:color w:val="000000"/>
          <w:sz w:val="28"/>
          <w:szCs w:val="28"/>
        </w:rPr>
      </w:pPr>
      <w:r>
        <w:rPr>
          <w:rFonts w:hint="eastAsia" w:ascii="黑体" w:eastAsia="黑体"/>
          <w:color w:val="000000"/>
          <w:sz w:val="28"/>
          <w:szCs w:val="28"/>
        </w:rPr>
        <w:t>问题的澄清、说明或补正</w:t>
      </w:r>
    </w:p>
    <w:p>
      <w:pPr>
        <w:spacing w:line="400" w:lineRule="exact"/>
        <w:ind w:firstLine="5355" w:firstLineChars="2550"/>
        <w:rPr>
          <w:color w:val="000000"/>
          <w:u w:val="single"/>
        </w:rPr>
      </w:pPr>
      <w:r>
        <w:rPr>
          <w:rFonts w:hint="eastAsia"/>
          <w:color w:val="000000"/>
        </w:rPr>
        <w:t>编号：</w:t>
      </w:r>
    </w:p>
    <w:p>
      <w:pPr>
        <w:spacing w:line="480" w:lineRule="exact"/>
        <w:rPr>
          <w:color w:val="000000"/>
        </w:rPr>
      </w:pPr>
      <w:r>
        <w:rPr>
          <w:rFonts w:hint="eastAsia"/>
          <w:color w:val="000000"/>
          <w:u w:val="single"/>
        </w:rPr>
        <w:t>（项目名称）</w:t>
      </w:r>
      <w:r>
        <w:rPr>
          <w:rFonts w:hint="eastAsia"/>
          <w:color w:val="000000"/>
        </w:rPr>
        <w:t>标段施工招标评标委员会：</w:t>
      </w:r>
    </w:p>
    <w:p>
      <w:pPr>
        <w:spacing w:line="480" w:lineRule="exact"/>
        <w:ind w:firstLine="420" w:firstLineChars="200"/>
        <w:rPr>
          <w:color w:val="000000"/>
        </w:rPr>
      </w:pPr>
      <w:r>
        <w:rPr>
          <w:rFonts w:hint="eastAsia"/>
          <w:color w:val="000000"/>
        </w:rPr>
        <w:t>问题澄清通知（编号：）已收悉，现澄清、说明或者补正如下：</w:t>
      </w:r>
    </w:p>
    <w:p>
      <w:pPr>
        <w:spacing w:line="480" w:lineRule="exact"/>
        <w:ind w:firstLine="420" w:firstLineChars="200"/>
        <w:rPr>
          <w:color w:val="000000"/>
        </w:rPr>
      </w:pPr>
      <w:r>
        <w:rPr>
          <w:rFonts w:hint="eastAsia"/>
          <w:color w:val="000000"/>
        </w:rPr>
        <w:t>1.</w:t>
      </w:r>
    </w:p>
    <w:p>
      <w:pPr>
        <w:spacing w:line="480" w:lineRule="exact"/>
        <w:ind w:firstLine="420" w:firstLineChars="200"/>
        <w:rPr>
          <w:color w:val="000000"/>
        </w:rPr>
      </w:pPr>
      <w:r>
        <w:rPr>
          <w:rFonts w:hint="eastAsia"/>
          <w:color w:val="000000"/>
        </w:rPr>
        <w:t>2.</w:t>
      </w:r>
    </w:p>
    <w:p>
      <w:pPr>
        <w:spacing w:line="480" w:lineRule="exact"/>
        <w:ind w:firstLine="420" w:firstLineChars="200"/>
        <w:rPr>
          <w:color w:val="000000"/>
        </w:rPr>
      </w:pPr>
    </w:p>
    <w:p>
      <w:pPr>
        <w:spacing w:line="480" w:lineRule="exact"/>
        <w:ind w:firstLine="420" w:firstLineChars="200"/>
        <w:rPr>
          <w:color w:val="000000"/>
        </w:rPr>
      </w:pPr>
      <w:r>
        <w:rPr>
          <w:rFonts w:hint="eastAsia"/>
          <w:color w:val="000000"/>
        </w:rPr>
        <w:t>……</w:t>
      </w:r>
    </w:p>
    <w:p>
      <w:pPr>
        <w:spacing w:line="480" w:lineRule="exact"/>
        <w:ind w:firstLine="420" w:firstLineChars="200"/>
        <w:rPr>
          <w:color w:val="000000"/>
        </w:rPr>
      </w:pPr>
    </w:p>
    <w:p>
      <w:pPr>
        <w:spacing w:line="480" w:lineRule="exact"/>
        <w:ind w:firstLine="420" w:firstLineChars="200"/>
        <w:rPr>
          <w:color w:val="000000"/>
        </w:rPr>
      </w:pPr>
    </w:p>
    <w:p>
      <w:pPr>
        <w:spacing w:line="480" w:lineRule="exact"/>
        <w:ind w:firstLine="420" w:firstLineChars="200"/>
        <w:rPr>
          <w:color w:val="000000"/>
        </w:rPr>
      </w:pPr>
    </w:p>
    <w:p>
      <w:pPr>
        <w:spacing w:line="480" w:lineRule="exact"/>
        <w:ind w:firstLine="420" w:firstLineChars="200"/>
        <w:rPr>
          <w:color w:val="000000"/>
        </w:rPr>
      </w:pPr>
    </w:p>
    <w:p>
      <w:pPr>
        <w:spacing w:line="480" w:lineRule="exact"/>
        <w:ind w:firstLine="420" w:firstLineChars="200"/>
        <w:rPr>
          <w:color w:val="000000"/>
        </w:rPr>
      </w:pPr>
    </w:p>
    <w:p>
      <w:pPr>
        <w:spacing w:line="480" w:lineRule="exact"/>
        <w:ind w:firstLine="420" w:firstLineChars="200"/>
        <w:rPr>
          <w:color w:val="000000"/>
        </w:rPr>
      </w:pPr>
    </w:p>
    <w:p>
      <w:pPr>
        <w:wordWrap w:val="0"/>
        <w:spacing w:line="480" w:lineRule="exact"/>
        <w:ind w:right="840" w:firstLine="420" w:firstLineChars="200"/>
        <w:jc w:val="center"/>
        <w:rPr>
          <w:color w:val="000000"/>
        </w:rPr>
      </w:pPr>
      <w:r>
        <w:rPr>
          <w:rFonts w:hint="eastAsia" w:ascii="黑体" w:eastAsia="黑体"/>
          <w:color w:val="000000"/>
        </w:rPr>
        <w:t xml:space="preserve"> </w:t>
      </w:r>
      <w:r>
        <w:rPr>
          <w:rFonts w:ascii="黑体" w:eastAsia="黑体"/>
          <w:color w:val="000000"/>
        </w:rPr>
        <w:t xml:space="preserve">                                    </w:t>
      </w:r>
      <w:r>
        <w:rPr>
          <w:rFonts w:hint="eastAsia" w:ascii="黑体" w:eastAsia="黑体"/>
          <w:color w:val="000000"/>
        </w:rPr>
        <w:t>投标人：</w:t>
      </w:r>
      <w:r>
        <w:rPr>
          <w:rFonts w:hint="eastAsia"/>
          <w:color w:val="000000"/>
        </w:rPr>
        <w:t>（盖单位电子章）</w:t>
      </w:r>
    </w:p>
    <w:p>
      <w:pPr>
        <w:wordWrap w:val="0"/>
        <w:spacing w:before="156" w:beforeLines="50" w:after="156" w:afterLines="50" w:line="480" w:lineRule="exact"/>
        <w:ind w:right="210"/>
        <w:jc w:val="right"/>
        <w:rPr>
          <w:color w:val="000000"/>
        </w:rPr>
      </w:pPr>
      <w:r>
        <w:rPr>
          <w:rFonts w:hint="eastAsia" w:ascii="黑体" w:eastAsia="黑体"/>
          <w:color w:val="000000"/>
        </w:rPr>
        <w:t>法定代表人或其委托代理人：</w:t>
      </w:r>
      <w:r>
        <w:rPr>
          <w:rFonts w:hint="eastAsia"/>
          <w:color w:val="000000"/>
        </w:rPr>
        <w:t>（签电子章）</w:t>
      </w:r>
      <w:r>
        <w:rPr>
          <w:rFonts w:hint="eastAsia"/>
          <w:color w:val="000000"/>
          <w:u w:val="single"/>
        </w:rPr>
        <w:t xml:space="preserve"> </w:t>
      </w:r>
    </w:p>
    <w:p>
      <w:pPr>
        <w:spacing w:line="480" w:lineRule="exact"/>
        <w:ind w:firstLine="3570" w:firstLineChars="1700"/>
        <w:rPr>
          <w:color w:val="000000"/>
        </w:rPr>
      </w:pPr>
      <w:r>
        <w:rPr>
          <w:rFonts w:hint="eastAsia"/>
          <w:color w:val="000000"/>
        </w:rPr>
        <w:t xml:space="preserve">年  月  日 </w:t>
      </w:r>
      <w:r>
        <w:rPr>
          <w:color w:val="000000"/>
        </w:rPr>
        <w:t xml:space="preserve">  </w:t>
      </w:r>
      <w:r>
        <w:rPr>
          <w:rFonts w:hint="eastAsia"/>
          <w:color w:val="000000"/>
        </w:rPr>
        <w:t>时（自动读取提交回复至平台的时间）</w:t>
      </w:r>
    </w:p>
    <w:p>
      <w:pPr>
        <w:spacing w:line="480" w:lineRule="exact"/>
        <w:outlineLvl w:val="2"/>
        <w:rPr>
          <w:rFonts w:ascii="黑体" w:eastAsia="黑体"/>
          <w:color w:val="000000"/>
          <w:sz w:val="24"/>
        </w:rPr>
      </w:pPr>
      <w:r>
        <w:rPr>
          <w:color w:val="000000"/>
        </w:rPr>
        <w:br w:type="page"/>
      </w:r>
      <w:bookmarkStart w:id="247" w:name="_Toc295812189"/>
      <w:bookmarkStart w:id="248" w:name="_Toc114222742"/>
      <w:r>
        <w:rPr>
          <w:rFonts w:hint="eastAsia" w:ascii="黑体" w:eastAsia="黑体"/>
          <w:color w:val="000000"/>
          <w:sz w:val="24"/>
        </w:rPr>
        <w:t>附表四：中标通知书</w:t>
      </w:r>
      <w:bookmarkEnd w:id="247"/>
      <w:bookmarkEnd w:id="248"/>
    </w:p>
    <w:p>
      <w:pPr>
        <w:jc w:val="center"/>
        <w:rPr>
          <w:rFonts w:ascii="宋体" w:hAnsi="宋体"/>
          <w:b/>
        </w:rPr>
      </w:pPr>
      <w:r>
        <w:rPr>
          <w:rFonts w:ascii="宋体" w:hAnsi="宋体"/>
          <w:b/>
          <w:sz w:val="28"/>
        </w:rPr>
        <w:t>中标通知书</w:t>
      </w:r>
    </w:p>
    <w:p>
      <w:pPr>
        <w:jc w:val="center"/>
      </w:pPr>
      <w:r>
        <w:t>（编号）</w:t>
      </w:r>
    </w:p>
    <w:p>
      <w:pPr>
        <w:rPr>
          <w:rFonts w:ascii="宋体" w:hAnsi="宋体"/>
        </w:rPr>
      </w:pPr>
      <w:r>
        <w:rPr>
          <w:rFonts w:hint="eastAsia" w:ascii="宋体" w:hAnsi="宋体"/>
        </w:rPr>
        <w:t>（</w:t>
      </w:r>
      <w:r>
        <w:rPr>
          <w:rFonts w:ascii="宋体" w:hAnsi="宋体"/>
        </w:rPr>
        <w:t>中标人名称）：</w:t>
      </w:r>
    </w:p>
    <w:p>
      <w:pPr>
        <w:rPr>
          <w:rFonts w:ascii="宋体" w:hAnsi="宋体"/>
        </w:rPr>
      </w:pPr>
    </w:p>
    <w:p>
      <w:pPr>
        <w:ind w:firstLine="420" w:firstLineChars="200"/>
        <w:rPr>
          <w:rFonts w:ascii="宋体" w:hAnsi="宋体"/>
        </w:rPr>
      </w:pPr>
      <w:r>
        <w:rPr>
          <w:rFonts w:ascii="宋体" w:hAnsi="宋体"/>
        </w:rPr>
        <w:t>你方于</w:t>
      </w:r>
      <w:r>
        <w:rPr>
          <w:rFonts w:hint="eastAsia" w:ascii="宋体" w:hAnsi="宋体"/>
          <w:lang w:eastAsia="zh-CN"/>
        </w:rPr>
        <w:t>（</w:t>
      </w:r>
      <w:r>
        <w:rPr>
          <w:rFonts w:ascii="宋体" w:hAnsi="宋体"/>
          <w:u w:val="single"/>
        </w:rPr>
        <w:t>投标日期</w:t>
      </w:r>
      <w:r>
        <w:rPr>
          <w:rFonts w:hint="eastAsia" w:ascii="宋体" w:hAnsi="宋体"/>
          <w:u w:val="single"/>
          <w:lang w:eastAsia="zh-CN"/>
        </w:rPr>
        <w:t>）</w:t>
      </w:r>
      <w:r>
        <w:rPr>
          <w:rFonts w:ascii="宋体" w:hAnsi="宋体"/>
        </w:rPr>
        <w:t>所递交的</w:t>
      </w:r>
      <w:r>
        <w:rPr>
          <w:rFonts w:hint="eastAsia" w:ascii="宋体" w:hAnsi="宋体"/>
          <w:lang w:eastAsia="zh-CN"/>
        </w:rPr>
        <w:t>（</w:t>
      </w:r>
      <w:r>
        <w:rPr>
          <w:rFonts w:ascii="宋体" w:hAnsi="宋体"/>
          <w:u w:val="single"/>
        </w:rPr>
        <w:t>项目名称及标段）</w:t>
      </w:r>
      <w:r>
        <w:rPr>
          <w:rFonts w:ascii="宋体" w:hAnsi="宋体"/>
        </w:rPr>
        <w:t>施工投标文件经评标委员会评审 后推荐为中标候选人并经公示无异议，现确定你单位为中标人。</w:t>
      </w:r>
    </w:p>
    <w:p>
      <w:pPr>
        <w:ind w:firstLine="420" w:firstLineChars="200"/>
        <w:rPr>
          <w:rFonts w:ascii="宋体" w:hAnsi="宋体"/>
        </w:rPr>
      </w:pPr>
      <w:r>
        <w:rPr>
          <w:rFonts w:ascii="宋体" w:hAnsi="宋体"/>
        </w:rPr>
        <w:t>招标范围</w:t>
      </w:r>
      <w:r>
        <w:rPr>
          <w:rFonts w:hint="eastAsia" w:ascii="宋体" w:hAnsi="宋体"/>
          <w:lang w:eastAsia="zh-CN"/>
        </w:rPr>
        <w:t>：</w:t>
      </w:r>
      <w:r>
        <w:rPr>
          <w:rFonts w:ascii="宋体" w:hAnsi="宋体"/>
        </w:rPr>
        <w:t xml:space="preserve">______________ </w:t>
      </w:r>
      <w:r>
        <w:rPr>
          <w:rFonts w:hint="eastAsia" w:ascii="宋体" w:hAnsi="宋体"/>
        </w:rPr>
        <w:t>（自动读取）</w:t>
      </w:r>
    </w:p>
    <w:p>
      <w:pPr>
        <w:ind w:firstLine="420" w:firstLineChars="200"/>
        <w:rPr>
          <w:rFonts w:ascii="宋体" w:hAnsi="宋体"/>
        </w:rPr>
      </w:pPr>
      <w:r>
        <w:rPr>
          <w:rFonts w:ascii="宋体" w:hAnsi="宋体"/>
        </w:rPr>
        <w:t>中标价</w:t>
      </w:r>
      <w:r>
        <w:rPr>
          <w:rFonts w:hint="eastAsia" w:ascii="宋体" w:hAnsi="宋体"/>
          <w:lang w:eastAsia="zh-CN"/>
        </w:rPr>
        <w:t>：</w:t>
      </w:r>
      <w:r>
        <w:rPr>
          <w:rFonts w:ascii="宋体" w:hAnsi="宋体"/>
        </w:rPr>
        <w:t>_______万元，中标下浮率_____%。</w:t>
      </w:r>
      <w:r>
        <w:rPr>
          <w:rFonts w:hint="eastAsia" w:ascii="宋体" w:hAnsi="宋体"/>
        </w:rPr>
        <w:t>（自动读取）</w:t>
      </w:r>
    </w:p>
    <w:p>
      <w:pPr>
        <w:ind w:firstLine="420" w:firstLineChars="200"/>
        <w:rPr>
          <w:rFonts w:ascii="宋体" w:hAnsi="宋体"/>
        </w:rPr>
      </w:pPr>
      <w:r>
        <w:rPr>
          <w:rFonts w:ascii="宋体" w:hAnsi="宋体"/>
        </w:rPr>
        <w:t xml:space="preserve"> 工期</w:t>
      </w:r>
      <w:r>
        <w:rPr>
          <w:rFonts w:hint="eastAsia" w:ascii="宋体" w:hAnsi="宋体"/>
          <w:lang w:eastAsia="zh-CN"/>
        </w:rPr>
        <w:t>：</w:t>
      </w:r>
      <w:r>
        <w:rPr>
          <w:rFonts w:ascii="宋体" w:hAnsi="宋体"/>
        </w:rPr>
        <w:t xml:space="preserve">______________ </w:t>
      </w:r>
      <w:r>
        <w:rPr>
          <w:rFonts w:hint="eastAsia" w:ascii="宋体" w:hAnsi="宋体"/>
        </w:rPr>
        <w:t>（自动读取）</w:t>
      </w:r>
    </w:p>
    <w:p>
      <w:pPr>
        <w:ind w:firstLine="420" w:firstLineChars="200"/>
        <w:rPr>
          <w:rFonts w:ascii="宋体" w:hAnsi="宋体"/>
        </w:rPr>
      </w:pPr>
      <w:r>
        <w:rPr>
          <w:rFonts w:ascii="宋体" w:hAnsi="宋体"/>
        </w:rPr>
        <w:t xml:space="preserve">质量：_____________ </w:t>
      </w:r>
      <w:r>
        <w:rPr>
          <w:rFonts w:hint="eastAsia" w:ascii="宋体" w:hAnsi="宋体"/>
        </w:rPr>
        <w:t>（自动读取）</w:t>
      </w:r>
    </w:p>
    <w:p>
      <w:pPr>
        <w:ind w:firstLine="420" w:firstLineChars="200"/>
        <w:rPr>
          <w:rFonts w:ascii="宋体" w:hAnsi="宋体"/>
        </w:rPr>
      </w:pPr>
      <w:r>
        <w:rPr>
          <w:rFonts w:ascii="宋体" w:hAnsi="宋体"/>
        </w:rPr>
        <w:t>项目经理</w:t>
      </w:r>
      <w:r>
        <w:rPr>
          <w:rFonts w:hint="eastAsia" w:ascii="宋体" w:hAnsi="宋体"/>
          <w:lang w:eastAsia="zh-CN"/>
        </w:rPr>
        <w:t>：（</w:t>
      </w:r>
      <w:r>
        <w:rPr>
          <w:rFonts w:ascii="宋体" w:hAnsi="宋体"/>
        </w:rPr>
        <w:t>姓名</w:t>
      </w:r>
      <w:r>
        <w:rPr>
          <w:rFonts w:hint="eastAsia" w:ascii="宋体" w:hAnsi="宋体"/>
          <w:lang w:eastAsia="zh-CN"/>
        </w:rPr>
        <w:t>）</w:t>
      </w:r>
      <w:r>
        <w:rPr>
          <w:rFonts w:ascii="宋体" w:hAnsi="宋体"/>
        </w:rPr>
        <w:t>,</w:t>
      </w:r>
      <w:r>
        <w:rPr>
          <w:rFonts w:hint="eastAsia" w:ascii="宋体" w:hAnsi="宋体"/>
        </w:rPr>
        <w:t xml:space="preserve"> （自动读取）</w:t>
      </w:r>
      <w:r>
        <w:rPr>
          <w:rFonts w:ascii="宋体" w:hAnsi="宋体"/>
        </w:rPr>
        <w:t>身份证号码</w:t>
      </w:r>
      <w:r>
        <w:rPr>
          <w:rFonts w:hint="eastAsia" w:ascii="宋体" w:hAnsi="宋体"/>
          <w:lang w:eastAsia="zh-CN"/>
        </w:rPr>
        <w:t>：</w:t>
      </w:r>
      <w:r>
        <w:rPr>
          <w:rFonts w:ascii="宋体" w:hAnsi="宋体"/>
        </w:rPr>
        <w:t xml:space="preserve"> ，</w:t>
      </w:r>
      <w:r>
        <w:rPr>
          <w:rFonts w:hint="eastAsia" w:ascii="宋体" w:hAnsi="宋体"/>
        </w:rPr>
        <w:t>（自动读取）</w:t>
      </w:r>
      <w:r>
        <w:rPr>
          <w:rFonts w:ascii="宋体" w:hAnsi="宋体"/>
        </w:rPr>
        <w:t>证书类型及证书编号</w:t>
      </w:r>
      <w:r>
        <w:rPr>
          <w:rFonts w:hint="eastAsia" w:ascii="宋体" w:hAnsi="宋体"/>
          <w:lang w:eastAsia="zh-CN"/>
        </w:rPr>
        <w:t>：</w:t>
      </w:r>
      <w:r>
        <w:rPr>
          <w:rFonts w:ascii="宋体" w:hAnsi="宋体"/>
        </w:rPr>
        <w:t xml:space="preserve"> </w:t>
      </w:r>
      <w:r>
        <w:rPr>
          <w:rFonts w:hint="eastAsia" w:ascii="宋体" w:hAnsi="宋体"/>
        </w:rPr>
        <w:t>（自动读取）</w:t>
      </w:r>
    </w:p>
    <w:p>
      <w:pPr>
        <w:ind w:firstLine="420" w:firstLineChars="200"/>
        <w:rPr>
          <w:rFonts w:ascii="宋体" w:hAnsi="宋体"/>
        </w:rPr>
      </w:pPr>
      <w:bookmarkStart w:id="249" w:name="_Hlk114167240"/>
      <w:r>
        <w:rPr>
          <w:rFonts w:ascii="宋体" w:hAnsi="宋体"/>
        </w:rPr>
        <w:t>请你方在接到本通知书后的____日内到</w:t>
      </w:r>
      <w:r>
        <w:rPr>
          <w:rFonts w:hint="eastAsia" w:ascii="宋体" w:hAnsi="宋体"/>
          <w:lang w:eastAsia="zh-CN"/>
        </w:rPr>
        <w:t>（</w:t>
      </w:r>
      <w:r>
        <w:rPr>
          <w:rFonts w:ascii="宋体" w:hAnsi="宋体"/>
          <w:u w:val="single"/>
        </w:rPr>
        <w:t>指定地点</w:t>
      </w:r>
      <w:r>
        <w:rPr>
          <w:rFonts w:hint="eastAsia" w:ascii="宋体" w:hAnsi="宋体"/>
          <w:u w:val="single"/>
          <w:lang w:eastAsia="zh-CN"/>
        </w:rPr>
        <w:t>）</w:t>
      </w:r>
      <w:r>
        <w:rPr>
          <w:rFonts w:ascii="宋体" w:hAnsi="宋体"/>
        </w:rPr>
        <w:t>与我方商讨签订工程施工合同</w:t>
      </w:r>
      <w:bookmarkEnd w:id="249"/>
      <w:r>
        <w:rPr>
          <w:rFonts w:ascii="宋体" w:hAnsi="宋体"/>
        </w:rPr>
        <w:t xml:space="preserve">。 </w:t>
      </w:r>
    </w:p>
    <w:p>
      <w:pPr>
        <w:ind w:firstLine="420" w:firstLineChars="200"/>
        <w:rPr>
          <w:rFonts w:ascii="宋体" w:hAnsi="宋体"/>
        </w:rPr>
      </w:pPr>
      <w:r>
        <w:rPr>
          <w:rFonts w:ascii="宋体" w:hAnsi="宋体"/>
        </w:rPr>
        <w:t>特此通知。</w:t>
      </w:r>
    </w:p>
    <w:p>
      <w:pPr>
        <w:ind w:firstLine="420" w:firstLineChars="200"/>
        <w:rPr>
          <w:rFonts w:ascii="宋体" w:hAnsi="宋体"/>
        </w:rPr>
      </w:pPr>
    </w:p>
    <w:p>
      <w:pPr>
        <w:ind w:firstLine="420" w:firstLineChars="200"/>
        <w:rPr>
          <w:rFonts w:ascii="宋体" w:hAnsi="宋体"/>
        </w:rPr>
      </w:pPr>
      <w:r>
        <w:rPr>
          <w:rFonts w:ascii="宋体" w:hAnsi="宋体"/>
        </w:rPr>
        <w:t>根据投标文件，</w:t>
      </w:r>
      <w:r>
        <w:rPr>
          <w:rFonts w:hint="eastAsia" w:ascii="宋体" w:hAnsi="宋体"/>
        </w:rPr>
        <w:t>你方需在收到本中标通知书1</w:t>
      </w:r>
      <w:r>
        <w:rPr>
          <w:rFonts w:ascii="宋体" w:hAnsi="宋体"/>
        </w:rPr>
        <w:t>0日内</w:t>
      </w:r>
      <w:r>
        <w:rPr>
          <w:rFonts w:hint="eastAsia" w:ascii="宋体" w:hAnsi="宋体"/>
        </w:rPr>
        <w:t>通过海南省住房和城乡建设厅网站（</w:t>
      </w:r>
      <w:r>
        <w:rPr>
          <w:rFonts w:hint="eastAsia" w:ascii="宋体" w:hAnsi="宋体"/>
          <w:lang w:eastAsia="zh-CN"/>
        </w:rPr>
        <w:t>http://zjt.hainan.gov.cn/</w:t>
      </w:r>
      <w:r>
        <w:rPr>
          <w:rFonts w:hint="eastAsia" w:ascii="宋体" w:hAnsi="宋体"/>
        </w:rPr>
        <w:t>）登录海南省建筑市场监管公共服务平台按照《海南省建筑工程施工现场关键岗位人员配备和在岗履职管理办法》规定填报项目名称、项目地址、拟派的施工现场关键岗位人员的配备情况，并将填报信息提交给招标人。拟派的关键岗位人员应按规定到岗履职、考勤。</w:t>
      </w:r>
    </w:p>
    <w:p>
      <w:pPr>
        <w:ind w:firstLine="420" w:firstLineChars="200"/>
        <w:rPr>
          <w:rFonts w:ascii="宋体" w:hAnsi="宋体"/>
        </w:rPr>
      </w:pPr>
    </w:p>
    <w:p>
      <w:pPr>
        <w:ind w:firstLine="420" w:firstLineChars="200"/>
        <w:rPr>
          <w:rFonts w:ascii="宋体" w:hAnsi="宋体"/>
        </w:rPr>
      </w:pPr>
      <w:r>
        <w:rPr>
          <w:rFonts w:ascii="宋体" w:hAnsi="宋体"/>
        </w:rPr>
        <w:t>如下：</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1696"/>
        <w:gridCol w:w="1696"/>
        <w:gridCol w:w="1710"/>
        <w:gridCol w:w="1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94" w:type="dxa"/>
            <w:gridSpan w:val="5"/>
          </w:tcPr>
          <w:p>
            <w:pPr>
              <w:rPr>
                <w:rFonts w:ascii="宋体" w:hAnsi="宋体"/>
                <w:b/>
                <w:sz w:val="24"/>
              </w:rPr>
            </w:pPr>
            <w:r>
              <w:rPr>
                <w:rFonts w:ascii="宋体" w:hAnsi="宋体"/>
              </w:rPr>
              <w:t>施工项目部关键岗位人员配备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6" w:type="dxa"/>
          </w:tcPr>
          <w:p>
            <w:pPr>
              <w:rPr>
                <w:rFonts w:ascii="宋体" w:hAnsi="宋体"/>
                <w:b/>
                <w:sz w:val="24"/>
              </w:rPr>
            </w:pPr>
            <w:r>
              <w:rPr>
                <w:rFonts w:ascii="宋体" w:hAnsi="宋体"/>
              </w:rPr>
              <w:t>姓名</w:t>
            </w:r>
          </w:p>
        </w:tc>
        <w:tc>
          <w:tcPr>
            <w:tcW w:w="1696" w:type="dxa"/>
          </w:tcPr>
          <w:p>
            <w:pPr>
              <w:rPr>
                <w:rFonts w:ascii="宋体" w:hAnsi="宋体"/>
                <w:b/>
                <w:sz w:val="24"/>
              </w:rPr>
            </w:pPr>
            <w:r>
              <w:rPr>
                <w:rFonts w:ascii="宋体" w:hAnsi="宋体"/>
              </w:rPr>
              <w:t>项目部职务</w:t>
            </w:r>
          </w:p>
        </w:tc>
        <w:tc>
          <w:tcPr>
            <w:tcW w:w="1696" w:type="dxa"/>
          </w:tcPr>
          <w:p>
            <w:pPr>
              <w:rPr>
                <w:rFonts w:ascii="宋体" w:hAnsi="宋体"/>
                <w:b/>
                <w:sz w:val="24"/>
              </w:rPr>
            </w:pPr>
            <w:r>
              <w:rPr>
                <w:rFonts w:ascii="宋体" w:hAnsi="宋体"/>
              </w:rPr>
              <w:t>资格/岗位证书证号</w:t>
            </w:r>
          </w:p>
        </w:tc>
        <w:tc>
          <w:tcPr>
            <w:tcW w:w="1710" w:type="dxa"/>
          </w:tcPr>
          <w:p>
            <w:pPr>
              <w:rPr>
                <w:rFonts w:ascii="宋体" w:hAnsi="宋体"/>
                <w:sz w:val="24"/>
              </w:rPr>
            </w:pPr>
            <w:r>
              <w:rPr>
                <w:rFonts w:hint="eastAsia" w:ascii="宋体" w:hAnsi="宋体"/>
                <w:sz w:val="24"/>
              </w:rPr>
              <w:t>身份证号</w:t>
            </w:r>
          </w:p>
        </w:tc>
        <w:tc>
          <w:tcPr>
            <w:tcW w:w="1696" w:type="dxa"/>
          </w:tcPr>
          <w:p>
            <w:pPr>
              <w:rPr>
                <w:rFonts w:ascii="宋体" w:hAnsi="宋体"/>
                <w:b/>
                <w:sz w:val="24"/>
              </w:rPr>
            </w:pPr>
            <w:r>
              <w:rPr>
                <w:rFonts w:ascii="宋体" w:hAnsi="宋体"/>
              </w:rPr>
              <w:t>任职阶段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6" w:type="dxa"/>
          </w:tcPr>
          <w:p>
            <w:pPr>
              <w:rPr>
                <w:rFonts w:ascii="宋体" w:hAnsi="宋体"/>
                <w:b/>
                <w:sz w:val="24"/>
              </w:rPr>
            </w:pPr>
          </w:p>
        </w:tc>
        <w:tc>
          <w:tcPr>
            <w:tcW w:w="1696" w:type="dxa"/>
          </w:tcPr>
          <w:p>
            <w:pPr>
              <w:rPr>
                <w:rFonts w:ascii="宋体" w:hAnsi="宋体"/>
                <w:b/>
                <w:sz w:val="24"/>
              </w:rPr>
            </w:pPr>
          </w:p>
        </w:tc>
        <w:tc>
          <w:tcPr>
            <w:tcW w:w="1696" w:type="dxa"/>
          </w:tcPr>
          <w:p>
            <w:pPr>
              <w:rPr>
                <w:rFonts w:ascii="宋体" w:hAnsi="宋体"/>
                <w:b/>
                <w:sz w:val="24"/>
              </w:rPr>
            </w:pPr>
          </w:p>
        </w:tc>
        <w:tc>
          <w:tcPr>
            <w:tcW w:w="1710" w:type="dxa"/>
          </w:tcPr>
          <w:p>
            <w:pPr>
              <w:rPr>
                <w:rFonts w:ascii="宋体" w:hAnsi="宋体"/>
                <w:b/>
                <w:sz w:val="24"/>
              </w:rPr>
            </w:pPr>
          </w:p>
        </w:tc>
        <w:tc>
          <w:tcPr>
            <w:tcW w:w="1696" w:type="dxa"/>
          </w:tcPr>
          <w:p>
            <w:pPr>
              <w:rPr>
                <w:rFonts w:ascii="宋体"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6" w:type="dxa"/>
          </w:tcPr>
          <w:p>
            <w:pPr>
              <w:rPr>
                <w:rFonts w:ascii="宋体" w:hAnsi="宋体"/>
                <w:b/>
                <w:sz w:val="24"/>
              </w:rPr>
            </w:pPr>
          </w:p>
        </w:tc>
        <w:tc>
          <w:tcPr>
            <w:tcW w:w="1696" w:type="dxa"/>
          </w:tcPr>
          <w:p>
            <w:pPr>
              <w:rPr>
                <w:rFonts w:ascii="宋体" w:hAnsi="宋体"/>
                <w:b/>
                <w:sz w:val="24"/>
              </w:rPr>
            </w:pPr>
          </w:p>
        </w:tc>
        <w:tc>
          <w:tcPr>
            <w:tcW w:w="1696" w:type="dxa"/>
          </w:tcPr>
          <w:p>
            <w:pPr>
              <w:rPr>
                <w:rFonts w:ascii="宋体" w:hAnsi="宋体"/>
                <w:b/>
                <w:sz w:val="24"/>
              </w:rPr>
            </w:pPr>
          </w:p>
        </w:tc>
        <w:tc>
          <w:tcPr>
            <w:tcW w:w="1710" w:type="dxa"/>
          </w:tcPr>
          <w:p>
            <w:pPr>
              <w:rPr>
                <w:rFonts w:ascii="宋体" w:hAnsi="宋体"/>
                <w:b/>
                <w:sz w:val="24"/>
              </w:rPr>
            </w:pPr>
          </w:p>
        </w:tc>
        <w:tc>
          <w:tcPr>
            <w:tcW w:w="1696" w:type="dxa"/>
          </w:tcPr>
          <w:p>
            <w:pPr>
              <w:rPr>
                <w:rFonts w:ascii="宋体"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6" w:type="dxa"/>
          </w:tcPr>
          <w:p>
            <w:pPr>
              <w:rPr>
                <w:rFonts w:ascii="宋体" w:hAnsi="宋体"/>
                <w:b/>
                <w:sz w:val="24"/>
              </w:rPr>
            </w:pPr>
          </w:p>
        </w:tc>
        <w:tc>
          <w:tcPr>
            <w:tcW w:w="1696" w:type="dxa"/>
          </w:tcPr>
          <w:p>
            <w:pPr>
              <w:rPr>
                <w:rFonts w:ascii="宋体" w:hAnsi="宋体"/>
                <w:b/>
                <w:sz w:val="24"/>
              </w:rPr>
            </w:pPr>
          </w:p>
        </w:tc>
        <w:tc>
          <w:tcPr>
            <w:tcW w:w="1696" w:type="dxa"/>
          </w:tcPr>
          <w:p>
            <w:pPr>
              <w:rPr>
                <w:rFonts w:ascii="宋体" w:hAnsi="宋体"/>
                <w:b/>
                <w:sz w:val="24"/>
              </w:rPr>
            </w:pPr>
          </w:p>
        </w:tc>
        <w:tc>
          <w:tcPr>
            <w:tcW w:w="1710" w:type="dxa"/>
          </w:tcPr>
          <w:p>
            <w:pPr>
              <w:rPr>
                <w:rFonts w:ascii="宋体" w:hAnsi="宋体"/>
                <w:b/>
                <w:sz w:val="24"/>
              </w:rPr>
            </w:pPr>
          </w:p>
        </w:tc>
        <w:tc>
          <w:tcPr>
            <w:tcW w:w="1696" w:type="dxa"/>
          </w:tcPr>
          <w:p>
            <w:pPr>
              <w:rPr>
                <w:rFonts w:ascii="宋体"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6" w:type="dxa"/>
          </w:tcPr>
          <w:p>
            <w:pPr>
              <w:rPr>
                <w:rFonts w:ascii="宋体" w:hAnsi="宋体"/>
                <w:b/>
                <w:sz w:val="24"/>
              </w:rPr>
            </w:pPr>
          </w:p>
        </w:tc>
        <w:tc>
          <w:tcPr>
            <w:tcW w:w="1696" w:type="dxa"/>
          </w:tcPr>
          <w:p>
            <w:pPr>
              <w:rPr>
                <w:rFonts w:ascii="宋体" w:hAnsi="宋体"/>
                <w:b/>
                <w:sz w:val="24"/>
              </w:rPr>
            </w:pPr>
          </w:p>
        </w:tc>
        <w:tc>
          <w:tcPr>
            <w:tcW w:w="1696" w:type="dxa"/>
          </w:tcPr>
          <w:p>
            <w:pPr>
              <w:rPr>
                <w:rFonts w:ascii="宋体" w:hAnsi="宋体"/>
                <w:b/>
                <w:sz w:val="24"/>
              </w:rPr>
            </w:pPr>
          </w:p>
        </w:tc>
        <w:tc>
          <w:tcPr>
            <w:tcW w:w="1710" w:type="dxa"/>
          </w:tcPr>
          <w:p>
            <w:pPr>
              <w:rPr>
                <w:rFonts w:ascii="宋体" w:hAnsi="宋体"/>
                <w:b/>
                <w:sz w:val="24"/>
              </w:rPr>
            </w:pPr>
          </w:p>
        </w:tc>
        <w:tc>
          <w:tcPr>
            <w:tcW w:w="1696" w:type="dxa"/>
          </w:tcPr>
          <w:p>
            <w:pPr>
              <w:rPr>
                <w:rFonts w:ascii="宋体" w:hAnsi="宋体"/>
                <w:b/>
                <w:sz w:val="24"/>
              </w:rPr>
            </w:pPr>
          </w:p>
        </w:tc>
      </w:tr>
    </w:tbl>
    <w:p>
      <w:pPr>
        <w:ind w:firstLine="480" w:firstLineChars="200"/>
        <w:rPr>
          <w:rFonts w:ascii="宋体" w:hAnsi="宋体"/>
          <w:b/>
          <w:sz w:val="24"/>
        </w:rPr>
      </w:pPr>
    </w:p>
    <w:p>
      <w:pPr>
        <w:ind w:firstLine="420" w:firstLineChars="200"/>
        <w:rPr>
          <w:rFonts w:ascii="宋体" w:hAnsi="宋体"/>
        </w:rPr>
      </w:pPr>
      <w:r>
        <w:rPr>
          <w:rFonts w:ascii="宋体" w:hAnsi="宋体"/>
        </w:rPr>
        <w:t xml:space="preserve">招标人：（盖章）         法定代表人或其委托代理人：（签字或盖章） </w:t>
      </w:r>
    </w:p>
    <w:p>
      <w:pPr>
        <w:ind w:firstLine="420" w:firstLineChars="200"/>
        <w:rPr>
          <w:rFonts w:ascii="宋体" w:hAnsi="宋体"/>
        </w:rPr>
      </w:pPr>
    </w:p>
    <w:p>
      <w:pPr>
        <w:ind w:firstLine="420" w:firstLineChars="200"/>
        <w:rPr>
          <w:rFonts w:ascii="宋体" w:hAnsi="宋体"/>
        </w:rPr>
      </w:pPr>
      <w:r>
        <w:rPr>
          <w:rFonts w:ascii="宋体" w:hAnsi="宋体"/>
        </w:rPr>
        <w:t xml:space="preserve">招标代理机构：（盖章）        法定代表人或其委托代理人：（签字或盖章） </w:t>
      </w:r>
    </w:p>
    <w:p>
      <w:pPr>
        <w:ind w:firstLine="420" w:firstLineChars="200"/>
        <w:rPr>
          <w:rFonts w:ascii="宋体" w:hAnsi="宋体"/>
        </w:rPr>
      </w:pPr>
    </w:p>
    <w:p>
      <w:pPr>
        <w:ind w:firstLine="6720" w:firstLineChars="3200"/>
        <w:rPr>
          <w:rFonts w:ascii="宋体" w:hAnsi="宋体"/>
          <w:b/>
          <w:sz w:val="24"/>
        </w:rPr>
      </w:pPr>
      <w:r>
        <w:rPr>
          <w:rFonts w:ascii="宋体" w:hAnsi="宋体"/>
        </w:rPr>
        <w:t>年 月 日</w:t>
      </w:r>
    </w:p>
    <w:p>
      <w:pPr>
        <w:ind w:firstLine="480" w:firstLineChars="200"/>
        <w:rPr>
          <w:rFonts w:ascii="仿宋" w:hAnsi="仿宋" w:eastAsia="仿宋"/>
          <w:sz w:val="24"/>
          <w:u w:val="single"/>
        </w:rPr>
      </w:pPr>
    </w:p>
    <w:p>
      <w:pPr>
        <w:ind w:firstLine="480" w:firstLineChars="200"/>
        <w:rPr>
          <w:rFonts w:ascii="仿宋" w:hAnsi="仿宋" w:eastAsia="仿宋"/>
          <w:sz w:val="24"/>
        </w:rPr>
      </w:pPr>
    </w:p>
    <w:p>
      <w:pPr>
        <w:ind w:firstLine="480" w:firstLineChars="200"/>
        <w:rPr>
          <w:rFonts w:ascii="仿宋" w:hAnsi="仿宋" w:eastAsia="仿宋"/>
          <w:sz w:val="24"/>
        </w:rPr>
      </w:pPr>
    </w:p>
    <w:p>
      <w:pPr>
        <w:ind w:firstLine="480" w:firstLineChars="200"/>
        <w:rPr>
          <w:rFonts w:ascii="仿宋" w:hAnsi="仿宋" w:eastAsia="仿宋"/>
          <w:sz w:val="24"/>
          <w:u w:val="single"/>
        </w:rPr>
      </w:pPr>
      <w:r>
        <w:rPr>
          <w:rFonts w:hint="eastAsia" w:ascii="仿宋" w:hAnsi="仿宋" w:eastAsia="仿宋"/>
          <w:sz w:val="24"/>
        </w:rPr>
        <w:t>见证服务机构：</w:t>
      </w:r>
      <w:r>
        <w:rPr>
          <w:rFonts w:ascii="仿宋" w:hAnsi="仿宋" w:eastAsia="仿宋"/>
          <w:sz w:val="24"/>
        </w:rPr>
        <w:t>（</w:t>
      </w:r>
      <w:r>
        <w:rPr>
          <w:rFonts w:hint="eastAsia" w:ascii="仿宋" w:hAnsi="仿宋" w:eastAsia="仿宋"/>
          <w:sz w:val="24"/>
        </w:rPr>
        <w:t>盖章</w:t>
      </w:r>
      <w:r>
        <w:rPr>
          <w:rFonts w:ascii="仿宋" w:hAnsi="仿宋" w:eastAsia="仿宋"/>
          <w:sz w:val="24"/>
        </w:rPr>
        <w:t>）</w:t>
      </w:r>
      <w:r>
        <w:rPr>
          <w:rFonts w:hint="eastAsia" w:ascii="仿宋" w:hAnsi="仿宋" w:eastAsia="仿宋"/>
          <w:sz w:val="24"/>
        </w:rPr>
        <w:t xml:space="preserve">                                 年  月  日</w:t>
      </w:r>
    </w:p>
    <w:p>
      <w:pPr>
        <w:spacing w:line="480" w:lineRule="exact"/>
        <w:outlineLvl w:val="2"/>
        <w:rPr>
          <w:rFonts w:ascii="黑体" w:eastAsia="黑体"/>
          <w:color w:val="000000"/>
          <w:sz w:val="24"/>
        </w:rPr>
      </w:pPr>
      <w:r>
        <w:rPr>
          <w:color w:val="000000"/>
        </w:rPr>
        <w:br w:type="page"/>
      </w:r>
      <w:bookmarkStart w:id="250" w:name="_Toc114222743"/>
      <w:bookmarkStart w:id="251" w:name="_Toc295812190"/>
      <w:r>
        <w:rPr>
          <w:rFonts w:hint="eastAsia" w:ascii="黑体" w:eastAsia="黑体"/>
          <w:color w:val="000000"/>
          <w:sz w:val="24"/>
        </w:rPr>
        <w:t>附表五：中标结果通知书</w:t>
      </w:r>
      <w:bookmarkEnd w:id="250"/>
      <w:bookmarkEnd w:id="251"/>
    </w:p>
    <w:p>
      <w:pPr>
        <w:spacing w:before="312" w:beforeLines="100" w:after="312" w:afterLines="100" w:line="480" w:lineRule="exact"/>
        <w:jc w:val="center"/>
        <w:rPr>
          <w:rFonts w:ascii="黑体" w:eastAsia="黑体"/>
          <w:color w:val="000000"/>
          <w:sz w:val="28"/>
          <w:szCs w:val="28"/>
        </w:rPr>
      </w:pPr>
      <w:r>
        <w:rPr>
          <w:rFonts w:hint="eastAsia" w:ascii="黑体" w:eastAsia="黑体"/>
          <w:color w:val="000000"/>
          <w:sz w:val="28"/>
          <w:szCs w:val="28"/>
        </w:rPr>
        <w:t>中标结果通知书</w:t>
      </w:r>
    </w:p>
    <w:p>
      <w:pPr>
        <w:spacing w:line="480" w:lineRule="exact"/>
        <w:rPr>
          <w:color w:val="000000"/>
        </w:rPr>
      </w:pPr>
      <w:r>
        <w:rPr>
          <w:rFonts w:hint="eastAsia"/>
          <w:color w:val="000000"/>
          <w:u w:val="single"/>
        </w:rPr>
        <w:t>（未中标人名称）</w:t>
      </w:r>
      <w:r>
        <w:rPr>
          <w:rFonts w:hint="eastAsia"/>
          <w:color w:val="000000"/>
        </w:rPr>
        <w:t>：</w:t>
      </w:r>
    </w:p>
    <w:p>
      <w:pPr>
        <w:spacing w:line="480" w:lineRule="exact"/>
        <w:rPr>
          <w:color w:val="000000"/>
        </w:rPr>
      </w:pPr>
    </w:p>
    <w:p>
      <w:pPr>
        <w:spacing w:line="480" w:lineRule="exact"/>
        <w:ind w:firstLine="420" w:firstLineChars="200"/>
        <w:rPr>
          <w:color w:val="000000"/>
        </w:rPr>
      </w:pPr>
      <w:r>
        <w:rPr>
          <w:rFonts w:hint="eastAsia"/>
          <w:color w:val="000000"/>
        </w:rPr>
        <w:t>我方已接受</w:t>
      </w:r>
      <w:r>
        <w:rPr>
          <w:rFonts w:hint="eastAsia"/>
          <w:color w:val="000000"/>
          <w:u w:val="single"/>
        </w:rPr>
        <w:t>（中标人名称）</w:t>
      </w:r>
      <w:r>
        <w:rPr>
          <w:rFonts w:hint="eastAsia"/>
          <w:color w:val="000000"/>
        </w:rPr>
        <w:t>于</w:t>
      </w:r>
      <w:r>
        <w:rPr>
          <w:rFonts w:hint="eastAsia"/>
          <w:color w:val="000000"/>
          <w:u w:val="single"/>
        </w:rPr>
        <w:t>（投标日期）</w:t>
      </w:r>
      <w:r>
        <w:rPr>
          <w:rFonts w:hint="eastAsia"/>
          <w:color w:val="000000"/>
        </w:rPr>
        <w:t>所递交的</w:t>
      </w:r>
      <w:r>
        <w:rPr>
          <w:rFonts w:hint="eastAsia"/>
          <w:color w:val="000000"/>
          <w:u w:val="single"/>
        </w:rPr>
        <w:t>（项目名称）</w:t>
      </w:r>
      <w:r>
        <w:rPr>
          <w:rFonts w:hint="eastAsia"/>
          <w:color w:val="000000"/>
        </w:rPr>
        <w:t>标段施工投标文件，确定</w:t>
      </w:r>
      <w:r>
        <w:rPr>
          <w:rFonts w:hint="eastAsia"/>
          <w:color w:val="000000"/>
          <w:u w:val="single"/>
        </w:rPr>
        <w:t>（中标人名称）</w:t>
      </w:r>
      <w:r>
        <w:rPr>
          <w:rFonts w:hint="eastAsia"/>
          <w:color w:val="000000"/>
        </w:rPr>
        <w:t>为中标人。</w:t>
      </w:r>
    </w:p>
    <w:p>
      <w:pPr>
        <w:spacing w:line="480" w:lineRule="exact"/>
        <w:ind w:firstLine="420" w:firstLineChars="200"/>
        <w:rPr>
          <w:color w:val="000000"/>
        </w:rPr>
      </w:pPr>
    </w:p>
    <w:p>
      <w:pPr>
        <w:spacing w:line="480" w:lineRule="exact"/>
        <w:ind w:firstLine="420" w:firstLineChars="200"/>
        <w:rPr>
          <w:color w:val="000000"/>
        </w:rPr>
      </w:pPr>
      <w:r>
        <w:rPr>
          <w:rFonts w:hint="eastAsia"/>
          <w:color w:val="000000"/>
        </w:rPr>
        <w:t>感谢你单位对我方工作的大力支持</w:t>
      </w:r>
      <w:r>
        <w:rPr>
          <w:rFonts w:hint="eastAsia"/>
          <w:color w:val="000000"/>
          <w:lang w:eastAsia="zh-CN"/>
        </w:rPr>
        <w:t>！</w:t>
      </w:r>
    </w:p>
    <w:p>
      <w:pPr>
        <w:spacing w:line="480" w:lineRule="exact"/>
        <w:ind w:firstLine="420" w:firstLineChars="200"/>
        <w:rPr>
          <w:color w:val="000000"/>
        </w:rPr>
      </w:pPr>
    </w:p>
    <w:p>
      <w:pPr>
        <w:spacing w:line="480" w:lineRule="exact"/>
        <w:ind w:firstLine="420" w:firstLineChars="200"/>
        <w:rPr>
          <w:color w:val="000000"/>
        </w:rPr>
      </w:pPr>
    </w:p>
    <w:p>
      <w:pPr>
        <w:spacing w:line="480" w:lineRule="exact"/>
        <w:ind w:firstLine="420" w:firstLineChars="200"/>
        <w:rPr>
          <w:color w:val="000000"/>
        </w:rPr>
      </w:pPr>
    </w:p>
    <w:p>
      <w:pPr>
        <w:spacing w:line="480" w:lineRule="exact"/>
        <w:ind w:firstLine="420" w:firstLineChars="200"/>
        <w:rPr>
          <w:color w:val="000000"/>
        </w:rPr>
      </w:pPr>
    </w:p>
    <w:p>
      <w:pPr>
        <w:wordWrap w:val="0"/>
        <w:spacing w:line="480" w:lineRule="exact"/>
        <w:ind w:firstLine="420" w:firstLineChars="200"/>
        <w:jc w:val="right"/>
        <w:rPr>
          <w:color w:val="000000"/>
        </w:rPr>
      </w:pPr>
      <w:r>
        <w:rPr>
          <w:rFonts w:hint="eastAsia" w:ascii="黑体" w:eastAsia="黑体"/>
          <w:color w:val="000000"/>
        </w:rPr>
        <w:t>招标人：</w:t>
      </w:r>
      <w:r>
        <w:rPr>
          <w:rFonts w:hint="eastAsia"/>
          <w:color w:val="000000"/>
        </w:rPr>
        <w:t>（盖单位章）</w:t>
      </w:r>
    </w:p>
    <w:p>
      <w:pPr>
        <w:wordWrap w:val="0"/>
        <w:spacing w:line="480" w:lineRule="exact"/>
        <w:ind w:firstLine="420" w:firstLineChars="200"/>
        <w:jc w:val="right"/>
        <w:rPr>
          <w:color w:val="000000"/>
        </w:rPr>
      </w:pPr>
      <w:r>
        <w:rPr>
          <w:rFonts w:hint="eastAsia" w:ascii="黑体" w:eastAsia="黑体"/>
          <w:color w:val="000000"/>
        </w:rPr>
        <w:t>法定代表人：</w:t>
      </w:r>
      <w:r>
        <w:rPr>
          <w:rFonts w:hint="eastAsia"/>
          <w:color w:val="000000"/>
        </w:rPr>
        <w:t>（签字）</w:t>
      </w:r>
    </w:p>
    <w:p>
      <w:pPr>
        <w:wordWrap w:val="0"/>
        <w:spacing w:line="400" w:lineRule="exact"/>
        <w:ind w:firstLine="3990" w:firstLineChars="1900"/>
        <w:jc w:val="right"/>
        <w:rPr>
          <w:color w:val="000000"/>
          <w:szCs w:val="21"/>
        </w:rPr>
      </w:pPr>
      <w:r>
        <w:rPr>
          <w:rFonts w:hint="eastAsia"/>
          <w:color w:val="000000"/>
        </w:rPr>
        <w:t xml:space="preserve">年  </w:t>
      </w:r>
      <w:r>
        <w:rPr>
          <w:color w:val="000000"/>
        </w:rPr>
        <w:t xml:space="preserve">  </w:t>
      </w:r>
      <w:r>
        <w:rPr>
          <w:rFonts w:hint="eastAsia"/>
          <w:color w:val="000000"/>
        </w:rPr>
        <w:t xml:space="preserve">月   </w:t>
      </w:r>
      <w:r>
        <w:rPr>
          <w:color w:val="000000"/>
        </w:rPr>
        <w:t xml:space="preserve"> </w:t>
      </w:r>
      <w:r>
        <w:rPr>
          <w:rFonts w:hint="eastAsia"/>
          <w:color w:val="000000"/>
        </w:rPr>
        <w:t>日</w:t>
      </w:r>
    </w:p>
    <w:p>
      <w:pPr>
        <w:spacing w:line="480" w:lineRule="exact"/>
        <w:outlineLvl w:val="2"/>
        <w:rPr>
          <w:rFonts w:ascii="黑体" w:eastAsia="黑体"/>
          <w:color w:val="000000"/>
          <w:sz w:val="24"/>
        </w:rPr>
      </w:pPr>
      <w:r>
        <w:rPr>
          <w:color w:val="000000"/>
        </w:rPr>
        <w:br w:type="page"/>
      </w:r>
      <w:bookmarkStart w:id="252" w:name="_Toc114222744"/>
      <w:bookmarkStart w:id="253" w:name="_Toc295812191"/>
      <w:r>
        <w:rPr>
          <w:rFonts w:hint="eastAsia" w:ascii="黑体" w:eastAsia="黑体"/>
          <w:color w:val="000000"/>
          <w:sz w:val="24"/>
        </w:rPr>
        <w:t>附表六：确认通知</w:t>
      </w:r>
      <w:bookmarkEnd w:id="252"/>
      <w:bookmarkEnd w:id="253"/>
    </w:p>
    <w:p>
      <w:pPr>
        <w:spacing w:before="312" w:beforeLines="100" w:after="312" w:afterLines="100" w:line="480" w:lineRule="exact"/>
        <w:jc w:val="center"/>
        <w:rPr>
          <w:rFonts w:ascii="黑体" w:eastAsia="黑体"/>
          <w:color w:val="000000"/>
          <w:sz w:val="28"/>
          <w:szCs w:val="28"/>
        </w:rPr>
      </w:pPr>
      <w:r>
        <w:rPr>
          <w:rFonts w:hint="eastAsia" w:ascii="黑体" w:eastAsia="黑体"/>
          <w:color w:val="000000"/>
          <w:sz w:val="28"/>
          <w:szCs w:val="28"/>
        </w:rPr>
        <w:t>确认通知</w:t>
      </w:r>
    </w:p>
    <w:p>
      <w:pPr>
        <w:spacing w:line="480" w:lineRule="exact"/>
        <w:rPr>
          <w:color w:val="000000"/>
        </w:rPr>
      </w:pPr>
      <w:r>
        <w:rPr>
          <w:rFonts w:hint="eastAsia"/>
          <w:color w:val="000000"/>
          <w:u w:val="single"/>
        </w:rPr>
        <w:t>（招标人名称）</w:t>
      </w:r>
      <w:r>
        <w:rPr>
          <w:rFonts w:hint="eastAsia"/>
          <w:color w:val="000000"/>
        </w:rPr>
        <w:t>：</w:t>
      </w:r>
    </w:p>
    <w:p>
      <w:pPr>
        <w:spacing w:line="480" w:lineRule="exact"/>
        <w:rPr>
          <w:color w:val="000000"/>
        </w:rPr>
      </w:pPr>
    </w:p>
    <w:p>
      <w:pPr>
        <w:spacing w:line="480" w:lineRule="exact"/>
        <w:ind w:firstLine="420" w:firstLineChars="200"/>
        <w:rPr>
          <w:color w:val="000000"/>
        </w:rPr>
      </w:pPr>
      <w:r>
        <w:rPr>
          <w:rFonts w:hint="eastAsia"/>
          <w:color w:val="000000"/>
        </w:rPr>
        <w:t>你方年月日发出的</w:t>
      </w:r>
      <w:r>
        <w:rPr>
          <w:rFonts w:hint="eastAsia"/>
          <w:color w:val="000000"/>
          <w:u w:val="single"/>
        </w:rPr>
        <w:t>（项目名称）</w:t>
      </w:r>
      <w:r>
        <w:rPr>
          <w:rFonts w:hint="eastAsia"/>
          <w:color w:val="000000"/>
        </w:rPr>
        <w:t>标段施工招标关于</w:t>
      </w:r>
      <w:r>
        <w:rPr>
          <w:rFonts w:hint="eastAsia"/>
          <w:color w:val="000000"/>
          <w:u w:val="single"/>
        </w:rPr>
        <w:t xml:space="preserve">                           </w:t>
      </w:r>
      <w:r>
        <w:rPr>
          <w:rFonts w:hint="eastAsia"/>
          <w:color w:val="000000"/>
        </w:rPr>
        <w:t xml:space="preserve">    </w:t>
      </w:r>
    </w:p>
    <w:p>
      <w:pPr>
        <w:spacing w:line="480" w:lineRule="exact"/>
        <w:rPr>
          <w:color w:val="000000"/>
        </w:rPr>
      </w:pPr>
      <w:r>
        <w:rPr>
          <w:rFonts w:hint="eastAsia"/>
          <w:color w:val="000000"/>
        </w:rPr>
        <w:t>的通知，我方已于  年  月  日收到。</w:t>
      </w:r>
    </w:p>
    <w:p>
      <w:pPr>
        <w:spacing w:line="480" w:lineRule="exact"/>
        <w:ind w:firstLine="420" w:firstLineChars="200"/>
        <w:rPr>
          <w:color w:val="000000"/>
        </w:rPr>
      </w:pPr>
    </w:p>
    <w:p>
      <w:pPr>
        <w:spacing w:line="480" w:lineRule="exact"/>
        <w:ind w:firstLine="420" w:firstLineChars="200"/>
        <w:rPr>
          <w:color w:val="000000"/>
        </w:rPr>
      </w:pPr>
      <w:r>
        <w:rPr>
          <w:rFonts w:hint="eastAsia"/>
          <w:color w:val="000000"/>
        </w:rPr>
        <w:t>特此确认。</w:t>
      </w:r>
    </w:p>
    <w:p>
      <w:pPr>
        <w:spacing w:line="480" w:lineRule="exact"/>
        <w:ind w:firstLine="420" w:firstLineChars="200"/>
        <w:rPr>
          <w:color w:val="000000"/>
        </w:rPr>
      </w:pPr>
    </w:p>
    <w:p>
      <w:pPr>
        <w:spacing w:line="480" w:lineRule="exact"/>
        <w:ind w:firstLine="420" w:firstLineChars="200"/>
        <w:rPr>
          <w:color w:val="000000"/>
        </w:rPr>
      </w:pPr>
    </w:p>
    <w:p>
      <w:pPr>
        <w:spacing w:line="480" w:lineRule="exact"/>
        <w:ind w:firstLine="420" w:firstLineChars="200"/>
        <w:rPr>
          <w:color w:val="000000"/>
        </w:rPr>
      </w:pPr>
    </w:p>
    <w:p>
      <w:pPr>
        <w:spacing w:line="480" w:lineRule="exact"/>
        <w:ind w:firstLine="420" w:firstLineChars="200"/>
        <w:rPr>
          <w:color w:val="000000"/>
        </w:rPr>
      </w:pPr>
    </w:p>
    <w:p>
      <w:pPr>
        <w:wordWrap w:val="0"/>
        <w:spacing w:line="480" w:lineRule="exact"/>
        <w:ind w:firstLine="420" w:firstLineChars="200"/>
        <w:jc w:val="right"/>
        <w:rPr>
          <w:color w:val="000000"/>
        </w:rPr>
      </w:pPr>
      <w:r>
        <w:rPr>
          <w:rFonts w:hint="eastAsia" w:ascii="黑体" w:eastAsia="黑体"/>
          <w:color w:val="000000"/>
        </w:rPr>
        <w:t>投标人：</w:t>
      </w:r>
      <w:r>
        <w:rPr>
          <w:rFonts w:hint="eastAsia"/>
          <w:color w:val="000000"/>
        </w:rPr>
        <w:t>（盖单位章）</w:t>
      </w:r>
    </w:p>
    <w:p>
      <w:pPr>
        <w:wordWrap w:val="0"/>
        <w:spacing w:line="480" w:lineRule="exact"/>
        <w:jc w:val="right"/>
        <w:rPr>
          <w:color w:val="000000"/>
        </w:rPr>
      </w:pPr>
      <w:r>
        <w:rPr>
          <w:rFonts w:hint="eastAsia"/>
          <w:color w:val="000000"/>
        </w:rPr>
        <w:t>年   月   日</w:t>
      </w: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spacing w:line="420" w:lineRule="exact"/>
        <w:ind w:right="527"/>
        <w:outlineLvl w:val="2"/>
        <w:rPr>
          <w:rFonts w:ascii="黑体" w:eastAsia="黑体"/>
          <w:color w:val="000000"/>
          <w:sz w:val="24"/>
        </w:rPr>
      </w:pPr>
      <w:bookmarkStart w:id="254" w:name="_Toc295812193"/>
      <w:bookmarkStart w:id="255" w:name="_Toc114222745"/>
      <w:r>
        <w:rPr>
          <w:rFonts w:hint="eastAsia" w:ascii="黑体" w:eastAsia="黑体"/>
          <w:color w:val="000000"/>
          <w:sz w:val="24"/>
        </w:rPr>
        <w:t>附表七：电子投标文件编制及报送要求</w:t>
      </w:r>
      <w:bookmarkEnd w:id="254"/>
      <w:bookmarkEnd w:id="255"/>
    </w:p>
    <w:p>
      <w:pPr>
        <w:spacing w:line="420" w:lineRule="exact"/>
        <w:ind w:right="527"/>
        <w:rPr>
          <w:rFonts w:ascii="黑体" w:eastAsia="黑体"/>
          <w:color w:val="000000"/>
          <w:sz w:val="24"/>
        </w:rPr>
      </w:pPr>
    </w:p>
    <w:p>
      <w:pPr>
        <w:spacing w:line="440" w:lineRule="exact"/>
        <w:jc w:val="center"/>
        <w:rPr>
          <w:rFonts w:ascii="宋体" w:hAnsi="宋体"/>
          <w:b/>
          <w:color w:val="000000"/>
          <w:sz w:val="32"/>
          <w:szCs w:val="32"/>
        </w:rPr>
      </w:pPr>
      <w:r>
        <w:rPr>
          <w:rFonts w:hint="eastAsia" w:ascii="宋体" w:hAnsi="宋体"/>
          <w:b/>
          <w:color w:val="000000"/>
          <w:sz w:val="32"/>
          <w:szCs w:val="32"/>
        </w:rPr>
        <w:t>电子投标文件的编制及报送要求</w:t>
      </w:r>
    </w:p>
    <w:p>
      <w:pPr>
        <w:pStyle w:val="16"/>
        <w:spacing w:line="458" w:lineRule="auto"/>
      </w:pPr>
    </w:p>
    <w:p>
      <w:pPr>
        <w:spacing w:before="68" w:line="260" w:lineRule="auto"/>
        <w:ind w:left="809" w:right="792" w:firstLine="4"/>
        <w:jc w:val="both"/>
        <w:rPr>
          <w:rFonts w:ascii="楷体" w:hAnsi="楷体" w:eastAsia="楷体" w:cs="楷体"/>
          <w:sz w:val="21"/>
          <w:szCs w:val="21"/>
        </w:rPr>
      </w:pPr>
      <w:r>
        <w:rPr>
          <w:rFonts w:ascii="黑体" w:hAnsi="黑体" w:eastAsia="黑体" w:cs="黑体"/>
          <w:spacing w:val="-9"/>
          <w:sz w:val="21"/>
          <w:szCs w:val="21"/>
        </w:rPr>
        <w:t xml:space="preserve">备注： </w:t>
      </w:r>
      <w:r>
        <w:rPr>
          <w:rFonts w:ascii="楷体" w:hAnsi="楷体" w:eastAsia="楷体" w:cs="楷体"/>
          <w:spacing w:val="-9"/>
          <w:sz w:val="21"/>
          <w:szCs w:val="21"/>
        </w:rPr>
        <w:t>允许备选投标方案时，</w:t>
      </w:r>
      <w:r>
        <w:rPr>
          <w:rFonts w:ascii="楷体" w:hAnsi="楷体" w:eastAsia="楷体" w:cs="楷体"/>
          <w:spacing w:val="-34"/>
          <w:sz w:val="21"/>
          <w:szCs w:val="21"/>
        </w:rPr>
        <w:t xml:space="preserve"> </w:t>
      </w:r>
      <w:r>
        <w:rPr>
          <w:rFonts w:ascii="楷体" w:hAnsi="楷体" w:eastAsia="楷体" w:cs="楷体"/>
          <w:spacing w:val="-9"/>
          <w:sz w:val="21"/>
          <w:szCs w:val="21"/>
        </w:rPr>
        <w:t>本附表应当作为本章“投标人须知”的附件， 由招标人根据招</w:t>
      </w:r>
      <w:r>
        <w:rPr>
          <w:rFonts w:ascii="楷体" w:hAnsi="楷体" w:eastAsia="楷体" w:cs="楷体"/>
          <w:sz w:val="21"/>
          <w:szCs w:val="21"/>
        </w:rPr>
        <w:t xml:space="preserve"> </w:t>
      </w:r>
      <w:r>
        <w:rPr>
          <w:rFonts w:ascii="楷体" w:hAnsi="楷体" w:eastAsia="楷体" w:cs="楷体"/>
          <w:spacing w:val="-2"/>
          <w:sz w:val="21"/>
          <w:szCs w:val="21"/>
        </w:rPr>
        <w:t>标项目的具体情况和第三章“评标办法”中所附的评审和比较</w:t>
      </w:r>
      <w:r>
        <w:rPr>
          <w:rFonts w:ascii="楷体" w:hAnsi="楷体" w:eastAsia="楷体" w:cs="楷体"/>
          <w:spacing w:val="-3"/>
          <w:sz w:val="21"/>
          <w:szCs w:val="21"/>
        </w:rPr>
        <w:t>方法，对备选投标方案是否或</w:t>
      </w:r>
      <w:r>
        <w:rPr>
          <w:rFonts w:ascii="楷体" w:hAnsi="楷体" w:eastAsia="楷体" w:cs="楷体"/>
          <w:sz w:val="21"/>
          <w:szCs w:val="21"/>
        </w:rPr>
        <w:t xml:space="preserve"> </w:t>
      </w:r>
      <w:r>
        <w:rPr>
          <w:rFonts w:ascii="楷体" w:hAnsi="楷体" w:eastAsia="楷体" w:cs="楷体"/>
          <w:spacing w:val="-2"/>
          <w:sz w:val="21"/>
          <w:szCs w:val="21"/>
        </w:rPr>
        <w:t>在多大程度上可以偏离投标文件相关实质性要求、备选投标方</w:t>
      </w:r>
      <w:r>
        <w:rPr>
          <w:rFonts w:ascii="楷体" w:hAnsi="楷体" w:eastAsia="楷体" w:cs="楷体"/>
          <w:spacing w:val="-3"/>
          <w:sz w:val="21"/>
          <w:szCs w:val="21"/>
        </w:rPr>
        <w:t>案的组成内容，装订和递交要</w:t>
      </w:r>
      <w:r>
        <w:rPr>
          <w:rFonts w:ascii="楷体" w:hAnsi="楷体" w:eastAsia="楷体" w:cs="楷体"/>
          <w:sz w:val="21"/>
          <w:szCs w:val="21"/>
        </w:rPr>
        <w:t xml:space="preserve"> </w:t>
      </w:r>
      <w:r>
        <w:rPr>
          <w:rFonts w:ascii="楷体" w:hAnsi="楷体" w:eastAsia="楷体" w:cs="楷体"/>
          <w:spacing w:val="-2"/>
          <w:sz w:val="21"/>
          <w:szCs w:val="21"/>
        </w:rPr>
        <w:t>求等给予具体规定。</w:t>
      </w:r>
    </w:p>
    <w:p>
      <w:pPr>
        <w:spacing w:line="420" w:lineRule="exact"/>
        <w:jc w:val="center"/>
        <w:rPr>
          <w:rFonts w:ascii="楷体_GB2312" w:eastAsia="楷体_GB2312"/>
          <w:color w:val="000000"/>
        </w:rPr>
      </w:pPr>
    </w:p>
    <w:p>
      <w:pPr>
        <w:spacing w:line="420" w:lineRule="exact"/>
        <w:jc w:val="center"/>
        <w:rPr>
          <w:rFonts w:ascii="楷体_GB2312" w:eastAsia="楷体_GB2312"/>
          <w:color w:val="000000"/>
        </w:rPr>
      </w:pPr>
    </w:p>
    <w:p>
      <w:pPr>
        <w:spacing w:line="420" w:lineRule="exact"/>
        <w:ind w:firstLine="1078" w:firstLineChars="337"/>
        <w:rPr>
          <w:rFonts w:ascii="黑体" w:eastAsia="黑体"/>
          <w:color w:val="000000"/>
          <w:sz w:val="32"/>
          <w:szCs w:val="32"/>
        </w:rPr>
        <w:sectPr>
          <w:pgSz w:w="11906" w:h="16838"/>
          <w:pgMar w:top="1588" w:right="1701" w:bottom="1418" w:left="1701" w:header="851" w:footer="851" w:gutter="0"/>
          <w:pgNumType w:chapStyle="1"/>
          <w:cols w:space="425" w:num="1"/>
          <w:docGrid w:type="lines" w:linePitch="312" w:charSpace="0"/>
        </w:sectPr>
      </w:pPr>
    </w:p>
    <w:p>
      <w:pPr>
        <w:spacing w:line="420" w:lineRule="exact"/>
        <w:ind w:right="527"/>
        <w:outlineLvl w:val="2"/>
        <w:rPr>
          <w:rFonts w:hint="eastAsia" w:ascii="黑体" w:eastAsia="黑体"/>
          <w:color w:val="000000"/>
          <w:sz w:val="24"/>
        </w:rPr>
      </w:pPr>
      <w:bookmarkStart w:id="256" w:name="_Toc114222746"/>
      <w:r>
        <w:rPr>
          <w:rFonts w:hint="eastAsia" w:ascii="黑体" w:eastAsia="黑体"/>
          <w:color w:val="000000"/>
          <w:sz w:val="24"/>
        </w:rPr>
        <w:t>附表八：电子投标文件编制及报送要求</w:t>
      </w:r>
    </w:p>
    <w:p>
      <w:pPr>
        <w:spacing w:before="68" w:line="396" w:lineRule="auto"/>
        <w:ind w:left="934" w:right="955" w:firstLine="374"/>
        <w:rPr>
          <w:rFonts w:ascii="宋体" w:hAnsi="宋体" w:eastAsia="宋体" w:cs="宋体"/>
          <w:sz w:val="21"/>
          <w:szCs w:val="21"/>
        </w:rPr>
      </w:pPr>
      <w:r>
        <w:rPr>
          <w:rFonts w:ascii="宋体" w:hAnsi="宋体" w:eastAsia="宋体" w:cs="宋体"/>
          <w:spacing w:val="-1"/>
          <w:sz w:val="21"/>
          <w:szCs w:val="21"/>
        </w:rPr>
        <w:t>1、电子投标文件应当统一使用符合国家检测标准经所属交易平台认可的“电子标书</w:t>
      </w:r>
      <w:r>
        <w:rPr>
          <w:rFonts w:ascii="宋体" w:hAnsi="宋体" w:eastAsia="宋体" w:cs="宋体"/>
          <w:spacing w:val="16"/>
          <w:sz w:val="21"/>
          <w:szCs w:val="21"/>
        </w:rPr>
        <w:t xml:space="preserve"> </w:t>
      </w:r>
      <w:r>
        <w:rPr>
          <w:rFonts w:ascii="宋体" w:hAnsi="宋体" w:eastAsia="宋体" w:cs="宋体"/>
          <w:spacing w:val="-4"/>
          <w:sz w:val="21"/>
          <w:szCs w:val="21"/>
        </w:rPr>
        <w:t>制作工具”制作投标文件。电子投标文件的文本、图表、</w:t>
      </w:r>
      <w:r>
        <w:rPr>
          <w:rFonts w:ascii="宋体" w:hAnsi="宋体" w:eastAsia="宋体" w:cs="宋体"/>
          <w:spacing w:val="45"/>
          <w:sz w:val="21"/>
          <w:szCs w:val="21"/>
        </w:rPr>
        <w:t xml:space="preserve"> </w:t>
      </w:r>
      <w:r>
        <w:rPr>
          <w:rFonts w:ascii="宋体" w:hAnsi="宋体" w:eastAsia="宋体" w:cs="宋体"/>
          <w:spacing w:val="-4"/>
          <w:sz w:val="21"/>
          <w:szCs w:val="21"/>
        </w:rPr>
        <w:t>BIM技术文件、工程量清单数</w:t>
      </w:r>
    </w:p>
    <w:p>
      <w:pPr>
        <w:spacing w:line="218" w:lineRule="auto"/>
        <w:ind w:left="932"/>
        <w:rPr>
          <w:rFonts w:ascii="宋体" w:hAnsi="宋体" w:eastAsia="宋体" w:cs="宋体"/>
          <w:sz w:val="21"/>
          <w:szCs w:val="21"/>
        </w:rPr>
      </w:pPr>
      <w:r>
        <w:rPr>
          <w:rFonts w:ascii="宋体" w:hAnsi="宋体" w:eastAsia="宋体" w:cs="宋体"/>
          <w:sz w:val="21"/>
          <w:szCs w:val="21"/>
        </w:rPr>
        <w:t>据等内容由各种相关软件编制后，需导入“电子标书制作工具”生成电子投</w:t>
      </w:r>
      <w:r>
        <w:rPr>
          <w:rFonts w:ascii="宋体" w:hAnsi="宋体" w:eastAsia="宋体" w:cs="宋体"/>
          <w:spacing w:val="-1"/>
          <w:sz w:val="21"/>
          <w:szCs w:val="21"/>
        </w:rPr>
        <w:t>标文件。</w:t>
      </w:r>
    </w:p>
    <w:p>
      <w:pPr>
        <w:spacing w:before="276" w:line="450" w:lineRule="exact"/>
        <w:ind w:left="1296"/>
        <w:rPr>
          <w:rFonts w:ascii="宋体" w:hAnsi="宋体" w:eastAsia="宋体" w:cs="宋体"/>
          <w:sz w:val="21"/>
          <w:szCs w:val="21"/>
        </w:rPr>
      </w:pPr>
      <w:r>
        <w:rPr>
          <w:rFonts w:ascii="宋体" w:hAnsi="宋体" w:eastAsia="宋体" w:cs="宋体"/>
          <w:spacing w:val="-4"/>
          <w:position w:val="18"/>
          <w:sz w:val="21"/>
          <w:szCs w:val="21"/>
        </w:rPr>
        <w:t>2、</w:t>
      </w:r>
      <w:r>
        <w:rPr>
          <w:rFonts w:ascii="宋体" w:hAnsi="宋体" w:eastAsia="宋体" w:cs="宋体"/>
          <w:spacing w:val="35"/>
          <w:position w:val="18"/>
          <w:sz w:val="21"/>
          <w:szCs w:val="21"/>
        </w:rPr>
        <w:t xml:space="preserve"> </w:t>
      </w:r>
      <w:r>
        <w:rPr>
          <w:rFonts w:ascii="宋体" w:hAnsi="宋体" w:eastAsia="宋体" w:cs="宋体"/>
          <w:spacing w:val="-4"/>
          <w:position w:val="18"/>
          <w:sz w:val="21"/>
          <w:szCs w:val="21"/>
        </w:rPr>
        <w:t>“电子标书制作工具”必须配备含有本单位电子标书工具加密锁才能使用，投标</w:t>
      </w:r>
    </w:p>
    <w:p>
      <w:pPr>
        <w:spacing w:line="218" w:lineRule="auto"/>
        <w:ind w:left="934"/>
        <w:rPr>
          <w:rFonts w:ascii="宋体" w:hAnsi="宋体" w:eastAsia="宋体" w:cs="宋体"/>
          <w:sz w:val="21"/>
          <w:szCs w:val="21"/>
        </w:rPr>
      </w:pPr>
      <w:r>
        <w:rPr>
          <w:rFonts w:ascii="宋体" w:hAnsi="宋体" w:eastAsia="宋体" w:cs="宋体"/>
          <w:spacing w:val="-1"/>
          <w:sz w:val="21"/>
          <w:szCs w:val="21"/>
        </w:rPr>
        <w:t>人不得将电子标书工具加密锁转借或使用他人的电子标书工具加密锁编制投标文件。</w:t>
      </w:r>
    </w:p>
    <w:p>
      <w:pPr>
        <w:spacing w:before="277" w:line="396" w:lineRule="auto"/>
        <w:ind w:left="932" w:right="955" w:firstLine="365"/>
        <w:rPr>
          <w:rFonts w:ascii="宋体" w:hAnsi="宋体" w:eastAsia="宋体" w:cs="宋体"/>
          <w:sz w:val="21"/>
          <w:szCs w:val="21"/>
        </w:rPr>
      </w:pPr>
      <w:r>
        <w:rPr>
          <w:rFonts w:ascii="宋体" w:hAnsi="宋体" w:eastAsia="宋体" w:cs="宋体"/>
          <w:sz w:val="21"/>
          <w:szCs w:val="21"/>
        </w:rPr>
        <w:t>3、如本招标文件要求投标人同时提交电子投标文件和纸质投标</w:t>
      </w:r>
      <w:r>
        <w:rPr>
          <w:rFonts w:ascii="宋体" w:hAnsi="宋体" w:eastAsia="宋体" w:cs="宋体"/>
          <w:spacing w:val="-1"/>
          <w:sz w:val="21"/>
          <w:szCs w:val="21"/>
        </w:rPr>
        <w:t>文件，为确保电子文</w:t>
      </w:r>
      <w:r>
        <w:rPr>
          <w:rFonts w:ascii="宋体" w:hAnsi="宋体" w:eastAsia="宋体" w:cs="宋体"/>
          <w:sz w:val="21"/>
          <w:szCs w:val="21"/>
        </w:rPr>
        <w:t xml:space="preserve"> </w:t>
      </w:r>
      <w:r>
        <w:rPr>
          <w:rFonts w:ascii="宋体" w:hAnsi="宋体" w:eastAsia="宋体" w:cs="宋体"/>
          <w:spacing w:val="-1"/>
          <w:sz w:val="21"/>
          <w:szCs w:val="21"/>
        </w:rPr>
        <w:t>件与纸质文件一致，纸质投标文件应使用“电子标书制作工具”的打印功能进行打印。</w:t>
      </w:r>
    </w:p>
    <w:p>
      <w:pPr>
        <w:spacing w:line="219" w:lineRule="auto"/>
        <w:ind w:left="936"/>
        <w:rPr>
          <w:rFonts w:ascii="宋体" w:hAnsi="宋体" w:eastAsia="宋体" w:cs="宋体"/>
          <w:sz w:val="21"/>
          <w:szCs w:val="21"/>
        </w:rPr>
      </w:pPr>
      <w:r>
        <w:rPr>
          <w:rFonts w:ascii="宋体" w:hAnsi="宋体" w:eastAsia="宋体" w:cs="宋体"/>
          <w:spacing w:val="-1"/>
          <w:sz w:val="21"/>
          <w:szCs w:val="21"/>
        </w:rPr>
        <w:t>如电子文件和纸质文件存在不一致的地方，以</w:t>
      </w:r>
      <w:r>
        <w:rPr>
          <w:rFonts w:ascii="宋体" w:hAnsi="宋体" w:eastAsia="宋体" w:cs="宋体"/>
          <w:spacing w:val="-2"/>
          <w:sz w:val="21"/>
          <w:szCs w:val="21"/>
        </w:rPr>
        <w:t>电子投标文件为准。</w:t>
      </w:r>
    </w:p>
    <w:p>
      <w:pPr>
        <w:spacing w:before="276" w:line="450" w:lineRule="exact"/>
        <w:ind w:left="1292"/>
        <w:rPr>
          <w:rFonts w:ascii="宋体" w:hAnsi="宋体" w:eastAsia="宋体" w:cs="宋体"/>
          <w:sz w:val="21"/>
          <w:szCs w:val="21"/>
        </w:rPr>
      </w:pPr>
      <w:r>
        <w:rPr>
          <w:rFonts w:ascii="宋体" w:hAnsi="宋体" w:eastAsia="宋体" w:cs="宋体"/>
          <w:position w:val="18"/>
          <w:sz w:val="21"/>
          <w:szCs w:val="21"/>
        </w:rPr>
        <w:t>4、为保证电子投标文件的合法性、安全性和完整性，电子文件转换完成后</w:t>
      </w:r>
      <w:r>
        <w:rPr>
          <w:rFonts w:ascii="宋体" w:hAnsi="宋体" w:eastAsia="宋体" w:cs="宋体"/>
          <w:spacing w:val="-1"/>
          <w:position w:val="18"/>
          <w:sz w:val="21"/>
          <w:szCs w:val="21"/>
        </w:rPr>
        <w:t>，应在规</w:t>
      </w:r>
    </w:p>
    <w:p>
      <w:pPr>
        <w:spacing w:before="1" w:line="218" w:lineRule="auto"/>
        <w:ind w:left="938"/>
        <w:rPr>
          <w:rFonts w:ascii="宋体" w:hAnsi="宋体" w:eastAsia="宋体" w:cs="宋体"/>
          <w:spacing w:val="-3"/>
          <w:sz w:val="21"/>
          <w:szCs w:val="21"/>
        </w:rPr>
      </w:pPr>
      <w:r>
        <w:rPr>
          <w:rFonts w:ascii="宋体" w:hAnsi="宋体" w:eastAsia="宋体" w:cs="宋体"/>
          <w:spacing w:val="-3"/>
          <w:sz w:val="21"/>
          <w:szCs w:val="21"/>
        </w:rPr>
        <w:t>定部位加盖含有CA数字证书的电子印章。</w:t>
      </w:r>
    </w:p>
    <w:p>
      <w:pPr>
        <w:pStyle w:val="95"/>
        <w:spacing w:before="178" w:line="396" w:lineRule="auto"/>
        <w:ind w:right="209" w:firstLine="1248" w:firstLineChars="600"/>
        <w:rPr>
          <w:sz w:val="21"/>
          <w:szCs w:val="21"/>
        </w:rPr>
      </w:pPr>
      <w:r>
        <w:rPr>
          <w:spacing w:val="-1"/>
          <w:sz w:val="21"/>
          <w:szCs w:val="21"/>
        </w:rPr>
        <w:t xml:space="preserve">5、电子投标文件制作完成后，应在投标截止时间之前将加密的电子投标文件上 </w:t>
      </w:r>
      <w:r>
        <w:rPr>
          <w:spacing w:val="-4"/>
          <w:sz w:val="21"/>
          <w:szCs w:val="21"/>
        </w:rPr>
        <w:t>传至电子招标投标系统。</w:t>
      </w:r>
      <w:r>
        <w:rPr>
          <w:spacing w:val="44"/>
          <w:sz w:val="21"/>
          <w:szCs w:val="21"/>
        </w:rPr>
        <w:t xml:space="preserve"> </w:t>
      </w:r>
      <w:r>
        <w:rPr>
          <w:spacing w:val="-4"/>
          <w:sz w:val="21"/>
          <w:szCs w:val="21"/>
        </w:rPr>
        <w:t>投标人提交一张包含相同内容的投标文件光盘和U盘以备CA</w:t>
      </w:r>
      <w:r>
        <w:rPr>
          <w:sz w:val="21"/>
          <w:szCs w:val="21"/>
        </w:rPr>
        <w:t xml:space="preserve"> </w:t>
      </w:r>
      <w:r>
        <w:rPr>
          <w:spacing w:val="-4"/>
          <w:sz w:val="21"/>
          <w:szCs w:val="21"/>
        </w:rPr>
        <w:t>解密失败时使用，光盘和U盘应密封完好（包装及密封形式不限）</w:t>
      </w:r>
      <w:r>
        <w:rPr>
          <w:spacing w:val="43"/>
          <w:sz w:val="21"/>
          <w:szCs w:val="21"/>
        </w:rPr>
        <w:t xml:space="preserve"> </w:t>
      </w:r>
      <w:r>
        <w:rPr>
          <w:spacing w:val="-4"/>
          <w:sz w:val="21"/>
          <w:szCs w:val="21"/>
        </w:rPr>
        <w:t>。开标时，</w:t>
      </w:r>
      <w:r>
        <w:rPr>
          <w:spacing w:val="-5"/>
          <w:sz w:val="21"/>
          <w:szCs w:val="21"/>
        </w:rPr>
        <w:t>以在电</w:t>
      </w:r>
      <w:r>
        <w:rPr>
          <w:sz w:val="21"/>
          <w:szCs w:val="21"/>
        </w:rPr>
        <w:t xml:space="preserve"> </w:t>
      </w:r>
      <w:r>
        <w:rPr>
          <w:spacing w:val="-5"/>
          <w:sz w:val="21"/>
          <w:szCs w:val="21"/>
        </w:rPr>
        <w:t>子招标投标系统上传的文件导入为准，</w:t>
      </w:r>
      <w:r>
        <w:rPr>
          <w:spacing w:val="77"/>
          <w:sz w:val="21"/>
          <w:szCs w:val="21"/>
        </w:rPr>
        <w:t xml:space="preserve"> </w:t>
      </w:r>
      <w:r>
        <w:rPr>
          <w:spacing w:val="-5"/>
          <w:sz w:val="21"/>
          <w:szCs w:val="21"/>
        </w:rPr>
        <w:t>如上传文件无法导入，则导入光盘和U盘的文</w:t>
      </w:r>
      <w:r>
        <w:rPr>
          <w:sz w:val="21"/>
          <w:szCs w:val="21"/>
        </w:rPr>
        <w:t xml:space="preserve"> 件。若电子招标投标系统上传的文件、光盘和U盘文件全部无法读取，则该投</w:t>
      </w:r>
      <w:r>
        <w:rPr>
          <w:spacing w:val="-1"/>
          <w:sz w:val="21"/>
          <w:szCs w:val="21"/>
        </w:rPr>
        <w:t>标文件</w:t>
      </w:r>
    </w:p>
    <w:p>
      <w:pPr>
        <w:pStyle w:val="95"/>
        <w:spacing w:line="219" w:lineRule="auto"/>
        <w:ind w:left="158"/>
        <w:rPr>
          <w:sz w:val="21"/>
          <w:szCs w:val="21"/>
        </w:rPr>
      </w:pPr>
      <w:r>
        <w:rPr>
          <w:spacing w:val="-7"/>
          <w:sz w:val="21"/>
          <w:szCs w:val="21"/>
        </w:rPr>
        <w:t>应被拒绝。</w:t>
      </w:r>
    </w:p>
    <w:p>
      <w:pPr>
        <w:pStyle w:val="95"/>
        <w:spacing w:before="200" w:line="450" w:lineRule="exact"/>
        <w:ind w:left="520" w:firstLine="630" w:firstLineChars="300"/>
        <w:rPr>
          <w:sz w:val="21"/>
          <w:szCs w:val="21"/>
        </w:rPr>
      </w:pPr>
      <w:r>
        <w:rPr>
          <w:position w:val="18"/>
          <w:sz w:val="21"/>
          <w:szCs w:val="21"/>
        </w:rPr>
        <w:t>6、提交光盘及U盘介质中只能有内容一致的唯一电子标书文件，</w:t>
      </w:r>
      <w:r>
        <w:rPr>
          <w:spacing w:val="-1"/>
          <w:position w:val="18"/>
          <w:sz w:val="21"/>
          <w:szCs w:val="21"/>
        </w:rPr>
        <w:t>不能有其它任何</w:t>
      </w:r>
    </w:p>
    <w:p>
      <w:pPr>
        <w:spacing w:before="1" w:line="218" w:lineRule="auto"/>
        <w:ind w:left="938"/>
        <w:sectPr>
          <w:footerReference r:id="rId9" w:type="default"/>
          <w:pgSz w:w="11907" w:h="16839"/>
          <w:pgMar w:top="1438" w:right="400" w:bottom="995" w:left="400" w:header="0" w:footer="0" w:gutter="0"/>
          <w:cols w:space="720" w:num="1"/>
        </w:sectPr>
      </w:pPr>
      <w:r>
        <w:rPr>
          <w:spacing w:val="-3"/>
          <w:sz w:val="21"/>
          <w:szCs w:val="21"/>
        </w:rPr>
        <w:t>文件，注意查杀电脑病毒。</w:t>
      </w:r>
    </w:p>
    <w:p>
      <w:pPr>
        <w:rPr>
          <w:rFonts w:hint="eastAsia" w:ascii="黑体" w:hAnsi="宋体" w:eastAsia="黑体"/>
          <w:color w:val="000000"/>
          <w:sz w:val="24"/>
          <w:highlight w:val="yellow"/>
        </w:rPr>
      </w:pPr>
      <w:r>
        <w:rPr>
          <w:rFonts w:hint="eastAsia" w:ascii="黑体" w:hAnsi="宋体" w:eastAsia="黑体"/>
          <w:color w:val="000000"/>
          <w:sz w:val="24"/>
          <w:highlight w:val="yellow"/>
        </w:rPr>
        <w:br w:type="page"/>
      </w:r>
    </w:p>
    <w:bookmarkEnd w:id="256"/>
    <w:p>
      <w:pPr>
        <w:spacing w:before="78" w:line="220" w:lineRule="auto"/>
        <w:ind w:left="458"/>
        <w:rPr>
          <w:rFonts w:ascii="宋体" w:hAnsi="宋体" w:eastAsia="宋体" w:cs="宋体"/>
          <w:sz w:val="24"/>
          <w:szCs w:val="24"/>
        </w:rPr>
      </w:pPr>
      <w:r>
        <w:rPr>
          <w:rFonts w:ascii="宋体" w:hAnsi="宋体" w:eastAsia="宋体" w:cs="宋体"/>
          <w:b/>
          <w:bCs/>
          <w:spacing w:val="-4"/>
          <w:sz w:val="24"/>
          <w:szCs w:val="24"/>
        </w:rPr>
        <w:t>企业资质判定规则（旧标）</w:t>
      </w:r>
    </w:p>
    <w:p>
      <w:pPr>
        <w:spacing w:before="62"/>
      </w:pPr>
    </w:p>
    <w:tbl>
      <w:tblPr>
        <w:tblStyle w:val="96"/>
        <w:tblW w:w="13950" w:type="dxa"/>
        <w:tblInd w:w="45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6"/>
        <w:gridCol w:w="985"/>
        <w:gridCol w:w="1295"/>
        <w:gridCol w:w="4380"/>
        <w:gridCol w:w="3269"/>
        <w:gridCol w:w="677"/>
        <w:gridCol w:w="24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60" w:hRule="atLeast"/>
        </w:trPr>
        <w:tc>
          <w:tcPr>
            <w:tcW w:w="936" w:type="dxa"/>
            <w:tcBorders>
              <w:top w:val="single" w:color="000000" w:sz="6" w:space="0"/>
              <w:left w:val="single" w:color="000000" w:sz="6" w:space="0"/>
              <w:bottom w:val="single" w:color="000000" w:sz="6" w:space="0"/>
            </w:tcBorders>
            <w:shd w:val="clear" w:color="auto" w:fill="B8CCE4"/>
            <w:vAlign w:val="top"/>
          </w:tcPr>
          <w:p>
            <w:pPr>
              <w:pStyle w:val="95"/>
              <w:spacing w:before="68" w:line="312" w:lineRule="exact"/>
              <w:ind w:left="191"/>
            </w:pPr>
            <w:r>
              <w:rPr>
                <w:b/>
                <w:bCs/>
                <w:spacing w:val="-4"/>
                <w:position w:val="10"/>
              </w:rPr>
              <w:t>类别分</w:t>
            </w:r>
          </w:p>
          <w:p>
            <w:pPr>
              <w:pStyle w:val="95"/>
              <w:spacing w:line="219" w:lineRule="auto"/>
              <w:ind w:left="191"/>
            </w:pPr>
            <w:r>
              <w:rPr>
                <w:b/>
                <w:bCs/>
                <w:spacing w:val="-7"/>
              </w:rPr>
              <w:t>类（资</w:t>
            </w:r>
          </w:p>
          <w:p>
            <w:pPr>
              <w:pStyle w:val="95"/>
              <w:spacing w:before="97" w:line="312" w:lineRule="exact"/>
              <w:ind w:left="283"/>
            </w:pPr>
            <w:r>
              <w:rPr>
                <w:b/>
                <w:bCs/>
                <w:spacing w:val="-4"/>
                <w:position w:val="9"/>
              </w:rPr>
              <w:t>质专</w:t>
            </w:r>
          </w:p>
          <w:p>
            <w:pPr>
              <w:pStyle w:val="95"/>
              <w:spacing w:line="231" w:lineRule="auto"/>
              <w:ind w:left="282"/>
            </w:pPr>
            <w:r>
              <w:rPr>
                <w:b/>
                <w:bCs/>
                <w:spacing w:val="-6"/>
              </w:rPr>
              <w:t>业）</w:t>
            </w:r>
          </w:p>
        </w:tc>
        <w:tc>
          <w:tcPr>
            <w:tcW w:w="985" w:type="dxa"/>
            <w:tcBorders>
              <w:top w:val="single" w:color="000000" w:sz="6" w:space="0"/>
              <w:bottom w:val="single" w:color="000000" w:sz="6" w:space="0"/>
            </w:tcBorders>
            <w:shd w:val="clear" w:color="auto" w:fill="B8CCE4"/>
            <w:vAlign w:val="top"/>
          </w:tcPr>
          <w:p>
            <w:pPr>
              <w:pStyle w:val="95"/>
              <w:spacing w:before="224" w:line="220" w:lineRule="auto"/>
              <w:ind w:left="132"/>
            </w:pPr>
            <w:r>
              <w:rPr>
                <w:b/>
                <w:bCs/>
                <w:spacing w:val="-4"/>
              </w:rPr>
              <w:t>一级指标</w:t>
            </w:r>
          </w:p>
          <w:p>
            <w:pPr>
              <w:pStyle w:val="95"/>
              <w:spacing w:before="97" w:line="270" w:lineRule="auto"/>
              <w:ind w:left="311" w:right="143" w:hanging="177"/>
            </w:pPr>
            <w:r>
              <w:rPr>
                <w:b/>
                <w:bCs/>
                <w:spacing w:val="-7"/>
              </w:rPr>
              <w:t>（资质类</w:t>
            </w:r>
            <w:r>
              <w:rPr>
                <w:spacing w:val="1"/>
              </w:rPr>
              <w:t xml:space="preserve"> </w:t>
            </w:r>
            <w:r>
              <w:rPr>
                <w:b/>
                <w:bCs/>
                <w:spacing w:val="-7"/>
              </w:rPr>
              <w:t>别）</w:t>
            </w:r>
          </w:p>
        </w:tc>
        <w:tc>
          <w:tcPr>
            <w:tcW w:w="1295" w:type="dxa"/>
            <w:tcBorders>
              <w:top w:val="single" w:color="000000" w:sz="6" w:space="0"/>
              <w:bottom w:val="single" w:color="000000" w:sz="6" w:space="0"/>
            </w:tcBorders>
            <w:shd w:val="clear" w:color="auto" w:fill="B8CCE4"/>
            <w:vAlign w:val="top"/>
          </w:tcPr>
          <w:p>
            <w:pPr>
              <w:pStyle w:val="95"/>
              <w:spacing w:before="224" w:line="220" w:lineRule="auto"/>
              <w:ind w:left="287"/>
            </w:pPr>
            <w:r>
              <w:rPr>
                <w:b/>
                <w:bCs/>
                <w:spacing w:val="-4"/>
              </w:rPr>
              <w:t>二级指标</w:t>
            </w:r>
          </w:p>
          <w:p>
            <w:pPr>
              <w:pStyle w:val="95"/>
              <w:spacing w:before="97" w:line="312" w:lineRule="exact"/>
              <w:ind w:left="289"/>
            </w:pPr>
            <w:r>
              <w:rPr>
                <w:b/>
                <w:bCs/>
                <w:spacing w:val="-7"/>
                <w:position w:val="9"/>
              </w:rPr>
              <w:t>（资质类</w:t>
            </w:r>
          </w:p>
          <w:p>
            <w:pPr>
              <w:pStyle w:val="95"/>
              <w:spacing w:line="227" w:lineRule="auto"/>
              <w:ind w:left="470"/>
            </w:pPr>
            <w:r>
              <w:rPr>
                <w:b/>
                <w:bCs/>
                <w:spacing w:val="-8"/>
              </w:rPr>
              <w:t>型）</w:t>
            </w:r>
          </w:p>
        </w:tc>
        <w:tc>
          <w:tcPr>
            <w:tcW w:w="4380" w:type="dxa"/>
            <w:tcBorders>
              <w:top w:val="single" w:color="000000" w:sz="6" w:space="0"/>
              <w:bottom w:val="single" w:color="000000" w:sz="6" w:space="0"/>
            </w:tcBorders>
            <w:shd w:val="clear" w:color="auto" w:fill="B8CCE4"/>
            <w:vAlign w:val="top"/>
          </w:tcPr>
          <w:p>
            <w:pPr>
              <w:spacing w:line="475" w:lineRule="auto"/>
              <w:rPr>
                <w:rFonts w:ascii="Arial"/>
                <w:sz w:val="21"/>
              </w:rPr>
            </w:pPr>
          </w:p>
          <w:p>
            <w:pPr>
              <w:pStyle w:val="95"/>
              <w:spacing w:before="58" w:line="220" w:lineRule="auto"/>
              <w:ind w:left="1646"/>
            </w:pPr>
            <w:r>
              <w:rPr>
                <w:b/>
                <w:bCs/>
                <w:spacing w:val="-3"/>
              </w:rPr>
              <w:t>三级指标描述</w:t>
            </w:r>
          </w:p>
        </w:tc>
        <w:tc>
          <w:tcPr>
            <w:tcW w:w="3269" w:type="dxa"/>
            <w:tcBorders>
              <w:top w:val="single" w:color="000000" w:sz="6" w:space="0"/>
              <w:bottom w:val="single" w:color="000000" w:sz="6" w:space="0"/>
            </w:tcBorders>
            <w:shd w:val="clear" w:color="auto" w:fill="B8CCE4"/>
            <w:vAlign w:val="top"/>
          </w:tcPr>
          <w:p>
            <w:pPr>
              <w:spacing w:line="474" w:lineRule="auto"/>
              <w:rPr>
                <w:rFonts w:ascii="Arial"/>
                <w:sz w:val="21"/>
              </w:rPr>
            </w:pPr>
          </w:p>
          <w:p>
            <w:pPr>
              <w:pStyle w:val="95"/>
              <w:spacing w:before="59" w:line="220" w:lineRule="auto"/>
              <w:ind w:left="283"/>
            </w:pPr>
            <w:r>
              <w:rPr>
                <w:b/>
                <w:bCs/>
                <w:spacing w:val="-2"/>
              </w:rPr>
              <w:t>指标填写（系统判断，人工修改）</w:t>
            </w:r>
          </w:p>
        </w:tc>
        <w:tc>
          <w:tcPr>
            <w:tcW w:w="677" w:type="dxa"/>
            <w:tcBorders>
              <w:top w:val="single" w:color="000000" w:sz="6" w:space="0"/>
            </w:tcBorders>
            <w:shd w:val="clear" w:color="auto" w:fill="B8CCE4"/>
            <w:vAlign w:val="top"/>
          </w:tcPr>
          <w:p>
            <w:pPr>
              <w:spacing w:line="474" w:lineRule="auto"/>
              <w:rPr>
                <w:rFonts w:ascii="Arial"/>
                <w:sz w:val="21"/>
              </w:rPr>
            </w:pPr>
          </w:p>
          <w:p>
            <w:pPr>
              <w:pStyle w:val="95"/>
              <w:spacing w:before="59" w:line="220" w:lineRule="auto"/>
              <w:ind w:left="164"/>
            </w:pPr>
            <w:r>
              <w:rPr>
                <w:b/>
                <w:bCs/>
                <w:spacing w:val="-4"/>
              </w:rPr>
              <w:t>类型</w:t>
            </w:r>
          </w:p>
        </w:tc>
        <w:tc>
          <w:tcPr>
            <w:tcW w:w="2408" w:type="dxa"/>
            <w:tcBorders>
              <w:top w:val="single" w:color="000000" w:sz="6" w:space="0"/>
              <w:bottom w:val="single" w:color="000000" w:sz="6" w:space="0"/>
            </w:tcBorders>
            <w:shd w:val="clear" w:color="auto" w:fill="B8CCE4"/>
            <w:vAlign w:val="top"/>
          </w:tcPr>
          <w:p>
            <w:pPr>
              <w:spacing w:line="474" w:lineRule="auto"/>
              <w:rPr>
                <w:rFonts w:ascii="Arial"/>
                <w:sz w:val="21"/>
              </w:rPr>
            </w:pPr>
          </w:p>
          <w:p>
            <w:pPr>
              <w:pStyle w:val="95"/>
              <w:spacing w:before="59" w:line="220" w:lineRule="auto"/>
              <w:ind w:left="847"/>
            </w:pPr>
            <w:r>
              <w:rPr>
                <w:b/>
                <w:bCs/>
                <w:spacing w:val="-4"/>
              </w:rPr>
              <w:t>等级判断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49" w:hRule="atLeast"/>
        </w:trPr>
        <w:tc>
          <w:tcPr>
            <w:tcW w:w="936" w:type="dxa"/>
            <w:vMerge w:val="restart"/>
            <w:tcBorders>
              <w:top w:val="single" w:color="000000" w:sz="6" w:space="0"/>
              <w:left w:val="single" w:color="000000" w:sz="6" w:space="0"/>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95"/>
              <w:spacing w:before="58" w:line="222" w:lineRule="auto"/>
              <w:ind w:left="282"/>
            </w:pPr>
            <w:r>
              <w:rPr>
                <w:spacing w:val="-2"/>
              </w:rPr>
              <w:t>施工</w:t>
            </w:r>
          </w:p>
        </w:tc>
        <w:tc>
          <w:tcPr>
            <w:tcW w:w="985" w:type="dxa"/>
            <w:vMerge w:val="restart"/>
            <w:tcBorders>
              <w:top w:val="single" w:color="000000" w:sz="6" w:space="0"/>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pStyle w:val="95"/>
              <w:spacing w:before="58" w:line="222" w:lineRule="auto"/>
              <w:ind w:left="134"/>
            </w:pPr>
            <w:r>
              <w:rPr>
                <w:spacing w:val="-5"/>
              </w:rPr>
              <w:t>（一）施</w:t>
            </w:r>
          </w:p>
          <w:p>
            <w:pPr>
              <w:pStyle w:val="95"/>
              <w:spacing w:before="94" w:line="220" w:lineRule="auto"/>
              <w:ind w:left="131"/>
            </w:pPr>
            <w:r>
              <w:rPr>
                <w:spacing w:val="-2"/>
              </w:rPr>
              <w:t>工总承包</w:t>
            </w:r>
          </w:p>
          <w:p>
            <w:pPr>
              <w:pStyle w:val="95"/>
              <w:spacing w:before="98" w:line="220" w:lineRule="auto"/>
              <w:ind w:left="128"/>
            </w:pPr>
            <w:r>
              <w:rPr>
                <w:spacing w:val="-2"/>
              </w:rPr>
              <w:t>序列资质</w:t>
            </w:r>
          </w:p>
          <w:p>
            <w:pPr>
              <w:pStyle w:val="95"/>
              <w:spacing w:before="97" w:line="220" w:lineRule="auto"/>
              <w:ind w:left="310"/>
            </w:pPr>
            <w:r>
              <w:rPr>
                <w:spacing w:val="-2"/>
              </w:rPr>
              <w:t>标准</w:t>
            </w:r>
          </w:p>
        </w:tc>
        <w:tc>
          <w:tcPr>
            <w:tcW w:w="1295" w:type="dxa"/>
            <w:vMerge w:val="restart"/>
            <w:tcBorders>
              <w:top w:val="single" w:color="000000" w:sz="6" w:space="0"/>
              <w:bottom w:val="nil"/>
            </w:tcBorders>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95"/>
              <w:spacing w:before="58" w:line="220" w:lineRule="auto"/>
              <w:ind w:left="120"/>
            </w:pPr>
            <w:r>
              <w:rPr>
                <w:spacing w:val="-5"/>
              </w:rPr>
              <w:t>1</w:t>
            </w:r>
            <w:r>
              <w:rPr>
                <w:spacing w:val="12"/>
              </w:rPr>
              <w:t xml:space="preserve"> </w:t>
            </w:r>
            <w:r>
              <w:rPr>
                <w:spacing w:val="-5"/>
              </w:rPr>
              <w:t>建筑工程施</w:t>
            </w:r>
          </w:p>
          <w:p>
            <w:pPr>
              <w:pStyle w:val="95"/>
              <w:spacing w:before="96" w:line="220" w:lineRule="auto"/>
              <w:ind w:left="108"/>
            </w:pPr>
            <w:r>
              <w:rPr>
                <w:spacing w:val="-2"/>
              </w:rPr>
              <w:t>工总承包资质</w:t>
            </w:r>
          </w:p>
          <w:p>
            <w:pPr>
              <w:pStyle w:val="95"/>
              <w:spacing w:before="98" w:line="220" w:lineRule="auto"/>
              <w:ind w:left="467"/>
            </w:pPr>
            <w:r>
              <w:rPr>
                <w:spacing w:val="-2"/>
              </w:rPr>
              <w:t>标准</w:t>
            </w:r>
          </w:p>
        </w:tc>
        <w:tc>
          <w:tcPr>
            <w:tcW w:w="4380" w:type="dxa"/>
            <w:vMerge w:val="restart"/>
            <w:tcBorders>
              <w:top w:val="single" w:color="000000" w:sz="6" w:space="0"/>
              <w:bottom w:val="nil"/>
            </w:tcBorders>
            <w:vAlign w:val="top"/>
          </w:tcPr>
          <w:p>
            <w:pPr>
              <w:pStyle w:val="95"/>
              <w:spacing w:before="77" w:line="220" w:lineRule="auto"/>
              <w:ind w:left="110"/>
            </w:pPr>
            <w:r>
              <w:rPr>
                <w:spacing w:val="-6"/>
              </w:rPr>
              <w:t>一级资质承建范围：</w:t>
            </w:r>
          </w:p>
          <w:p>
            <w:pPr>
              <w:pStyle w:val="95"/>
              <w:spacing w:before="97" w:line="270" w:lineRule="auto"/>
              <w:ind w:left="112" w:right="624"/>
              <w:rPr>
                <w:rFonts w:hint="default" w:eastAsia="宋体"/>
                <w:lang w:val="en-US" w:eastAsia="zh-CN"/>
              </w:rPr>
            </w:pPr>
            <w:r>
              <w:rPr>
                <w:spacing w:val="-4"/>
              </w:rPr>
              <w:t>（1）高度</w:t>
            </w:r>
            <w:r>
              <w:rPr>
                <w:spacing w:val="-20"/>
              </w:rPr>
              <w:t xml:space="preserve"> </w:t>
            </w:r>
            <w:r>
              <w:rPr>
                <w:spacing w:val="-4"/>
              </w:rPr>
              <w:t>200</w:t>
            </w:r>
            <w:r>
              <w:rPr>
                <w:spacing w:val="-36"/>
              </w:rPr>
              <w:t xml:space="preserve"> </w:t>
            </w:r>
            <w:r>
              <w:rPr>
                <w:spacing w:val="-4"/>
              </w:rPr>
              <w:t>米以下的工业、民用建筑工程；</w:t>
            </w:r>
            <w:r>
              <w:t xml:space="preserve"> </w:t>
            </w:r>
            <w:r>
              <w:rPr>
                <w:spacing w:val="-4"/>
              </w:rPr>
              <w:t>（2）高度</w:t>
            </w:r>
            <w:r>
              <w:rPr>
                <w:spacing w:val="-10"/>
              </w:rPr>
              <w:t xml:space="preserve"> </w:t>
            </w:r>
            <w:r>
              <w:rPr>
                <w:spacing w:val="-4"/>
              </w:rPr>
              <w:t>240</w:t>
            </w:r>
            <w:r>
              <w:rPr>
                <w:spacing w:val="-36"/>
              </w:rPr>
              <w:t xml:space="preserve"> </w:t>
            </w:r>
            <w:r>
              <w:rPr>
                <w:spacing w:val="-4"/>
              </w:rPr>
              <w:t>米以下的构筑物工程。</w:t>
            </w:r>
            <w:r>
              <w:rPr>
                <w:rFonts w:hint="eastAsia"/>
                <w:spacing w:val="-4"/>
                <w:lang w:val="en-US" w:eastAsia="zh-CN"/>
              </w:rPr>
              <w:t xml:space="preserve">   </w:t>
            </w:r>
          </w:p>
          <w:p>
            <w:pPr>
              <w:pStyle w:val="95"/>
              <w:spacing w:before="97" w:line="220" w:lineRule="auto"/>
              <w:ind w:left="110"/>
            </w:pPr>
            <w:r>
              <w:rPr>
                <w:spacing w:val="-6"/>
              </w:rPr>
              <w:t>二级资质承建范围：</w:t>
            </w:r>
          </w:p>
          <w:p>
            <w:pPr>
              <w:pStyle w:val="95"/>
              <w:spacing w:before="97" w:line="270" w:lineRule="auto"/>
              <w:ind w:left="112" w:right="624"/>
            </w:pPr>
            <w:r>
              <w:rPr>
                <w:spacing w:val="-5"/>
              </w:rPr>
              <w:t>（1）高度 100</w:t>
            </w:r>
            <w:r>
              <w:rPr>
                <w:spacing w:val="-29"/>
              </w:rPr>
              <w:t xml:space="preserve"> </w:t>
            </w:r>
            <w:r>
              <w:rPr>
                <w:spacing w:val="-5"/>
              </w:rPr>
              <w:t>米以下的工业、民用建筑工程；</w:t>
            </w:r>
            <w:r>
              <w:t xml:space="preserve"> </w:t>
            </w:r>
            <w:r>
              <w:rPr>
                <w:spacing w:val="-5"/>
              </w:rPr>
              <w:t>（2）高度 120</w:t>
            </w:r>
            <w:r>
              <w:rPr>
                <w:spacing w:val="-34"/>
              </w:rPr>
              <w:t xml:space="preserve"> </w:t>
            </w:r>
            <w:r>
              <w:rPr>
                <w:spacing w:val="-5"/>
              </w:rPr>
              <w:t>米以下的构筑物工程；</w:t>
            </w:r>
          </w:p>
          <w:p>
            <w:pPr>
              <w:pStyle w:val="95"/>
              <w:spacing w:before="97" w:line="270" w:lineRule="auto"/>
              <w:ind w:left="112" w:right="715"/>
            </w:pPr>
            <w:r>
              <w:rPr>
                <w:spacing w:val="-5"/>
              </w:rPr>
              <w:t>（3）建筑面积 15</w:t>
            </w:r>
            <w:r>
              <w:rPr>
                <w:spacing w:val="-32"/>
              </w:rPr>
              <w:t xml:space="preserve"> </w:t>
            </w:r>
            <w:r>
              <w:rPr>
                <w:spacing w:val="-5"/>
              </w:rPr>
              <w:t>万平方米以下的建筑</w:t>
            </w:r>
            <w:r>
              <w:rPr>
                <w:spacing w:val="-6"/>
              </w:rPr>
              <w:t>工程；</w:t>
            </w:r>
            <w:r>
              <w:t xml:space="preserve"> </w:t>
            </w:r>
            <w:r>
              <w:rPr>
                <w:spacing w:val="-4"/>
              </w:rPr>
              <w:t>（4）单跨跨度</w:t>
            </w:r>
            <w:r>
              <w:rPr>
                <w:spacing w:val="-14"/>
              </w:rPr>
              <w:t xml:space="preserve"> </w:t>
            </w:r>
            <w:r>
              <w:rPr>
                <w:spacing w:val="-4"/>
              </w:rPr>
              <w:t>39</w:t>
            </w:r>
            <w:r>
              <w:rPr>
                <w:spacing w:val="-36"/>
              </w:rPr>
              <w:t xml:space="preserve"> </w:t>
            </w:r>
            <w:r>
              <w:rPr>
                <w:spacing w:val="-4"/>
              </w:rPr>
              <w:t>米以下的建筑工程。</w:t>
            </w:r>
          </w:p>
          <w:p>
            <w:pPr>
              <w:pStyle w:val="95"/>
              <w:spacing w:before="98" w:line="220" w:lineRule="auto"/>
              <w:ind w:left="107"/>
            </w:pPr>
            <w:r>
              <w:rPr>
                <w:spacing w:val="-5"/>
              </w:rPr>
              <w:t>三级资质承建范围：</w:t>
            </w:r>
          </w:p>
          <w:p>
            <w:pPr>
              <w:pStyle w:val="95"/>
              <w:spacing w:before="97" w:line="270" w:lineRule="auto"/>
              <w:ind w:left="112" w:right="715"/>
            </w:pPr>
            <w:r>
              <w:rPr>
                <w:spacing w:val="-4"/>
              </w:rPr>
              <w:t>（1）高度</w:t>
            </w:r>
            <w:r>
              <w:rPr>
                <w:spacing w:val="-23"/>
              </w:rPr>
              <w:t xml:space="preserve"> </w:t>
            </w:r>
            <w:r>
              <w:rPr>
                <w:spacing w:val="-4"/>
              </w:rPr>
              <w:t>50</w:t>
            </w:r>
            <w:r>
              <w:rPr>
                <w:spacing w:val="-36"/>
              </w:rPr>
              <w:t xml:space="preserve"> </w:t>
            </w:r>
            <w:r>
              <w:rPr>
                <w:spacing w:val="-4"/>
              </w:rPr>
              <w:t>米以下的工业、民用建筑工</w:t>
            </w:r>
            <w:r>
              <w:rPr>
                <w:spacing w:val="-5"/>
              </w:rPr>
              <w:t>程；</w:t>
            </w:r>
            <w:r>
              <w:t xml:space="preserve"> </w:t>
            </w:r>
            <w:r>
              <w:rPr>
                <w:spacing w:val="-5"/>
              </w:rPr>
              <w:t>（2）高度</w:t>
            </w:r>
            <w:r>
              <w:rPr>
                <w:spacing w:val="-9"/>
              </w:rPr>
              <w:t xml:space="preserve"> </w:t>
            </w:r>
            <w:r>
              <w:rPr>
                <w:spacing w:val="-5"/>
              </w:rPr>
              <w:t>70</w:t>
            </w:r>
            <w:r>
              <w:rPr>
                <w:spacing w:val="-36"/>
              </w:rPr>
              <w:t xml:space="preserve"> </w:t>
            </w:r>
            <w:r>
              <w:rPr>
                <w:spacing w:val="-5"/>
              </w:rPr>
              <w:t>米以下的构筑物工程；</w:t>
            </w:r>
          </w:p>
          <w:p>
            <w:pPr>
              <w:pStyle w:val="95"/>
              <w:spacing w:before="98" w:line="270" w:lineRule="auto"/>
              <w:ind w:left="112" w:right="804"/>
            </w:pPr>
            <w:r>
              <w:rPr>
                <w:spacing w:val="-5"/>
              </w:rPr>
              <w:t>（3）建筑面积</w:t>
            </w:r>
            <w:r>
              <w:rPr>
                <w:spacing w:val="-12"/>
              </w:rPr>
              <w:t xml:space="preserve"> </w:t>
            </w:r>
            <w:r>
              <w:rPr>
                <w:spacing w:val="-5"/>
              </w:rPr>
              <w:t>8</w:t>
            </w:r>
            <w:r>
              <w:rPr>
                <w:spacing w:val="-32"/>
              </w:rPr>
              <w:t xml:space="preserve"> </w:t>
            </w:r>
            <w:r>
              <w:rPr>
                <w:spacing w:val="-5"/>
              </w:rPr>
              <w:t>万平方米以下的建筑工程；</w:t>
            </w:r>
            <w:r>
              <w:t xml:space="preserve"> </w:t>
            </w:r>
            <w:r>
              <w:rPr>
                <w:spacing w:val="-4"/>
              </w:rPr>
              <w:t>（4）单跨跨度</w:t>
            </w:r>
            <w:r>
              <w:rPr>
                <w:spacing w:val="-14"/>
              </w:rPr>
              <w:t xml:space="preserve"> </w:t>
            </w:r>
            <w:r>
              <w:rPr>
                <w:spacing w:val="-4"/>
              </w:rPr>
              <w:t>27</w:t>
            </w:r>
            <w:r>
              <w:rPr>
                <w:spacing w:val="-36"/>
              </w:rPr>
              <w:t xml:space="preserve"> </w:t>
            </w:r>
            <w:r>
              <w:rPr>
                <w:spacing w:val="-4"/>
              </w:rPr>
              <w:t>米以下的建筑工程。</w:t>
            </w:r>
          </w:p>
        </w:tc>
        <w:tc>
          <w:tcPr>
            <w:tcW w:w="3269" w:type="dxa"/>
            <w:tcBorders>
              <w:top w:val="single" w:color="000000" w:sz="6" w:space="0"/>
              <w:bottom w:val="single" w:color="000000" w:sz="4" w:space="0"/>
            </w:tcBorders>
            <w:vAlign w:val="top"/>
          </w:tcPr>
          <w:p>
            <w:pPr>
              <w:spacing w:line="314" w:lineRule="auto"/>
              <w:rPr>
                <w:rFonts w:ascii="Arial"/>
                <w:sz w:val="21"/>
              </w:rPr>
            </w:pPr>
          </w:p>
          <w:p>
            <w:pPr>
              <w:pStyle w:val="95"/>
              <w:spacing w:before="59" w:line="270" w:lineRule="auto"/>
              <w:ind w:left="110" w:right="279" w:firstLine="5"/>
            </w:pPr>
            <w:r>
              <w:rPr>
                <w:spacing w:val="-2"/>
              </w:rPr>
              <w:t>高度_30</w:t>
            </w:r>
            <w:r>
              <w:rPr>
                <w:spacing w:val="-2"/>
                <w:u w:val="single" w:color="auto"/>
              </w:rPr>
              <w:t xml:space="preserve">     </w:t>
            </w:r>
            <w:r>
              <w:rPr>
                <w:spacing w:val="-63"/>
              </w:rPr>
              <w:t xml:space="preserve"> </w:t>
            </w:r>
            <w:r>
              <w:rPr>
                <w:spacing w:val="-2"/>
              </w:rPr>
              <w:t>米的工业、民用建筑工</w:t>
            </w:r>
            <w:r>
              <w:t xml:space="preserve"> </w:t>
            </w:r>
            <w:r>
              <w:rPr>
                <w:spacing w:val="-13"/>
              </w:rPr>
              <w:t>程；</w:t>
            </w:r>
          </w:p>
        </w:tc>
        <w:tc>
          <w:tcPr>
            <w:tcW w:w="677" w:type="dxa"/>
            <w:tcBorders>
              <w:bottom w:val="single" w:color="000000" w:sz="4" w:space="0"/>
            </w:tcBorders>
            <w:vAlign w:val="top"/>
          </w:tcPr>
          <w:p>
            <w:pPr>
              <w:spacing w:line="469" w:lineRule="auto"/>
              <w:rPr>
                <w:rFonts w:ascii="Arial"/>
                <w:sz w:val="21"/>
              </w:rPr>
            </w:pPr>
          </w:p>
          <w:p>
            <w:pPr>
              <w:pStyle w:val="95"/>
              <w:spacing w:before="58" w:line="220" w:lineRule="auto"/>
              <w:ind w:left="165"/>
            </w:pPr>
            <w:r>
              <w:rPr>
                <w:spacing w:val="-3"/>
              </w:rPr>
              <w:t>数值</w:t>
            </w:r>
          </w:p>
        </w:tc>
        <w:tc>
          <w:tcPr>
            <w:tcW w:w="2408" w:type="dxa"/>
            <w:tcBorders>
              <w:top w:val="single" w:color="000000" w:sz="6" w:space="0"/>
              <w:bottom w:val="single" w:color="000000" w:sz="4" w:space="0"/>
              <w:right w:val="nil"/>
            </w:tcBorders>
            <w:vAlign w:val="top"/>
          </w:tcPr>
          <w:p>
            <w:pPr>
              <w:pStyle w:val="95"/>
              <w:spacing w:before="63" w:line="217" w:lineRule="auto"/>
              <w:ind w:left="113"/>
            </w:pPr>
            <w:r>
              <w:rPr>
                <w:spacing w:val="-3"/>
              </w:rPr>
              <w:t>①</w:t>
            </w:r>
            <w:r>
              <w:rPr>
                <w:spacing w:val="14"/>
              </w:rPr>
              <w:t xml:space="preserve"> </w:t>
            </w:r>
            <w:r>
              <w:rPr>
                <w:spacing w:val="-3"/>
              </w:rPr>
              <w:t>d&gt;200，特级</w:t>
            </w:r>
          </w:p>
          <w:p>
            <w:pPr>
              <w:pStyle w:val="95"/>
              <w:spacing w:before="100" w:line="312" w:lineRule="exact"/>
              <w:ind w:left="112"/>
            </w:pPr>
            <w:r>
              <w:rPr>
                <w:spacing w:val="-2"/>
                <w:position w:val="10"/>
              </w:rPr>
              <w:t>②</w:t>
            </w:r>
            <w:r>
              <w:rPr>
                <w:spacing w:val="21"/>
                <w:position w:val="10"/>
              </w:rPr>
              <w:t xml:space="preserve"> </w:t>
            </w:r>
            <w:r>
              <w:rPr>
                <w:spacing w:val="-2"/>
                <w:position w:val="10"/>
              </w:rPr>
              <w:t>100&lt;d≤200,一级</w:t>
            </w:r>
          </w:p>
          <w:p>
            <w:pPr>
              <w:pStyle w:val="95"/>
              <w:spacing w:line="217" w:lineRule="auto"/>
              <w:ind w:left="112"/>
            </w:pPr>
            <w:r>
              <w:rPr>
                <w:spacing w:val="-1"/>
              </w:rPr>
              <w:t>③ 50&lt;d≤200，二级</w:t>
            </w:r>
          </w:p>
          <w:p>
            <w:pPr>
              <w:pStyle w:val="95"/>
              <w:spacing w:before="100" w:line="217" w:lineRule="auto"/>
              <w:ind w:left="112"/>
            </w:pPr>
            <w:r>
              <w:rPr>
                <w:spacing w:val="-2"/>
              </w:rPr>
              <w:t>④ 0&lt;d≤50，三级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35" w:hRule="atLeast"/>
        </w:trPr>
        <w:tc>
          <w:tcPr>
            <w:tcW w:w="936" w:type="dxa"/>
            <w:vMerge w:val="continue"/>
            <w:tcBorders>
              <w:top w:val="nil"/>
              <w:left w:val="single" w:color="000000" w:sz="6" w:space="0"/>
              <w:bottom w:val="nil"/>
            </w:tcBorders>
            <w:vAlign w:val="top"/>
          </w:tcPr>
          <w:p>
            <w:pPr>
              <w:rPr>
                <w:rFonts w:ascii="Arial"/>
                <w:sz w:val="21"/>
              </w:rPr>
            </w:pPr>
          </w:p>
        </w:tc>
        <w:tc>
          <w:tcPr>
            <w:tcW w:w="985" w:type="dxa"/>
            <w:vMerge w:val="continue"/>
            <w:tcBorders>
              <w:top w:val="nil"/>
              <w:bottom w:val="nil"/>
            </w:tcBorders>
            <w:vAlign w:val="top"/>
          </w:tcPr>
          <w:p>
            <w:pPr>
              <w:rPr>
                <w:rFonts w:ascii="Arial"/>
                <w:sz w:val="21"/>
              </w:rPr>
            </w:pPr>
          </w:p>
        </w:tc>
        <w:tc>
          <w:tcPr>
            <w:tcW w:w="1295" w:type="dxa"/>
            <w:vMerge w:val="continue"/>
            <w:tcBorders>
              <w:top w:val="nil"/>
              <w:bottom w:val="nil"/>
            </w:tcBorders>
            <w:vAlign w:val="top"/>
          </w:tcPr>
          <w:p>
            <w:pPr>
              <w:rPr>
                <w:rFonts w:ascii="Arial"/>
                <w:sz w:val="21"/>
              </w:rPr>
            </w:pPr>
          </w:p>
        </w:tc>
        <w:tc>
          <w:tcPr>
            <w:tcW w:w="4380" w:type="dxa"/>
            <w:vMerge w:val="continue"/>
            <w:tcBorders>
              <w:top w:val="nil"/>
              <w:bottom w:val="nil"/>
            </w:tcBorders>
            <w:vAlign w:val="top"/>
          </w:tcPr>
          <w:p>
            <w:pPr>
              <w:rPr>
                <w:rFonts w:ascii="Arial"/>
                <w:sz w:val="21"/>
              </w:rPr>
            </w:pPr>
          </w:p>
        </w:tc>
        <w:tc>
          <w:tcPr>
            <w:tcW w:w="3269" w:type="dxa"/>
            <w:tcBorders>
              <w:top w:val="single" w:color="000000" w:sz="4" w:space="0"/>
            </w:tcBorders>
            <w:vAlign w:val="top"/>
          </w:tcPr>
          <w:p>
            <w:pPr>
              <w:spacing w:line="313" w:lineRule="auto"/>
              <w:rPr>
                <w:rFonts w:ascii="Arial"/>
                <w:sz w:val="21"/>
              </w:rPr>
            </w:pPr>
          </w:p>
          <w:p>
            <w:pPr>
              <w:pStyle w:val="95"/>
              <w:spacing w:before="58" w:line="220" w:lineRule="auto"/>
              <w:ind w:left="116"/>
            </w:pPr>
            <w:r>
              <w:rPr>
                <w:spacing w:val="-4"/>
              </w:rPr>
              <w:t>高度</w:t>
            </w:r>
            <w:r>
              <w:rPr>
                <w:spacing w:val="-4"/>
                <w:u w:val="single" w:color="auto"/>
              </w:rPr>
              <w:t xml:space="preserve">      </w:t>
            </w:r>
            <w:r>
              <w:rPr>
                <w:spacing w:val="-73"/>
              </w:rPr>
              <w:t xml:space="preserve"> </w:t>
            </w:r>
            <w:r>
              <w:rPr>
                <w:spacing w:val="-4"/>
              </w:rPr>
              <w:t>米的构筑物工程；</w:t>
            </w:r>
          </w:p>
        </w:tc>
        <w:tc>
          <w:tcPr>
            <w:tcW w:w="677" w:type="dxa"/>
            <w:tcBorders>
              <w:top w:val="single" w:color="000000" w:sz="4" w:space="0"/>
            </w:tcBorders>
            <w:vAlign w:val="top"/>
          </w:tcPr>
          <w:p>
            <w:pPr>
              <w:spacing w:line="313" w:lineRule="auto"/>
              <w:rPr>
                <w:rFonts w:ascii="Arial"/>
                <w:sz w:val="21"/>
              </w:rPr>
            </w:pPr>
          </w:p>
          <w:p>
            <w:pPr>
              <w:pStyle w:val="95"/>
              <w:spacing w:before="58" w:line="220" w:lineRule="auto"/>
              <w:ind w:left="165"/>
            </w:pPr>
            <w:r>
              <w:rPr>
                <w:spacing w:val="-3"/>
              </w:rPr>
              <w:t>数值</w:t>
            </w:r>
          </w:p>
        </w:tc>
        <w:tc>
          <w:tcPr>
            <w:tcW w:w="2408" w:type="dxa"/>
            <w:tcBorders>
              <w:top w:val="single" w:color="000000" w:sz="4" w:space="0"/>
              <w:right w:val="nil"/>
            </w:tcBorders>
            <w:vAlign w:val="top"/>
          </w:tcPr>
          <w:p>
            <w:pPr>
              <w:pStyle w:val="95"/>
              <w:spacing w:before="62" w:line="312" w:lineRule="exact"/>
              <w:ind w:left="113"/>
            </w:pPr>
            <w:r>
              <w:rPr>
                <w:spacing w:val="-2"/>
                <w:position w:val="10"/>
              </w:rPr>
              <w:t>①</w:t>
            </w:r>
            <w:r>
              <w:rPr>
                <w:spacing w:val="21"/>
                <w:position w:val="10"/>
              </w:rPr>
              <w:t xml:space="preserve"> </w:t>
            </w:r>
            <w:r>
              <w:rPr>
                <w:spacing w:val="-2"/>
                <w:position w:val="10"/>
              </w:rPr>
              <w:t>120&lt;d≤240,一级</w:t>
            </w:r>
          </w:p>
          <w:p>
            <w:pPr>
              <w:pStyle w:val="95"/>
              <w:spacing w:line="217" w:lineRule="auto"/>
              <w:ind w:left="112"/>
            </w:pPr>
            <w:r>
              <w:rPr>
                <w:spacing w:val="-1"/>
              </w:rPr>
              <w:t>② 70&lt;d≤120，二级</w:t>
            </w:r>
          </w:p>
          <w:p>
            <w:pPr>
              <w:pStyle w:val="95"/>
              <w:spacing w:before="100" w:line="217" w:lineRule="auto"/>
              <w:ind w:left="112"/>
            </w:pPr>
            <w:r>
              <w:rPr>
                <w:spacing w:val="-2"/>
              </w:rPr>
              <w:t>③ 0&lt;d≤70，三级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0" w:hRule="atLeast"/>
        </w:trPr>
        <w:tc>
          <w:tcPr>
            <w:tcW w:w="936" w:type="dxa"/>
            <w:vMerge w:val="continue"/>
            <w:tcBorders>
              <w:top w:val="nil"/>
              <w:left w:val="single" w:color="000000" w:sz="6" w:space="0"/>
              <w:bottom w:val="nil"/>
            </w:tcBorders>
            <w:vAlign w:val="top"/>
          </w:tcPr>
          <w:p>
            <w:pPr>
              <w:rPr>
                <w:rFonts w:ascii="Arial"/>
                <w:sz w:val="21"/>
              </w:rPr>
            </w:pPr>
          </w:p>
        </w:tc>
        <w:tc>
          <w:tcPr>
            <w:tcW w:w="985" w:type="dxa"/>
            <w:vMerge w:val="continue"/>
            <w:tcBorders>
              <w:top w:val="nil"/>
              <w:bottom w:val="nil"/>
            </w:tcBorders>
            <w:vAlign w:val="top"/>
          </w:tcPr>
          <w:p>
            <w:pPr>
              <w:rPr>
                <w:rFonts w:ascii="Arial"/>
                <w:sz w:val="21"/>
              </w:rPr>
            </w:pPr>
          </w:p>
        </w:tc>
        <w:tc>
          <w:tcPr>
            <w:tcW w:w="1295" w:type="dxa"/>
            <w:vMerge w:val="continue"/>
            <w:tcBorders>
              <w:top w:val="nil"/>
              <w:bottom w:val="nil"/>
            </w:tcBorders>
            <w:vAlign w:val="top"/>
          </w:tcPr>
          <w:p>
            <w:pPr>
              <w:rPr>
                <w:rFonts w:ascii="Arial"/>
                <w:sz w:val="21"/>
              </w:rPr>
            </w:pPr>
          </w:p>
        </w:tc>
        <w:tc>
          <w:tcPr>
            <w:tcW w:w="4380" w:type="dxa"/>
            <w:vMerge w:val="continue"/>
            <w:tcBorders>
              <w:top w:val="nil"/>
              <w:bottom w:val="nil"/>
            </w:tcBorders>
            <w:vAlign w:val="top"/>
          </w:tcPr>
          <w:p>
            <w:pPr>
              <w:rPr>
                <w:rFonts w:ascii="Arial"/>
                <w:sz w:val="21"/>
              </w:rPr>
            </w:pPr>
          </w:p>
        </w:tc>
        <w:tc>
          <w:tcPr>
            <w:tcW w:w="3269" w:type="dxa"/>
            <w:vAlign w:val="top"/>
          </w:tcPr>
          <w:p>
            <w:pPr>
              <w:pStyle w:val="95"/>
              <w:spacing w:before="224" w:line="270" w:lineRule="auto"/>
              <w:ind w:left="110" w:right="459" w:firstLine="2"/>
            </w:pPr>
            <w:r>
              <w:rPr>
                <w:spacing w:val="-2"/>
              </w:rPr>
              <w:t>建筑面积</w:t>
            </w:r>
            <w:r>
              <w:rPr>
                <w:spacing w:val="-2"/>
                <w:u w:val="single" w:color="auto"/>
              </w:rPr>
              <w:t xml:space="preserve">      </w:t>
            </w:r>
            <w:r>
              <w:rPr>
                <w:spacing w:val="-65"/>
              </w:rPr>
              <w:t xml:space="preserve"> </w:t>
            </w:r>
            <w:r>
              <w:rPr>
                <w:spacing w:val="-2"/>
              </w:rPr>
              <w:t>万平方米的建筑工</w:t>
            </w:r>
            <w:r>
              <w:t xml:space="preserve"> </w:t>
            </w:r>
            <w:r>
              <w:rPr>
                <w:spacing w:val="-13"/>
              </w:rPr>
              <w:t>程；</w:t>
            </w:r>
          </w:p>
        </w:tc>
        <w:tc>
          <w:tcPr>
            <w:tcW w:w="677" w:type="dxa"/>
            <w:vAlign w:val="top"/>
          </w:tcPr>
          <w:p>
            <w:pPr>
              <w:spacing w:line="318" w:lineRule="auto"/>
              <w:rPr>
                <w:rFonts w:ascii="Arial"/>
                <w:sz w:val="21"/>
              </w:rPr>
            </w:pPr>
          </w:p>
          <w:p>
            <w:pPr>
              <w:pStyle w:val="95"/>
              <w:spacing w:before="59" w:line="220" w:lineRule="auto"/>
              <w:ind w:left="165"/>
            </w:pPr>
            <w:r>
              <w:rPr>
                <w:spacing w:val="-3"/>
              </w:rPr>
              <w:t>数值</w:t>
            </w:r>
          </w:p>
        </w:tc>
        <w:tc>
          <w:tcPr>
            <w:tcW w:w="2408" w:type="dxa"/>
            <w:tcBorders>
              <w:right w:val="nil"/>
            </w:tcBorders>
            <w:vAlign w:val="top"/>
          </w:tcPr>
          <w:p>
            <w:pPr>
              <w:pStyle w:val="95"/>
              <w:spacing w:before="68" w:line="217" w:lineRule="auto"/>
              <w:ind w:left="113"/>
            </w:pPr>
            <w:r>
              <w:rPr>
                <w:spacing w:val="-4"/>
              </w:rPr>
              <w:t>①</w:t>
            </w:r>
            <w:r>
              <w:rPr>
                <w:spacing w:val="28"/>
              </w:rPr>
              <w:t xml:space="preserve"> </w:t>
            </w:r>
            <w:r>
              <w:rPr>
                <w:spacing w:val="-4"/>
              </w:rPr>
              <w:t>15&lt;d，一级</w:t>
            </w:r>
          </w:p>
          <w:p>
            <w:pPr>
              <w:pStyle w:val="95"/>
              <w:spacing w:before="100" w:line="312" w:lineRule="exact"/>
              <w:ind w:left="112"/>
            </w:pPr>
            <w:r>
              <w:rPr>
                <w:spacing w:val="-2"/>
                <w:position w:val="10"/>
              </w:rPr>
              <w:t>② 8&lt;d≤15，二级</w:t>
            </w:r>
          </w:p>
          <w:p>
            <w:pPr>
              <w:pStyle w:val="95"/>
              <w:spacing w:line="217" w:lineRule="auto"/>
              <w:ind w:left="112"/>
            </w:pPr>
            <w:r>
              <w:rPr>
                <w:spacing w:val="-1"/>
              </w:rPr>
              <w:t>③ 0&lt;d≤8，三级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1" w:hRule="atLeast"/>
        </w:trPr>
        <w:tc>
          <w:tcPr>
            <w:tcW w:w="936" w:type="dxa"/>
            <w:vMerge w:val="continue"/>
            <w:tcBorders>
              <w:top w:val="nil"/>
              <w:left w:val="single" w:color="000000" w:sz="6" w:space="0"/>
              <w:bottom w:val="nil"/>
            </w:tcBorders>
            <w:vAlign w:val="top"/>
          </w:tcPr>
          <w:p>
            <w:pPr>
              <w:rPr>
                <w:rFonts w:ascii="Arial"/>
                <w:sz w:val="21"/>
              </w:rPr>
            </w:pPr>
          </w:p>
        </w:tc>
        <w:tc>
          <w:tcPr>
            <w:tcW w:w="985" w:type="dxa"/>
            <w:vMerge w:val="continue"/>
            <w:tcBorders>
              <w:top w:val="nil"/>
              <w:bottom w:val="nil"/>
            </w:tcBorders>
            <w:vAlign w:val="top"/>
          </w:tcPr>
          <w:p>
            <w:pPr>
              <w:rPr>
                <w:rFonts w:ascii="Arial"/>
                <w:sz w:val="21"/>
              </w:rPr>
            </w:pPr>
          </w:p>
        </w:tc>
        <w:tc>
          <w:tcPr>
            <w:tcW w:w="1295" w:type="dxa"/>
            <w:vMerge w:val="continue"/>
            <w:tcBorders>
              <w:top w:val="nil"/>
            </w:tcBorders>
            <w:vAlign w:val="top"/>
          </w:tcPr>
          <w:p>
            <w:pPr>
              <w:rPr>
                <w:rFonts w:ascii="Arial"/>
                <w:sz w:val="21"/>
              </w:rPr>
            </w:pPr>
          </w:p>
        </w:tc>
        <w:tc>
          <w:tcPr>
            <w:tcW w:w="4380" w:type="dxa"/>
            <w:vMerge w:val="continue"/>
            <w:tcBorders>
              <w:top w:val="nil"/>
            </w:tcBorders>
            <w:vAlign w:val="top"/>
          </w:tcPr>
          <w:p>
            <w:pPr>
              <w:rPr>
                <w:rFonts w:ascii="Arial"/>
                <w:sz w:val="21"/>
              </w:rPr>
            </w:pPr>
          </w:p>
        </w:tc>
        <w:tc>
          <w:tcPr>
            <w:tcW w:w="3269" w:type="dxa"/>
            <w:vAlign w:val="top"/>
          </w:tcPr>
          <w:p>
            <w:pPr>
              <w:spacing w:line="319" w:lineRule="auto"/>
              <w:rPr>
                <w:rFonts w:ascii="Arial"/>
                <w:sz w:val="21"/>
              </w:rPr>
            </w:pPr>
          </w:p>
          <w:p>
            <w:pPr>
              <w:pStyle w:val="95"/>
              <w:spacing w:before="58" w:line="220" w:lineRule="auto"/>
              <w:ind w:left="112"/>
            </w:pPr>
            <w:r>
              <w:rPr>
                <w:spacing w:val="-1"/>
              </w:rPr>
              <w:t>单跨跨度</w:t>
            </w:r>
            <w:r>
              <w:rPr>
                <w:spacing w:val="-1"/>
                <w:u w:val="single" w:color="auto"/>
              </w:rPr>
              <w:t xml:space="preserve">      </w:t>
            </w:r>
            <w:r>
              <w:rPr>
                <w:spacing w:val="-81"/>
              </w:rPr>
              <w:t xml:space="preserve"> </w:t>
            </w:r>
            <w:r>
              <w:rPr>
                <w:spacing w:val="-1"/>
              </w:rPr>
              <w:t>米的建筑工程。</w:t>
            </w:r>
          </w:p>
        </w:tc>
        <w:tc>
          <w:tcPr>
            <w:tcW w:w="677" w:type="dxa"/>
            <w:vAlign w:val="top"/>
          </w:tcPr>
          <w:p>
            <w:pPr>
              <w:spacing w:line="319" w:lineRule="auto"/>
              <w:rPr>
                <w:rFonts w:ascii="Arial"/>
                <w:sz w:val="21"/>
              </w:rPr>
            </w:pPr>
          </w:p>
          <w:p>
            <w:pPr>
              <w:pStyle w:val="95"/>
              <w:spacing w:before="58" w:line="220" w:lineRule="auto"/>
              <w:ind w:left="165"/>
            </w:pPr>
            <w:r>
              <w:rPr>
                <w:spacing w:val="-3"/>
              </w:rPr>
              <w:t>数值</w:t>
            </w:r>
          </w:p>
        </w:tc>
        <w:tc>
          <w:tcPr>
            <w:tcW w:w="2408" w:type="dxa"/>
            <w:tcBorders>
              <w:right w:val="nil"/>
            </w:tcBorders>
            <w:vAlign w:val="top"/>
          </w:tcPr>
          <w:p>
            <w:pPr>
              <w:pStyle w:val="95"/>
              <w:spacing w:before="68" w:line="217" w:lineRule="auto"/>
              <w:ind w:left="113"/>
            </w:pPr>
            <w:r>
              <w:rPr>
                <w:spacing w:val="-2"/>
              </w:rPr>
              <w:t>①</w:t>
            </w:r>
            <w:r>
              <w:rPr>
                <w:spacing w:val="12"/>
              </w:rPr>
              <w:t xml:space="preserve"> </w:t>
            </w:r>
            <w:r>
              <w:rPr>
                <w:spacing w:val="-2"/>
              </w:rPr>
              <w:t>39&lt;d，一级</w:t>
            </w:r>
          </w:p>
          <w:p>
            <w:pPr>
              <w:pStyle w:val="95"/>
              <w:spacing w:before="100" w:line="312" w:lineRule="exact"/>
              <w:ind w:left="112"/>
            </w:pPr>
            <w:r>
              <w:rPr>
                <w:spacing w:val="-1"/>
                <w:position w:val="10"/>
              </w:rPr>
              <w:t>② 27&lt;d≤39，二级</w:t>
            </w:r>
          </w:p>
          <w:p>
            <w:pPr>
              <w:pStyle w:val="95"/>
              <w:spacing w:line="217" w:lineRule="auto"/>
              <w:ind w:left="112"/>
            </w:pPr>
            <w:r>
              <w:rPr>
                <w:spacing w:val="-2"/>
              </w:rPr>
              <w:t>③ 0&lt;d≤27，三级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5" w:hRule="atLeast"/>
        </w:trPr>
        <w:tc>
          <w:tcPr>
            <w:tcW w:w="936" w:type="dxa"/>
            <w:vMerge w:val="continue"/>
            <w:tcBorders>
              <w:top w:val="nil"/>
              <w:left w:val="single" w:color="000000" w:sz="6" w:space="0"/>
            </w:tcBorders>
            <w:vAlign w:val="top"/>
          </w:tcPr>
          <w:p>
            <w:pPr>
              <w:rPr>
                <w:rFonts w:ascii="Arial"/>
                <w:sz w:val="21"/>
              </w:rPr>
            </w:pPr>
          </w:p>
        </w:tc>
        <w:tc>
          <w:tcPr>
            <w:tcW w:w="985" w:type="dxa"/>
            <w:vMerge w:val="continue"/>
            <w:tcBorders>
              <w:top w:val="nil"/>
            </w:tcBorders>
            <w:vAlign w:val="top"/>
          </w:tcPr>
          <w:p>
            <w:pPr>
              <w:rPr>
                <w:rFonts w:ascii="Arial"/>
                <w:sz w:val="21"/>
              </w:rPr>
            </w:pPr>
          </w:p>
        </w:tc>
        <w:tc>
          <w:tcPr>
            <w:tcW w:w="1295" w:type="dxa"/>
            <w:vAlign w:val="top"/>
          </w:tcPr>
          <w:p>
            <w:pPr>
              <w:pStyle w:val="95"/>
              <w:spacing w:before="67" w:line="287" w:lineRule="auto"/>
              <w:ind w:left="108" w:right="110" w:firstLine="54"/>
              <w:jc w:val="both"/>
            </w:pPr>
            <w:r>
              <w:rPr>
                <w:spacing w:val="-6"/>
              </w:rPr>
              <w:t>10</w:t>
            </w:r>
            <w:r>
              <w:rPr>
                <w:spacing w:val="18"/>
              </w:rPr>
              <w:t xml:space="preserve"> </w:t>
            </w:r>
            <w:r>
              <w:rPr>
                <w:spacing w:val="-6"/>
              </w:rPr>
              <w:t>市政公用</w:t>
            </w:r>
            <w:r>
              <w:t xml:space="preserve"> </w:t>
            </w:r>
            <w:r>
              <w:rPr>
                <w:spacing w:val="-2"/>
              </w:rPr>
              <w:t>工程施工总承</w:t>
            </w:r>
            <w:r>
              <w:rPr>
                <w:spacing w:val="1"/>
              </w:rPr>
              <w:t xml:space="preserve"> </w:t>
            </w:r>
            <w:r>
              <w:rPr>
                <w:spacing w:val="15"/>
              </w:rPr>
              <w:t>包资质标准</w:t>
            </w:r>
          </w:p>
        </w:tc>
        <w:tc>
          <w:tcPr>
            <w:tcW w:w="4380" w:type="dxa"/>
            <w:vAlign w:val="top"/>
          </w:tcPr>
          <w:p>
            <w:pPr>
              <w:pStyle w:val="95"/>
              <w:spacing w:before="68" w:line="220" w:lineRule="auto"/>
              <w:ind w:left="110"/>
            </w:pPr>
            <w:r>
              <w:rPr>
                <w:spacing w:val="-6"/>
              </w:rPr>
              <w:t>一级资质承建范围：</w:t>
            </w:r>
          </w:p>
          <w:p>
            <w:pPr>
              <w:pStyle w:val="95"/>
              <w:spacing w:before="97" w:line="312" w:lineRule="exact"/>
              <w:ind w:left="109"/>
            </w:pPr>
            <w:r>
              <w:rPr>
                <w:spacing w:val="-3"/>
                <w:position w:val="9"/>
              </w:rPr>
              <w:t>可承担各类市政公用工程的施工。</w:t>
            </w:r>
          </w:p>
          <w:p>
            <w:pPr>
              <w:pStyle w:val="95"/>
              <w:spacing w:line="219" w:lineRule="auto"/>
              <w:ind w:left="110"/>
            </w:pPr>
            <w:r>
              <w:rPr>
                <w:spacing w:val="-6"/>
              </w:rPr>
              <w:t>二级资质承建范围：</w:t>
            </w:r>
          </w:p>
        </w:tc>
        <w:tc>
          <w:tcPr>
            <w:tcW w:w="3269" w:type="dxa"/>
            <w:vAlign w:val="top"/>
          </w:tcPr>
          <w:p>
            <w:pPr>
              <w:spacing w:line="319" w:lineRule="auto"/>
              <w:rPr>
                <w:rFonts w:ascii="Arial"/>
                <w:sz w:val="21"/>
              </w:rPr>
            </w:pPr>
          </w:p>
          <w:p>
            <w:pPr>
              <w:pStyle w:val="95"/>
              <w:spacing w:before="59" w:line="220" w:lineRule="auto"/>
              <w:ind w:left="111"/>
            </w:pPr>
            <w:r>
              <w:rPr>
                <w:spacing w:val="-5"/>
              </w:rPr>
              <w:t>城市道路工程（</w:t>
            </w:r>
            <w:r>
              <w:rPr>
                <w:spacing w:val="-59"/>
              </w:rPr>
              <w:t xml:space="preserve"> </w:t>
            </w:r>
            <w:r>
              <w:rPr>
                <w:u w:val="single" w:color="auto"/>
              </w:rPr>
              <w:t xml:space="preserve">     </w:t>
            </w:r>
            <w:r>
              <w:rPr>
                <w:spacing w:val="-78"/>
              </w:rPr>
              <w:t xml:space="preserve"> </w:t>
            </w:r>
            <w:r>
              <w:rPr>
                <w:spacing w:val="-5"/>
              </w:rPr>
              <w:t>快速路）</w:t>
            </w:r>
          </w:p>
        </w:tc>
        <w:tc>
          <w:tcPr>
            <w:tcW w:w="677" w:type="dxa"/>
            <w:vAlign w:val="top"/>
          </w:tcPr>
          <w:p>
            <w:pPr>
              <w:pStyle w:val="95"/>
              <w:spacing w:before="68" w:line="220" w:lineRule="auto"/>
              <w:ind w:left="165"/>
            </w:pPr>
            <w:r>
              <w:rPr>
                <w:spacing w:val="-3"/>
              </w:rPr>
              <w:t>符合</w:t>
            </w:r>
          </w:p>
          <w:p>
            <w:pPr>
              <w:pStyle w:val="95"/>
              <w:spacing w:before="98" w:line="220" w:lineRule="auto"/>
              <w:ind w:left="166"/>
            </w:pPr>
            <w:r>
              <w:rPr>
                <w:spacing w:val="-3"/>
              </w:rPr>
              <w:t>性判</w:t>
            </w:r>
          </w:p>
          <w:p>
            <w:pPr>
              <w:pStyle w:val="95"/>
              <w:spacing w:before="96" w:line="220" w:lineRule="auto"/>
              <w:ind w:left="262"/>
            </w:pPr>
            <w:r>
              <w:t>断</w:t>
            </w:r>
          </w:p>
        </w:tc>
        <w:tc>
          <w:tcPr>
            <w:tcW w:w="2408" w:type="dxa"/>
            <w:vAlign w:val="top"/>
          </w:tcPr>
          <w:p>
            <w:pPr>
              <w:pStyle w:val="95"/>
              <w:spacing w:before="224" w:line="312" w:lineRule="exact"/>
              <w:ind w:left="113"/>
            </w:pPr>
            <w:r>
              <w:rPr>
                <w:spacing w:val="-5"/>
                <w:position w:val="10"/>
              </w:rPr>
              <w:t>① 包含，二级；</w:t>
            </w:r>
          </w:p>
          <w:p>
            <w:pPr>
              <w:pStyle w:val="95"/>
              <w:spacing w:line="217" w:lineRule="auto"/>
              <w:ind w:left="112"/>
            </w:pPr>
            <w:r>
              <w:rPr>
                <w:spacing w:val="-1"/>
              </w:rPr>
              <w:t>② 不包含，三级</w:t>
            </w:r>
          </w:p>
        </w:tc>
      </w:tr>
    </w:tbl>
    <w:p>
      <w:pPr>
        <w:pStyle w:val="16"/>
        <w:spacing w:line="286" w:lineRule="auto"/>
      </w:pPr>
    </w:p>
    <w:p>
      <w:pPr>
        <w:pStyle w:val="16"/>
        <w:spacing w:line="286" w:lineRule="auto"/>
      </w:pPr>
    </w:p>
    <w:p>
      <w:pPr>
        <w:pStyle w:val="16"/>
        <w:spacing w:line="287" w:lineRule="auto"/>
      </w:pPr>
    </w:p>
    <w:p>
      <w:pPr>
        <w:pStyle w:val="16"/>
        <w:spacing w:before="69" w:line="328" w:lineRule="exact"/>
        <w:ind w:left="4054"/>
        <w:rPr>
          <w:sz w:val="24"/>
          <w:szCs w:val="24"/>
        </w:rPr>
      </w:pPr>
      <w:r>
        <w:rPr>
          <w:spacing w:val="-4"/>
          <w:position w:val="1"/>
          <w:sz w:val="24"/>
          <w:szCs w:val="24"/>
        </w:rPr>
        <w:t>25 /</w:t>
      </w:r>
      <w:r>
        <w:rPr>
          <w:spacing w:val="28"/>
          <w:w w:val="101"/>
          <w:position w:val="1"/>
          <w:sz w:val="24"/>
          <w:szCs w:val="24"/>
        </w:rPr>
        <w:t xml:space="preserve"> </w:t>
      </w:r>
      <w:r>
        <w:rPr>
          <w:spacing w:val="-4"/>
          <w:position w:val="1"/>
          <w:sz w:val="24"/>
          <w:szCs w:val="24"/>
        </w:rPr>
        <w:t>165</w:t>
      </w:r>
    </w:p>
    <w:p>
      <w:pPr>
        <w:spacing w:line="328" w:lineRule="exact"/>
        <w:rPr>
          <w:sz w:val="24"/>
          <w:szCs w:val="24"/>
        </w:rPr>
        <w:sectPr>
          <w:pgSz w:w="16839" w:h="11907"/>
          <w:pgMar w:top="400" w:right="1438" w:bottom="400" w:left="995" w:header="0" w:footer="0" w:gutter="0"/>
          <w:cols w:space="720" w:num="1"/>
        </w:sectPr>
      </w:pPr>
    </w:p>
    <w:p>
      <w:pPr>
        <w:spacing w:before="39"/>
      </w:pPr>
      <w:r>
        <mc:AlternateContent>
          <mc:Choice Requires="wps">
            <w:drawing>
              <wp:anchor distT="0" distB="0" distL="114300" distR="114300" simplePos="0" relativeHeight="251659264" behindDoc="0" locked="0" layoutInCell="0" allowOverlap="1">
                <wp:simplePos x="0" y="0"/>
                <wp:positionH relativeFrom="page">
                  <wp:posOffset>631825</wp:posOffset>
                </wp:positionH>
                <wp:positionV relativeFrom="page">
                  <wp:posOffset>6922135</wp:posOffset>
                </wp:positionV>
                <wp:extent cx="6292850" cy="6350"/>
                <wp:effectExtent l="0" t="0" r="0" b="0"/>
                <wp:wrapNone/>
                <wp:docPr id="9" name="任意多边形 9"/>
                <wp:cNvGraphicFramePr/>
                <a:graphic xmlns:a="http://schemas.openxmlformats.org/drawingml/2006/main">
                  <a:graphicData uri="http://schemas.microsoft.com/office/word/2010/wordprocessingShape">
                    <wps:wsp>
                      <wps:cNvSpPr/>
                      <wps:spPr>
                        <a:xfrm>
                          <a:off x="0" y="0"/>
                          <a:ext cx="6292850" cy="6350"/>
                        </a:xfrm>
                        <a:custGeom>
                          <a:avLst/>
                          <a:gdLst/>
                          <a:ahLst/>
                          <a:cxnLst/>
                          <a:pathLst>
                            <a:path w="9910" h="10">
                              <a:moveTo>
                                <a:pt x="5" y="5"/>
                              </a:moveTo>
                              <a:lnTo>
                                <a:pt x="4955" y="5"/>
                              </a:lnTo>
                              <a:moveTo>
                                <a:pt x="4955" y="5"/>
                              </a:moveTo>
                              <a:lnTo>
                                <a:pt x="9905" y="5"/>
                              </a:lnTo>
                            </a:path>
                          </a:pathLst>
                        </a:custGeom>
                        <a:noFill/>
                        <a:ln w="6350" cap="sq" cmpd="sng">
                          <a:solidFill>
                            <a:srgbClr val="000000"/>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49.75pt;margin-top:545.05pt;height:0.5pt;width:495.5pt;mso-position-horizontal-relative:page;mso-position-vertical-relative:page;z-index:251659264;mso-width-relative:page;mso-height-relative:page;" filled="f" stroked="t" coordsize="9910,10" o:allowincell="f" o:gfxdata="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FgAAAGRycy9QSwEC&#10;FAAUAAAACACHTuJA7oyCjtoAAAANAQAADwAAAAAAAAABACAAAAA4AAAAZHJzL2Rvd25yZXYueG1s&#10;UEsBAhQAFAAAAAgAh07iQCe37atSAgAA9AQAAA4AAAAAAAAAAQAgAAAAPwEAAGRycy9lMm9Eb2Mu&#10;eG1sUEsFBgAAAAAGAAYAWQEAAAMGAAAAAA==&#10;" path="m5,5l4955,5m4955,5l9905,5e">
                <v:fill on="f" focussize="0,0"/>
                <v:stroke weight="0.5pt" color="#000000" miterlimit="10" joinstyle="miter" endcap="square"/>
                <v:imagedata o:title=""/>
                <o:lock v:ext="edit" aspectratio="f"/>
              </v:shape>
            </w:pict>
          </mc:Fallback>
        </mc:AlternateContent>
      </w:r>
    </w:p>
    <w:p>
      <w:pPr>
        <w:spacing w:before="39"/>
      </w:pPr>
    </w:p>
    <w:p>
      <w:pPr>
        <w:spacing w:before="39"/>
      </w:pPr>
    </w:p>
    <w:p>
      <w:pPr>
        <w:spacing w:before="38"/>
      </w:pPr>
    </w:p>
    <w:p>
      <w:pPr>
        <w:spacing w:before="38"/>
      </w:pPr>
    </w:p>
    <w:tbl>
      <w:tblPr>
        <w:tblStyle w:val="96"/>
        <w:tblW w:w="13950" w:type="dxa"/>
        <w:tblInd w:w="45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6"/>
        <w:gridCol w:w="985"/>
        <w:gridCol w:w="1295"/>
        <w:gridCol w:w="4380"/>
        <w:gridCol w:w="3269"/>
        <w:gridCol w:w="677"/>
        <w:gridCol w:w="24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0" w:hRule="atLeast"/>
        </w:trPr>
        <w:tc>
          <w:tcPr>
            <w:tcW w:w="936" w:type="dxa"/>
            <w:vMerge w:val="restart"/>
            <w:tcBorders>
              <w:top w:val="nil"/>
              <w:left w:val="single" w:color="000000" w:sz="6" w:space="0"/>
              <w:bottom w:val="nil"/>
            </w:tcBorders>
            <w:vAlign w:val="top"/>
          </w:tcPr>
          <w:p>
            <w:pPr>
              <w:rPr>
                <w:rFonts w:ascii="Arial"/>
                <w:sz w:val="21"/>
              </w:rPr>
            </w:pPr>
          </w:p>
        </w:tc>
        <w:tc>
          <w:tcPr>
            <w:tcW w:w="985" w:type="dxa"/>
            <w:vMerge w:val="restart"/>
            <w:tcBorders>
              <w:top w:val="nil"/>
              <w:bottom w:val="nil"/>
            </w:tcBorders>
            <w:vAlign w:val="top"/>
          </w:tcPr>
          <w:p>
            <w:pPr>
              <w:rPr>
                <w:rFonts w:ascii="Arial"/>
                <w:sz w:val="21"/>
              </w:rPr>
            </w:pPr>
          </w:p>
        </w:tc>
        <w:tc>
          <w:tcPr>
            <w:tcW w:w="1295" w:type="dxa"/>
            <w:vMerge w:val="restart"/>
            <w:tcBorders>
              <w:top w:val="nil"/>
              <w:bottom w:val="nil"/>
            </w:tcBorders>
            <w:vAlign w:val="top"/>
          </w:tcPr>
          <w:p>
            <w:pPr>
              <w:rPr>
                <w:rFonts w:ascii="Arial"/>
                <w:sz w:val="21"/>
              </w:rPr>
            </w:pPr>
          </w:p>
        </w:tc>
        <w:tc>
          <w:tcPr>
            <w:tcW w:w="4380" w:type="dxa"/>
            <w:vMerge w:val="restart"/>
            <w:tcBorders>
              <w:top w:val="nil"/>
              <w:bottom w:val="nil"/>
            </w:tcBorders>
            <w:vAlign w:val="top"/>
          </w:tcPr>
          <w:p>
            <w:pPr>
              <w:pStyle w:val="95"/>
              <w:spacing w:before="63" w:line="220" w:lineRule="auto"/>
              <w:ind w:left="109"/>
            </w:pPr>
            <w:r>
              <w:rPr>
                <w:spacing w:val="-4"/>
              </w:rPr>
              <w:t>可承担下列市政公用工程的施工：</w:t>
            </w:r>
          </w:p>
          <w:p>
            <w:pPr>
              <w:pStyle w:val="95"/>
              <w:spacing w:before="97" w:line="220" w:lineRule="auto"/>
              <w:ind w:left="112"/>
            </w:pPr>
            <w:r>
              <w:rPr>
                <w:spacing w:val="-3"/>
              </w:rPr>
              <w:t>（1）各类城市道路；单跨</w:t>
            </w:r>
            <w:r>
              <w:rPr>
                <w:spacing w:val="-31"/>
              </w:rPr>
              <w:t xml:space="preserve"> </w:t>
            </w:r>
            <w:r>
              <w:rPr>
                <w:spacing w:val="-3"/>
              </w:rPr>
              <w:t>45</w:t>
            </w:r>
            <w:r>
              <w:rPr>
                <w:spacing w:val="-39"/>
              </w:rPr>
              <w:t xml:space="preserve"> </w:t>
            </w:r>
            <w:r>
              <w:rPr>
                <w:spacing w:val="-3"/>
              </w:rPr>
              <w:t>米以下的城市桥梁；</w:t>
            </w:r>
          </w:p>
          <w:p>
            <w:pPr>
              <w:pStyle w:val="95"/>
              <w:spacing w:before="97" w:line="295" w:lineRule="auto"/>
              <w:ind w:left="107" w:right="131" w:firstLine="5"/>
            </w:pPr>
            <w:r>
              <w:rPr>
                <w:spacing w:val="-5"/>
              </w:rPr>
              <w:t>（2）15</w:t>
            </w:r>
            <w:r>
              <w:rPr>
                <w:spacing w:val="-24"/>
              </w:rPr>
              <w:t xml:space="preserve"> </w:t>
            </w:r>
            <w:r>
              <w:rPr>
                <w:spacing w:val="-5"/>
              </w:rPr>
              <w:t>万吨/日以下的供水工程； 10</w:t>
            </w:r>
            <w:r>
              <w:rPr>
                <w:spacing w:val="-31"/>
              </w:rPr>
              <w:t xml:space="preserve"> </w:t>
            </w:r>
            <w:r>
              <w:rPr>
                <w:spacing w:val="-5"/>
              </w:rPr>
              <w:t>万吨/日以下的</w:t>
            </w:r>
            <w:r>
              <w:t xml:space="preserve"> </w:t>
            </w:r>
            <w:r>
              <w:rPr>
                <w:spacing w:val="-13"/>
              </w:rPr>
              <w:t>污水处理工程；</w:t>
            </w:r>
            <w:r>
              <w:rPr>
                <w:spacing w:val="68"/>
              </w:rPr>
              <w:t xml:space="preserve"> </w:t>
            </w:r>
            <w:r>
              <w:rPr>
                <w:spacing w:val="-13"/>
              </w:rPr>
              <w:t>25</w:t>
            </w:r>
            <w:r>
              <w:rPr>
                <w:spacing w:val="-32"/>
              </w:rPr>
              <w:t xml:space="preserve"> </w:t>
            </w:r>
            <w:r>
              <w:rPr>
                <w:spacing w:val="-13"/>
              </w:rPr>
              <w:t>万吨/日以下的给水泵站、</w:t>
            </w:r>
            <w:r>
              <w:rPr>
                <w:spacing w:val="46"/>
              </w:rPr>
              <w:t xml:space="preserve"> </w:t>
            </w:r>
            <w:r>
              <w:rPr>
                <w:spacing w:val="-13"/>
              </w:rPr>
              <w:t>15</w:t>
            </w:r>
            <w:r>
              <w:rPr>
                <w:spacing w:val="-32"/>
              </w:rPr>
              <w:t xml:space="preserve"> </w:t>
            </w:r>
            <w:r>
              <w:rPr>
                <w:spacing w:val="-13"/>
              </w:rPr>
              <w:t>万吨</w:t>
            </w:r>
            <w:r>
              <w:t xml:space="preserve"> </w:t>
            </w:r>
            <w:r>
              <w:rPr>
                <w:spacing w:val="-1"/>
              </w:rPr>
              <w:t>/日以下的污水泵站、雨水泵站；各类给排水及中水</w:t>
            </w:r>
            <w:r>
              <w:rPr>
                <w:spacing w:val="8"/>
              </w:rPr>
              <w:t xml:space="preserve">  </w:t>
            </w:r>
            <w:r>
              <w:rPr>
                <w:spacing w:val="-8"/>
              </w:rPr>
              <w:t>管道工程；</w:t>
            </w:r>
          </w:p>
          <w:p>
            <w:pPr>
              <w:pStyle w:val="95"/>
              <w:spacing w:before="98" w:line="270" w:lineRule="auto"/>
              <w:ind w:left="107" w:right="220" w:firstLine="5"/>
            </w:pPr>
            <w:r>
              <w:rPr>
                <w:spacing w:val="-3"/>
              </w:rPr>
              <w:t>（3）中压以下燃气管道、调压站；供热面积 150</w:t>
            </w:r>
            <w:r>
              <w:rPr>
                <w:spacing w:val="-24"/>
              </w:rPr>
              <w:t xml:space="preserve"> </w:t>
            </w:r>
            <w:r>
              <w:rPr>
                <w:spacing w:val="-3"/>
              </w:rPr>
              <w:t>万</w:t>
            </w:r>
            <w:r>
              <w:t xml:space="preserve"> </w:t>
            </w:r>
            <w:r>
              <w:rPr>
                <w:spacing w:val="-3"/>
              </w:rPr>
              <w:t>平方米以下热力工程和各类热力管道工程；</w:t>
            </w:r>
          </w:p>
          <w:p>
            <w:pPr>
              <w:pStyle w:val="95"/>
              <w:spacing w:before="97" w:line="220" w:lineRule="auto"/>
              <w:ind w:left="112"/>
            </w:pPr>
            <w:r>
              <w:rPr>
                <w:spacing w:val="-4"/>
              </w:rPr>
              <w:t>（4）各类城市生活垃圾处理工程；</w:t>
            </w:r>
          </w:p>
          <w:p>
            <w:pPr>
              <w:pStyle w:val="95"/>
              <w:spacing w:before="97" w:line="270" w:lineRule="auto"/>
              <w:ind w:left="112" w:right="175"/>
            </w:pPr>
            <w:r>
              <w:rPr>
                <w:spacing w:val="-4"/>
              </w:rPr>
              <w:t>（5）断面</w:t>
            </w:r>
            <w:r>
              <w:rPr>
                <w:spacing w:val="-12"/>
              </w:rPr>
              <w:t xml:space="preserve"> </w:t>
            </w:r>
            <w:r>
              <w:rPr>
                <w:spacing w:val="-4"/>
              </w:rPr>
              <w:t>25</w:t>
            </w:r>
            <w:r>
              <w:rPr>
                <w:spacing w:val="-37"/>
              </w:rPr>
              <w:t xml:space="preserve"> </w:t>
            </w:r>
            <w:r>
              <w:rPr>
                <w:spacing w:val="-4"/>
              </w:rPr>
              <w:t>平方米以下隧道工程和地下交通工程；</w:t>
            </w:r>
            <w:r>
              <w:t xml:space="preserve"> </w:t>
            </w:r>
            <w:r>
              <w:rPr>
                <w:spacing w:val="-3"/>
              </w:rPr>
              <w:t>（6）各类城市广场、地面停车场硬质铺装；</w:t>
            </w:r>
          </w:p>
          <w:p>
            <w:pPr>
              <w:pStyle w:val="95"/>
              <w:spacing w:before="97" w:line="270" w:lineRule="auto"/>
              <w:ind w:left="107" w:right="339" w:firstLine="4"/>
            </w:pPr>
            <w:r>
              <w:rPr>
                <w:spacing w:val="-3"/>
              </w:rPr>
              <w:t>（7）单项合同额</w:t>
            </w:r>
            <w:r>
              <w:rPr>
                <w:spacing w:val="-25"/>
              </w:rPr>
              <w:t xml:space="preserve"> </w:t>
            </w:r>
            <w:r>
              <w:rPr>
                <w:spacing w:val="-3"/>
              </w:rPr>
              <w:t>4000</w:t>
            </w:r>
            <w:r>
              <w:rPr>
                <w:spacing w:val="-32"/>
              </w:rPr>
              <w:t xml:space="preserve"> </w:t>
            </w:r>
            <w:r>
              <w:rPr>
                <w:spacing w:val="-3"/>
              </w:rPr>
              <w:t>万元以下的市政综合工程。</w:t>
            </w:r>
            <w:r>
              <w:t xml:space="preserve"> </w:t>
            </w:r>
            <w:r>
              <w:rPr>
                <w:spacing w:val="-5"/>
              </w:rPr>
              <w:t>三级资质承建范围：</w:t>
            </w:r>
          </w:p>
          <w:p>
            <w:pPr>
              <w:pStyle w:val="95"/>
              <w:spacing w:before="98" w:line="220" w:lineRule="auto"/>
              <w:ind w:left="109"/>
            </w:pPr>
            <w:r>
              <w:rPr>
                <w:spacing w:val="-4"/>
              </w:rPr>
              <w:t>可承担下列市政公用工程的施工：</w:t>
            </w:r>
          </w:p>
          <w:p>
            <w:pPr>
              <w:pStyle w:val="95"/>
              <w:spacing w:before="98" w:line="270" w:lineRule="auto"/>
              <w:ind w:left="121" w:right="128" w:hanging="9"/>
            </w:pPr>
            <w:r>
              <w:rPr>
                <w:spacing w:val="-2"/>
              </w:rPr>
              <w:t>（1）城市道路工程（不含快速路</w:t>
            </w:r>
            <w:r>
              <w:rPr>
                <w:spacing w:val="8"/>
              </w:rPr>
              <w:t>）；</w:t>
            </w:r>
            <w:r>
              <w:rPr>
                <w:spacing w:val="-2"/>
              </w:rPr>
              <w:t>单跨</w:t>
            </w:r>
            <w:r>
              <w:rPr>
                <w:spacing w:val="-34"/>
              </w:rPr>
              <w:t xml:space="preserve"> </w:t>
            </w:r>
            <w:r>
              <w:rPr>
                <w:spacing w:val="-2"/>
              </w:rPr>
              <w:t>25</w:t>
            </w:r>
            <w:r>
              <w:rPr>
                <w:spacing w:val="-36"/>
              </w:rPr>
              <w:t xml:space="preserve"> </w:t>
            </w:r>
            <w:r>
              <w:rPr>
                <w:spacing w:val="-2"/>
              </w:rPr>
              <w:t>米以下</w:t>
            </w:r>
            <w:r>
              <w:t xml:space="preserve"> </w:t>
            </w:r>
            <w:r>
              <w:rPr>
                <w:spacing w:val="-7"/>
              </w:rPr>
              <w:t>的城市桥梁工程；</w:t>
            </w:r>
          </w:p>
          <w:p>
            <w:pPr>
              <w:pStyle w:val="95"/>
              <w:spacing w:before="97" w:line="295" w:lineRule="auto"/>
              <w:ind w:left="107" w:right="131" w:firstLine="5"/>
            </w:pPr>
            <w:r>
              <w:rPr>
                <w:spacing w:val="-5"/>
              </w:rPr>
              <w:t>（2）8</w:t>
            </w:r>
            <w:r>
              <w:rPr>
                <w:spacing w:val="-29"/>
              </w:rPr>
              <w:t xml:space="preserve"> </w:t>
            </w:r>
            <w:r>
              <w:rPr>
                <w:spacing w:val="-5"/>
              </w:rPr>
              <w:t>万吨/日以下的给水工程； 6</w:t>
            </w:r>
            <w:r>
              <w:rPr>
                <w:spacing w:val="-31"/>
              </w:rPr>
              <w:t xml:space="preserve"> </w:t>
            </w:r>
            <w:r>
              <w:rPr>
                <w:spacing w:val="-5"/>
              </w:rPr>
              <w:t>万吨/日以下的污</w:t>
            </w:r>
            <w:r>
              <w:t xml:space="preserve"> </w:t>
            </w:r>
            <w:r>
              <w:rPr>
                <w:spacing w:val="-13"/>
              </w:rPr>
              <w:t>水处理工程；</w:t>
            </w:r>
            <w:r>
              <w:rPr>
                <w:spacing w:val="65"/>
              </w:rPr>
              <w:t xml:space="preserve"> </w:t>
            </w:r>
            <w:r>
              <w:rPr>
                <w:spacing w:val="-13"/>
              </w:rPr>
              <w:t>10</w:t>
            </w:r>
            <w:r>
              <w:rPr>
                <w:spacing w:val="-32"/>
              </w:rPr>
              <w:t xml:space="preserve"> </w:t>
            </w:r>
            <w:r>
              <w:rPr>
                <w:spacing w:val="-13"/>
              </w:rPr>
              <w:t>万吨/日以下的给水泵站、</w:t>
            </w:r>
            <w:r>
              <w:rPr>
                <w:spacing w:val="47"/>
              </w:rPr>
              <w:t xml:space="preserve"> </w:t>
            </w:r>
            <w:r>
              <w:rPr>
                <w:spacing w:val="-13"/>
              </w:rPr>
              <w:t>10</w:t>
            </w:r>
            <w:r>
              <w:rPr>
                <w:spacing w:val="-32"/>
              </w:rPr>
              <w:t xml:space="preserve"> </w:t>
            </w:r>
            <w:r>
              <w:rPr>
                <w:spacing w:val="-13"/>
              </w:rPr>
              <w:t>万吨/</w:t>
            </w:r>
            <w:r>
              <w:t xml:space="preserve">  </w:t>
            </w:r>
            <w:r>
              <w:rPr>
                <w:spacing w:val="-2"/>
              </w:rPr>
              <w:t>日以下的污水泵站、雨水泵站，直径</w:t>
            </w:r>
            <w:r>
              <w:rPr>
                <w:spacing w:val="-13"/>
              </w:rPr>
              <w:t xml:space="preserve"> </w:t>
            </w:r>
            <w:r>
              <w:rPr>
                <w:spacing w:val="-2"/>
              </w:rPr>
              <w:t>1</w:t>
            </w:r>
            <w:r>
              <w:rPr>
                <w:spacing w:val="-36"/>
              </w:rPr>
              <w:t xml:space="preserve"> </w:t>
            </w:r>
            <w:r>
              <w:rPr>
                <w:spacing w:val="-2"/>
              </w:rPr>
              <w:t>米以下供水管</w:t>
            </w:r>
            <w:r>
              <w:t xml:space="preserve"> </w:t>
            </w:r>
            <w:r>
              <w:rPr>
                <w:spacing w:val="-4"/>
              </w:rPr>
              <w:t>道；直径</w:t>
            </w:r>
            <w:r>
              <w:rPr>
                <w:spacing w:val="-20"/>
              </w:rPr>
              <w:t xml:space="preserve"> </w:t>
            </w:r>
            <w:r>
              <w:rPr>
                <w:spacing w:val="-4"/>
              </w:rPr>
              <w:t>1.5</w:t>
            </w:r>
            <w:r>
              <w:rPr>
                <w:spacing w:val="-36"/>
              </w:rPr>
              <w:t xml:space="preserve"> </w:t>
            </w:r>
            <w:r>
              <w:rPr>
                <w:spacing w:val="-4"/>
              </w:rPr>
              <w:t>米以下污水及中水管道；</w:t>
            </w:r>
          </w:p>
          <w:p>
            <w:pPr>
              <w:pStyle w:val="95"/>
              <w:spacing w:before="99" w:line="269" w:lineRule="auto"/>
              <w:ind w:left="108" w:right="179" w:firstLine="4"/>
            </w:pPr>
            <w:r>
              <w:rPr>
                <w:spacing w:val="-1"/>
              </w:rPr>
              <w:t>（3）2</w:t>
            </w:r>
            <w:r>
              <w:rPr>
                <w:spacing w:val="-30"/>
              </w:rPr>
              <w:t xml:space="preserve"> </w:t>
            </w:r>
            <w:r>
              <w:rPr>
                <w:spacing w:val="-1"/>
              </w:rPr>
              <w:t>公斤/平方厘米以下中压、低压燃气</w:t>
            </w:r>
            <w:r>
              <w:rPr>
                <w:spacing w:val="-2"/>
              </w:rPr>
              <w:t>管道、调</w:t>
            </w:r>
            <w:r>
              <w:t xml:space="preserve"> </w:t>
            </w:r>
            <w:r>
              <w:rPr>
                <w:spacing w:val="-2"/>
              </w:rPr>
              <w:t>压站；供热面积</w:t>
            </w:r>
            <w:r>
              <w:rPr>
                <w:spacing w:val="-21"/>
              </w:rPr>
              <w:t xml:space="preserve"> </w:t>
            </w:r>
            <w:r>
              <w:rPr>
                <w:spacing w:val="-2"/>
              </w:rPr>
              <w:t>50</w:t>
            </w:r>
            <w:r>
              <w:rPr>
                <w:spacing w:val="-32"/>
              </w:rPr>
              <w:t xml:space="preserve"> </w:t>
            </w:r>
            <w:r>
              <w:rPr>
                <w:spacing w:val="-2"/>
              </w:rPr>
              <w:t>万平方米以下热力工程，直径</w:t>
            </w:r>
          </w:p>
          <w:p>
            <w:pPr>
              <w:pStyle w:val="95"/>
              <w:spacing w:before="99" w:line="220" w:lineRule="auto"/>
              <w:ind w:left="109"/>
            </w:pPr>
            <w:r>
              <w:rPr>
                <w:spacing w:val="-5"/>
              </w:rPr>
              <w:t>0.2</w:t>
            </w:r>
            <w:r>
              <w:rPr>
                <w:spacing w:val="-34"/>
              </w:rPr>
              <w:t xml:space="preserve"> </w:t>
            </w:r>
            <w:r>
              <w:rPr>
                <w:spacing w:val="-5"/>
              </w:rPr>
              <w:t>米以下热力管道；</w:t>
            </w:r>
          </w:p>
          <w:p>
            <w:pPr>
              <w:pStyle w:val="95"/>
              <w:spacing w:before="98" w:line="270" w:lineRule="auto"/>
              <w:ind w:left="109" w:right="133" w:firstLine="2"/>
            </w:pPr>
            <w:r>
              <w:rPr>
                <w:spacing w:val="-2"/>
              </w:rPr>
              <w:t>（4）单项合同额</w:t>
            </w:r>
            <w:r>
              <w:rPr>
                <w:spacing w:val="-21"/>
              </w:rPr>
              <w:t xml:space="preserve"> </w:t>
            </w:r>
            <w:r>
              <w:rPr>
                <w:spacing w:val="-2"/>
              </w:rPr>
              <w:t>2500</w:t>
            </w:r>
            <w:r>
              <w:rPr>
                <w:spacing w:val="-32"/>
              </w:rPr>
              <w:t xml:space="preserve"> </w:t>
            </w:r>
            <w:r>
              <w:rPr>
                <w:spacing w:val="-2"/>
              </w:rPr>
              <w:t>万元以下的城市生活垃圾处理</w:t>
            </w:r>
            <w:r>
              <w:t xml:space="preserve"> </w:t>
            </w:r>
            <w:r>
              <w:rPr>
                <w:spacing w:val="-12"/>
              </w:rPr>
              <w:t>工程；</w:t>
            </w:r>
          </w:p>
          <w:p>
            <w:pPr>
              <w:pStyle w:val="95"/>
              <w:spacing w:before="97" w:line="220" w:lineRule="auto"/>
              <w:ind w:left="112"/>
            </w:pPr>
            <w:r>
              <w:rPr>
                <w:spacing w:val="-2"/>
              </w:rPr>
              <w:t>（5）单项合同额</w:t>
            </w:r>
            <w:r>
              <w:rPr>
                <w:spacing w:val="-21"/>
              </w:rPr>
              <w:t xml:space="preserve"> </w:t>
            </w:r>
            <w:r>
              <w:rPr>
                <w:spacing w:val="-2"/>
              </w:rPr>
              <w:t>2000</w:t>
            </w:r>
            <w:r>
              <w:rPr>
                <w:spacing w:val="-31"/>
              </w:rPr>
              <w:t xml:space="preserve"> </w:t>
            </w:r>
            <w:r>
              <w:rPr>
                <w:spacing w:val="-2"/>
              </w:rPr>
              <w:t>万元以下地下交通工程（不包</w:t>
            </w:r>
          </w:p>
        </w:tc>
        <w:tc>
          <w:tcPr>
            <w:tcW w:w="3269" w:type="dxa"/>
            <w:tcBorders>
              <w:top w:val="nil"/>
            </w:tcBorders>
            <w:vAlign w:val="top"/>
          </w:tcPr>
          <w:p>
            <w:pPr>
              <w:pStyle w:val="95"/>
              <w:tabs>
                <w:tab w:val="left" w:pos="375"/>
              </w:tabs>
              <w:spacing w:before="220" w:line="270" w:lineRule="auto"/>
              <w:ind w:left="113" w:right="368" w:hanging="9"/>
            </w:pPr>
            <w:r>
              <w:rPr>
                <w:u w:val="single" w:color="auto"/>
              </w:rPr>
              <w:tab/>
            </w:r>
            <w:r>
              <w:rPr>
                <w:u w:val="single" w:color="auto"/>
              </w:rPr>
              <w:tab/>
            </w:r>
            <w:r>
              <w:rPr>
                <w:spacing w:val="-71"/>
              </w:rPr>
              <w:t xml:space="preserve"> </w:t>
            </w:r>
            <w:r>
              <w:rPr>
                <w:spacing w:val="-2"/>
              </w:rPr>
              <w:t>10</w:t>
            </w:r>
            <w:r>
              <w:rPr>
                <w:spacing w:val="-2"/>
                <w:u w:val="single" w:color="auto"/>
              </w:rPr>
              <w:t xml:space="preserve">   </w:t>
            </w:r>
            <w:r>
              <w:rPr>
                <w:spacing w:val="-77"/>
              </w:rPr>
              <w:t xml:space="preserve"> </w:t>
            </w:r>
            <w:r>
              <w:rPr>
                <w:spacing w:val="-2"/>
              </w:rPr>
              <w:t>万吨/日的供水工程（供水</w:t>
            </w:r>
            <w:r>
              <w:t xml:space="preserve"> </w:t>
            </w:r>
            <w:r>
              <w:rPr>
                <w:spacing w:val="-18"/>
              </w:rPr>
              <w:t>厂</w:t>
            </w:r>
            <w:r>
              <w:rPr>
                <w:spacing w:val="-9"/>
              </w:rPr>
              <w:t>）；</w:t>
            </w:r>
          </w:p>
        </w:tc>
        <w:tc>
          <w:tcPr>
            <w:tcW w:w="677" w:type="dxa"/>
            <w:tcBorders>
              <w:top w:val="nil"/>
            </w:tcBorders>
            <w:vAlign w:val="top"/>
          </w:tcPr>
          <w:p>
            <w:pPr>
              <w:spacing w:line="314" w:lineRule="auto"/>
              <w:rPr>
                <w:rFonts w:ascii="Arial"/>
                <w:sz w:val="21"/>
              </w:rPr>
            </w:pPr>
          </w:p>
          <w:p>
            <w:pPr>
              <w:pStyle w:val="95"/>
              <w:spacing w:before="59" w:line="220" w:lineRule="auto"/>
              <w:ind w:left="165"/>
            </w:pPr>
            <w:r>
              <w:rPr>
                <w:spacing w:val="-3"/>
              </w:rPr>
              <w:t>数值</w:t>
            </w:r>
          </w:p>
        </w:tc>
        <w:tc>
          <w:tcPr>
            <w:tcW w:w="2408" w:type="dxa"/>
            <w:tcBorders>
              <w:top w:val="nil"/>
            </w:tcBorders>
            <w:vAlign w:val="top"/>
          </w:tcPr>
          <w:p>
            <w:pPr>
              <w:pStyle w:val="95"/>
              <w:spacing w:before="63" w:line="217" w:lineRule="auto"/>
              <w:ind w:left="113"/>
            </w:pPr>
            <w:r>
              <w:rPr>
                <w:spacing w:val="-4"/>
              </w:rPr>
              <w:t>①</w:t>
            </w:r>
            <w:r>
              <w:rPr>
                <w:spacing w:val="27"/>
              </w:rPr>
              <w:t xml:space="preserve"> </w:t>
            </w:r>
            <w:r>
              <w:rPr>
                <w:spacing w:val="-4"/>
              </w:rPr>
              <w:t>15&lt;d,一级</w:t>
            </w:r>
          </w:p>
          <w:p>
            <w:pPr>
              <w:pStyle w:val="95"/>
              <w:spacing w:before="100" w:line="312" w:lineRule="exact"/>
              <w:ind w:left="112"/>
            </w:pPr>
            <w:r>
              <w:rPr>
                <w:spacing w:val="-2"/>
                <w:position w:val="10"/>
              </w:rPr>
              <w:t>② 8&lt;d≤15，二级</w:t>
            </w:r>
          </w:p>
          <w:p>
            <w:pPr>
              <w:pStyle w:val="95"/>
              <w:spacing w:line="217" w:lineRule="auto"/>
              <w:ind w:left="112"/>
            </w:pPr>
            <w:r>
              <w:rPr>
                <w:spacing w:val="-1"/>
              </w:rPr>
              <w:t>③ 0&lt;d≤8，三级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0" w:hRule="atLeast"/>
        </w:trPr>
        <w:tc>
          <w:tcPr>
            <w:tcW w:w="936" w:type="dxa"/>
            <w:vMerge w:val="continue"/>
            <w:tcBorders>
              <w:top w:val="nil"/>
              <w:left w:val="single" w:color="000000" w:sz="6" w:space="0"/>
              <w:bottom w:val="nil"/>
            </w:tcBorders>
            <w:vAlign w:val="top"/>
          </w:tcPr>
          <w:p>
            <w:pPr>
              <w:rPr>
                <w:rFonts w:ascii="Arial"/>
                <w:sz w:val="21"/>
              </w:rPr>
            </w:pPr>
          </w:p>
        </w:tc>
        <w:tc>
          <w:tcPr>
            <w:tcW w:w="985" w:type="dxa"/>
            <w:vMerge w:val="continue"/>
            <w:tcBorders>
              <w:top w:val="nil"/>
              <w:bottom w:val="nil"/>
            </w:tcBorders>
            <w:vAlign w:val="top"/>
          </w:tcPr>
          <w:p>
            <w:pPr>
              <w:rPr>
                <w:rFonts w:ascii="Arial"/>
                <w:sz w:val="21"/>
              </w:rPr>
            </w:pPr>
          </w:p>
        </w:tc>
        <w:tc>
          <w:tcPr>
            <w:tcW w:w="1295" w:type="dxa"/>
            <w:vMerge w:val="continue"/>
            <w:tcBorders>
              <w:top w:val="nil"/>
              <w:bottom w:val="nil"/>
            </w:tcBorders>
            <w:vAlign w:val="top"/>
          </w:tcPr>
          <w:p>
            <w:pPr>
              <w:rPr>
                <w:rFonts w:ascii="Arial"/>
                <w:sz w:val="21"/>
              </w:rPr>
            </w:pPr>
          </w:p>
        </w:tc>
        <w:tc>
          <w:tcPr>
            <w:tcW w:w="4380" w:type="dxa"/>
            <w:vMerge w:val="continue"/>
            <w:tcBorders>
              <w:top w:val="nil"/>
              <w:bottom w:val="nil"/>
            </w:tcBorders>
            <w:vAlign w:val="top"/>
          </w:tcPr>
          <w:p>
            <w:pPr>
              <w:rPr>
                <w:rFonts w:ascii="Arial"/>
                <w:sz w:val="21"/>
              </w:rPr>
            </w:pPr>
          </w:p>
        </w:tc>
        <w:tc>
          <w:tcPr>
            <w:tcW w:w="3269" w:type="dxa"/>
            <w:vAlign w:val="top"/>
          </w:tcPr>
          <w:p>
            <w:pPr>
              <w:spacing w:line="315" w:lineRule="auto"/>
              <w:rPr>
                <w:rFonts w:ascii="Arial"/>
                <w:sz w:val="21"/>
              </w:rPr>
            </w:pPr>
          </w:p>
          <w:p>
            <w:pPr>
              <w:pStyle w:val="95"/>
              <w:tabs>
                <w:tab w:val="left" w:pos="375"/>
              </w:tabs>
              <w:spacing w:before="58" w:line="220" w:lineRule="auto"/>
              <w:ind w:left="104"/>
            </w:pPr>
            <w:r>
              <w:rPr>
                <w:u w:val="single" w:color="auto"/>
              </w:rPr>
              <w:tab/>
            </w:r>
            <w:r>
              <w:rPr>
                <w:spacing w:val="-75"/>
              </w:rPr>
              <w:t xml:space="preserve"> </w:t>
            </w:r>
            <w:r>
              <w:rPr>
                <w:spacing w:val="-4"/>
              </w:rPr>
              <w:t>5</w:t>
            </w:r>
            <w:r>
              <w:rPr>
                <w:spacing w:val="-89"/>
              </w:rPr>
              <w:t xml:space="preserve"> </w:t>
            </w:r>
            <w:r>
              <w:rPr>
                <w:spacing w:val="45"/>
                <w:u w:val="single" w:color="auto"/>
              </w:rPr>
              <w:t xml:space="preserve">  </w:t>
            </w:r>
            <w:r>
              <w:rPr>
                <w:spacing w:val="-77"/>
              </w:rPr>
              <w:t xml:space="preserve"> </w:t>
            </w:r>
            <w:r>
              <w:rPr>
                <w:spacing w:val="-4"/>
              </w:rPr>
              <w:t>万吨/日的污水处理工程；</w:t>
            </w:r>
          </w:p>
        </w:tc>
        <w:tc>
          <w:tcPr>
            <w:tcW w:w="677" w:type="dxa"/>
            <w:vAlign w:val="top"/>
          </w:tcPr>
          <w:p>
            <w:pPr>
              <w:spacing w:line="315" w:lineRule="auto"/>
              <w:rPr>
                <w:rFonts w:ascii="Arial"/>
                <w:sz w:val="21"/>
              </w:rPr>
            </w:pPr>
          </w:p>
          <w:p>
            <w:pPr>
              <w:pStyle w:val="95"/>
              <w:spacing w:before="58" w:line="220" w:lineRule="auto"/>
              <w:ind w:left="165"/>
            </w:pPr>
            <w:r>
              <w:rPr>
                <w:spacing w:val="-3"/>
              </w:rPr>
              <w:t>数值</w:t>
            </w:r>
          </w:p>
        </w:tc>
        <w:tc>
          <w:tcPr>
            <w:tcW w:w="2408" w:type="dxa"/>
            <w:vAlign w:val="top"/>
          </w:tcPr>
          <w:p>
            <w:pPr>
              <w:pStyle w:val="95"/>
              <w:spacing w:before="64" w:line="217" w:lineRule="auto"/>
              <w:ind w:left="113"/>
            </w:pPr>
            <w:r>
              <w:rPr>
                <w:spacing w:val="-4"/>
              </w:rPr>
              <w:t>①</w:t>
            </w:r>
            <w:r>
              <w:rPr>
                <w:spacing w:val="27"/>
              </w:rPr>
              <w:t xml:space="preserve"> </w:t>
            </w:r>
            <w:r>
              <w:rPr>
                <w:spacing w:val="-4"/>
              </w:rPr>
              <w:t>10&lt;d,一级</w:t>
            </w:r>
          </w:p>
          <w:p>
            <w:pPr>
              <w:pStyle w:val="95"/>
              <w:spacing w:before="100" w:line="312" w:lineRule="exact"/>
              <w:ind w:left="112"/>
            </w:pPr>
            <w:r>
              <w:rPr>
                <w:spacing w:val="-2"/>
                <w:position w:val="10"/>
              </w:rPr>
              <w:t>② 6&lt;d≤10，二级</w:t>
            </w:r>
          </w:p>
          <w:p>
            <w:pPr>
              <w:pStyle w:val="95"/>
              <w:spacing w:line="217" w:lineRule="auto"/>
              <w:ind w:left="112"/>
            </w:pPr>
            <w:r>
              <w:rPr>
                <w:spacing w:val="-1"/>
              </w:rPr>
              <w:t>③ 0&lt;d≤6，三级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1" w:hRule="atLeast"/>
        </w:trPr>
        <w:tc>
          <w:tcPr>
            <w:tcW w:w="936" w:type="dxa"/>
            <w:vMerge w:val="continue"/>
            <w:tcBorders>
              <w:top w:val="nil"/>
              <w:left w:val="single" w:color="000000" w:sz="6" w:space="0"/>
              <w:bottom w:val="nil"/>
            </w:tcBorders>
            <w:vAlign w:val="top"/>
          </w:tcPr>
          <w:p>
            <w:pPr>
              <w:rPr>
                <w:rFonts w:ascii="Arial"/>
                <w:sz w:val="21"/>
              </w:rPr>
            </w:pPr>
          </w:p>
        </w:tc>
        <w:tc>
          <w:tcPr>
            <w:tcW w:w="985" w:type="dxa"/>
            <w:vMerge w:val="continue"/>
            <w:tcBorders>
              <w:top w:val="nil"/>
              <w:bottom w:val="nil"/>
            </w:tcBorders>
            <w:vAlign w:val="top"/>
          </w:tcPr>
          <w:p>
            <w:pPr>
              <w:rPr>
                <w:rFonts w:ascii="Arial"/>
                <w:sz w:val="21"/>
              </w:rPr>
            </w:pPr>
          </w:p>
        </w:tc>
        <w:tc>
          <w:tcPr>
            <w:tcW w:w="1295" w:type="dxa"/>
            <w:vMerge w:val="continue"/>
            <w:tcBorders>
              <w:top w:val="nil"/>
              <w:bottom w:val="nil"/>
            </w:tcBorders>
            <w:vAlign w:val="top"/>
          </w:tcPr>
          <w:p>
            <w:pPr>
              <w:rPr>
                <w:rFonts w:ascii="Arial"/>
                <w:sz w:val="21"/>
              </w:rPr>
            </w:pPr>
          </w:p>
        </w:tc>
        <w:tc>
          <w:tcPr>
            <w:tcW w:w="4380" w:type="dxa"/>
            <w:vMerge w:val="continue"/>
            <w:tcBorders>
              <w:top w:val="nil"/>
              <w:bottom w:val="nil"/>
            </w:tcBorders>
            <w:vAlign w:val="top"/>
          </w:tcPr>
          <w:p>
            <w:pPr>
              <w:rPr>
                <w:rFonts w:ascii="Arial"/>
                <w:sz w:val="21"/>
              </w:rPr>
            </w:pPr>
          </w:p>
        </w:tc>
        <w:tc>
          <w:tcPr>
            <w:tcW w:w="3269" w:type="dxa"/>
            <w:vAlign w:val="top"/>
          </w:tcPr>
          <w:p>
            <w:pPr>
              <w:spacing w:line="316" w:lineRule="auto"/>
              <w:rPr>
                <w:rFonts w:ascii="Arial"/>
                <w:sz w:val="21"/>
              </w:rPr>
            </w:pPr>
          </w:p>
          <w:p>
            <w:pPr>
              <w:pStyle w:val="95"/>
              <w:tabs>
                <w:tab w:val="left" w:pos="644"/>
              </w:tabs>
              <w:spacing w:before="59" w:line="220" w:lineRule="auto"/>
              <w:ind w:left="104"/>
            </w:pPr>
            <w:r>
              <w:rPr>
                <w:u w:val="single" w:color="auto"/>
              </w:rPr>
              <w:tab/>
            </w:r>
            <w:r>
              <w:rPr>
                <w:spacing w:val="-70"/>
              </w:rPr>
              <w:t xml:space="preserve"> </w:t>
            </w:r>
            <w:r>
              <w:rPr>
                <w:spacing w:val="-2"/>
              </w:rPr>
              <w:t>万吨/日的给水泵站</w:t>
            </w:r>
          </w:p>
        </w:tc>
        <w:tc>
          <w:tcPr>
            <w:tcW w:w="677" w:type="dxa"/>
            <w:vAlign w:val="top"/>
          </w:tcPr>
          <w:p>
            <w:pPr>
              <w:spacing w:line="316" w:lineRule="auto"/>
              <w:rPr>
                <w:rFonts w:ascii="Arial"/>
                <w:sz w:val="21"/>
              </w:rPr>
            </w:pPr>
          </w:p>
          <w:p>
            <w:pPr>
              <w:pStyle w:val="95"/>
              <w:spacing w:before="59" w:line="220" w:lineRule="auto"/>
              <w:ind w:left="165"/>
            </w:pPr>
            <w:r>
              <w:rPr>
                <w:spacing w:val="-3"/>
              </w:rPr>
              <w:t>数值</w:t>
            </w:r>
          </w:p>
        </w:tc>
        <w:tc>
          <w:tcPr>
            <w:tcW w:w="2408" w:type="dxa"/>
            <w:vAlign w:val="top"/>
          </w:tcPr>
          <w:p>
            <w:pPr>
              <w:pStyle w:val="95"/>
              <w:spacing w:before="65" w:line="217" w:lineRule="auto"/>
              <w:ind w:left="113"/>
            </w:pPr>
            <w:r>
              <w:rPr>
                <w:spacing w:val="-2"/>
              </w:rPr>
              <w:t>①</w:t>
            </w:r>
            <w:r>
              <w:rPr>
                <w:spacing w:val="11"/>
              </w:rPr>
              <w:t xml:space="preserve"> </w:t>
            </w:r>
            <w:r>
              <w:rPr>
                <w:spacing w:val="-2"/>
              </w:rPr>
              <w:t>25&lt;d,一级</w:t>
            </w:r>
          </w:p>
          <w:p>
            <w:pPr>
              <w:pStyle w:val="95"/>
              <w:spacing w:before="100" w:line="312" w:lineRule="exact"/>
              <w:ind w:left="112"/>
            </w:pPr>
            <w:r>
              <w:rPr>
                <w:spacing w:val="-3"/>
                <w:position w:val="10"/>
              </w:rPr>
              <w:t>②</w:t>
            </w:r>
            <w:r>
              <w:rPr>
                <w:spacing w:val="22"/>
                <w:position w:val="10"/>
              </w:rPr>
              <w:t xml:space="preserve"> </w:t>
            </w:r>
            <w:r>
              <w:rPr>
                <w:spacing w:val="-3"/>
                <w:position w:val="10"/>
              </w:rPr>
              <w:t>10&lt;d≤25，二级</w:t>
            </w:r>
          </w:p>
          <w:p>
            <w:pPr>
              <w:pStyle w:val="95"/>
              <w:spacing w:line="217" w:lineRule="auto"/>
              <w:ind w:left="112"/>
            </w:pPr>
            <w:r>
              <w:rPr>
                <w:spacing w:val="-2"/>
              </w:rPr>
              <w:t>③ 0&lt;d≤10，三级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0" w:hRule="atLeast"/>
        </w:trPr>
        <w:tc>
          <w:tcPr>
            <w:tcW w:w="936" w:type="dxa"/>
            <w:vMerge w:val="continue"/>
            <w:tcBorders>
              <w:top w:val="nil"/>
              <w:left w:val="single" w:color="000000" w:sz="6" w:space="0"/>
              <w:bottom w:val="nil"/>
            </w:tcBorders>
            <w:vAlign w:val="top"/>
          </w:tcPr>
          <w:p>
            <w:pPr>
              <w:rPr>
                <w:rFonts w:ascii="Arial"/>
                <w:sz w:val="21"/>
              </w:rPr>
            </w:pPr>
          </w:p>
        </w:tc>
        <w:tc>
          <w:tcPr>
            <w:tcW w:w="985" w:type="dxa"/>
            <w:vMerge w:val="continue"/>
            <w:tcBorders>
              <w:top w:val="nil"/>
              <w:bottom w:val="nil"/>
            </w:tcBorders>
            <w:vAlign w:val="top"/>
          </w:tcPr>
          <w:p>
            <w:pPr>
              <w:rPr>
                <w:rFonts w:ascii="Arial"/>
                <w:sz w:val="21"/>
              </w:rPr>
            </w:pPr>
          </w:p>
        </w:tc>
        <w:tc>
          <w:tcPr>
            <w:tcW w:w="1295" w:type="dxa"/>
            <w:vMerge w:val="continue"/>
            <w:tcBorders>
              <w:top w:val="nil"/>
              <w:bottom w:val="nil"/>
            </w:tcBorders>
            <w:vAlign w:val="top"/>
          </w:tcPr>
          <w:p>
            <w:pPr>
              <w:rPr>
                <w:rFonts w:ascii="Arial"/>
                <w:sz w:val="21"/>
              </w:rPr>
            </w:pPr>
          </w:p>
        </w:tc>
        <w:tc>
          <w:tcPr>
            <w:tcW w:w="4380" w:type="dxa"/>
            <w:vMerge w:val="continue"/>
            <w:tcBorders>
              <w:top w:val="nil"/>
              <w:bottom w:val="nil"/>
            </w:tcBorders>
            <w:vAlign w:val="top"/>
          </w:tcPr>
          <w:p>
            <w:pPr>
              <w:rPr>
                <w:rFonts w:ascii="Arial"/>
                <w:sz w:val="21"/>
              </w:rPr>
            </w:pPr>
          </w:p>
        </w:tc>
        <w:tc>
          <w:tcPr>
            <w:tcW w:w="3269" w:type="dxa"/>
            <w:vAlign w:val="top"/>
          </w:tcPr>
          <w:p>
            <w:pPr>
              <w:pStyle w:val="95"/>
              <w:tabs>
                <w:tab w:val="left" w:pos="644"/>
              </w:tabs>
              <w:spacing w:before="220" w:line="271" w:lineRule="auto"/>
              <w:ind w:left="111" w:right="368" w:hanging="7"/>
            </w:pPr>
            <w:r>
              <w:rPr>
                <w:u w:val="single" w:color="auto"/>
              </w:rPr>
              <w:tab/>
            </w:r>
            <w:r>
              <w:rPr>
                <w:u w:val="single" w:color="auto"/>
              </w:rPr>
              <w:tab/>
            </w:r>
            <w:r>
              <w:rPr>
                <w:spacing w:val="-77"/>
              </w:rPr>
              <w:t xml:space="preserve"> </w:t>
            </w:r>
            <w:r>
              <w:rPr>
                <w:spacing w:val="-1"/>
              </w:rPr>
              <w:t>万吨/日的污水泵站、雨水泵</w:t>
            </w:r>
            <w:r>
              <w:t xml:space="preserve"> </w:t>
            </w:r>
            <w:r>
              <w:rPr>
                <w:spacing w:val="-13"/>
              </w:rPr>
              <w:t>站；</w:t>
            </w:r>
          </w:p>
        </w:tc>
        <w:tc>
          <w:tcPr>
            <w:tcW w:w="677" w:type="dxa"/>
            <w:vAlign w:val="top"/>
          </w:tcPr>
          <w:p>
            <w:pPr>
              <w:spacing w:line="316" w:lineRule="auto"/>
              <w:rPr>
                <w:rFonts w:ascii="Arial"/>
                <w:sz w:val="21"/>
              </w:rPr>
            </w:pPr>
          </w:p>
          <w:p>
            <w:pPr>
              <w:pStyle w:val="95"/>
              <w:spacing w:before="58" w:line="220" w:lineRule="auto"/>
              <w:ind w:left="165"/>
            </w:pPr>
            <w:r>
              <w:rPr>
                <w:spacing w:val="-3"/>
              </w:rPr>
              <w:t>数值</w:t>
            </w:r>
          </w:p>
        </w:tc>
        <w:tc>
          <w:tcPr>
            <w:tcW w:w="2408" w:type="dxa"/>
            <w:vAlign w:val="top"/>
          </w:tcPr>
          <w:p>
            <w:pPr>
              <w:pStyle w:val="95"/>
              <w:spacing w:before="64" w:line="217" w:lineRule="auto"/>
              <w:ind w:left="113"/>
            </w:pPr>
            <w:r>
              <w:rPr>
                <w:spacing w:val="-4"/>
              </w:rPr>
              <w:t>①</w:t>
            </w:r>
            <w:r>
              <w:rPr>
                <w:spacing w:val="27"/>
              </w:rPr>
              <w:t xml:space="preserve"> </w:t>
            </w:r>
            <w:r>
              <w:rPr>
                <w:spacing w:val="-4"/>
              </w:rPr>
              <w:t>15&lt;d,一级</w:t>
            </w:r>
          </w:p>
          <w:p>
            <w:pPr>
              <w:pStyle w:val="95"/>
              <w:spacing w:before="100" w:line="312" w:lineRule="exact"/>
              <w:ind w:left="112"/>
            </w:pPr>
            <w:r>
              <w:rPr>
                <w:spacing w:val="-3"/>
                <w:position w:val="10"/>
              </w:rPr>
              <w:t>②</w:t>
            </w:r>
            <w:r>
              <w:rPr>
                <w:spacing w:val="22"/>
                <w:position w:val="10"/>
              </w:rPr>
              <w:t xml:space="preserve"> </w:t>
            </w:r>
            <w:r>
              <w:rPr>
                <w:spacing w:val="-3"/>
                <w:position w:val="10"/>
              </w:rPr>
              <w:t>10&lt;d≤15，二级</w:t>
            </w:r>
          </w:p>
          <w:p>
            <w:pPr>
              <w:pStyle w:val="95"/>
              <w:spacing w:line="217" w:lineRule="auto"/>
              <w:ind w:left="112"/>
            </w:pPr>
            <w:r>
              <w:rPr>
                <w:spacing w:val="-2"/>
              </w:rPr>
              <w:t>③ 0&lt;d≤10，三级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1" w:hRule="atLeast"/>
        </w:trPr>
        <w:tc>
          <w:tcPr>
            <w:tcW w:w="936" w:type="dxa"/>
            <w:vMerge w:val="continue"/>
            <w:tcBorders>
              <w:top w:val="nil"/>
              <w:left w:val="single" w:color="000000" w:sz="6" w:space="0"/>
              <w:bottom w:val="nil"/>
            </w:tcBorders>
            <w:vAlign w:val="top"/>
          </w:tcPr>
          <w:p>
            <w:pPr>
              <w:rPr>
                <w:rFonts w:ascii="Arial"/>
                <w:sz w:val="21"/>
              </w:rPr>
            </w:pPr>
          </w:p>
        </w:tc>
        <w:tc>
          <w:tcPr>
            <w:tcW w:w="985" w:type="dxa"/>
            <w:vMerge w:val="continue"/>
            <w:tcBorders>
              <w:top w:val="nil"/>
              <w:bottom w:val="nil"/>
            </w:tcBorders>
            <w:vAlign w:val="top"/>
          </w:tcPr>
          <w:p>
            <w:pPr>
              <w:rPr>
                <w:rFonts w:ascii="Arial"/>
                <w:sz w:val="21"/>
              </w:rPr>
            </w:pPr>
          </w:p>
        </w:tc>
        <w:tc>
          <w:tcPr>
            <w:tcW w:w="1295" w:type="dxa"/>
            <w:vMerge w:val="continue"/>
            <w:tcBorders>
              <w:top w:val="nil"/>
              <w:bottom w:val="nil"/>
            </w:tcBorders>
            <w:vAlign w:val="top"/>
          </w:tcPr>
          <w:p>
            <w:pPr>
              <w:rPr>
                <w:rFonts w:ascii="Arial"/>
                <w:sz w:val="21"/>
              </w:rPr>
            </w:pPr>
          </w:p>
        </w:tc>
        <w:tc>
          <w:tcPr>
            <w:tcW w:w="4380" w:type="dxa"/>
            <w:vMerge w:val="continue"/>
            <w:tcBorders>
              <w:top w:val="nil"/>
              <w:bottom w:val="nil"/>
            </w:tcBorders>
            <w:vAlign w:val="top"/>
          </w:tcPr>
          <w:p>
            <w:pPr>
              <w:rPr>
                <w:rFonts w:ascii="Arial"/>
                <w:sz w:val="21"/>
              </w:rPr>
            </w:pPr>
          </w:p>
        </w:tc>
        <w:tc>
          <w:tcPr>
            <w:tcW w:w="3269" w:type="dxa"/>
            <w:tcBorders>
              <w:bottom w:val="single" w:color="000000" w:sz="4" w:space="0"/>
            </w:tcBorders>
            <w:vAlign w:val="top"/>
          </w:tcPr>
          <w:p>
            <w:pPr>
              <w:pStyle w:val="95"/>
              <w:spacing w:before="223" w:line="219" w:lineRule="auto"/>
              <w:ind w:left="112"/>
            </w:pPr>
            <w:r>
              <w:rPr>
                <w:spacing w:val="-2"/>
              </w:rPr>
              <w:t>直径</w:t>
            </w:r>
            <w:r>
              <w:rPr>
                <w:spacing w:val="-2"/>
                <w:u w:val="single" w:color="auto"/>
              </w:rPr>
              <w:t xml:space="preserve">      </w:t>
            </w:r>
            <w:r>
              <w:rPr>
                <w:spacing w:val="-70"/>
              </w:rPr>
              <w:t xml:space="preserve"> </w:t>
            </w:r>
            <w:r>
              <w:rPr>
                <w:spacing w:val="-2"/>
              </w:rPr>
              <w:t>米供水管道</w:t>
            </w:r>
          </w:p>
        </w:tc>
        <w:tc>
          <w:tcPr>
            <w:tcW w:w="677" w:type="dxa"/>
            <w:tcBorders>
              <w:bottom w:val="single" w:color="000000" w:sz="4" w:space="0"/>
            </w:tcBorders>
            <w:vAlign w:val="top"/>
          </w:tcPr>
          <w:p>
            <w:pPr>
              <w:pStyle w:val="95"/>
              <w:spacing w:before="223" w:line="220" w:lineRule="auto"/>
              <w:ind w:left="165"/>
            </w:pPr>
            <w:r>
              <w:rPr>
                <w:spacing w:val="-3"/>
              </w:rPr>
              <w:t>数值</w:t>
            </w:r>
          </w:p>
        </w:tc>
        <w:tc>
          <w:tcPr>
            <w:tcW w:w="2408" w:type="dxa"/>
            <w:tcBorders>
              <w:bottom w:val="single" w:color="000000" w:sz="4" w:space="0"/>
            </w:tcBorders>
            <w:vAlign w:val="top"/>
          </w:tcPr>
          <w:p>
            <w:pPr>
              <w:pStyle w:val="95"/>
              <w:spacing w:before="68" w:line="217" w:lineRule="auto"/>
              <w:ind w:left="113"/>
            </w:pPr>
            <w:r>
              <w:rPr>
                <w:spacing w:val="-5"/>
              </w:rPr>
              <w:t>①</w:t>
            </w:r>
            <w:r>
              <w:rPr>
                <w:spacing w:val="22"/>
              </w:rPr>
              <w:t xml:space="preserve"> </w:t>
            </w:r>
            <w:r>
              <w:rPr>
                <w:spacing w:val="-5"/>
              </w:rPr>
              <w:t>1&lt;d，二级</w:t>
            </w:r>
          </w:p>
          <w:p>
            <w:pPr>
              <w:pStyle w:val="95"/>
              <w:spacing w:before="100" w:line="217" w:lineRule="auto"/>
              <w:ind w:left="112"/>
            </w:pPr>
            <w:r>
              <w:rPr>
                <w:spacing w:val="-1"/>
              </w:rPr>
              <w:t>② 0&lt;d≤1，三级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3" w:hRule="atLeast"/>
        </w:trPr>
        <w:tc>
          <w:tcPr>
            <w:tcW w:w="936" w:type="dxa"/>
            <w:vMerge w:val="continue"/>
            <w:tcBorders>
              <w:top w:val="nil"/>
              <w:left w:val="single" w:color="000000" w:sz="6" w:space="0"/>
              <w:bottom w:val="nil"/>
            </w:tcBorders>
            <w:vAlign w:val="top"/>
          </w:tcPr>
          <w:p>
            <w:pPr>
              <w:rPr>
                <w:rFonts w:ascii="Arial"/>
                <w:sz w:val="21"/>
              </w:rPr>
            </w:pPr>
          </w:p>
        </w:tc>
        <w:tc>
          <w:tcPr>
            <w:tcW w:w="985" w:type="dxa"/>
            <w:vMerge w:val="continue"/>
            <w:tcBorders>
              <w:top w:val="nil"/>
              <w:bottom w:val="nil"/>
            </w:tcBorders>
            <w:vAlign w:val="top"/>
          </w:tcPr>
          <w:p>
            <w:pPr>
              <w:rPr>
                <w:rFonts w:ascii="Arial"/>
                <w:sz w:val="21"/>
              </w:rPr>
            </w:pPr>
          </w:p>
        </w:tc>
        <w:tc>
          <w:tcPr>
            <w:tcW w:w="1295" w:type="dxa"/>
            <w:vMerge w:val="continue"/>
            <w:tcBorders>
              <w:top w:val="nil"/>
              <w:bottom w:val="nil"/>
            </w:tcBorders>
            <w:vAlign w:val="top"/>
          </w:tcPr>
          <w:p>
            <w:pPr>
              <w:rPr>
                <w:rFonts w:ascii="Arial"/>
                <w:sz w:val="21"/>
              </w:rPr>
            </w:pPr>
          </w:p>
        </w:tc>
        <w:tc>
          <w:tcPr>
            <w:tcW w:w="4380" w:type="dxa"/>
            <w:vMerge w:val="continue"/>
            <w:tcBorders>
              <w:top w:val="nil"/>
              <w:bottom w:val="nil"/>
            </w:tcBorders>
            <w:vAlign w:val="top"/>
          </w:tcPr>
          <w:p>
            <w:pPr>
              <w:rPr>
                <w:rFonts w:ascii="Arial"/>
                <w:sz w:val="21"/>
              </w:rPr>
            </w:pPr>
          </w:p>
        </w:tc>
        <w:tc>
          <w:tcPr>
            <w:tcW w:w="3269" w:type="dxa"/>
            <w:tcBorders>
              <w:top w:val="single" w:color="000000" w:sz="4" w:space="0"/>
            </w:tcBorders>
            <w:vAlign w:val="top"/>
          </w:tcPr>
          <w:p>
            <w:pPr>
              <w:pStyle w:val="95"/>
              <w:spacing w:before="216" w:line="220" w:lineRule="auto"/>
              <w:ind w:left="112"/>
            </w:pPr>
            <w:r>
              <w:rPr>
                <w:spacing w:val="-1"/>
              </w:rPr>
              <w:t>直径</w:t>
            </w:r>
            <w:r>
              <w:rPr>
                <w:spacing w:val="-1"/>
                <w:u w:val="single" w:color="auto"/>
              </w:rPr>
              <w:t xml:space="preserve">      </w:t>
            </w:r>
            <w:r>
              <w:rPr>
                <w:spacing w:val="-80"/>
              </w:rPr>
              <w:t xml:space="preserve"> </w:t>
            </w:r>
            <w:r>
              <w:rPr>
                <w:spacing w:val="-1"/>
              </w:rPr>
              <w:t>污水及中水管道</w:t>
            </w:r>
          </w:p>
        </w:tc>
        <w:tc>
          <w:tcPr>
            <w:tcW w:w="677" w:type="dxa"/>
            <w:tcBorders>
              <w:top w:val="single" w:color="000000" w:sz="4" w:space="0"/>
            </w:tcBorders>
            <w:vAlign w:val="top"/>
          </w:tcPr>
          <w:p>
            <w:pPr>
              <w:pStyle w:val="95"/>
              <w:spacing w:before="216" w:line="220" w:lineRule="auto"/>
              <w:ind w:left="165"/>
            </w:pPr>
            <w:r>
              <w:rPr>
                <w:spacing w:val="-3"/>
              </w:rPr>
              <w:t>数值</w:t>
            </w:r>
          </w:p>
        </w:tc>
        <w:tc>
          <w:tcPr>
            <w:tcW w:w="2408" w:type="dxa"/>
            <w:tcBorders>
              <w:top w:val="single" w:color="000000" w:sz="4" w:space="0"/>
            </w:tcBorders>
            <w:vAlign w:val="top"/>
          </w:tcPr>
          <w:p>
            <w:pPr>
              <w:pStyle w:val="95"/>
              <w:spacing w:before="61" w:line="217" w:lineRule="auto"/>
              <w:ind w:left="113"/>
            </w:pPr>
            <w:r>
              <w:rPr>
                <w:spacing w:val="-4"/>
              </w:rPr>
              <w:t>①</w:t>
            </w:r>
            <w:r>
              <w:rPr>
                <w:spacing w:val="23"/>
              </w:rPr>
              <w:t xml:space="preserve"> </w:t>
            </w:r>
            <w:r>
              <w:rPr>
                <w:spacing w:val="-4"/>
              </w:rPr>
              <w:t>1.5&lt;d，二级</w:t>
            </w:r>
          </w:p>
          <w:p>
            <w:pPr>
              <w:pStyle w:val="95"/>
              <w:spacing w:before="100" w:line="217" w:lineRule="auto"/>
              <w:ind w:left="112"/>
            </w:pPr>
            <w:r>
              <w:rPr>
                <w:spacing w:val="-1"/>
              </w:rPr>
              <w:t>② 0&lt;d≤1.5，三级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0" w:hRule="atLeast"/>
        </w:trPr>
        <w:tc>
          <w:tcPr>
            <w:tcW w:w="936" w:type="dxa"/>
            <w:vMerge w:val="continue"/>
            <w:tcBorders>
              <w:top w:val="nil"/>
              <w:left w:val="single" w:color="000000" w:sz="6" w:space="0"/>
              <w:bottom w:val="nil"/>
            </w:tcBorders>
            <w:vAlign w:val="top"/>
          </w:tcPr>
          <w:p>
            <w:pPr>
              <w:rPr>
                <w:rFonts w:ascii="Arial"/>
                <w:sz w:val="21"/>
              </w:rPr>
            </w:pPr>
          </w:p>
        </w:tc>
        <w:tc>
          <w:tcPr>
            <w:tcW w:w="985" w:type="dxa"/>
            <w:vMerge w:val="continue"/>
            <w:tcBorders>
              <w:top w:val="nil"/>
              <w:bottom w:val="nil"/>
            </w:tcBorders>
            <w:vAlign w:val="top"/>
          </w:tcPr>
          <w:p>
            <w:pPr>
              <w:rPr>
                <w:rFonts w:ascii="Arial"/>
                <w:sz w:val="21"/>
              </w:rPr>
            </w:pPr>
          </w:p>
        </w:tc>
        <w:tc>
          <w:tcPr>
            <w:tcW w:w="1295" w:type="dxa"/>
            <w:vMerge w:val="continue"/>
            <w:tcBorders>
              <w:top w:val="nil"/>
              <w:bottom w:val="nil"/>
            </w:tcBorders>
            <w:vAlign w:val="top"/>
          </w:tcPr>
          <w:p>
            <w:pPr>
              <w:rPr>
                <w:rFonts w:ascii="Arial"/>
                <w:sz w:val="21"/>
              </w:rPr>
            </w:pPr>
          </w:p>
        </w:tc>
        <w:tc>
          <w:tcPr>
            <w:tcW w:w="4380" w:type="dxa"/>
            <w:vMerge w:val="continue"/>
            <w:tcBorders>
              <w:top w:val="nil"/>
              <w:bottom w:val="nil"/>
            </w:tcBorders>
            <w:vAlign w:val="top"/>
          </w:tcPr>
          <w:p>
            <w:pPr>
              <w:rPr>
                <w:rFonts w:ascii="Arial"/>
                <w:sz w:val="21"/>
              </w:rPr>
            </w:pPr>
          </w:p>
        </w:tc>
        <w:tc>
          <w:tcPr>
            <w:tcW w:w="3269" w:type="dxa"/>
            <w:vAlign w:val="top"/>
          </w:tcPr>
          <w:p>
            <w:pPr>
              <w:spacing w:line="317" w:lineRule="auto"/>
              <w:rPr>
                <w:rFonts w:ascii="Arial"/>
                <w:sz w:val="21"/>
              </w:rPr>
            </w:pPr>
          </w:p>
          <w:p>
            <w:pPr>
              <w:pStyle w:val="95"/>
              <w:tabs>
                <w:tab w:val="left" w:pos="735"/>
              </w:tabs>
              <w:spacing w:before="59" w:line="220" w:lineRule="auto"/>
              <w:ind w:left="104"/>
            </w:pPr>
            <w:r>
              <w:rPr>
                <w:u w:val="single" w:color="auto"/>
              </w:rPr>
              <w:tab/>
            </w:r>
            <w:r>
              <w:rPr>
                <w:spacing w:val="-81"/>
              </w:rPr>
              <w:t xml:space="preserve"> </w:t>
            </w:r>
            <w:r>
              <w:rPr>
                <w:spacing w:val="-1"/>
              </w:rPr>
              <w:t>燃气管道、调压站</w:t>
            </w:r>
          </w:p>
        </w:tc>
        <w:tc>
          <w:tcPr>
            <w:tcW w:w="677" w:type="dxa"/>
            <w:vAlign w:val="top"/>
          </w:tcPr>
          <w:p>
            <w:pPr>
              <w:pStyle w:val="95"/>
              <w:spacing w:before="222" w:line="312" w:lineRule="exact"/>
              <w:ind w:left="170"/>
            </w:pPr>
            <w:r>
              <w:rPr>
                <w:spacing w:val="-4"/>
                <w:position w:val="9"/>
              </w:rPr>
              <w:t>下拉</w:t>
            </w:r>
          </w:p>
          <w:p>
            <w:pPr>
              <w:pStyle w:val="95"/>
              <w:spacing w:line="220" w:lineRule="auto"/>
              <w:ind w:left="163"/>
            </w:pPr>
            <w:r>
              <w:rPr>
                <w:spacing w:val="-2"/>
              </w:rPr>
              <w:t>选项</w:t>
            </w:r>
          </w:p>
        </w:tc>
        <w:tc>
          <w:tcPr>
            <w:tcW w:w="2408" w:type="dxa"/>
            <w:vAlign w:val="top"/>
          </w:tcPr>
          <w:p>
            <w:pPr>
              <w:pStyle w:val="95"/>
              <w:spacing w:before="66" w:line="312" w:lineRule="exact"/>
              <w:ind w:left="113"/>
            </w:pPr>
            <w:r>
              <w:rPr>
                <w:spacing w:val="-19"/>
                <w:position w:val="10"/>
              </w:rPr>
              <w:t>①</w:t>
            </w:r>
            <w:r>
              <w:rPr>
                <w:spacing w:val="15"/>
                <w:position w:val="10"/>
              </w:rPr>
              <w:t xml:space="preserve"> </w:t>
            </w:r>
            <w:r>
              <w:rPr>
                <w:spacing w:val="-19"/>
                <w:position w:val="10"/>
              </w:rPr>
              <w:t>高压，</w:t>
            </w:r>
            <w:r>
              <w:rPr>
                <w:spacing w:val="2"/>
                <w:position w:val="10"/>
              </w:rPr>
              <w:t xml:space="preserve"> </w:t>
            </w:r>
            <w:r>
              <w:rPr>
                <w:spacing w:val="-19"/>
                <w:position w:val="10"/>
              </w:rPr>
              <w:t>一级</w:t>
            </w:r>
          </w:p>
          <w:p>
            <w:pPr>
              <w:pStyle w:val="95"/>
              <w:spacing w:line="217" w:lineRule="auto"/>
              <w:ind w:left="112"/>
            </w:pPr>
            <w:r>
              <w:rPr>
                <w:spacing w:val="-5"/>
              </w:rPr>
              <w:t>②</w:t>
            </w:r>
            <w:r>
              <w:rPr>
                <w:spacing w:val="29"/>
              </w:rPr>
              <w:t xml:space="preserve"> </w:t>
            </w:r>
            <w:r>
              <w:rPr>
                <w:spacing w:val="-5"/>
              </w:rPr>
              <w:t>中压，三级</w:t>
            </w:r>
          </w:p>
          <w:p>
            <w:pPr>
              <w:pStyle w:val="95"/>
              <w:spacing w:before="100" w:line="217" w:lineRule="auto"/>
              <w:ind w:left="112"/>
            </w:pPr>
            <w:r>
              <w:rPr>
                <w:spacing w:val="-1"/>
              </w:rPr>
              <w:t>③ 低压，三级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936" w:type="dxa"/>
            <w:vMerge w:val="continue"/>
            <w:tcBorders>
              <w:top w:val="nil"/>
              <w:left w:val="single" w:color="000000" w:sz="6" w:space="0"/>
              <w:bottom w:val="nil"/>
            </w:tcBorders>
            <w:vAlign w:val="top"/>
          </w:tcPr>
          <w:p>
            <w:pPr>
              <w:rPr>
                <w:rFonts w:ascii="Arial"/>
                <w:sz w:val="21"/>
              </w:rPr>
            </w:pPr>
          </w:p>
        </w:tc>
        <w:tc>
          <w:tcPr>
            <w:tcW w:w="985" w:type="dxa"/>
            <w:vMerge w:val="continue"/>
            <w:tcBorders>
              <w:top w:val="nil"/>
              <w:bottom w:val="nil"/>
            </w:tcBorders>
            <w:vAlign w:val="top"/>
          </w:tcPr>
          <w:p>
            <w:pPr>
              <w:rPr>
                <w:rFonts w:ascii="Arial"/>
                <w:sz w:val="21"/>
              </w:rPr>
            </w:pPr>
          </w:p>
        </w:tc>
        <w:tc>
          <w:tcPr>
            <w:tcW w:w="1295" w:type="dxa"/>
            <w:vMerge w:val="continue"/>
            <w:tcBorders>
              <w:top w:val="nil"/>
              <w:bottom w:val="nil"/>
            </w:tcBorders>
            <w:vAlign w:val="top"/>
          </w:tcPr>
          <w:p>
            <w:pPr>
              <w:rPr>
                <w:rFonts w:ascii="Arial"/>
                <w:sz w:val="21"/>
              </w:rPr>
            </w:pPr>
          </w:p>
        </w:tc>
        <w:tc>
          <w:tcPr>
            <w:tcW w:w="4380" w:type="dxa"/>
            <w:vMerge w:val="continue"/>
            <w:tcBorders>
              <w:top w:val="nil"/>
              <w:bottom w:val="nil"/>
            </w:tcBorders>
            <w:vAlign w:val="top"/>
          </w:tcPr>
          <w:p>
            <w:pPr>
              <w:rPr>
                <w:rFonts w:ascii="Arial"/>
                <w:sz w:val="21"/>
              </w:rPr>
            </w:pPr>
          </w:p>
        </w:tc>
        <w:tc>
          <w:tcPr>
            <w:tcW w:w="3269" w:type="dxa"/>
            <w:vAlign w:val="top"/>
          </w:tcPr>
          <w:p>
            <w:pPr>
              <w:pStyle w:val="95"/>
              <w:tabs>
                <w:tab w:val="left" w:pos="735"/>
              </w:tabs>
              <w:spacing w:before="67" w:line="271" w:lineRule="auto"/>
              <w:ind w:left="112" w:right="305" w:hanging="8"/>
            </w:pPr>
            <w:r>
              <w:rPr>
                <w:u w:val="single" w:color="auto"/>
              </w:rPr>
              <w:tab/>
            </w:r>
            <w:r>
              <w:rPr>
                <w:u w:val="single" w:color="auto"/>
              </w:rPr>
              <w:tab/>
            </w:r>
            <w:r>
              <w:rPr>
                <w:spacing w:val="-67"/>
              </w:rPr>
              <w:t xml:space="preserve"> </w:t>
            </w:r>
            <w:r>
              <w:rPr>
                <w:spacing w:val="-4"/>
              </w:rPr>
              <w:t>公斤/平方厘米的燃气管道、</w:t>
            </w:r>
            <w:r>
              <w:t xml:space="preserve"> </w:t>
            </w:r>
            <w:r>
              <w:rPr>
                <w:spacing w:val="-2"/>
              </w:rPr>
              <w:t>调压站</w:t>
            </w:r>
          </w:p>
        </w:tc>
        <w:tc>
          <w:tcPr>
            <w:tcW w:w="677" w:type="dxa"/>
            <w:vAlign w:val="top"/>
          </w:tcPr>
          <w:p>
            <w:pPr>
              <w:pStyle w:val="95"/>
              <w:spacing w:before="222" w:line="220" w:lineRule="auto"/>
              <w:ind w:left="165"/>
            </w:pPr>
            <w:r>
              <w:rPr>
                <w:spacing w:val="-3"/>
              </w:rPr>
              <w:t>数值</w:t>
            </w:r>
          </w:p>
        </w:tc>
        <w:tc>
          <w:tcPr>
            <w:tcW w:w="2408" w:type="dxa"/>
            <w:vAlign w:val="top"/>
          </w:tcPr>
          <w:p>
            <w:pPr>
              <w:pStyle w:val="95"/>
              <w:spacing w:before="67" w:line="217" w:lineRule="auto"/>
              <w:ind w:left="113"/>
            </w:pPr>
            <w:r>
              <w:rPr>
                <w:spacing w:val="-4"/>
              </w:rPr>
              <w:t>①</w:t>
            </w:r>
            <w:r>
              <w:rPr>
                <w:spacing w:val="15"/>
              </w:rPr>
              <w:t xml:space="preserve"> </w:t>
            </w:r>
            <w:r>
              <w:rPr>
                <w:spacing w:val="-4"/>
              </w:rPr>
              <w:t>2&lt;d，二级</w:t>
            </w:r>
          </w:p>
          <w:p>
            <w:pPr>
              <w:pStyle w:val="95"/>
              <w:spacing w:before="100" w:line="217" w:lineRule="auto"/>
              <w:ind w:left="112"/>
            </w:pPr>
            <w:r>
              <w:rPr>
                <w:spacing w:val="-1"/>
              </w:rPr>
              <w:t>② 0&lt;d≤2，三级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1" w:hRule="atLeast"/>
        </w:trPr>
        <w:tc>
          <w:tcPr>
            <w:tcW w:w="936" w:type="dxa"/>
            <w:vMerge w:val="continue"/>
            <w:tcBorders>
              <w:top w:val="nil"/>
              <w:left w:val="single" w:color="000000" w:sz="6" w:space="0"/>
              <w:bottom w:val="nil"/>
            </w:tcBorders>
            <w:vAlign w:val="top"/>
          </w:tcPr>
          <w:p>
            <w:pPr>
              <w:rPr>
                <w:rFonts w:ascii="Arial"/>
                <w:sz w:val="21"/>
              </w:rPr>
            </w:pPr>
          </w:p>
        </w:tc>
        <w:tc>
          <w:tcPr>
            <w:tcW w:w="985" w:type="dxa"/>
            <w:vMerge w:val="continue"/>
            <w:tcBorders>
              <w:top w:val="nil"/>
              <w:bottom w:val="nil"/>
            </w:tcBorders>
            <w:vAlign w:val="top"/>
          </w:tcPr>
          <w:p>
            <w:pPr>
              <w:rPr>
                <w:rFonts w:ascii="Arial"/>
                <w:sz w:val="21"/>
              </w:rPr>
            </w:pPr>
          </w:p>
        </w:tc>
        <w:tc>
          <w:tcPr>
            <w:tcW w:w="1295" w:type="dxa"/>
            <w:vMerge w:val="continue"/>
            <w:tcBorders>
              <w:top w:val="nil"/>
              <w:bottom w:val="nil"/>
            </w:tcBorders>
            <w:vAlign w:val="top"/>
          </w:tcPr>
          <w:p>
            <w:pPr>
              <w:rPr>
                <w:rFonts w:ascii="Arial"/>
                <w:sz w:val="21"/>
              </w:rPr>
            </w:pPr>
          </w:p>
        </w:tc>
        <w:tc>
          <w:tcPr>
            <w:tcW w:w="4380" w:type="dxa"/>
            <w:vMerge w:val="continue"/>
            <w:tcBorders>
              <w:top w:val="nil"/>
              <w:bottom w:val="nil"/>
            </w:tcBorders>
            <w:vAlign w:val="top"/>
          </w:tcPr>
          <w:p>
            <w:pPr>
              <w:rPr>
                <w:rFonts w:ascii="Arial"/>
                <w:sz w:val="21"/>
              </w:rPr>
            </w:pPr>
          </w:p>
        </w:tc>
        <w:tc>
          <w:tcPr>
            <w:tcW w:w="3269" w:type="dxa"/>
            <w:vAlign w:val="top"/>
          </w:tcPr>
          <w:p>
            <w:pPr>
              <w:spacing w:line="319" w:lineRule="auto"/>
              <w:rPr>
                <w:rFonts w:ascii="Arial"/>
                <w:sz w:val="21"/>
              </w:rPr>
            </w:pPr>
          </w:p>
          <w:p>
            <w:pPr>
              <w:pStyle w:val="95"/>
              <w:spacing w:before="59" w:line="219" w:lineRule="auto"/>
              <w:ind w:left="111"/>
            </w:pPr>
            <w:r>
              <w:rPr>
                <w:spacing w:val="-2"/>
              </w:rPr>
              <w:t>供热面积</w:t>
            </w:r>
            <w:r>
              <w:rPr>
                <w:spacing w:val="-2"/>
                <w:u w:val="single" w:color="auto"/>
              </w:rPr>
              <w:t xml:space="preserve">      </w:t>
            </w:r>
            <w:r>
              <w:rPr>
                <w:spacing w:val="-60"/>
              </w:rPr>
              <w:t xml:space="preserve"> </w:t>
            </w:r>
            <w:r>
              <w:rPr>
                <w:spacing w:val="-2"/>
              </w:rPr>
              <w:t>万平方米的热力工程</w:t>
            </w:r>
          </w:p>
        </w:tc>
        <w:tc>
          <w:tcPr>
            <w:tcW w:w="677" w:type="dxa"/>
            <w:vAlign w:val="top"/>
          </w:tcPr>
          <w:p>
            <w:pPr>
              <w:spacing w:line="319" w:lineRule="auto"/>
              <w:rPr>
                <w:rFonts w:ascii="Arial"/>
                <w:sz w:val="21"/>
              </w:rPr>
            </w:pPr>
          </w:p>
          <w:p>
            <w:pPr>
              <w:pStyle w:val="95"/>
              <w:spacing w:before="59" w:line="220" w:lineRule="auto"/>
              <w:ind w:left="165"/>
            </w:pPr>
            <w:r>
              <w:rPr>
                <w:spacing w:val="-3"/>
              </w:rPr>
              <w:t>数值</w:t>
            </w:r>
          </w:p>
        </w:tc>
        <w:tc>
          <w:tcPr>
            <w:tcW w:w="2408" w:type="dxa"/>
            <w:vAlign w:val="top"/>
          </w:tcPr>
          <w:p>
            <w:pPr>
              <w:pStyle w:val="95"/>
              <w:spacing w:before="67" w:line="217" w:lineRule="auto"/>
              <w:ind w:left="113"/>
            </w:pPr>
            <w:r>
              <w:rPr>
                <w:spacing w:val="-3"/>
              </w:rPr>
              <w:t>①</w:t>
            </w:r>
            <w:r>
              <w:rPr>
                <w:spacing w:val="23"/>
              </w:rPr>
              <w:t xml:space="preserve"> </w:t>
            </w:r>
            <w:r>
              <w:rPr>
                <w:spacing w:val="-3"/>
              </w:rPr>
              <w:t>150&lt;d,一级</w:t>
            </w:r>
          </w:p>
          <w:p>
            <w:pPr>
              <w:pStyle w:val="95"/>
              <w:spacing w:before="101" w:line="312" w:lineRule="exact"/>
              <w:ind w:left="112"/>
            </w:pPr>
            <w:r>
              <w:rPr>
                <w:spacing w:val="-1"/>
                <w:position w:val="10"/>
              </w:rPr>
              <w:t>② 50&lt;d≤150，二级</w:t>
            </w:r>
          </w:p>
          <w:p>
            <w:pPr>
              <w:pStyle w:val="95"/>
              <w:spacing w:line="217" w:lineRule="auto"/>
              <w:ind w:left="112"/>
            </w:pPr>
            <w:r>
              <w:rPr>
                <w:spacing w:val="-2"/>
              </w:rPr>
              <w:t>③ 0&lt;d≤50，三级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5" w:hRule="atLeast"/>
        </w:trPr>
        <w:tc>
          <w:tcPr>
            <w:tcW w:w="936" w:type="dxa"/>
            <w:vMerge w:val="continue"/>
            <w:tcBorders>
              <w:top w:val="nil"/>
              <w:left w:val="single" w:color="000000" w:sz="6" w:space="0"/>
            </w:tcBorders>
            <w:vAlign w:val="top"/>
          </w:tcPr>
          <w:p>
            <w:pPr>
              <w:rPr>
                <w:rFonts w:ascii="Arial"/>
                <w:sz w:val="21"/>
              </w:rPr>
            </w:pPr>
          </w:p>
        </w:tc>
        <w:tc>
          <w:tcPr>
            <w:tcW w:w="985" w:type="dxa"/>
            <w:vMerge w:val="continue"/>
            <w:tcBorders>
              <w:top w:val="nil"/>
            </w:tcBorders>
            <w:vAlign w:val="top"/>
          </w:tcPr>
          <w:p>
            <w:pPr>
              <w:rPr>
                <w:rFonts w:ascii="Arial"/>
                <w:sz w:val="21"/>
              </w:rPr>
            </w:pPr>
          </w:p>
        </w:tc>
        <w:tc>
          <w:tcPr>
            <w:tcW w:w="1295" w:type="dxa"/>
            <w:vMerge w:val="continue"/>
            <w:tcBorders>
              <w:top w:val="nil"/>
            </w:tcBorders>
            <w:vAlign w:val="top"/>
          </w:tcPr>
          <w:p>
            <w:pPr>
              <w:rPr>
                <w:rFonts w:ascii="Arial"/>
                <w:sz w:val="21"/>
              </w:rPr>
            </w:pPr>
          </w:p>
        </w:tc>
        <w:tc>
          <w:tcPr>
            <w:tcW w:w="4380" w:type="dxa"/>
            <w:vMerge w:val="continue"/>
            <w:tcBorders>
              <w:top w:val="nil"/>
            </w:tcBorders>
            <w:vAlign w:val="top"/>
          </w:tcPr>
          <w:p>
            <w:pPr>
              <w:rPr>
                <w:rFonts w:ascii="Arial"/>
                <w:sz w:val="21"/>
              </w:rPr>
            </w:pPr>
          </w:p>
        </w:tc>
        <w:tc>
          <w:tcPr>
            <w:tcW w:w="3269" w:type="dxa"/>
            <w:vAlign w:val="top"/>
          </w:tcPr>
          <w:p>
            <w:pPr>
              <w:pStyle w:val="95"/>
              <w:spacing w:before="223" w:line="220" w:lineRule="auto"/>
              <w:ind w:left="112"/>
            </w:pPr>
            <w:r>
              <w:rPr>
                <w:spacing w:val="-1"/>
              </w:rPr>
              <w:t>直径</w:t>
            </w:r>
            <w:r>
              <w:rPr>
                <w:spacing w:val="-1"/>
                <w:u w:val="single" w:color="auto"/>
              </w:rPr>
              <w:t xml:space="preserve">      </w:t>
            </w:r>
            <w:r>
              <w:rPr>
                <w:spacing w:val="-82"/>
              </w:rPr>
              <w:t xml:space="preserve"> </w:t>
            </w:r>
            <w:r>
              <w:rPr>
                <w:spacing w:val="-1"/>
              </w:rPr>
              <w:t>米的热力管道</w:t>
            </w:r>
          </w:p>
        </w:tc>
        <w:tc>
          <w:tcPr>
            <w:tcW w:w="677" w:type="dxa"/>
            <w:vAlign w:val="top"/>
          </w:tcPr>
          <w:p>
            <w:pPr>
              <w:pStyle w:val="95"/>
              <w:spacing w:before="223" w:line="220" w:lineRule="auto"/>
              <w:ind w:left="165"/>
            </w:pPr>
            <w:r>
              <w:rPr>
                <w:spacing w:val="-3"/>
              </w:rPr>
              <w:t>数值</w:t>
            </w:r>
          </w:p>
        </w:tc>
        <w:tc>
          <w:tcPr>
            <w:tcW w:w="2408" w:type="dxa"/>
            <w:vAlign w:val="top"/>
          </w:tcPr>
          <w:p>
            <w:pPr>
              <w:pStyle w:val="95"/>
              <w:spacing w:before="68" w:line="217" w:lineRule="auto"/>
              <w:ind w:left="113"/>
            </w:pPr>
            <w:r>
              <w:rPr>
                <w:spacing w:val="-2"/>
              </w:rPr>
              <w:t>① 0.2&lt;d，二级</w:t>
            </w:r>
          </w:p>
          <w:p>
            <w:pPr>
              <w:pStyle w:val="95"/>
              <w:spacing w:before="100" w:line="217" w:lineRule="auto"/>
              <w:ind w:left="112"/>
            </w:pPr>
            <w:r>
              <w:rPr>
                <w:spacing w:val="-1"/>
              </w:rPr>
              <w:t>② 0&lt;d≤0.2，三级</w:t>
            </w:r>
          </w:p>
        </w:tc>
      </w:tr>
    </w:tbl>
    <w:p>
      <w:pPr>
        <w:pStyle w:val="16"/>
        <w:spacing w:line="282" w:lineRule="auto"/>
      </w:pPr>
    </w:p>
    <w:p>
      <w:pPr>
        <w:pStyle w:val="16"/>
        <w:spacing w:line="282" w:lineRule="auto"/>
      </w:pPr>
    </w:p>
    <w:p>
      <w:pPr>
        <w:pStyle w:val="16"/>
        <w:spacing w:line="283" w:lineRule="auto"/>
      </w:pPr>
    </w:p>
    <w:p>
      <w:pPr>
        <w:pStyle w:val="16"/>
        <w:spacing w:before="69" w:line="328" w:lineRule="exact"/>
        <w:ind w:left="4054"/>
        <w:rPr>
          <w:sz w:val="24"/>
          <w:szCs w:val="24"/>
        </w:rPr>
      </w:pPr>
      <w:r>
        <w:rPr>
          <w:spacing w:val="-4"/>
          <w:position w:val="1"/>
          <w:sz w:val="24"/>
          <w:szCs w:val="24"/>
        </w:rPr>
        <w:t>26 /</w:t>
      </w:r>
      <w:r>
        <w:rPr>
          <w:spacing w:val="28"/>
          <w:w w:val="101"/>
          <w:position w:val="1"/>
          <w:sz w:val="24"/>
          <w:szCs w:val="24"/>
        </w:rPr>
        <w:t xml:space="preserve"> </w:t>
      </w:r>
      <w:r>
        <w:rPr>
          <w:spacing w:val="-4"/>
          <w:position w:val="1"/>
          <w:sz w:val="24"/>
          <w:szCs w:val="24"/>
        </w:rPr>
        <w:t>165</w:t>
      </w:r>
    </w:p>
    <w:p>
      <w:pPr>
        <w:spacing w:line="328" w:lineRule="exact"/>
        <w:rPr>
          <w:sz w:val="24"/>
          <w:szCs w:val="24"/>
        </w:rPr>
        <w:sectPr>
          <w:pgSz w:w="16839" w:h="11907"/>
          <w:pgMar w:top="400" w:right="1438" w:bottom="400" w:left="995" w:header="0" w:footer="0" w:gutter="0"/>
          <w:cols w:space="720" w:num="1"/>
        </w:sectPr>
      </w:pPr>
    </w:p>
    <w:p>
      <w:pPr>
        <w:spacing w:before="39"/>
      </w:pPr>
      <w:r>
        <mc:AlternateContent>
          <mc:Choice Requires="wps">
            <w:drawing>
              <wp:anchor distT="0" distB="0" distL="114300" distR="114300" simplePos="0" relativeHeight="251660288" behindDoc="0" locked="0" layoutInCell="0" allowOverlap="1">
                <wp:simplePos x="0" y="0"/>
                <wp:positionH relativeFrom="page">
                  <wp:posOffset>631825</wp:posOffset>
                </wp:positionH>
                <wp:positionV relativeFrom="page">
                  <wp:posOffset>6922135</wp:posOffset>
                </wp:positionV>
                <wp:extent cx="6292850" cy="6350"/>
                <wp:effectExtent l="0" t="0" r="0" b="0"/>
                <wp:wrapNone/>
                <wp:docPr id="8" name="任意多边形 8"/>
                <wp:cNvGraphicFramePr/>
                <a:graphic xmlns:a="http://schemas.openxmlformats.org/drawingml/2006/main">
                  <a:graphicData uri="http://schemas.microsoft.com/office/word/2010/wordprocessingShape">
                    <wps:wsp>
                      <wps:cNvSpPr/>
                      <wps:spPr>
                        <a:xfrm>
                          <a:off x="0" y="0"/>
                          <a:ext cx="6292850" cy="6350"/>
                        </a:xfrm>
                        <a:custGeom>
                          <a:avLst/>
                          <a:gdLst/>
                          <a:ahLst/>
                          <a:cxnLst/>
                          <a:pathLst>
                            <a:path w="9910" h="10">
                              <a:moveTo>
                                <a:pt x="5" y="5"/>
                              </a:moveTo>
                              <a:lnTo>
                                <a:pt x="4955" y="5"/>
                              </a:lnTo>
                              <a:moveTo>
                                <a:pt x="4955" y="5"/>
                              </a:moveTo>
                              <a:lnTo>
                                <a:pt x="9905" y="5"/>
                              </a:lnTo>
                            </a:path>
                          </a:pathLst>
                        </a:custGeom>
                        <a:noFill/>
                        <a:ln w="6350" cap="sq" cmpd="sng">
                          <a:solidFill>
                            <a:srgbClr val="000000"/>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49.75pt;margin-top:545.05pt;height:0.5pt;width:495.5pt;mso-position-horizontal-relative:page;mso-position-vertical-relative:page;z-index:251660288;mso-width-relative:page;mso-height-relative:page;" filled="f" stroked="t" coordsize="9910,10" o:allowincell="f" o:gfxdata="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FgAAAGRycy9QSwEC&#10;FAAUAAAACACHTuJA7oyCjtoAAAANAQAADwAAAAAAAAABACAAAAA4AAAAZHJzL2Rvd25yZXYueG1s&#10;UEsBAhQAFAAAAAgAh07iQIabavFSAgAA9AQAAA4AAAAAAAAAAQAgAAAAPwEAAGRycy9lMm9Eb2Mu&#10;eG1sUEsFBgAAAAAGAAYAWQEAAAMGAAAAAA==&#10;" path="m5,5l4955,5m4955,5l9905,5e">
                <v:fill on="f" focussize="0,0"/>
                <v:stroke weight="0.5pt" color="#000000" miterlimit="10" joinstyle="miter" endcap="square"/>
                <v:imagedata o:title=""/>
                <o:lock v:ext="edit" aspectratio="f"/>
              </v:shape>
            </w:pict>
          </mc:Fallback>
        </mc:AlternateContent>
      </w:r>
    </w:p>
    <w:p>
      <w:pPr>
        <w:spacing w:before="39"/>
      </w:pPr>
    </w:p>
    <w:p>
      <w:pPr>
        <w:spacing w:before="39"/>
      </w:pPr>
    </w:p>
    <w:p>
      <w:pPr>
        <w:spacing w:before="38"/>
      </w:pPr>
    </w:p>
    <w:p>
      <w:pPr>
        <w:spacing w:before="38"/>
      </w:pPr>
    </w:p>
    <w:tbl>
      <w:tblPr>
        <w:tblStyle w:val="96"/>
        <w:tblW w:w="13950" w:type="dxa"/>
        <w:tblInd w:w="45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6"/>
        <w:gridCol w:w="985"/>
        <w:gridCol w:w="1295"/>
        <w:gridCol w:w="4380"/>
        <w:gridCol w:w="3269"/>
        <w:gridCol w:w="677"/>
        <w:gridCol w:w="24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936" w:type="dxa"/>
            <w:vMerge w:val="restart"/>
            <w:tcBorders>
              <w:top w:val="nil"/>
              <w:left w:val="single" w:color="000000" w:sz="6" w:space="0"/>
              <w:bottom w:val="nil"/>
            </w:tcBorders>
            <w:vAlign w:val="top"/>
          </w:tcPr>
          <w:p>
            <w:pPr>
              <w:rPr>
                <w:rFonts w:ascii="Arial"/>
                <w:sz w:val="21"/>
              </w:rPr>
            </w:pPr>
          </w:p>
        </w:tc>
        <w:tc>
          <w:tcPr>
            <w:tcW w:w="985" w:type="dxa"/>
            <w:vMerge w:val="restart"/>
            <w:tcBorders>
              <w:top w:val="nil"/>
              <w:bottom w:val="nil"/>
            </w:tcBorders>
            <w:vAlign w:val="top"/>
          </w:tcPr>
          <w:p>
            <w:pPr>
              <w:rPr>
                <w:rFonts w:ascii="Arial"/>
                <w:sz w:val="21"/>
              </w:rPr>
            </w:pPr>
          </w:p>
        </w:tc>
        <w:tc>
          <w:tcPr>
            <w:tcW w:w="1295" w:type="dxa"/>
            <w:vMerge w:val="restart"/>
            <w:tcBorders>
              <w:top w:val="nil"/>
              <w:bottom w:val="nil"/>
            </w:tcBorders>
            <w:vAlign w:val="top"/>
          </w:tcPr>
          <w:p>
            <w:pPr>
              <w:rPr>
                <w:rFonts w:ascii="Arial"/>
                <w:sz w:val="21"/>
              </w:rPr>
            </w:pPr>
          </w:p>
        </w:tc>
        <w:tc>
          <w:tcPr>
            <w:tcW w:w="4380" w:type="dxa"/>
            <w:vMerge w:val="restart"/>
            <w:tcBorders>
              <w:top w:val="nil"/>
              <w:bottom w:val="nil"/>
            </w:tcBorders>
            <w:vAlign w:val="top"/>
          </w:tcPr>
          <w:p>
            <w:pPr>
              <w:pStyle w:val="95"/>
              <w:spacing w:before="64" w:line="220" w:lineRule="auto"/>
              <w:ind w:left="107"/>
            </w:pPr>
            <w:r>
              <w:rPr>
                <w:spacing w:val="-6"/>
              </w:rPr>
              <w:t>括轨道交通工程</w:t>
            </w:r>
            <w:r>
              <w:rPr>
                <w:spacing w:val="-2"/>
              </w:rPr>
              <w:t>）；</w:t>
            </w:r>
          </w:p>
          <w:p>
            <w:pPr>
              <w:pStyle w:val="95"/>
              <w:spacing w:before="97" w:line="270" w:lineRule="auto"/>
              <w:ind w:left="107" w:right="179" w:firstLine="4"/>
            </w:pPr>
            <w:r>
              <w:rPr>
                <w:spacing w:val="-1"/>
              </w:rPr>
              <w:t>（6）5000</w:t>
            </w:r>
            <w:r>
              <w:rPr>
                <w:spacing w:val="-33"/>
              </w:rPr>
              <w:t xml:space="preserve"> </w:t>
            </w:r>
            <w:r>
              <w:rPr>
                <w:spacing w:val="-1"/>
              </w:rPr>
              <w:t>平方米以下城市广场、地面停车场硬质铺</w:t>
            </w:r>
            <w:r>
              <w:t xml:space="preserve"> </w:t>
            </w:r>
            <w:r>
              <w:rPr>
                <w:spacing w:val="-13"/>
              </w:rPr>
              <w:t>装；</w:t>
            </w:r>
          </w:p>
          <w:p>
            <w:pPr>
              <w:pStyle w:val="95"/>
              <w:spacing w:before="96" w:line="220" w:lineRule="auto"/>
              <w:ind w:left="112"/>
            </w:pPr>
            <w:r>
              <w:rPr>
                <w:spacing w:val="-3"/>
              </w:rPr>
              <w:t>（7）单项合同额</w:t>
            </w:r>
            <w:r>
              <w:rPr>
                <w:spacing w:val="-22"/>
              </w:rPr>
              <w:t xml:space="preserve"> </w:t>
            </w:r>
            <w:r>
              <w:rPr>
                <w:spacing w:val="-3"/>
              </w:rPr>
              <w:t>2500</w:t>
            </w:r>
            <w:r>
              <w:rPr>
                <w:spacing w:val="-32"/>
              </w:rPr>
              <w:t xml:space="preserve"> </w:t>
            </w:r>
            <w:r>
              <w:rPr>
                <w:spacing w:val="-3"/>
              </w:rPr>
              <w:t>万元以下的市政综合工程。</w:t>
            </w:r>
          </w:p>
        </w:tc>
        <w:tc>
          <w:tcPr>
            <w:tcW w:w="3269" w:type="dxa"/>
            <w:tcBorders>
              <w:top w:val="nil"/>
            </w:tcBorders>
            <w:vAlign w:val="top"/>
          </w:tcPr>
          <w:p>
            <w:pPr>
              <w:pStyle w:val="95"/>
              <w:spacing w:before="64" w:line="270" w:lineRule="auto"/>
              <w:ind w:left="111" w:right="188"/>
            </w:pPr>
            <w:r>
              <w:rPr>
                <w:spacing w:val="-2"/>
              </w:rPr>
              <w:t>单项合同额</w:t>
            </w:r>
            <w:r>
              <w:rPr>
                <w:spacing w:val="-2"/>
                <w:u w:val="single" w:color="auto"/>
              </w:rPr>
              <w:t xml:space="preserve">       </w:t>
            </w:r>
            <w:r>
              <w:rPr>
                <w:spacing w:val="-59"/>
              </w:rPr>
              <w:t xml:space="preserve"> </w:t>
            </w:r>
            <w:r>
              <w:rPr>
                <w:spacing w:val="-2"/>
              </w:rPr>
              <w:t>万元的城市生活垃</w:t>
            </w:r>
            <w:r>
              <w:t xml:space="preserve"> </w:t>
            </w:r>
            <w:r>
              <w:rPr>
                <w:spacing w:val="-2"/>
              </w:rPr>
              <w:t>圾处理工程</w:t>
            </w:r>
          </w:p>
        </w:tc>
        <w:tc>
          <w:tcPr>
            <w:tcW w:w="677" w:type="dxa"/>
            <w:tcBorders>
              <w:top w:val="nil"/>
            </w:tcBorders>
            <w:vAlign w:val="top"/>
          </w:tcPr>
          <w:p>
            <w:pPr>
              <w:pStyle w:val="95"/>
              <w:spacing w:before="219" w:line="220" w:lineRule="auto"/>
              <w:ind w:left="165"/>
            </w:pPr>
            <w:r>
              <w:rPr>
                <w:spacing w:val="-3"/>
              </w:rPr>
              <w:t>数值</w:t>
            </w:r>
          </w:p>
        </w:tc>
        <w:tc>
          <w:tcPr>
            <w:tcW w:w="2408" w:type="dxa"/>
            <w:tcBorders>
              <w:top w:val="nil"/>
            </w:tcBorders>
            <w:vAlign w:val="top"/>
          </w:tcPr>
          <w:p>
            <w:pPr>
              <w:pStyle w:val="95"/>
              <w:spacing w:before="64" w:line="217" w:lineRule="auto"/>
              <w:ind w:left="113"/>
            </w:pPr>
            <w:r>
              <w:rPr>
                <w:spacing w:val="-1"/>
              </w:rPr>
              <w:t>① 2500&lt;d，二级</w:t>
            </w:r>
          </w:p>
          <w:p>
            <w:pPr>
              <w:pStyle w:val="95"/>
              <w:spacing w:before="100" w:line="217" w:lineRule="auto"/>
              <w:ind w:left="112"/>
            </w:pPr>
            <w:r>
              <w:rPr>
                <w:spacing w:val="-1"/>
              </w:rPr>
              <w:t>② 0&lt;d≤2500，三级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936" w:type="dxa"/>
            <w:vMerge w:val="continue"/>
            <w:tcBorders>
              <w:top w:val="nil"/>
              <w:left w:val="single" w:color="000000" w:sz="6" w:space="0"/>
              <w:bottom w:val="nil"/>
            </w:tcBorders>
            <w:vAlign w:val="top"/>
          </w:tcPr>
          <w:p>
            <w:pPr>
              <w:rPr>
                <w:rFonts w:ascii="Arial"/>
                <w:sz w:val="21"/>
              </w:rPr>
            </w:pPr>
          </w:p>
        </w:tc>
        <w:tc>
          <w:tcPr>
            <w:tcW w:w="985" w:type="dxa"/>
            <w:vMerge w:val="continue"/>
            <w:tcBorders>
              <w:top w:val="nil"/>
              <w:bottom w:val="nil"/>
            </w:tcBorders>
            <w:vAlign w:val="top"/>
          </w:tcPr>
          <w:p>
            <w:pPr>
              <w:rPr>
                <w:rFonts w:ascii="Arial"/>
                <w:sz w:val="21"/>
              </w:rPr>
            </w:pPr>
          </w:p>
        </w:tc>
        <w:tc>
          <w:tcPr>
            <w:tcW w:w="1295" w:type="dxa"/>
            <w:vMerge w:val="continue"/>
            <w:tcBorders>
              <w:top w:val="nil"/>
              <w:bottom w:val="nil"/>
            </w:tcBorders>
            <w:vAlign w:val="top"/>
          </w:tcPr>
          <w:p>
            <w:pPr>
              <w:rPr>
                <w:rFonts w:ascii="Arial"/>
                <w:sz w:val="21"/>
              </w:rPr>
            </w:pPr>
          </w:p>
        </w:tc>
        <w:tc>
          <w:tcPr>
            <w:tcW w:w="4380" w:type="dxa"/>
            <w:vMerge w:val="continue"/>
            <w:tcBorders>
              <w:top w:val="nil"/>
              <w:bottom w:val="nil"/>
            </w:tcBorders>
            <w:vAlign w:val="top"/>
          </w:tcPr>
          <w:p>
            <w:pPr>
              <w:rPr>
                <w:rFonts w:ascii="Arial"/>
                <w:sz w:val="21"/>
              </w:rPr>
            </w:pPr>
          </w:p>
        </w:tc>
        <w:tc>
          <w:tcPr>
            <w:tcW w:w="3269" w:type="dxa"/>
            <w:vAlign w:val="top"/>
          </w:tcPr>
          <w:p>
            <w:pPr>
              <w:pStyle w:val="95"/>
              <w:spacing w:before="64" w:line="270" w:lineRule="auto"/>
              <w:ind w:left="114" w:right="279" w:firstLine="3"/>
            </w:pPr>
            <w:r>
              <w:rPr>
                <w:spacing w:val="-2"/>
              </w:rPr>
              <w:t>断面</w:t>
            </w:r>
            <w:r>
              <w:rPr>
                <w:spacing w:val="-2"/>
                <w:u w:val="single" w:color="auto"/>
              </w:rPr>
              <w:t xml:space="preserve">      </w:t>
            </w:r>
            <w:r>
              <w:rPr>
                <w:spacing w:val="-67"/>
              </w:rPr>
              <w:t xml:space="preserve"> </w:t>
            </w:r>
            <w:r>
              <w:rPr>
                <w:spacing w:val="-2"/>
              </w:rPr>
              <w:t>平方米的隧道工程和地下</w:t>
            </w:r>
            <w:r>
              <w:t xml:space="preserve"> </w:t>
            </w:r>
            <w:r>
              <w:rPr>
                <w:spacing w:val="-2"/>
              </w:rPr>
              <w:t>交通工程</w:t>
            </w:r>
          </w:p>
        </w:tc>
        <w:tc>
          <w:tcPr>
            <w:tcW w:w="677" w:type="dxa"/>
            <w:vAlign w:val="top"/>
          </w:tcPr>
          <w:p>
            <w:pPr>
              <w:pStyle w:val="95"/>
              <w:spacing w:before="219" w:line="220" w:lineRule="auto"/>
              <w:ind w:left="165"/>
            </w:pPr>
            <w:r>
              <w:rPr>
                <w:spacing w:val="-3"/>
              </w:rPr>
              <w:t>数值</w:t>
            </w:r>
          </w:p>
        </w:tc>
        <w:tc>
          <w:tcPr>
            <w:tcW w:w="2408" w:type="dxa"/>
            <w:vAlign w:val="top"/>
          </w:tcPr>
          <w:p>
            <w:pPr>
              <w:pStyle w:val="95"/>
              <w:spacing w:before="64" w:line="217" w:lineRule="auto"/>
              <w:ind w:left="113"/>
            </w:pPr>
            <w:r>
              <w:rPr>
                <w:spacing w:val="-3"/>
              </w:rPr>
              <w:t>①</w:t>
            </w:r>
            <w:r>
              <w:rPr>
                <w:spacing w:val="12"/>
              </w:rPr>
              <w:t xml:space="preserve"> </w:t>
            </w:r>
            <w:r>
              <w:rPr>
                <w:spacing w:val="-3"/>
              </w:rPr>
              <w:t>25&lt;d，二级</w:t>
            </w:r>
          </w:p>
          <w:p>
            <w:pPr>
              <w:pStyle w:val="95"/>
              <w:spacing w:before="100" w:line="217" w:lineRule="auto"/>
              <w:ind w:left="112"/>
            </w:pPr>
            <w:r>
              <w:rPr>
                <w:spacing w:val="-2"/>
              </w:rPr>
              <w:t>② 0&lt;d≤25，三级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trPr>
        <w:tc>
          <w:tcPr>
            <w:tcW w:w="936" w:type="dxa"/>
            <w:vMerge w:val="continue"/>
            <w:tcBorders>
              <w:top w:val="nil"/>
              <w:left w:val="single" w:color="000000" w:sz="6" w:space="0"/>
              <w:bottom w:val="nil"/>
            </w:tcBorders>
            <w:vAlign w:val="top"/>
          </w:tcPr>
          <w:p>
            <w:pPr>
              <w:rPr>
                <w:rFonts w:ascii="Arial"/>
                <w:sz w:val="21"/>
              </w:rPr>
            </w:pPr>
          </w:p>
        </w:tc>
        <w:tc>
          <w:tcPr>
            <w:tcW w:w="985" w:type="dxa"/>
            <w:vMerge w:val="continue"/>
            <w:tcBorders>
              <w:top w:val="nil"/>
              <w:bottom w:val="nil"/>
            </w:tcBorders>
            <w:vAlign w:val="top"/>
          </w:tcPr>
          <w:p>
            <w:pPr>
              <w:rPr>
                <w:rFonts w:ascii="Arial"/>
                <w:sz w:val="21"/>
              </w:rPr>
            </w:pPr>
          </w:p>
        </w:tc>
        <w:tc>
          <w:tcPr>
            <w:tcW w:w="1295" w:type="dxa"/>
            <w:vMerge w:val="continue"/>
            <w:tcBorders>
              <w:top w:val="nil"/>
              <w:bottom w:val="nil"/>
            </w:tcBorders>
            <w:vAlign w:val="top"/>
          </w:tcPr>
          <w:p>
            <w:pPr>
              <w:rPr>
                <w:rFonts w:ascii="Arial"/>
                <w:sz w:val="21"/>
              </w:rPr>
            </w:pPr>
          </w:p>
        </w:tc>
        <w:tc>
          <w:tcPr>
            <w:tcW w:w="4380" w:type="dxa"/>
            <w:vMerge w:val="continue"/>
            <w:tcBorders>
              <w:top w:val="nil"/>
              <w:bottom w:val="nil"/>
            </w:tcBorders>
            <w:vAlign w:val="top"/>
          </w:tcPr>
          <w:p>
            <w:pPr>
              <w:rPr>
                <w:rFonts w:ascii="Arial"/>
                <w:sz w:val="21"/>
              </w:rPr>
            </w:pPr>
          </w:p>
        </w:tc>
        <w:tc>
          <w:tcPr>
            <w:tcW w:w="3269" w:type="dxa"/>
            <w:tcBorders>
              <w:bottom w:val="single" w:color="000000" w:sz="4" w:space="0"/>
            </w:tcBorders>
            <w:vAlign w:val="top"/>
          </w:tcPr>
          <w:p>
            <w:pPr>
              <w:pStyle w:val="95"/>
              <w:spacing w:before="65" w:line="270" w:lineRule="auto"/>
              <w:ind w:left="110" w:right="188" w:firstLine="2"/>
            </w:pPr>
            <w:r>
              <w:rPr>
                <w:spacing w:val="-2"/>
              </w:rPr>
              <w:t>单项合同额</w:t>
            </w:r>
            <w:r>
              <w:rPr>
                <w:spacing w:val="-2"/>
                <w:u w:val="single" w:color="auto"/>
              </w:rPr>
              <w:t xml:space="preserve">       </w:t>
            </w:r>
            <w:r>
              <w:rPr>
                <w:spacing w:val="-59"/>
              </w:rPr>
              <w:t xml:space="preserve"> </w:t>
            </w:r>
            <w:r>
              <w:rPr>
                <w:spacing w:val="-2"/>
              </w:rPr>
              <w:t>万元的地下交通工</w:t>
            </w:r>
            <w:r>
              <w:t xml:space="preserve"> 程</w:t>
            </w:r>
          </w:p>
        </w:tc>
        <w:tc>
          <w:tcPr>
            <w:tcW w:w="677" w:type="dxa"/>
            <w:tcBorders>
              <w:bottom w:val="single" w:color="000000" w:sz="4" w:space="0"/>
            </w:tcBorders>
            <w:vAlign w:val="top"/>
          </w:tcPr>
          <w:p>
            <w:pPr>
              <w:pStyle w:val="95"/>
              <w:spacing w:before="220" w:line="220" w:lineRule="auto"/>
              <w:ind w:left="165"/>
            </w:pPr>
            <w:r>
              <w:rPr>
                <w:spacing w:val="-3"/>
              </w:rPr>
              <w:t>数值</w:t>
            </w:r>
          </w:p>
        </w:tc>
        <w:tc>
          <w:tcPr>
            <w:tcW w:w="2408" w:type="dxa"/>
            <w:tcBorders>
              <w:bottom w:val="single" w:color="000000" w:sz="4" w:space="0"/>
            </w:tcBorders>
            <w:vAlign w:val="top"/>
          </w:tcPr>
          <w:p>
            <w:pPr>
              <w:pStyle w:val="95"/>
              <w:spacing w:before="65" w:line="217" w:lineRule="auto"/>
              <w:ind w:left="113"/>
            </w:pPr>
            <w:r>
              <w:rPr>
                <w:spacing w:val="-1"/>
              </w:rPr>
              <w:t>① 2000&lt;d，二级</w:t>
            </w:r>
          </w:p>
          <w:p>
            <w:pPr>
              <w:pStyle w:val="95"/>
              <w:spacing w:before="100" w:line="217" w:lineRule="auto"/>
              <w:ind w:left="112"/>
            </w:pPr>
            <w:r>
              <w:rPr>
                <w:spacing w:val="-1"/>
              </w:rPr>
              <w:t>② 0&lt;d≤2000，三级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3" w:hRule="atLeast"/>
        </w:trPr>
        <w:tc>
          <w:tcPr>
            <w:tcW w:w="936" w:type="dxa"/>
            <w:vMerge w:val="continue"/>
            <w:tcBorders>
              <w:top w:val="nil"/>
              <w:left w:val="single" w:color="000000" w:sz="6" w:space="0"/>
              <w:bottom w:val="nil"/>
            </w:tcBorders>
            <w:vAlign w:val="top"/>
          </w:tcPr>
          <w:p>
            <w:pPr>
              <w:rPr>
                <w:rFonts w:ascii="Arial"/>
                <w:sz w:val="21"/>
              </w:rPr>
            </w:pPr>
          </w:p>
        </w:tc>
        <w:tc>
          <w:tcPr>
            <w:tcW w:w="985" w:type="dxa"/>
            <w:vMerge w:val="continue"/>
            <w:tcBorders>
              <w:top w:val="nil"/>
              <w:bottom w:val="nil"/>
            </w:tcBorders>
            <w:vAlign w:val="top"/>
          </w:tcPr>
          <w:p>
            <w:pPr>
              <w:rPr>
                <w:rFonts w:ascii="Arial"/>
                <w:sz w:val="21"/>
              </w:rPr>
            </w:pPr>
          </w:p>
        </w:tc>
        <w:tc>
          <w:tcPr>
            <w:tcW w:w="1295" w:type="dxa"/>
            <w:vMerge w:val="continue"/>
            <w:tcBorders>
              <w:top w:val="nil"/>
              <w:bottom w:val="nil"/>
            </w:tcBorders>
            <w:vAlign w:val="top"/>
          </w:tcPr>
          <w:p>
            <w:pPr>
              <w:rPr>
                <w:rFonts w:ascii="Arial"/>
                <w:sz w:val="21"/>
              </w:rPr>
            </w:pPr>
          </w:p>
        </w:tc>
        <w:tc>
          <w:tcPr>
            <w:tcW w:w="4380" w:type="dxa"/>
            <w:vMerge w:val="continue"/>
            <w:tcBorders>
              <w:top w:val="nil"/>
              <w:bottom w:val="nil"/>
            </w:tcBorders>
            <w:vAlign w:val="top"/>
          </w:tcPr>
          <w:p>
            <w:pPr>
              <w:rPr>
                <w:rFonts w:ascii="Arial"/>
                <w:sz w:val="21"/>
              </w:rPr>
            </w:pPr>
          </w:p>
        </w:tc>
        <w:tc>
          <w:tcPr>
            <w:tcW w:w="3269" w:type="dxa"/>
            <w:tcBorders>
              <w:top w:val="single" w:color="000000" w:sz="4" w:space="0"/>
            </w:tcBorders>
            <w:vAlign w:val="top"/>
          </w:tcPr>
          <w:p>
            <w:pPr>
              <w:pStyle w:val="95"/>
              <w:spacing w:before="215" w:line="220" w:lineRule="auto"/>
              <w:ind w:left="114"/>
            </w:pPr>
            <w:r>
              <w:rPr>
                <w:spacing w:val="-1"/>
              </w:rPr>
              <w:t>是否包含轨道交通工程</w:t>
            </w:r>
          </w:p>
        </w:tc>
        <w:tc>
          <w:tcPr>
            <w:tcW w:w="677" w:type="dxa"/>
            <w:tcBorders>
              <w:top w:val="single" w:color="000000" w:sz="4" w:space="0"/>
            </w:tcBorders>
            <w:vAlign w:val="top"/>
          </w:tcPr>
          <w:p>
            <w:pPr>
              <w:pStyle w:val="95"/>
              <w:spacing w:before="215" w:line="220" w:lineRule="auto"/>
              <w:ind w:left="165"/>
            </w:pPr>
            <w:r>
              <w:rPr>
                <w:spacing w:val="-3"/>
              </w:rPr>
              <w:t>数值</w:t>
            </w:r>
          </w:p>
        </w:tc>
        <w:tc>
          <w:tcPr>
            <w:tcW w:w="2408" w:type="dxa"/>
            <w:tcBorders>
              <w:top w:val="single" w:color="000000" w:sz="4" w:space="0"/>
            </w:tcBorders>
            <w:vAlign w:val="top"/>
          </w:tcPr>
          <w:p>
            <w:pPr>
              <w:pStyle w:val="95"/>
              <w:spacing w:before="60" w:line="312" w:lineRule="exact"/>
              <w:ind w:left="113"/>
            </w:pPr>
            <w:r>
              <w:rPr>
                <w:spacing w:val="-5"/>
                <w:position w:val="10"/>
              </w:rPr>
              <w:t>① 包含，二级；</w:t>
            </w:r>
          </w:p>
          <w:p>
            <w:pPr>
              <w:pStyle w:val="95"/>
              <w:spacing w:line="217" w:lineRule="auto"/>
              <w:ind w:left="112"/>
            </w:pPr>
            <w:r>
              <w:rPr>
                <w:spacing w:val="-1"/>
              </w:rPr>
              <w:t>② 不包含，三级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1" w:hRule="atLeast"/>
        </w:trPr>
        <w:tc>
          <w:tcPr>
            <w:tcW w:w="936" w:type="dxa"/>
            <w:vMerge w:val="continue"/>
            <w:tcBorders>
              <w:top w:val="nil"/>
              <w:left w:val="single" w:color="000000" w:sz="6" w:space="0"/>
              <w:bottom w:val="nil"/>
            </w:tcBorders>
            <w:vAlign w:val="top"/>
          </w:tcPr>
          <w:p>
            <w:pPr>
              <w:rPr>
                <w:rFonts w:ascii="Arial"/>
                <w:sz w:val="21"/>
              </w:rPr>
            </w:pPr>
          </w:p>
        </w:tc>
        <w:tc>
          <w:tcPr>
            <w:tcW w:w="985" w:type="dxa"/>
            <w:vMerge w:val="continue"/>
            <w:tcBorders>
              <w:top w:val="nil"/>
              <w:bottom w:val="nil"/>
            </w:tcBorders>
            <w:vAlign w:val="top"/>
          </w:tcPr>
          <w:p>
            <w:pPr>
              <w:rPr>
                <w:rFonts w:ascii="Arial"/>
                <w:sz w:val="21"/>
              </w:rPr>
            </w:pPr>
          </w:p>
        </w:tc>
        <w:tc>
          <w:tcPr>
            <w:tcW w:w="1295" w:type="dxa"/>
            <w:vMerge w:val="continue"/>
            <w:tcBorders>
              <w:top w:val="nil"/>
              <w:bottom w:val="nil"/>
            </w:tcBorders>
            <w:vAlign w:val="top"/>
          </w:tcPr>
          <w:p>
            <w:pPr>
              <w:rPr>
                <w:rFonts w:ascii="Arial"/>
                <w:sz w:val="21"/>
              </w:rPr>
            </w:pPr>
          </w:p>
        </w:tc>
        <w:tc>
          <w:tcPr>
            <w:tcW w:w="4380" w:type="dxa"/>
            <w:vMerge w:val="continue"/>
            <w:tcBorders>
              <w:top w:val="nil"/>
              <w:bottom w:val="nil"/>
            </w:tcBorders>
            <w:vAlign w:val="top"/>
          </w:tcPr>
          <w:p>
            <w:pPr>
              <w:rPr>
                <w:rFonts w:ascii="Arial"/>
                <w:sz w:val="21"/>
              </w:rPr>
            </w:pPr>
          </w:p>
        </w:tc>
        <w:tc>
          <w:tcPr>
            <w:tcW w:w="3269" w:type="dxa"/>
            <w:vAlign w:val="top"/>
          </w:tcPr>
          <w:p>
            <w:pPr>
              <w:pStyle w:val="95"/>
              <w:tabs>
                <w:tab w:val="left" w:pos="735"/>
              </w:tabs>
              <w:spacing w:before="68" w:line="270" w:lineRule="auto"/>
              <w:ind w:left="110" w:right="188" w:hanging="6"/>
            </w:pPr>
            <w:r>
              <w:rPr>
                <w:u w:val="single" w:color="auto"/>
              </w:rPr>
              <w:tab/>
            </w:r>
            <w:r>
              <w:rPr>
                <w:u w:val="single" w:color="auto"/>
              </w:rPr>
              <w:tab/>
            </w:r>
            <w:r>
              <w:rPr>
                <w:spacing w:val="-79"/>
              </w:rPr>
              <w:t xml:space="preserve"> </w:t>
            </w:r>
            <w:r>
              <w:rPr>
                <w:spacing w:val="-1"/>
              </w:rPr>
              <w:t>平方米的城市广场、地面停车</w:t>
            </w:r>
            <w:r>
              <w:t xml:space="preserve"> </w:t>
            </w:r>
            <w:r>
              <w:rPr>
                <w:spacing w:val="-2"/>
              </w:rPr>
              <w:t>场硬质铺装</w:t>
            </w:r>
          </w:p>
        </w:tc>
        <w:tc>
          <w:tcPr>
            <w:tcW w:w="677" w:type="dxa"/>
            <w:vAlign w:val="top"/>
          </w:tcPr>
          <w:p>
            <w:pPr>
              <w:pStyle w:val="95"/>
              <w:spacing w:before="223" w:line="220" w:lineRule="auto"/>
              <w:ind w:left="165"/>
            </w:pPr>
            <w:r>
              <w:rPr>
                <w:spacing w:val="-3"/>
              </w:rPr>
              <w:t>数值</w:t>
            </w:r>
          </w:p>
        </w:tc>
        <w:tc>
          <w:tcPr>
            <w:tcW w:w="2408" w:type="dxa"/>
            <w:vAlign w:val="top"/>
          </w:tcPr>
          <w:p>
            <w:pPr>
              <w:pStyle w:val="95"/>
              <w:spacing w:before="67" w:line="217" w:lineRule="auto"/>
              <w:ind w:left="113"/>
            </w:pPr>
            <w:r>
              <w:rPr>
                <w:spacing w:val="-2"/>
              </w:rPr>
              <w:t>①</w:t>
            </w:r>
            <w:r>
              <w:rPr>
                <w:spacing w:val="15"/>
              </w:rPr>
              <w:t xml:space="preserve"> </w:t>
            </w:r>
            <w:r>
              <w:rPr>
                <w:spacing w:val="-2"/>
              </w:rPr>
              <w:t>5000&lt;d,一级</w:t>
            </w:r>
          </w:p>
          <w:p>
            <w:pPr>
              <w:pStyle w:val="95"/>
              <w:spacing w:before="101" w:line="217" w:lineRule="auto"/>
              <w:ind w:left="112"/>
            </w:pPr>
            <w:r>
              <w:rPr>
                <w:spacing w:val="-1"/>
              </w:rPr>
              <w:t>② 0&lt;d≤5000，三级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0" w:hRule="atLeast"/>
        </w:trPr>
        <w:tc>
          <w:tcPr>
            <w:tcW w:w="936" w:type="dxa"/>
            <w:vMerge w:val="continue"/>
            <w:tcBorders>
              <w:top w:val="nil"/>
              <w:left w:val="single" w:color="000000" w:sz="6" w:space="0"/>
              <w:bottom w:val="nil"/>
            </w:tcBorders>
            <w:vAlign w:val="top"/>
          </w:tcPr>
          <w:p>
            <w:pPr>
              <w:rPr>
                <w:rFonts w:ascii="Arial"/>
                <w:sz w:val="21"/>
              </w:rPr>
            </w:pPr>
          </w:p>
        </w:tc>
        <w:tc>
          <w:tcPr>
            <w:tcW w:w="985" w:type="dxa"/>
            <w:vMerge w:val="continue"/>
            <w:tcBorders>
              <w:top w:val="nil"/>
            </w:tcBorders>
            <w:vAlign w:val="top"/>
          </w:tcPr>
          <w:p>
            <w:pPr>
              <w:rPr>
                <w:rFonts w:ascii="Arial"/>
                <w:sz w:val="21"/>
              </w:rPr>
            </w:pPr>
          </w:p>
        </w:tc>
        <w:tc>
          <w:tcPr>
            <w:tcW w:w="1295" w:type="dxa"/>
            <w:vMerge w:val="continue"/>
            <w:tcBorders>
              <w:top w:val="nil"/>
            </w:tcBorders>
            <w:vAlign w:val="top"/>
          </w:tcPr>
          <w:p>
            <w:pPr>
              <w:rPr>
                <w:rFonts w:ascii="Arial"/>
                <w:sz w:val="21"/>
              </w:rPr>
            </w:pPr>
          </w:p>
        </w:tc>
        <w:tc>
          <w:tcPr>
            <w:tcW w:w="4380" w:type="dxa"/>
            <w:vMerge w:val="continue"/>
            <w:tcBorders>
              <w:top w:val="nil"/>
            </w:tcBorders>
            <w:vAlign w:val="top"/>
          </w:tcPr>
          <w:p>
            <w:pPr>
              <w:rPr>
                <w:rFonts w:ascii="Arial"/>
                <w:sz w:val="21"/>
              </w:rPr>
            </w:pPr>
          </w:p>
        </w:tc>
        <w:tc>
          <w:tcPr>
            <w:tcW w:w="3269" w:type="dxa"/>
            <w:vAlign w:val="top"/>
          </w:tcPr>
          <w:p>
            <w:pPr>
              <w:pStyle w:val="95"/>
              <w:spacing w:before="222" w:line="270" w:lineRule="auto"/>
              <w:ind w:left="110" w:right="279" w:firstLine="2"/>
            </w:pPr>
            <w:r>
              <w:rPr>
                <w:spacing w:val="-2"/>
              </w:rPr>
              <w:t>单项合同额</w:t>
            </w:r>
            <w:r>
              <w:rPr>
                <w:spacing w:val="-2"/>
                <w:u w:val="single" w:color="auto"/>
              </w:rPr>
              <w:t xml:space="preserve">      </w:t>
            </w:r>
            <w:r>
              <w:rPr>
                <w:spacing w:val="-62"/>
              </w:rPr>
              <w:t xml:space="preserve"> </w:t>
            </w:r>
            <w:r>
              <w:rPr>
                <w:spacing w:val="-2"/>
              </w:rPr>
              <w:t>万元的市政综合工</w:t>
            </w:r>
            <w:r>
              <w:t xml:space="preserve"> 程</w:t>
            </w:r>
          </w:p>
        </w:tc>
        <w:tc>
          <w:tcPr>
            <w:tcW w:w="677" w:type="dxa"/>
            <w:vAlign w:val="top"/>
          </w:tcPr>
          <w:p>
            <w:pPr>
              <w:spacing w:line="316" w:lineRule="auto"/>
              <w:rPr>
                <w:rFonts w:ascii="Arial"/>
                <w:sz w:val="21"/>
              </w:rPr>
            </w:pPr>
          </w:p>
          <w:p>
            <w:pPr>
              <w:pStyle w:val="95"/>
              <w:spacing w:before="59" w:line="220" w:lineRule="auto"/>
              <w:ind w:left="165"/>
            </w:pPr>
            <w:r>
              <w:rPr>
                <w:spacing w:val="-3"/>
              </w:rPr>
              <w:t>数值</w:t>
            </w:r>
          </w:p>
        </w:tc>
        <w:tc>
          <w:tcPr>
            <w:tcW w:w="2408" w:type="dxa"/>
            <w:vAlign w:val="top"/>
          </w:tcPr>
          <w:p>
            <w:pPr>
              <w:pStyle w:val="95"/>
              <w:spacing w:before="65" w:line="217" w:lineRule="auto"/>
              <w:ind w:left="113"/>
            </w:pPr>
            <w:r>
              <w:rPr>
                <w:spacing w:val="-1"/>
              </w:rPr>
              <w:t>① 4000&lt;d,一级</w:t>
            </w:r>
          </w:p>
          <w:p>
            <w:pPr>
              <w:pStyle w:val="95"/>
              <w:spacing w:before="100" w:line="269" w:lineRule="auto"/>
              <w:ind w:left="112" w:right="413"/>
            </w:pPr>
            <w:r>
              <w:rPr>
                <w:spacing w:val="-1"/>
              </w:rPr>
              <w:t>② 2500&lt;d≤4000，二级</w:t>
            </w:r>
            <w:r>
              <w:rPr>
                <w:spacing w:val="1"/>
              </w:rPr>
              <w:t xml:space="preserve"> </w:t>
            </w:r>
            <w:r>
              <w:rPr>
                <w:spacing w:val="-1"/>
              </w:rPr>
              <w:t>③ 0&lt;d≤2500，三级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0" w:hRule="atLeast"/>
        </w:trPr>
        <w:tc>
          <w:tcPr>
            <w:tcW w:w="936" w:type="dxa"/>
            <w:vMerge w:val="continue"/>
            <w:tcBorders>
              <w:top w:val="nil"/>
              <w:left w:val="single" w:color="000000" w:sz="6" w:space="0"/>
              <w:bottom w:val="nil"/>
            </w:tcBorders>
            <w:vAlign w:val="top"/>
          </w:tcPr>
          <w:p>
            <w:pPr>
              <w:rPr>
                <w:rFonts w:ascii="Arial"/>
                <w:sz w:val="21"/>
              </w:rPr>
            </w:pPr>
          </w:p>
        </w:tc>
        <w:tc>
          <w:tcPr>
            <w:tcW w:w="985"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95"/>
              <w:spacing w:before="58" w:line="220" w:lineRule="auto"/>
              <w:ind w:left="134"/>
            </w:pPr>
            <w:r>
              <w:rPr>
                <w:spacing w:val="-5"/>
              </w:rPr>
              <w:t>（二）专</w:t>
            </w:r>
          </w:p>
          <w:p>
            <w:pPr>
              <w:pStyle w:val="95"/>
              <w:spacing w:before="96" w:line="220" w:lineRule="auto"/>
              <w:ind w:left="128"/>
            </w:pPr>
            <w:r>
              <w:rPr>
                <w:spacing w:val="-2"/>
              </w:rPr>
              <w:t>业承包序</w:t>
            </w:r>
          </w:p>
          <w:p>
            <w:pPr>
              <w:pStyle w:val="95"/>
              <w:spacing w:before="98" w:line="220" w:lineRule="auto"/>
              <w:ind w:left="133"/>
            </w:pPr>
            <w:r>
              <w:rPr>
                <w:spacing w:val="-2"/>
              </w:rPr>
              <w:t>列资质标</w:t>
            </w:r>
          </w:p>
          <w:p>
            <w:pPr>
              <w:pStyle w:val="95"/>
              <w:spacing w:before="97" w:line="221" w:lineRule="auto"/>
              <w:ind w:left="402"/>
            </w:pPr>
            <w:r>
              <w:t>准</w:t>
            </w:r>
          </w:p>
        </w:tc>
        <w:tc>
          <w:tcPr>
            <w:tcW w:w="1295"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pStyle w:val="95"/>
              <w:spacing w:before="58" w:line="225" w:lineRule="auto"/>
              <w:ind w:left="163"/>
            </w:pPr>
            <w:r>
              <w:rPr>
                <w:spacing w:val="-5"/>
              </w:rPr>
              <w:t>13</w:t>
            </w:r>
            <w:r>
              <w:rPr>
                <w:spacing w:val="14"/>
              </w:rPr>
              <w:t xml:space="preserve"> </w:t>
            </w:r>
            <w:r>
              <w:rPr>
                <w:spacing w:val="-5"/>
              </w:rPr>
              <w:t>地基基础</w:t>
            </w:r>
          </w:p>
          <w:p>
            <w:pPr>
              <w:pStyle w:val="95"/>
              <w:spacing w:before="91" w:line="220" w:lineRule="auto"/>
              <w:ind w:left="108"/>
            </w:pPr>
            <w:r>
              <w:rPr>
                <w:spacing w:val="-2"/>
              </w:rPr>
              <w:t>工程专业承包</w:t>
            </w:r>
          </w:p>
          <w:p>
            <w:pPr>
              <w:pStyle w:val="95"/>
              <w:spacing w:before="98" w:line="220" w:lineRule="auto"/>
              <w:ind w:left="294"/>
            </w:pPr>
            <w:r>
              <w:rPr>
                <w:spacing w:val="-3"/>
              </w:rPr>
              <w:t>资质标准</w:t>
            </w:r>
          </w:p>
        </w:tc>
        <w:tc>
          <w:tcPr>
            <w:tcW w:w="4380" w:type="dxa"/>
            <w:vMerge w:val="restart"/>
            <w:tcBorders>
              <w:bottom w:val="nil"/>
            </w:tcBorders>
            <w:vAlign w:val="top"/>
          </w:tcPr>
          <w:p>
            <w:pPr>
              <w:pStyle w:val="95"/>
              <w:spacing w:before="80" w:line="220" w:lineRule="auto"/>
              <w:ind w:left="110"/>
            </w:pPr>
            <w:r>
              <w:rPr>
                <w:spacing w:val="-6"/>
              </w:rPr>
              <w:t>一级资质承建范围：</w:t>
            </w:r>
          </w:p>
          <w:p>
            <w:pPr>
              <w:pStyle w:val="95"/>
              <w:spacing w:before="97" w:line="220" w:lineRule="auto"/>
              <w:ind w:left="109"/>
            </w:pPr>
            <w:r>
              <w:rPr>
                <w:spacing w:val="-3"/>
              </w:rPr>
              <w:t>可承担各类地基基础工程的施工。</w:t>
            </w:r>
          </w:p>
          <w:p>
            <w:pPr>
              <w:pStyle w:val="95"/>
              <w:spacing w:before="97" w:line="220" w:lineRule="auto"/>
              <w:ind w:left="110"/>
            </w:pPr>
            <w:r>
              <w:rPr>
                <w:spacing w:val="-6"/>
              </w:rPr>
              <w:t>二级资质承建范围：</w:t>
            </w:r>
          </w:p>
          <w:p>
            <w:pPr>
              <w:pStyle w:val="95"/>
              <w:spacing w:before="97" w:line="220" w:lineRule="auto"/>
              <w:ind w:left="109"/>
            </w:pPr>
            <w:r>
              <w:rPr>
                <w:spacing w:val="-5"/>
              </w:rPr>
              <w:t>可承担下列工程的施工：</w:t>
            </w:r>
          </w:p>
          <w:p>
            <w:pPr>
              <w:pStyle w:val="95"/>
              <w:spacing w:before="97" w:line="220" w:lineRule="auto"/>
              <w:ind w:left="112"/>
            </w:pPr>
            <w:r>
              <w:rPr>
                <w:spacing w:val="-3"/>
              </w:rPr>
              <w:t>（1）高度 100</w:t>
            </w:r>
            <w:r>
              <w:rPr>
                <w:spacing w:val="-29"/>
              </w:rPr>
              <w:t xml:space="preserve"> </w:t>
            </w:r>
            <w:r>
              <w:rPr>
                <w:spacing w:val="-3"/>
              </w:rPr>
              <w:t>米以下工业、民用建筑工程和高度</w:t>
            </w:r>
          </w:p>
          <w:p>
            <w:pPr>
              <w:pStyle w:val="95"/>
              <w:spacing w:before="98" w:line="220" w:lineRule="auto"/>
              <w:ind w:left="121"/>
            </w:pPr>
            <w:r>
              <w:rPr>
                <w:spacing w:val="-4"/>
              </w:rPr>
              <w:t>120</w:t>
            </w:r>
            <w:r>
              <w:rPr>
                <w:spacing w:val="-27"/>
              </w:rPr>
              <w:t xml:space="preserve"> </w:t>
            </w:r>
            <w:r>
              <w:rPr>
                <w:spacing w:val="-4"/>
              </w:rPr>
              <w:t>米以下构筑物的地基基础工程；</w:t>
            </w:r>
          </w:p>
          <w:p>
            <w:pPr>
              <w:pStyle w:val="95"/>
              <w:spacing w:before="97" w:line="270" w:lineRule="auto"/>
              <w:ind w:left="110" w:right="133" w:firstLine="1"/>
            </w:pPr>
            <w:r>
              <w:rPr>
                <w:spacing w:val="-2"/>
              </w:rPr>
              <w:t>（2）深度不超过</w:t>
            </w:r>
            <w:r>
              <w:rPr>
                <w:spacing w:val="-19"/>
              </w:rPr>
              <w:t xml:space="preserve"> </w:t>
            </w:r>
            <w:r>
              <w:rPr>
                <w:spacing w:val="-2"/>
              </w:rPr>
              <w:t>24</w:t>
            </w:r>
            <w:r>
              <w:rPr>
                <w:spacing w:val="-36"/>
              </w:rPr>
              <w:t xml:space="preserve"> </w:t>
            </w:r>
            <w:r>
              <w:rPr>
                <w:spacing w:val="-2"/>
              </w:rPr>
              <w:t>米的刚性桩复合地基处理和深度</w:t>
            </w:r>
            <w:r>
              <w:t xml:space="preserve"> </w:t>
            </w:r>
            <w:r>
              <w:rPr>
                <w:spacing w:val="-4"/>
              </w:rPr>
              <w:t>不超过</w:t>
            </w:r>
            <w:r>
              <w:rPr>
                <w:spacing w:val="-19"/>
              </w:rPr>
              <w:t xml:space="preserve"> </w:t>
            </w:r>
            <w:r>
              <w:rPr>
                <w:spacing w:val="-4"/>
              </w:rPr>
              <w:t>10</w:t>
            </w:r>
            <w:r>
              <w:rPr>
                <w:spacing w:val="-36"/>
              </w:rPr>
              <w:t xml:space="preserve"> </w:t>
            </w:r>
            <w:r>
              <w:rPr>
                <w:spacing w:val="-4"/>
              </w:rPr>
              <w:t>米的其它地基处理工程；</w:t>
            </w:r>
          </w:p>
          <w:p>
            <w:pPr>
              <w:pStyle w:val="95"/>
              <w:spacing w:before="99" w:line="270" w:lineRule="auto"/>
              <w:ind w:left="107" w:right="313" w:firstLine="5"/>
            </w:pPr>
            <w:r>
              <w:rPr>
                <w:spacing w:val="-2"/>
              </w:rPr>
              <w:t>（3）单桩承受设计荷载</w:t>
            </w:r>
            <w:r>
              <w:rPr>
                <w:spacing w:val="-16"/>
              </w:rPr>
              <w:t xml:space="preserve"> </w:t>
            </w:r>
            <w:r>
              <w:rPr>
                <w:spacing w:val="-2"/>
              </w:rPr>
              <w:t>5000</w:t>
            </w:r>
            <w:r>
              <w:rPr>
                <w:spacing w:val="-39"/>
              </w:rPr>
              <w:t xml:space="preserve"> </w:t>
            </w:r>
            <w:r>
              <w:rPr>
                <w:spacing w:val="-2"/>
              </w:rPr>
              <w:t>千牛以下的桩基础工</w:t>
            </w:r>
            <w:r>
              <w:t xml:space="preserve"> </w:t>
            </w:r>
            <w:r>
              <w:rPr>
                <w:spacing w:val="-13"/>
              </w:rPr>
              <w:t>程；</w:t>
            </w:r>
          </w:p>
          <w:p>
            <w:pPr>
              <w:pStyle w:val="95"/>
              <w:spacing w:before="97" w:line="220" w:lineRule="auto"/>
              <w:ind w:left="112"/>
            </w:pPr>
            <w:r>
              <w:rPr>
                <w:spacing w:val="-4"/>
              </w:rPr>
              <w:t>（4）开挖深度不超过 15</w:t>
            </w:r>
            <w:r>
              <w:rPr>
                <w:spacing w:val="-37"/>
              </w:rPr>
              <w:t xml:space="preserve"> </w:t>
            </w:r>
            <w:r>
              <w:rPr>
                <w:spacing w:val="-4"/>
              </w:rPr>
              <w:t>米的基坑围护工程。</w:t>
            </w:r>
          </w:p>
          <w:p>
            <w:pPr>
              <w:pStyle w:val="95"/>
              <w:spacing w:before="97" w:line="220" w:lineRule="auto"/>
              <w:ind w:left="107"/>
            </w:pPr>
            <w:r>
              <w:rPr>
                <w:spacing w:val="-5"/>
              </w:rPr>
              <w:t>三级资质承建范围：</w:t>
            </w:r>
          </w:p>
        </w:tc>
        <w:tc>
          <w:tcPr>
            <w:tcW w:w="3269" w:type="dxa"/>
            <w:vAlign w:val="top"/>
          </w:tcPr>
          <w:p>
            <w:pPr>
              <w:spacing w:line="317" w:lineRule="auto"/>
              <w:rPr>
                <w:rFonts w:ascii="Arial"/>
                <w:sz w:val="21"/>
              </w:rPr>
            </w:pPr>
          </w:p>
          <w:p>
            <w:pPr>
              <w:pStyle w:val="95"/>
              <w:spacing w:before="59" w:line="220" w:lineRule="auto"/>
              <w:ind w:left="116"/>
            </w:pPr>
            <w:r>
              <w:rPr>
                <w:spacing w:val="-2"/>
              </w:rPr>
              <w:t>高度</w:t>
            </w:r>
            <w:r>
              <w:rPr>
                <w:spacing w:val="-2"/>
                <w:u w:val="single" w:color="auto"/>
              </w:rPr>
              <w:t xml:space="preserve">    </w:t>
            </w:r>
            <w:r>
              <w:rPr>
                <w:spacing w:val="-68"/>
              </w:rPr>
              <w:t xml:space="preserve"> </w:t>
            </w:r>
            <w:r>
              <w:rPr>
                <w:spacing w:val="-2"/>
              </w:rPr>
              <w:t>米的工业、民用建筑工程</w:t>
            </w:r>
          </w:p>
        </w:tc>
        <w:tc>
          <w:tcPr>
            <w:tcW w:w="677" w:type="dxa"/>
            <w:vAlign w:val="top"/>
          </w:tcPr>
          <w:p>
            <w:pPr>
              <w:spacing w:line="317" w:lineRule="auto"/>
              <w:rPr>
                <w:rFonts w:ascii="Arial"/>
                <w:sz w:val="21"/>
              </w:rPr>
            </w:pPr>
          </w:p>
          <w:p>
            <w:pPr>
              <w:pStyle w:val="95"/>
              <w:spacing w:before="59" w:line="220" w:lineRule="auto"/>
              <w:ind w:left="165"/>
            </w:pPr>
            <w:r>
              <w:rPr>
                <w:spacing w:val="-3"/>
              </w:rPr>
              <w:t>数值</w:t>
            </w:r>
          </w:p>
        </w:tc>
        <w:tc>
          <w:tcPr>
            <w:tcW w:w="2408" w:type="dxa"/>
            <w:vAlign w:val="top"/>
          </w:tcPr>
          <w:p>
            <w:pPr>
              <w:pStyle w:val="95"/>
              <w:spacing w:before="66" w:line="217" w:lineRule="auto"/>
              <w:ind w:left="113"/>
            </w:pPr>
            <w:r>
              <w:rPr>
                <w:spacing w:val="-3"/>
              </w:rPr>
              <w:t>①</w:t>
            </w:r>
            <w:r>
              <w:rPr>
                <w:spacing w:val="23"/>
              </w:rPr>
              <w:t xml:space="preserve"> </w:t>
            </w:r>
            <w:r>
              <w:rPr>
                <w:spacing w:val="-3"/>
              </w:rPr>
              <w:t>100&lt;d,一级</w:t>
            </w:r>
          </w:p>
          <w:p>
            <w:pPr>
              <w:pStyle w:val="95"/>
              <w:spacing w:before="101" w:line="312" w:lineRule="exact"/>
              <w:ind w:left="112"/>
            </w:pPr>
            <w:r>
              <w:rPr>
                <w:spacing w:val="-1"/>
                <w:position w:val="10"/>
              </w:rPr>
              <w:t>② 50&lt;d≤100，二级</w:t>
            </w:r>
          </w:p>
          <w:p>
            <w:pPr>
              <w:pStyle w:val="95"/>
              <w:spacing w:line="217" w:lineRule="auto"/>
              <w:ind w:left="112"/>
            </w:pPr>
            <w:r>
              <w:rPr>
                <w:spacing w:val="-2"/>
              </w:rPr>
              <w:t>③ 0&lt;d≤50，三级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0" w:hRule="atLeast"/>
        </w:trPr>
        <w:tc>
          <w:tcPr>
            <w:tcW w:w="936" w:type="dxa"/>
            <w:vMerge w:val="continue"/>
            <w:tcBorders>
              <w:top w:val="nil"/>
              <w:left w:val="single" w:color="000000" w:sz="6" w:space="0"/>
              <w:bottom w:val="nil"/>
            </w:tcBorders>
            <w:vAlign w:val="top"/>
          </w:tcPr>
          <w:p>
            <w:pPr>
              <w:rPr>
                <w:rFonts w:ascii="Arial"/>
                <w:sz w:val="21"/>
              </w:rPr>
            </w:pPr>
          </w:p>
        </w:tc>
        <w:tc>
          <w:tcPr>
            <w:tcW w:w="985" w:type="dxa"/>
            <w:vMerge w:val="continue"/>
            <w:tcBorders>
              <w:top w:val="nil"/>
              <w:bottom w:val="nil"/>
            </w:tcBorders>
            <w:vAlign w:val="top"/>
          </w:tcPr>
          <w:p>
            <w:pPr>
              <w:rPr>
                <w:rFonts w:ascii="Arial"/>
                <w:sz w:val="21"/>
              </w:rPr>
            </w:pPr>
          </w:p>
        </w:tc>
        <w:tc>
          <w:tcPr>
            <w:tcW w:w="1295" w:type="dxa"/>
            <w:vMerge w:val="continue"/>
            <w:tcBorders>
              <w:top w:val="nil"/>
              <w:bottom w:val="nil"/>
            </w:tcBorders>
            <w:vAlign w:val="top"/>
          </w:tcPr>
          <w:p>
            <w:pPr>
              <w:rPr>
                <w:rFonts w:ascii="Arial"/>
                <w:sz w:val="21"/>
              </w:rPr>
            </w:pPr>
          </w:p>
        </w:tc>
        <w:tc>
          <w:tcPr>
            <w:tcW w:w="4380" w:type="dxa"/>
            <w:vMerge w:val="continue"/>
            <w:tcBorders>
              <w:top w:val="nil"/>
              <w:bottom w:val="nil"/>
            </w:tcBorders>
            <w:vAlign w:val="top"/>
          </w:tcPr>
          <w:p>
            <w:pPr>
              <w:rPr>
                <w:rFonts w:ascii="Arial"/>
                <w:sz w:val="21"/>
              </w:rPr>
            </w:pPr>
          </w:p>
        </w:tc>
        <w:tc>
          <w:tcPr>
            <w:tcW w:w="3269" w:type="dxa"/>
            <w:vAlign w:val="top"/>
          </w:tcPr>
          <w:p>
            <w:pPr>
              <w:spacing w:line="318" w:lineRule="auto"/>
              <w:rPr>
                <w:rFonts w:ascii="Arial"/>
                <w:sz w:val="21"/>
              </w:rPr>
            </w:pPr>
          </w:p>
          <w:p>
            <w:pPr>
              <w:pStyle w:val="95"/>
              <w:spacing w:before="58" w:line="220" w:lineRule="auto"/>
              <w:ind w:left="116"/>
            </w:pPr>
            <w:r>
              <w:rPr>
                <w:spacing w:val="-2"/>
              </w:rPr>
              <w:t>高度</w:t>
            </w:r>
            <w:r>
              <w:rPr>
                <w:spacing w:val="-2"/>
                <w:u w:val="single" w:color="auto"/>
              </w:rPr>
              <w:t xml:space="preserve">    </w:t>
            </w:r>
            <w:r>
              <w:rPr>
                <w:spacing w:val="-67"/>
              </w:rPr>
              <w:t xml:space="preserve"> </w:t>
            </w:r>
            <w:r>
              <w:rPr>
                <w:spacing w:val="-2"/>
              </w:rPr>
              <w:t>米的构筑物的地基基础工程</w:t>
            </w:r>
          </w:p>
        </w:tc>
        <w:tc>
          <w:tcPr>
            <w:tcW w:w="677" w:type="dxa"/>
            <w:vAlign w:val="top"/>
          </w:tcPr>
          <w:p>
            <w:pPr>
              <w:spacing w:line="318" w:lineRule="auto"/>
              <w:rPr>
                <w:rFonts w:ascii="Arial"/>
                <w:sz w:val="21"/>
              </w:rPr>
            </w:pPr>
          </w:p>
          <w:p>
            <w:pPr>
              <w:pStyle w:val="95"/>
              <w:spacing w:before="58" w:line="220" w:lineRule="auto"/>
              <w:ind w:left="165"/>
            </w:pPr>
            <w:r>
              <w:rPr>
                <w:spacing w:val="-3"/>
              </w:rPr>
              <w:t>数值</w:t>
            </w:r>
          </w:p>
        </w:tc>
        <w:tc>
          <w:tcPr>
            <w:tcW w:w="2408" w:type="dxa"/>
            <w:vAlign w:val="top"/>
          </w:tcPr>
          <w:p>
            <w:pPr>
              <w:pStyle w:val="95"/>
              <w:spacing w:before="67" w:line="217" w:lineRule="auto"/>
              <w:ind w:left="113"/>
            </w:pPr>
            <w:r>
              <w:rPr>
                <w:spacing w:val="-3"/>
              </w:rPr>
              <w:t>①</w:t>
            </w:r>
            <w:r>
              <w:rPr>
                <w:spacing w:val="23"/>
              </w:rPr>
              <w:t xml:space="preserve"> </w:t>
            </w:r>
            <w:r>
              <w:rPr>
                <w:spacing w:val="-3"/>
              </w:rPr>
              <w:t>120&lt;d,一级</w:t>
            </w:r>
          </w:p>
          <w:p>
            <w:pPr>
              <w:pStyle w:val="95"/>
              <w:spacing w:before="100" w:line="312" w:lineRule="exact"/>
              <w:ind w:left="112"/>
            </w:pPr>
            <w:r>
              <w:rPr>
                <w:spacing w:val="-1"/>
                <w:position w:val="10"/>
              </w:rPr>
              <w:t>② 70&lt;d≤120，二级</w:t>
            </w:r>
          </w:p>
          <w:p>
            <w:pPr>
              <w:pStyle w:val="95"/>
              <w:spacing w:line="217" w:lineRule="auto"/>
              <w:ind w:left="112"/>
            </w:pPr>
            <w:r>
              <w:rPr>
                <w:spacing w:val="-2"/>
              </w:rPr>
              <w:t>③ 0&lt;d≤70，三级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1" w:hRule="atLeast"/>
        </w:trPr>
        <w:tc>
          <w:tcPr>
            <w:tcW w:w="936" w:type="dxa"/>
            <w:vMerge w:val="continue"/>
            <w:tcBorders>
              <w:top w:val="nil"/>
              <w:left w:val="single" w:color="000000" w:sz="6" w:space="0"/>
              <w:bottom w:val="nil"/>
            </w:tcBorders>
            <w:vAlign w:val="top"/>
          </w:tcPr>
          <w:p>
            <w:pPr>
              <w:rPr>
                <w:rFonts w:ascii="Arial"/>
                <w:sz w:val="21"/>
              </w:rPr>
            </w:pPr>
          </w:p>
        </w:tc>
        <w:tc>
          <w:tcPr>
            <w:tcW w:w="985" w:type="dxa"/>
            <w:vMerge w:val="continue"/>
            <w:tcBorders>
              <w:top w:val="nil"/>
              <w:bottom w:val="nil"/>
            </w:tcBorders>
            <w:vAlign w:val="top"/>
          </w:tcPr>
          <w:p>
            <w:pPr>
              <w:rPr>
                <w:rFonts w:ascii="Arial"/>
                <w:sz w:val="21"/>
              </w:rPr>
            </w:pPr>
          </w:p>
        </w:tc>
        <w:tc>
          <w:tcPr>
            <w:tcW w:w="1295" w:type="dxa"/>
            <w:vMerge w:val="continue"/>
            <w:tcBorders>
              <w:top w:val="nil"/>
              <w:bottom w:val="nil"/>
            </w:tcBorders>
            <w:vAlign w:val="top"/>
          </w:tcPr>
          <w:p>
            <w:pPr>
              <w:rPr>
                <w:rFonts w:ascii="Arial"/>
                <w:sz w:val="21"/>
              </w:rPr>
            </w:pPr>
          </w:p>
        </w:tc>
        <w:tc>
          <w:tcPr>
            <w:tcW w:w="4380" w:type="dxa"/>
            <w:vMerge w:val="continue"/>
            <w:tcBorders>
              <w:top w:val="nil"/>
              <w:bottom w:val="nil"/>
            </w:tcBorders>
            <w:vAlign w:val="top"/>
          </w:tcPr>
          <w:p>
            <w:pPr>
              <w:rPr>
                <w:rFonts w:ascii="Arial"/>
                <w:sz w:val="21"/>
              </w:rPr>
            </w:pPr>
          </w:p>
        </w:tc>
        <w:tc>
          <w:tcPr>
            <w:tcW w:w="3269" w:type="dxa"/>
            <w:vAlign w:val="top"/>
          </w:tcPr>
          <w:p>
            <w:pPr>
              <w:spacing w:line="319" w:lineRule="auto"/>
              <w:rPr>
                <w:rFonts w:ascii="Arial"/>
                <w:sz w:val="21"/>
              </w:rPr>
            </w:pPr>
          </w:p>
          <w:p>
            <w:pPr>
              <w:pStyle w:val="95"/>
              <w:spacing w:before="58" w:line="220" w:lineRule="auto"/>
              <w:ind w:left="111"/>
            </w:pPr>
            <w:r>
              <w:rPr>
                <w:spacing w:val="-1"/>
              </w:rPr>
              <w:t>深度</w:t>
            </w:r>
            <w:r>
              <w:rPr>
                <w:spacing w:val="-1"/>
                <w:u w:val="single" w:color="auto"/>
              </w:rPr>
              <w:t xml:space="preserve">      </w:t>
            </w:r>
            <w:r>
              <w:rPr>
                <w:spacing w:val="-79"/>
              </w:rPr>
              <w:t xml:space="preserve"> </w:t>
            </w:r>
            <w:r>
              <w:rPr>
                <w:spacing w:val="-1"/>
              </w:rPr>
              <w:t>米的刚性桩复合地基处理</w:t>
            </w:r>
          </w:p>
        </w:tc>
        <w:tc>
          <w:tcPr>
            <w:tcW w:w="677" w:type="dxa"/>
            <w:vAlign w:val="top"/>
          </w:tcPr>
          <w:p>
            <w:pPr>
              <w:spacing w:line="319" w:lineRule="auto"/>
              <w:rPr>
                <w:rFonts w:ascii="Arial"/>
                <w:sz w:val="21"/>
              </w:rPr>
            </w:pPr>
          </w:p>
          <w:p>
            <w:pPr>
              <w:pStyle w:val="95"/>
              <w:spacing w:before="58" w:line="220" w:lineRule="auto"/>
              <w:ind w:left="165"/>
            </w:pPr>
            <w:r>
              <w:rPr>
                <w:spacing w:val="-3"/>
              </w:rPr>
              <w:t>数值</w:t>
            </w:r>
          </w:p>
        </w:tc>
        <w:tc>
          <w:tcPr>
            <w:tcW w:w="2408" w:type="dxa"/>
            <w:vAlign w:val="top"/>
          </w:tcPr>
          <w:p>
            <w:pPr>
              <w:pStyle w:val="95"/>
              <w:spacing w:before="67" w:line="217" w:lineRule="auto"/>
              <w:ind w:left="113"/>
            </w:pPr>
            <w:r>
              <w:rPr>
                <w:spacing w:val="-2"/>
              </w:rPr>
              <w:t>①</w:t>
            </w:r>
            <w:r>
              <w:rPr>
                <w:spacing w:val="11"/>
              </w:rPr>
              <w:t xml:space="preserve"> </w:t>
            </w:r>
            <w:r>
              <w:rPr>
                <w:spacing w:val="-2"/>
              </w:rPr>
              <w:t>24&lt;d,一级</w:t>
            </w:r>
          </w:p>
          <w:p>
            <w:pPr>
              <w:pStyle w:val="95"/>
              <w:spacing w:before="100" w:line="312" w:lineRule="exact"/>
              <w:ind w:left="112"/>
            </w:pPr>
            <w:r>
              <w:rPr>
                <w:spacing w:val="-3"/>
                <w:position w:val="10"/>
              </w:rPr>
              <w:t>②</w:t>
            </w:r>
            <w:r>
              <w:rPr>
                <w:spacing w:val="22"/>
                <w:position w:val="10"/>
              </w:rPr>
              <w:t xml:space="preserve"> </w:t>
            </w:r>
            <w:r>
              <w:rPr>
                <w:spacing w:val="-3"/>
                <w:position w:val="10"/>
              </w:rPr>
              <w:t>18&lt;d≤24，二级</w:t>
            </w:r>
          </w:p>
          <w:p>
            <w:pPr>
              <w:pStyle w:val="95"/>
              <w:spacing w:line="217" w:lineRule="auto"/>
              <w:ind w:left="112"/>
            </w:pPr>
            <w:r>
              <w:rPr>
                <w:spacing w:val="-2"/>
              </w:rPr>
              <w:t>③ 0&lt;d≤18，三级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7" w:hRule="atLeast"/>
        </w:trPr>
        <w:tc>
          <w:tcPr>
            <w:tcW w:w="936" w:type="dxa"/>
            <w:vMerge w:val="continue"/>
            <w:tcBorders>
              <w:top w:val="nil"/>
              <w:left w:val="single" w:color="000000" w:sz="6" w:space="0"/>
            </w:tcBorders>
            <w:vAlign w:val="top"/>
          </w:tcPr>
          <w:p>
            <w:pPr>
              <w:rPr>
                <w:rFonts w:ascii="Arial"/>
                <w:sz w:val="21"/>
              </w:rPr>
            </w:pPr>
          </w:p>
        </w:tc>
        <w:tc>
          <w:tcPr>
            <w:tcW w:w="985" w:type="dxa"/>
            <w:vMerge w:val="continue"/>
            <w:tcBorders>
              <w:top w:val="nil"/>
            </w:tcBorders>
            <w:vAlign w:val="top"/>
          </w:tcPr>
          <w:p>
            <w:pPr>
              <w:rPr>
                <w:rFonts w:ascii="Arial"/>
                <w:sz w:val="21"/>
              </w:rPr>
            </w:pPr>
          </w:p>
        </w:tc>
        <w:tc>
          <w:tcPr>
            <w:tcW w:w="1295" w:type="dxa"/>
            <w:vMerge w:val="continue"/>
            <w:tcBorders>
              <w:top w:val="nil"/>
            </w:tcBorders>
            <w:vAlign w:val="top"/>
          </w:tcPr>
          <w:p>
            <w:pPr>
              <w:rPr>
                <w:rFonts w:ascii="Arial"/>
                <w:sz w:val="21"/>
              </w:rPr>
            </w:pPr>
          </w:p>
        </w:tc>
        <w:tc>
          <w:tcPr>
            <w:tcW w:w="4380" w:type="dxa"/>
            <w:vMerge w:val="continue"/>
            <w:tcBorders>
              <w:top w:val="nil"/>
            </w:tcBorders>
            <w:vAlign w:val="top"/>
          </w:tcPr>
          <w:p>
            <w:pPr>
              <w:rPr>
                <w:rFonts w:ascii="Arial"/>
                <w:sz w:val="21"/>
              </w:rPr>
            </w:pPr>
          </w:p>
        </w:tc>
        <w:tc>
          <w:tcPr>
            <w:tcW w:w="3269" w:type="dxa"/>
            <w:vAlign w:val="top"/>
          </w:tcPr>
          <w:p>
            <w:pPr>
              <w:spacing w:line="319" w:lineRule="auto"/>
              <w:rPr>
                <w:rFonts w:ascii="Arial"/>
                <w:sz w:val="21"/>
              </w:rPr>
            </w:pPr>
          </w:p>
          <w:p>
            <w:pPr>
              <w:pStyle w:val="95"/>
              <w:spacing w:before="58" w:line="220" w:lineRule="auto"/>
              <w:ind w:left="111"/>
            </w:pPr>
            <w:r>
              <w:rPr>
                <w:spacing w:val="-1"/>
              </w:rPr>
              <w:t>深度</w:t>
            </w:r>
            <w:r>
              <w:rPr>
                <w:spacing w:val="-1"/>
                <w:u w:val="single" w:color="auto"/>
              </w:rPr>
              <w:t xml:space="preserve">      </w:t>
            </w:r>
            <w:r>
              <w:rPr>
                <w:spacing w:val="-79"/>
              </w:rPr>
              <w:t xml:space="preserve"> </w:t>
            </w:r>
            <w:r>
              <w:rPr>
                <w:spacing w:val="-1"/>
              </w:rPr>
              <w:t>米的其它地基处理工程</w:t>
            </w:r>
          </w:p>
        </w:tc>
        <w:tc>
          <w:tcPr>
            <w:tcW w:w="677" w:type="dxa"/>
            <w:vAlign w:val="top"/>
          </w:tcPr>
          <w:p>
            <w:pPr>
              <w:spacing w:line="319" w:lineRule="auto"/>
              <w:rPr>
                <w:rFonts w:ascii="Arial"/>
                <w:sz w:val="21"/>
              </w:rPr>
            </w:pPr>
          </w:p>
          <w:p>
            <w:pPr>
              <w:pStyle w:val="95"/>
              <w:spacing w:before="58" w:line="220" w:lineRule="auto"/>
              <w:ind w:left="165"/>
            </w:pPr>
            <w:r>
              <w:rPr>
                <w:spacing w:val="-3"/>
              </w:rPr>
              <w:t>数值</w:t>
            </w:r>
          </w:p>
        </w:tc>
        <w:tc>
          <w:tcPr>
            <w:tcW w:w="2408" w:type="dxa"/>
            <w:vAlign w:val="top"/>
          </w:tcPr>
          <w:p>
            <w:pPr>
              <w:pStyle w:val="95"/>
              <w:spacing w:before="67" w:line="217" w:lineRule="auto"/>
              <w:ind w:left="113"/>
            </w:pPr>
            <w:r>
              <w:rPr>
                <w:spacing w:val="-4"/>
              </w:rPr>
              <w:t>①</w:t>
            </w:r>
            <w:r>
              <w:rPr>
                <w:spacing w:val="27"/>
              </w:rPr>
              <w:t xml:space="preserve"> </w:t>
            </w:r>
            <w:r>
              <w:rPr>
                <w:spacing w:val="-4"/>
              </w:rPr>
              <w:t>10&lt;d,一级</w:t>
            </w:r>
          </w:p>
          <w:p>
            <w:pPr>
              <w:pStyle w:val="95"/>
              <w:spacing w:before="100" w:line="312" w:lineRule="exact"/>
              <w:ind w:left="112"/>
            </w:pPr>
            <w:r>
              <w:rPr>
                <w:spacing w:val="-2"/>
                <w:position w:val="10"/>
              </w:rPr>
              <w:t>② 8&lt;d≤10，二级</w:t>
            </w:r>
          </w:p>
          <w:p>
            <w:pPr>
              <w:pStyle w:val="95"/>
              <w:spacing w:line="217" w:lineRule="auto"/>
              <w:ind w:left="112"/>
            </w:pPr>
            <w:r>
              <w:rPr>
                <w:spacing w:val="-1"/>
              </w:rPr>
              <w:t>③ 0&lt;d≤8，三级</w:t>
            </w:r>
          </w:p>
        </w:tc>
      </w:tr>
    </w:tbl>
    <w:p>
      <w:pPr>
        <w:pStyle w:val="16"/>
        <w:spacing w:line="289" w:lineRule="auto"/>
      </w:pPr>
    </w:p>
    <w:p>
      <w:pPr>
        <w:pStyle w:val="16"/>
        <w:spacing w:line="289" w:lineRule="auto"/>
      </w:pPr>
    </w:p>
    <w:p>
      <w:pPr>
        <w:pStyle w:val="16"/>
        <w:spacing w:line="289" w:lineRule="auto"/>
      </w:pPr>
    </w:p>
    <w:p>
      <w:pPr>
        <w:pStyle w:val="16"/>
        <w:spacing w:line="290" w:lineRule="auto"/>
      </w:pPr>
    </w:p>
    <w:p>
      <w:pPr>
        <w:pStyle w:val="16"/>
        <w:spacing w:before="69" w:line="328" w:lineRule="exact"/>
        <w:ind w:left="4054"/>
        <w:rPr>
          <w:sz w:val="24"/>
          <w:szCs w:val="24"/>
        </w:rPr>
      </w:pPr>
      <w:r>
        <w:rPr>
          <w:spacing w:val="-4"/>
          <w:position w:val="1"/>
          <w:sz w:val="24"/>
          <w:szCs w:val="24"/>
        </w:rPr>
        <w:t>27 /</w:t>
      </w:r>
      <w:r>
        <w:rPr>
          <w:spacing w:val="28"/>
          <w:w w:val="101"/>
          <w:position w:val="1"/>
          <w:sz w:val="24"/>
          <w:szCs w:val="24"/>
        </w:rPr>
        <w:t xml:space="preserve"> </w:t>
      </w:r>
      <w:r>
        <w:rPr>
          <w:spacing w:val="-4"/>
          <w:position w:val="1"/>
          <w:sz w:val="24"/>
          <w:szCs w:val="24"/>
        </w:rPr>
        <w:t>165</w:t>
      </w:r>
    </w:p>
    <w:p>
      <w:pPr>
        <w:spacing w:line="328" w:lineRule="exact"/>
        <w:rPr>
          <w:sz w:val="24"/>
          <w:szCs w:val="24"/>
        </w:rPr>
        <w:sectPr>
          <w:pgSz w:w="16839" w:h="11907"/>
          <w:pgMar w:top="400" w:right="1438" w:bottom="400" w:left="995" w:header="0" w:footer="0" w:gutter="0"/>
          <w:cols w:space="720" w:num="1"/>
        </w:sectPr>
      </w:pPr>
    </w:p>
    <w:p>
      <w:pPr>
        <w:spacing w:before="39"/>
      </w:pPr>
      <w:r>
        <mc:AlternateContent>
          <mc:Choice Requires="wps">
            <w:drawing>
              <wp:anchor distT="0" distB="0" distL="114300" distR="114300" simplePos="0" relativeHeight="251661312" behindDoc="0" locked="0" layoutInCell="0" allowOverlap="1">
                <wp:simplePos x="0" y="0"/>
                <wp:positionH relativeFrom="page">
                  <wp:posOffset>631825</wp:posOffset>
                </wp:positionH>
                <wp:positionV relativeFrom="page">
                  <wp:posOffset>6922135</wp:posOffset>
                </wp:positionV>
                <wp:extent cx="6292850" cy="6350"/>
                <wp:effectExtent l="0" t="0" r="0" b="0"/>
                <wp:wrapNone/>
                <wp:docPr id="10" name="任意多边形 10"/>
                <wp:cNvGraphicFramePr/>
                <a:graphic xmlns:a="http://schemas.openxmlformats.org/drawingml/2006/main">
                  <a:graphicData uri="http://schemas.microsoft.com/office/word/2010/wordprocessingShape">
                    <wps:wsp>
                      <wps:cNvSpPr/>
                      <wps:spPr>
                        <a:xfrm>
                          <a:off x="0" y="0"/>
                          <a:ext cx="6292850" cy="6350"/>
                        </a:xfrm>
                        <a:custGeom>
                          <a:avLst/>
                          <a:gdLst/>
                          <a:ahLst/>
                          <a:cxnLst/>
                          <a:pathLst>
                            <a:path w="9910" h="10">
                              <a:moveTo>
                                <a:pt x="5" y="5"/>
                              </a:moveTo>
                              <a:lnTo>
                                <a:pt x="4955" y="5"/>
                              </a:lnTo>
                              <a:moveTo>
                                <a:pt x="4955" y="5"/>
                              </a:moveTo>
                              <a:lnTo>
                                <a:pt x="9905" y="5"/>
                              </a:lnTo>
                            </a:path>
                          </a:pathLst>
                        </a:custGeom>
                        <a:noFill/>
                        <a:ln w="6350" cap="sq" cmpd="sng">
                          <a:solidFill>
                            <a:srgbClr val="000000"/>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49.75pt;margin-top:545.05pt;height:0.5pt;width:495.5pt;mso-position-horizontal-relative:page;mso-position-vertical-relative:page;z-index:251661312;mso-width-relative:page;mso-height-relative:page;" filled="f" stroked="t" coordsize="9910,10" o:allowincell="f" o:gfxdata="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WAAAAZHJzL1BLAQIU&#10;ABQAAAAIAIdO4kDujIKO2gAAAA0BAAAPAAAAAAAAAAEAIAAAADgAAABkcnMvZG93bnJldi54bWxQ&#10;SwECFAAUAAAACACHTuJA6hfOZ1ECAAD2BAAADgAAAAAAAAABACAAAAA/AQAAZHJzL2Uyb0RvYy54&#10;bWxQSwUGAAAAAAYABgBZAQAAAgYAAAAA&#10;" path="m5,5l4955,5m4955,5l9905,5e">
                <v:fill on="f" focussize="0,0"/>
                <v:stroke weight="0.5pt" color="#000000" miterlimit="10" joinstyle="miter" endcap="square"/>
                <v:imagedata o:title=""/>
                <o:lock v:ext="edit" aspectratio="f"/>
              </v:shape>
            </w:pict>
          </mc:Fallback>
        </mc:AlternateContent>
      </w:r>
    </w:p>
    <w:p>
      <w:pPr>
        <w:spacing w:before="39"/>
      </w:pPr>
    </w:p>
    <w:p>
      <w:pPr>
        <w:spacing w:before="39"/>
      </w:pPr>
    </w:p>
    <w:p>
      <w:pPr>
        <w:spacing w:before="38"/>
      </w:pPr>
    </w:p>
    <w:p>
      <w:pPr>
        <w:spacing w:before="38"/>
      </w:pPr>
    </w:p>
    <w:tbl>
      <w:tblPr>
        <w:tblStyle w:val="96"/>
        <w:tblW w:w="13950" w:type="dxa"/>
        <w:tblInd w:w="45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6"/>
        <w:gridCol w:w="985"/>
        <w:gridCol w:w="1295"/>
        <w:gridCol w:w="4380"/>
        <w:gridCol w:w="3269"/>
        <w:gridCol w:w="677"/>
        <w:gridCol w:w="24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0" w:hRule="atLeast"/>
        </w:trPr>
        <w:tc>
          <w:tcPr>
            <w:tcW w:w="936" w:type="dxa"/>
            <w:vMerge w:val="restart"/>
            <w:tcBorders>
              <w:top w:val="nil"/>
              <w:left w:val="single" w:color="000000" w:sz="6" w:space="0"/>
              <w:bottom w:val="nil"/>
            </w:tcBorders>
            <w:vAlign w:val="top"/>
          </w:tcPr>
          <w:p>
            <w:pPr>
              <w:rPr>
                <w:rFonts w:ascii="Arial"/>
                <w:sz w:val="21"/>
              </w:rPr>
            </w:pPr>
          </w:p>
        </w:tc>
        <w:tc>
          <w:tcPr>
            <w:tcW w:w="985" w:type="dxa"/>
            <w:vMerge w:val="restart"/>
            <w:tcBorders>
              <w:top w:val="nil"/>
              <w:bottom w:val="nil"/>
            </w:tcBorders>
            <w:vAlign w:val="top"/>
          </w:tcPr>
          <w:p>
            <w:pPr>
              <w:rPr>
                <w:rFonts w:ascii="Arial"/>
                <w:sz w:val="21"/>
              </w:rPr>
            </w:pPr>
          </w:p>
        </w:tc>
        <w:tc>
          <w:tcPr>
            <w:tcW w:w="1295" w:type="dxa"/>
            <w:vMerge w:val="restart"/>
            <w:tcBorders>
              <w:top w:val="nil"/>
              <w:bottom w:val="nil"/>
            </w:tcBorders>
            <w:vAlign w:val="top"/>
          </w:tcPr>
          <w:p>
            <w:pPr>
              <w:rPr>
                <w:rFonts w:ascii="Arial"/>
                <w:sz w:val="21"/>
              </w:rPr>
            </w:pPr>
          </w:p>
        </w:tc>
        <w:tc>
          <w:tcPr>
            <w:tcW w:w="4380" w:type="dxa"/>
            <w:vMerge w:val="restart"/>
            <w:tcBorders>
              <w:top w:val="nil"/>
              <w:bottom w:val="nil"/>
            </w:tcBorders>
            <w:vAlign w:val="top"/>
          </w:tcPr>
          <w:p>
            <w:pPr>
              <w:pStyle w:val="95"/>
              <w:spacing w:before="63" w:line="220" w:lineRule="auto"/>
              <w:ind w:left="109"/>
            </w:pPr>
            <w:r>
              <w:rPr>
                <w:spacing w:val="-5"/>
              </w:rPr>
              <w:t>可承担下列工程的施工：</w:t>
            </w:r>
          </w:p>
          <w:p>
            <w:pPr>
              <w:pStyle w:val="95"/>
              <w:spacing w:before="97" w:line="270" w:lineRule="auto"/>
              <w:ind w:left="107" w:right="266" w:firstLine="4"/>
            </w:pPr>
            <w:r>
              <w:rPr>
                <w:spacing w:val="-3"/>
              </w:rPr>
              <w:t>（1）高度</w:t>
            </w:r>
            <w:r>
              <w:rPr>
                <w:spacing w:val="-5"/>
              </w:rPr>
              <w:t xml:space="preserve"> </w:t>
            </w:r>
            <w:r>
              <w:rPr>
                <w:spacing w:val="-3"/>
              </w:rPr>
              <w:t>50</w:t>
            </w:r>
            <w:r>
              <w:rPr>
                <w:spacing w:val="-36"/>
              </w:rPr>
              <w:t xml:space="preserve"> </w:t>
            </w:r>
            <w:r>
              <w:rPr>
                <w:spacing w:val="-3"/>
              </w:rPr>
              <w:t>米以下工业、民用建筑工程和高度</w:t>
            </w:r>
            <w:r>
              <w:rPr>
                <w:spacing w:val="-33"/>
              </w:rPr>
              <w:t xml:space="preserve"> </w:t>
            </w:r>
            <w:r>
              <w:rPr>
                <w:spacing w:val="-3"/>
              </w:rPr>
              <w:t>70</w:t>
            </w:r>
            <w:r>
              <w:t xml:space="preserve"> </w:t>
            </w:r>
            <w:r>
              <w:rPr>
                <w:spacing w:val="-4"/>
              </w:rPr>
              <w:t>米以下构筑物的地基基础工程；</w:t>
            </w:r>
          </w:p>
          <w:p>
            <w:pPr>
              <w:pStyle w:val="95"/>
              <w:spacing w:before="97" w:line="270" w:lineRule="auto"/>
              <w:ind w:left="110" w:right="133" w:firstLine="1"/>
            </w:pPr>
            <w:r>
              <w:rPr>
                <w:spacing w:val="-2"/>
              </w:rPr>
              <w:t>（2）深度不超过</w:t>
            </w:r>
            <w:r>
              <w:rPr>
                <w:spacing w:val="-17"/>
              </w:rPr>
              <w:t xml:space="preserve"> </w:t>
            </w:r>
            <w:r>
              <w:rPr>
                <w:spacing w:val="-2"/>
              </w:rPr>
              <w:t>18</w:t>
            </w:r>
            <w:r>
              <w:rPr>
                <w:spacing w:val="-36"/>
              </w:rPr>
              <w:t xml:space="preserve"> </w:t>
            </w:r>
            <w:r>
              <w:rPr>
                <w:spacing w:val="-2"/>
              </w:rPr>
              <w:t>米的刚性桩复合地基处理或</w:t>
            </w:r>
            <w:r>
              <w:rPr>
                <w:spacing w:val="-3"/>
              </w:rPr>
              <w:t>深度</w:t>
            </w:r>
            <w:r>
              <w:t xml:space="preserve"> </w:t>
            </w:r>
            <w:r>
              <w:rPr>
                <w:spacing w:val="-4"/>
              </w:rPr>
              <w:t>不超过</w:t>
            </w:r>
            <w:r>
              <w:rPr>
                <w:spacing w:val="-24"/>
              </w:rPr>
              <w:t xml:space="preserve"> </w:t>
            </w:r>
            <w:r>
              <w:rPr>
                <w:spacing w:val="-4"/>
              </w:rPr>
              <w:t>8</w:t>
            </w:r>
            <w:r>
              <w:rPr>
                <w:spacing w:val="-37"/>
              </w:rPr>
              <w:t xml:space="preserve"> </w:t>
            </w:r>
            <w:r>
              <w:rPr>
                <w:spacing w:val="-4"/>
              </w:rPr>
              <w:t>米的其它地基处理工程；</w:t>
            </w:r>
          </w:p>
          <w:p>
            <w:pPr>
              <w:pStyle w:val="95"/>
              <w:spacing w:before="98" w:line="270" w:lineRule="auto"/>
              <w:ind w:left="107" w:right="313" w:firstLine="5"/>
            </w:pPr>
            <w:r>
              <w:rPr>
                <w:spacing w:val="-2"/>
              </w:rPr>
              <w:t>（3）单桩承受设计荷载</w:t>
            </w:r>
            <w:r>
              <w:rPr>
                <w:spacing w:val="-16"/>
              </w:rPr>
              <w:t xml:space="preserve"> </w:t>
            </w:r>
            <w:r>
              <w:rPr>
                <w:spacing w:val="-2"/>
              </w:rPr>
              <w:t>3000</w:t>
            </w:r>
            <w:r>
              <w:rPr>
                <w:spacing w:val="-39"/>
              </w:rPr>
              <w:t xml:space="preserve"> </w:t>
            </w:r>
            <w:r>
              <w:rPr>
                <w:spacing w:val="-2"/>
              </w:rPr>
              <w:t>千牛以下的桩基础工</w:t>
            </w:r>
            <w:r>
              <w:t xml:space="preserve"> </w:t>
            </w:r>
            <w:r>
              <w:rPr>
                <w:spacing w:val="-13"/>
              </w:rPr>
              <w:t>程；</w:t>
            </w:r>
          </w:p>
          <w:p>
            <w:pPr>
              <w:pStyle w:val="95"/>
              <w:spacing w:before="96" w:line="220" w:lineRule="auto"/>
              <w:ind w:left="112"/>
            </w:pPr>
            <w:r>
              <w:rPr>
                <w:spacing w:val="-4"/>
              </w:rPr>
              <w:t>（4）开挖深度不超过 12</w:t>
            </w:r>
            <w:r>
              <w:rPr>
                <w:spacing w:val="-37"/>
              </w:rPr>
              <w:t xml:space="preserve"> </w:t>
            </w:r>
            <w:r>
              <w:rPr>
                <w:spacing w:val="-4"/>
              </w:rPr>
              <w:t>米的基坑围护工程。</w:t>
            </w:r>
          </w:p>
        </w:tc>
        <w:tc>
          <w:tcPr>
            <w:tcW w:w="3269" w:type="dxa"/>
            <w:tcBorders>
              <w:top w:val="nil"/>
            </w:tcBorders>
            <w:vAlign w:val="top"/>
          </w:tcPr>
          <w:p>
            <w:pPr>
              <w:pStyle w:val="95"/>
              <w:spacing w:before="220" w:line="270" w:lineRule="auto"/>
              <w:ind w:left="112" w:right="279"/>
            </w:pPr>
            <w:r>
              <w:rPr>
                <w:spacing w:val="-1"/>
              </w:rPr>
              <w:t>单桩承受设计荷载</w:t>
            </w:r>
            <w:r>
              <w:rPr>
                <w:spacing w:val="-1"/>
                <w:u w:val="single" w:color="auto"/>
              </w:rPr>
              <w:t xml:space="preserve">    </w:t>
            </w:r>
            <w:r>
              <w:rPr>
                <w:spacing w:val="-82"/>
              </w:rPr>
              <w:t xml:space="preserve"> </w:t>
            </w:r>
            <w:r>
              <w:rPr>
                <w:spacing w:val="-1"/>
              </w:rPr>
              <w:t>千牛的桩基础</w:t>
            </w:r>
            <w:r>
              <w:t xml:space="preserve"> </w:t>
            </w:r>
            <w:r>
              <w:rPr>
                <w:spacing w:val="-3"/>
              </w:rPr>
              <w:t>工程</w:t>
            </w:r>
          </w:p>
        </w:tc>
        <w:tc>
          <w:tcPr>
            <w:tcW w:w="677" w:type="dxa"/>
            <w:tcBorders>
              <w:top w:val="nil"/>
            </w:tcBorders>
            <w:vAlign w:val="top"/>
          </w:tcPr>
          <w:p>
            <w:pPr>
              <w:spacing w:line="314" w:lineRule="auto"/>
              <w:rPr>
                <w:rFonts w:ascii="Arial"/>
                <w:sz w:val="21"/>
              </w:rPr>
            </w:pPr>
          </w:p>
          <w:p>
            <w:pPr>
              <w:pStyle w:val="95"/>
              <w:spacing w:before="59" w:line="220" w:lineRule="auto"/>
              <w:ind w:left="165"/>
            </w:pPr>
            <w:r>
              <w:rPr>
                <w:spacing w:val="-3"/>
              </w:rPr>
              <w:t>数值</w:t>
            </w:r>
          </w:p>
        </w:tc>
        <w:tc>
          <w:tcPr>
            <w:tcW w:w="2408" w:type="dxa"/>
            <w:tcBorders>
              <w:top w:val="nil"/>
            </w:tcBorders>
            <w:vAlign w:val="top"/>
          </w:tcPr>
          <w:p>
            <w:pPr>
              <w:pStyle w:val="95"/>
              <w:spacing w:before="63" w:line="217" w:lineRule="auto"/>
              <w:ind w:left="113"/>
            </w:pPr>
            <w:r>
              <w:rPr>
                <w:spacing w:val="-2"/>
              </w:rPr>
              <w:t>①</w:t>
            </w:r>
            <w:r>
              <w:rPr>
                <w:spacing w:val="15"/>
              </w:rPr>
              <w:t xml:space="preserve"> </w:t>
            </w:r>
            <w:r>
              <w:rPr>
                <w:spacing w:val="-2"/>
              </w:rPr>
              <w:t>5000&lt;d,一级</w:t>
            </w:r>
          </w:p>
          <w:p>
            <w:pPr>
              <w:pStyle w:val="95"/>
              <w:spacing w:before="100" w:line="269" w:lineRule="auto"/>
              <w:ind w:left="112" w:right="413"/>
            </w:pPr>
            <w:r>
              <w:rPr>
                <w:spacing w:val="-1"/>
              </w:rPr>
              <w:t>② 3000&lt;d≤5000，二级</w:t>
            </w:r>
            <w:r>
              <w:rPr>
                <w:spacing w:val="1"/>
              </w:rPr>
              <w:t xml:space="preserve"> </w:t>
            </w:r>
            <w:r>
              <w:rPr>
                <w:spacing w:val="-1"/>
              </w:rPr>
              <w:t>③ 0&lt;d≤3000，三级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55" w:hRule="atLeast"/>
        </w:trPr>
        <w:tc>
          <w:tcPr>
            <w:tcW w:w="936" w:type="dxa"/>
            <w:vMerge w:val="continue"/>
            <w:tcBorders>
              <w:top w:val="nil"/>
              <w:left w:val="single" w:color="000000" w:sz="6" w:space="0"/>
              <w:bottom w:val="nil"/>
            </w:tcBorders>
            <w:vAlign w:val="top"/>
          </w:tcPr>
          <w:p>
            <w:pPr>
              <w:rPr>
                <w:rFonts w:ascii="Arial"/>
                <w:sz w:val="21"/>
              </w:rPr>
            </w:pPr>
          </w:p>
        </w:tc>
        <w:tc>
          <w:tcPr>
            <w:tcW w:w="985" w:type="dxa"/>
            <w:vMerge w:val="continue"/>
            <w:tcBorders>
              <w:top w:val="nil"/>
              <w:bottom w:val="nil"/>
            </w:tcBorders>
            <w:vAlign w:val="top"/>
          </w:tcPr>
          <w:p>
            <w:pPr>
              <w:rPr>
                <w:rFonts w:ascii="Arial"/>
                <w:sz w:val="21"/>
              </w:rPr>
            </w:pPr>
          </w:p>
        </w:tc>
        <w:tc>
          <w:tcPr>
            <w:tcW w:w="1295" w:type="dxa"/>
            <w:vMerge w:val="continue"/>
            <w:tcBorders>
              <w:top w:val="nil"/>
            </w:tcBorders>
            <w:vAlign w:val="top"/>
          </w:tcPr>
          <w:p>
            <w:pPr>
              <w:rPr>
                <w:rFonts w:ascii="Arial"/>
                <w:sz w:val="21"/>
              </w:rPr>
            </w:pPr>
          </w:p>
        </w:tc>
        <w:tc>
          <w:tcPr>
            <w:tcW w:w="4380" w:type="dxa"/>
            <w:vMerge w:val="continue"/>
            <w:tcBorders>
              <w:top w:val="nil"/>
            </w:tcBorders>
            <w:vAlign w:val="top"/>
          </w:tcPr>
          <w:p>
            <w:pPr>
              <w:rPr>
                <w:rFonts w:ascii="Arial"/>
                <w:sz w:val="21"/>
              </w:rPr>
            </w:pPr>
          </w:p>
        </w:tc>
        <w:tc>
          <w:tcPr>
            <w:tcW w:w="3269" w:type="dxa"/>
            <w:vAlign w:val="top"/>
          </w:tcPr>
          <w:p>
            <w:pPr>
              <w:spacing w:line="310" w:lineRule="auto"/>
              <w:rPr>
                <w:rFonts w:ascii="Arial"/>
                <w:sz w:val="21"/>
              </w:rPr>
            </w:pPr>
          </w:p>
          <w:p>
            <w:pPr>
              <w:spacing w:line="310" w:lineRule="auto"/>
              <w:rPr>
                <w:rFonts w:ascii="Arial"/>
                <w:sz w:val="21"/>
              </w:rPr>
            </w:pPr>
          </w:p>
          <w:p>
            <w:pPr>
              <w:pStyle w:val="95"/>
              <w:spacing w:before="59" w:line="220" w:lineRule="auto"/>
              <w:ind w:left="111"/>
            </w:pPr>
            <w:r>
              <w:rPr>
                <w:spacing w:val="-1"/>
              </w:rPr>
              <w:t>开挖深度</w:t>
            </w:r>
            <w:r>
              <w:rPr>
                <w:spacing w:val="-1"/>
                <w:u w:val="single" w:color="auto"/>
              </w:rPr>
              <w:t xml:space="preserve">     </w:t>
            </w:r>
            <w:r>
              <w:rPr>
                <w:spacing w:val="-79"/>
              </w:rPr>
              <w:t xml:space="preserve"> </w:t>
            </w:r>
            <w:r>
              <w:rPr>
                <w:spacing w:val="-1"/>
              </w:rPr>
              <w:t>米的基坑围护工程</w:t>
            </w:r>
          </w:p>
        </w:tc>
        <w:tc>
          <w:tcPr>
            <w:tcW w:w="677" w:type="dxa"/>
            <w:vAlign w:val="top"/>
          </w:tcPr>
          <w:p>
            <w:pPr>
              <w:spacing w:line="310" w:lineRule="auto"/>
              <w:rPr>
                <w:rFonts w:ascii="Arial"/>
                <w:sz w:val="21"/>
              </w:rPr>
            </w:pPr>
          </w:p>
          <w:p>
            <w:pPr>
              <w:spacing w:line="310" w:lineRule="auto"/>
              <w:rPr>
                <w:rFonts w:ascii="Arial"/>
                <w:sz w:val="21"/>
              </w:rPr>
            </w:pPr>
          </w:p>
          <w:p>
            <w:pPr>
              <w:pStyle w:val="95"/>
              <w:spacing w:before="59" w:line="220" w:lineRule="auto"/>
              <w:ind w:left="165"/>
            </w:pPr>
            <w:r>
              <w:rPr>
                <w:spacing w:val="-3"/>
              </w:rPr>
              <w:t>数值</w:t>
            </w:r>
          </w:p>
        </w:tc>
        <w:tc>
          <w:tcPr>
            <w:tcW w:w="2408" w:type="dxa"/>
            <w:vAlign w:val="top"/>
          </w:tcPr>
          <w:p>
            <w:pPr>
              <w:spacing w:line="310" w:lineRule="auto"/>
              <w:rPr>
                <w:rFonts w:ascii="Arial"/>
                <w:sz w:val="21"/>
              </w:rPr>
            </w:pPr>
          </w:p>
          <w:p>
            <w:pPr>
              <w:pStyle w:val="95"/>
              <w:spacing w:before="59" w:line="217" w:lineRule="auto"/>
              <w:ind w:left="113"/>
            </w:pPr>
            <w:r>
              <w:rPr>
                <w:spacing w:val="-4"/>
              </w:rPr>
              <w:t>①</w:t>
            </w:r>
            <w:r>
              <w:rPr>
                <w:spacing w:val="27"/>
              </w:rPr>
              <w:t xml:space="preserve"> </w:t>
            </w:r>
            <w:r>
              <w:rPr>
                <w:spacing w:val="-4"/>
              </w:rPr>
              <w:t>15&lt;d,一级</w:t>
            </w:r>
          </w:p>
          <w:p>
            <w:pPr>
              <w:pStyle w:val="95"/>
              <w:spacing w:before="100" w:line="313" w:lineRule="exact"/>
              <w:ind w:left="112"/>
            </w:pPr>
            <w:r>
              <w:rPr>
                <w:spacing w:val="-3"/>
                <w:position w:val="10"/>
              </w:rPr>
              <w:t>②</w:t>
            </w:r>
            <w:r>
              <w:rPr>
                <w:spacing w:val="22"/>
                <w:position w:val="10"/>
              </w:rPr>
              <w:t xml:space="preserve"> </w:t>
            </w:r>
            <w:r>
              <w:rPr>
                <w:spacing w:val="-3"/>
                <w:position w:val="10"/>
              </w:rPr>
              <w:t>12&lt;d≤15，二级</w:t>
            </w:r>
          </w:p>
          <w:p>
            <w:pPr>
              <w:pStyle w:val="95"/>
              <w:spacing w:line="217" w:lineRule="auto"/>
              <w:ind w:left="112"/>
            </w:pPr>
            <w:r>
              <w:rPr>
                <w:spacing w:val="-2"/>
              </w:rPr>
              <w:t>③ 0&lt;d≤12，三级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11" w:hRule="atLeast"/>
        </w:trPr>
        <w:tc>
          <w:tcPr>
            <w:tcW w:w="936" w:type="dxa"/>
            <w:vMerge w:val="continue"/>
            <w:tcBorders>
              <w:top w:val="nil"/>
              <w:left w:val="single" w:color="000000" w:sz="6" w:space="0"/>
              <w:bottom w:val="nil"/>
            </w:tcBorders>
            <w:vAlign w:val="top"/>
          </w:tcPr>
          <w:p>
            <w:pPr>
              <w:rPr>
                <w:rFonts w:ascii="Arial"/>
                <w:sz w:val="21"/>
              </w:rPr>
            </w:pPr>
          </w:p>
        </w:tc>
        <w:tc>
          <w:tcPr>
            <w:tcW w:w="985" w:type="dxa"/>
            <w:vMerge w:val="continue"/>
            <w:tcBorders>
              <w:top w:val="nil"/>
              <w:bottom w:val="nil"/>
            </w:tcBorders>
            <w:vAlign w:val="top"/>
          </w:tcPr>
          <w:p>
            <w:pPr>
              <w:rPr>
                <w:rFonts w:ascii="Arial"/>
                <w:sz w:val="21"/>
              </w:rPr>
            </w:pPr>
          </w:p>
        </w:tc>
        <w:tc>
          <w:tcPr>
            <w:tcW w:w="1295" w:type="dxa"/>
            <w:vAlign w:val="top"/>
          </w:tcPr>
          <w:p>
            <w:pPr>
              <w:spacing w:line="311" w:lineRule="auto"/>
              <w:rPr>
                <w:rFonts w:ascii="Arial"/>
                <w:sz w:val="21"/>
              </w:rPr>
            </w:pPr>
          </w:p>
          <w:p>
            <w:pPr>
              <w:spacing w:line="312" w:lineRule="auto"/>
              <w:rPr>
                <w:rFonts w:ascii="Arial"/>
                <w:sz w:val="21"/>
              </w:rPr>
            </w:pPr>
          </w:p>
          <w:p>
            <w:pPr>
              <w:spacing w:line="312" w:lineRule="auto"/>
              <w:rPr>
                <w:rFonts w:ascii="Arial"/>
                <w:sz w:val="21"/>
              </w:rPr>
            </w:pPr>
          </w:p>
          <w:p>
            <w:pPr>
              <w:pStyle w:val="95"/>
              <w:spacing w:before="58" w:line="287" w:lineRule="auto"/>
              <w:ind w:left="106" w:right="110" w:firstLine="56"/>
              <w:jc w:val="both"/>
            </w:pPr>
            <w:r>
              <w:rPr>
                <w:spacing w:val="-5"/>
              </w:rPr>
              <w:t>14</w:t>
            </w:r>
            <w:r>
              <w:rPr>
                <w:spacing w:val="12"/>
              </w:rPr>
              <w:t xml:space="preserve"> </w:t>
            </w:r>
            <w:r>
              <w:rPr>
                <w:spacing w:val="-5"/>
              </w:rPr>
              <w:t>起重设备</w:t>
            </w:r>
            <w:r>
              <w:t xml:space="preserve"> </w:t>
            </w:r>
            <w:r>
              <w:rPr>
                <w:spacing w:val="-2"/>
              </w:rPr>
              <w:t>安装工程专业</w:t>
            </w:r>
            <w:r>
              <w:rPr>
                <w:spacing w:val="3"/>
              </w:rPr>
              <w:t xml:space="preserve"> </w:t>
            </w:r>
            <w:r>
              <w:rPr>
                <w:spacing w:val="-2"/>
              </w:rPr>
              <w:t>承包资质标准</w:t>
            </w:r>
          </w:p>
        </w:tc>
        <w:tc>
          <w:tcPr>
            <w:tcW w:w="4380" w:type="dxa"/>
            <w:vAlign w:val="top"/>
          </w:tcPr>
          <w:p>
            <w:pPr>
              <w:pStyle w:val="95"/>
              <w:spacing w:before="64" w:line="220" w:lineRule="auto"/>
              <w:ind w:left="110"/>
            </w:pPr>
            <w:r>
              <w:rPr>
                <w:spacing w:val="-6"/>
              </w:rPr>
              <w:t>一级资质承建范围：</w:t>
            </w:r>
          </w:p>
          <w:p>
            <w:pPr>
              <w:pStyle w:val="95"/>
              <w:spacing w:before="98" w:line="270" w:lineRule="auto"/>
              <w:ind w:left="111" w:right="134" w:hanging="2"/>
            </w:pPr>
            <w:r>
              <w:rPr>
                <w:spacing w:val="-1"/>
              </w:rPr>
              <w:t>可承担塔式起重机、各类施工升降机和门式起重机的</w:t>
            </w:r>
            <w:r>
              <w:rPr>
                <w:spacing w:val="13"/>
              </w:rPr>
              <w:t xml:space="preserve"> </w:t>
            </w:r>
            <w:r>
              <w:rPr>
                <w:spacing w:val="-6"/>
              </w:rPr>
              <w:t>安装与拆卸。</w:t>
            </w:r>
          </w:p>
          <w:p>
            <w:pPr>
              <w:pStyle w:val="95"/>
              <w:spacing w:before="96" w:line="220" w:lineRule="auto"/>
              <w:ind w:left="110"/>
            </w:pPr>
            <w:r>
              <w:rPr>
                <w:spacing w:val="-6"/>
              </w:rPr>
              <w:t>二级资质承建范围：</w:t>
            </w:r>
          </w:p>
          <w:p>
            <w:pPr>
              <w:pStyle w:val="95"/>
              <w:spacing w:before="98" w:line="269" w:lineRule="auto"/>
              <w:ind w:left="121" w:right="222" w:hanging="12"/>
            </w:pPr>
            <w:r>
              <w:rPr>
                <w:spacing w:val="-1"/>
              </w:rPr>
              <w:t>可承担</w:t>
            </w:r>
            <w:r>
              <w:rPr>
                <w:spacing w:val="-33"/>
              </w:rPr>
              <w:t xml:space="preserve"> </w:t>
            </w:r>
            <w:r>
              <w:rPr>
                <w:spacing w:val="-1"/>
              </w:rPr>
              <w:t>3150</w:t>
            </w:r>
            <w:r>
              <w:rPr>
                <w:spacing w:val="-36"/>
              </w:rPr>
              <w:t xml:space="preserve"> </w:t>
            </w:r>
            <w:r>
              <w:rPr>
                <w:spacing w:val="-1"/>
              </w:rPr>
              <w:t>千牛·米以下塔式起重机、</w:t>
            </w:r>
            <w:r>
              <w:rPr>
                <w:spacing w:val="-2"/>
              </w:rPr>
              <w:t>各类施工升</w:t>
            </w:r>
            <w:r>
              <w:t xml:space="preserve"> </w:t>
            </w:r>
            <w:r>
              <w:rPr>
                <w:spacing w:val="-3"/>
              </w:rPr>
              <w:t>降机和门式起重机的安装与拆卸。</w:t>
            </w:r>
          </w:p>
          <w:p>
            <w:pPr>
              <w:pStyle w:val="95"/>
              <w:spacing w:before="98" w:line="220" w:lineRule="auto"/>
              <w:ind w:left="107"/>
            </w:pPr>
            <w:r>
              <w:rPr>
                <w:spacing w:val="-5"/>
              </w:rPr>
              <w:t>三级资质承建范围：</w:t>
            </w:r>
          </w:p>
          <w:p>
            <w:pPr>
              <w:pStyle w:val="95"/>
              <w:spacing w:before="99" w:line="269" w:lineRule="auto"/>
              <w:ind w:left="107" w:right="133" w:firstLine="2"/>
            </w:pPr>
            <w:r>
              <w:rPr>
                <w:spacing w:val="-1"/>
              </w:rPr>
              <w:t>可承担</w:t>
            </w:r>
            <w:r>
              <w:rPr>
                <w:spacing w:val="-36"/>
              </w:rPr>
              <w:t xml:space="preserve"> </w:t>
            </w:r>
            <w:r>
              <w:rPr>
                <w:spacing w:val="-1"/>
              </w:rPr>
              <w:t>800</w:t>
            </w:r>
            <w:r>
              <w:rPr>
                <w:spacing w:val="-36"/>
              </w:rPr>
              <w:t xml:space="preserve"> </w:t>
            </w:r>
            <w:r>
              <w:rPr>
                <w:spacing w:val="-1"/>
              </w:rPr>
              <w:t>千牛·米以下塔式起重机、各类施</w:t>
            </w:r>
            <w:r>
              <w:rPr>
                <w:spacing w:val="-2"/>
              </w:rPr>
              <w:t>工升降</w:t>
            </w:r>
            <w:r>
              <w:t xml:space="preserve"> </w:t>
            </w:r>
            <w:r>
              <w:rPr>
                <w:spacing w:val="-3"/>
              </w:rPr>
              <w:t>机和门式起重机的安装与拆卸。</w:t>
            </w:r>
          </w:p>
        </w:tc>
        <w:tc>
          <w:tcPr>
            <w:tcW w:w="3269" w:type="dxa"/>
            <w:vAlign w:val="top"/>
          </w:tcPr>
          <w:p>
            <w:pPr>
              <w:spacing w:line="312" w:lineRule="auto"/>
              <w:rPr>
                <w:rFonts w:ascii="Arial"/>
                <w:sz w:val="21"/>
              </w:rPr>
            </w:pPr>
          </w:p>
          <w:p>
            <w:pPr>
              <w:spacing w:line="312" w:lineRule="auto"/>
              <w:rPr>
                <w:rFonts w:ascii="Arial"/>
                <w:sz w:val="21"/>
              </w:rPr>
            </w:pPr>
          </w:p>
          <w:p>
            <w:pPr>
              <w:spacing w:line="312" w:lineRule="auto"/>
              <w:rPr>
                <w:rFonts w:ascii="Arial"/>
                <w:sz w:val="21"/>
              </w:rPr>
            </w:pPr>
          </w:p>
          <w:p>
            <w:pPr>
              <w:pStyle w:val="95"/>
              <w:tabs>
                <w:tab w:val="left" w:pos="735"/>
              </w:tabs>
              <w:spacing w:before="59" w:line="287" w:lineRule="auto"/>
              <w:ind w:left="110" w:right="196" w:hanging="6"/>
            </w:pPr>
            <w:r>
              <w:rPr>
                <w:u w:val="single" w:color="auto"/>
              </w:rPr>
              <w:tab/>
            </w:r>
            <w:r>
              <w:rPr>
                <w:u w:val="single" w:color="auto"/>
              </w:rPr>
              <w:tab/>
            </w:r>
            <w:r>
              <w:rPr>
                <w:spacing w:val="-74"/>
              </w:rPr>
              <w:t xml:space="preserve"> </w:t>
            </w:r>
            <w:r>
              <w:rPr>
                <w:spacing w:val="-2"/>
              </w:rPr>
              <w:t>千牛·米的塔式起重机、各类</w:t>
            </w:r>
            <w:r>
              <w:t xml:space="preserve"> </w:t>
            </w:r>
            <w:r>
              <w:rPr>
                <w:spacing w:val="-1"/>
              </w:rPr>
              <w:t>施工升降机和门式起重机的安装与拆</w:t>
            </w:r>
            <w:r>
              <w:rPr>
                <w:spacing w:val="4"/>
              </w:rPr>
              <w:t xml:space="preserve">  </w:t>
            </w:r>
            <w:r>
              <w:t>卸</w:t>
            </w:r>
          </w:p>
        </w:tc>
        <w:tc>
          <w:tcPr>
            <w:tcW w:w="677"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95"/>
              <w:spacing w:before="58" w:line="220" w:lineRule="auto"/>
              <w:ind w:left="165"/>
            </w:pPr>
            <w:r>
              <w:rPr>
                <w:spacing w:val="-3"/>
              </w:rPr>
              <w:t>数值</w:t>
            </w:r>
          </w:p>
        </w:tc>
        <w:tc>
          <w:tcPr>
            <w:tcW w:w="2408" w:type="dxa"/>
            <w:vAlign w:val="top"/>
          </w:tcPr>
          <w:p>
            <w:pPr>
              <w:spacing w:line="312" w:lineRule="auto"/>
              <w:rPr>
                <w:rFonts w:ascii="Arial"/>
                <w:sz w:val="21"/>
              </w:rPr>
            </w:pPr>
          </w:p>
          <w:p>
            <w:pPr>
              <w:spacing w:line="312" w:lineRule="auto"/>
              <w:rPr>
                <w:rFonts w:ascii="Arial"/>
                <w:sz w:val="21"/>
              </w:rPr>
            </w:pPr>
          </w:p>
          <w:p>
            <w:pPr>
              <w:spacing w:line="312" w:lineRule="auto"/>
              <w:rPr>
                <w:rFonts w:ascii="Arial"/>
                <w:sz w:val="21"/>
              </w:rPr>
            </w:pPr>
          </w:p>
          <w:p>
            <w:pPr>
              <w:pStyle w:val="95"/>
              <w:spacing w:before="58" w:line="217" w:lineRule="auto"/>
              <w:ind w:left="113"/>
            </w:pPr>
            <w:r>
              <w:rPr>
                <w:spacing w:val="-2"/>
              </w:rPr>
              <w:t>①</w:t>
            </w:r>
            <w:r>
              <w:rPr>
                <w:spacing w:val="15"/>
              </w:rPr>
              <w:t xml:space="preserve"> </w:t>
            </w:r>
            <w:r>
              <w:rPr>
                <w:spacing w:val="-2"/>
              </w:rPr>
              <w:t>3150&lt;d,一级</w:t>
            </w:r>
          </w:p>
          <w:p>
            <w:pPr>
              <w:pStyle w:val="95"/>
              <w:spacing w:before="100" w:line="312" w:lineRule="exact"/>
              <w:ind w:left="112"/>
            </w:pPr>
            <w:r>
              <w:rPr>
                <w:spacing w:val="-1"/>
                <w:position w:val="10"/>
              </w:rPr>
              <w:t>② 800&lt;d≤3150，二级</w:t>
            </w:r>
          </w:p>
          <w:p>
            <w:pPr>
              <w:pStyle w:val="95"/>
              <w:spacing w:line="217" w:lineRule="auto"/>
              <w:ind w:left="112"/>
            </w:pPr>
            <w:r>
              <w:rPr>
                <w:spacing w:val="-1"/>
              </w:rPr>
              <w:t>③ 0&lt;d≤800，三级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0" w:hRule="atLeast"/>
        </w:trPr>
        <w:tc>
          <w:tcPr>
            <w:tcW w:w="936" w:type="dxa"/>
            <w:vMerge w:val="continue"/>
            <w:tcBorders>
              <w:top w:val="nil"/>
              <w:left w:val="single" w:color="000000" w:sz="6" w:space="0"/>
              <w:bottom w:val="nil"/>
            </w:tcBorders>
            <w:vAlign w:val="top"/>
          </w:tcPr>
          <w:p>
            <w:pPr>
              <w:rPr>
                <w:rFonts w:ascii="Arial"/>
                <w:sz w:val="21"/>
              </w:rPr>
            </w:pPr>
          </w:p>
        </w:tc>
        <w:tc>
          <w:tcPr>
            <w:tcW w:w="985" w:type="dxa"/>
            <w:vMerge w:val="continue"/>
            <w:tcBorders>
              <w:top w:val="nil"/>
              <w:bottom w:val="nil"/>
            </w:tcBorders>
            <w:vAlign w:val="top"/>
          </w:tcPr>
          <w:p>
            <w:pPr>
              <w:rPr>
                <w:rFonts w:ascii="Arial"/>
                <w:sz w:val="21"/>
              </w:rPr>
            </w:pPr>
          </w:p>
        </w:tc>
        <w:tc>
          <w:tcPr>
            <w:tcW w:w="1295" w:type="dxa"/>
            <w:vAlign w:val="top"/>
          </w:tcPr>
          <w:p>
            <w:pPr>
              <w:pStyle w:val="95"/>
              <w:spacing w:before="67" w:line="220" w:lineRule="auto"/>
              <w:ind w:left="163"/>
            </w:pPr>
            <w:r>
              <w:rPr>
                <w:spacing w:val="-5"/>
              </w:rPr>
              <w:t>15</w:t>
            </w:r>
            <w:r>
              <w:rPr>
                <w:spacing w:val="14"/>
              </w:rPr>
              <w:t xml:space="preserve"> </w:t>
            </w:r>
            <w:r>
              <w:rPr>
                <w:spacing w:val="-5"/>
              </w:rPr>
              <w:t>预拌混凝</w:t>
            </w:r>
          </w:p>
          <w:p>
            <w:pPr>
              <w:pStyle w:val="95"/>
              <w:spacing w:before="96" w:line="220" w:lineRule="auto"/>
              <w:ind w:left="107"/>
            </w:pPr>
            <w:r>
              <w:rPr>
                <w:spacing w:val="-2"/>
              </w:rPr>
              <w:t>土专业承包资</w:t>
            </w:r>
          </w:p>
          <w:p>
            <w:pPr>
              <w:pStyle w:val="95"/>
              <w:spacing w:before="98" w:line="220" w:lineRule="auto"/>
              <w:ind w:left="376"/>
            </w:pPr>
            <w:r>
              <w:rPr>
                <w:spacing w:val="-2"/>
              </w:rPr>
              <w:t>质标准</w:t>
            </w:r>
          </w:p>
        </w:tc>
        <w:tc>
          <w:tcPr>
            <w:tcW w:w="4380" w:type="dxa"/>
            <w:vAlign w:val="top"/>
          </w:tcPr>
          <w:p>
            <w:pPr>
              <w:spacing w:line="318" w:lineRule="auto"/>
              <w:rPr>
                <w:rFonts w:ascii="Arial"/>
                <w:sz w:val="21"/>
              </w:rPr>
            </w:pPr>
          </w:p>
          <w:p>
            <w:pPr>
              <w:pStyle w:val="95"/>
              <w:spacing w:before="58" w:line="220" w:lineRule="auto"/>
              <w:ind w:left="109"/>
            </w:pPr>
            <w:r>
              <w:rPr>
                <w:spacing w:val="-2"/>
              </w:rPr>
              <w:t>可生产各种强度等级的混凝土和特种混凝土。</w:t>
            </w:r>
          </w:p>
        </w:tc>
        <w:tc>
          <w:tcPr>
            <w:tcW w:w="3269" w:type="dxa"/>
            <w:vAlign w:val="top"/>
          </w:tcPr>
          <w:p>
            <w:pPr>
              <w:rPr>
                <w:rFonts w:ascii="Arial"/>
                <w:sz w:val="21"/>
              </w:rPr>
            </w:pPr>
          </w:p>
        </w:tc>
        <w:tc>
          <w:tcPr>
            <w:tcW w:w="677" w:type="dxa"/>
            <w:vAlign w:val="top"/>
          </w:tcPr>
          <w:p>
            <w:pPr>
              <w:rPr>
                <w:rFonts w:ascii="Arial"/>
                <w:sz w:val="21"/>
              </w:rPr>
            </w:pPr>
          </w:p>
        </w:tc>
        <w:tc>
          <w:tcPr>
            <w:tcW w:w="2408" w:type="dxa"/>
            <w:vAlign w:val="top"/>
          </w:tcPr>
          <w:p>
            <w:pPr>
              <w:spacing w:line="318" w:lineRule="auto"/>
              <w:rPr>
                <w:rFonts w:ascii="Arial"/>
                <w:sz w:val="21"/>
              </w:rPr>
            </w:pPr>
          </w:p>
          <w:p>
            <w:pPr>
              <w:pStyle w:val="95"/>
              <w:spacing w:before="58" w:line="220" w:lineRule="auto"/>
              <w:ind w:left="116"/>
            </w:pPr>
            <w:r>
              <w:rPr>
                <w:spacing w:val="-2"/>
              </w:rPr>
              <w:t>不分等级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41" w:hRule="atLeast"/>
        </w:trPr>
        <w:tc>
          <w:tcPr>
            <w:tcW w:w="936" w:type="dxa"/>
            <w:vMerge w:val="continue"/>
            <w:tcBorders>
              <w:top w:val="nil"/>
              <w:left w:val="single" w:color="000000" w:sz="6" w:space="0"/>
              <w:bottom w:val="nil"/>
            </w:tcBorders>
            <w:vAlign w:val="top"/>
          </w:tcPr>
          <w:p>
            <w:pPr>
              <w:rPr>
                <w:rFonts w:ascii="Arial"/>
                <w:sz w:val="21"/>
              </w:rPr>
            </w:pPr>
          </w:p>
        </w:tc>
        <w:tc>
          <w:tcPr>
            <w:tcW w:w="985" w:type="dxa"/>
            <w:vMerge w:val="continue"/>
            <w:tcBorders>
              <w:top w:val="nil"/>
              <w:bottom w:val="nil"/>
            </w:tcBorders>
            <w:vAlign w:val="top"/>
          </w:tcPr>
          <w:p>
            <w:pPr>
              <w:rPr>
                <w:rFonts w:ascii="Arial"/>
                <w:sz w:val="21"/>
              </w:rPr>
            </w:pPr>
          </w:p>
        </w:tc>
        <w:tc>
          <w:tcPr>
            <w:tcW w:w="1295" w:type="dxa"/>
            <w:vMerge w:val="restart"/>
            <w:tcBorders>
              <w:bottom w:val="nil"/>
            </w:tcBorders>
            <w:vAlign w:val="top"/>
          </w:tcPr>
          <w:p>
            <w:pPr>
              <w:spacing w:line="473" w:lineRule="auto"/>
              <w:rPr>
                <w:rFonts w:ascii="Arial"/>
                <w:sz w:val="21"/>
              </w:rPr>
            </w:pPr>
          </w:p>
          <w:p>
            <w:pPr>
              <w:pStyle w:val="95"/>
              <w:spacing w:before="58" w:line="287" w:lineRule="auto"/>
              <w:ind w:left="106" w:right="110" w:firstLine="56"/>
              <w:jc w:val="both"/>
            </w:pPr>
            <w:r>
              <w:rPr>
                <w:spacing w:val="-8"/>
              </w:rPr>
              <w:t>16</w:t>
            </w:r>
            <w:r>
              <w:rPr>
                <w:spacing w:val="30"/>
              </w:rPr>
              <w:t xml:space="preserve"> </w:t>
            </w:r>
            <w:r>
              <w:rPr>
                <w:spacing w:val="-8"/>
              </w:rPr>
              <w:t>电子与智</w:t>
            </w:r>
            <w:r>
              <w:t xml:space="preserve"> </w:t>
            </w:r>
            <w:r>
              <w:rPr>
                <w:spacing w:val="-2"/>
              </w:rPr>
              <w:t>能化工程专业</w:t>
            </w:r>
            <w:r>
              <w:rPr>
                <w:spacing w:val="3"/>
              </w:rPr>
              <w:t xml:space="preserve"> </w:t>
            </w:r>
            <w:r>
              <w:rPr>
                <w:spacing w:val="-2"/>
              </w:rPr>
              <w:t>承包资质标准</w:t>
            </w:r>
          </w:p>
        </w:tc>
        <w:tc>
          <w:tcPr>
            <w:tcW w:w="4380" w:type="dxa"/>
            <w:vMerge w:val="restart"/>
            <w:tcBorders>
              <w:bottom w:val="nil"/>
            </w:tcBorders>
            <w:vAlign w:val="top"/>
          </w:tcPr>
          <w:p>
            <w:pPr>
              <w:pStyle w:val="95"/>
              <w:spacing w:before="67" w:line="220" w:lineRule="auto"/>
              <w:ind w:left="110"/>
            </w:pPr>
            <w:r>
              <w:rPr>
                <w:spacing w:val="-6"/>
              </w:rPr>
              <w:t>一级资质承建范围：</w:t>
            </w:r>
          </w:p>
          <w:p>
            <w:pPr>
              <w:pStyle w:val="95"/>
              <w:spacing w:before="98" w:line="270" w:lineRule="auto"/>
              <w:ind w:left="110" w:right="536" w:hanging="1"/>
            </w:pPr>
            <w:r>
              <w:rPr>
                <w:spacing w:val="-3"/>
              </w:rPr>
              <w:t>可承担各类型电子工程、建筑智能化工程施工；</w:t>
            </w:r>
            <w:r>
              <w:rPr>
                <w:spacing w:val="11"/>
              </w:rPr>
              <w:t xml:space="preserve"> </w:t>
            </w:r>
            <w:r>
              <w:rPr>
                <w:spacing w:val="-6"/>
              </w:rPr>
              <w:t>二级资质承建范围：</w:t>
            </w:r>
          </w:p>
          <w:p>
            <w:pPr>
              <w:pStyle w:val="95"/>
              <w:spacing w:before="97" w:line="287" w:lineRule="auto"/>
              <w:ind w:left="109" w:right="222"/>
              <w:jc w:val="both"/>
            </w:pPr>
            <w:r>
              <w:rPr>
                <w:spacing w:val="-2"/>
              </w:rPr>
              <w:t>可承担单项合同额</w:t>
            </w:r>
            <w:r>
              <w:rPr>
                <w:spacing w:val="-19"/>
              </w:rPr>
              <w:t xml:space="preserve"> </w:t>
            </w:r>
            <w:r>
              <w:rPr>
                <w:spacing w:val="-2"/>
              </w:rPr>
              <w:t>2500</w:t>
            </w:r>
            <w:r>
              <w:rPr>
                <w:spacing w:val="-31"/>
              </w:rPr>
              <w:t xml:space="preserve"> </w:t>
            </w:r>
            <w:r>
              <w:rPr>
                <w:spacing w:val="-2"/>
              </w:rPr>
              <w:t>万元以下的电子工业制造设</w:t>
            </w:r>
            <w:r>
              <w:t xml:space="preserve"> </w:t>
            </w:r>
            <w:r>
              <w:rPr>
                <w:spacing w:val="-2"/>
              </w:rPr>
              <w:t>备安装工程和电子工业环境工程、单项合同额</w:t>
            </w:r>
            <w:r>
              <w:rPr>
                <w:spacing w:val="-6"/>
              </w:rPr>
              <w:t xml:space="preserve"> </w:t>
            </w:r>
            <w:r>
              <w:rPr>
                <w:spacing w:val="-2"/>
              </w:rPr>
              <w:t>1500</w:t>
            </w:r>
            <w:r>
              <w:t xml:space="preserve"> </w:t>
            </w:r>
            <w:r>
              <w:rPr>
                <w:spacing w:val="-1"/>
              </w:rPr>
              <w:t>万元以下的电子系统工程和建筑智能化工程施工</w:t>
            </w:r>
          </w:p>
        </w:tc>
        <w:tc>
          <w:tcPr>
            <w:tcW w:w="3269" w:type="dxa"/>
            <w:vAlign w:val="top"/>
          </w:tcPr>
          <w:p>
            <w:pPr>
              <w:pStyle w:val="95"/>
              <w:spacing w:before="125" w:line="270" w:lineRule="auto"/>
              <w:ind w:left="113" w:right="279" w:hanging="1"/>
            </w:pPr>
            <w:r>
              <w:rPr>
                <w:spacing w:val="-2"/>
              </w:rPr>
              <w:t>单项合同额</w:t>
            </w:r>
            <w:r>
              <w:rPr>
                <w:spacing w:val="-2"/>
                <w:u w:val="single" w:color="auto"/>
              </w:rPr>
              <w:t xml:space="preserve">    </w:t>
            </w:r>
            <w:r>
              <w:rPr>
                <w:spacing w:val="-64"/>
              </w:rPr>
              <w:t xml:space="preserve"> </w:t>
            </w:r>
            <w:r>
              <w:rPr>
                <w:spacing w:val="-2"/>
              </w:rPr>
              <w:t>万元的电子工业制造</w:t>
            </w:r>
            <w:r>
              <w:t xml:space="preserve"> </w:t>
            </w:r>
            <w:r>
              <w:rPr>
                <w:spacing w:val="-1"/>
              </w:rPr>
              <w:t>设备安装工程和电子工业环境工程</w:t>
            </w:r>
          </w:p>
        </w:tc>
        <w:tc>
          <w:tcPr>
            <w:tcW w:w="677" w:type="dxa"/>
            <w:vAlign w:val="top"/>
          </w:tcPr>
          <w:p>
            <w:pPr>
              <w:pStyle w:val="95"/>
              <w:spacing w:before="280" w:line="220" w:lineRule="auto"/>
              <w:ind w:left="165"/>
            </w:pPr>
            <w:r>
              <w:rPr>
                <w:spacing w:val="-3"/>
              </w:rPr>
              <w:t>数值</w:t>
            </w:r>
          </w:p>
        </w:tc>
        <w:tc>
          <w:tcPr>
            <w:tcW w:w="2408" w:type="dxa"/>
            <w:vAlign w:val="top"/>
          </w:tcPr>
          <w:p>
            <w:pPr>
              <w:pStyle w:val="95"/>
              <w:spacing w:before="124" w:line="217" w:lineRule="auto"/>
              <w:ind w:left="113"/>
            </w:pPr>
            <w:r>
              <w:rPr>
                <w:spacing w:val="-2"/>
              </w:rPr>
              <w:t>①</w:t>
            </w:r>
            <w:r>
              <w:rPr>
                <w:spacing w:val="15"/>
              </w:rPr>
              <w:t xml:space="preserve"> </w:t>
            </w:r>
            <w:r>
              <w:rPr>
                <w:spacing w:val="-2"/>
              </w:rPr>
              <w:t>2500&lt;d,一级</w:t>
            </w:r>
          </w:p>
          <w:p>
            <w:pPr>
              <w:pStyle w:val="95"/>
              <w:spacing w:before="101" w:line="217" w:lineRule="auto"/>
              <w:ind w:left="112"/>
            </w:pPr>
            <w:r>
              <w:rPr>
                <w:spacing w:val="-1"/>
              </w:rPr>
              <w:t>② 0&lt;d≤2500，二级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37" w:hRule="atLeast"/>
        </w:trPr>
        <w:tc>
          <w:tcPr>
            <w:tcW w:w="936" w:type="dxa"/>
            <w:vMerge w:val="continue"/>
            <w:tcBorders>
              <w:top w:val="nil"/>
              <w:left w:val="single" w:color="000000" w:sz="6" w:space="0"/>
            </w:tcBorders>
            <w:vAlign w:val="top"/>
          </w:tcPr>
          <w:p>
            <w:pPr>
              <w:rPr>
                <w:rFonts w:ascii="Arial"/>
                <w:sz w:val="21"/>
              </w:rPr>
            </w:pPr>
          </w:p>
        </w:tc>
        <w:tc>
          <w:tcPr>
            <w:tcW w:w="985" w:type="dxa"/>
            <w:vMerge w:val="continue"/>
            <w:tcBorders>
              <w:top w:val="nil"/>
            </w:tcBorders>
            <w:vAlign w:val="top"/>
          </w:tcPr>
          <w:p>
            <w:pPr>
              <w:rPr>
                <w:rFonts w:ascii="Arial"/>
                <w:sz w:val="21"/>
              </w:rPr>
            </w:pPr>
          </w:p>
        </w:tc>
        <w:tc>
          <w:tcPr>
            <w:tcW w:w="1295" w:type="dxa"/>
            <w:vMerge w:val="continue"/>
            <w:tcBorders>
              <w:top w:val="nil"/>
            </w:tcBorders>
            <w:vAlign w:val="top"/>
          </w:tcPr>
          <w:p>
            <w:pPr>
              <w:rPr>
                <w:rFonts w:ascii="Arial"/>
                <w:sz w:val="21"/>
              </w:rPr>
            </w:pPr>
          </w:p>
        </w:tc>
        <w:tc>
          <w:tcPr>
            <w:tcW w:w="4380" w:type="dxa"/>
            <w:vMerge w:val="continue"/>
            <w:tcBorders>
              <w:top w:val="nil"/>
            </w:tcBorders>
            <w:vAlign w:val="top"/>
          </w:tcPr>
          <w:p>
            <w:pPr>
              <w:rPr>
                <w:rFonts w:ascii="Arial"/>
                <w:sz w:val="21"/>
              </w:rPr>
            </w:pPr>
          </w:p>
        </w:tc>
        <w:tc>
          <w:tcPr>
            <w:tcW w:w="3269" w:type="dxa"/>
            <w:vAlign w:val="top"/>
          </w:tcPr>
          <w:p>
            <w:pPr>
              <w:spacing w:line="260" w:lineRule="auto"/>
              <w:rPr>
                <w:rFonts w:ascii="Arial"/>
                <w:sz w:val="21"/>
              </w:rPr>
            </w:pPr>
          </w:p>
          <w:p>
            <w:pPr>
              <w:pStyle w:val="95"/>
              <w:spacing w:before="59" w:line="270" w:lineRule="auto"/>
              <w:ind w:left="111" w:right="279"/>
            </w:pPr>
            <w:r>
              <w:rPr>
                <w:spacing w:val="-2"/>
              </w:rPr>
              <w:t>单项合同额</w:t>
            </w:r>
            <w:r>
              <w:rPr>
                <w:spacing w:val="-2"/>
                <w:u w:val="single" w:color="auto"/>
              </w:rPr>
              <w:t xml:space="preserve">    </w:t>
            </w:r>
            <w:r>
              <w:rPr>
                <w:spacing w:val="-64"/>
              </w:rPr>
              <w:t xml:space="preserve"> </w:t>
            </w:r>
            <w:r>
              <w:rPr>
                <w:spacing w:val="-2"/>
              </w:rPr>
              <w:t>万元的电子系统工程</w:t>
            </w:r>
            <w:r>
              <w:t xml:space="preserve"> </w:t>
            </w:r>
            <w:r>
              <w:rPr>
                <w:spacing w:val="-1"/>
              </w:rPr>
              <w:t>和建筑智能化工程施工</w:t>
            </w:r>
          </w:p>
        </w:tc>
        <w:tc>
          <w:tcPr>
            <w:tcW w:w="677" w:type="dxa"/>
            <w:vAlign w:val="top"/>
          </w:tcPr>
          <w:p>
            <w:pPr>
              <w:spacing w:line="415" w:lineRule="auto"/>
              <w:rPr>
                <w:rFonts w:ascii="Arial"/>
                <w:sz w:val="21"/>
              </w:rPr>
            </w:pPr>
          </w:p>
          <w:p>
            <w:pPr>
              <w:pStyle w:val="95"/>
              <w:spacing w:before="58" w:line="220" w:lineRule="auto"/>
              <w:ind w:left="165"/>
            </w:pPr>
            <w:r>
              <w:rPr>
                <w:spacing w:val="-3"/>
              </w:rPr>
              <w:t>数值</w:t>
            </w:r>
          </w:p>
        </w:tc>
        <w:tc>
          <w:tcPr>
            <w:tcW w:w="2408" w:type="dxa"/>
            <w:vAlign w:val="top"/>
          </w:tcPr>
          <w:p>
            <w:pPr>
              <w:spacing w:line="260" w:lineRule="auto"/>
              <w:rPr>
                <w:rFonts w:ascii="Arial"/>
                <w:sz w:val="21"/>
              </w:rPr>
            </w:pPr>
          </w:p>
          <w:p>
            <w:pPr>
              <w:pStyle w:val="95"/>
              <w:spacing w:before="58" w:line="217" w:lineRule="auto"/>
              <w:ind w:left="113"/>
            </w:pPr>
            <w:r>
              <w:rPr>
                <w:spacing w:val="-3"/>
              </w:rPr>
              <w:t>①</w:t>
            </w:r>
            <w:r>
              <w:rPr>
                <w:spacing w:val="25"/>
              </w:rPr>
              <w:t xml:space="preserve"> </w:t>
            </w:r>
            <w:r>
              <w:rPr>
                <w:spacing w:val="-3"/>
              </w:rPr>
              <w:t>1500&lt;d,一级</w:t>
            </w:r>
          </w:p>
          <w:p>
            <w:pPr>
              <w:pStyle w:val="95"/>
              <w:spacing w:before="101" w:line="217" w:lineRule="auto"/>
              <w:ind w:left="112"/>
            </w:pPr>
            <w:r>
              <w:rPr>
                <w:spacing w:val="-1"/>
              </w:rPr>
              <w:t>② 0&lt;d≤1500，二级</w:t>
            </w:r>
          </w:p>
        </w:tc>
      </w:tr>
    </w:tbl>
    <w:p>
      <w:pPr>
        <w:pStyle w:val="16"/>
        <w:spacing w:line="302" w:lineRule="auto"/>
      </w:pPr>
    </w:p>
    <w:p>
      <w:pPr>
        <w:pStyle w:val="16"/>
        <w:spacing w:line="302" w:lineRule="auto"/>
      </w:pPr>
    </w:p>
    <w:p>
      <w:pPr>
        <w:pStyle w:val="16"/>
        <w:spacing w:line="303" w:lineRule="auto"/>
      </w:pPr>
    </w:p>
    <w:p>
      <w:pPr>
        <w:pStyle w:val="16"/>
        <w:spacing w:before="69" w:line="327" w:lineRule="exact"/>
        <w:ind w:left="4054"/>
        <w:rPr>
          <w:sz w:val="24"/>
          <w:szCs w:val="24"/>
        </w:rPr>
      </w:pPr>
      <w:r>
        <w:rPr>
          <w:spacing w:val="-4"/>
          <w:position w:val="1"/>
          <w:sz w:val="24"/>
          <w:szCs w:val="24"/>
        </w:rPr>
        <w:t>28 /</w:t>
      </w:r>
      <w:r>
        <w:rPr>
          <w:spacing w:val="28"/>
          <w:w w:val="101"/>
          <w:position w:val="1"/>
          <w:sz w:val="24"/>
          <w:szCs w:val="24"/>
        </w:rPr>
        <w:t xml:space="preserve"> </w:t>
      </w:r>
      <w:r>
        <w:rPr>
          <w:spacing w:val="-4"/>
          <w:position w:val="1"/>
          <w:sz w:val="24"/>
          <w:szCs w:val="24"/>
        </w:rPr>
        <w:t>165</w:t>
      </w:r>
    </w:p>
    <w:p>
      <w:pPr>
        <w:spacing w:line="327" w:lineRule="exact"/>
        <w:rPr>
          <w:sz w:val="24"/>
          <w:szCs w:val="24"/>
        </w:rPr>
        <w:sectPr>
          <w:pgSz w:w="16839" w:h="11907"/>
          <w:pgMar w:top="400" w:right="1438" w:bottom="400" w:left="995" w:header="0" w:footer="0" w:gutter="0"/>
          <w:cols w:space="720" w:num="1"/>
        </w:sectPr>
      </w:pPr>
    </w:p>
    <w:p>
      <w:pPr>
        <w:spacing w:before="39"/>
      </w:pPr>
      <w:r>
        <mc:AlternateContent>
          <mc:Choice Requires="wps">
            <w:drawing>
              <wp:anchor distT="0" distB="0" distL="114300" distR="114300" simplePos="0" relativeHeight="251662336" behindDoc="0" locked="0" layoutInCell="0" allowOverlap="1">
                <wp:simplePos x="0" y="0"/>
                <wp:positionH relativeFrom="page">
                  <wp:posOffset>631825</wp:posOffset>
                </wp:positionH>
                <wp:positionV relativeFrom="page">
                  <wp:posOffset>6922135</wp:posOffset>
                </wp:positionV>
                <wp:extent cx="6292850" cy="6350"/>
                <wp:effectExtent l="0" t="0" r="0" b="0"/>
                <wp:wrapNone/>
                <wp:docPr id="7" name="任意多边形 7"/>
                <wp:cNvGraphicFramePr/>
                <a:graphic xmlns:a="http://schemas.openxmlformats.org/drawingml/2006/main">
                  <a:graphicData uri="http://schemas.microsoft.com/office/word/2010/wordprocessingShape">
                    <wps:wsp>
                      <wps:cNvSpPr/>
                      <wps:spPr>
                        <a:xfrm>
                          <a:off x="0" y="0"/>
                          <a:ext cx="6292850" cy="6350"/>
                        </a:xfrm>
                        <a:custGeom>
                          <a:avLst/>
                          <a:gdLst/>
                          <a:ahLst/>
                          <a:cxnLst/>
                          <a:pathLst>
                            <a:path w="9910" h="10">
                              <a:moveTo>
                                <a:pt x="5" y="5"/>
                              </a:moveTo>
                              <a:lnTo>
                                <a:pt x="4955" y="5"/>
                              </a:lnTo>
                              <a:moveTo>
                                <a:pt x="4955" y="5"/>
                              </a:moveTo>
                              <a:lnTo>
                                <a:pt x="9905" y="5"/>
                              </a:lnTo>
                            </a:path>
                          </a:pathLst>
                        </a:custGeom>
                        <a:noFill/>
                        <a:ln w="6350" cap="sq" cmpd="sng">
                          <a:solidFill>
                            <a:srgbClr val="000000"/>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49.75pt;margin-top:545.05pt;height:0.5pt;width:495.5pt;mso-position-horizontal-relative:page;mso-position-vertical-relative:page;z-index:251662336;mso-width-relative:page;mso-height-relative:page;" filled="f" stroked="t" coordsize="9910,10" o:allowincell="f" o:gfxdata="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BYAAABkcnMvUEsB&#10;AhQAFAAAAAgAh07iQO6Mgo7aAAAADQEAAA8AAAAAAAAAAQAgAAAAOAAAAGRycy9kb3ducmV2Lnht&#10;bFBLAQIUABQAAAAIAIdO4kBrNSQWUwIAAPQEAAAOAAAAAAAAAAEAIAAAAD8BAABkcnMvZTJvRG9j&#10;LnhtbFBLBQYAAAAABgAGAFkBAAAEBgAAAAA=&#10;" path="m5,5l4955,5m4955,5l9905,5e">
                <v:fill on="f" focussize="0,0"/>
                <v:stroke weight="0.5pt" color="#000000" miterlimit="10" joinstyle="miter" endcap="square"/>
                <v:imagedata o:title=""/>
                <o:lock v:ext="edit" aspectratio="f"/>
              </v:shape>
            </w:pict>
          </mc:Fallback>
        </mc:AlternateContent>
      </w:r>
    </w:p>
    <w:p>
      <w:pPr>
        <w:spacing w:before="39"/>
      </w:pPr>
    </w:p>
    <w:p>
      <w:pPr>
        <w:spacing w:before="39"/>
      </w:pPr>
    </w:p>
    <w:p>
      <w:pPr>
        <w:spacing w:before="38"/>
      </w:pPr>
    </w:p>
    <w:p>
      <w:pPr>
        <w:spacing w:before="38"/>
      </w:pPr>
    </w:p>
    <w:tbl>
      <w:tblPr>
        <w:tblStyle w:val="96"/>
        <w:tblW w:w="13950" w:type="dxa"/>
        <w:tblInd w:w="45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6"/>
        <w:gridCol w:w="985"/>
        <w:gridCol w:w="1295"/>
        <w:gridCol w:w="4380"/>
        <w:gridCol w:w="3269"/>
        <w:gridCol w:w="677"/>
        <w:gridCol w:w="24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500" w:hRule="atLeast"/>
        </w:trPr>
        <w:tc>
          <w:tcPr>
            <w:tcW w:w="936" w:type="dxa"/>
            <w:vMerge w:val="restart"/>
            <w:tcBorders>
              <w:top w:val="nil"/>
              <w:left w:val="single" w:color="000000" w:sz="6" w:space="0"/>
              <w:bottom w:val="nil"/>
            </w:tcBorders>
            <w:vAlign w:val="top"/>
          </w:tcPr>
          <w:p>
            <w:pPr>
              <w:rPr>
                <w:rFonts w:ascii="Arial"/>
                <w:sz w:val="21"/>
              </w:rPr>
            </w:pPr>
          </w:p>
        </w:tc>
        <w:tc>
          <w:tcPr>
            <w:tcW w:w="985" w:type="dxa"/>
            <w:vMerge w:val="restart"/>
            <w:tcBorders>
              <w:top w:val="nil"/>
              <w:bottom w:val="nil"/>
            </w:tcBorders>
            <w:vAlign w:val="top"/>
          </w:tcPr>
          <w:p>
            <w:pPr>
              <w:rPr>
                <w:rFonts w:ascii="Arial"/>
                <w:sz w:val="21"/>
              </w:rPr>
            </w:pPr>
          </w:p>
        </w:tc>
        <w:tc>
          <w:tcPr>
            <w:tcW w:w="1295" w:type="dxa"/>
            <w:tcBorders>
              <w:top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95"/>
              <w:spacing w:before="59" w:line="220" w:lineRule="auto"/>
              <w:ind w:left="163"/>
            </w:pPr>
            <w:r>
              <w:rPr>
                <w:spacing w:val="-5"/>
              </w:rPr>
              <w:t>17</w:t>
            </w:r>
            <w:r>
              <w:rPr>
                <w:spacing w:val="14"/>
              </w:rPr>
              <w:t xml:space="preserve"> </w:t>
            </w:r>
            <w:r>
              <w:rPr>
                <w:spacing w:val="-5"/>
              </w:rPr>
              <w:t>消防设施</w:t>
            </w:r>
          </w:p>
          <w:p>
            <w:pPr>
              <w:pStyle w:val="95"/>
              <w:spacing w:before="96" w:line="220" w:lineRule="auto"/>
              <w:ind w:left="108"/>
            </w:pPr>
            <w:r>
              <w:rPr>
                <w:spacing w:val="-2"/>
              </w:rPr>
              <w:t>工程专业承包</w:t>
            </w:r>
          </w:p>
          <w:p>
            <w:pPr>
              <w:pStyle w:val="95"/>
              <w:spacing w:before="98" w:line="220" w:lineRule="auto"/>
              <w:ind w:left="294"/>
            </w:pPr>
            <w:r>
              <w:rPr>
                <w:spacing w:val="-3"/>
              </w:rPr>
              <w:t>资质标准</w:t>
            </w:r>
          </w:p>
        </w:tc>
        <w:tc>
          <w:tcPr>
            <w:tcW w:w="4380" w:type="dxa"/>
            <w:tcBorders>
              <w:top w:val="nil"/>
            </w:tcBorders>
            <w:vAlign w:val="top"/>
          </w:tcPr>
          <w:p>
            <w:pPr>
              <w:pStyle w:val="95"/>
              <w:spacing w:before="63" w:line="220" w:lineRule="auto"/>
              <w:ind w:left="110"/>
            </w:pPr>
            <w:r>
              <w:rPr>
                <w:spacing w:val="-6"/>
              </w:rPr>
              <w:t>一级资质承建范围：</w:t>
            </w:r>
          </w:p>
          <w:p>
            <w:pPr>
              <w:pStyle w:val="95"/>
              <w:spacing w:before="97" w:line="220" w:lineRule="auto"/>
              <w:ind w:left="109"/>
            </w:pPr>
            <w:r>
              <w:rPr>
                <w:spacing w:val="-1"/>
              </w:rPr>
              <w:t>可承担各类型消防设施工程的施工</w:t>
            </w:r>
          </w:p>
          <w:p>
            <w:pPr>
              <w:pStyle w:val="95"/>
              <w:spacing w:before="97" w:line="220" w:lineRule="auto"/>
              <w:ind w:left="110"/>
            </w:pPr>
            <w:r>
              <w:rPr>
                <w:spacing w:val="-6"/>
              </w:rPr>
              <w:t>二级资质承建范围：</w:t>
            </w:r>
          </w:p>
          <w:p>
            <w:pPr>
              <w:pStyle w:val="95"/>
              <w:spacing w:before="98" w:line="270" w:lineRule="auto"/>
              <w:ind w:left="109" w:right="133"/>
            </w:pPr>
            <w:r>
              <w:rPr>
                <w:spacing w:val="-2"/>
              </w:rPr>
              <w:t>可承担单体建筑面积</w:t>
            </w:r>
            <w:r>
              <w:rPr>
                <w:spacing w:val="-21"/>
              </w:rPr>
              <w:t xml:space="preserve"> </w:t>
            </w:r>
            <w:r>
              <w:rPr>
                <w:spacing w:val="-2"/>
              </w:rPr>
              <w:t>5</w:t>
            </w:r>
            <w:r>
              <w:rPr>
                <w:spacing w:val="-32"/>
              </w:rPr>
              <w:t xml:space="preserve"> </w:t>
            </w:r>
            <w:r>
              <w:rPr>
                <w:spacing w:val="-2"/>
              </w:rPr>
              <w:t>万平方米以下的下列消防设施</w:t>
            </w:r>
            <w:r>
              <w:t xml:space="preserve"> </w:t>
            </w:r>
            <w:r>
              <w:rPr>
                <w:spacing w:val="-8"/>
              </w:rPr>
              <w:t>工程的施工：</w:t>
            </w:r>
          </w:p>
          <w:p>
            <w:pPr>
              <w:pStyle w:val="95"/>
              <w:spacing w:before="96" w:line="220" w:lineRule="auto"/>
              <w:ind w:left="112"/>
            </w:pPr>
            <w:r>
              <w:rPr>
                <w:spacing w:val="-3"/>
              </w:rPr>
              <w:t>（1）一类高层民用建筑以外的民用建筑；</w:t>
            </w:r>
          </w:p>
          <w:p>
            <w:pPr>
              <w:pStyle w:val="95"/>
              <w:spacing w:before="98" w:line="270" w:lineRule="auto"/>
              <w:ind w:left="107" w:right="230" w:firstLine="5"/>
            </w:pPr>
            <w:r>
              <w:rPr>
                <w:spacing w:val="-1"/>
              </w:rPr>
              <w:t>（2）火灾危险性丙类以下的厂房、仓库、储罐、堆</w:t>
            </w:r>
            <w:r>
              <w:rPr>
                <w:spacing w:val="3"/>
              </w:rPr>
              <w:t xml:space="preserve"> </w:t>
            </w:r>
            <w:r>
              <w:rPr>
                <w:spacing w:val="-9"/>
              </w:rPr>
              <w:t>场。</w:t>
            </w:r>
          </w:p>
        </w:tc>
        <w:tc>
          <w:tcPr>
            <w:tcW w:w="3269" w:type="dxa"/>
            <w:tcBorders>
              <w:top w:val="nil"/>
            </w:tcBorders>
            <w:vAlign w:val="top"/>
          </w:tcPr>
          <w:p>
            <w:pPr>
              <w:spacing w:line="315" w:lineRule="auto"/>
              <w:rPr>
                <w:rFonts w:ascii="Arial"/>
                <w:sz w:val="21"/>
              </w:rPr>
            </w:pPr>
          </w:p>
          <w:p>
            <w:pPr>
              <w:pStyle w:val="95"/>
              <w:spacing w:before="58" w:line="270" w:lineRule="auto"/>
              <w:ind w:left="114" w:right="279" w:hanging="2"/>
            </w:pPr>
            <w:r>
              <w:rPr>
                <w:spacing w:val="-2"/>
              </w:rPr>
              <w:t>单体建筑面积</w:t>
            </w:r>
            <w:r>
              <w:rPr>
                <w:spacing w:val="-2"/>
                <w:u w:val="single" w:color="auto"/>
              </w:rPr>
              <w:t xml:space="preserve">      </w:t>
            </w:r>
            <w:r>
              <w:rPr>
                <w:spacing w:val="-62"/>
              </w:rPr>
              <w:t xml:space="preserve"> </w:t>
            </w:r>
            <w:r>
              <w:rPr>
                <w:spacing w:val="-2"/>
              </w:rPr>
              <w:t>万平方米的下列</w:t>
            </w:r>
            <w:r>
              <w:t xml:space="preserve"> </w:t>
            </w:r>
            <w:r>
              <w:rPr>
                <w:spacing w:val="-5"/>
              </w:rPr>
              <w:t>消防设施工程的施工：</w:t>
            </w:r>
          </w:p>
          <w:p>
            <w:pPr>
              <w:pStyle w:val="95"/>
              <w:spacing w:before="97" w:line="270" w:lineRule="auto"/>
              <w:ind w:left="112" w:right="188" w:firstLine="3"/>
            </w:pPr>
            <w:r>
              <w:rPr>
                <w:spacing w:val="-1"/>
              </w:rPr>
              <w:t>（1）一类高层民用建筑以外的民用建</w:t>
            </w:r>
            <w:r>
              <w:rPr>
                <w:spacing w:val="5"/>
              </w:rPr>
              <w:t xml:space="preserve"> </w:t>
            </w:r>
            <w:r>
              <w:rPr>
                <w:spacing w:val="-13"/>
              </w:rPr>
              <w:t>筑；</w:t>
            </w:r>
          </w:p>
          <w:p>
            <w:pPr>
              <w:pStyle w:val="95"/>
              <w:spacing w:before="97" w:line="270" w:lineRule="auto"/>
              <w:ind w:left="111" w:right="195" w:firstLine="4"/>
            </w:pPr>
            <w:r>
              <w:rPr>
                <w:spacing w:val="-2"/>
              </w:rPr>
              <w:t>（2）火灾危险性丙类以下的厂房、仓</w:t>
            </w:r>
            <w:r>
              <w:rPr>
                <w:spacing w:val="15"/>
              </w:rPr>
              <w:t xml:space="preserve"> </w:t>
            </w:r>
            <w:r>
              <w:rPr>
                <w:spacing w:val="-4"/>
              </w:rPr>
              <w:t>库、储罐、堆场。</w:t>
            </w:r>
          </w:p>
        </w:tc>
        <w:tc>
          <w:tcPr>
            <w:tcW w:w="677" w:type="dxa"/>
            <w:tcBorders>
              <w:top w:val="nil"/>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pStyle w:val="95"/>
              <w:spacing w:before="59" w:line="220" w:lineRule="auto"/>
              <w:ind w:left="165"/>
            </w:pPr>
            <w:r>
              <w:rPr>
                <w:spacing w:val="-3"/>
              </w:rPr>
              <w:t>数值</w:t>
            </w:r>
          </w:p>
        </w:tc>
        <w:tc>
          <w:tcPr>
            <w:tcW w:w="2408" w:type="dxa"/>
            <w:tcBorders>
              <w:top w:val="nil"/>
            </w:tcBorders>
            <w:vAlign w:val="top"/>
          </w:tcPr>
          <w:p>
            <w:pPr>
              <w:spacing w:line="311" w:lineRule="auto"/>
              <w:rPr>
                <w:rFonts w:ascii="Arial"/>
                <w:sz w:val="21"/>
              </w:rPr>
            </w:pPr>
          </w:p>
          <w:p>
            <w:pPr>
              <w:spacing w:line="311" w:lineRule="auto"/>
              <w:rPr>
                <w:rFonts w:ascii="Arial"/>
                <w:sz w:val="21"/>
              </w:rPr>
            </w:pPr>
          </w:p>
          <w:p>
            <w:pPr>
              <w:spacing w:line="312" w:lineRule="auto"/>
              <w:rPr>
                <w:rFonts w:ascii="Arial"/>
                <w:sz w:val="21"/>
              </w:rPr>
            </w:pPr>
          </w:p>
          <w:p>
            <w:pPr>
              <w:pStyle w:val="95"/>
              <w:spacing w:before="59" w:line="217" w:lineRule="auto"/>
              <w:ind w:left="113"/>
            </w:pPr>
            <w:r>
              <w:rPr>
                <w:spacing w:val="-3"/>
              </w:rPr>
              <w:t>①</w:t>
            </w:r>
            <w:r>
              <w:rPr>
                <w:spacing w:val="17"/>
              </w:rPr>
              <w:t xml:space="preserve"> </w:t>
            </w:r>
            <w:r>
              <w:rPr>
                <w:spacing w:val="-3"/>
              </w:rPr>
              <w:t>5&lt;d,一级</w:t>
            </w:r>
          </w:p>
          <w:p>
            <w:pPr>
              <w:pStyle w:val="95"/>
              <w:spacing w:before="101" w:line="217" w:lineRule="auto"/>
              <w:ind w:left="112"/>
            </w:pPr>
            <w:r>
              <w:rPr>
                <w:spacing w:val="-1"/>
              </w:rPr>
              <w:t>② 0&lt;d≤5，二级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936" w:type="dxa"/>
            <w:vMerge w:val="continue"/>
            <w:tcBorders>
              <w:top w:val="nil"/>
              <w:left w:val="single" w:color="000000" w:sz="6" w:space="0"/>
              <w:bottom w:val="nil"/>
            </w:tcBorders>
            <w:vAlign w:val="top"/>
          </w:tcPr>
          <w:p>
            <w:pPr>
              <w:rPr>
                <w:rFonts w:ascii="Arial"/>
                <w:sz w:val="21"/>
              </w:rPr>
            </w:pPr>
          </w:p>
        </w:tc>
        <w:tc>
          <w:tcPr>
            <w:tcW w:w="985" w:type="dxa"/>
            <w:vMerge w:val="continue"/>
            <w:tcBorders>
              <w:top w:val="nil"/>
              <w:bottom w:val="nil"/>
            </w:tcBorders>
            <w:vAlign w:val="top"/>
          </w:tcPr>
          <w:p>
            <w:pPr>
              <w:rPr>
                <w:rFonts w:ascii="Arial"/>
                <w:sz w:val="21"/>
              </w:rPr>
            </w:pPr>
          </w:p>
        </w:tc>
        <w:tc>
          <w:tcPr>
            <w:tcW w:w="1295" w:type="dxa"/>
            <w:vMerge w:val="restart"/>
            <w:tcBorders>
              <w:bottom w:val="nil"/>
            </w:tcBorders>
            <w:vAlign w:val="top"/>
          </w:tcPr>
          <w:p>
            <w:pPr>
              <w:spacing w:line="469" w:lineRule="auto"/>
              <w:rPr>
                <w:rFonts w:ascii="Arial"/>
                <w:sz w:val="21"/>
              </w:rPr>
            </w:pPr>
          </w:p>
          <w:p>
            <w:pPr>
              <w:pStyle w:val="95"/>
              <w:spacing w:before="59" w:line="287" w:lineRule="auto"/>
              <w:ind w:left="106" w:right="110" w:firstLine="56"/>
              <w:jc w:val="both"/>
            </w:pPr>
            <w:r>
              <w:rPr>
                <w:spacing w:val="-7"/>
              </w:rPr>
              <w:t>18</w:t>
            </w:r>
            <w:r>
              <w:rPr>
                <w:spacing w:val="24"/>
              </w:rPr>
              <w:t xml:space="preserve"> </w:t>
            </w:r>
            <w:r>
              <w:rPr>
                <w:spacing w:val="-7"/>
              </w:rPr>
              <w:t>防水防腐</w:t>
            </w:r>
            <w:r>
              <w:t xml:space="preserve"> </w:t>
            </w:r>
            <w:r>
              <w:rPr>
                <w:spacing w:val="-2"/>
              </w:rPr>
              <w:t>保温工程专业</w:t>
            </w:r>
            <w:r>
              <w:rPr>
                <w:spacing w:val="3"/>
              </w:rPr>
              <w:t xml:space="preserve"> </w:t>
            </w:r>
            <w:r>
              <w:rPr>
                <w:spacing w:val="-2"/>
              </w:rPr>
              <w:t>承包资质标准</w:t>
            </w:r>
          </w:p>
        </w:tc>
        <w:tc>
          <w:tcPr>
            <w:tcW w:w="4380" w:type="dxa"/>
            <w:vMerge w:val="restart"/>
            <w:tcBorders>
              <w:bottom w:val="nil"/>
            </w:tcBorders>
            <w:vAlign w:val="top"/>
          </w:tcPr>
          <w:p>
            <w:pPr>
              <w:pStyle w:val="95"/>
              <w:spacing w:before="64" w:line="220" w:lineRule="auto"/>
              <w:ind w:left="110"/>
            </w:pPr>
            <w:r>
              <w:rPr>
                <w:spacing w:val="-6"/>
              </w:rPr>
              <w:t>一级资质承建范围：</w:t>
            </w:r>
          </w:p>
          <w:p>
            <w:pPr>
              <w:pStyle w:val="95"/>
              <w:spacing w:before="97" w:line="270" w:lineRule="auto"/>
              <w:ind w:left="110" w:right="700" w:hanging="1"/>
            </w:pPr>
            <w:r>
              <w:rPr>
                <w:spacing w:val="-2"/>
              </w:rPr>
              <w:t>可承担各类建筑防水、防腐保温工程的施工。</w:t>
            </w:r>
            <w:r>
              <w:rPr>
                <w:spacing w:val="4"/>
              </w:rPr>
              <w:t xml:space="preserve"> </w:t>
            </w:r>
            <w:r>
              <w:rPr>
                <w:spacing w:val="-6"/>
              </w:rPr>
              <w:t>二级资质承建范围：</w:t>
            </w:r>
          </w:p>
          <w:p>
            <w:pPr>
              <w:pStyle w:val="95"/>
              <w:spacing w:before="97" w:line="220" w:lineRule="auto"/>
              <w:ind w:left="109"/>
            </w:pPr>
            <w:r>
              <w:rPr>
                <w:spacing w:val="-2"/>
              </w:rPr>
              <w:t>可承担单项合同额</w:t>
            </w:r>
            <w:r>
              <w:rPr>
                <w:spacing w:val="-21"/>
              </w:rPr>
              <w:t xml:space="preserve"> </w:t>
            </w:r>
            <w:r>
              <w:rPr>
                <w:spacing w:val="-2"/>
              </w:rPr>
              <w:t>300</w:t>
            </w:r>
            <w:r>
              <w:rPr>
                <w:spacing w:val="-32"/>
              </w:rPr>
              <w:t xml:space="preserve"> </w:t>
            </w:r>
            <w:r>
              <w:rPr>
                <w:spacing w:val="-2"/>
              </w:rPr>
              <w:t>万元以下建筑防水工程的施</w:t>
            </w:r>
          </w:p>
          <w:p>
            <w:pPr>
              <w:pStyle w:val="95"/>
              <w:spacing w:before="98" w:line="271" w:lineRule="auto"/>
              <w:ind w:left="107" w:right="133" w:firstLine="2"/>
            </w:pPr>
            <w:r>
              <w:rPr>
                <w:spacing w:val="-2"/>
              </w:rPr>
              <w:t>工，单项合同额</w:t>
            </w:r>
            <w:r>
              <w:rPr>
                <w:spacing w:val="-20"/>
              </w:rPr>
              <w:t xml:space="preserve"> </w:t>
            </w:r>
            <w:r>
              <w:rPr>
                <w:spacing w:val="-2"/>
              </w:rPr>
              <w:t>600</w:t>
            </w:r>
            <w:r>
              <w:rPr>
                <w:spacing w:val="-32"/>
              </w:rPr>
              <w:t xml:space="preserve"> </w:t>
            </w:r>
            <w:r>
              <w:rPr>
                <w:spacing w:val="-2"/>
              </w:rPr>
              <w:t>万元以下的各类防腐保温工程的</w:t>
            </w:r>
            <w:r>
              <w:t xml:space="preserve"> </w:t>
            </w:r>
            <w:r>
              <w:rPr>
                <w:spacing w:val="-2"/>
              </w:rPr>
              <w:t>施工</w:t>
            </w:r>
          </w:p>
        </w:tc>
        <w:tc>
          <w:tcPr>
            <w:tcW w:w="3269" w:type="dxa"/>
            <w:vAlign w:val="top"/>
          </w:tcPr>
          <w:p>
            <w:pPr>
              <w:pStyle w:val="95"/>
              <w:spacing w:before="65" w:line="271" w:lineRule="auto"/>
              <w:ind w:left="125" w:right="279" w:hanging="13"/>
            </w:pPr>
            <w:r>
              <w:rPr>
                <w:spacing w:val="-2"/>
              </w:rPr>
              <w:t>单项合同额</w:t>
            </w:r>
            <w:r>
              <w:rPr>
                <w:spacing w:val="-2"/>
                <w:u w:val="single" w:color="auto"/>
              </w:rPr>
              <w:t xml:space="preserve">    </w:t>
            </w:r>
            <w:r>
              <w:rPr>
                <w:spacing w:val="-64"/>
              </w:rPr>
              <w:t xml:space="preserve"> </w:t>
            </w:r>
            <w:r>
              <w:rPr>
                <w:spacing w:val="-2"/>
              </w:rPr>
              <w:t>万元的建筑防水工程</w:t>
            </w:r>
            <w:r>
              <w:t xml:space="preserve"> </w:t>
            </w:r>
            <w:r>
              <w:rPr>
                <w:spacing w:val="-5"/>
              </w:rPr>
              <w:t>的施工</w:t>
            </w:r>
          </w:p>
        </w:tc>
        <w:tc>
          <w:tcPr>
            <w:tcW w:w="677" w:type="dxa"/>
            <w:vAlign w:val="top"/>
          </w:tcPr>
          <w:p>
            <w:pPr>
              <w:pStyle w:val="95"/>
              <w:spacing w:before="220" w:line="220" w:lineRule="auto"/>
              <w:ind w:left="165"/>
            </w:pPr>
            <w:r>
              <w:rPr>
                <w:spacing w:val="-3"/>
              </w:rPr>
              <w:t>数值</w:t>
            </w:r>
          </w:p>
        </w:tc>
        <w:tc>
          <w:tcPr>
            <w:tcW w:w="2408" w:type="dxa"/>
            <w:vAlign w:val="top"/>
          </w:tcPr>
          <w:p>
            <w:pPr>
              <w:pStyle w:val="95"/>
              <w:spacing w:before="64" w:line="217" w:lineRule="auto"/>
              <w:ind w:left="113"/>
            </w:pPr>
            <w:r>
              <w:rPr>
                <w:spacing w:val="-2"/>
              </w:rPr>
              <w:t>①</w:t>
            </w:r>
            <w:r>
              <w:rPr>
                <w:spacing w:val="14"/>
              </w:rPr>
              <w:t xml:space="preserve"> </w:t>
            </w:r>
            <w:r>
              <w:rPr>
                <w:spacing w:val="-2"/>
              </w:rPr>
              <w:t>300&lt;d,一级</w:t>
            </w:r>
          </w:p>
          <w:p>
            <w:pPr>
              <w:pStyle w:val="95"/>
              <w:spacing w:before="101" w:line="217" w:lineRule="auto"/>
              <w:ind w:left="112"/>
            </w:pPr>
            <w:r>
              <w:rPr>
                <w:spacing w:val="-1"/>
              </w:rPr>
              <w:t>② 0&lt;d≤300，二级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42" w:hRule="atLeast"/>
        </w:trPr>
        <w:tc>
          <w:tcPr>
            <w:tcW w:w="936" w:type="dxa"/>
            <w:vMerge w:val="continue"/>
            <w:tcBorders>
              <w:top w:val="nil"/>
              <w:left w:val="single" w:color="000000" w:sz="6" w:space="0"/>
              <w:bottom w:val="nil"/>
            </w:tcBorders>
            <w:vAlign w:val="top"/>
          </w:tcPr>
          <w:p>
            <w:pPr>
              <w:rPr>
                <w:rFonts w:ascii="Arial"/>
                <w:sz w:val="21"/>
              </w:rPr>
            </w:pPr>
          </w:p>
        </w:tc>
        <w:tc>
          <w:tcPr>
            <w:tcW w:w="985" w:type="dxa"/>
            <w:vMerge w:val="continue"/>
            <w:tcBorders>
              <w:top w:val="nil"/>
              <w:bottom w:val="nil"/>
            </w:tcBorders>
            <w:vAlign w:val="top"/>
          </w:tcPr>
          <w:p>
            <w:pPr>
              <w:rPr>
                <w:rFonts w:ascii="Arial"/>
                <w:sz w:val="21"/>
              </w:rPr>
            </w:pPr>
          </w:p>
        </w:tc>
        <w:tc>
          <w:tcPr>
            <w:tcW w:w="1295" w:type="dxa"/>
            <w:vMerge w:val="continue"/>
            <w:tcBorders>
              <w:top w:val="nil"/>
            </w:tcBorders>
            <w:vAlign w:val="top"/>
          </w:tcPr>
          <w:p>
            <w:pPr>
              <w:rPr>
                <w:rFonts w:ascii="Arial"/>
                <w:sz w:val="21"/>
              </w:rPr>
            </w:pPr>
          </w:p>
        </w:tc>
        <w:tc>
          <w:tcPr>
            <w:tcW w:w="4380" w:type="dxa"/>
            <w:vMerge w:val="continue"/>
            <w:tcBorders>
              <w:top w:val="nil"/>
            </w:tcBorders>
            <w:vAlign w:val="top"/>
          </w:tcPr>
          <w:p>
            <w:pPr>
              <w:rPr>
                <w:rFonts w:ascii="Arial"/>
                <w:sz w:val="21"/>
              </w:rPr>
            </w:pPr>
          </w:p>
        </w:tc>
        <w:tc>
          <w:tcPr>
            <w:tcW w:w="3269" w:type="dxa"/>
            <w:vAlign w:val="top"/>
          </w:tcPr>
          <w:p>
            <w:pPr>
              <w:spacing w:line="312" w:lineRule="auto"/>
              <w:rPr>
                <w:rFonts w:ascii="Arial"/>
                <w:sz w:val="21"/>
              </w:rPr>
            </w:pPr>
          </w:p>
          <w:p>
            <w:pPr>
              <w:pStyle w:val="95"/>
              <w:spacing w:before="58" w:line="270" w:lineRule="auto"/>
              <w:ind w:left="112" w:right="279"/>
            </w:pPr>
            <w:r>
              <w:rPr>
                <w:spacing w:val="-2"/>
              </w:rPr>
              <w:t>单项合同额</w:t>
            </w:r>
            <w:r>
              <w:rPr>
                <w:spacing w:val="-2"/>
                <w:u w:val="single" w:color="auto"/>
              </w:rPr>
              <w:t xml:space="preserve">    </w:t>
            </w:r>
            <w:r>
              <w:rPr>
                <w:spacing w:val="-64"/>
              </w:rPr>
              <w:t xml:space="preserve"> </w:t>
            </w:r>
            <w:r>
              <w:rPr>
                <w:spacing w:val="-2"/>
              </w:rPr>
              <w:t>万元的的各类防腐保</w:t>
            </w:r>
            <w:r>
              <w:t xml:space="preserve"> </w:t>
            </w:r>
            <w:r>
              <w:rPr>
                <w:spacing w:val="-2"/>
              </w:rPr>
              <w:t>温工程的施工</w:t>
            </w:r>
          </w:p>
        </w:tc>
        <w:tc>
          <w:tcPr>
            <w:tcW w:w="677" w:type="dxa"/>
            <w:vAlign w:val="top"/>
          </w:tcPr>
          <w:p>
            <w:pPr>
              <w:spacing w:line="466" w:lineRule="auto"/>
              <w:rPr>
                <w:rFonts w:ascii="Arial"/>
                <w:sz w:val="21"/>
              </w:rPr>
            </w:pPr>
          </w:p>
          <w:p>
            <w:pPr>
              <w:pStyle w:val="95"/>
              <w:spacing w:before="59" w:line="220" w:lineRule="auto"/>
              <w:ind w:left="165"/>
            </w:pPr>
            <w:r>
              <w:rPr>
                <w:spacing w:val="-3"/>
              </w:rPr>
              <w:t>数值</w:t>
            </w:r>
          </w:p>
        </w:tc>
        <w:tc>
          <w:tcPr>
            <w:tcW w:w="2408" w:type="dxa"/>
            <w:vAlign w:val="top"/>
          </w:tcPr>
          <w:p>
            <w:pPr>
              <w:spacing w:line="311" w:lineRule="auto"/>
              <w:rPr>
                <w:rFonts w:ascii="Arial"/>
                <w:sz w:val="21"/>
              </w:rPr>
            </w:pPr>
          </w:p>
          <w:p>
            <w:pPr>
              <w:pStyle w:val="95"/>
              <w:spacing w:before="59" w:line="217" w:lineRule="auto"/>
              <w:ind w:left="113"/>
            </w:pPr>
            <w:r>
              <w:rPr>
                <w:spacing w:val="-2"/>
              </w:rPr>
              <w:t>①</w:t>
            </w:r>
            <w:r>
              <w:rPr>
                <w:spacing w:val="14"/>
              </w:rPr>
              <w:t xml:space="preserve"> </w:t>
            </w:r>
            <w:r>
              <w:rPr>
                <w:spacing w:val="-2"/>
              </w:rPr>
              <w:t>600&lt;d,一级</w:t>
            </w:r>
          </w:p>
          <w:p>
            <w:pPr>
              <w:pStyle w:val="95"/>
              <w:spacing w:before="101" w:line="217" w:lineRule="auto"/>
              <w:ind w:left="112"/>
            </w:pPr>
            <w:r>
              <w:rPr>
                <w:spacing w:val="-1"/>
              </w:rPr>
              <w:t>② 0&lt;d≤600，二级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30" w:hRule="atLeast"/>
        </w:trPr>
        <w:tc>
          <w:tcPr>
            <w:tcW w:w="936" w:type="dxa"/>
            <w:vMerge w:val="continue"/>
            <w:tcBorders>
              <w:top w:val="nil"/>
              <w:left w:val="single" w:color="000000" w:sz="6" w:space="0"/>
              <w:bottom w:val="nil"/>
            </w:tcBorders>
            <w:vAlign w:val="top"/>
          </w:tcPr>
          <w:p>
            <w:pPr>
              <w:rPr>
                <w:rFonts w:ascii="Arial"/>
                <w:sz w:val="21"/>
              </w:rPr>
            </w:pPr>
          </w:p>
        </w:tc>
        <w:tc>
          <w:tcPr>
            <w:tcW w:w="985" w:type="dxa"/>
            <w:vMerge w:val="continue"/>
            <w:tcBorders>
              <w:top w:val="nil"/>
              <w:bottom w:val="nil"/>
            </w:tcBorders>
            <w:vAlign w:val="top"/>
          </w:tcPr>
          <w:p>
            <w:pPr>
              <w:rPr>
                <w:rFonts w:ascii="Arial"/>
                <w:sz w:val="21"/>
              </w:rPr>
            </w:pPr>
          </w:p>
        </w:tc>
        <w:tc>
          <w:tcPr>
            <w:tcW w:w="1295" w:type="dxa"/>
            <w:vMerge w:val="restart"/>
            <w:tcBorders>
              <w:bottom w:val="nil"/>
            </w:tcBorders>
            <w:vAlign w:val="top"/>
          </w:tcPr>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pStyle w:val="95"/>
              <w:spacing w:before="58" w:line="220" w:lineRule="auto"/>
              <w:ind w:left="152"/>
            </w:pPr>
            <w:r>
              <w:rPr>
                <w:spacing w:val="-3"/>
              </w:rPr>
              <w:t>21</w:t>
            </w:r>
            <w:r>
              <w:rPr>
                <w:spacing w:val="12"/>
              </w:rPr>
              <w:t xml:space="preserve"> </w:t>
            </w:r>
            <w:r>
              <w:rPr>
                <w:spacing w:val="-3"/>
              </w:rPr>
              <w:t>钢结构工</w:t>
            </w:r>
          </w:p>
          <w:p>
            <w:pPr>
              <w:pStyle w:val="95"/>
              <w:spacing w:before="96" w:line="220" w:lineRule="auto"/>
              <w:ind w:left="106"/>
            </w:pPr>
            <w:r>
              <w:rPr>
                <w:spacing w:val="-1"/>
              </w:rPr>
              <w:t>程专业承包资</w:t>
            </w:r>
          </w:p>
          <w:p>
            <w:pPr>
              <w:pStyle w:val="95"/>
              <w:spacing w:before="98" w:line="220" w:lineRule="auto"/>
              <w:ind w:left="376"/>
            </w:pPr>
            <w:r>
              <w:rPr>
                <w:spacing w:val="-2"/>
              </w:rPr>
              <w:t>质标准</w:t>
            </w:r>
          </w:p>
        </w:tc>
        <w:tc>
          <w:tcPr>
            <w:tcW w:w="4380" w:type="dxa"/>
            <w:vMerge w:val="restart"/>
            <w:tcBorders>
              <w:bottom w:val="nil"/>
            </w:tcBorders>
            <w:vAlign w:val="top"/>
          </w:tcPr>
          <w:p>
            <w:pPr>
              <w:pStyle w:val="95"/>
              <w:spacing w:before="99" w:line="220" w:lineRule="auto"/>
              <w:ind w:left="110"/>
            </w:pPr>
            <w:r>
              <w:rPr>
                <w:spacing w:val="-6"/>
              </w:rPr>
              <w:t>一级资质承建范围：</w:t>
            </w:r>
          </w:p>
          <w:p>
            <w:pPr>
              <w:pStyle w:val="95"/>
              <w:spacing w:before="97" w:line="220" w:lineRule="auto"/>
              <w:ind w:left="109"/>
            </w:pPr>
            <w:r>
              <w:rPr>
                <w:spacing w:val="-4"/>
              </w:rPr>
              <w:t>可承担下列钢结构工程的施工：</w:t>
            </w:r>
          </w:p>
          <w:p>
            <w:pPr>
              <w:pStyle w:val="95"/>
              <w:spacing w:before="97" w:line="220" w:lineRule="auto"/>
              <w:ind w:left="112"/>
            </w:pPr>
            <w:r>
              <w:rPr>
                <w:spacing w:val="-5"/>
              </w:rPr>
              <w:t>（1）钢结构高度</w:t>
            </w:r>
            <w:r>
              <w:rPr>
                <w:spacing w:val="-24"/>
              </w:rPr>
              <w:t xml:space="preserve"> </w:t>
            </w:r>
            <w:r>
              <w:rPr>
                <w:spacing w:val="-5"/>
              </w:rPr>
              <w:t>60</w:t>
            </w:r>
            <w:r>
              <w:rPr>
                <w:spacing w:val="-36"/>
              </w:rPr>
              <w:t xml:space="preserve"> </w:t>
            </w:r>
            <w:r>
              <w:rPr>
                <w:spacing w:val="-5"/>
              </w:rPr>
              <w:t>米以上；</w:t>
            </w:r>
          </w:p>
          <w:p>
            <w:pPr>
              <w:pStyle w:val="95"/>
              <w:spacing w:before="97" w:line="220" w:lineRule="auto"/>
              <w:ind w:left="112"/>
            </w:pPr>
            <w:r>
              <w:rPr>
                <w:spacing w:val="-4"/>
              </w:rPr>
              <w:t>（2）钢结构单跨跨度</w:t>
            </w:r>
            <w:r>
              <w:rPr>
                <w:spacing w:val="-22"/>
              </w:rPr>
              <w:t xml:space="preserve"> </w:t>
            </w:r>
            <w:r>
              <w:rPr>
                <w:spacing w:val="-4"/>
              </w:rPr>
              <w:t>30</w:t>
            </w:r>
            <w:r>
              <w:rPr>
                <w:spacing w:val="-37"/>
              </w:rPr>
              <w:t xml:space="preserve"> </w:t>
            </w:r>
            <w:r>
              <w:rPr>
                <w:spacing w:val="-4"/>
              </w:rPr>
              <w:t>米以上；</w:t>
            </w:r>
          </w:p>
          <w:p>
            <w:pPr>
              <w:pStyle w:val="95"/>
              <w:spacing w:before="97" w:line="220" w:lineRule="auto"/>
              <w:ind w:left="112"/>
            </w:pPr>
            <w:r>
              <w:rPr>
                <w:spacing w:val="-3"/>
              </w:rPr>
              <w:t>（3）网壳、网架结构短边边跨跨度</w:t>
            </w:r>
            <w:r>
              <w:rPr>
                <w:spacing w:val="-23"/>
              </w:rPr>
              <w:t xml:space="preserve"> </w:t>
            </w:r>
            <w:r>
              <w:rPr>
                <w:spacing w:val="-3"/>
              </w:rPr>
              <w:t>50</w:t>
            </w:r>
            <w:r>
              <w:rPr>
                <w:spacing w:val="-36"/>
              </w:rPr>
              <w:t xml:space="preserve"> </w:t>
            </w:r>
            <w:r>
              <w:rPr>
                <w:spacing w:val="-3"/>
              </w:rPr>
              <w:t>米</w:t>
            </w:r>
            <w:r>
              <w:rPr>
                <w:spacing w:val="-4"/>
              </w:rPr>
              <w:t>以上；</w:t>
            </w:r>
          </w:p>
          <w:p>
            <w:pPr>
              <w:pStyle w:val="95"/>
              <w:spacing w:before="98" w:line="270" w:lineRule="auto"/>
              <w:ind w:left="112" w:right="350"/>
            </w:pPr>
            <w:r>
              <w:rPr>
                <w:spacing w:val="-4"/>
              </w:rPr>
              <w:t>（4）单体钢结构工程钢结构总重量</w:t>
            </w:r>
            <w:r>
              <w:rPr>
                <w:spacing w:val="-17"/>
              </w:rPr>
              <w:t xml:space="preserve"> </w:t>
            </w:r>
            <w:r>
              <w:rPr>
                <w:spacing w:val="-4"/>
              </w:rPr>
              <w:t>4000</w:t>
            </w:r>
            <w:r>
              <w:rPr>
                <w:spacing w:val="-27"/>
              </w:rPr>
              <w:t xml:space="preserve"> </w:t>
            </w:r>
            <w:r>
              <w:rPr>
                <w:spacing w:val="-4"/>
              </w:rPr>
              <w:t>吨以上；</w:t>
            </w:r>
            <w:r>
              <w:t xml:space="preserve"> </w:t>
            </w:r>
            <w:r>
              <w:rPr>
                <w:spacing w:val="-3"/>
              </w:rPr>
              <w:t>（5）单体建筑面积</w:t>
            </w:r>
            <w:r>
              <w:rPr>
                <w:spacing w:val="-7"/>
              </w:rPr>
              <w:t xml:space="preserve"> </w:t>
            </w:r>
            <w:r>
              <w:rPr>
                <w:spacing w:val="-3"/>
              </w:rPr>
              <w:t>30000</w:t>
            </w:r>
            <w:r>
              <w:rPr>
                <w:spacing w:val="-37"/>
              </w:rPr>
              <w:t xml:space="preserve"> </w:t>
            </w:r>
            <w:r>
              <w:rPr>
                <w:spacing w:val="-3"/>
              </w:rPr>
              <w:t>平方米以上</w:t>
            </w:r>
          </w:p>
          <w:p>
            <w:pPr>
              <w:pStyle w:val="95"/>
              <w:spacing w:before="97" w:line="220" w:lineRule="auto"/>
              <w:ind w:left="110"/>
            </w:pPr>
            <w:r>
              <w:rPr>
                <w:spacing w:val="-6"/>
              </w:rPr>
              <w:t>二级资质承建范围：</w:t>
            </w:r>
          </w:p>
          <w:p>
            <w:pPr>
              <w:pStyle w:val="95"/>
              <w:spacing w:before="99" w:line="220" w:lineRule="auto"/>
              <w:ind w:left="109"/>
            </w:pPr>
            <w:r>
              <w:rPr>
                <w:spacing w:val="-4"/>
              </w:rPr>
              <w:t>可承担下列钢结构工程的施工：</w:t>
            </w:r>
          </w:p>
          <w:p>
            <w:pPr>
              <w:pStyle w:val="95"/>
              <w:spacing w:before="97" w:line="220" w:lineRule="auto"/>
              <w:ind w:left="112"/>
            </w:pPr>
            <w:r>
              <w:rPr>
                <w:spacing w:val="-6"/>
              </w:rPr>
              <w:t>（1）钢结构高度 100</w:t>
            </w:r>
            <w:r>
              <w:rPr>
                <w:spacing w:val="-33"/>
              </w:rPr>
              <w:t xml:space="preserve"> </w:t>
            </w:r>
            <w:r>
              <w:rPr>
                <w:spacing w:val="-6"/>
              </w:rPr>
              <w:t>米以下；</w:t>
            </w:r>
          </w:p>
        </w:tc>
        <w:tc>
          <w:tcPr>
            <w:tcW w:w="3269" w:type="dxa"/>
            <w:vAlign w:val="top"/>
          </w:tcPr>
          <w:p>
            <w:pPr>
              <w:spacing w:line="258" w:lineRule="auto"/>
              <w:rPr>
                <w:rFonts w:ascii="Arial"/>
                <w:sz w:val="21"/>
              </w:rPr>
            </w:pPr>
          </w:p>
          <w:p>
            <w:pPr>
              <w:pStyle w:val="95"/>
              <w:spacing w:before="58" w:line="271" w:lineRule="auto"/>
              <w:ind w:left="112" w:right="459" w:hanging="3"/>
            </w:pPr>
            <w:r>
              <w:rPr>
                <w:spacing w:val="-1"/>
              </w:rPr>
              <w:t>钢结构高度</w:t>
            </w:r>
            <w:r>
              <w:rPr>
                <w:spacing w:val="-1"/>
                <w:u w:val="single" w:color="auto"/>
              </w:rPr>
              <w:t xml:space="preserve">    </w:t>
            </w:r>
            <w:r>
              <w:rPr>
                <w:spacing w:val="-80"/>
              </w:rPr>
              <w:t xml:space="preserve"> </w:t>
            </w:r>
            <w:r>
              <w:rPr>
                <w:spacing w:val="-1"/>
              </w:rPr>
              <w:t>米的钢结构工程施</w:t>
            </w:r>
            <w:r>
              <w:t xml:space="preserve"> </w:t>
            </w:r>
            <w:r>
              <w:rPr>
                <w:spacing w:val="-13"/>
              </w:rPr>
              <w:t>工；</w:t>
            </w:r>
          </w:p>
        </w:tc>
        <w:tc>
          <w:tcPr>
            <w:tcW w:w="677" w:type="dxa"/>
            <w:vAlign w:val="top"/>
          </w:tcPr>
          <w:p>
            <w:pPr>
              <w:spacing w:line="413" w:lineRule="auto"/>
              <w:rPr>
                <w:rFonts w:ascii="Arial"/>
                <w:sz w:val="21"/>
              </w:rPr>
            </w:pPr>
          </w:p>
          <w:p>
            <w:pPr>
              <w:pStyle w:val="95"/>
              <w:spacing w:before="58" w:line="220" w:lineRule="auto"/>
              <w:ind w:left="165"/>
            </w:pPr>
            <w:r>
              <w:rPr>
                <w:spacing w:val="-3"/>
              </w:rPr>
              <w:t>数值</w:t>
            </w:r>
          </w:p>
        </w:tc>
        <w:tc>
          <w:tcPr>
            <w:tcW w:w="2408" w:type="dxa"/>
            <w:vAlign w:val="top"/>
          </w:tcPr>
          <w:p>
            <w:pPr>
              <w:pStyle w:val="95"/>
              <w:spacing w:before="162" w:line="217" w:lineRule="auto"/>
              <w:ind w:left="113"/>
            </w:pPr>
            <w:r>
              <w:rPr>
                <w:spacing w:val="-3"/>
              </w:rPr>
              <w:t>①</w:t>
            </w:r>
            <w:r>
              <w:rPr>
                <w:spacing w:val="23"/>
              </w:rPr>
              <w:t xml:space="preserve"> </w:t>
            </w:r>
            <w:r>
              <w:rPr>
                <w:spacing w:val="-3"/>
              </w:rPr>
              <w:t>100&lt;d,一级</w:t>
            </w:r>
          </w:p>
          <w:p>
            <w:pPr>
              <w:pStyle w:val="95"/>
              <w:spacing w:before="100" w:line="312" w:lineRule="exact"/>
              <w:ind w:left="112"/>
            </w:pPr>
            <w:r>
              <w:rPr>
                <w:spacing w:val="-1"/>
                <w:position w:val="10"/>
              </w:rPr>
              <w:t>② 60&lt;d≤100，二级</w:t>
            </w:r>
          </w:p>
          <w:p>
            <w:pPr>
              <w:pStyle w:val="95"/>
              <w:spacing w:line="217" w:lineRule="auto"/>
              <w:ind w:left="112"/>
            </w:pPr>
            <w:r>
              <w:rPr>
                <w:spacing w:val="-2"/>
              </w:rPr>
              <w:t>③ 0&lt;d≤60，三级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09" w:hRule="atLeast"/>
        </w:trPr>
        <w:tc>
          <w:tcPr>
            <w:tcW w:w="936" w:type="dxa"/>
            <w:vMerge w:val="continue"/>
            <w:tcBorders>
              <w:top w:val="nil"/>
              <w:left w:val="single" w:color="000000" w:sz="6" w:space="0"/>
              <w:bottom w:val="nil"/>
            </w:tcBorders>
            <w:vAlign w:val="top"/>
          </w:tcPr>
          <w:p>
            <w:pPr>
              <w:rPr>
                <w:rFonts w:ascii="Arial"/>
                <w:sz w:val="21"/>
              </w:rPr>
            </w:pPr>
          </w:p>
        </w:tc>
        <w:tc>
          <w:tcPr>
            <w:tcW w:w="985" w:type="dxa"/>
            <w:vMerge w:val="continue"/>
            <w:tcBorders>
              <w:top w:val="nil"/>
              <w:bottom w:val="nil"/>
            </w:tcBorders>
            <w:vAlign w:val="top"/>
          </w:tcPr>
          <w:p>
            <w:pPr>
              <w:rPr>
                <w:rFonts w:ascii="Arial"/>
                <w:sz w:val="21"/>
              </w:rPr>
            </w:pPr>
          </w:p>
        </w:tc>
        <w:tc>
          <w:tcPr>
            <w:tcW w:w="1295" w:type="dxa"/>
            <w:vMerge w:val="continue"/>
            <w:tcBorders>
              <w:top w:val="nil"/>
              <w:bottom w:val="nil"/>
            </w:tcBorders>
            <w:vAlign w:val="top"/>
          </w:tcPr>
          <w:p>
            <w:pPr>
              <w:rPr>
                <w:rFonts w:ascii="Arial"/>
                <w:sz w:val="21"/>
              </w:rPr>
            </w:pPr>
          </w:p>
        </w:tc>
        <w:tc>
          <w:tcPr>
            <w:tcW w:w="4380" w:type="dxa"/>
            <w:vMerge w:val="continue"/>
            <w:tcBorders>
              <w:top w:val="nil"/>
              <w:bottom w:val="nil"/>
            </w:tcBorders>
            <w:vAlign w:val="top"/>
          </w:tcPr>
          <w:p>
            <w:pPr>
              <w:rPr>
                <w:rFonts w:ascii="Arial"/>
                <w:sz w:val="21"/>
              </w:rPr>
            </w:pPr>
          </w:p>
        </w:tc>
        <w:tc>
          <w:tcPr>
            <w:tcW w:w="3269" w:type="dxa"/>
            <w:vAlign w:val="top"/>
          </w:tcPr>
          <w:p>
            <w:pPr>
              <w:pStyle w:val="95"/>
              <w:spacing w:before="259" w:line="271" w:lineRule="auto"/>
              <w:ind w:left="109" w:right="279"/>
            </w:pPr>
            <w:r>
              <w:rPr>
                <w:spacing w:val="-1"/>
              </w:rPr>
              <w:t>钢结构单跨跨度</w:t>
            </w:r>
            <w:r>
              <w:rPr>
                <w:spacing w:val="-1"/>
                <w:u w:val="single" w:color="auto"/>
              </w:rPr>
              <w:t xml:space="preserve">    </w:t>
            </w:r>
            <w:r>
              <w:rPr>
                <w:spacing w:val="-79"/>
              </w:rPr>
              <w:t xml:space="preserve"> </w:t>
            </w:r>
            <w:r>
              <w:rPr>
                <w:spacing w:val="-1"/>
              </w:rPr>
              <w:t>米的钢结构工程</w:t>
            </w:r>
            <w:r>
              <w:t xml:space="preserve"> </w:t>
            </w:r>
            <w:r>
              <w:rPr>
                <w:spacing w:val="-2"/>
              </w:rPr>
              <w:t>施工</w:t>
            </w:r>
          </w:p>
        </w:tc>
        <w:tc>
          <w:tcPr>
            <w:tcW w:w="677" w:type="dxa"/>
            <w:vAlign w:val="top"/>
          </w:tcPr>
          <w:p>
            <w:pPr>
              <w:spacing w:line="353" w:lineRule="auto"/>
              <w:rPr>
                <w:rFonts w:ascii="Arial"/>
                <w:sz w:val="21"/>
              </w:rPr>
            </w:pPr>
          </w:p>
          <w:p>
            <w:pPr>
              <w:pStyle w:val="95"/>
              <w:spacing w:before="59" w:line="220" w:lineRule="auto"/>
              <w:ind w:left="165"/>
            </w:pPr>
            <w:r>
              <w:rPr>
                <w:spacing w:val="-3"/>
              </w:rPr>
              <w:t>数值</w:t>
            </w:r>
          </w:p>
        </w:tc>
        <w:tc>
          <w:tcPr>
            <w:tcW w:w="2408" w:type="dxa"/>
            <w:vAlign w:val="top"/>
          </w:tcPr>
          <w:p>
            <w:pPr>
              <w:pStyle w:val="95"/>
              <w:spacing w:before="102" w:line="217" w:lineRule="auto"/>
              <w:ind w:left="113"/>
            </w:pPr>
            <w:r>
              <w:rPr>
                <w:spacing w:val="-2"/>
              </w:rPr>
              <w:t>①</w:t>
            </w:r>
            <w:r>
              <w:rPr>
                <w:spacing w:val="11"/>
              </w:rPr>
              <w:t xml:space="preserve"> </w:t>
            </w:r>
            <w:r>
              <w:rPr>
                <w:spacing w:val="-2"/>
              </w:rPr>
              <w:t>36&lt;d,一级</w:t>
            </w:r>
          </w:p>
          <w:p>
            <w:pPr>
              <w:pStyle w:val="95"/>
              <w:spacing w:before="100" w:line="312" w:lineRule="exact"/>
              <w:ind w:left="112"/>
            </w:pPr>
            <w:r>
              <w:rPr>
                <w:spacing w:val="-1"/>
                <w:position w:val="10"/>
              </w:rPr>
              <w:t>② 30&lt;d≤36，二级</w:t>
            </w:r>
          </w:p>
          <w:p>
            <w:pPr>
              <w:pStyle w:val="95"/>
              <w:spacing w:line="217" w:lineRule="auto"/>
              <w:ind w:left="112"/>
            </w:pPr>
            <w:r>
              <w:rPr>
                <w:spacing w:val="-2"/>
              </w:rPr>
              <w:t>③ 0&lt;d≤30，三级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46" w:hRule="atLeast"/>
        </w:trPr>
        <w:tc>
          <w:tcPr>
            <w:tcW w:w="936" w:type="dxa"/>
            <w:vMerge w:val="continue"/>
            <w:tcBorders>
              <w:top w:val="nil"/>
              <w:left w:val="single" w:color="000000" w:sz="6" w:space="0"/>
            </w:tcBorders>
            <w:vAlign w:val="top"/>
          </w:tcPr>
          <w:p>
            <w:pPr>
              <w:rPr>
                <w:rFonts w:ascii="Arial"/>
                <w:sz w:val="21"/>
              </w:rPr>
            </w:pPr>
          </w:p>
        </w:tc>
        <w:tc>
          <w:tcPr>
            <w:tcW w:w="985" w:type="dxa"/>
            <w:vMerge w:val="continue"/>
            <w:tcBorders>
              <w:top w:val="nil"/>
            </w:tcBorders>
            <w:vAlign w:val="top"/>
          </w:tcPr>
          <w:p>
            <w:pPr>
              <w:rPr>
                <w:rFonts w:ascii="Arial"/>
                <w:sz w:val="21"/>
              </w:rPr>
            </w:pPr>
          </w:p>
        </w:tc>
        <w:tc>
          <w:tcPr>
            <w:tcW w:w="1295" w:type="dxa"/>
            <w:vMerge w:val="continue"/>
            <w:tcBorders>
              <w:top w:val="nil"/>
            </w:tcBorders>
            <w:vAlign w:val="top"/>
          </w:tcPr>
          <w:p>
            <w:pPr>
              <w:rPr>
                <w:rFonts w:ascii="Arial"/>
                <w:sz w:val="21"/>
              </w:rPr>
            </w:pPr>
          </w:p>
        </w:tc>
        <w:tc>
          <w:tcPr>
            <w:tcW w:w="4380" w:type="dxa"/>
            <w:vMerge w:val="continue"/>
            <w:tcBorders>
              <w:top w:val="nil"/>
            </w:tcBorders>
            <w:vAlign w:val="top"/>
          </w:tcPr>
          <w:p>
            <w:pPr>
              <w:rPr>
                <w:rFonts w:ascii="Arial"/>
                <w:sz w:val="21"/>
              </w:rPr>
            </w:pPr>
          </w:p>
        </w:tc>
        <w:tc>
          <w:tcPr>
            <w:tcW w:w="3269" w:type="dxa"/>
            <w:vAlign w:val="top"/>
          </w:tcPr>
          <w:p>
            <w:pPr>
              <w:pStyle w:val="95"/>
              <w:spacing w:before="275" w:line="270" w:lineRule="auto"/>
              <w:ind w:left="125" w:right="275"/>
            </w:pPr>
            <w:r>
              <w:rPr>
                <w:spacing w:val="-2"/>
              </w:rPr>
              <w:t>网壳、网架结构短边边跨跨度</w:t>
            </w:r>
            <w:r>
              <w:rPr>
                <w:spacing w:val="-2"/>
                <w:u w:val="single" w:color="auto"/>
              </w:rPr>
              <w:t xml:space="preserve">    </w:t>
            </w:r>
            <w:r>
              <w:rPr>
                <w:spacing w:val="-72"/>
              </w:rPr>
              <w:t xml:space="preserve"> </w:t>
            </w:r>
            <w:r>
              <w:rPr>
                <w:spacing w:val="-2"/>
              </w:rPr>
              <w:t>米</w:t>
            </w:r>
            <w:r>
              <w:t xml:space="preserve"> </w:t>
            </w:r>
            <w:r>
              <w:rPr>
                <w:spacing w:val="-3"/>
              </w:rPr>
              <w:t>的钢结构工程施工</w:t>
            </w:r>
          </w:p>
        </w:tc>
        <w:tc>
          <w:tcPr>
            <w:tcW w:w="677" w:type="dxa"/>
            <w:vAlign w:val="top"/>
          </w:tcPr>
          <w:p>
            <w:pPr>
              <w:spacing w:line="369" w:lineRule="auto"/>
              <w:rPr>
                <w:rFonts w:ascii="Arial"/>
                <w:sz w:val="21"/>
              </w:rPr>
            </w:pPr>
          </w:p>
          <w:p>
            <w:pPr>
              <w:pStyle w:val="95"/>
              <w:spacing w:before="59" w:line="220" w:lineRule="auto"/>
              <w:ind w:left="165"/>
            </w:pPr>
            <w:r>
              <w:rPr>
                <w:spacing w:val="-3"/>
              </w:rPr>
              <w:t>数值</w:t>
            </w:r>
          </w:p>
        </w:tc>
        <w:tc>
          <w:tcPr>
            <w:tcW w:w="2408" w:type="dxa"/>
            <w:vAlign w:val="top"/>
          </w:tcPr>
          <w:p>
            <w:pPr>
              <w:pStyle w:val="95"/>
              <w:spacing w:before="118" w:line="217" w:lineRule="auto"/>
              <w:ind w:left="113"/>
            </w:pPr>
            <w:r>
              <w:rPr>
                <w:spacing w:val="-3"/>
              </w:rPr>
              <w:t>①</w:t>
            </w:r>
            <w:r>
              <w:rPr>
                <w:spacing w:val="19"/>
              </w:rPr>
              <w:t xml:space="preserve"> </w:t>
            </w:r>
            <w:r>
              <w:rPr>
                <w:spacing w:val="-3"/>
              </w:rPr>
              <w:t>75&lt;d,一级</w:t>
            </w:r>
          </w:p>
          <w:p>
            <w:pPr>
              <w:pStyle w:val="95"/>
              <w:spacing w:before="101" w:line="312" w:lineRule="exact"/>
              <w:ind w:left="112"/>
            </w:pPr>
            <w:r>
              <w:rPr>
                <w:spacing w:val="-1"/>
                <w:position w:val="10"/>
              </w:rPr>
              <w:t>② 33&lt;d≤75，二级</w:t>
            </w:r>
          </w:p>
          <w:p>
            <w:pPr>
              <w:pStyle w:val="95"/>
              <w:spacing w:line="217" w:lineRule="auto"/>
              <w:ind w:left="112"/>
            </w:pPr>
            <w:r>
              <w:rPr>
                <w:spacing w:val="-2"/>
              </w:rPr>
              <w:t>③ 0&lt;d≤33，三级</w:t>
            </w:r>
          </w:p>
        </w:tc>
      </w:tr>
    </w:tbl>
    <w:p>
      <w:pPr>
        <w:pStyle w:val="16"/>
        <w:spacing w:line="245" w:lineRule="auto"/>
      </w:pPr>
    </w:p>
    <w:p>
      <w:pPr>
        <w:pStyle w:val="16"/>
        <w:spacing w:line="245" w:lineRule="auto"/>
      </w:pPr>
    </w:p>
    <w:p>
      <w:pPr>
        <w:pStyle w:val="16"/>
        <w:spacing w:line="245" w:lineRule="auto"/>
      </w:pPr>
    </w:p>
    <w:p>
      <w:pPr>
        <w:pStyle w:val="16"/>
        <w:spacing w:line="245" w:lineRule="auto"/>
      </w:pPr>
    </w:p>
    <w:p>
      <w:pPr>
        <w:pStyle w:val="16"/>
        <w:spacing w:line="246" w:lineRule="auto"/>
      </w:pPr>
    </w:p>
    <w:p>
      <w:pPr>
        <w:pStyle w:val="16"/>
        <w:spacing w:line="246" w:lineRule="auto"/>
      </w:pPr>
    </w:p>
    <w:p>
      <w:pPr>
        <w:pStyle w:val="16"/>
        <w:spacing w:before="69" w:line="328" w:lineRule="exact"/>
        <w:ind w:left="4054"/>
        <w:rPr>
          <w:sz w:val="24"/>
          <w:szCs w:val="24"/>
        </w:rPr>
      </w:pPr>
      <w:r>
        <w:rPr>
          <w:spacing w:val="-4"/>
          <w:position w:val="1"/>
          <w:sz w:val="24"/>
          <w:szCs w:val="24"/>
        </w:rPr>
        <w:t>29 /</w:t>
      </w:r>
      <w:r>
        <w:rPr>
          <w:spacing w:val="28"/>
          <w:w w:val="101"/>
          <w:position w:val="1"/>
          <w:sz w:val="24"/>
          <w:szCs w:val="24"/>
        </w:rPr>
        <w:t xml:space="preserve"> </w:t>
      </w:r>
      <w:r>
        <w:rPr>
          <w:spacing w:val="-4"/>
          <w:position w:val="1"/>
          <w:sz w:val="24"/>
          <w:szCs w:val="24"/>
        </w:rPr>
        <w:t>165</w:t>
      </w:r>
    </w:p>
    <w:p>
      <w:pPr>
        <w:spacing w:line="328" w:lineRule="exact"/>
        <w:rPr>
          <w:sz w:val="24"/>
          <w:szCs w:val="24"/>
        </w:rPr>
        <w:sectPr>
          <w:pgSz w:w="16839" w:h="11907"/>
          <w:pgMar w:top="400" w:right="1438" w:bottom="400" w:left="995" w:header="0" w:footer="0" w:gutter="0"/>
          <w:cols w:space="720" w:num="1"/>
        </w:sectPr>
      </w:pPr>
    </w:p>
    <w:p>
      <w:pPr>
        <w:spacing w:before="39"/>
      </w:pPr>
      <w:r>
        <mc:AlternateContent>
          <mc:Choice Requires="wps">
            <w:drawing>
              <wp:anchor distT="0" distB="0" distL="114300" distR="114300" simplePos="0" relativeHeight="251663360" behindDoc="0" locked="0" layoutInCell="0" allowOverlap="1">
                <wp:simplePos x="0" y="0"/>
                <wp:positionH relativeFrom="page">
                  <wp:posOffset>631825</wp:posOffset>
                </wp:positionH>
                <wp:positionV relativeFrom="page">
                  <wp:posOffset>6922135</wp:posOffset>
                </wp:positionV>
                <wp:extent cx="6292850" cy="6350"/>
                <wp:effectExtent l="0" t="0" r="0" b="0"/>
                <wp:wrapNone/>
                <wp:docPr id="14" name="任意多边形 14"/>
                <wp:cNvGraphicFramePr/>
                <a:graphic xmlns:a="http://schemas.openxmlformats.org/drawingml/2006/main">
                  <a:graphicData uri="http://schemas.microsoft.com/office/word/2010/wordprocessingShape">
                    <wps:wsp>
                      <wps:cNvSpPr/>
                      <wps:spPr>
                        <a:xfrm>
                          <a:off x="0" y="0"/>
                          <a:ext cx="6292850" cy="6350"/>
                        </a:xfrm>
                        <a:custGeom>
                          <a:avLst/>
                          <a:gdLst/>
                          <a:ahLst/>
                          <a:cxnLst/>
                          <a:pathLst>
                            <a:path w="9910" h="10">
                              <a:moveTo>
                                <a:pt x="5" y="5"/>
                              </a:moveTo>
                              <a:lnTo>
                                <a:pt x="4955" y="5"/>
                              </a:lnTo>
                              <a:moveTo>
                                <a:pt x="4955" y="5"/>
                              </a:moveTo>
                              <a:lnTo>
                                <a:pt x="9905" y="5"/>
                              </a:lnTo>
                            </a:path>
                          </a:pathLst>
                        </a:custGeom>
                        <a:noFill/>
                        <a:ln w="6350" cap="sq" cmpd="sng">
                          <a:solidFill>
                            <a:srgbClr val="000000"/>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49.75pt;margin-top:545.05pt;height:0.5pt;width:495.5pt;mso-position-horizontal-relative:page;mso-position-vertical-relative:page;z-index:251663360;mso-width-relative:page;mso-height-relative:page;" filled="f" stroked="t" coordsize="9910,10" o:allowincell="f" o:gfxdata="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WAAAAZHJzL1BL&#10;AQIUABQAAAAIAIdO4kDujIKO2gAAAA0BAAAPAAAAAAAAAAEAIAAAADgAAABkcnMvZG93bnJldi54&#10;bWxQSwECFAAUAAAACACHTuJAM2LYS1QCAAD2BAAADgAAAAAAAAABACAAAAA/AQAAZHJzL2Uyb0Rv&#10;Yy54bWxQSwUGAAAAAAYABgBZAQAABQYAAAAA&#10;" path="m5,5l4955,5m4955,5l9905,5e">
                <v:fill on="f" focussize="0,0"/>
                <v:stroke weight="0.5pt" color="#000000" miterlimit="10" joinstyle="miter" endcap="square"/>
                <v:imagedata o:title=""/>
                <o:lock v:ext="edit" aspectratio="f"/>
              </v:shape>
            </w:pict>
          </mc:Fallback>
        </mc:AlternateContent>
      </w:r>
    </w:p>
    <w:p>
      <w:pPr>
        <w:spacing w:before="39"/>
      </w:pPr>
    </w:p>
    <w:p>
      <w:pPr>
        <w:spacing w:before="39"/>
      </w:pPr>
    </w:p>
    <w:p>
      <w:pPr>
        <w:spacing w:before="38"/>
      </w:pPr>
    </w:p>
    <w:p>
      <w:pPr>
        <w:spacing w:before="38"/>
      </w:pPr>
    </w:p>
    <w:tbl>
      <w:tblPr>
        <w:tblStyle w:val="96"/>
        <w:tblW w:w="13950" w:type="dxa"/>
        <w:tblInd w:w="45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6"/>
        <w:gridCol w:w="985"/>
        <w:gridCol w:w="1295"/>
        <w:gridCol w:w="4380"/>
        <w:gridCol w:w="3269"/>
        <w:gridCol w:w="677"/>
        <w:gridCol w:w="24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70" w:hRule="atLeast"/>
        </w:trPr>
        <w:tc>
          <w:tcPr>
            <w:tcW w:w="936" w:type="dxa"/>
            <w:vMerge w:val="restart"/>
            <w:tcBorders>
              <w:top w:val="nil"/>
              <w:left w:val="single" w:color="000000" w:sz="6" w:space="0"/>
              <w:bottom w:val="nil"/>
            </w:tcBorders>
            <w:vAlign w:val="top"/>
          </w:tcPr>
          <w:p>
            <w:pPr>
              <w:rPr>
                <w:rFonts w:ascii="Arial"/>
                <w:sz w:val="21"/>
              </w:rPr>
            </w:pPr>
          </w:p>
        </w:tc>
        <w:tc>
          <w:tcPr>
            <w:tcW w:w="985" w:type="dxa"/>
            <w:vMerge w:val="restart"/>
            <w:tcBorders>
              <w:top w:val="nil"/>
              <w:bottom w:val="nil"/>
            </w:tcBorders>
            <w:vAlign w:val="top"/>
          </w:tcPr>
          <w:p>
            <w:pPr>
              <w:rPr>
                <w:rFonts w:ascii="Arial"/>
                <w:sz w:val="21"/>
              </w:rPr>
            </w:pPr>
          </w:p>
        </w:tc>
        <w:tc>
          <w:tcPr>
            <w:tcW w:w="1295" w:type="dxa"/>
            <w:vMerge w:val="restart"/>
            <w:tcBorders>
              <w:top w:val="nil"/>
              <w:bottom w:val="nil"/>
            </w:tcBorders>
            <w:vAlign w:val="top"/>
          </w:tcPr>
          <w:p>
            <w:pPr>
              <w:rPr>
                <w:rFonts w:ascii="Arial"/>
                <w:sz w:val="21"/>
              </w:rPr>
            </w:pPr>
          </w:p>
        </w:tc>
        <w:tc>
          <w:tcPr>
            <w:tcW w:w="4380" w:type="dxa"/>
            <w:vMerge w:val="restart"/>
            <w:tcBorders>
              <w:top w:val="nil"/>
              <w:bottom w:val="nil"/>
            </w:tcBorders>
            <w:vAlign w:val="top"/>
          </w:tcPr>
          <w:p>
            <w:pPr>
              <w:pStyle w:val="95"/>
              <w:spacing w:before="63" w:line="220" w:lineRule="auto"/>
              <w:ind w:left="112"/>
            </w:pPr>
            <w:r>
              <w:rPr>
                <w:spacing w:val="-5"/>
              </w:rPr>
              <w:t>（2）钢结构单跨跨度</w:t>
            </w:r>
            <w:r>
              <w:rPr>
                <w:spacing w:val="-12"/>
              </w:rPr>
              <w:t xml:space="preserve"> </w:t>
            </w:r>
            <w:r>
              <w:rPr>
                <w:spacing w:val="-5"/>
              </w:rPr>
              <w:t>36</w:t>
            </w:r>
            <w:r>
              <w:rPr>
                <w:spacing w:val="-36"/>
              </w:rPr>
              <w:t xml:space="preserve"> </w:t>
            </w:r>
            <w:r>
              <w:rPr>
                <w:spacing w:val="-5"/>
              </w:rPr>
              <w:t>米以下；</w:t>
            </w:r>
          </w:p>
          <w:p>
            <w:pPr>
              <w:pStyle w:val="95"/>
              <w:spacing w:before="97" w:line="220" w:lineRule="auto"/>
              <w:ind w:left="112"/>
            </w:pPr>
            <w:r>
              <w:rPr>
                <w:spacing w:val="-4"/>
              </w:rPr>
              <w:t>（3）网壳、网架结构短边边跨跨度 75</w:t>
            </w:r>
            <w:r>
              <w:rPr>
                <w:spacing w:val="-36"/>
              </w:rPr>
              <w:t xml:space="preserve"> </w:t>
            </w:r>
            <w:r>
              <w:rPr>
                <w:spacing w:val="-4"/>
              </w:rPr>
              <w:t>米以下；</w:t>
            </w:r>
          </w:p>
          <w:p>
            <w:pPr>
              <w:pStyle w:val="95"/>
              <w:spacing w:before="97" w:line="270" w:lineRule="auto"/>
              <w:ind w:left="112" w:right="350"/>
            </w:pPr>
            <w:r>
              <w:rPr>
                <w:spacing w:val="-4"/>
              </w:rPr>
              <w:t>（4）单体钢结构工程钢结构总重量</w:t>
            </w:r>
            <w:r>
              <w:rPr>
                <w:spacing w:val="-17"/>
              </w:rPr>
              <w:t xml:space="preserve"> </w:t>
            </w:r>
            <w:r>
              <w:rPr>
                <w:spacing w:val="-4"/>
              </w:rPr>
              <w:t>6000</w:t>
            </w:r>
            <w:r>
              <w:rPr>
                <w:spacing w:val="-27"/>
              </w:rPr>
              <w:t xml:space="preserve"> </w:t>
            </w:r>
            <w:r>
              <w:rPr>
                <w:spacing w:val="-4"/>
              </w:rPr>
              <w:t>吨以下；</w:t>
            </w:r>
            <w:r>
              <w:t xml:space="preserve"> </w:t>
            </w:r>
            <w:r>
              <w:rPr>
                <w:spacing w:val="-3"/>
              </w:rPr>
              <w:t>（5）单体建筑面积</w:t>
            </w:r>
            <w:r>
              <w:rPr>
                <w:spacing w:val="-7"/>
              </w:rPr>
              <w:t xml:space="preserve"> </w:t>
            </w:r>
            <w:r>
              <w:rPr>
                <w:spacing w:val="-3"/>
              </w:rPr>
              <w:t>35000</w:t>
            </w:r>
            <w:r>
              <w:rPr>
                <w:spacing w:val="-37"/>
              </w:rPr>
              <w:t xml:space="preserve"> </w:t>
            </w:r>
            <w:r>
              <w:rPr>
                <w:spacing w:val="-3"/>
              </w:rPr>
              <w:t>平方米以下</w:t>
            </w:r>
          </w:p>
          <w:p>
            <w:pPr>
              <w:pStyle w:val="95"/>
              <w:spacing w:before="97" w:line="220" w:lineRule="auto"/>
              <w:ind w:left="107"/>
            </w:pPr>
            <w:r>
              <w:rPr>
                <w:spacing w:val="-5"/>
              </w:rPr>
              <w:t>三级资质承建范围：</w:t>
            </w:r>
          </w:p>
          <w:p>
            <w:pPr>
              <w:pStyle w:val="95"/>
              <w:spacing w:before="97" w:line="220" w:lineRule="auto"/>
              <w:ind w:left="109"/>
            </w:pPr>
            <w:r>
              <w:rPr>
                <w:spacing w:val="-4"/>
              </w:rPr>
              <w:t>可承担下列钢结构工程的施工：</w:t>
            </w:r>
          </w:p>
          <w:p>
            <w:pPr>
              <w:pStyle w:val="95"/>
              <w:spacing w:before="98" w:line="220" w:lineRule="auto"/>
              <w:ind w:left="112"/>
            </w:pPr>
            <w:r>
              <w:rPr>
                <w:spacing w:val="-5"/>
              </w:rPr>
              <w:t>（1）钢结构高度</w:t>
            </w:r>
            <w:r>
              <w:rPr>
                <w:spacing w:val="-24"/>
              </w:rPr>
              <w:t xml:space="preserve"> </w:t>
            </w:r>
            <w:r>
              <w:rPr>
                <w:spacing w:val="-5"/>
              </w:rPr>
              <w:t>60</w:t>
            </w:r>
            <w:r>
              <w:rPr>
                <w:spacing w:val="-36"/>
              </w:rPr>
              <w:t xml:space="preserve"> </w:t>
            </w:r>
            <w:r>
              <w:rPr>
                <w:spacing w:val="-5"/>
              </w:rPr>
              <w:t>米以下；</w:t>
            </w:r>
          </w:p>
          <w:p>
            <w:pPr>
              <w:pStyle w:val="95"/>
              <w:spacing w:before="97" w:line="220" w:lineRule="auto"/>
              <w:ind w:left="112"/>
            </w:pPr>
            <w:r>
              <w:rPr>
                <w:spacing w:val="-4"/>
              </w:rPr>
              <w:t>（2）钢结构单跨跨度</w:t>
            </w:r>
            <w:r>
              <w:rPr>
                <w:spacing w:val="-22"/>
              </w:rPr>
              <w:t xml:space="preserve"> </w:t>
            </w:r>
            <w:r>
              <w:rPr>
                <w:spacing w:val="-4"/>
              </w:rPr>
              <w:t>30</w:t>
            </w:r>
            <w:r>
              <w:rPr>
                <w:spacing w:val="-37"/>
              </w:rPr>
              <w:t xml:space="preserve"> </w:t>
            </w:r>
            <w:r>
              <w:rPr>
                <w:spacing w:val="-4"/>
              </w:rPr>
              <w:t>米以下；</w:t>
            </w:r>
          </w:p>
          <w:p>
            <w:pPr>
              <w:pStyle w:val="95"/>
              <w:spacing w:before="98" w:line="220" w:lineRule="auto"/>
              <w:ind w:left="112"/>
            </w:pPr>
            <w:r>
              <w:rPr>
                <w:spacing w:val="-3"/>
              </w:rPr>
              <w:t>（3）网壳、网架结构短边边跨跨度</w:t>
            </w:r>
            <w:r>
              <w:rPr>
                <w:spacing w:val="-23"/>
              </w:rPr>
              <w:t xml:space="preserve"> </w:t>
            </w:r>
            <w:r>
              <w:rPr>
                <w:spacing w:val="-3"/>
              </w:rPr>
              <w:t>33</w:t>
            </w:r>
            <w:r>
              <w:rPr>
                <w:spacing w:val="-36"/>
              </w:rPr>
              <w:t xml:space="preserve"> </w:t>
            </w:r>
            <w:r>
              <w:rPr>
                <w:spacing w:val="-3"/>
              </w:rPr>
              <w:t>米</w:t>
            </w:r>
            <w:r>
              <w:rPr>
                <w:spacing w:val="-4"/>
              </w:rPr>
              <w:t>以下；</w:t>
            </w:r>
          </w:p>
          <w:p>
            <w:pPr>
              <w:pStyle w:val="95"/>
              <w:spacing w:before="97" w:line="270" w:lineRule="auto"/>
              <w:ind w:left="112" w:right="350"/>
            </w:pPr>
            <w:r>
              <w:rPr>
                <w:spacing w:val="-4"/>
              </w:rPr>
              <w:t>（4）单体钢结构工程钢结构总重量</w:t>
            </w:r>
            <w:r>
              <w:rPr>
                <w:spacing w:val="-17"/>
              </w:rPr>
              <w:t xml:space="preserve"> </w:t>
            </w:r>
            <w:r>
              <w:rPr>
                <w:spacing w:val="-4"/>
              </w:rPr>
              <w:t>3000</w:t>
            </w:r>
            <w:r>
              <w:rPr>
                <w:spacing w:val="-27"/>
              </w:rPr>
              <w:t xml:space="preserve"> </w:t>
            </w:r>
            <w:r>
              <w:rPr>
                <w:spacing w:val="-4"/>
              </w:rPr>
              <w:t>吨以下；</w:t>
            </w:r>
            <w:r>
              <w:t xml:space="preserve"> </w:t>
            </w:r>
            <w:r>
              <w:rPr>
                <w:spacing w:val="-4"/>
              </w:rPr>
              <w:t>（5）单体建筑面积 15000</w:t>
            </w:r>
            <w:r>
              <w:rPr>
                <w:spacing w:val="-21"/>
              </w:rPr>
              <w:t xml:space="preserve"> </w:t>
            </w:r>
            <w:r>
              <w:rPr>
                <w:spacing w:val="-4"/>
              </w:rPr>
              <w:t>平方米以下</w:t>
            </w:r>
          </w:p>
        </w:tc>
        <w:tc>
          <w:tcPr>
            <w:tcW w:w="3269" w:type="dxa"/>
            <w:tcBorders>
              <w:top w:val="nil"/>
            </w:tcBorders>
            <w:vAlign w:val="top"/>
          </w:tcPr>
          <w:p>
            <w:pPr>
              <w:pStyle w:val="95"/>
              <w:spacing w:before="284" w:line="270" w:lineRule="auto"/>
              <w:ind w:left="125" w:right="275" w:hanging="13"/>
            </w:pPr>
            <w:r>
              <w:rPr>
                <w:spacing w:val="-2"/>
              </w:rPr>
              <w:t>单体钢结构工程钢结构总重量</w:t>
            </w:r>
            <w:r>
              <w:rPr>
                <w:spacing w:val="-2"/>
                <w:u w:val="single" w:color="auto"/>
              </w:rPr>
              <w:t xml:space="preserve">    </w:t>
            </w:r>
            <w:r>
              <w:rPr>
                <w:spacing w:val="-59"/>
              </w:rPr>
              <w:t xml:space="preserve"> </w:t>
            </w:r>
            <w:r>
              <w:rPr>
                <w:spacing w:val="-2"/>
              </w:rPr>
              <w:t>吨</w:t>
            </w:r>
            <w:r>
              <w:t xml:space="preserve"> </w:t>
            </w:r>
            <w:r>
              <w:rPr>
                <w:spacing w:val="-3"/>
              </w:rPr>
              <w:t>的钢结构工程施工</w:t>
            </w:r>
          </w:p>
        </w:tc>
        <w:tc>
          <w:tcPr>
            <w:tcW w:w="677" w:type="dxa"/>
            <w:tcBorders>
              <w:top w:val="nil"/>
            </w:tcBorders>
            <w:vAlign w:val="top"/>
          </w:tcPr>
          <w:p>
            <w:pPr>
              <w:spacing w:line="379" w:lineRule="auto"/>
              <w:rPr>
                <w:rFonts w:ascii="Arial"/>
                <w:sz w:val="21"/>
              </w:rPr>
            </w:pPr>
          </w:p>
          <w:p>
            <w:pPr>
              <w:pStyle w:val="95"/>
              <w:spacing w:before="58" w:line="220" w:lineRule="auto"/>
              <w:ind w:left="165"/>
            </w:pPr>
            <w:r>
              <w:rPr>
                <w:spacing w:val="-3"/>
              </w:rPr>
              <w:t>数值</w:t>
            </w:r>
          </w:p>
        </w:tc>
        <w:tc>
          <w:tcPr>
            <w:tcW w:w="2408" w:type="dxa"/>
            <w:tcBorders>
              <w:top w:val="nil"/>
            </w:tcBorders>
            <w:vAlign w:val="top"/>
          </w:tcPr>
          <w:p>
            <w:pPr>
              <w:pStyle w:val="95"/>
              <w:spacing w:before="128" w:line="217" w:lineRule="auto"/>
              <w:ind w:left="113"/>
            </w:pPr>
            <w:r>
              <w:rPr>
                <w:spacing w:val="-1"/>
              </w:rPr>
              <w:t>① 6000&lt;d,一级</w:t>
            </w:r>
          </w:p>
          <w:p>
            <w:pPr>
              <w:pStyle w:val="95"/>
              <w:spacing w:before="100" w:line="269" w:lineRule="auto"/>
              <w:ind w:left="112" w:right="413"/>
            </w:pPr>
            <w:r>
              <w:rPr>
                <w:spacing w:val="-1"/>
              </w:rPr>
              <w:t>② 3000&lt;d≤6000，二级</w:t>
            </w:r>
            <w:r>
              <w:rPr>
                <w:spacing w:val="1"/>
              </w:rPr>
              <w:t xml:space="preserve"> </w:t>
            </w:r>
            <w:r>
              <w:rPr>
                <w:spacing w:val="-1"/>
              </w:rPr>
              <w:t>③ 0&lt;d≤3000，三级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60" w:hRule="atLeast"/>
        </w:trPr>
        <w:tc>
          <w:tcPr>
            <w:tcW w:w="936" w:type="dxa"/>
            <w:vMerge w:val="continue"/>
            <w:tcBorders>
              <w:top w:val="nil"/>
              <w:left w:val="single" w:color="000000" w:sz="6" w:space="0"/>
              <w:bottom w:val="nil"/>
            </w:tcBorders>
            <w:vAlign w:val="top"/>
          </w:tcPr>
          <w:p>
            <w:pPr>
              <w:rPr>
                <w:rFonts w:ascii="Arial"/>
                <w:sz w:val="21"/>
              </w:rPr>
            </w:pPr>
          </w:p>
        </w:tc>
        <w:tc>
          <w:tcPr>
            <w:tcW w:w="985" w:type="dxa"/>
            <w:vMerge w:val="continue"/>
            <w:tcBorders>
              <w:top w:val="nil"/>
              <w:bottom w:val="nil"/>
            </w:tcBorders>
            <w:vAlign w:val="top"/>
          </w:tcPr>
          <w:p>
            <w:pPr>
              <w:rPr>
                <w:rFonts w:ascii="Arial"/>
                <w:sz w:val="21"/>
              </w:rPr>
            </w:pPr>
          </w:p>
        </w:tc>
        <w:tc>
          <w:tcPr>
            <w:tcW w:w="1295" w:type="dxa"/>
            <w:vMerge w:val="continue"/>
            <w:tcBorders>
              <w:top w:val="nil"/>
            </w:tcBorders>
            <w:vAlign w:val="top"/>
          </w:tcPr>
          <w:p>
            <w:pPr>
              <w:rPr>
                <w:rFonts w:ascii="Arial"/>
                <w:sz w:val="21"/>
              </w:rPr>
            </w:pPr>
          </w:p>
        </w:tc>
        <w:tc>
          <w:tcPr>
            <w:tcW w:w="4380" w:type="dxa"/>
            <w:vMerge w:val="continue"/>
            <w:tcBorders>
              <w:top w:val="nil"/>
            </w:tcBorders>
            <w:vAlign w:val="top"/>
          </w:tcPr>
          <w:p>
            <w:pPr>
              <w:rPr>
                <w:rFonts w:ascii="Arial"/>
                <w:sz w:val="21"/>
              </w:rPr>
            </w:pPr>
          </w:p>
        </w:tc>
        <w:tc>
          <w:tcPr>
            <w:tcW w:w="3269" w:type="dxa"/>
            <w:vAlign w:val="top"/>
          </w:tcPr>
          <w:p>
            <w:pPr>
              <w:spacing w:line="289" w:lineRule="auto"/>
              <w:rPr>
                <w:rFonts w:ascii="Arial"/>
                <w:sz w:val="21"/>
              </w:rPr>
            </w:pPr>
          </w:p>
          <w:p>
            <w:pPr>
              <w:spacing w:line="289" w:lineRule="auto"/>
              <w:rPr>
                <w:rFonts w:ascii="Arial"/>
                <w:sz w:val="21"/>
              </w:rPr>
            </w:pPr>
          </w:p>
          <w:p>
            <w:pPr>
              <w:spacing w:line="289" w:lineRule="auto"/>
              <w:rPr>
                <w:rFonts w:ascii="Arial"/>
                <w:sz w:val="21"/>
              </w:rPr>
            </w:pPr>
          </w:p>
          <w:p>
            <w:pPr>
              <w:pStyle w:val="95"/>
              <w:spacing w:before="58" w:line="270" w:lineRule="auto"/>
              <w:ind w:left="110" w:right="279" w:firstLine="2"/>
            </w:pPr>
            <w:r>
              <w:rPr>
                <w:spacing w:val="-1"/>
              </w:rPr>
              <w:t>单体建筑面积</w:t>
            </w:r>
            <w:r>
              <w:rPr>
                <w:spacing w:val="-1"/>
                <w:u w:val="single" w:color="auto"/>
              </w:rPr>
              <w:t xml:space="preserve">    </w:t>
            </w:r>
            <w:r>
              <w:rPr>
                <w:spacing w:val="-82"/>
              </w:rPr>
              <w:t xml:space="preserve"> </w:t>
            </w:r>
            <w:r>
              <w:rPr>
                <w:spacing w:val="-1"/>
              </w:rPr>
              <w:t>平方米的钢结构工</w:t>
            </w:r>
            <w:r>
              <w:t xml:space="preserve"> </w:t>
            </w:r>
            <w:r>
              <w:rPr>
                <w:spacing w:val="-2"/>
              </w:rPr>
              <w:t>程施工</w:t>
            </w:r>
          </w:p>
        </w:tc>
        <w:tc>
          <w:tcPr>
            <w:tcW w:w="677"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pStyle w:val="95"/>
              <w:spacing w:before="59" w:line="220" w:lineRule="auto"/>
              <w:ind w:left="165"/>
            </w:pPr>
            <w:r>
              <w:rPr>
                <w:spacing w:val="-3"/>
              </w:rPr>
              <w:t>数值</w:t>
            </w:r>
          </w:p>
        </w:tc>
        <w:tc>
          <w:tcPr>
            <w:tcW w:w="2408" w:type="dxa"/>
            <w:vAlign w:val="top"/>
          </w:tcPr>
          <w:p>
            <w:pPr>
              <w:spacing w:line="355" w:lineRule="auto"/>
              <w:rPr>
                <w:rFonts w:ascii="Arial"/>
                <w:sz w:val="21"/>
              </w:rPr>
            </w:pPr>
          </w:p>
          <w:p>
            <w:pPr>
              <w:spacing w:line="356" w:lineRule="auto"/>
              <w:rPr>
                <w:rFonts w:ascii="Arial"/>
                <w:sz w:val="21"/>
              </w:rPr>
            </w:pPr>
          </w:p>
          <w:p>
            <w:pPr>
              <w:pStyle w:val="95"/>
              <w:spacing w:before="59" w:line="217" w:lineRule="auto"/>
              <w:ind w:left="113"/>
            </w:pPr>
            <w:r>
              <w:rPr>
                <w:spacing w:val="-2"/>
              </w:rPr>
              <w:t>①</w:t>
            </w:r>
            <w:r>
              <w:rPr>
                <w:spacing w:val="18"/>
              </w:rPr>
              <w:t xml:space="preserve"> </w:t>
            </w:r>
            <w:r>
              <w:rPr>
                <w:spacing w:val="-2"/>
              </w:rPr>
              <w:t>35000&lt;d,一级</w:t>
            </w:r>
          </w:p>
          <w:p>
            <w:pPr>
              <w:pStyle w:val="95"/>
              <w:spacing w:before="100" w:line="269" w:lineRule="auto"/>
              <w:ind w:left="112" w:right="233"/>
            </w:pPr>
            <w:r>
              <w:rPr>
                <w:spacing w:val="-3"/>
              </w:rPr>
              <w:t>②</w:t>
            </w:r>
            <w:r>
              <w:rPr>
                <w:spacing w:val="36"/>
              </w:rPr>
              <w:t xml:space="preserve"> </w:t>
            </w:r>
            <w:r>
              <w:rPr>
                <w:spacing w:val="-3"/>
              </w:rPr>
              <w:t>15000&lt;d≤35000，二级</w:t>
            </w:r>
            <w:r>
              <w:t xml:space="preserve"> </w:t>
            </w:r>
            <w:r>
              <w:rPr>
                <w:spacing w:val="-1"/>
              </w:rPr>
              <w:t>③ 0&lt;d≤15000，三级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0" w:hRule="atLeast"/>
        </w:trPr>
        <w:tc>
          <w:tcPr>
            <w:tcW w:w="936" w:type="dxa"/>
            <w:vMerge w:val="continue"/>
            <w:tcBorders>
              <w:top w:val="nil"/>
              <w:left w:val="single" w:color="000000" w:sz="6" w:space="0"/>
              <w:bottom w:val="nil"/>
            </w:tcBorders>
            <w:vAlign w:val="top"/>
          </w:tcPr>
          <w:p>
            <w:pPr>
              <w:rPr>
                <w:rFonts w:ascii="Arial"/>
                <w:sz w:val="21"/>
              </w:rPr>
            </w:pPr>
          </w:p>
        </w:tc>
        <w:tc>
          <w:tcPr>
            <w:tcW w:w="985" w:type="dxa"/>
            <w:vMerge w:val="continue"/>
            <w:tcBorders>
              <w:top w:val="nil"/>
              <w:bottom w:val="nil"/>
            </w:tcBorders>
            <w:vAlign w:val="top"/>
          </w:tcPr>
          <w:p>
            <w:pPr>
              <w:rPr>
                <w:rFonts w:ascii="Arial"/>
                <w:sz w:val="21"/>
              </w:rPr>
            </w:pPr>
          </w:p>
        </w:tc>
        <w:tc>
          <w:tcPr>
            <w:tcW w:w="1295" w:type="dxa"/>
            <w:vAlign w:val="top"/>
          </w:tcPr>
          <w:p>
            <w:pPr>
              <w:pStyle w:val="95"/>
              <w:spacing w:before="65" w:line="219" w:lineRule="auto"/>
              <w:ind w:left="152"/>
            </w:pPr>
            <w:r>
              <w:rPr>
                <w:spacing w:val="-3"/>
              </w:rPr>
              <w:t>22</w:t>
            </w:r>
            <w:r>
              <w:rPr>
                <w:spacing w:val="12"/>
              </w:rPr>
              <w:t xml:space="preserve"> </w:t>
            </w:r>
            <w:r>
              <w:rPr>
                <w:spacing w:val="-3"/>
              </w:rPr>
              <w:t>模板脚手</w:t>
            </w:r>
          </w:p>
          <w:p>
            <w:pPr>
              <w:pStyle w:val="95"/>
              <w:spacing w:before="98" w:line="220" w:lineRule="auto"/>
              <w:ind w:left="107"/>
            </w:pPr>
            <w:r>
              <w:rPr>
                <w:spacing w:val="-2"/>
              </w:rPr>
              <w:t>架专业承包资</w:t>
            </w:r>
          </w:p>
          <w:p>
            <w:pPr>
              <w:pStyle w:val="95"/>
              <w:spacing w:before="98" w:line="220" w:lineRule="auto"/>
              <w:ind w:left="376"/>
            </w:pPr>
            <w:r>
              <w:rPr>
                <w:spacing w:val="-2"/>
              </w:rPr>
              <w:t>质标准</w:t>
            </w:r>
          </w:p>
        </w:tc>
        <w:tc>
          <w:tcPr>
            <w:tcW w:w="4380" w:type="dxa"/>
            <w:vAlign w:val="top"/>
          </w:tcPr>
          <w:p>
            <w:pPr>
              <w:pStyle w:val="95"/>
              <w:spacing w:before="222" w:line="271" w:lineRule="auto"/>
              <w:ind w:left="107" w:right="160" w:firstLine="2"/>
            </w:pPr>
            <w:r>
              <w:rPr>
                <w:spacing w:val="-2"/>
              </w:rPr>
              <w:t>可承担各类模板、脚手架工程的设计、制作、安装、</w:t>
            </w:r>
            <w:r>
              <w:rPr>
                <w:spacing w:val="10"/>
              </w:rPr>
              <w:t xml:space="preserve"> </w:t>
            </w:r>
            <w:r>
              <w:rPr>
                <w:spacing w:val="-8"/>
              </w:rPr>
              <w:t>施工。</w:t>
            </w:r>
          </w:p>
        </w:tc>
        <w:tc>
          <w:tcPr>
            <w:tcW w:w="3269" w:type="dxa"/>
            <w:vAlign w:val="top"/>
          </w:tcPr>
          <w:p>
            <w:pPr>
              <w:pStyle w:val="95"/>
              <w:spacing w:before="222" w:line="270" w:lineRule="auto"/>
              <w:ind w:left="111" w:right="459" w:firstLine="1"/>
            </w:pPr>
            <w:r>
              <w:rPr>
                <w:spacing w:val="-1"/>
              </w:rPr>
              <w:t>各类模板、脚手架工程的设计、制</w:t>
            </w:r>
            <w:r>
              <w:rPr>
                <w:spacing w:val="4"/>
              </w:rPr>
              <w:t xml:space="preserve"> </w:t>
            </w:r>
            <w:r>
              <w:rPr>
                <w:spacing w:val="-4"/>
              </w:rPr>
              <w:t>作、安装、施工。</w:t>
            </w:r>
          </w:p>
        </w:tc>
        <w:tc>
          <w:tcPr>
            <w:tcW w:w="677" w:type="dxa"/>
            <w:vAlign w:val="top"/>
          </w:tcPr>
          <w:p>
            <w:pPr>
              <w:rPr>
                <w:rFonts w:ascii="Arial"/>
                <w:sz w:val="21"/>
              </w:rPr>
            </w:pPr>
          </w:p>
        </w:tc>
        <w:tc>
          <w:tcPr>
            <w:tcW w:w="2408" w:type="dxa"/>
            <w:vAlign w:val="top"/>
          </w:tcPr>
          <w:p>
            <w:pPr>
              <w:spacing w:line="317" w:lineRule="auto"/>
              <w:rPr>
                <w:rFonts w:ascii="Arial"/>
                <w:sz w:val="21"/>
              </w:rPr>
            </w:pPr>
          </w:p>
          <w:p>
            <w:pPr>
              <w:pStyle w:val="95"/>
              <w:spacing w:before="58" w:line="220" w:lineRule="auto"/>
              <w:ind w:left="116"/>
            </w:pPr>
            <w:r>
              <w:rPr>
                <w:spacing w:val="-2"/>
              </w:rPr>
              <w:t>不分等级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876" w:hRule="atLeast"/>
        </w:trPr>
        <w:tc>
          <w:tcPr>
            <w:tcW w:w="936" w:type="dxa"/>
            <w:vMerge w:val="continue"/>
            <w:tcBorders>
              <w:top w:val="nil"/>
              <w:left w:val="single" w:color="000000" w:sz="6" w:space="0"/>
              <w:bottom w:val="nil"/>
            </w:tcBorders>
            <w:vAlign w:val="top"/>
          </w:tcPr>
          <w:p>
            <w:pPr>
              <w:rPr>
                <w:rFonts w:ascii="Arial"/>
                <w:sz w:val="21"/>
              </w:rPr>
            </w:pPr>
          </w:p>
        </w:tc>
        <w:tc>
          <w:tcPr>
            <w:tcW w:w="985" w:type="dxa"/>
            <w:vMerge w:val="continue"/>
            <w:tcBorders>
              <w:top w:val="nil"/>
              <w:bottom w:val="nil"/>
            </w:tcBorders>
            <w:vAlign w:val="top"/>
          </w:tcPr>
          <w:p>
            <w:pPr>
              <w:rPr>
                <w:rFonts w:ascii="Arial"/>
                <w:sz w:val="21"/>
              </w:rPr>
            </w:pPr>
          </w:p>
        </w:tc>
        <w:tc>
          <w:tcPr>
            <w:tcW w:w="1295" w:type="dxa"/>
            <w:vAlign w:val="top"/>
          </w:tcPr>
          <w:p>
            <w:pPr>
              <w:spacing w:line="472" w:lineRule="auto"/>
              <w:rPr>
                <w:rFonts w:ascii="Arial"/>
                <w:sz w:val="21"/>
              </w:rPr>
            </w:pPr>
          </w:p>
          <w:p>
            <w:pPr>
              <w:pStyle w:val="95"/>
              <w:spacing w:before="58" w:line="287" w:lineRule="auto"/>
              <w:ind w:left="106" w:right="110" w:firstLine="45"/>
              <w:jc w:val="both"/>
            </w:pPr>
            <w:r>
              <w:rPr>
                <w:spacing w:val="-3"/>
              </w:rPr>
              <w:t>23</w:t>
            </w:r>
            <w:r>
              <w:rPr>
                <w:spacing w:val="11"/>
              </w:rPr>
              <w:t xml:space="preserve"> </w:t>
            </w:r>
            <w:r>
              <w:rPr>
                <w:spacing w:val="-3"/>
              </w:rPr>
              <w:t>建筑装修</w:t>
            </w:r>
            <w:r>
              <w:t xml:space="preserve"> </w:t>
            </w:r>
            <w:r>
              <w:rPr>
                <w:spacing w:val="-2"/>
              </w:rPr>
              <w:t>装饰工程专业</w:t>
            </w:r>
            <w:r>
              <w:rPr>
                <w:spacing w:val="3"/>
              </w:rPr>
              <w:t xml:space="preserve"> </w:t>
            </w:r>
            <w:r>
              <w:rPr>
                <w:spacing w:val="-2"/>
              </w:rPr>
              <w:t>承包资质标准</w:t>
            </w:r>
          </w:p>
        </w:tc>
        <w:tc>
          <w:tcPr>
            <w:tcW w:w="4380" w:type="dxa"/>
            <w:vAlign w:val="top"/>
          </w:tcPr>
          <w:p>
            <w:pPr>
              <w:pStyle w:val="95"/>
              <w:spacing w:before="66" w:line="220" w:lineRule="auto"/>
              <w:ind w:left="110"/>
            </w:pPr>
            <w:r>
              <w:rPr>
                <w:spacing w:val="-6"/>
              </w:rPr>
              <w:t>一级资质承建范围：</w:t>
            </w:r>
          </w:p>
          <w:p>
            <w:pPr>
              <w:pStyle w:val="95"/>
              <w:spacing w:before="98" w:line="270" w:lineRule="auto"/>
              <w:ind w:left="107" w:right="134" w:firstLine="1"/>
            </w:pPr>
            <w:r>
              <w:rPr>
                <w:spacing w:val="-1"/>
              </w:rPr>
              <w:t>可承担各类建筑装修装饰工程，以及与装修工程直接</w:t>
            </w:r>
            <w:r>
              <w:rPr>
                <w:spacing w:val="13"/>
              </w:rPr>
              <w:t xml:space="preserve"> </w:t>
            </w:r>
            <w:r>
              <w:rPr>
                <w:spacing w:val="-3"/>
              </w:rPr>
              <w:t>配套的其他工程的施工。</w:t>
            </w:r>
          </w:p>
          <w:p>
            <w:pPr>
              <w:pStyle w:val="95"/>
              <w:spacing w:before="96" w:line="220" w:lineRule="auto"/>
              <w:ind w:left="110"/>
            </w:pPr>
            <w:r>
              <w:rPr>
                <w:spacing w:val="-6"/>
              </w:rPr>
              <w:t>二级资质承建范围：</w:t>
            </w:r>
          </w:p>
          <w:p>
            <w:pPr>
              <w:pStyle w:val="95"/>
              <w:spacing w:before="97" w:line="270" w:lineRule="auto"/>
              <w:ind w:left="107" w:right="222" w:firstLine="2"/>
            </w:pPr>
            <w:r>
              <w:rPr>
                <w:spacing w:val="-2"/>
              </w:rPr>
              <w:t>可承担单项合同额</w:t>
            </w:r>
            <w:r>
              <w:rPr>
                <w:spacing w:val="-19"/>
              </w:rPr>
              <w:t xml:space="preserve"> </w:t>
            </w:r>
            <w:r>
              <w:rPr>
                <w:spacing w:val="-2"/>
              </w:rPr>
              <w:t>2000</w:t>
            </w:r>
            <w:r>
              <w:rPr>
                <w:spacing w:val="-31"/>
              </w:rPr>
              <w:t xml:space="preserve"> </w:t>
            </w:r>
            <w:r>
              <w:rPr>
                <w:spacing w:val="-2"/>
              </w:rPr>
              <w:t>万元以下的建筑装修装饰工</w:t>
            </w:r>
            <w:r>
              <w:t xml:space="preserve"> </w:t>
            </w:r>
            <w:r>
              <w:rPr>
                <w:spacing w:val="-2"/>
              </w:rPr>
              <w:t>程，以及与装修工程直接配套的其他工程的施工。</w:t>
            </w:r>
          </w:p>
        </w:tc>
        <w:tc>
          <w:tcPr>
            <w:tcW w:w="3269" w:type="dxa"/>
            <w:vAlign w:val="top"/>
          </w:tcPr>
          <w:p>
            <w:pPr>
              <w:spacing w:line="472" w:lineRule="auto"/>
              <w:rPr>
                <w:rFonts w:ascii="Arial"/>
                <w:sz w:val="21"/>
              </w:rPr>
            </w:pPr>
          </w:p>
          <w:p>
            <w:pPr>
              <w:pStyle w:val="95"/>
              <w:spacing w:before="59" w:line="287" w:lineRule="auto"/>
              <w:ind w:left="111" w:right="279" w:firstLine="1"/>
              <w:jc w:val="both"/>
            </w:pPr>
            <w:r>
              <w:rPr>
                <w:spacing w:val="-2"/>
              </w:rPr>
              <w:t>单项合同额</w:t>
            </w:r>
            <w:r>
              <w:rPr>
                <w:spacing w:val="-2"/>
                <w:u w:val="single" w:color="auto"/>
              </w:rPr>
              <w:t xml:space="preserve">      </w:t>
            </w:r>
            <w:r>
              <w:rPr>
                <w:spacing w:val="-62"/>
              </w:rPr>
              <w:t xml:space="preserve"> </w:t>
            </w:r>
            <w:r>
              <w:rPr>
                <w:spacing w:val="-2"/>
              </w:rPr>
              <w:t>万元的建筑装修装</w:t>
            </w:r>
            <w:r>
              <w:t xml:space="preserve"> </w:t>
            </w:r>
            <w:r>
              <w:rPr>
                <w:spacing w:val="-1"/>
              </w:rPr>
              <w:t>饰工程，以及与装修工程直接配套的</w:t>
            </w:r>
            <w:r>
              <w:rPr>
                <w:spacing w:val="7"/>
              </w:rPr>
              <w:t xml:space="preserve"> </w:t>
            </w:r>
            <w:r>
              <w:rPr>
                <w:spacing w:val="-1"/>
              </w:rPr>
              <w:t>其他工程的施工</w:t>
            </w:r>
          </w:p>
        </w:tc>
        <w:tc>
          <w:tcPr>
            <w:tcW w:w="677"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95"/>
              <w:spacing w:before="58" w:line="220" w:lineRule="auto"/>
              <w:ind w:left="165"/>
            </w:pPr>
            <w:r>
              <w:rPr>
                <w:spacing w:val="-3"/>
              </w:rPr>
              <w:t>数值</w:t>
            </w:r>
          </w:p>
        </w:tc>
        <w:tc>
          <w:tcPr>
            <w:tcW w:w="2408" w:type="dxa"/>
            <w:vAlign w:val="top"/>
          </w:tcPr>
          <w:p>
            <w:pPr>
              <w:spacing w:line="314" w:lineRule="auto"/>
              <w:rPr>
                <w:rFonts w:ascii="Arial"/>
                <w:sz w:val="21"/>
              </w:rPr>
            </w:pPr>
          </w:p>
          <w:p>
            <w:pPr>
              <w:spacing w:line="314" w:lineRule="auto"/>
              <w:rPr>
                <w:rFonts w:ascii="Arial"/>
                <w:sz w:val="21"/>
              </w:rPr>
            </w:pPr>
          </w:p>
          <w:p>
            <w:pPr>
              <w:pStyle w:val="95"/>
              <w:spacing w:before="58" w:line="217" w:lineRule="auto"/>
              <w:ind w:left="113"/>
            </w:pPr>
            <w:r>
              <w:rPr>
                <w:spacing w:val="-2"/>
              </w:rPr>
              <w:t>①</w:t>
            </w:r>
            <w:r>
              <w:rPr>
                <w:spacing w:val="15"/>
              </w:rPr>
              <w:t xml:space="preserve"> </w:t>
            </w:r>
            <w:r>
              <w:rPr>
                <w:spacing w:val="-2"/>
              </w:rPr>
              <w:t>2000&lt;d,一级</w:t>
            </w:r>
          </w:p>
          <w:p>
            <w:pPr>
              <w:pStyle w:val="95"/>
              <w:spacing w:before="101" w:line="217" w:lineRule="auto"/>
              <w:ind w:left="112"/>
            </w:pPr>
            <w:r>
              <w:rPr>
                <w:spacing w:val="-1"/>
              </w:rPr>
              <w:t>② 0&lt;d≤2000，二级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0" w:hRule="atLeast"/>
        </w:trPr>
        <w:tc>
          <w:tcPr>
            <w:tcW w:w="936" w:type="dxa"/>
            <w:vMerge w:val="continue"/>
            <w:tcBorders>
              <w:top w:val="nil"/>
              <w:left w:val="single" w:color="000000" w:sz="6" w:space="0"/>
              <w:bottom w:val="nil"/>
            </w:tcBorders>
            <w:vAlign w:val="top"/>
          </w:tcPr>
          <w:p>
            <w:pPr>
              <w:rPr>
                <w:rFonts w:ascii="Arial"/>
                <w:sz w:val="21"/>
              </w:rPr>
            </w:pPr>
          </w:p>
        </w:tc>
        <w:tc>
          <w:tcPr>
            <w:tcW w:w="985" w:type="dxa"/>
            <w:vMerge w:val="continue"/>
            <w:tcBorders>
              <w:top w:val="nil"/>
              <w:bottom w:val="nil"/>
            </w:tcBorders>
            <w:vAlign w:val="top"/>
          </w:tcPr>
          <w:p>
            <w:pPr>
              <w:rPr>
                <w:rFonts w:ascii="Arial"/>
                <w:sz w:val="21"/>
              </w:rPr>
            </w:pPr>
          </w:p>
        </w:tc>
        <w:tc>
          <w:tcPr>
            <w:tcW w:w="1295" w:type="dxa"/>
            <w:vMerge w:val="restart"/>
            <w:tcBorders>
              <w:bottom w:val="nil"/>
            </w:tcBorders>
            <w:vAlign w:val="top"/>
          </w:tcPr>
          <w:p>
            <w:pPr>
              <w:spacing w:line="394" w:lineRule="auto"/>
              <w:rPr>
                <w:rFonts w:ascii="Arial"/>
                <w:sz w:val="21"/>
              </w:rPr>
            </w:pPr>
          </w:p>
          <w:p>
            <w:pPr>
              <w:pStyle w:val="95"/>
              <w:spacing w:before="59" w:line="287" w:lineRule="auto"/>
              <w:ind w:left="106" w:right="110" w:firstLine="45"/>
              <w:jc w:val="both"/>
            </w:pPr>
            <w:r>
              <w:rPr>
                <w:spacing w:val="-3"/>
              </w:rPr>
              <w:t>24</w:t>
            </w:r>
            <w:r>
              <w:rPr>
                <w:spacing w:val="11"/>
              </w:rPr>
              <w:t xml:space="preserve"> </w:t>
            </w:r>
            <w:r>
              <w:rPr>
                <w:spacing w:val="-3"/>
              </w:rPr>
              <w:t>建筑机电</w:t>
            </w:r>
            <w:r>
              <w:t xml:space="preserve"> </w:t>
            </w:r>
            <w:r>
              <w:rPr>
                <w:spacing w:val="-2"/>
              </w:rPr>
              <w:t>安装工程专业</w:t>
            </w:r>
            <w:r>
              <w:rPr>
                <w:spacing w:val="3"/>
              </w:rPr>
              <w:t xml:space="preserve"> </w:t>
            </w:r>
            <w:r>
              <w:rPr>
                <w:spacing w:val="-2"/>
              </w:rPr>
              <w:t>承包资质标准</w:t>
            </w:r>
          </w:p>
        </w:tc>
        <w:tc>
          <w:tcPr>
            <w:tcW w:w="4380" w:type="dxa"/>
            <w:vMerge w:val="restart"/>
            <w:tcBorders>
              <w:bottom w:val="nil"/>
            </w:tcBorders>
            <w:vAlign w:val="top"/>
          </w:tcPr>
          <w:p>
            <w:pPr>
              <w:pStyle w:val="95"/>
              <w:spacing w:before="143" w:line="220" w:lineRule="auto"/>
              <w:ind w:left="110"/>
            </w:pPr>
            <w:r>
              <w:rPr>
                <w:spacing w:val="-6"/>
              </w:rPr>
              <w:t>一级资质承建范围：</w:t>
            </w:r>
          </w:p>
          <w:p>
            <w:pPr>
              <w:pStyle w:val="95"/>
              <w:spacing w:before="97" w:line="287" w:lineRule="auto"/>
              <w:ind w:left="107" w:right="281" w:firstLine="1"/>
              <w:jc w:val="both"/>
            </w:pPr>
            <w:r>
              <w:rPr>
                <w:spacing w:val="-1"/>
              </w:rPr>
              <w:t>可承担各类建筑工程项目的设备、线路、管道的安</w:t>
            </w:r>
            <w:r>
              <w:rPr>
                <w:spacing w:val="12"/>
              </w:rPr>
              <w:t xml:space="preserve"> </w:t>
            </w:r>
            <w:r>
              <w:rPr>
                <w:spacing w:val="-5"/>
              </w:rPr>
              <w:t>装，</w:t>
            </w:r>
            <w:r>
              <w:rPr>
                <w:spacing w:val="-6"/>
              </w:rPr>
              <w:t xml:space="preserve"> </w:t>
            </w:r>
            <w:r>
              <w:rPr>
                <w:spacing w:val="-5"/>
              </w:rPr>
              <w:t>35</w:t>
            </w:r>
            <w:r>
              <w:rPr>
                <w:spacing w:val="-35"/>
              </w:rPr>
              <w:t xml:space="preserve"> </w:t>
            </w:r>
            <w:r>
              <w:rPr>
                <w:spacing w:val="-5"/>
              </w:rPr>
              <w:t>千伏以下变配电站工程，非标准钢结构件的</w:t>
            </w:r>
            <w:r>
              <w:t xml:space="preserve"> </w:t>
            </w:r>
            <w:r>
              <w:rPr>
                <w:spacing w:val="-5"/>
              </w:rPr>
              <w:t>制作、安装。</w:t>
            </w:r>
          </w:p>
          <w:p>
            <w:pPr>
              <w:pStyle w:val="95"/>
              <w:spacing w:before="96" w:line="220" w:lineRule="auto"/>
              <w:ind w:left="110"/>
            </w:pPr>
            <w:r>
              <w:rPr>
                <w:spacing w:val="-6"/>
              </w:rPr>
              <w:t>二级资质承建范围：</w:t>
            </w:r>
          </w:p>
        </w:tc>
        <w:tc>
          <w:tcPr>
            <w:tcW w:w="3269" w:type="dxa"/>
            <w:vAlign w:val="top"/>
          </w:tcPr>
          <w:p>
            <w:pPr>
              <w:pStyle w:val="95"/>
              <w:spacing w:before="223" w:line="270" w:lineRule="auto"/>
              <w:ind w:left="113" w:right="279" w:hanging="1"/>
            </w:pPr>
            <w:r>
              <w:rPr>
                <w:spacing w:val="-2"/>
              </w:rPr>
              <w:t>单项合同额</w:t>
            </w:r>
            <w:r>
              <w:rPr>
                <w:spacing w:val="-2"/>
                <w:u w:val="single" w:color="auto"/>
              </w:rPr>
              <w:t xml:space="preserve">    </w:t>
            </w:r>
            <w:r>
              <w:rPr>
                <w:spacing w:val="-64"/>
              </w:rPr>
              <w:t xml:space="preserve"> </w:t>
            </w:r>
            <w:r>
              <w:rPr>
                <w:spacing w:val="-2"/>
              </w:rPr>
              <w:t>万元的各类建筑工程</w:t>
            </w:r>
            <w:r>
              <w:t xml:space="preserve"> </w:t>
            </w:r>
            <w:r>
              <w:rPr>
                <w:spacing w:val="-1"/>
              </w:rPr>
              <w:t>项目的设备、线路、管道的安装</w:t>
            </w:r>
          </w:p>
        </w:tc>
        <w:tc>
          <w:tcPr>
            <w:tcW w:w="677" w:type="dxa"/>
            <w:vAlign w:val="top"/>
          </w:tcPr>
          <w:p>
            <w:pPr>
              <w:spacing w:line="318" w:lineRule="auto"/>
              <w:rPr>
                <w:rFonts w:ascii="Arial"/>
                <w:sz w:val="21"/>
              </w:rPr>
            </w:pPr>
          </w:p>
          <w:p>
            <w:pPr>
              <w:pStyle w:val="95"/>
              <w:spacing w:before="59" w:line="220" w:lineRule="auto"/>
              <w:ind w:left="165"/>
            </w:pPr>
            <w:r>
              <w:rPr>
                <w:spacing w:val="-3"/>
              </w:rPr>
              <w:t>数值</w:t>
            </w:r>
          </w:p>
        </w:tc>
        <w:tc>
          <w:tcPr>
            <w:tcW w:w="2408" w:type="dxa"/>
            <w:vAlign w:val="top"/>
          </w:tcPr>
          <w:p>
            <w:pPr>
              <w:pStyle w:val="95"/>
              <w:spacing w:before="67" w:line="217" w:lineRule="auto"/>
              <w:ind w:left="113"/>
            </w:pPr>
            <w:r>
              <w:rPr>
                <w:spacing w:val="-1"/>
              </w:rPr>
              <w:t>①2000&lt;d,一级</w:t>
            </w:r>
          </w:p>
          <w:p>
            <w:pPr>
              <w:pStyle w:val="95"/>
              <w:spacing w:before="100" w:line="269" w:lineRule="auto"/>
              <w:ind w:left="112" w:right="413"/>
            </w:pPr>
            <w:r>
              <w:rPr>
                <w:spacing w:val="-3"/>
              </w:rPr>
              <w:t>②</w:t>
            </w:r>
            <w:r>
              <w:rPr>
                <w:spacing w:val="30"/>
              </w:rPr>
              <w:t xml:space="preserve"> </w:t>
            </w:r>
            <w:r>
              <w:rPr>
                <w:spacing w:val="-3"/>
              </w:rPr>
              <w:t>1000&lt;d≤2000，二级</w:t>
            </w:r>
            <w:r>
              <w:t xml:space="preserve"> </w:t>
            </w:r>
            <w:r>
              <w:rPr>
                <w:spacing w:val="-1"/>
              </w:rPr>
              <w:t>③ 0&lt;d≤1000，三级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77" w:hRule="atLeast"/>
        </w:trPr>
        <w:tc>
          <w:tcPr>
            <w:tcW w:w="936" w:type="dxa"/>
            <w:vMerge w:val="continue"/>
            <w:tcBorders>
              <w:top w:val="nil"/>
              <w:left w:val="single" w:color="000000" w:sz="6" w:space="0"/>
            </w:tcBorders>
            <w:vAlign w:val="top"/>
          </w:tcPr>
          <w:p>
            <w:pPr>
              <w:rPr>
                <w:rFonts w:ascii="Arial"/>
                <w:sz w:val="21"/>
              </w:rPr>
            </w:pPr>
          </w:p>
        </w:tc>
        <w:tc>
          <w:tcPr>
            <w:tcW w:w="985" w:type="dxa"/>
            <w:vMerge w:val="continue"/>
            <w:tcBorders>
              <w:top w:val="nil"/>
            </w:tcBorders>
            <w:vAlign w:val="top"/>
          </w:tcPr>
          <w:p>
            <w:pPr>
              <w:rPr>
                <w:rFonts w:ascii="Arial"/>
                <w:sz w:val="21"/>
              </w:rPr>
            </w:pPr>
          </w:p>
        </w:tc>
        <w:tc>
          <w:tcPr>
            <w:tcW w:w="1295" w:type="dxa"/>
            <w:vMerge w:val="continue"/>
            <w:tcBorders>
              <w:top w:val="nil"/>
            </w:tcBorders>
            <w:vAlign w:val="top"/>
          </w:tcPr>
          <w:p>
            <w:pPr>
              <w:rPr>
                <w:rFonts w:ascii="Arial"/>
                <w:sz w:val="21"/>
              </w:rPr>
            </w:pPr>
          </w:p>
        </w:tc>
        <w:tc>
          <w:tcPr>
            <w:tcW w:w="4380" w:type="dxa"/>
            <w:vMerge w:val="continue"/>
            <w:tcBorders>
              <w:top w:val="nil"/>
            </w:tcBorders>
            <w:vAlign w:val="top"/>
          </w:tcPr>
          <w:p>
            <w:pPr>
              <w:rPr>
                <w:rFonts w:ascii="Arial"/>
                <w:sz w:val="21"/>
              </w:rPr>
            </w:pPr>
          </w:p>
        </w:tc>
        <w:tc>
          <w:tcPr>
            <w:tcW w:w="3269" w:type="dxa"/>
            <w:vAlign w:val="top"/>
          </w:tcPr>
          <w:p>
            <w:pPr>
              <w:pStyle w:val="95"/>
              <w:tabs>
                <w:tab w:val="left" w:pos="465"/>
              </w:tabs>
              <w:spacing w:before="296" w:line="219" w:lineRule="auto"/>
              <w:ind w:left="104"/>
            </w:pPr>
            <w:r>
              <w:rPr>
                <w:u w:val="single" w:color="auto"/>
              </w:rPr>
              <w:tab/>
            </w:r>
            <w:r>
              <w:rPr>
                <w:spacing w:val="-80"/>
              </w:rPr>
              <w:t xml:space="preserve"> </w:t>
            </w:r>
            <w:r>
              <w:rPr>
                <w:spacing w:val="-1"/>
              </w:rPr>
              <w:t>千伏的变配电站工程</w:t>
            </w:r>
          </w:p>
        </w:tc>
        <w:tc>
          <w:tcPr>
            <w:tcW w:w="677" w:type="dxa"/>
            <w:vAlign w:val="top"/>
          </w:tcPr>
          <w:p>
            <w:pPr>
              <w:pStyle w:val="95"/>
              <w:spacing w:before="296" w:line="220" w:lineRule="auto"/>
              <w:ind w:left="165"/>
            </w:pPr>
            <w:r>
              <w:rPr>
                <w:spacing w:val="-3"/>
              </w:rPr>
              <w:t>数值</w:t>
            </w:r>
          </w:p>
        </w:tc>
        <w:tc>
          <w:tcPr>
            <w:tcW w:w="2408" w:type="dxa"/>
            <w:vAlign w:val="top"/>
          </w:tcPr>
          <w:p>
            <w:pPr>
              <w:pStyle w:val="95"/>
              <w:spacing w:before="140" w:line="312" w:lineRule="exact"/>
              <w:ind w:left="113"/>
            </w:pPr>
            <w:r>
              <w:rPr>
                <w:spacing w:val="-1"/>
                <w:position w:val="10"/>
              </w:rPr>
              <w:t>①10&lt;d≤35,一级</w:t>
            </w:r>
          </w:p>
          <w:p>
            <w:pPr>
              <w:pStyle w:val="95"/>
              <w:spacing w:line="217" w:lineRule="auto"/>
              <w:ind w:left="112"/>
            </w:pPr>
            <w:r>
              <w:rPr>
                <w:spacing w:val="-2"/>
              </w:rPr>
              <w:t>② 0&lt;d≤10，二级</w:t>
            </w:r>
          </w:p>
        </w:tc>
      </w:tr>
    </w:tbl>
    <w:p>
      <w:pPr>
        <w:pStyle w:val="16"/>
        <w:spacing w:line="266" w:lineRule="auto"/>
      </w:pPr>
    </w:p>
    <w:p>
      <w:pPr>
        <w:pStyle w:val="16"/>
        <w:spacing w:line="267" w:lineRule="auto"/>
      </w:pPr>
    </w:p>
    <w:p>
      <w:pPr>
        <w:pStyle w:val="16"/>
        <w:spacing w:line="267" w:lineRule="auto"/>
      </w:pPr>
    </w:p>
    <w:p>
      <w:pPr>
        <w:pStyle w:val="16"/>
        <w:spacing w:line="267" w:lineRule="auto"/>
      </w:pPr>
    </w:p>
    <w:p>
      <w:pPr>
        <w:pStyle w:val="16"/>
        <w:spacing w:before="69" w:line="327" w:lineRule="exact"/>
        <w:ind w:left="4057"/>
        <w:rPr>
          <w:sz w:val="24"/>
          <w:szCs w:val="24"/>
        </w:rPr>
      </w:pPr>
      <w:r>
        <w:rPr>
          <w:spacing w:val="-4"/>
          <w:position w:val="1"/>
          <w:sz w:val="24"/>
          <w:szCs w:val="24"/>
        </w:rPr>
        <w:t>30 /</w:t>
      </w:r>
      <w:r>
        <w:rPr>
          <w:spacing w:val="26"/>
          <w:position w:val="1"/>
          <w:sz w:val="24"/>
          <w:szCs w:val="24"/>
        </w:rPr>
        <w:t xml:space="preserve"> </w:t>
      </w:r>
      <w:r>
        <w:rPr>
          <w:spacing w:val="-4"/>
          <w:position w:val="1"/>
          <w:sz w:val="24"/>
          <w:szCs w:val="24"/>
        </w:rPr>
        <w:t>165</w:t>
      </w:r>
    </w:p>
    <w:p>
      <w:pPr>
        <w:spacing w:line="327" w:lineRule="exact"/>
        <w:rPr>
          <w:sz w:val="24"/>
          <w:szCs w:val="24"/>
        </w:rPr>
        <w:sectPr>
          <w:pgSz w:w="16839" w:h="11907"/>
          <w:pgMar w:top="400" w:right="1438" w:bottom="400" w:left="995" w:header="0" w:footer="0" w:gutter="0"/>
          <w:cols w:space="720" w:num="1"/>
        </w:sectPr>
      </w:pPr>
    </w:p>
    <w:p>
      <w:pPr>
        <w:spacing w:before="39"/>
      </w:pPr>
      <w:r>
        <mc:AlternateContent>
          <mc:Choice Requires="wps">
            <w:drawing>
              <wp:anchor distT="0" distB="0" distL="114300" distR="114300" simplePos="0" relativeHeight="251664384" behindDoc="0" locked="0" layoutInCell="0" allowOverlap="1">
                <wp:simplePos x="0" y="0"/>
                <wp:positionH relativeFrom="page">
                  <wp:posOffset>631825</wp:posOffset>
                </wp:positionH>
                <wp:positionV relativeFrom="page">
                  <wp:posOffset>6922135</wp:posOffset>
                </wp:positionV>
                <wp:extent cx="6292850" cy="6350"/>
                <wp:effectExtent l="0" t="0" r="0" b="0"/>
                <wp:wrapNone/>
                <wp:docPr id="15" name="任意多边形 15"/>
                <wp:cNvGraphicFramePr/>
                <a:graphic xmlns:a="http://schemas.openxmlformats.org/drawingml/2006/main">
                  <a:graphicData uri="http://schemas.microsoft.com/office/word/2010/wordprocessingShape">
                    <wps:wsp>
                      <wps:cNvSpPr/>
                      <wps:spPr>
                        <a:xfrm>
                          <a:off x="0" y="0"/>
                          <a:ext cx="6292850" cy="6350"/>
                        </a:xfrm>
                        <a:custGeom>
                          <a:avLst/>
                          <a:gdLst/>
                          <a:ahLst/>
                          <a:cxnLst/>
                          <a:pathLst>
                            <a:path w="9910" h="10">
                              <a:moveTo>
                                <a:pt x="5" y="5"/>
                              </a:moveTo>
                              <a:lnTo>
                                <a:pt x="4955" y="5"/>
                              </a:lnTo>
                              <a:moveTo>
                                <a:pt x="4955" y="5"/>
                              </a:moveTo>
                              <a:lnTo>
                                <a:pt x="9905" y="5"/>
                              </a:lnTo>
                            </a:path>
                          </a:pathLst>
                        </a:custGeom>
                        <a:noFill/>
                        <a:ln w="6350" cap="sq" cmpd="sng">
                          <a:solidFill>
                            <a:srgbClr val="000000"/>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49.75pt;margin-top:545.05pt;height:0.5pt;width:495.5pt;mso-position-horizontal-relative:page;mso-position-vertical-relative:page;z-index:251664384;mso-width-relative:page;mso-height-relative:page;" filled="f" stroked="t" coordsize="9910,10" o:allowincell="f" o:gfxdata="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BYAAABkcnMvUEsB&#10;AhQAFAAAAAgAh07iQO6Mgo7aAAAADQEAAA8AAAAAAAAAAQAgAAAAOAAAAGRycy9kb3ducmV2Lnht&#10;bFBLAQIUABQAAAAIAIdO4kDVvgE2UwIAAPYEAAAOAAAAAAAAAAEAIAAAAD8BAABkcnMvZTJvRG9j&#10;LnhtbFBLBQYAAAAABgAGAFkBAAAEBgAAAAA=&#10;" path="m5,5l4955,5m4955,5l9905,5e">
                <v:fill on="f" focussize="0,0"/>
                <v:stroke weight="0.5pt" color="#000000" miterlimit="10" joinstyle="miter" endcap="square"/>
                <v:imagedata o:title=""/>
                <o:lock v:ext="edit" aspectratio="f"/>
              </v:shape>
            </w:pict>
          </mc:Fallback>
        </mc:AlternateContent>
      </w:r>
    </w:p>
    <w:p>
      <w:pPr>
        <w:spacing w:before="39"/>
      </w:pPr>
    </w:p>
    <w:p>
      <w:pPr>
        <w:spacing w:before="39"/>
      </w:pPr>
    </w:p>
    <w:p>
      <w:pPr>
        <w:spacing w:before="38"/>
      </w:pPr>
    </w:p>
    <w:p>
      <w:pPr>
        <w:spacing w:before="38"/>
      </w:pPr>
    </w:p>
    <w:tbl>
      <w:tblPr>
        <w:tblStyle w:val="96"/>
        <w:tblW w:w="13950" w:type="dxa"/>
        <w:tblInd w:w="45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6"/>
        <w:gridCol w:w="985"/>
        <w:gridCol w:w="1295"/>
        <w:gridCol w:w="4380"/>
        <w:gridCol w:w="3269"/>
        <w:gridCol w:w="677"/>
        <w:gridCol w:w="24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188" w:hRule="atLeast"/>
        </w:trPr>
        <w:tc>
          <w:tcPr>
            <w:tcW w:w="936" w:type="dxa"/>
            <w:vMerge w:val="restart"/>
            <w:tcBorders>
              <w:top w:val="nil"/>
              <w:left w:val="single" w:color="000000" w:sz="6" w:space="0"/>
              <w:bottom w:val="nil"/>
            </w:tcBorders>
            <w:vAlign w:val="top"/>
          </w:tcPr>
          <w:p>
            <w:pPr>
              <w:rPr>
                <w:rFonts w:ascii="Arial"/>
                <w:sz w:val="21"/>
              </w:rPr>
            </w:pPr>
          </w:p>
        </w:tc>
        <w:tc>
          <w:tcPr>
            <w:tcW w:w="985" w:type="dxa"/>
            <w:vMerge w:val="restart"/>
            <w:tcBorders>
              <w:top w:val="nil"/>
              <w:bottom w:val="nil"/>
            </w:tcBorders>
            <w:vAlign w:val="top"/>
          </w:tcPr>
          <w:p>
            <w:pPr>
              <w:rPr>
                <w:rFonts w:ascii="Arial"/>
                <w:sz w:val="21"/>
              </w:rPr>
            </w:pPr>
          </w:p>
        </w:tc>
        <w:tc>
          <w:tcPr>
            <w:tcW w:w="1295" w:type="dxa"/>
            <w:tcBorders>
              <w:top w:val="nil"/>
            </w:tcBorders>
            <w:vAlign w:val="top"/>
          </w:tcPr>
          <w:p>
            <w:pPr>
              <w:rPr>
                <w:rFonts w:ascii="Arial"/>
                <w:sz w:val="21"/>
              </w:rPr>
            </w:pPr>
          </w:p>
        </w:tc>
        <w:tc>
          <w:tcPr>
            <w:tcW w:w="4380" w:type="dxa"/>
            <w:tcBorders>
              <w:top w:val="nil"/>
            </w:tcBorders>
            <w:vAlign w:val="top"/>
          </w:tcPr>
          <w:p>
            <w:pPr>
              <w:pStyle w:val="95"/>
              <w:spacing w:before="62" w:line="287" w:lineRule="auto"/>
              <w:ind w:left="108" w:right="217"/>
              <w:jc w:val="both"/>
            </w:pPr>
            <w:r>
              <w:rPr>
                <w:spacing w:val="-1"/>
              </w:rPr>
              <w:t>可承担单项合同额</w:t>
            </w:r>
            <w:r>
              <w:rPr>
                <w:spacing w:val="-35"/>
              </w:rPr>
              <w:t xml:space="preserve"> </w:t>
            </w:r>
            <w:r>
              <w:rPr>
                <w:spacing w:val="-1"/>
              </w:rPr>
              <w:t>2000</w:t>
            </w:r>
            <w:r>
              <w:rPr>
                <w:spacing w:val="-31"/>
              </w:rPr>
              <w:t xml:space="preserve"> </w:t>
            </w:r>
            <w:r>
              <w:rPr>
                <w:spacing w:val="-1"/>
              </w:rPr>
              <w:t>万元以下的各类建筑</w:t>
            </w:r>
            <w:r>
              <w:rPr>
                <w:spacing w:val="-2"/>
              </w:rPr>
              <w:t>工程项</w:t>
            </w:r>
            <w:r>
              <w:t xml:space="preserve"> </w:t>
            </w:r>
            <w:r>
              <w:rPr>
                <w:spacing w:val="-8"/>
              </w:rPr>
              <w:t>目的设备、线路、管道的安装，</w:t>
            </w:r>
            <w:r>
              <w:rPr>
                <w:spacing w:val="80"/>
              </w:rPr>
              <w:t xml:space="preserve"> </w:t>
            </w:r>
            <w:r>
              <w:rPr>
                <w:spacing w:val="-8"/>
              </w:rPr>
              <w:t>10</w:t>
            </w:r>
            <w:r>
              <w:rPr>
                <w:spacing w:val="-37"/>
              </w:rPr>
              <w:t xml:space="preserve"> </w:t>
            </w:r>
            <w:r>
              <w:rPr>
                <w:spacing w:val="-8"/>
              </w:rPr>
              <w:t>千伏以下变配电</w:t>
            </w:r>
            <w:r>
              <w:t xml:space="preserve"> </w:t>
            </w:r>
            <w:r>
              <w:rPr>
                <w:spacing w:val="-2"/>
              </w:rPr>
              <w:t>站工程，非标准钢结构件的制作、安装。</w:t>
            </w:r>
          </w:p>
          <w:p>
            <w:pPr>
              <w:pStyle w:val="95"/>
              <w:spacing w:before="97" w:line="220" w:lineRule="auto"/>
              <w:ind w:left="107"/>
            </w:pPr>
            <w:r>
              <w:rPr>
                <w:spacing w:val="-5"/>
              </w:rPr>
              <w:t>三级资质承建范围：</w:t>
            </w:r>
          </w:p>
          <w:p>
            <w:pPr>
              <w:pStyle w:val="95"/>
              <w:spacing w:before="97" w:line="287" w:lineRule="auto"/>
              <w:ind w:left="108" w:right="134"/>
              <w:jc w:val="both"/>
            </w:pPr>
            <w:r>
              <w:rPr>
                <w:spacing w:val="-2"/>
              </w:rPr>
              <w:t>可承担单项合同额</w:t>
            </w:r>
            <w:r>
              <w:rPr>
                <w:spacing w:val="-19"/>
              </w:rPr>
              <w:t xml:space="preserve"> </w:t>
            </w:r>
            <w:r>
              <w:rPr>
                <w:spacing w:val="-2"/>
              </w:rPr>
              <w:t>1000</w:t>
            </w:r>
            <w:r>
              <w:rPr>
                <w:spacing w:val="-31"/>
              </w:rPr>
              <w:t xml:space="preserve"> </w:t>
            </w:r>
            <w:r>
              <w:rPr>
                <w:spacing w:val="-2"/>
              </w:rPr>
              <w:t>万元以下的各类建筑工程项</w:t>
            </w:r>
            <w:r>
              <w:t xml:space="preserve">  </w:t>
            </w:r>
            <w:r>
              <w:rPr>
                <w:spacing w:val="-1"/>
              </w:rPr>
              <w:t>目的设备、线路、管道的安装，非标准钢结构件的制</w:t>
            </w:r>
            <w:r>
              <w:rPr>
                <w:spacing w:val="14"/>
              </w:rPr>
              <w:t xml:space="preserve"> </w:t>
            </w:r>
            <w:r>
              <w:rPr>
                <w:spacing w:val="-6"/>
              </w:rPr>
              <w:t>作、安装。</w:t>
            </w:r>
          </w:p>
        </w:tc>
        <w:tc>
          <w:tcPr>
            <w:tcW w:w="3269" w:type="dxa"/>
            <w:tcBorders>
              <w:top w:val="nil"/>
            </w:tcBorders>
            <w:vAlign w:val="top"/>
          </w:tcPr>
          <w:p>
            <w:pPr>
              <w:spacing w:line="311" w:lineRule="auto"/>
              <w:rPr>
                <w:rFonts w:ascii="Arial"/>
                <w:sz w:val="21"/>
              </w:rPr>
            </w:pPr>
          </w:p>
          <w:p>
            <w:pPr>
              <w:spacing w:line="311" w:lineRule="auto"/>
              <w:rPr>
                <w:rFonts w:ascii="Arial"/>
                <w:sz w:val="21"/>
              </w:rPr>
            </w:pPr>
          </w:p>
          <w:p>
            <w:pPr>
              <w:spacing w:line="312" w:lineRule="auto"/>
              <w:rPr>
                <w:rFonts w:ascii="Arial"/>
                <w:sz w:val="21"/>
              </w:rPr>
            </w:pPr>
          </w:p>
          <w:p>
            <w:pPr>
              <w:pStyle w:val="95"/>
              <w:spacing w:before="59" w:line="220" w:lineRule="auto"/>
              <w:ind w:left="114"/>
            </w:pPr>
            <w:r>
              <w:rPr>
                <w:spacing w:val="-1"/>
              </w:rPr>
              <w:t>非标准钢结构件的制作、安装</w:t>
            </w:r>
          </w:p>
        </w:tc>
        <w:tc>
          <w:tcPr>
            <w:tcW w:w="677" w:type="dxa"/>
            <w:tcBorders>
              <w:top w:val="nil"/>
            </w:tcBorders>
            <w:vAlign w:val="top"/>
          </w:tcPr>
          <w:p>
            <w:pPr>
              <w:spacing w:line="312" w:lineRule="auto"/>
              <w:rPr>
                <w:rFonts w:ascii="Arial"/>
                <w:sz w:val="21"/>
              </w:rPr>
            </w:pPr>
          </w:p>
          <w:p>
            <w:pPr>
              <w:spacing w:line="312" w:lineRule="auto"/>
              <w:rPr>
                <w:rFonts w:ascii="Arial"/>
                <w:sz w:val="21"/>
              </w:rPr>
            </w:pPr>
          </w:p>
          <w:p>
            <w:pPr>
              <w:pStyle w:val="95"/>
              <w:spacing w:before="59" w:line="220" w:lineRule="auto"/>
              <w:ind w:left="165"/>
            </w:pPr>
            <w:r>
              <w:rPr>
                <w:spacing w:val="-3"/>
              </w:rPr>
              <w:t>符合</w:t>
            </w:r>
          </w:p>
          <w:p>
            <w:pPr>
              <w:pStyle w:val="95"/>
              <w:spacing w:before="98" w:line="220" w:lineRule="auto"/>
              <w:ind w:left="166"/>
            </w:pPr>
            <w:r>
              <w:rPr>
                <w:spacing w:val="-3"/>
              </w:rPr>
              <w:t>性判</w:t>
            </w:r>
          </w:p>
          <w:p>
            <w:pPr>
              <w:pStyle w:val="95"/>
              <w:spacing w:before="96" w:line="220" w:lineRule="auto"/>
              <w:ind w:left="262"/>
            </w:pPr>
            <w:r>
              <w:t>断</w:t>
            </w:r>
          </w:p>
        </w:tc>
        <w:tc>
          <w:tcPr>
            <w:tcW w:w="2408" w:type="dxa"/>
            <w:tcBorders>
              <w:top w:val="nil"/>
            </w:tcBorders>
            <w:vAlign w:val="top"/>
          </w:tcPr>
          <w:p>
            <w:pPr>
              <w:spacing w:line="311" w:lineRule="auto"/>
              <w:rPr>
                <w:rFonts w:ascii="Arial"/>
                <w:sz w:val="21"/>
              </w:rPr>
            </w:pPr>
          </w:p>
          <w:p>
            <w:pPr>
              <w:spacing w:line="312" w:lineRule="auto"/>
              <w:rPr>
                <w:rFonts w:ascii="Arial"/>
                <w:sz w:val="21"/>
              </w:rPr>
            </w:pPr>
          </w:p>
          <w:p>
            <w:pPr>
              <w:spacing w:line="312" w:lineRule="auto"/>
              <w:rPr>
                <w:rFonts w:ascii="Arial"/>
                <w:sz w:val="21"/>
              </w:rPr>
            </w:pPr>
          </w:p>
          <w:p>
            <w:pPr>
              <w:pStyle w:val="95"/>
              <w:spacing w:before="58" w:line="219" w:lineRule="auto"/>
              <w:ind w:left="115"/>
            </w:pPr>
            <w:r>
              <w:rPr>
                <w:spacing w:val="-2"/>
              </w:rPr>
              <w:t>默认三级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63" w:hRule="atLeast"/>
        </w:trPr>
        <w:tc>
          <w:tcPr>
            <w:tcW w:w="936" w:type="dxa"/>
            <w:vMerge w:val="continue"/>
            <w:tcBorders>
              <w:top w:val="nil"/>
              <w:left w:val="single" w:color="000000" w:sz="6" w:space="0"/>
              <w:bottom w:val="nil"/>
            </w:tcBorders>
            <w:vAlign w:val="top"/>
          </w:tcPr>
          <w:p>
            <w:pPr>
              <w:rPr>
                <w:rFonts w:ascii="Arial"/>
                <w:sz w:val="21"/>
              </w:rPr>
            </w:pPr>
          </w:p>
        </w:tc>
        <w:tc>
          <w:tcPr>
            <w:tcW w:w="985" w:type="dxa"/>
            <w:vMerge w:val="continue"/>
            <w:tcBorders>
              <w:top w:val="nil"/>
              <w:bottom w:val="nil"/>
            </w:tcBorders>
            <w:vAlign w:val="top"/>
          </w:tcPr>
          <w:p>
            <w:pPr>
              <w:rPr>
                <w:rFonts w:ascii="Arial"/>
                <w:sz w:val="21"/>
              </w:rPr>
            </w:pPr>
          </w:p>
        </w:tc>
        <w:tc>
          <w:tcPr>
            <w:tcW w:w="1295" w:type="dxa"/>
            <w:vAlign w:val="top"/>
          </w:tcPr>
          <w:p>
            <w:pPr>
              <w:spacing w:line="316" w:lineRule="auto"/>
              <w:rPr>
                <w:rFonts w:ascii="Arial"/>
                <w:sz w:val="21"/>
              </w:rPr>
            </w:pPr>
          </w:p>
          <w:p>
            <w:pPr>
              <w:pStyle w:val="95"/>
              <w:spacing w:before="58" w:line="219" w:lineRule="auto"/>
              <w:ind w:left="152"/>
            </w:pPr>
            <w:r>
              <w:rPr>
                <w:spacing w:val="-3"/>
              </w:rPr>
              <w:t>25</w:t>
            </w:r>
            <w:r>
              <w:rPr>
                <w:spacing w:val="13"/>
              </w:rPr>
              <w:t xml:space="preserve"> </w:t>
            </w:r>
            <w:r>
              <w:rPr>
                <w:spacing w:val="-3"/>
              </w:rPr>
              <w:t>建筑幕墙</w:t>
            </w:r>
          </w:p>
          <w:p>
            <w:pPr>
              <w:pStyle w:val="95"/>
              <w:spacing w:before="98" w:line="220" w:lineRule="auto"/>
              <w:ind w:left="108"/>
            </w:pPr>
            <w:r>
              <w:rPr>
                <w:spacing w:val="-2"/>
              </w:rPr>
              <w:t>工程专业承包</w:t>
            </w:r>
          </w:p>
          <w:p>
            <w:pPr>
              <w:pStyle w:val="95"/>
              <w:spacing w:before="98" w:line="220" w:lineRule="auto"/>
              <w:ind w:left="294"/>
            </w:pPr>
            <w:r>
              <w:rPr>
                <w:spacing w:val="-3"/>
              </w:rPr>
              <w:t>资质标准</w:t>
            </w:r>
          </w:p>
        </w:tc>
        <w:tc>
          <w:tcPr>
            <w:tcW w:w="4380" w:type="dxa"/>
            <w:vAlign w:val="top"/>
          </w:tcPr>
          <w:p>
            <w:pPr>
              <w:pStyle w:val="95"/>
              <w:spacing w:before="64" w:line="220" w:lineRule="auto"/>
              <w:ind w:left="110"/>
            </w:pPr>
            <w:r>
              <w:rPr>
                <w:spacing w:val="-6"/>
              </w:rPr>
              <w:t>一级资质承建范围：</w:t>
            </w:r>
          </w:p>
          <w:p>
            <w:pPr>
              <w:pStyle w:val="95"/>
              <w:spacing w:before="97" w:line="312" w:lineRule="exact"/>
              <w:ind w:left="109"/>
            </w:pPr>
            <w:r>
              <w:rPr>
                <w:spacing w:val="-2"/>
                <w:position w:val="10"/>
              </w:rPr>
              <w:t>可承担各类型的建筑幕墙工程的施工。</w:t>
            </w:r>
          </w:p>
          <w:p>
            <w:pPr>
              <w:pStyle w:val="95"/>
              <w:spacing w:line="219" w:lineRule="auto"/>
              <w:ind w:left="110"/>
            </w:pPr>
            <w:r>
              <w:rPr>
                <w:spacing w:val="-6"/>
              </w:rPr>
              <w:t>二级资质承建范围：</w:t>
            </w:r>
          </w:p>
          <w:p>
            <w:pPr>
              <w:pStyle w:val="95"/>
              <w:spacing w:before="98" w:line="269" w:lineRule="auto"/>
              <w:ind w:left="107" w:right="220" w:firstLine="2"/>
            </w:pPr>
            <w:r>
              <w:rPr>
                <w:spacing w:val="-1"/>
              </w:rPr>
              <w:t>可承担单体建筑工程幕墙面积</w:t>
            </w:r>
            <w:r>
              <w:rPr>
                <w:spacing w:val="-35"/>
              </w:rPr>
              <w:t xml:space="preserve"> </w:t>
            </w:r>
            <w:r>
              <w:rPr>
                <w:spacing w:val="-1"/>
              </w:rPr>
              <w:t>8000</w:t>
            </w:r>
            <w:r>
              <w:rPr>
                <w:spacing w:val="-37"/>
              </w:rPr>
              <w:t xml:space="preserve"> </w:t>
            </w:r>
            <w:r>
              <w:rPr>
                <w:spacing w:val="-1"/>
              </w:rPr>
              <w:t>平方米以下建筑</w:t>
            </w:r>
            <w:r>
              <w:t xml:space="preserve"> </w:t>
            </w:r>
            <w:r>
              <w:rPr>
                <w:spacing w:val="-4"/>
              </w:rPr>
              <w:t>幕墙工程的施工。</w:t>
            </w:r>
          </w:p>
        </w:tc>
        <w:tc>
          <w:tcPr>
            <w:tcW w:w="3269" w:type="dxa"/>
            <w:vAlign w:val="top"/>
          </w:tcPr>
          <w:p>
            <w:pPr>
              <w:spacing w:line="472" w:lineRule="auto"/>
              <w:rPr>
                <w:rFonts w:ascii="Arial"/>
                <w:sz w:val="21"/>
              </w:rPr>
            </w:pPr>
          </w:p>
          <w:p>
            <w:pPr>
              <w:pStyle w:val="95"/>
              <w:spacing w:before="58" w:line="269" w:lineRule="auto"/>
              <w:ind w:left="112" w:right="279"/>
            </w:pPr>
            <w:r>
              <w:rPr>
                <w:spacing w:val="-1"/>
              </w:rPr>
              <w:t>单体建筑工程幕墙面积</w:t>
            </w:r>
            <w:r>
              <w:rPr>
                <w:spacing w:val="-1"/>
                <w:u w:val="single" w:color="auto"/>
              </w:rPr>
              <w:t xml:space="preserve">    </w:t>
            </w:r>
            <w:r>
              <w:rPr>
                <w:spacing w:val="-82"/>
              </w:rPr>
              <w:t xml:space="preserve"> </w:t>
            </w:r>
            <w:r>
              <w:rPr>
                <w:spacing w:val="-1"/>
              </w:rPr>
              <w:t>平方米的</w:t>
            </w:r>
            <w:r>
              <w:t xml:space="preserve"> </w:t>
            </w:r>
            <w:r>
              <w:rPr>
                <w:spacing w:val="-1"/>
              </w:rPr>
              <w:t>建筑幕墙工程的施工</w:t>
            </w:r>
          </w:p>
        </w:tc>
        <w:tc>
          <w:tcPr>
            <w:tcW w:w="677" w:type="dxa"/>
            <w:vAlign w:val="top"/>
          </w:tcPr>
          <w:p>
            <w:pPr>
              <w:spacing w:line="312" w:lineRule="auto"/>
              <w:rPr>
                <w:rFonts w:ascii="Arial"/>
                <w:sz w:val="21"/>
              </w:rPr>
            </w:pPr>
          </w:p>
          <w:p>
            <w:pPr>
              <w:spacing w:line="313" w:lineRule="auto"/>
              <w:rPr>
                <w:rFonts w:ascii="Arial"/>
                <w:sz w:val="21"/>
              </w:rPr>
            </w:pPr>
          </w:p>
          <w:p>
            <w:pPr>
              <w:pStyle w:val="95"/>
              <w:spacing w:before="59" w:line="220" w:lineRule="auto"/>
              <w:ind w:left="165"/>
            </w:pPr>
            <w:r>
              <w:rPr>
                <w:spacing w:val="-3"/>
              </w:rPr>
              <w:t>数值</w:t>
            </w:r>
          </w:p>
        </w:tc>
        <w:tc>
          <w:tcPr>
            <w:tcW w:w="2408" w:type="dxa"/>
            <w:vAlign w:val="top"/>
          </w:tcPr>
          <w:p>
            <w:pPr>
              <w:spacing w:line="471" w:lineRule="auto"/>
              <w:rPr>
                <w:rFonts w:ascii="Arial"/>
                <w:sz w:val="21"/>
              </w:rPr>
            </w:pPr>
          </w:p>
          <w:p>
            <w:pPr>
              <w:pStyle w:val="95"/>
              <w:spacing w:before="58" w:line="217" w:lineRule="auto"/>
              <w:ind w:left="113"/>
            </w:pPr>
            <w:r>
              <w:rPr>
                <w:spacing w:val="-1"/>
              </w:rPr>
              <w:t>① 8000&lt;d,一级</w:t>
            </w:r>
          </w:p>
          <w:p>
            <w:pPr>
              <w:pStyle w:val="95"/>
              <w:spacing w:before="101" w:line="217" w:lineRule="auto"/>
              <w:ind w:left="112"/>
            </w:pPr>
            <w:r>
              <w:rPr>
                <w:spacing w:val="-1"/>
              </w:rPr>
              <w:t>② 0&lt;d≤8000，二级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84" w:hRule="atLeast"/>
        </w:trPr>
        <w:tc>
          <w:tcPr>
            <w:tcW w:w="936" w:type="dxa"/>
            <w:vMerge w:val="continue"/>
            <w:tcBorders>
              <w:top w:val="nil"/>
              <w:left w:val="single" w:color="000000" w:sz="6" w:space="0"/>
              <w:bottom w:val="nil"/>
            </w:tcBorders>
            <w:vAlign w:val="top"/>
          </w:tcPr>
          <w:p>
            <w:pPr>
              <w:rPr>
                <w:rFonts w:ascii="Arial"/>
                <w:sz w:val="21"/>
              </w:rPr>
            </w:pPr>
          </w:p>
        </w:tc>
        <w:tc>
          <w:tcPr>
            <w:tcW w:w="985" w:type="dxa"/>
            <w:vMerge w:val="continue"/>
            <w:tcBorders>
              <w:top w:val="nil"/>
              <w:bottom w:val="nil"/>
            </w:tcBorders>
            <w:vAlign w:val="top"/>
          </w:tcPr>
          <w:p>
            <w:pPr>
              <w:rPr>
                <w:rFonts w:ascii="Arial"/>
                <w:sz w:val="21"/>
              </w:rPr>
            </w:pPr>
          </w:p>
        </w:tc>
        <w:tc>
          <w:tcPr>
            <w:tcW w:w="1295" w:type="dxa"/>
            <w:vMerge w:val="restart"/>
            <w:tcBorders>
              <w:bottom w:val="nil"/>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pStyle w:val="95"/>
              <w:spacing w:before="59" w:line="220" w:lineRule="auto"/>
              <w:ind w:left="152"/>
            </w:pPr>
            <w:r>
              <w:rPr>
                <w:spacing w:val="-3"/>
              </w:rPr>
              <w:t>26</w:t>
            </w:r>
            <w:r>
              <w:rPr>
                <w:spacing w:val="14"/>
              </w:rPr>
              <w:t xml:space="preserve"> </w:t>
            </w:r>
            <w:r>
              <w:rPr>
                <w:spacing w:val="-3"/>
              </w:rPr>
              <w:t>古建筑工</w:t>
            </w:r>
          </w:p>
          <w:p>
            <w:pPr>
              <w:pStyle w:val="95"/>
              <w:spacing w:before="96" w:line="220" w:lineRule="auto"/>
              <w:ind w:left="106"/>
            </w:pPr>
            <w:r>
              <w:rPr>
                <w:spacing w:val="-1"/>
              </w:rPr>
              <w:t>程专业承包资</w:t>
            </w:r>
          </w:p>
          <w:p>
            <w:pPr>
              <w:pStyle w:val="95"/>
              <w:spacing w:before="98" w:line="220" w:lineRule="auto"/>
              <w:ind w:left="376"/>
            </w:pPr>
            <w:r>
              <w:rPr>
                <w:spacing w:val="-2"/>
              </w:rPr>
              <w:t>质标准</w:t>
            </w:r>
          </w:p>
        </w:tc>
        <w:tc>
          <w:tcPr>
            <w:tcW w:w="4380" w:type="dxa"/>
            <w:vMerge w:val="restart"/>
            <w:tcBorders>
              <w:bottom w:val="nil"/>
            </w:tcBorders>
            <w:vAlign w:val="top"/>
          </w:tcPr>
          <w:p>
            <w:pPr>
              <w:pStyle w:val="95"/>
              <w:spacing w:before="65" w:line="220" w:lineRule="auto"/>
              <w:ind w:left="110"/>
            </w:pPr>
            <w:r>
              <w:rPr>
                <w:spacing w:val="-6"/>
              </w:rPr>
              <w:t>一级资质承建范围：</w:t>
            </w:r>
          </w:p>
          <w:p>
            <w:pPr>
              <w:pStyle w:val="95"/>
              <w:spacing w:before="97" w:line="270" w:lineRule="auto"/>
              <w:ind w:left="110" w:right="520" w:hanging="1"/>
            </w:pPr>
            <w:r>
              <w:rPr>
                <w:spacing w:val="-2"/>
              </w:rPr>
              <w:t>可承担各类仿古建筑、古建筑修缮工程的施工。</w:t>
            </w:r>
            <w:r>
              <w:rPr>
                <w:spacing w:val="6"/>
              </w:rPr>
              <w:t xml:space="preserve"> </w:t>
            </w:r>
            <w:r>
              <w:rPr>
                <w:spacing w:val="-6"/>
              </w:rPr>
              <w:t>二级资质承建范围：</w:t>
            </w:r>
          </w:p>
          <w:p>
            <w:pPr>
              <w:pStyle w:val="95"/>
              <w:spacing w:before="97" w:line="220" w:lineRule="auto"/>
              <w:ind w:left="109"/>
            </w:pPr>
            <w:r>
              <w:rPr>
                <w:spacing w:val="-1"/>
              </w:rPr>
              <w:t>可承担建筑面积</w:t>
            </w:r>
            <w:r>
              <w:rPr>
                <w:spacing w:val="-36"/>
              </w:rPr>
              <w:t xml:space="preserve"> </w:t>
            </w:r>
            <w:r>
              <w:rPr>
                <w:spacing w:val="-1"/>
              </w:rPr>
              <w:t>800</w:t>
            </w:r>
            <w:r>
              <w:rPr>
                <w:spacing w:val="-37"/>
              </w:rPr>
              <w:t xml:space="preserve"> </w:t>
            </w:r>
            <w:r>
              <w:rPr>
                <w:spacing w:val="-1"/>
              </w:rPr>
              <w:t>平方米以下的单体仿古</w:t>
            </w:r>
            <w:r>
              <w:rPr>
                <w:spacing w:val="-2"/>
              </w:rPr>
              <w:t>建筑工</w:t>
            </w:r>
          </w:p>
          <w:p>
            <w:pPr>
              <w:pStyle w:val="95"/>
              <w:spacing w:before="97" w:line="270" w:lineRule="auto"/>
              <w:ind w:left="109" w:right="133" w:hanging="2"/>
            </w:pPr>
            <w:r>
              <w:rPr>
                <w:spacing w:val="-1"/>
              </w:rPr>
              <w:t>程，国家级</w:t>
            </w:r>
            <w:r>
              <w:rPr>
                <w:spacing w:val="-34"/>
              </w:rPr>
              <w:t xml:space="preserve"> </w:t>
            </w:r>
            <w:r>
              <w:rPr>
                <w:spacing w:val="-1"/>
              </w:rPr>
              <w:t>200</w:t>
            </w:r>
            <w:r>
              <w:rPr>
                <w:spacing w:val="-37"/>
              </w:rPr>
              <w:t xml:space="preserve"> </w:t>
            </w:r>
            <w:r>
              <w:rPr>
                <w:spacing w:val="-1"/>
              </w:rPr>
              <w:t>平方米以下重点文物保护单位的</w:t>
            </w:r>
            <w:r>
              <w:rPr>
                <w:spacing w:val="-2"/>
              </w:rPr>
              <w:t>古建</w:t>
            </w:r>
            <w:r>
              <w:t xml:space="preserve"> </w:t>
            </w:r>
            <w:r>
              <w:rPr>
                <w:spacing w:val="-5"/>
              </w:rPr>
              <w:t>筑修缮工程的施工；</w:t>
            </w:r>
          </w:p>
          <w:p>
            <w:pPr>
              <w:pStyle w:val="95"/>
              <w:spacing w:before="98" w:line="220" w:lineRule="auto"/>
              <w:ind w:left="107"/>
            </w:pPr>
            <w:r>
              <w:rPr>
                <w:spacing w:val="-5"/>
              </w:rPr>
              <w:t>三级资质承建范围：</w:t>
            </w:r>
          </w:p>
          <w:p>
            <w:pPr>
              <w:pStyle w:val="95"/>
              <w:spacing w:before="97" w:line="220" w:lineRule="auto"/>
              <w:ind w:left="109"/>
            </w:pPr>
            <w:r>
              <w:rPr>
                <w:spacing w:val="-1"/>
              </w:rPr>
              <w:t>可承担建筑面积</w:t>
            </w:r>
            <w:r>
              <w:rPr>
                <w:spacing w:val="-37"/>
              </w:rPr>
              <w:t xml:space="preserve"> </w:t>
            </w:r>
            <w:r>
              <w:rPr>
                <w:spacing w:val="-1"/>
              </w:rPr>
              <w:t>400</w:t>
            </w:r>
            <w:r>
              <w:rPr>
                <w:spacing w:val="-37"/>
              </w:rPr>
              <w:t xml:space="preserve"> </w:t>
            </w:r>
            <w:r>
              <w:rPr>
                <w:spacing w:val="-1"/>
              </w:rPr>
              <w:t>平方米以下的单体仿古建</w:t>
            </w:r>
            <w:r>
              <w:rPr>
                <w:spacing w:val="-2"/>
              </w:rPr>
              <w:t>筑工</w:t>
            </w:r>
          </w:p>
          <w:p>
            <w:pPr>
              <w:pStyle w:val="95"/>
              <w:spacing w:before="98" w:line="270" w:lineRule="auto"/>
              <w:ind w:left="107" w:right="133"/>
            </w:pPr>
            <w:r>
              <w:rPr>
                <w:spacing w:val="-2"/>
              </w:rPr>
              <w:t>程，省级</w:t>
            </w:r>
            <w:r>
              <w:rPr>
                <w:spacing w:val="-12"/>
              </w:rPr>
              <w:t xml:space="preserve"> </w:t>
            </w:r>
            <w:r>
              <w:rPr>
                <w:spacing w:val="-2"/>
              </w:rPr>
              <w:t>100</w:t>
            </w:r>
            <w:r>
              <w:rPr>
                <w:spacing w:val="-37"/>
              </w:rPr>
              <w:t xml:space="preserve"> </w:t>
            </w:r>
            <w:r>
              <w:rPr>
                <w:spacing w:val="-2"/>
              </w:rPr>
              <w:t>平方米以下重点文物保护单位的古建筑</w:t>
            </w:r>
            <w:r>
              <w:t xml:space="preserve"> </w:t>
            </w:r>
            <w:r>
              <w:rPr>
                <w:spacing w:val="-1"/>
              </w:rPr>
              <w:t>修缮工程的施工</w:t>
            </w:r>
          </w:p>
        </w:tc>
        <w:tc>
          <w:tcPr>
            <w:tcW w:w="3269" w:type="dxa"/>
            <w:vAlign w:val="top"/>
          </w:tcPr>
          <w:p>
            <w:pPr>
              <w:pStyle w:val="95"/>
              <w:spacing w:before="145" w:line="270" w:lineRule="auto"/>
              <w:ind w:left="112" w:right="279"/>
            </w:pPr>
            <w:r>
              <w:rPr>
                <w:spacing w:val="-1"/>
              </w:rPr>
              <w:t>建筑面积</w:t>
            </w:r>
            <w:r>
              <w:rPr>
                <w:spacing w:val="-1"/>
                <w:u w:val="single" w:color="auto"/>
              </w:rPr>
              <w:t xml:space="preserve">      </w:t>
            </w:r>
            <w:r>
              <w:rPr>
                <w:spacing w:val="-82"/>
              </w:rPr>
              <w:t xml:space="preserve"> </w:t>
            </w:r>
            <w:r>
              <w:rPr>
                <w:spacing w:val="-1"/>
              </w:rPr>
              <w:t>平方米的单体仿古建</w:t>
            </w:r>
            <w:r>
              <w:t xml:space="preserve"> </w:t>
            </w:r>
            <w:r>
              <w:rPr>
                <w:spacing w:val="-2"/>
              </w:rPr>
              <w:t>筑工程</w:t>
            </w:r>
          </w:p>
        </w:tc>
        <w:tc>
          <w:tcPr>
            <w:tcW w:w="677" w:type="dxa"/>
            <w:vAlign w:val="top"/>
          </w:tcPr>
          <w:p>
            <w:pPr>
              <w:spacing w:line="241" w:lineRule="auto"/>
              <w:rPr>
                <w:rFonts w:ascii="Arial"/>
                <w:sz w:val="21"/>
              </w:rPr>
            </w:pPr>
          </w:p>
          <w:p>
            <w:pPr>
              <w:pStyle w:val="95"/>
              <w:spacing w:before="58" w:line="220" w:lineRule="auto"/>
              <w:ind w:left="165"/>
            </w:pPr>
            <w:r>
              <w:rPr>
                <w:spacing w:val="-3"/>
              </w:rPr>
              <w:t>数值</w:t>
            </w:r>
          </w:p>
        </w:tc>
        <w:tc>
          <w:tcPr>
            <w:tcW w:w="2408" w:type="dxa"/>
            <w:vAlign w:val="top"/>
          </w:tcPr>
          <w:p>
            <w:pPr>
              <w:pStyle w:val="95"/>
              <w:spacing w:before="145" w:line="217" w:lineRule="auto"/>
              <w:ind w:left="113"/>
            </w:pPr>
            <w:r>
              <w:rPr>
                <w:spacing w:val="-1"/>
              </w:rPr>
              <w:t>① 800&lt;d,一级</w:t>
            </w:r>
          </w:p>
          <w:p>
            <w:pPr>
              <w:pStyle w:val="95"/>
              <w:spacing w:before="101" w:line="217" w:lineRule="auto"/>
              <w:ind w:left="112"/>
            </w:pPr>
            <w:r>
              <w:rPr>
                <w:spacing w:val="-1"/>
              </w:rPr>
              <w:t>② 0&lt;d≤8000，二级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70" w:hRule="atLeast"/>
        </w:trPr>
        <w:tc>
          <w:tcPr>
            <w:tcW w:w="936" w:type="dxa"/>
            <w:vMerge w:val="continue"/>
            <w:tcBorders>
              <w:top w:val="nil"/>
              <w:left w:val="single" w:color="000000" w:sz="6" w:space="0"/>
              <w:bottom w:val="nil"/>
            </w:tcBorders>
            <w:vAlign w:val="top"/>
          </w:tcPr>
          <w:p>
            <w:pPr>
              <w:rPr>
                <w:rFonts w:ascii="Arial"/>
                <w:sz w:val="21"/>
              </w:rPr>
            </w:pPr>
          </w:p>
        </w:tc>
        <w:tc>
          <w:tcPr>
            <w:tcW w:w="985" w:type="dxa"/>
            <w:vMerge w:val="continue"/>
            <w:tcBorders>
              <w:top w:val="nil"/>
              <w:bottom w:val="nil"/>
            </w:tcBorders>
            <w:vAlign w:val="top"/>
          </w:tcPr>
          <w:p>
            <w:pPr>
              <w:rPr>
                <w:rFonts w:ascii="Arial"/>
                <w:sz w:val="21"/>
              </w:rPr>
            </w:pPr>
          </w:p>
        </w:tc>
        <w:tc>
          <w:tcPr>
            <w:tcW w:w="1295" w:type="dxa"/>
            <w:vMerge w:val="continue"/>
            <w:tcBorders>
              <w:top w:val="nil"/>
              <w:bottom w:val="nil"/>
            </w:tcBorders>
            <w:vAlign w:val="top"/>
          </w:tcPr>
          <w:p>
            <w:pPr>
              <w:rPr>
                <w:rFonts w:ascii="Arial"/>
                <w:sz w:val="21"/>
              </w:rPr>
            </w:pPr>
          </w:p>
        </w:tc>
        <w:tc>
          <w:tcPr>
            <w:tcW w:w="4380" w:type="dxa"/>
            <w:vMerge w:val="continue"/>
            <w:tcBorders>
              <w:top w:val="nil"/>
              <w:bottom w:val="nil"/>
            </w:tcBorders>
            <w:vAlign w:val="top"/>
          </w:tcPr>
          <w:p>
            <w:pPr>
              <w:rPr>
                <w:rFonts w:ascii="Arial"/>
                <w:sz w:val="21"/>
              </w:rPr>
            </w:pPr>
          </w:p>
        </w:tc>
        <w:tc>
          <w:tcPr>
            <w:tcW w:w="3269" w:type="dxa"/>
            <w:vAlign w:val="top"/>
          </w:tcPr>
          <w:p>
            <w:pPr>
              <w:pStyle w:val="95"/>
              <w:spacing w:before="138" w:line="270" w:lineRule="auto"/>
              <w:ind w:left="112" w:right="279" w:firstLine="16"/>
            </w:pPr>
            <w:r>
              <w:rPr>
                <w:spacing w:val="-2"/>
              </w:rPr>
              <w:t>国家级</w:t>
            </w:r>
            <w:r>
              <w:rPr>
                <w:spacing w:val="-2"/>
                <w:u w:val="single" w:color="auto"/>
              </w:rPr>
              <w:t xml:space="preserve">      </w:t>
            </w:r>
            <w:r>
              <w:rPr>
                <w:spacing w:val="-78"/>
              </w:rPr>
              <w:t xml:space="preserve"> </w:t>
            </w:r>
            <w:r>
              <w:rPr>
                <w:spacing w:val="-2"/>
              </w:rPr>
              <w:t>平方米的重点文物保护</w:t>
            </w:r>
            <w:r>
              <w:t xml:space="preserve"> </w:t>
            </w:r>
            <w:r>
              <w:rPr>
                <w:spacing w:val="-1"/>
              </w:rPr>
              <w:t>单位的古建筑修缮工程的施工</w:t>
            </w:r>
          </w:p>
        </w:tc>
        <w:tc>
          <w:tcPr>
            <w:tcW w:w="677" w:type="dxa"/>
            <w:vAlign w:val="top"/>
          </w:tcPr>
          <w:p>
            <w:pPr>
              <w:pStyle w:val="95"/>
              <w:spacing w:before="294" w:line="220" w:lineRule="auto"/>
              <w:ind w:left="165"/>
            </w:pPr>
            <w:r>
              <w:rPr>
                <w:spacing w:val="-3"/>
              </w:rPr>
              <w:t>数值</w:t>
            </w:r>
          </w:p>
        </w:tc>
        <w:tc>
          <w:tcPr>
            <w:tcW w:w="2408" w:type="dxa"/>
            <w:vAlign w:val="top"/>
          </w:tcPr>
          <w:p>
            <w:pPr>
              <w:pStyle w:val="95"/>
              <w:spacing w:before="139" w:line="217" w:lineRule="auto"/>
              <w:ind w:left="113"/>
            </w:pPr>
            <w:r>
              <w:rPr>
                <w:spacing w:val="-2"/>
              </w:rPr>
              <w:t>①</w:t>
            </w:r>
            <w:r>
              <w:rPr>
                <w:spacing w:val="14"/>
              </w:rPr>
              <w:t xml:space="preserve"> </w:t>
            </w:r>
            <w:r>
              <w:rPr>
                <w:spacing w:val="-2"/>
              </w:rPr>
              <w:t>200&lt;d,一级</w:t>
            </w:r>
          </w:p>
          <w:p>
            <w:pPr>
              <w:pStyle w:val="95"/>
              <w:spacing w:before="101" w:line="217" w:lineRule="auto"/>
              <w:ind w:left="112"/>
            </w:pPr>
            <w:r>
              <w:rPr>
                <w:spacing w:val="-1"/>
              </w:rPr>
              <w:t>② 0&lt;d≤200，二级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63" w:hRule="atLeast"/>
        </w:trPr>
        <w:tc>
          <w:tcPr>
            <w:tcW w:w="936" w:type="dxa"/>
            <w:vMerge w:val="continue"/>
            <w:tcBorders>
              <w:top w:val="nil"/>
              <w:left w:val="single" w:color="000000" w:sz="6" w:space="0"/>
            </w:tcBorders>
            <w:vAlign w:val="top"/>
          </w:tcPr>
          <w:p>
            <w:pPr>
              <w:rPr>
                <w:rFonts w:ascii="Arial"/>
                <w:sz w:val="21"/>
              </w:rPr>
            </w:pPr>
          </w:p>
        </w:tc>
        <w:tc>
          <w:tcPr>
            <w:tcW w:w="985" w:type="dxa"/>
            <w:vMerge w:val="continue"/>
            <w:tcBorders>
              <w:top w:val="nil"/>
            </w:tcBorders>
            <w:vAlign w:val="top"/>
          </w:tcPr>
          <w:p>
            <w:pPr>
              <w:rPr>
                <w:rFonts w:ascii="Arial"/>
                <w:sz w:val="21"/>
              </w:rPr>
            </w:pPr>
          </w:p>
        </w:tc>
        <w:tc>
          <w:tcPr>
            <w:tcW w:w="1295" w:type="dxa"/>
            <w:vMerge w:val="continue"/>
            <w:tcBorders>
              <w:top w:val="nil"/>
            </w:tcBorders>
            <w:vAlign w:val="top"/>
          </w:tcPr>
          <w:p>
            <w:pPr>
              <w:rPr>
                <w:rFonts w:ascii="Arial"/>
                <w:sz w:val="21"/>
              </w:rPr>
            </w:pPr>
          </w:p>
        </w:tc>
        <w:tc>
          <w:tcPr>
            <w:tcW w:w="4380" w:type="dxa"/>
            <w:vMerge w:val="continue"/>
            <w:tcBorders>
              <w:top w:val="nil"/>
            </w:tcBorders>
            <w:vAlign w:val="top"/>
          </w:tcPr>
          <w:p>
            <w:pPr>
              <w:rPr>
                <w:rFonts w:ascii="Arial"/>
                <w:sz w:val="21"/>
              </w:rPr>
            </w:pPr>
          </w:p>
        </w:tc>
        <w:tc>
          <w:tcPr>
            <w:tcW w:w="3269" w:type="dxa"/>
            <w:vAlign w:val="top"/>
          </w:tcPr>
          <w:p>
            <w:pPr>
              <w:spacing w:line="471" w:lineRule="auto"/>
              <w:rPr>
                <w:rFonts w:ascii="Arial"/>
                <w:sz w:val="21"/>
              </w:rPr>
            </w:pPr>
          </w:p>
          <w:p>
            <w:pPr>
              <w:pStyle w:val="95"/>
              <w:spacing w:before="58" w:line="270" w:lineRule="auto"/>
              <w:ind w:left="111" w:right="279" w:firstLine="2"/>
            </w:pPr>
            <w:r>
              <w:rPr>
                <w:spacing w:val="-1"/>
              </w:rPr>
              <w:t>省级</w:t>
            </w:r>
            <w:r>
              <w:rPr>
                <w:spacing w:val="-1"/>
                <w:u w:val="single" w:color="auto"/>
              </w:rPr>
              <w:t xml:space="preserve">      </w:t>
            </w:r>
            <w:r>
              <w:rPr>
                <w:spacing w:val="-82"/>
              </w:rPr>
              <w:t xml:space="preserve"> </w:t>
            </w:r>
            <w:r>
              <w:rPr>
                <w:spacing w:val="-1"/>
              </w:rPr>
              <w:t>平方米的重点文物保护单</w:t>
            </w:r>
            <w:r>
              <w:t xml:space="preserve"> </w:t>
            </w:r>
            <w:r>
              <w:rPr>
                <w:spacing w:val="-1"/>
              </w:rPr>
              <w:t>位的古建筑修缮工程的施工</w:t>
            </w:r>
          </w:p>
        </w:tc>
        <w:tc>
          <w:tcPr>
            <w:tcW w:w="677" w:type="dxa"/>
            <w:vAlign w:val="top"/>
          </w:tcPr>
          <w:p>
            <w:pPr>
              <w:spacing w:line="313" w:lineRule="auto"/>
              <w:rPr>
                <w:rFonts w:ascii="Arial"/>
                <w:sz w:val="21"/>
              </w:rPr>
            </w:pPr>
          </w:p>
          <w:p>
            <w:pPr>
              <w:spacing w:line="313" w:lineRule="auto"/>
              <w:rPr>
                <w:rFonts w:ascii="Arial"/>
                <w:sz w:val="21"/>
              </w:rPr>
            </w:pPr>
          </w:p>
          <w:p>
            <w:pPr>
              <w:pStyle w:val="95"/>
              <w:spacing w:before="58" w:line="220" w:lineRule="auto"/>
              <w:ind w:left="165"/>
            </w:pPr>
            <w:r>
              <w:rPr>
                <w:spacing w:val="-3"/>
              </w:rPr>
              <w:t>数值</w:t>
            </w:r>
          </w:p>
        </w:tc>
        <w:tc>
          <w:tcPr>
            <w:tcW w:w="2408" w:type="dxa"/>
            <w:vAlign w:val="top"/>
          </w:tcPr>
          <w:p>
            <w:pPr>
              <w:spacing w:line="471" w:lineRule="auto"/>
              <w:rPr>
                <w:rFonts w:ascii="Arial"/>
                <w:sz w:val="21"/>
              </w:rPr>
            </w:pPr>
          </w:p>
          <w:p>
            <w:pPr>
              <w:pStyle w:val="95"/>
              <w:spacing w:before="58" w:line="217" w:lineRule="auto"/>
              <w:ind w:left="113"/>
            </w:pPr>
            <w:r>
              <w:rPr>
                <w:spacing w:val="-3"/>
              </w:rPr>
              <w:t>①</w:t>
            </w:r>
            <w:r>
              <w:rPr>
                <w:spacing w:val="23"/>
              </w:rPr>
              <w:t xml:space="preserve"> </w:t>
            </w:r>
            <w:r>
              <w:rPr>
                <w:spacing w:val="-3"/>
              </w:rPr>
              <w:t>100&lt;d,二级</w:t>
            </w:r>
          </w:p>
          <w:p>
            <w:pPr>
              <w:pStyle w:val="95"/>
              <w:spacing w:before="101" w:line="217" w:lineRule="auto"/>
              <w:ind w:left="112"/>
            </w:pPr>
            <w:r>
              <w:rPr>
                <w:spacing w:val="-1"/>
              </w:rPr>
              <w:t>② 0&lt;d≤100，三级</w:t>
            </w:r>
          </w:p>
        </w:tc>
      </w:tr>
    </w:tbl>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spacing w:before="69" w:line="327" w:lineRule="exact"/>
        <w:ind w:left="4057"/>
        <w:rPr>
          <w:sz w:val="24"/>
          <w:szCs w:val="24"/>
        </w:rPr>
      </w:pPr>
      <w:r>
        <w:rPr>
          <w:spacing w:val="-4"/>
          <w:position w:val="1"/>
          <w:sz w:val="24"/>
          <w:szCs w:val="24"/>
        </w:rPr>
        <w:t>31 /</w:t>
      </w:r>
      <w:r>
        <w:rPr>
          <w:spacing w:val="26"/>
          <w:position w:val="1"/>
          <w:sz w:val="24"/>
          <w:szCs w:val="24"/>
        </w:rPr>
        <w:t xml:space="preserve"> </w:t>
      </w:r>
      <w:r>
        <w:rPr>
          <w:spacing w:val="-4"/>
          <w:position w:val="1"/>
          <w:sz w:val="24"/>
          <w:szCs w:val="24"/>
        </w:rPr>
        <w:t>165</w:t>
      </w:r>
    </w:p>
    <w:p>
      <w:pPr>
        <w:spacing w:line="327" w:lineRule="exact"/>
        <w:rPr>
          <w:sz w:val="24"/>
          <w:szCs w:val="24"/>
        </w:rPr>
        <w:sectPr>
          <w:pgSz w:w="16839" w:h="11907"/>
          <w:pgMar w:top="400" w:right="1438" w:bottom="400" w:left="995" w:header="0" w:footer="0" w:gutter="0"/>
          <w:cols w:space="720" w:num="1"/>
        </w:sectPr>
      </w:pPr>
    </w:p>
    <w:p>
      <w:pPr>
        <w:spacing w:before="39"/>
      </w:pPr>
      <w:r>
        <mc:AlternateContent>
          <mc:Choice Requires="wps">
            <w:drawing>
              <wp:anchor distT="0" distB="0" distL="114300" distR="114300" simplePos="0" relativeHeight="251665408" behindDoc="0" locked="0" layoutInCell="0" allowOverlap="1">
                <wp:simplePos x="0" y="0"/>
                <wp:positionH relativeFrom="page">
                  <wp:posOffset>631825</wp:posOffset>
                </wp:positionH>
                <wp:positionV relativeFrom="page">
                  <wp:posOffset>6922135</wp:posOffset>
                </wp:positionV>
                <wp:extent cx="6292850" cy="6350"/>
                <wp:effectExtent l="0" t="0" r="0" b="0"/>
                <wp:wrapNone/>
                <wp:docPr id="16" name="任意多边形 16"/>
                <wp:cNvGraphicFramePr/>
                <a:graphic xmlns:a="http://schemas.openxmlformats.org/drawingml/2006/main">
                  <a:graphicData uri="http://schemas.microsoft.com/office/word/2010/wordprocessingShape">
                    <wps:wsp>
                      <wps:cNvSpPr/>
                      <wps:spPr>
                        <a:xfrm>
                          <a:off x="0" y="0"/>
                          <a:ext cx="6292850" cy="6350"/>
                        </a:xfrm>
                        <a:custGeom>
                          <a:avLst/>
                          <a:gdLst/>
                          <a:ahLst/>
                          <a:cxnLst/>
                          <a:pathLst>
                            <a:path w="9910" h="10">
                              <a:moveTo>
                                <a:pt x="5" y="5"/>
                              </a:moveTo>
                              <a:lnTo>
                                <a:pt x="4955" y="5"/>
                              </a:lnTo>
                              <a:moveTo>
                                <a:pt x="4955" y="5"/>
                              </a:moveTo>
                              <a:lnTo>
                                <a:pt x="9905" y="5"/>
                              </a:lnTo>
                            </a:path>
                          </a:pathLst>
                        </a:custGeom>
                        <a:noFill/>
                        <a:ln w="6350" cap="sq" cmpd="sng">
                          <a:solidFill>
                            <a:srgbClr val="000000"/>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49.75pt;margin-top:545.05pt;height:0.5pt;width:495.5pt;mso-position-horizontal-relative:page;mso-position-vertical-relative:page;z-index:251665408;mso-width-relative:page;mso-height-relative:page;" filled="f" stroked="t" coordsize="9910,10" o:allowincell="f" o:gfxdata="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WAAAAZHJzL1BL&#10;AQIUABQAAAAIAIdO4kDujIKO2gAAAA0BAAAPAAAAAAAAAAEAIAAAADgAAABkcnMvZG93bnJldi54&#10;bWxQSwECFAAUAAAACACHTuJA/9trsFQCAAD2BAAADgAAAAAAAAABACAAAAA/AQAAZHJzL2Uyb0Rv&#10;Yy54bWxQSwUGAAAAAAYABgBZAQAABQYAAAAA&#10;" path="m5,5l4955,5m4955,5l9905,5e">
                <v:fill on="f" focussize="0,0"/>
                <v:stroke weight="0.5pt" color="#000000" miterlimit="10" joinstyle="miter" endcap="square"/>
                <v:imagedata o:title=""/>
                <o:lock v:ext="edit" aspectratio="f"/>
              </v:shape>
            </w:pict>
          </mc:Fallback>
        </mc:AlternateContent>
      </w:r>
    </w:p>
    <w:p>
      <w:pPr>
        <w:spacing w:before="39"/>
      </w:pPr>
    </w:p>
    <w:p>
      <w:pPr>
        <w:spacing w:before="39"/>
      </w:pPr>
    </w:p>
    <w:p>
      <w:pPr>
        <w:spacing w:before="38"/>
      </w:pPr>
    </w:p>
    <w:p>
      <w:pPr>
        <w:spacing w:before="38"/>
      </w:pPr>
    </w:p>
    <w:tbl>
      <w:tblPr>
        <w:tblStyle w:val="96"/>
        <w:tblW w:w="13950" w:type="dxa"/>
        <w:tblInd w:w="45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6"/>
        <w:gridCol w:w="985"/>
        <w:gridCol w:w="1295"/>
        <w:gridCol w:w="4380"/>
        <w:gridCol w:w="3269"/>
        <w:gridCol w:w="677"/>
        <w:gridCol w:w="24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501" w:hRule="atLeast"/>
        </w:trPr>
        <w:tc>
          <w:tcPr>
            <w:tcW w:w="936" w:type="dxa"/>
            <w:tcBorders>
              <w:top w:val="nil"/>
              <w:left w:val="single" w:color="000000" w:sz="6" w:space="0"/>
            </w:tcBorders>
            <w:vAlign w:val="top"/>
          </w:tcPr>
          <w:p>
            <w:pPr>
              <w:rPr>
                <w:rFonts w:ascii="Arial"/>
                <w:sz w:val="21"/>
              </w:rPr>
            </w:pPr>
          </w:p>
        </w:tc>
        <w:tc>
          <w:tcPr>
            <w:tcW w:w="985" w:type="dxa"/>
            <w:tcBorders>
              <w:top w:val="nil"/>
            </w:tcBorders>
            <w:vAlign w:val="top"/>
          </w:tcPr>
          <w:p>
            <w:pPr>
              <w:rPr>
                <w:rFonts w:ascii="Arial"/>
                <w:sz w:val="21"/>
              </w:rPr>
            </w:pPr>
          </w:p>
        </w:tc>
        <w:tc>
          <w:tcPr>
            <w:tcW w:w="1295" w:type="dxa"/>
            <w:tcBorders>
              <w:top w:val="nil"/>
            </w:tcBorders>
            <w:vAlign w:val="top"/>
          </w:tcPr>
          <w:p>
            <w:pPr>
              <w:spacing w:line="312" w:lineRule="auto"/>
              <w:rPr>
                <w:rFonts w:ascii="Arial"/>
                <w:sz w:val="21"/>
              </w:rPr>
            </w:pPr>
          </w:p>
          <w:p>
            <w:pPr>
              <w:spacing w:line="312" w:lineRule="auto"/>
              <w:rPr>
                <w:rFonts w:ascii="Arial"/>
                <w:sz w:val="21"/>
              </w:rPr>
            </w:pPr>
          </w:p>
          <w:p>
            <w:pPr>
              <w:pStyle w:val="95"/>
              <w:spacing w:before="59" w:line="220" w:lineRule="auto"/>
              <w:ind w:left="152"/>
            </w:pPr>
            <w:r>
              <w:rPr>
                <w:spacing w:val="-3"/>
              </w:rPr>
              <w:t>27</w:t>
            </w:r>
            <w:r>
              <w:rPr>
                <w:spacing w:val="13"/>
              </w:rPr>
              <w:t xml:space="preserve"> </w:t>
            </w:r>
            <w:r>
              <w:rPr>
                <w:spacing w:val="-3"/>
              </w:rPr>
              <w:t>城市及道</w:t>
            </w:r>
          </w:p>
          <w:p>
            <w:pPr>
              <w:pStyle w:val="95"/>
              <w:spacing w:before="97" w:line="220" w:lineRule="auto"/>
              <w:ind w:left="108"/>
            </w:pPr>
            <w:r>
              <w:rPr>
                <w:spacing w:val="-2"/>
              </w:rPr>
              <w:t>路照明工程专</w:t>
            </w:r>
          </w:p>
          <w:p>
            <w:pPr>
              <w:pStyle w:val="95"/>
              <w:spacing w:before="97" w:line="220" w:lineRule="auto"/>
              <w:ind w:left="106"/>
            </w:pPr>
            <w:r>
              <w:rPr>
                <w:spacing w:val="-1"/>
              </w:rPr>
              <w:t>业承包资质标</w:t>
            </w:r>
          </w:p>
          <w:p>
            <w:pPr>
              <w:pStyle w:val="95"/>
              <w:spacing w:before="97" w:line="221" w:lineRule="auto"/>
              <w:ind w:left="557"/>
            </w:pPr>
            <w:r>
              <w:t>准</w:t>
            </w:r>
          </w:p>
        </w:tc>
        <w:tc>
          <w:tcPr>
            <w:tcW w:w="4380" w:type="dxa"/>
            <w:tcBorders>
              <w:top w:val="nil"/>
            </w:tcBorders>
            <w:vAlign w:val="top"/>
          </w:tcPr>
          <w:p>
            <w:pPr>
              <w:pStyle w:val="95"/>
              <w:spacing w:before="63" w:line="220" w:lineRule="auto"/>
              <w:ind w:left="110"/>
            </w:pPr>
            <w:r>
              <w:rPr>
                <w:spacing w:val="-6"/>
              </w:rPr>
              <w:t>一级资质承建范围：</w:t>
            </w:r>
          </w:p>
          <w:p>
            <w:pPr>
              <w:pStyle w:val="95"/>
              <w:spacing w:before="97" w:line="312" w:lineRule="exact"/>
              <w:ind w:left="109"/>
            </w:pPr>
            <w:r>
              <w:rPr>
                <w:spacing w:val="-2"/>
                <w:position w:val="9"/>
              </w:rPr>
              <w:t>可承担各类城市与道路照明工程的施工。</w:t>
            </w:r>
          </w:p>
          <w:p>
            <w:pPr>
              <w:pStyle w:val="95"/>
              <w:spacing w:line="219" w:lineRule="auto"/>
              <w:ind w:left="110"/>
            </w:pPr>
            <w:r>
              <w:rPr>
                <w:spacing w:val="-6"/>
              </w:rPr>
              <w:t>二级资质承建范围：</w:t>
            </w:r>
          </w:p>
          <w:p>
            <w:pPr>
              <w:pStyle w:val="95"/>
              <w:spacing w:before="97" w:line="270" w:lineRule="auto"/>
              <w:ind w:left="124" w:right="222" w:hanging="15"/>
            </w:pPr>
            <w:r>
              <w:rPr>
                <w:spacing w:val="-2"/>
              </w:rPr>
              <w:t>可承担单项合同额不超过</w:t>
            </w:r>
            <w:r>
              <w:rPr>
                <w:spacing w:val="-16"/>
              </w:rPr>
              <w:t xml:space="preserve"> </w:t>
            </w:r>
            <w:r>
              <w:rPr>
                <w:spacing w:val="-2"/>
              </w:rPr>
              <w:t>1200</w:t>
            </w:r>
            <w:r>
              <w:rPr>
                <w:spacing w:val="-34"/>
              </w:rPr>
              <w:t xml:space="preserve"> </w:t>
            </w:r>
            <w:r>
              <w:rPr>
                <w:spacing w:val="-2"/>
              </w:rPr>
              <w:t>万元的城市与道路照</w:t>
            </w:r>
            <w:r>
              <w:t xml:space="preserve"> </w:t>
            </w:r>
            <w:r>
              <w:rPr>
                <w:spacing w:val="-7"/>
              </w:rPr>
              <w:t>明工程的施工。</w:t>
            </w:r>
          </w:p>
          <w:p>
            <w:pPr>
              <w:pStyle w:val="95"/>
              <w:spacing w:before="97" w:line="220" w:lineRule="auto"/>
              <w:ind w:left="107"/>
            </w:pPr>
            <w:r>
              <w:rPr>
                <w:spacing w:val="-5"/>
              </w:rPr>
              <w:t>三级资质承建范围：</w:t>
            </w:r>
          </w:p>
          <w:p>
            <w:pPr>
              <w:pStyle w:val="95"/>
              <w:spacing w:before="99" w:line="270" w:lineRule="auto"/>
              <w:ind w:left="109" w:right="133"/>
            </w:pPr>
            <w:r>
              <w:rPr>
                <w:spacing w:val="-2"/>
              </w:rPr>
              <w:t>可承担单项合同额不超过</w:t>
            </w:r>
            <w:r>
              <w:rPr>
                <w:spacing w:val="-17"/>
              </w:rPr>
              <w:t xml:space="preserve"> </w:t>
            </w:r>
            <w:r>
              <w:rPr>
                <w:spacing w:val="-2"/>
              </w:rPr>
              <w:t>600</w:t>
            </w:r>
            <w:r>
              <w:rPr>
                <w:spacing w:val="-34"/>
              </w:rPr>
              <w:t xml:space="preserve"> </w:t>
            </w:r>
            <w:r>
              <w:rPr>
                <w:spacing w:val="-2"/>
              </w:rPr>
              <w:t>万元的城市与道路照明</w:t>
            </w:r>
            <w:r>
              <w:t xml:space="preserve"> </w:t>
            </w:r>
            <w:r>
              <w:rPr>
                <w:spacing w:val="-5"/>
              </w:rPr>
              <w:t>工程的施工。</w:t>
            </w:r>
          </w:p>
        </w:tc>
        <w:tc>
          <w:tcPr>
            <w:tcW w:w="3269" w:type="dxa"/>
            <w:tcBorders>
              <w:top w:val="nil"/>
            </w:tcBorders>
            <w:vAlign w:val="top"/>
          </w:tcPr>
          <w:p>
            <w:pPr>
              <w:spacing w:line="311" w:lineRule="auto"/>
              <w:rPr>
                <w:rFonts w:ascii="Arial"/>
                <w:sz w:val="21"/>
              </w:rPr>
            </w:pPr>
          </w:p>
          <w:p>
            <w:pPr>
              <w:spacing w:line="311" w:lineRule="auto"/>
              <w:rPr>
                <w:rFonts w:ascii="Arial"/>
                <w:sz w:val="21"/>
              </w:rPr>
            </w:pPr>
          </w:p>
          <w:p>
            <w:pPr>
              <w:spacing w:line="312" w:lineRule="auto"/>
              <w:rPr>
                <w:rFonts w:ascii="Arial"/>
                <w:sz w:val="21"/>
              </w:rPr>
            </w:pPr>
          </w:p>
          <w:p>
            <w:pPr>
              <w:pStyle w:val="95"/>
              <w:spacing w:before="59" w:line="270" w:lineRule="auto"/>
              <w:ind w:left="110" w:right="279" w:firstLine="2"/>
            </w:pPr>
            <w:r>
              <w:rPr>
                <w:spacing w:val="-2"/>
              </w:rPr>
              <w:t>单项合同额不超过</w:t>
            </w:r>
            <w:r>
              <w:rPr>
                <w:spacing w:val="-2"/>
                <w:u w:val="single" w:color="auto"/>
              </w:rPr>
              <w:t xml:space="preserve">    </w:t>
            </w:r>
            <w:r>
              <w:rPr>
                <w:spacing w:val="-64"/>
              </w:rPr>
              <w:t xml:space="preserve"> </w:t>
            </w:r>
            <w:r>
              <w:rPr>
                <w:spacing w:val="-2"/>
              </w:rPr>
              <w:t>万元的城市与</w:t>
            </w:r>
            <w:r>
              <w:t xml:space="preserve"> </w:t>
            </w:r>
            <w:r>
              <w:rPr>
                <w:spacing w:val="-1"/>
              </w:rPr>
              <w:t>道路照明工程的施工</w:t>
            </w:r>
          </w:p>
        </w:tc>
        <w:tc>
          <w:tcPr>
            <w:tcW w:w="677" w:type="dxa"/>
            <w:tcBorders>
              <w:top w:val="nil"/>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pStyle w:val="95"/>
              <w:spacing w:before="59" w:line="220" w:lineRule="auto"/>
              <w:ind w:left="165"/>
            </w:pPr>
            <w:r>
              <w:rPr>
                <w:spacing w:val="-3"/>
              </w:rPr>
              <w:t>数值</w:t>
            </w:r>
          </w:p>
        </w:tc>
        <w:tc>
          <w:tcPr>
            <w:tcW w:w="2408" w:type="dxa"/>
            <w:tcBorders>
              <w:top w:val="nil"/>
            </w:tcBorders>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pStyle w:val="95"/>
              <w:spacing w:before="59" w:line="217" w:lineRule="auto"/>
              <w:ind w:left="113"/>
            </w:pPr>
            <w:r>
              <w:rPr>
                <w:spacing w:val="-1"/>
              </w:rPr>
              <w:t>①1200&lt;d,一级</w:t>
            </w:r>
          </w:p>
          <w:p>
            <w:pPr>
              <w:pStyle w:val="95"/>
              <w:spacing w:before="100" w:line="312" w:lineRule="exact"/>
              <w:ind w:left="112"/>
            </w:pPr>
            <w:r>
              <w:rPr>
                <w:spacing w:val="-1"/>
                <w:position w:val="10"/>
              </w:rPr>
              <w:t>② 600&lt;d≤1200，二级</w:t>
            </w:r>
          </w:p>
          <w:p>
            <w:pPr>
              <w:pStyle w:val="95"/>
              <w:spacing w:line="217" w:lineRule="auto"/>
              <w:ind w:left="112"/>
            </w:pPr>
            <w:r>
              <w:rPr>
                <w:spacing w:val="-1"/>
              </w:rPr>
              <w:t>③ 0&lt;d≤600，三级</w:t>
            </w:r>
          </w:p>
        </w:tc>
      </w:tr>
    </w:tbl>
    <w:p>
      <w:pPr>
        <w:pStyle w:val="16"/>
        <w:spacing w:line="288" w:lineRule="auto"/>
      </w:pPr>
    </w:p>
    <w:p>
      <w:pPr>
        <w:pStyle w:val="16"/>
        <w:spacing w:line="288" w:lineRule="auto"/>
      </w:pPr>
    </w:p>
    <w:p>
      <w:pPr>
        <w:spacing w:before="78" w:line="220" w:lineRule="auto"/>
        <w:ind w:left="458"/>
        <w:rPr>
          <w:rFonts w:ascii="宋体" w:hAnsi="宋体" w:eastAsia="宋体" w:cs="宋体"/>
          <w:sz w:val="24"/>
          <w:szCs w:val="24"/>
        </w:rPr>
      </w:pPr>
      <w:r>
        <w:rPr>
          <w:rFonts w:ascii="宋体" w:hAnsi="宋体" w:eastAsia="宋体" w:cs="宋体"/>
          <w:b/>
          <w:bCs/>
          <w:spacing w:val="-4"/>
          <w:sz w:val="24"/>
          <w:szCs w:val="24"/>
        </w:rPr>
        <w:t>企业资质判定规则（新标）</w:t>
      </w:r>
    </w:p>
    <w:p>
      <w:pPr>
        <w:spacing w:before="66"/>
      </w:pPr>
    </w:p>
    <w:p>
      <w:pPr>
        <w:spacing w:before="66"/>
      </w:pPr>
    </w:p>
    <w:tbl>
      <w:tblPr>
        <w:tblStyle w:val="96"/>
        <w:tblW w:w="13955" w:type="dxa"/>
        <w:tblInd w:w="44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8"/>
        <w:gridCol w:w="1276"/>
        <w:gridCol w:w="1985"/>
        <w:gridCol w:w="1842"/>
        <w:gridCol w:w="4309"/>
        <w:gridCol w:w="1131"/>
        <w:gridCol w:w="909"/>
        <w:gridCol w:w="17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9" w:hRule="atLeast"/>
        </w:trPr>
        <w:tc>
          <w:tcPr>
            <w:tcW w:w="708" w:type="dxa"/>
            <w:shd w:val="clear" w:color="auto" w:fill="B7DEE8"/>
            <w:vAlign w:val="top"/>
          </w:tcPr>
          <w:p>
            <w:pPr>
              <w:spacing w:before="243" w:line="195" w:lineRule="auto"/>
              <w:ind w:left="135"/>
              <w:rPr>
                <w:rFonts w:ascii="微软雅黑" w:hAnsi="微软雅黑" w:eastAsia="微软雅黑" w:cs="微软雅黑"/>
                <w:sz w:val="22"/>
                <w:szCs w:val="22"/>
              </w:rPr>
            </w:pPr>
            <w:r>
              <w:rPr>
                <w:rFonts w:ascii="微软雅黑" w:hAnsi="微软雅黑" w:eastAsia="微软雅黑" w:cs="微软雅黑"/>
                <w:b/>
                <w:bCs/>
                <w:spacing w:val="-1"/>
                <w:sz w:val="22"/>
                <w:szCs w:val="22"/>
              </w:rPr>
              <w:t>序号</w:t>
            </w:r>
          </w:p>
        </w:tc>
        <w:tc>
          <w:tcPr>
            <w:tcW w:w="1276" w:type="dxa"/>
            <w:shd w:val="clear" w:color="auto" w:fill="B7DEE8"/>
            <w:vAlign w:val="top"/>
          </w:tcPr>
          <w:p>
            <w:pPr>
              <w:spacing w:before="243" w:line="194" w:lineRule="auto"/>
              <w:ind w:left="200"/>
              <w:rPr>
                <w:rFonts w:ascii="微软雅黑" w:hAnsi="微软雅黑" w:eastAsia="微软雅黑" w:cs="微软雅黑"/>
                <w:sz w:val="22"/>
                <w:szCs w:val="22"/>
              </w:rPr>
            </w:pPr>
            <w:r>
              <w:rPr>
                <w:rFonts w:ascii="微软雅黑" w:hAnsi="微软雅黑" w:eastAsia="微软雅黑" w:cs="微软雅黑"/>
                <w:b/>
                <w:bCs/>
                <w:spacing w:val="-1"/>
                <w:sz w:val="22"/>
                <w:szCs w:val="22"/>
              </w:rPr>
              <w:t>类别分类</w:t>
            </w:r>
          </w:p>
        </w:tc>
        <w:tc>
          <w:tcPr>
            <w:tcW w:w="1985" w:type="dxa"/>
            <w:shd w:val="clear" w:color="auto" w:fill="B7DEE8"/>
            <w:vAlign w:val="top"/>
          </w:tcPr>
          <w:p>
            <w:pPr>
              <w:spacing w:before="243" w:line="194" w:lineRule="auto"/>
              <w:ind w:left="113"/>
              <w:rPr>
                <w:rFonts w:ascii="微软雅黑" w:hAnsi="微软雅黑" w:eastAsia="微软雅黑" w:cs="微软雅黑"/>
                <w:sz w:val="22"/>
                <w:szCs w:val="22"/>
              </w:rPr>
            </w:pPr>
            <w:r>
              <w:rPr>
                <w:rFonts w:ascii="微软雅黑" w:hAnsi="微软雅黑" w:eastAsia="微软雅黑" w:cs="微软雅黑"/>
                <w:b/>
                <w:bCs/>
                <w:spacing w:val="-1"/>
                <w:sz w:val="22"/>
                <w:szCs w:val="22"/>
              </w:rPr>
              <w:t>一级指标资质分类</w:t>
            </w:r>
          </w:p>
        </w:tc>
        <w:tc>
          <w:tcPr>
            <w:tcW w:w="1842" w:type="dxa"/>
            <w:shd w:val="clear" w:color="auto" w:fill="B7DEE8"/>
            <w:vAlign w:val="top"/>
          </w:tcPr>
          <w:p>
            <w:pPr>
              <w:spacing w:before="242" w:line="195" w:lineRule="auto"/>
              <w:ind w:left="483"/>
              <w:rPr>
                <w:rFonts w:ascii="微软雅黑" w:hAnsi="微软雅黑" w:eastAsia="微软雅黑" w:cs="微软雅黑"/>
                <w:sz w:val="22"/>
                <w:szCs w:val="22"/>
              </w:rPr>
            </w:pPr>
            <w:r>
              <w:rPr>
                <w:rFonts w:ascii="微软雅黑" w:hAnsi="微软雅黑" w:eastAsia="微软雅黑" w:cs="微软雅黑"/>
                <w:b/>
                <w:bCs/>
                <w:spacing w:val="-1"/>
                <w:sz w:val="22"/>
                <w:szCs w:val="22"/>
              </w:rPr>
              <w:t>二级指标</w:t>
            </w:r>
          </w:p>
        </w:tc>
        <w:tc>
          <w:tcPr>
            <w:tcW w:w="4309" w:type="dxa"/>
            <w:shd w:val="clear" w:color="auto" w:fill="B7DEE8"/>
            <w:vAlign w:val="top"/>
          </w:tcPr>
          <w:p>
            <w:pPr>
              <w:spacing w:before="242" w:line="195" w:lineRule="auto"/>
              <w:ind w:left="18"/>
              <w:rPr>
                <w:rFonts w:ascii="微软雅黑" w:hAnsi="微软雅黑" w:eastAsia="微软雅黑" w:cs="微软雅黑"/>
                <w:sz w:val="22"/>
                <w:szCs w:val="22"/>
              </w:rPr>
            </w:pPr>
            <w:r>
              <w:rPr>
                <w:rFonts w:ascii="微软雅黑" w:hAnsi="微软雅黑" w:eastAsia="微软雅黑" w:cs="微软雅黑"/>
                <w:b/>
                <w:bCs/>
                <w:spacing w:val="-1"/>
                <w:sz w:val="22"/>
                <w:szCs w:val="22"/>
              </w:rPr>
              <w:t>三级指标描述</w:t>
            </w:r>
          </w:p>
        </w:tc>
        <w:tc>
          <w:tcPr>
            <w:tcW w:w="1131" w:type="dxa"/>
            <w:shd w:val="clear" w:color="auto" w:fill="B7DEE8"/>
            <w:vAlign w:val="top"/>
          </w:tcPr>
          <w:p>
            <w:pPr>
              <w:spacing w:before="243" w:line="194" w:lineRule="auto"/>
              <w:ind w:left="348"/>
              <w:rPr>
                <w:rFonts w:ascii="微软雅黑" w:hAnsi="微软雅黑" w:eastAsia="微软雅黑" w:cs="微软雅黑"/>
                <w:sz w:val="22"/>
                <w:szCs w:val="22"/>
              </w:rPr>
            </w:pPr>
            <w:r>
              <w:rPr>
                <w:rFonts w:ascii="微软雅黑" w:hAnsi="微软雅黑" w:eastAsia="微软雅黑" w:cs="微软雅黑"/>
                <w:b/>
                <w:bCs/>
                <w:spacing w:val="-2"/>
                <w:sz w:val="22"/>
                <w:szCs w:val="22"/>
              </w:rPr>
              <w:t>类型</w:t>
            </w:r>
          </w:p>
        </w:tc>
        <w:tc>
          <w:tcPr>
            <w:tcW w:w="909" w:type="dxa"/>
            <w:shd w:val="clear" w:color="auto" w:fill="B7DEE8"/>
            <w:vAlign w:val="top"/>
          </w:tcPr>
          <w:p>
            <w:pPr>
              <w:spacing w:before="243" w:line="194" w:lineRule="auto"/>
              <w:ind w:left="17"/>
              <w:rPr>
                <w:rFonts w:ascii="微软雅黑" w:hAnsi="微软雅黑" w:eastAsia="微软雅黑" w:cs="微软雅黑"/>
                <w:sz w:val="22"/>
                <w:szCs w:val="22"/>
              </w:rPr>
            </w:pPr>
            <w:r>
              <w:rPr>
                <w:rFonts w:ascii="微软雅黑" w:hAnsi="微软雅黑" w:eastAsia="微软雅黑" w:cs="微软雅黑"/>
                <w:b/>
                <w:bCs/>
                <w:spacing w:val="-1"/>
                <w:sz w:val="22"/>
                <w:szCs w:val="22"/>
              </w:rPr>
              <w:t>判断规则</w:t>
            </w:r>
          </w:p>
        </w:tc>
        <w:tc>
          <w:tcPr>
            <w:tcW w:w="1795" w:type="dxa"/>
            <w:shd w:val="clear" w:color="auto" w:fill="B7DEE8"/>
            <w:vAlign w:val="top"/>
          </w:tcPr>
          <w:p>
            <w:pPr>
              <w:spacing w:before="242" w:line="195" w:lineRule="auto"/>
              <w:ind w:left="17"/>
              <w:rPr>
                <w:rFonts w:ascii="微软雅黑" w:hAnsi="微软雅黑" w:eastAsia="微软雅黑" w:cs="微软雅黑"/>
                <w:sz w:val="22"/>
                <w:szCs w:val="22"/>
              </w:rPr>
            </w:pPr>
            <w:r>
              <w:rPr>
                <w:rFonts w:ascii="微软雅黑" w:hAnsi="微软雅黑" w:eastAsia="微软雅黑" w:cs="微软雅黑"/>
                <w:b/>
                <w:bCs/>
                <w:sz w:val="22"/>
                <w:szCs w:val="22"/>
              </w:rPr>
              <w:t>系统判断资质等级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61" w:hRule="atLeast"/>
        </w:trPr>
        <w:tc>
          <w:tcPr>
            <w:tcW w:w="708"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before="94" w:line="173" w:lineRule="auto"/>
              <w:ind w:left="308"/>
              <w:rPr>
                <w:rFonts w:ascii="微软雅黑" w:hAnsi="微软雅黑" w:eastAsia="微软雅黑" w:cs="微软雅黑"/>
                <w:sz w:val="22"/>
                <w:szCs w:val="22"/>
              </w:rPr>
            </w:pPr>
            <w:r>
              <w:rPr>
                <w:rFonts w:ascii="微软雅黑" w:hAnsi="微软雅黑" w:eastAsia="微软雅黑" w:cs="微软雅黑"/>
                <w:sz w:val="22"/>
                <w:szCs w:val="22"/>
              </w:rPr>
              <w:t>1</w:t>
            </w:r>
          </w:p>
        </w:tc>
        <w:tc>
          <w:tcPr>
            <w:tcW w:w="1276"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95" w:line="197" w:lineRule="auto"/>
              <w:ind w:left="417"/>
              <w:rPr>
                <w:rFonts w:ascii="微软雅黑" w:hAnsi="微软雅黑" w:eastAsia="微软雅黑" w:cs="微软雅黑"/>
                <w:sz w:val="22"/>
                <w:szCs w:val="22"/>
              </w:rPr>
            </w:pPr>
            <w:r>
              <w:rPr>
                <w:rFonts w:ascii="微软雅黑" w:hAnsi="微软雅黑" w:eastAsia="微软雅黑" w:cs="微软雅黑"/>
                <w:spacing w:val="-1"/>
                <w:sz w:val="22"/>
                <w:szCs w:val="22"/>
              </w:rPr>
              <w:t>施工</w:t>
            </w:r>
          </w:p>
        </w:tc>
        <w:tc>
          <w:tcPr>
            <w:tcW w:w="1985"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95" w:line="194" w:lineRule="auto"/>
              <w:ind w:left="218"/>
              <w:rPr>
                <w:rFonts w:ascii="微软雅黑" w:hAnsi="微软雅黑" w:eastAsia="微软雅黑" w:cs="微软雅黑"/>
                <w:sz w:val="22"/>
                <w:szCs w:val="22"/>
              </w:rPr>
            </w:pPr>
            <w:r>
              <w:rPr>
                <w:rFonts w:ascii="微软雅黑" w:hAnsi="微软雅黑" w:eastAsia="微软雅黑" w:cs="微软雅黑"/>
                <w:sz w:val="22"/>
                <w:szCs w:val="22"/>
              </w:rPr>
              <w:t>施工总承包资质</w:t>
            </w:r>
          </w:p>
        </w:tc>
        <w:tc>
          <w:tcPr>
            <w:tcW w:w="1842" w:type="dxa"/>
            <w:vMerge w:val="restart"/>
            <w:tcBorders>
              <w:bottom w:val="nil"/>
            </w:tcBorders>
            <w:vAlign w:val="top"/>
          </w:tcPr>
          <w:p>
            <w:pPr>
              <w:spacing w:line="289" w:lineRule="auto"/>
              <w:rPr>
                <w:rFonts w:ascii="Arial"/>
                <w:sz w:val="21"/>
              </w:rPr>
            </w:pPr>
          </w:p>
          <w:p>
            <w:pPr>
              <w:spacing w:line="289" w:lineRule="auto"/>
              <w:rPr>
                <w:rFonts w:ascii="Arial"/>
                <w:sz w:val="21"/>
              </w:rPr>
            </w:pPr>
          </w:p>
          <w:p>
            <w:pPr>
              <w:spacing w:line="289" w:lineRule="auto"/>
              <w:rPr>
                <w:rFonts w:ascii="Arial"/>
                <w:sz w:val="21"/>
              </w:rPr>
            </w:pPr>
          </w:p>
          <w:p>
            <w:pPr>
              <w:spacing w:line="290" w:lineRule="auto"/>
              <w:rPr>
                <w:rFonts w:ascii="Arial"/>
                <w:sz w:val="21"/>
              </w:rPr>
            </w:pPr>
          </w:p>
          <w:p>
            <w:pPr>
              <w:spacing w:before="95" w:line="616" w:lineRule="exact"/>
              <w:ind w:left="40"/>
              <w:rPr>
                <w:rFonts w:ascii="微软雅黑" w:hAnsi="微软雅黑" w:eastAsia="微软雅黑" w:cs="微软雅黑"/>
                <w:sz w:val="22"/>
                <w:szCs w:val="22"/>
              </w:rPr>
            </w:pPr>
            <w:r>
              <w:rPr>
                <w:rFonts w:ascii="微软雅黑" w:hAnsi="微软雅黑" w:eastAsia="微软雅黑" w:cs="微软雅黑"/>
                <w:spacing w:val="-1"/>
                <w:position w:val="30"/>
                <w:sz w:val="22"/>
                <w:szCs w:val="22"/>
              </w:rPr>
              <w:t>建筑工程施工总承</w:t>
            </w:r>
          </w:p>
          <w:p>
            <w:pPr>
              <w:spacing w:before="1" w:line="182" w:lineRule="auto"/>
              <w:ind w:left="807"/>
              <w:rPr>
                <w:rFonts w:ascii="微软雅黑" w:hAnsi="微软雅黑" w:eastAsia="微软雅黑" w:cs="微软雅黑"/>
                <w:sz w:val="22"/>
                <w:szCs w:val="22"/>
              </w:rPr>
            </w:pPr>
            <w:r>
              <w:rPr>
                <w:rFonts w:ascii="微软雅黑" w:hAnsi="微软雅黑" w:eastAsia="微软雅黑" w:cs="微软雅黑"/>
                <w:sz w:val="22"/>
                <w:szCs w:val="22"/>
              </w:rPr>
              <w:t>包</w:t>
            </w:r>
          </w:p>
        </w:tc>
        <w:tc>
          <w:tcPr>
            <w:tcW w:w="4309" w:type="dxa"/>
            <w:vMerge w:val="restart"/>
            <w:tcBorders>
              <w:bottom w:val="nil"/>
            </w:tcBorders>
            <w:vAlign w:val="top"/>
          </w:tcPr>
          <w:p>
            <w:pPr>
              <w:spacing w:line="478" w:lineRule="auto"/>
              <w:rPr>
                <w:rFonts w:ascii="Arial"/>
                <w:sz w:val="21"/>
              </w:rPr>
            </w:pPr>
          </w:p>
          <w:p>
            <w:pPr>
              <w:spacing w:before="94" w:line="194" w:lineRule="auto"/>
              <w:ind w:left="16"/>
              <w:rPr>
                <w:rFonts w:ascii="微软雅黑" w:hAnsi="微软雅黑" w:eastAsia="微软雅黑" w:cs="微软雅黑"/>
                <w:sz w:val="22"/>
                <w:szCs w:val="22"/>
              </w:rPr>
            </w:pPr>
            <w:r>
              <w:rPr>
                <w:rFonts w:ascii="微软雅黑" w:hAnsi="微软雅黑" w:eastAsia="微软雅黑" w:cs="微软雅黑"/>
                <w:sz w:val="22"/>
                <w:szCs w:val="22"/>
              </w:rPr>
              <w:t>高度</w:t>
            </w:r>
            <w:r>
              <w:rPr>
                <w:rFonts w:ascii="微软雅黑" w:hAnsi="微软雅黑" w:eastAsia="微软雅黑" w:cs="微软雅黑"/>
                <w:sz w:val="22"/>
                <w:szCs w:val="22"/>
                <w:u w:val="single" w:color="auto"/>
              </w:rPr>
              <w:t xml:space="preserve">      </w:t>
            </w:r>
            <w:r>
              <w:rPr>
                <w:rFonts w:ascii="微软雅黑" w:hAnsi="微软雅黑" w:eastAsia="微软雅黑" w:cs="微软雅黑"/>
                <w:sz w:val="22"/>
                <w:szCs w:val="22"/>
              </w:rPr>
              <w:t>米的工业、民用建筑工程</w:t>
            </w:r>
          </w:p>
        </w:tc>
        <w:tc>
          <w:tcPr>
            <w:tcW w:w="1131" w:type="dxa"/>
            <w:vMerge w:val="restart"/>
            <w:tcBorders>
              <w:bottom w:val="nil"/>
            </w:tcBorders>
            <w:vAlign w:val="top"/>
          </w:tcPr>
          <w:p>
            <w:pPr>
              <w:spacing w:line="477" w:lineRule="auto"/>
              <w:rPr>
                <w:rFonts w:ascii="Arial"/>
                <w:sz w:val="21"/>
              </w:rPr>
            </w:pPr>
          </w:p>
          <w:p>
            <w:pPr>
              <w:spacing w:before="94" w:line="194" w:lineRule="auto"/>
              <w:ind w:left="344"/>
              <w:rPr>
                <w:rFonts w:ascii="微软雅黑" w:hAnsi="微软雅黑" w:eastAsia="微软雅黑" w:cs="微软雅黑"/>
                <w:sz w:val="22"/>
                <w:szCs w:val="22"/>
              </w:rPr>
            </w:pPr>
            <w:r>
              <w:rPr>
                <w:rFonts w:ascii="微软雅黑" w:hAnsi="微软雅黑" w:eastAsia="微软雅黑" w:cs="微软雅黑"/>
                <w:spacing w:val="-1"/>
                <w:sz w:val="22"/>
                <w:szCs w:val="22"/>
              </w:rPr>
              <w:t>数值</w:t>
            </w:r>
          </w:p>
        </w:tc>
        <w:tc>
          <w:tcPr>
            <w:tcW w:w="909" w:type="dxa"/>
            <w:vAlign w:val="top"/>
          </w:tcPr>
          <w:p>
            <w:pPr>
              <w:spacing w:before="244" w:line="212" w:lineRule="auto"/>
              <w:ind w:left="206"/>
              <w:rPr>
                <w:rFonts w:ascii="微软雅黑" w:hAnsi="微软雅黑" w:eastAsia="微软雅黑" w:cs="微软雅黑"/>
                <w:sz w:val="22"/>
                <w:szCs w:val="22"/>
              </w:rPr>
            </w:pPr>
            <w:r>
              <w:rPr>
                <w:rFonts w:ascii="微软雅黑" w:hAnsi="微软雅黑" w:eastAsia="微软雅黑" w:cs="微软雅黑"/>
                <w:spacing w:val="-7"/>
                <w:sz w:val="22"/>
                <w:szCs w:val="22"/>
              </w:rPr>
              <w:t>≥100</w:t>
            </w:r>
          </w:p>
        </w:tc>
        <w:tc>
          <w:tcPr>
            <w:tcW w:w="1795" w:type="dxa"/>
            <w:vAlign w:val="top"/>
          </w:tcPr>
          <w:p>
            <w:pPr>
              <w:spacing w:before="244" w:line="195" w:lineRule="auto"/>
              <w:ind w:left="699"/>
              <w:rPr>
                <w:rFonts w:ascii="微软雅黑" w:hAnsi="微软雅黑" w:eastAsia="微软雅黑" w:cs="微软雅黑"/>
                <w:sz w:val="22"/>
                <w:szCs w:val="22"/>
              </w:rPr>
            </w:pPr>
            <w:r>
              <w:rPr>
                <w:rFonts w:ascii="微软雅黑" w:hAnsi="微软雅黑" w:eastAsia="微软雅黑" w:cs="微软雅黑"/>
                <w:spacing w:val="-6"/>
                <w:sz w:val="22"/>
                <w:szCs w:val="22"/>
              </w:rPr>
              <w:t>甲级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61" w:hRule="atLeast"/>
        </w:trPr>
        <w:tc>
          <w:tcPr>
            <w:tcW w:w="708" w:type="dxa"/>
            <w:vMerge w:val="continue"/>
            <w:tcBorders>
              <w:top w:val="nil"/>
            </w:tcBorders>
            <w:vAlign w:val="top"/>
          </w:tcPr>
          <w:p>
            <w:pPr>
              <w:rPr>
                <w:rFonts w:ascii="Arial"/>
                <w:sz w:val="21"/>
              </w:rPr>
            </w:pPr>
          </w:p>
        </w:tc>
        <w:tc>
          <w:tcPr>
            <w:tcW w:w="1276" w:type="dxa"/>
            <w:vMerge w:val="continue"/>
            <w:tcBorders>
              <w:top w:val="nil"/>
              <w:bottom w:val="nil"/>
            </w:tcBorders>
            <w:vAlign w:val="top"/>
          </w:tcPr>
          <w:p>
            <w:pPr>
              <w:rPr>
                <w:rFonts w:ascii="Arial"/>
                <w:sz w:val="21"/>
              </w:rPr>
            </w:pPr>
          </w:p>
        </w:tc>
        <w:tc>
          <w:tcPr>
            <w:tcW w:w="1985" w:type="dxa"/>
            <w:vMerge w:val="continue"/>
            <w:tcBorders>
              <w:top w:val="nil"/>
              <w:bottom w:val="nil"/>
            </w:tcBorders>
            <w:vAlign w:val="top"/>
          </w:tcPr>
          <w:p>
            <w:pPr>
              <w:rPr>
                <w:rFonts w:ascii="Arial"/>
                <w:sz w:val="21"/>
              </w:rPr>
            </w:pPr>
          </w:p>
        </w:tc>
        <w:tc>
          <w:tcPr>
            <w:tcW w:w="1842" w:type="dxa"/>
            <w:vMerge w:val="continue"/>
            <w:tcBorders>
              <w:top w:val="nil"/>
              <w:bottom w:val="nil"/>
            </w:tcBorders>
            <w:vAlign w:val="top"/>
          </w:tcPr>
          <w:p>
            <w:pPr>
              <w:rPr>
                <w:rFonts w:ascii="Arial"/>
                <w:sz w:val="21"/>
              </w:rPr>
            </w:pPr>
          </w:p>
        </w:tc>
        <w:tc>
          <w:tcPr>
            <w:tcW w:w="4309" w:type="dxa"/>
            <w:vMerge w:val="continue"/>
            <w:tcBorders>
              <w:top w:val="nil"/>
            </w:tcBorders>
            <w:vAlign w:val="top"/>
          </w:tcPr>
          <w:p>
            <w:pPr>
              <w:rPr>
                <w:rFonts w:ascii="Arial"/>
                <w:sz w:val="21"/>
              </w:rPr>
            </w:pPr>
          </w:p>
        </w:tc>
        <w:tc>
          <w:tcPr>
            <w:tcW w:w="1131" w:type="dxa"/>
            <w:vMerge w:val="continue"/>
            <w:tcBorders>
              <w:top w:val="nil"/>
            </w:tcBorders>
            <w:vAlign w:val="top"/>
          </w:tcPr>
          <w:p>
            <w:pPr>
              <w:rPr>
                <w:rFonts w:ascii="Arial"/>
                <w:sz w:val="21"/>
              </w:rPr>
            </w:pPr>
          </w:p>
        </w:tc>
        <w:tc>
          <w:tcPr>
            <w:tcW w:w="909" w:type="dxa"/>
            <w:vAlign w:val="top"/>
          </w:tcPr>
          <w:p>
            <w:pPr>
              <w:spacing w:before="248" w:line="173" w:lineRule="auto"/>
              <w:ind w:left="211"/>
              <w:rPr>
                <w:rFonts w:ascii="微软雅黑" w:hAnsi="微软雅黑" w:eastAsia="微软雅黑" w:cs="微软雅黑"/>
                <w:sz w:val="22"/>
                <w:szCs w:val="22"/>
              </w:rPr>
            </w:pPr>
            <w:r>
              <w:rPr>
                <w:rFonts w:ascii="微软雅黑" w:hAnsi="微软雅黑" w:eastAsia="微软雅黑" w:cs="微软雅黑"/>
                <w:spacing w:val="-6"/>
                <w:sz w:val="22"/>
                <w:szCs w:val="22"/>
              </w:rPr>
              <w:t>&lt;100</w:t>
            </w:r>
          </w:p>
        </w:tc>
        <w:tc>
          <w:tcPr>
            <w:tcW w:w="1795" w:type="dxa"/>
            <w:vAlign w:val="top"/>
          </w:tcPr>
          <w:p>
            <w:pPr>
              <w:spacing w:before="240" w:line="195" w:lineRule="auto"/>
              <w:ind w:left="689"/>
              <w:rPr>
                <w:rFonts w:ascii="微软雅黑" w:hAnsi="微软雅黑" w:eastAsia="微软雅黑" w:cs="微软雅黑"/>
                <w:sz w:val="22"/>
                <w:szCs w:val="22"/>
              </w:rPr>
            </w:pPr>
            <w:r>
              <w:rPr>
                <w:rFonts w:ascii="微软雅黑" w:hAnsi="微软雅黑" w:eastAsia="微软雅黑" w:cs="微软雅黑"/>
                <w:spacing w:val="-4"/>
                <w:sz w:val="22"/>
                <w:szCs w:val="22"/>
              </w:rPr>
              <w:t>乙级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8" w:hRule="atLeast"/>
        </w:trPr>
        <w:tc>
          <w:tcPr>
            <w:tcW w:w="708" w:type="dxa"/>
            <w:vMerge w:val="restart"/>
            <w:tcBorders>
              <w:bottom w:val="nil"/>
            </w:tcBorders>
            <w:vAlign w:val="top"/>
          </w:tcPr>
          <w:p>
            <w:pPr>
              <w:spacing w:line="241" w:lineRule="auto"/>
              <w:rPr>
                <w:rFonts w:ascii="Arial"/>
                <w:sz w:val="21"/>
              </w:rPr>
            </w:pPr>
          </w:p>
          <w:p>
            <w:pPr>
              <w:spacing w:line="242" w:lineRule="auto"/>
              <w:rPr>
                <w:rFonts w:ascii="Arial"/>
                <w:sz w:val="21"/>
              </w:rPr>
            </w:pPr>
          </w:p>
          <w:p>
            <w:pPr>
              <w:spacing w:before="94" w:line="172" w:lineRule="auto"/>
              <w:ind w:left="298"/>
              <w:rPr>
                <w:rFonts w:ascii="微软雅黑" w:hAnsi="微软雅黑" w:eastAsia="微软雅黑" w:cs="微软雅黑"/>
                <w:sz w:val="22"/>
                <w:szCs w:val="22"/>
              </w:rPr>
            </w:pPr>
            <w:r>
              <w:rPr>
                <w:rFonts w:ascii="微软雅黑" w:hAnsi="微软雅黑" w:eastAsia="微软雅黑" w:cs="微软雅黑"/>
                <w:sz w:val="22"/>
                <w:szCs w:val="22"/>
              </w:rPr>
              <w:t>2</w:t>
            </w:r>
          </w:p>
        </w:tc>
        <w:tc>
          <w:tcPr>
            <w:tcW w:w="1276" w:type="dxa"/>
            <w:vMerge w:val="continue"/>
            <w:tcBorders>
              <w:top w:val="nil"/>
              <w:bottom w:val="nil"/>
            </w:tcBorders>
            <w:vAlign w:val="top"/>
          </w:tcPr>
          <w:p>
            <w:pPr>
              <w:rPr>
                <w:rFonts w:ascii="Arial"/>
                <w:sz w:val="21"/>
              </w:rPr>
            </w:pPr>
          </w:p>
        </w:tc>
        <w:tc>
          <w:tcPr>
            <w:tcW w:w="1985" w:type="dxa"/>
            <w:vMerge w:val="continue"/>
            <w:tcBorders>
              <w:top w:val="nil"/>
              <w:bottom w:val="nil"/>
            </w:tcBorders>
            <w:vAlign w:val="top"/>
          </w:tcPr>
          <w:p>
            <w:pPr>
              <w:rPr>
                <w:rFonts w:ascii="Arial"/>
                <w:sz w:val="21"/>
              </w:rPr>
            </w:pPr>
          </w:p>
        </w:tc>
        <w:tc>
          <w:tcPr>
            <w:tcW w:w="1842" w:type="dxa"/>
            <w:vMerge w:val="continue"/>
            <w:tcBorders>
              <w:top w:val="nil"/>
              <w:bottom w:val="nil"/>
            </w:tcBorders>
            <w:vAlign w:val="top"/>
          </w:tcPr>
          <w:p>
            <w:pPr>
              <w:rPr>
                <w:rFonts w:ascii="Arial"/>
                <w:sz w:val="21"/>
              </w:rPr>
            </w:pPr>
          </w:p>
        </w:tc>
        <w:tc>
          <w:tcPr>
            <w:tcW w:w="4309" w:type="dxa"/>
            <w:vMerge w:val="restart"/>
            <w:tcBorders>
              <w:bottom w:val="nil"/>
            </w:tcBorders>
            <w:vAlign w:val="top"/>
          </w:tcPr>
          <w:p>
            <w:pPr>
              <w:spacing w:line="472" w:lineRule="auto"/>
              <w:rPr>
                <w:rFonts w:ascii="Arial"/>
                <w:sz w:val="21"/>
              </w:rPr>
            </w:pPr>
          </w:p>
          <w:p>
            <w:pPr>
              <w:spacing w:before="95" w:line="195" w:lineRule="auto"/>
              <w:ind w:left="16"/>
              <w:rPr>
                <w:rFonts w:ascii="微软雅黑" w:hAnsi="微软雅黑" w:eastAsia="微软雅黑" w:cs="微软雅黑"/>
                <w:sz w:val="22"/>
                <w:szCs w:val="22"/>
              </w:rPr>
            </w:pPr>
            <w:r>
              <w:rPr>
                <w:rFonts w:ascii="微软雅黑" w:hAnsi="微软雅黑" w:eastAsia="微软雅黑" w:cs="微软雅黑"/>
                <w:sz w:val="22"/>
                <w:szCs w:val="22"/>
              </w:rPr>
              <w:t>高度</w:t>
            </w:r>
            <w:r>
              <w:rPr>
                <w:rFonts w:ascii="微软雅黑" w:hAnsi="微软雅黑" w:eastAsia="微软雅黑" w:cs="微软雅黑"/>
                <w:sz w:val="22"/>
                <w:szCs w:val="22"/>
                <w:u w:val="single" w:color="auto"/>
              </w:rPr>
              <w:t xml:space="preserve">      </w:t>
            </w:r>
            <w:r>
              <w:rPr>
                <w:rFonts w:ascii="微软雅黑" w:hAnsi="微软雅黑" w:eastAsia="微软雅黑" w:cs="微软雅黑"/>
                <w:sz w:val="22"/>
                <w:szCs w:val="22"/>
              </w:rPr>
              <w:t>米的构筑物工程</w:t>
            </w:r>
          </w:p>
        </w:tc>
        <w:tc>
          <w:tcPr>
            <w:tcW w:w="1131" w:type="dxa"/>
            <w:vMerge w:val="restart"/>
            <w:tcBorders>
              <w:bottom w:val="nil"/>
            </w:tcBorders>
            <w:vAlign w:val="top"/>
          </w:tcPr>
          <w:p>
            <w:pPr>
              <w:spacing w:line="472" w:lineRule="auto"/>
              <w:rPr>
                <w:rFonts w:ascii="Arial"/>
                <w:sz w:val="21"/>
              </w:rPr>
            </w:pPr>
          </w:p>
          <w:p>
            <w:pPr>
              <w:spacing w:before="94" w:line="194" w:lineRule="auto"/>
              <w:ind w:left="344"/>
              <w:rPr>
                <w:rFonts w:ascii="微软雅黑" w:hAnsi="微软雅黑" w:eastAsia="微软雅黑" w:cs="微软雅黑"/>
                <w:sz w:val="22"/>
                <w:szCs w:val="22"/>
              </w:rPr>
            </w:pPr>
            <w:r>
              <w:rPr>
                <w:rFonts w:ascii="微软雅黑" w:hAnsi="微软雅黑" w:eastAsia="微软雅黑" w:cs="微软雅黑"/>
                <w:spacing w:val="-1"/>
                <w:sz w:val="22"/>
                <w:szCs w:val="22"/>
              </w:rPr>
              <w:t>数值</w:t>
            </w:r>
          </w:p>
        </w:tc>
        <w:tc>
          <w:tcPr>
            <w:tcW w:w="909" w:type="dxa"/>
            <w:vAlign w:val="top"/>
          </w:tcPr>
          <w:p>
            <w:pPr>
              <w:spacing w:before="239" w:line="212" w:lineRule="auto"/>
              <w:ind w:left="206"/>
              <w:rPr>
                <w:rFonts w:ascii="微软雅黑" w:hAnsi="微软雅黑" w:eastAsia="微软雅黑" w:cs="微软雅黑"/>
                <w:sz w:val="22"/>
                <w:szCs w:val="22"/>
              </w:rPr>
            </w:pPr>
            <w:r>
              <w:rPr>
                <w:rFonts w:ascii="微软雅黑" w:hAnsi="微软雅黑" w:eastAsia="微软雅黑" w:cs="微软雅黑"/>
                <w:spacing w:val="-7"/>
                <w:sz w:val="22"/>
                <w:szCs w:val="22"/>
              </w:rPr>
              <w:t>≥120</w:t>
            </w:r>
          </w:p>
        </w:tc>
        <w:tc>
          <w:tcPr>
            <w:tcW w:w="1795" w:type="dxa"/>
            <w:vAlign w:val="top"/>
          </w:tcPr>
          <w:p>
            <w:pPr>
              <w:spacing w:before="239" w:line="195" w:lineRule="auto"/>
              <w:ind w:left="699"/>
              <w:rPr>
                <w:rFonts w:ascii="微软雅黑" w:hAnsi="微软雅黑" w:eastAsia="微软雅黑" w:cs="微软雅黑"/>
                <w:sz w:val="22"/>
                <w:szCs w:val="22"/>
              </w:rPr>
            </w:pPr>
            <w:r>
              <w:rPr>
                <w:rFonts w:ascii="微软雅黑" w:hAnsi="微软雅黑" w:eastAsia="微软雅黑" w:cs="微软雅黑"/>
                <w:spacing w:val="-6"/>
                <w:sz w:val="22"/>
                <w:szCs w:val="22"/>
              </w:rPr>
              <w:t>甲级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61" w:hRule="atLeast"/>
        </w:trPr>
        <w:tc>
          <w:tcPr>
            <w:tcW w:w="708" w:type="dxa"/>
            <w:vMerge w:val="continue"/>
            <w:tcBorders>
              <w:top w:val="nil"/>
            </w:tcBorders>
            <w:vAlign w:val="top"/>
          </w:tcPr>
          <w:p>
            <w:pPr>
              <w:rPr>
                <w:rFonts w:ascii="Arial"/>
                <w:sz w:val="21"/>
              </w:rPr>
            </w:pPr>
          </w:p>
        </w:tc>
        <w:tc>
          <w:tcPr>
            <w:tcW w:w="1276" w:type="dxa"/>
            <w:vMerge w:val="continue"/>
            <w:tcBorders>
              <w:top w:val="nil"/>
              <w:bottom w:val="nil"/>
            </w:tcBorders>
            <w:vAlign w:val="top"/>
          </w:tcPr>
          <w:p>
            <w:pPr>
              <w:rPr>
                <w:rFonts w:ascii="Arial"/>
                <w:sz w:val="21"/>
              </w:rPr>
            </w:pPr>
          </w:p>
        </w:tc>
        <w:tc>
          <w:tcPr>
            <w:tcW w:w="1985" w:type="dxa"/>
            <w:vMerge w:val="continue"/>
            <w:tcBorders>
              <w:top w:val="nil"/>
              <w:bottom w:val="nil"/>
            </w:tcBorders>
            <w:vAlign w:val="top"/>
          </w:tcPr>
          <w:p>
            <w:pPr>
              <w:rPr>
                <w:rFonts w:ascii="Arial"/>
                <w:sz w:val="21"/>
              </w:rPr>
            </w:pPr>
          </w:p>
        </w:tc>
        <w:tc>
          <w:tcPr>
            <w:tcW w:w="1842" w:type="dxa"/>
            <w:vMerge w:val="continue"/>
            <w:tcBorders>
              <w:top w:val="nil"/>
              <w:bottom w:val="nil"/>
            </w:tcBorders>
            <w:vAlign w:val="top"/>
          </w:tcPr>
          <w:p>
            <w:pPr>
              <w:rPr>
                <w:rFonts w:ascii="Arial"/>
                <w:sz w:val="21"/>
              </w:rPr>
            </w:pPr>
          </w:p>
        </w:tc>
        <w:tc>
          <w:tcPr>
            <w:tcW w:w="4309" w:type="dxa"/>
            <w:vMerge w:val="continue"/>
            <w:tcBorders>
              <w:top w:val="nil"/>
            </w:tcBorders>
            <w:vAlign w:val="top"/>
          </w:tcPr>
          <w:p>
            <w:pPr>
              <w:rPr>
                <w:rFonts w:ascii="Arial"/>
                <w:sz w:val="21"/>
              </w:rPr>
            </w:pPr>
          </w:p>
        </w:tc>
        <w:tc>
          <w:tcPr>
            <w:tcW w:w="1131" w:type="dxa"/>
            <w:vMerge w:val="continue"/>
            <w:tcBorders>
              <w:top w:val="nil"/>
            </w:tcBorders>
            <w:vAlign w:val="top"/>
          </w:tcPr>
          <w:p>
            <w:pPr>
              <w:rPr>
                <w:rFonts w:ascii="Arial"/>
                <w:sz w:val="21"/>
              </w:rPr>
            </w:pPr>
          </w:p>
        </w:tc>
        <w:tc>
          <w:tcPr>
            <w:tcW w:w="909" w:type="dxa"/>
            <w:vAlign w:val="top"/>
          </w:tcPr>
          <w:p>
            <w:pPr>
              <w:spacing w:before="249" w:line="173" w:lineRule="auto"/>
              <w:ind w:left="211"/>
              <w:rPr>
                <w:rFonts w:ascii="微软雅黑" w:hAnsi="微软雅黑" w:eastAsia="微软雅黑" w:cs="微软雅黑"/>
                <w:sz w:val="22"/>
                <w:szCs w:val="22"/>
              </w:rPr>
            </w:pPr>
            <w:r>
              <w:rPr>
                <w:rFonts w:ascii="微软雅黑" w:hAnsi="微软雅黑" w:eastAsia="微软雅黑" w:cs="微软雅黑"/>
                <w:spacing w:val="-6"/>
                <w:sz w:val="22"/>
                <w:szCs w:val="22"/>
              </w:rPr>
              <w:t>&lt;120</w:t>
            </w:r>
          </w:p>
        </w:tc>
        <w:tc>
          <w:tcPr>
            <w:tcW w:w="1795" w:type="dxa"/>
            <w:vAlign w:val="top"/>
          </w:tcPr>
          <w:p>
            <w:pPr>
              <w:spacing w:before="242" w:line="195" w:lineRule="auto"/>
              <w:ind w:left="689"/>
              <w:rPr>
                <w:rFonts w:ascii="微软雅黑" w:hAnsi="微软雅黑" w:eastAsia="微软雅黑" w:cs="微软雅黑"/>
                <w:sz w:val="22"/>
                <w:szCs w:val="22"/>
              </w:rPr>
            </w:pPr>
            <w:r>
              <w:rPr>
                <w:rFonts w:ascii="微软雅黑" w:hAnsi="微软雅黑" w:eastAsia="微软雅黑" w:cs="微软雅黑"/>
                <w:spacing w:val="-4"/>
                <w:sz w:val="22"/>
                <w:szCs w:val="22"/>
              </w:rPr>
              <w:t>乙级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66" w:hRule="atLeast"/>
        </w:trPr>
        <w:tc>
          <w:tcPr>
            <w:tcW w:w="708" w:type="dxa"/>
            <w:vAlign w:val="top"/>
          </w:tcPr>
          <w:p>
            <w:pPr>
              <w:spacing w:before="247" w:line="172" w:lineRule="auto"/>
              <w:ind w:left="301"/>
              <w:rPr>
                <w:rFonts w:ascii="微软雅黑" w:hAnsi="微软雅黑" w:eastAsia="微软雅黑" w:cs="微软雅黑"/>
                <w:sz w:val="22"/>
                <w:szCs w:val="22"/>
              </w:rPr>
            </w:pPr>
            <w:r>
              <w:rPr>
                <w:rFonts w:ascii="微软雅黑" w:hAnsi="微软雅黑" w:eastAsia="微软雅黑" w:cs="微软雅黑"/>
                <w:sz w:val="22"/>
                <w:szCs w:val="22"/>
              </w:rPr>
              <w:t>3</w:t>
            </w:r>
          </w:p>
        </w:tc>
        <w:tc>
          <w:tcPr>
            <w:tcW w:w="1276" w:type="dxa"/>
            <w:vMerge w:val="continue"/>
            <w:tcBorders>
              <w:top w:val="nil"/>
            </w:tcBorders>
            <w:vAlign w:val="top"/>
          </w:tcPr>
          <w:p>
            <w:pPr>
              <w:rPr>
                <w:rFonts w:ascii="Arial"/>
                <w:sz w:val="21"/>
              </w:rPr>
            </w:pPr>
          </w:p>
        </w:tc>
        <w:tc>
          <w:tcPr>
            <w:tcW w:w="1985" w:type="dxa"/>
            <w:vMerge w:val="continue"/>
            <w:tcBorders>
              <w:top w:val="nil"/>
            </w:tcBorders>
            <w:vAlign w:val="top"/>
          </w:tcPr>
          <w:p>
            <w:pPr>
              <w:rPr>
                <w:rFonts w:ascii="Arial"/>
                <w:sz w:val="21"/>
              </w:rPr>
            </w:pPr>
          </w:p>
        </w:tc>
        <w:tc>
          <w:tcPr>
            <w:tcW w:w="1842" w:type="dxa"/>
            <w:vMerge w:val="continue"/>
            <w:tcBorders>
              <w:top w:val="nil"/>
            </w:tcBorders>
            <w:vAlign w:val="top"/>
          </w:tcPr>
          <w:p>
            <w:pPr>
              <w:rPr>
                <w:rFonts w:ascii="Arial"/>
                <w:sz w:val="21"/>
              </w:rPr>
            </w:pPr>
          </w:p>
        </w:tc>
        <w:tc>
          <w:tcPr>
            <w:tcW w:w="4309" w:type="dxa"/>
            <w:vAlign w:val="top"/>
          </w:tcPr>
          <w:p>
            <w:pPr>
              <w:spacing w:before="237" w:line="195" w:lineRule="auto"/>
              <w:ind w:left="15"/>
              <w:rPr>
                <w:rFonts w:ascii="微软雅黑" w:hAnsi="微软雅黑" w:eastAsia="微软雅黑" w:cs="微软雅黑"/>
                <w:sz w:val="22"/>
                <w:szCs w:val="22"/>
              </w:rPr>
            </w:pPr>
            <w:r>
              <w:rPr>
                <w:rFonts w:ascii="微软雅黑" w:hAnsi="微软雅黑" w:eastAsia="微软雅黑" w:cs="微软雅黑"/>
                <w:sz w:val="22"/>
                <w:szCs w:val="22"/>
              </w:rPr>
              <w:t>建筑面积</w:t>
            </w:r>
            <w:r>
              <w:rPr>
                <w:rFonts w:ascii="微软雅黑" w:hAnsi="微软雅黑" w:eastAsia="微软雅黑" w:cs="微软雅黑"/>
                <w:sz w:val="22"/>
                <w:szCs w:val="22"/>
                <w:u w:val="single" w:color="auto"/>
              </w:rPr>
              <w:t xml:space="preserve">      </w:t>
            </w:r>
            <w:r>
              <w:rPr>
                <w:rFonts w:ascii="微软雅黑" w:hAnsi="微软雅黑" w:eastAsia="微软雅黑" w:cs="微软雅黑"/>
                <w:sz w:val="22"/>
                <w:szCs w:val="22"/>
              </w:rPr>
              <w:t>万平方米的建筑工程</w:t>
            </w:r>
          </w:p>
        </w:tc>
        <w:tc>
          <w:tcPr>
            <w:tcW w:w="1131" w:type="dxa"/>
            <w:vAlign w:val="top"/>
          </w:tcPr>
          <w:p>
            <w:pPr>
              <w:spacing w:before="237" w:line="194" w:lineRule="auto"/>
              <w:ind w:left="344"/>
              <w:rPr>
                <w:rFonts w:ascii="微软雅黑" w:hAnsi="微软雅黑" w:eastAsia="微软雅黑" w:cs="微软雅黑"/>
                <w:sz w:val="22"/>
                <w:szCs w:val="22"/>
              </w:rPr>
            </w:pPr>
            <w:r>
              <w:rPr>
                <w:rFonts w:ascii="微软雅黑" w:hAnsi="微软雅黑" w:eastAsia="微软雅黑" w:cs="微软雅黑"/>
                <w:spacing w:val="-1"/>
                <w:sz w:val="22"/>
                <w:szCs w:val="22"/>
              </w:rPr>
              <w:t>数值</w:t>
            </w:r>
          </w:p>
        </w:tc>
        <w:tc>
          <w:tcPr>
            <w:tcW w:w="909" w:type="dxa"/>
            <w:vAlign w:val="top"/>
          </w:tcPr>
          <w:p>
            <w:pPr>
              <w:spacing w:before="238" w:line="212" w:lineRule="auto"/>
              <w:ind w:left="269"/>
              <w:rPr>
                <w:rFonts w:ascii="微软雅黑" w:hAnsi="微软雅黑" w:eastAsia="微软雅黑" w:cs="微软雅黑"/>
                <w:sz w:val="22"/>
                <w:szCs w:val="22"/>
              </w:rPr>
            </w:pPr>
            <w:r>
              <w:rPr>
                <w:rFonts w:ascii="微软雅黑" w:hAnsi="微软雅黑" w:eastAsia="微软雅黑" w:cs="微软雅黑"/>
                <w:spacing w:val="-9"/>
                <w:sz w:val="22"/>
                <w:szCs w:val="22"/>
              </w:rPr>
              <w:t>≥15</w:t>
            </w:r>
          </w:p>
        </w:tc>
        <w:tc>
          <w:tcPr>
            <w:tcW w:w="1795" w:type="dxa"/>
            <w:vAlign w:val="top"/>
          </w:tcPr>
          <w:p>
            <w:pPr>
              <w:spacing w:before="238" w:line="195" w:lineRule="auto"/>
              <w:ind w:left="699"/>
              <w:rPr>
                <w:rFonts w:ascii="微软雅黑" w:hAnsi="微软雅黑" w:eastAsia="微软雅黑" w:cs="微软雅黑"/>
                <w:sz w:val="22"/>
                <w:szCs w:val="22"/>
              </w:rPr>
            </w:pPr>
            <w:r>
              <w:rPr>
                <w:rFonts w:ascii="微软雅黑" w:hAnsi="微软雅黑" w:eastAsia="微软雅黑" w:cs="微软雅黑"/>
                <w:spacing w:val="-6"/>
                <w:sz w:val="22"/>
                <w:szCs w:val="22"/>
              </w:rPr>
              <w:t>甲级</w:t>
            </w:r>
          </w:p>
        </w:tc>
      </w:tr>
    </w:tbl>
    <w:p>
      <w:pPr>
        <w:pStyle w:val="16"/>
        <w:spacing w:line="248" w:lineRule="auto"/>
      </w:pPr>
    </w:p>
    <w:p>
      <w:pPr>
        <w:pStyle w:val="16"/>
        <w:spacing w:line="248" w:lineRule="auto"/>
      </w:pPr>
    </w:p>
    <w:p>
      <w:pPr>
        <w:pStyle w:val="16"/>
        <w:spacing w:line="248" w:lineRule="auto"/>
      </w:pPr>
    </w:p>
    <w:p>
      <w:pPr>
        <w:pStyle w:val="16"/>
        <w:spacing w:line="249" w:lineRule="auto"/>
      </w:pPr>
    </w:p>
    <w:p>
      <w:pPr>
        <w:pStyle w:val="16"/>
        <w:spacing w:before="69" w:line="327" w:lineRule="exact"/>
        <w:ind w:left="4057"/>
        <w:rPr>
          <w:sz w:val="24"/>
          <w:szCs w:val="24"/>
        </w:rPr>
      </w:pPr>
      <w:r>
        <w:rPr>
          <w:spacing w:val="-4"/>
          <w:position w:val="1"/>
          <w:sz w:val="24"/>
          <w:szCs w:val="24"/>
        </w:rPr>
        <w:t>32 /</w:t>
      </w:r>
      <w:r>
        <w:rPr>
          <w:spacing w:val="26"/>
          <w:position w:val="1"/>
          <w:sz w:val="24"/>
          <w:szCs w:val="24"/>
        </w:rPr>
        <w:t xml:space="preserve"> </w:t>
      </w:r>
      <w:r>
        <w:rPr>
          <w:spacing w:val="-4"/>
          <w:position w:val="1"/>
          <w:sz w:val="24"/>
          <w:szCs w:val="24"/>
        </w:rPr>
        <w:t>165</w:t>
      </w:r>
    </w:p>
    <w:p>
      <w:pPr>
        <w:spacing w:line="327" w:lineRule="exact"/>
        <w:rPr>
          <w:sz w:val="24"/>
          <w:szCs w:val="24"/>
        </w:rPr>
        <w:sectPr>
          <w:pgSz w:w="16839" w:h="11907"/>
          <w:pgMar w:top="400" w:right="1438" w:bottom="400" w:left="995" w:header="0" w:footer="0" w:gutter="0"/>
          <w:cols w:space="720" w:num="1"/>
        </w:sectPr>
      </w:pPr>
    </w:p>
    <w:p>
      <w:pPr>
        <w:spacing w:before="39"/>
      </w:pPr>
      <w:r>
        <mc:AlternateContent>
          <mc:Choice Requires="wps">
            <w:drawing>
              <wp:anchor distT="0" distB="0" distL="114300" distR="114300" simplePos="0" relativeHeight="251666432" behindDoc="0" locked="0" layoutInCell="0" allowOverlap="1">
                <wp:simplePos x="0" y="0"/>
                <wp:positionH relativeFrom="page">
                  <wp:posOffset>631825</wp:posOffset>
                </wp:positionH>
                <wp:positionV relativeFrom="page">
                  <wp:posOffset>6922135</wp:posOffset>
                </wp:positionV>
                <wp:extent cx="6292850" cy="6350"/>
                <wp:effectExtent l="0" t="0" r="0" b="0"/>
                <wp:wrapNone/>
                <wp:docPr id="17" name="任意多边形 17"/>
                <wp:cNvGraphicFramePr/>
                <a:graphic xmlns:a="http://schemas.openxmlformats.org/drawingml/2006/main">
                  <a:graphicData uri="http://schemas.microsoft.com/office/word/2010/wordprocessingShape">
                    <wps:wsp>
                      <wps:cNvSpPr/>
                      <wps:spPr>
                        <a:xfrm>
                          <a:off x="0" y="0"/>
                          <a:ext cx="6292850" cy="6350"/>
                        </a:xfrm>
                        <a:custGeom>
                          <a:avLst/>
                          <a:gdLst/>
                          <a:ahLst/>
                          <a:cxnLst/>
                          <a:pathLst>
                            <a:path w="9910" h="10">
                              <a:moveTo>
                                <a:pt x="5" y="5"/>
                              </a:moveTo>
                              <a:lnTo>
                                <a:pt x="4955" y="5"/>
                              </a:lnTo>
                              <a:moveTo>
                                <a:pt x="4955" y="5"/>
                              </a:moveTo>
                              <a:lnTo>
                                <a:pt x="9905" y="5"/>
                              </a:lnTo>
                            </a:path>
                          </a:pathLst>
                        </a:custGeom>
                        <a:noFill/>
                        <a:ln w="6350" cap="sq" cmpd="sng">
                          <a:solidFill>
                            <a:srgbClr val="000000"/>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49.75pt;margin-top:545.05pt;height:0.5pt;width:495.5pt;mso-position-horizontal-relative:page;mso-position-vertical-relative:page;z-index:251666432;mso-width-relative:page;mso-height-relative:page;" filled="f" stroked="t" coordsize="9910,10" o:allowincell="f" o:gfxdata="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WAAAAZHJzL1BL&#10;AQIUABQAAAAIAIdO4kDujIKO2gAAAA0BAAAPAAAAAAAAAAEAIAAAADgAAABkcnMvZG93bnJldi54&#10;bWxQSwECFAAUAAAACACHTuJAGQeyzVQCAAD2BAAADgAAAAAAAAABACAAAAA/AQAAZHJzL2Uyb0Rv&#10;Yy54bWxQSwUGAAAAAAYABgBZAQAABQYAAAAA&#10;" path="m5,5l4955,5m4955,5l9905,5e">
                <v:fill on="f" focussize="0,0"/>
                <v:stroke weight="0.5pt" color="#000000" miterlimit="10" joinstyle="miter" endcap="square"/>
                <v:imagedata o:title=""/>
                <o:lock v:ext="edit" aspectratio="f"/>
              </v:shape>
            </w:pict>
          </mc:Fallback>
        </mc:AlternateContent>
      </w:r>
    </w:p>
    <w:p>
      <w:pPr>
        <w:spacing w:before="39"/>
      </w:pPr>
    </w:p>
    <w:p>
      <w:pPr>
        <w:spacing w:before="39"/>
      </w:pPr>
    </w:p>
    <w:p>
      <w:pPr>
        <w:spacing w:before="38"/>
      </w:pPr>
    </w:p>
    <w:p>
      <w:pPr>
        <w:spacing w:before="38"/>
      </w:pPr>
    </w:p>
    <w:tbl>
      <w:tblPr>
        <w:tblStyle w:val="96"/>
        <w:tblW w:w="13955" w:type="dxa"/>
        <w:tblInd w:w="44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8"/>
        <w:gridCol w:w="1276"/>
        <w:gridCol w:w="1985"/>
        <w:gridCol w:w="1842"/>
        <w:gridCol w:w="4309"/>
        <w:gridCol w:w="1131"/>
        <w:gridCol w:w="909"/>
        <w:gridCol w:w="17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64" w:hRule="atLeast"/>
        </w:trPr>
        <w:tc>
          <w:tcPr>
            <w:tcW w:w="708" w:type="dxa"/>
            <w:vAlign w:val="top"/>
          </w:tcPr>
          <w:p>
            <w:pPr>
              <w:rPr>
                <w:rFonts w:ascii="Arial"/>
                <w:sz w:val="21"/>
              </w:rPr>
            </w:pPr>
          </w:p>
        </w:tc>
        <w:tc>
          <w:tcPr>
            <w:tcW w:w="1276" w:type="dxa"/>
            <w:vMerge w:val="restart"/>
            <w:tcBorders>
              <w:bottom w:val="nil"/>
            </w:tcBorders>
            <w:vAlign w:val="top"/>
          </w:tcPr>
          <w:p>
            <w:pPr>
              <w:rPr>
                <w:rFonts w:ascii="Arial"/>
                <w:sz w:val="21"/>
              </w:rPr>
            </w:pPr>
          </w:p>
        </w:tc>
        <w:tc>
          <w:tcPr>
            <w:tcW w:w="1985" w:type="dxa"/>
            <w:vMerge w:val="restart"/>
            <w:tcBorders>
              <w:bottom w:val="nil"/>
            </w:tcBorders>
            <w:vAlign w:val="top"/>
          </w:tcPr>
          <w:p>
            <w:pPr>
              <w:rPr>
                <w:rFonts w:ascii="Arial"/>
                <w:sz w:val="21"/>
              </w:rPr>
            </w:pPr>
          </w:p>
        </w:tc>
        <w:tc>
          <w:tcPr>
            <w:tcW w:w="1842" w:type="dxa"/>
            <w:vAlign w:val="top"/>
          </w:tcPr>
          <w:p>
            <w:pPr>
              <w:rPr>
                <w:rFonts w:ascii="Arial"/>
                <w:sz w:val="21"/>
              </w:rPr>
            </w:pPr>
          </w:p>
        </w:tc>
        <w:tc>
          <w:tcPr>
            <w:tcW w:w="4309" w:type="dxa"/>
            <w:vAlign w:val="top"/>
          </w:tcPr>
          <w:p>
            <w:pPr>
              <w:rPr>
                <w:rFonts w:ascii="Arial"/>
                <w:sz w:val="21"/>
              </w:rPr>
            </w:pPr>
          </w:p>
        </w:tc>
        <w:tc>
          <w:tcPr>
            <w:tcW w:w="1131" w:type="dxa"/>
            <w:vAlign w:val="top"/>
          </w:tcPr>
          <w:p>
            <w:pPr>
              <w:rPr>
                <w:rFonts w:ascii="Arial"/>
                <w:sz w:val="21"/>
              </w:rPr>
            </w:pPr>
          </w:p>
        </w:tc>
        <w:tc>
          <w:tcPr>
            <w:tcW w:w="909" w:type="dxa"/>
            <w:vAlign w:val="top"/>
          </w:tcPr>
          <w:p>
            <w:pPr>
              <w:spacing w:before="243" w:line="173" w:lineRule="auto"/>
              <w:ind w:left="273"/>
              <w:rPr>
                <w:rFonts w:ascii="微软雅黑" w:hAnsi="微软雅黑" w:eastAsia="微软雅黑" w:cs="微软雅黑"/>
                <w:sz w:val="22"/>
                <w:szCs w:val="22"/>
              </w:rPr>
            </w:pPr>
            <w:r>
              <w:rPr>
                <w:rFonts w:ascii="微软雅黑" w:hAnsi="微软雅黑" w:eastAsia="微软雅黑" w:cs="微软雅黑"/>
                <w:spacing w:val="-7"/>
                <w:sz w:val="22"/>
                <w:szCs w:val="22"/>
              </w:rPr>
              <w:t>&lt;15</w:t>
            </w:r>
          </w:p>
        </w:tc>
        <w:tc>
          <w:tcPr>
            <w:tcW w:w="1795" w:type="dxa"/>
            <w:vAlign w:val="top"/>
          </w:tcPr>
          <w:p>
            <w:pPr>
              <w:spacing w:before="236" w:line="195" w:lineRule="auto"/>
              <w:ind w:left="689"/>
              <w:rPr>
                <w:rFonts w:ascii="微软雅黑" w:hAnsi="微软雅黑" w:eastAsia="微软雅黑" w:cs="微软雅黑"/>
                <w:sz w:val="22"/>
                <w:szCs w:val="22"/>
              </w:rPr>
            </w:pPr>
            <w:r>
              <w:rPr>
                <w:rFonts w:ascii="微软雅黑" w:hAnsi="微软雅黑" w:eastAsia="微软雅黑" w:cs="微软雅黑"/>
                <w:spacing w:val="-4"/>
                <w:sz w:val="22"/>
                <w:szCs w:val="22"/>
              </w:rPr>
              <w:t>乙级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7" w:hRule="atLeast"/>
        </w:trPr>
        <w:tc>
          <w:tcPr>
            <w:tcW w:w="708" w:type="dxa"/>
            <w:vAlign w:val="top"/>
          </w:tcPr>
          <w:p>
            <w:pPr>
              <w:spacing w:before="244" w:line="170" w:lineRule="auto"/>
              <w:ind w:left="287"/>
              <w:rPr>
                <w:rFonts w:ascii="微软雅黑" w:hAnsi="微软雅黑" w:eastAsia="微软雅黑" w:cs="微软雅黑"/>
                <w:sz w:val="22"/>
                <w:szCs w:val="22"/>
              </w:rPr>
            </w:pPr>
            <w:r>
              <w:rPr>
                <w:rFonts w:ascii="微软雅黑" w:hAnsi="微软雅黑" w:eastAsia="微软雅黑" w:cs="微软雅黑"/>
                <w:sz w:val="22"/>
                <w:szCs w:val="22"/>
              </w:rPr>
              <w:t>4</w:t>
            </w:r>
          </w:p>
        </w:tc>
        <w:tc>
          <w:tcPr>
            <w:tcW w:w="1276" w:type="dxa"/>
            <w:vMerge w:val="continue"/>
            <w:tcBorders>
              <w:top w:val="nil"/>
              <w:bottom w:val="nil"/>
            </w:tcBorders>
            <w:vAlign w:val="top"/>
          </w:tcPr>
          <w:p>
            <w:pPr>
              <w:rPr>
                <w:rFonts w:ascii="Arial"/>
                <w:sz w:val="21"/>
              </w:rPr>
            </w:pPr>
          </w:p>
        </w:tc>
        <w:tc>
          <w:tcPr>
            <w:tcW w:w="1985" w:type="dxa"/>
            <w:vMerge w:val="continue"/>
            <w:tcBorders>
              <w:top w:val="nil"/>
              <w:bottom w:val="nil"/>
            </w:tcBorders>
            <w:vAlign w:val="top"/>
          </w:tcPr>
          <w:p>
            <w:pPr>
              <w:rPr>
                <w:rFonts w:ascii="Arial"/>
                <w:sz w:val="21"/>
              </w:rPr>
            </w:pPr>
          </w:p>
        </w:tc>
        <w:tc>
          <w:tcPr>
            <w:tcW w:w="1842"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95" w:line="624" w:lineRule="exact"/>
              <w:ind w:left="43"/>
              <w:rPr>
                <w:rFonts w:ascii="微软雅黑" w:hAnsi="微软雅黑" w:eastAsia="微软雅黑" w:cs="微软雅黑"/>
                <w:sz w:val="22"/>
                <w:szCs w:val="22"/>
              </w:rPr>
            </w:pPr>
            <w:r>
              <w:rPr>
                <w:rFonts w:ascii="微软雅黑" w:hAnsi="微软雅黑" w:eastAsia="微软雅黑" w:cs="微软雅黑"/>
                <w:spacing w:val="-1"/>
                <w:position w:val="30"/>
                <w:sz w:val="22"/>
                <w:szCs w:val="22"/>
              </w:rPr>
              <w:t>市政公用工程施工</w:t>
            </w:r>
          </w:p>
          <w:p>
            <w:pPr>
              <w:spacing w:line="197" w:lineRule="auto"/>
              <w:ind w:left="589"/>
              <w:rPr>
                <w:rFonts w:ascii="微软雅黑" w:hAnsi="微软雅黑" w:eastAsia="微软雅黑" w:cs="微软雅黑"/>
                <w:sz w:val="22"/>
                <w:szCs w:val="22"/>
              </w:rPr>
            </w:pPr>
            <w:r>
              <w:rPr>
                <w:rFonts w:ascii="微软雅黑" w:hAnsi="微软雅黑" w:eastAsia="微软雅黑" w:cs="微软雅黑"/>
                <w:spacing w:val="-1"/>
                <w:sz w:val="22"/>
                <w:szCs w:val="22"/>
              </w:rPr>
              <w:t>总承包</w:t>
            </w:r>
          </w:p>
        </w:tc>
        <w:tc>
          <w:tcPr>
            <w:tcW w:w="4309" w:type="dxa"/>
            <w:vAlign w:val="top"/>
          </w:tcPr>
          <w:p>
            <w:pPr>
              <w:spacing w:before="231" w:line="194" w:lineRule="auto"/>
              <w:ind w:left="13"/>
              <w:rPr>
                <w:rFonts w:ascii="微软雅黑" w:hAnsi="微软雅黑" w:eastAsia="微软雅黑" w:cs="微软雅黑"/>
                <w:sz w:val="22"/>
                <w:szCs w:val="22"/>
              </w:rPr>
            </w:pPr>
            <w:r>
              <w:rPr>
                <w:rFonts w:ascii="微软雅黑" w:hAnsi="微软雅黑" w:eastAsia="微软雅黑" w:cs="微软雅黑"/>
                <w:sz w:val="22"/>
                <w:szCs w:val="22"/>
              </w:rPr>
              <w:t>各类城市道路</w:t>
            </w:r>
          </w:p>
        </w:tc>
        <w:tc>
          <w:tcPr>
            <w:tcW w:w="1131" w:type="dxa"/>
            <w:vAlign w:val="top"/>
          </w:tcPr>
          <w:p>
            <w:pPr>
              <w:spacing w:before="231" w:line="194" w:lineRule="auto"/>
              <w:ind w:left="16"/>
              <w:rPr>
                <w:rFonts w:ascii="微软雅黑" w:hAnsi="微软雅黑" w:eastAsia="微软雅黑" w:cs="微软雅黑"/>
                <w:sz w:val="22"/>
                <w:szCs w:val="22"/>
              </w:rPr>
            </w:pPr>
            <w:r>
              <w:rPr>
                <w:rFonts w:ascii="微软雅黑" w:hAnsi="微软雅黑" w:eastAsia="微软雅黑" w:cs="微软雅黑"/>
                <w:sz w:val="22"/>
                <w:szCs w:val="22"/>
              </w:rPr>
              <w:t>符合性判断</w:t>
            </w:r>
          </w:p>
        </w:tc>
        <w:tc>
          <w:tcPr>
            <w:tcW w:w="909" w:type="dxa"/>
            <w:vAlign w:val="top"/>
          </w:tcPr>
          <w:p>
            <w:pPr>
              <w:spacing w:before="230" w:line="195" w:lineRule="auto"/>
              <w:ind w:left="237"/>
              <w:rPr>
                <w:rFonts w:ascii="微软雅黑" w:hAnsi="微软雅黑" w:eastAsia="微软雅黑" w:cs="微软雅黑"/>
                <w:sz w:val="22"/>
                <w:szCs w:val="22"/>
              </w:rPr>
            </w:pPr>
            <w:r>
              <w:rPr>
                <w:rFonts w:ascii="微软雅黑" w:hAnsi="微软雅黑" w:eastAsia="微软雅黑" w:cs="微软雅黑"/>
                <w:spacing w:val="-1"/>
                <w:sz w:val="22"/>
                <w:szCs w:val="22"/>
              </w:rPr>
              <w:t>符合</w:t>
            </w:r>
          </w:p>
        </w:tc>
        <w:tc>
          <w:tcPr>
            <w:tcW w:w="1795" w:type="dxa"/>
            <w:vAlign w:val="top"/>
          </w:tcPr>
          <w:p>
            <w:pPr>
              <w:spacing w:before="231" w:line="195" w:lineRule="auto"/>
              <w:ind w:left="689"/>
              <w:rPr>
                <w:rFonts w:ascii="微软雅黑" w:hAnsi="微软雅黑" w:eastAsia="微软雅黑" w:cs="微软雅黑"/>
                <w:sz w:val="22"/>
                <w:szCs w:val="22"/>
              </w:rPr>
            </w:pPr>
            <w:r>
              <w:rPr>
                <w:rFonts w:ascii="微软雅黑" w:hAnsi="微软雅黑" w:eastAsia="微软雅黑" w:cs="微软雅黑"/>
                <w:spacing w:val="-4"/>
                <w:sz w:val="22"/>
                <w:szCs w:val="22"/>
              </w:rPr>
              <w:t>乙级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60" w:hRule="atLeast"/>
        </w:trPr>
        <w:tc>
          <w:tcPr>
            <w:tcW w:w="708" w:type="dxa"/>
            <w:vMerge w:val="restart"/>
            <w:tcBorders>
              <w:bottom w:val="nil"/>
            </w:tcBorders>
            <w:vAlign w:val="top"/>
          </w:tcPr>
          <w:p>
            <w:pPr>
              <w:rPr>
                <w:rFonts w:ascii="Arial"/>
                <w:sz w:val="21"/>
              </w:rPr>
            </w:pPr>
          </w:p>
          <w:p>
            <w:pPr>
              <w:spacing w:line="241" w:lineRule="auto"/>
              <w:rPr>
                <w:rFonts w:ascii="Arial"/>
                <w:sz w:val="21"/>
              </w:rPr>
            </w:pPr>
          </w:p>
          <w:p>
            <w:pPr>
              <w:spacing w:before="94" w:line="170" w:lineRule="auto"/>
              <w:ind w:left="304"/>
              <w:rPr>
                <w:rFonts w:ascii="微软雅黑" w:hAnsi="微软雅黑" w:eastAsia="微软雅黑" w:cs="微软雅黑"/>
                <w:sz w:val="22"/>
                <w:szCs w:val="22"/>
              </w:rPr>
            </w:pPr>
            <w:r>
              <w:rPr>
                <w:rFonts w:ascii="微软雅黑" w:hAnsi="微软雅黑" w:eastAsia="微软雅黑" w:cs="微软雅黑"/>
                <w:sz w:val="22"/>
                <w:szCs w:val="22"/>
              </w:rPr>
              <w:t>5</w:t>
            </w:r>
          </w:p>
        </w:tc>
        <w:tc>
          <w:tcPr>
            <w:tcW w:w="1276" w:type="dxa"/>
            <w:vMerge w:val="continue"/>
            <w:tcBorders>
              <w:top w:val="nil"/>
              <w:bottom w:val="nil"/>
            </w:tcBorders>
            <w:vAlign w:val="top"/>
          </w:tcPr>
          <w:p>
            <w:pPr>
              <w:rPr>
                <w:rFonts w:ascii="Arial"/>
                <w:sz w:val="21"/>
              </w:rPr>
            </w:pPr>
          </w:p>
        </w:tc>
        <w:tc>
          <w:tcPr>
            <w:tcW w:w="1985" w:type="dxa"/>
            <w:vMerge w:val="continue"/>
            <w:tcBorders>
              <w:top w:val="nil"/>
              <w:bottom w:val="nil"/>
            </w:tcBorders>
            <w:vAlign w:val="top"/>
          </w:tcPr>
          <w:p>
            <w:pPr>
              <w:rPr>
                <w:rFonts w:ascii="Arial"/>
                <w:sz w:val="21"/>
              </w:rPr>
            </w:pPr>
          </w:p>
        </w:tc>
        <w:tc>
          <w:tcPr>
            <w:tcW w:w="1842" w:type="dxa"/>
            <w:vMerge w:val="continue"/>
            <w:tcBorders>
              <w:top w:val="nil"/>
              <w:bottom w:val="nil"/>
            </w:tcBorders>
            <w:vAlign w:val="top"/>
          </w:tcPr>
          <w:p>
            <w:pPr>
              <w:rPr>
                <w:rFonts w:ascii="Arial"/>
                <w:sz w:val="21"/>
              </w:rPr>
            </w:pPr>
          </w:p>
        </w:tc>
        <w:tc>
          <w:tcPr>
            <w:tcW w:w="4309" w:type="dxa"/>
            <w:vMerge w:val="restart"/>
            <w:tcBorders>
              <w:bottom w:val="nil"/>
            </w:tcBorders>
            <w:vAlign w:val="top"/>
          </w:tcPr>
          <w:p>
            <w:pPr>
              <w:spacing w:line="469" w:lineRule="auto"/>
              <w:rPr>
                <w:rFonts w:ascii="Arial"/>
                <w:sz w:val="21"/>
              </w:rPr>
            </w:pPr>
          </w:p>
          <w:p>
            <w:pPr>
              <w:spacing w:before="94" w:line="194" w:lineRule="auto"/>
              <w:ind w:left="16"/>
              <w:rPr>
                <w:rFonts w:ascii="微软雅黑" w:hAnsi="微软雅黑" w:eastAsia="微软雅黑" w:cs="微软雅黑"/>
                <w:sz w:val="22"/>
                <w:szCs w:val="22"/>
              </w:rPr>
            </w:pPr>
            <w:r>
              <w:rPr>
                <w:rFonts w:ascii="微软雅黑" w:hAnsi="微软雅黑" w:eastAsia="微软雅黑" w:cs="微软雅黑"/>
                <w:sz w:val="22"/>
                <w:szCs w:val="22"/>
              </w:rPr>
              <w:t>单跨</w:t>
            </w:r>
            <w:r>
              <w:rPr>
                <w:rFonts w:ascii="微软雅黑" w:hAnsi="微软雅黑" w:eastAsia="微软雅黑" w:cs="微软雅黑"/>
                <w:sz w:val="22"/>
                <w:szCs w:val="22"/>
                <w:u w:val="single" w:color="auto"/>
              </w:rPr>
              <w:t xml:space="preserve">      </w:t>
            </w:r>
            <w:r>
              <w:rPr>
                <w:rFonts w:ascii="微软雅黑" w:hAnsi="微软雅黑" w:eastAsia="微软雅黑" w:cs="微软雅黑"/>
                <w:sz w:val="22"/>
                <w:szCs w:val="22"/>
              </w:rPr>
              <w:t>米的城市桥梁</w:t>
            </w:r>
          </w:p>
        </w:tc>
        <w:tc>
          <w:tcPr>
            <w:tcW w:w="1131" w:type="dxa"/>
            <w:vMerge w:val="restart"/>
            <w:tcBorders>
              <w:bottom w:val="nil"/>
            </w:tcBorders>
            <w:vAlign w:val="top"/>
          </w:tcPr>
          <w:p>
            <w:pPr>
              <w:spacing w:line="468" w:lineRule="auto"/>
              <w:rPr>
                <w:rFonts w:ascii="Arial"/>
                <w:sz w:val="21"/>
              </w:rPr>
            </w:pPr>
          </w:p>
          <w:p>
            <w:pPr>
              <w:spacing w:before="94" w:line="194" w:lineRule="auto"/>
              <w:ind w:left="344"/>
              <w:rPr>
                <w:rFonts w:ascii="微软雅黑" w:hAnsi="微软雅黑" w:eastAsia="微软雅黑" w:cs="微软雅黑"/>
                <w:sz w:val="22"/>
                <w:szCs w:val="22"/>
              </w:rPr>
            </w:pPr>
            <w:r>
              <w:rPr>
                <w:rFonts w:ascii="微软雅黑" w:hAnsi="微软雅黑" w:eastAsia="微软雅黑" w:cs="微软雅黑"/>
                <w:spacing w:val="-1"/>
                <w:sz w:val="22"/>
                <w:szCs w:val="22"/>
              </w:rPr>
              <w:t>数值</w:t>
            </w:r>
          </w:p>
        </w:tc>
        <w:tc>
          <w:tcPr>
            <w:tcW w:w="909" w:type="dxa"/>
            <w:vAlign w:val="top"/>
          </w:tcPr>
          <w:p>
            <w:pPr>
              <w:spacing w:before="234" w:line="212" w:lineRule="auto"/>
              <w:ind w:left="269"/>
              <w:rPr>
                <w:rFonts w:ascii="微软雅黑" w:hAnsi="微软雅黑" w:eastAsia="微软雅黑" w:cs="微软雅黑"/>
                <w:sz w:val="22"/>
                <w:szCs w:val="22"/>
              </w:rPr>
            </w:pPr>
            <w:r>
              <w:rPr>
                <w:rFonts w:ascii="微软雅黑" w:hAnsi="微软雅黑" w:eastAsia="微软雅黑" w:cs="微软雅黑"/>
                <w:spacing w:val="-9"/>
                <w:sz w:val="22"/>
                <w:szCs w:val="22"/>
              </w:rPr>
              <w:t>≥45</w:t>
            </w:r>
          </w:p>
        </w:tc>
        <w:tc>
          <w:tcPr>
            <w:tcW w:w="1795" w:type="dxa"/>
            <w:vAlign w:val="top"/>
          </w:tcPr>
          <w:p>
            <w:pPr>
              <w:spacing w:before="234" w:line="195" w:lineRule="auto"/>
              <w:ind w:left="699"/>
              <w:rPr>
                <w:rFonts w:ascii="微软雅黑" w:hAnsi="微软雅黑" w:eastAsia="微软雅黑" w:cs="微软雅黑"/>
                <w:sz w:val="22"/>
                <w:szCs w:val="22"/>
              </w:rPr>
            </w:pPr>
            <w:r>
              <w:rPr>
                <w:rFonts w:ascii="微软雅黑" w:hAnsi="微软雅黑" w:eastAsia="微软雅黑" w:cs="微软雅黑"/>
                <w:spacing w:val="-6"/>
                <w:sz w:val="22"/>
                <w:szCs w:val="22"/>
              </w:rPr>
              <w:t>甲级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9" w:hRule="atLeast"/>
        </w:trPr>
        <w:tc>
          <w:tcPr>
            <w:tcW w:w="708" w:type="dxa"/>
            <w:vMerge w:val="continue"/>
            <w:tcBorders>
              <w:top w:val="nil"/>
            </w:tcBorders>
            <w:vAlign w:val="top"/>
          </w:tcPr>
          <w:p>
            <w:pPr>
              <w:rPr>
                <w:rFonts w:ascii="Arial"/>
                <w:sz w:val="21"/>
              </w:rPr>
            </w:pPr>
          </w:p>
        </w:tc>
        <w:tc>
          <w:tcPr>
            <w:tcW w:w="1276" w:type="dxa"/>
            <w:vMerge w:val="continue"/>
            <w:tcBorders>
              <w:top w:val="nil"/>
              <w:bottom w:val="nil"/>
            </w:tcBorders>
            <w:vAlign w:val="top"/>
          </w:tcPr>
          <w:p>
            <w:pPr>
              <w:rPr>
                <w:rFonts w:ascii="Arial"/>
                <w:sz w:val="21"/>
              </w:rPr>
            </w:pPr>
          </w:p>
        </w:tc>
        <w:tc>
          <w:tcPr>
            <w:tcW w:w="1985" w:type="dxa"/>
            <w:vMerge w:val="continue"/>
            <w:tcBorders>
              <w:top w:val="nil"/>
              <w:bottom w:val="nil"/>
            </w:tcBorders>
            <w:vAlign w:val="top"/>
          </w:tcPr>
          <w:p>
            <w:pPr>
              <w:rPr>
                <w:rFonts w:ascii="Arial"/>
                <w:sz w:val="21"/>
              </w:rPr>
            </w:pPr>
          </w:p>
        </w:tc>
        <w:tc>
          <w:tcPr>
            <w:tcW w:w="1842" w:type="dxa"/>
            <w:vMerge w:val="continue"/>
            <w:tcBorders>
              <w:top w:val="nil"/>
              <w:bottom w:val="nil"/>
            </w:tcBorders>
            <w:vAlign w:val="top"/>
          </w:tcPr>
          <w:p>
            <w:pPr>
              <w:rPr>
                <w:rFonts w:ascii="Arial"/>
                <w:sz w:val="21"/>
              </w:rPr>
            </w:pPr>
          </w:p>
        </w:tc>
        <w:tc>
          <w:tcPr>
            <w:tcW w:w="4309" w:type="dxa"/>
            <w:vMerge w:val="continue"/>
            <w:tcBorders>
              <w:top w:val="nil"/>
            </w:tcBorders>
            <w:vAlign w:val="top"/>
          </w:tcPr>
          <w:p>
            <w:pPr>
              <w:rPr>
                <w:rFonts w:ascii="Arial"/>
                <w:sz w:val="21"/>
              </w:rPr>
            </w:pPr>
          </w:p>
        </w:tc>
        <w:tc>
          <w:tcPr>
            <w:tcW w:w="1131" w:type="dxa"/>
            <w:vMerge w:val="continue"/>
            <w:tcBorders>
              <w:top w:val="nil"/>
            </w:tcBorders>
            <w:vAlign w:val="top"/>
          </w:tcPr>
          <w:p>
            <w:pPr>
              <w:rPr>
                <w:rFonts w:ascii="Arial"/>
                <w:sz w:val="21"/>
              </w:rPr>
            </w:pPr>
          </w:p>
        </w:tc>
        <w:tc>
          <w:tcPr>
            <w:tcW w:w="909" w:type="dxa"/>
            <w:vAlign w:val="top"/>
          </w:tcPr>
          <w:p>
            <w:pPr>
              <w:spacing w:before="245" w:line="170" w:lineRule="auto"/>
              <w:ind w:left="273"/>
              <w:rPr>
                <w:rFonts w:ascii="微软雅黑" w:hAnsi="微软雅黑" w:eastAsia="微软雅黑" w:cs="微软雅黑"/>
                <w:sz w:val="22"/>
                <w:szCs w:val="22"/>
              </w:rPr>
            </w:pPr>
            <w:r>
              <w:rPr>
                <w:rFonts w:ascii="微软雅黑" w:hAnsi="微软雅黑" w:eastAsia="微软雅黑" w:cs="微软雅黑"/>
                <w:spacing w:val="-7"/>
                <w:sz w:val="22"/>
                <w:szCs w:val="22"/>
              </w:rPr>
              <w:t>&lt;45</w:t>
            </w:r>
          </w:p>
        </w:tc>
        <w:tc>
          <w:tcPr>
            <w:tcW w:w="1795" w:type="dxa"/>
            <w:vAlign w:val="top"/>
          </w:tcPr>
          <w:p>
            <w:pPr>
              <w:spacing w:before="232" w:line="195" w:lineRule="auto"/>
              <w:ind w:left="689"/>
              <w:rPr>
                <w:rFonts w:ascii="微软雅黑" w:hAnsi="微软雅黑" w:eastAsia="微软雅黑" w:cs="微软雅黑"/>
                <w:sz w:val="22"/>
                <w:szCs w:val="22"/>
              </w:rPr>
            </w:pPr>
            <w:r>
              <w:rPr>
                <w:rFonts w:ascii="微软雅黑" w:hAnsi="微软雅黑" w:eastAsia="微软雅黑" w:cs="微软雅黑"/>
                <w:spacing w:val="-4"/>
                <w:sz w:val="22"/>
                <w:szCs w:val="22"/>
              </w:rPr>
              <w:t>乙级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7" w:hRule="atLeast"/>
        </w:trPr>
        <w:tc>
          <w:tcPr>
            <w:tcW w:w="708" w:type="dxa"/>
            <w:vMerge w:val="restart"/>
            <w:tcBorders>
              <w:bottom w:val="nil"/>
            </w:tcBorders>
            <w:vAlign w:val="top"/>
          </w:tcPr>
          <w:p>
            <w:pPr>
              <w:spacing w:line="476" w:lineRule="auto"/>
              <w:rPr>
                <w:rFonts w:ascii="Arial"/>
                <w:sz w:val="21"/>
              </w:rPr>
            </w:pPr>
          </w:p>
          <w:p>
            <w:pPr>
              <w:spacing w:before="95" w:line="172" w:lineRule="auto"/>
              <w:ind w:left="298"/>
              <w:rPr>
                <w:rFonts w:ascii="微软雅黑" w:hAnsi="微软雅黑" w:eastAsia="微软雅黑" w:cs="微软雅黑"/>
                <w:sz w:val="22"/>
                <w:szCs w:val="22"/>
              </w:rPr>
            </w:pPr>
            <w:r>
              <w:rPr>
                <w:rFonts w:ascii="微软雅黑" w:hAnsi="微软雅黑" w:eastAsia="微软雅黑" w:cs="微软雅黑"/>
                <w:sz w:val="22"/>
                <w:szCs w:val="22"/>
              </w:rPr>
              <w:t>6</w:t>
            </w:r>
          </w:p>
        </w:tc>
        <w:tc>
          <w:tcPr>
            <w:tcW w:w="1276" w:type="dxa"/>
            <w:vMerge w:val="continue"/>
            <w:tcBorders>
              <w:top w:val="nil"/>
              <w:bottom w:val="nil"/>
            </w:tcBorders>
            <w:vAlign w:val="top"/>
          </w:tcPr>
          <w:p>
            <w:pPr>
              <w:rPr>
                <w:rFonts w:ascii="Arial"/>
                <w:sz w:val="21"/>
              </w:rPr>
            </w:pPr>
          </w:p>
        </w:tc>
        <w:tc>
          <w:tcPr>
            <w:tcW w:w="1985" w:type="dxa"/>
            <w:vMerge w:val="continue"/>
            <w:tcBorders>
              <w:top w:val="nil"/>
              <w:bottom w:val="nil"/>
            </w:tcBorders>
            <w:vAlign w:val="top"/>
          </w:tcPr>
          <w:p>
            <w:pPr>
              <w:rPr>
                <w:rFonts w:ascii="Arial"/>
                <w:sz w:val="21"/>
              </w:rPr>
            </w:pPr>
          </w:p>
        </w:tc>
        <w:tc>
          <w:tcPr>
            <w:tcW w:w="1842" w:type="dxa"/>
            <w:vMerge w:val="continue"/>
            <w:tcBorders>
              <w:top w:val="nil"/>
              <w:bottom w:val="nil"/>
            </w:tcBorders>
            <w:vAlign w:val="top"/>
          </w:tcPr>
          <w:p>
            <w:pPr>
              <w:rPr>
                <w:rFonts w:ascii="Arial"/>
                <w:sz w:val="21"/>
              </w:rPr>
            </w:pPr>
          </w:p>
        </w:tc>
        <w:tc>
          <w:tcPr>
            <w:tcW w:w="4309" w:type="dxa"/>
            <w:vMerge w:val="restart"/>
            <w:tcBorders>
              <w:bottom w:val="nil"/>
            </w:tcBorders>
            <w:vAlign w:val="top"/>
          </w:tcPr>
          <w:p>
            <w:pPr>
              <w:spacing w:line="467" w:lineRule="auto"/>
              <w:rPr>
                <w:rFonts w:ascii="Arial"/>
                <w:sz w:val="21"/>
              </w:rPr>
            </w:pPr>
          </w:p>
          <w:p>
            <w:pPr>
              <w:tabs>
                <w:tab w:val="left" w:pos="409"/>
              </w:tabs>
              <w:spacing w:before="94" w:line="195" w:lineRule="auto"/>
              <w:ind w:left="12"/>
              <w:rPr>
                <w:rFonts w:ascii="微软雅黑" w:hAnsi="微软雅黑" w:eastAsia="微软雅黑" w:cs="微软雅黑"/>
                <w:sz w:val="22"/>
                <w:szCs w:val="22"/>
              </w:rPr>
            </w:pPr>
            <w:r>
              <w:rPr>
                <w:rFonts w:ascii="微软雅黑" w:hAnsi="微软雅黑" w:eastAsia="微软雅黑" w:cs="微软雅黑"/>
                <w:sz w:val="22"/>
                <w:szCs w:val="22"/>
                <w:u w:val="single" w:color="auto"/>
              </w:rPr>
              <w:tab/>
            </w:r>
            <w:r>
              <w:rPr>
                <w:rFonts w:ascii="微软雅黑" w:hAnsi="微软雅黑" w:eastAsia="微软雅黑" w:cs="微软雅黑"/>
                <w:sz w:val="22"/>
                <w:szCs w:val="22"/>
              </w:rPr>
              <w:t>万吨/日的供水工程</w:t>
            </w:r>
          </w:p>
        </w:tc>
        <w:tc>
          <w:tcPr>
            <w:tcW w:w="1131" w:type="dxa"/>
            <w:vMerge w:val="restart"/>
            <w:tcBorders>
              <w:bottom w:val="nil"/>
            </w:tcBorders>
            <w:vAlign w:val="top"/>
          </w:tcPr>
          <w:p>
            <w:pPr>
              <w:spacing w:line="466" w:lineRule="auto"/>
              <w:rPr>
                <w:rFonts w:ascii="Arial"/>
                <w:sz w:val="21"/>
              </w:rPr>
            </w:pPr>
          </w:p>
          <w:p>
            <w:pPr>
              <w:spacing w:before="94" w:line="194" w:lineRule="auto"/>
              <w:ind w:left="344"/>
              <w:rPr>
                <w:rFonts w:ascii="微软雅黑" w:hAnsi="微软雅黑" w:eastAsia="微软雅黑" w:cs="微软雅黑"/>
                <w:sz w:val="22"/>
                <w:szCs w:val="22"/>
              </w:rPr>
            </w:pPr>
            <w:r>
              <w:rPr>
                <w:rFonts w:ascii="微软雅黑" w:hAnsi="微软雅黑" w:eastAsia="微软雅黑" w:cs="微软雅黑"/>
                <w:spacing w:val="-1"/>
                <w:sz w:val="22"/>
                <w:szCs w:val="22"/>
              </w:rPr>
              <w:t>数值</w:t>
            </w:r>
          </w:p>
        </w:tc>
        <w:tc>
          <w:tcPr>
            <w:tcW w:w="909" w:type="dxa"/>
            <w:vAlign w:val="top"/>
          </w:tcPr>
          <w:p>
            <w:pPr>
              <w:spacing w:before="233" w:line="212" w:lineRule="auto"/>
              <w:ind w:left="269"/>
              <w:rPr>
                <w:rFonts w:ascii="微软雅黑" w:hAnsi="微软雅黑" w:eastAsia="微软雅黑" w:cs="微软雅黑"/>
                <w:sz w:val="22"/>
                <w:szCs w:val="22"/>
              </w:rPr>
            </w:pPr>
            <w:r>
              <w:rPr>
                <w:rFonts w:ascii="微软雅黑" w:hAnsi="微软雅黑" w:eastAsia="微软雅黑" w:cs="微软雅黑"/>
                <w:spacing w:val="-9"/>
                <w:sz w:val="22"/>
                <w:szCs w:val="22"/>
              </w:rPr>
              <w:t>≥15</w:t>
            </w:r>
          </w:p>
        </w:tc>
        <w:tc>
          <w:tcPr>
            <w:tcW w:w="1795" w:type="dxa"/>
            <w:vAlign w:val="top"/>
          </w:tcPr>
          <w:p>
            <w:pPr>
              <w:spacing w:before="233" w:line="195" w:lineRule="auto"/>
              <w:ind w:left="699"/>
              <w:rPr>
                <w:rFonts w:ascii="微软雅黑" w:hAnsi="微软雅黑" w:eastAsia="微软雅黑" w:cs="微软雅黑"/>
                <w:sz w:val="22"/>
                <w:szCs w:val="22"/>
              </w:rPr>
            </w:pPr>
            <w:r>
              <w:rPr>
                <w:rFonts w:ascii="微软雅黑" w:hAnsi="微软雅黑" w:eastAsia="微软雅黑" w:cs="微软雅黑"/>
                <w:spacing w:val="-6"/>
                <w:sz w:val="22"/>
                <w:szCs w:val="22"/>
              </w:rPr>
              <w:t>甲级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60" w:hRule="atLeast"/>
        </w:trPr>
        <w:tc>
          <w:tcPr>
            <w:tcW w:w="708" w:type="dxa"/>
            <w:vMerge w:val="continue"/>
            <w:tcBorders>
              <w:top w:val="nil"/>
            </w:tcBorders>
            <w:vAlign w:val="top"/>
          </w:tcPr>
          <w:p>
            <w:pPr>
              <w:rPr>
                <w:rFonts w:ascii="Arial"/>
                <w:sz w:val="21"/>
              </w:rPr>
            </w:pPr>
          </w:p>
        </w:tc>
        <w:tc>
          <w:tcPr>
            <w:tcW w:w="1276" w:type="dxa"/>
            <w:vMerge w:val="continue"/>
            <w:tcBorders>
              <w:top w:val="nil"/>
              <w:bottom w:val="nil"/>
            </w:tcBorders>
            <w:vAlign w:val="top"/>
          </w:tcPr>
          <w:p>
            <w:pPr>
              <w:rPr>
                <w:rFonts w:ascii="Arial"/>
                <w:sz w:val="21"/>
              </w:rPr>
            </w:pPr>
          </w:p>
        </w:tc>
        <w:tc>
          <w:tcPr>
            <w:tcW w:w="1985" w:type="dxa"/>
            <w:vMerge w:val="continue"/>
            <w:tcBorders>
              <w:top w:val="nil"/>
              <w:bottom w:val="nil"/>
            </w:tcBorders>
            <w:vAlign w:val="top"/>
          </w:tcPr>
          <w:p>
            <w:pPr>
              <w:rPr>
                <w:rFonts w:ascii="Arial"/>
                <w:sz w:val="21"/>
              </w:rPr>
            </w:pPr>
          </w:p>
        </w:tc>
        <w:tc>
          <w:tcPr>
            <w:tcW w:w="1842" w:type="dxa"/>
            <w:vMerge w:val="continue"/>
            <w:tcBorders>
              <w:top w:val="nil"/>
              <w:bottom w:val="nil"/>
            </w:tcBorders>
            <w:vAlign w:val="top"/>
          </w:tcPr>
          <w:p>
            <w:pPr>
              <w:rPr>
                <w:rFonts w:ascii="Arial"/>
                <w:sz w:val="21"/>
              </w:rPr>
            </w:pPr>
          </w:p>
        </w:tc>
        <w:tc>
          <w:tcPr>
            <w:tcW w:w="4309" w:type="dxa"/>
            <w:vMerge w:val="continue"/>
            <w:tcBorders>
              <w:top w:val="nil"/>
            </w:tcBorders>
            <w:vAlign w:val="top"/>
          </w:tcPr>
          <w:p>
            <w:pPr>
              <w:rPr>
                <w:rFonts w:ascii="Arial"/>
                <w:sz w:val="21"/>
              </w:rPr>
            </w:pPr>
          </w:p>
        </w:tc>
        <w:tc>
          <w:tcPr>
            <w:tcW w:w="1131" w:type="dxa"/>
            <w:vMerge w:val="continue"/>
            <w:tcBorders>
              <w:top w:val="nil"/>
            </w:tcBorders>
            <w:vAlign w:val="top"/>
          </w:tcPr>
          <w:p>
            <w:pPr>
              <w:rPr>
                <w:rFonts w:ascii="Arial"/>
                <w:sz w:val="21"/>
              </w:rPr>
            </w:pPr>
          </w:p>
        </w:tc>
        <w:tc>
          <w:tcPr>
            <w:tcW w:w="909" w:type="dxa"/>
            <w:vAlign w:val="top"/>
          </w:tcPr>
          <w:p>
            <w:pPr>
              <w:spacing w:before="243" w:line="173" w:lineRule="auto"/>
              <w:ind w:left="273"/>
              <w:rPr>
                <w:rFonts w:ascii="微软雅黑" w:hAnsi="微软雅黑" w:eastAsia="微软雅黑" w:cs="微软雅黑"/>
                <w:sz w:val="22"/>
                <w:szCs w:val="22"/>
              </w:rPr>
            </w:pPr>
            <w:r>
              <w:rPr>
                <w:rFonts w:ascii="微软雅黑" w:hAnsi="微软雅黑" w:eastAsia="微软雅黑" w:cs="微软雅黑"/>
                <w:spacing w:val="-7"/>
                <w:sz w:val="22"/>
                <w:szCs w:val="22"/>
              </w:rPr>
              <w:t>&lt;15</w:t>
            </w:r>
          </w:p>
        </w:tc>
        <w:tc>
          <w:tcPr>
            <w:tcW w:w="1795" w:type="dxa"/>
            <w:vAlign w:val="top"/>
          </w:tcPr>
          <w:p>
            <w:pPr>
              <w:spacing w:before="236" w:line="195" w:lineRule="auto"/>
              <w:ind w:left="689"/>
              <w:rPr>
                <w:rFonts w:ascii="微软雅黑" w:hAnsi="微软雅黑" w:eastAsia="微软雅黑" w:cs="微软雅黑"/>
                <w:sz w:val="22"/>
                <w:szCs w:val="22"/>
              </w:rPr>
            </w:pPr>
            <w:r>
              <w:rPr>
                <w:rFonts w:ascii="微软雅黑" w:hAnsi="微软雅黑" w:eastAsia="微软雅黑" w:cs="微软雅黑"/>
                <w:spacing w:val="-4"/>
                <w:sz w:val="22"/>
                <w:szCs w:val="22"/>
              </w:rPr>
              <w:t>乙级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60" w:hRule="atLeast"/>
        </w:trPr>
        <w:tc>
          <w:tcPr>
            <w:tcW w:w="708" w:type="dxa"/>
            <w:vMerge w:val="restart"/>
            <w:tcBorders>
              <w:bottom w:val="nil"/>
            </w:tcBorders>
            <w:vAlign w:val="top"/>
          </w:tcPr>
          <w:p>
            <w:pPr>
              <w:spacing w:line="241" w:lineRule="auto"/>
              <w:rPr>
                <w:rFonts w:ascii="Arial"/>
                <w:sz w:val="21"/>
              </w:rPr>
            </w:pPr>
          </w:p>
          <w:p>
            <w:pPr>
              <w:spacing w:line="242" w:lineRule="auto"/>
              <w:rPr>
                <w:rFonts w:ascii="Arial"/>
                <w:sz w:val="21"/>
              </w:rPr>
            </w:pPr>
          </w:p>
          <w:p>
            <w:pPr>
              <w:spacing w:before="94" w:line="170" w:lineRule="auto"/>
              <w:ind w:left="297"/>
              <w:rPr>
                <w:rFonts w:ascii="微软雅黑" w:hAnsi="微软雅黑" w:eastAsia="微软雅黑" w:cs="微软雅黑"/>
                <w:sz w:val="22"/>
                <w:szCs w:val="22"/>
              </w:rPr>
            </w:pPr>
            <w:r>
              <w:rPr>
                <w:rFonts w:ascii="微软雅黑" w:hAnsi="微软雅黑" w:eastAsia="微软雅黑" w:cs="微软雅黑"/>
                <w:sz w:val="22"/>
                <w:szCs w:val="22"/>
              </w:rPr>
              <w:t>7</w:t>
            </w:r>
          </w:p>
        </w:tc>
        <w:tc>
          <w:tcPr>
            <w:tcW w:w="1276" w:type="dxa"/>
            <w:vMerge w:val="continue"/>
            <w:tcBorders>
              <w:top w:val="nil"/>
              <w:bottom w:val="nil"/>
            </w:tcBorders>
            <w:vAlign w:val="top"/>
          </w:tcPr>
          <w:p>
            <w:pPr>
              <w:rPr>
                <w:rFonts w:ascii="Arial"/>
                <w:sz w:val="21"/>
              </w:rPr>
            </w:pPr>
          </w:p>
        </w:tc>
        <w:tc>
          <w:tcPr>
            <w:tcW w:w="1985" w:type="dxa"/>
            <w:vMerge w:val="continue"/>
            <w:tcBorders>
              <w:top w:val="nil"/>
              <w:bottom w:val="nil"/>
            </w:tcBorders>
            <w:vAlign w:val="top"/>
          </w:tcPr>
          <w:p>
            <w:pPr>
              <w:rPr>
                <w:rFonts w:ascii="Arial"/>
                <w:sz w:val="21"/>
              </w:rPr>
            </w:pPr>
          </w:p>
        </w:tc>
        <w:tc>
          <w:tcPr>
            <w:tcW w:w="1842" w:type="dxa"/>
            <w:vMerge w:val="continue"/>
            <w:tcBorders>
              <w:top w:val="nil"/>
              <w:bottom w:val="nil"/>
            </w:tcBorders>
            <w:vAlign w:val="top"/>
          </w:tcPr>
          <w:p>
            <w:pPr>
              <w:rPr>
                <w:rFonts w:ascii="Arial"/>
                <w:sz w:val="21"/>
              </w:rPr>
            </w:pPr>
          </w:p>
        </w:tc>
        <w:tc>
          <w:tcPr>
            <w:tcW w:w="4309" w:type="dxa"/>
            <w:vMerge w:val="restart"/>
            <w:tcBorders>
              <w:bottom w:val="nil"/>
            </w:tcBorders>
            <w:vAlign w:val="top"/>
          </w:tcPr>
          <w:p>
            <w:pPr>
              <w:spacing w:line="470" w:lineRule="auto"/>
              <w:rPr>
                <w:rFonts w:ascii="Arial"/>
                <w:sz w:val="21"/>
              </w:rPr>
            </w:pPr>
          </w:p>
          <w:p>
            <w:pPr>
              <w:tabs>
                <w:tab w:val="left" w:pos="409"/>
              </w:tabs>
              <w:spacing w:before="94" w:line="195" w:lineRule="auto"/>
              <w:ind w:left="12"/>
              <w:rPr>
                <w:rFonts w:ascii="微软雅黑" w:hAnsi="微软雅黑" w:eastAsia="微软雅黑" w:cs="微软雅黑"/>
                <w:sz w:val="22"/>
                <w:szCs w:val="22"/>
              </w:rPr>
            </w:pPr>
            <w:r>
              <w:rPr>
                <w:rFonts w:ascii="微软雅黑" w:hAnsi="微软雅黑" w:eastAsia="微软雅黑" w:cs="微软雅黑"/>
                <w:sz w:val="22"/>
                <w:szCs w:val="22"/>
                <w:u w:val="single" w:color="auto"/>
              </w:rPr>
              <w:tab/>
            </w:r>
            <w:r>
              <w:rPr>
                <w:rFonts w:ascii="微软雅黑" w:hAnsi="微软雅黑" w:eastAsia="微软雅黑" w:cs="微软雅黑"/>
                <w:spacing w:val="-1"/>
                <w:sz w:val="22"/>
                <w:szCs w:val="22"/>
              </w:rPr>
              <w:t>万吨/日的污水泵站、雨水泵站</w:t>
            </w:r>
          </w:p>
        </w:tc>
        <w:tc>
          <w:tcPr>
            <w:tcW w:w="1131" w:type="dxa"/>
            <w:vMerge w:val="restart"/>
            <w:tcBorders>
              <w:bottom w:val="nil"/>
            </w:tcBorders>
            <w:vAlign w:val="top"/>
          </w:tcPr>
          <w:p>
            <w:pPr>
              <w:spacing w:line="469" w:lineRule="auto"/>
              <w:rPr>
                <w:rFonts w:ascii="Arial"/>
                <w:sz w:val="21"/>
              </w:rPr>
            </w:pPr>
          </w:p>
          <w:p>
            <w:pPr>
              <w:spacing w:before="94" w:line="194" w:lineRule="auto"/>
              <w:ind w:left="344"/>
              <w:rPr>
                <w:rFonts w:ascii="微软雅黑" w:hAnsi="微软雅黑" w:eastAsia="微软雅黑" w:cs="微软雅黑"/>
                <w:sz w:val="22"/>
                <w:szCs w:val="22"/>
              </w:rPr>
            </w:pPr>
            <w:r>
              <w:rPr>
                <w:rFonts w:ascii="微软雅黑" w:hAnsi="微软雅黑" w:eastAsia="微软雅黑" w:cs="微软雅黑"/>
                <w:spacing w:val="-1"/>
                <w:sz w:val="22"/>
                <w:szCs w:val="22"/>
              </w:rPr>
              <w:t>数值</w:t>
            </w:r>
          </w:p>
        </w:tc>
        <w:tc>
          <w:tcPr>
            <w:tcW w:w="909" w:type="dxa"/>
            <w:vAlign w:val="top"/>
          </w:tcPr>
          <w:p>
            <w:pPr>
              <w:spacing w:before="233" w:line="212" w:lineRule="auto"/>
              <w:ind w:left="269"/>
              <w:rPr>
                <w:rFonts w:ascii="微软雅黑" w:hAnsi="微软雅黑" w:eastAsia="微软雅黑" w:cs="微软雅黑"/>
                <w:sz w:val="22"/>
                <w:szCs w:val="22"/>
              </w:rPr>
            </w:pPr>
            <w:r>
              <w:rPr>
                <w:rFonts w:ascii="微软雅黑" w:hAnsi="微软雅黑" w:eastAsia="微软雅黑" w:cs="微软雅黑"/>
                <w:spacing w:val="-9"/>
                <w:sz w:val="22"/>
                <w:szCs w:val="22"/>
              </w:rPr>
              <w:t>≥15</w:t>
            </w:r>
          </w:p>
        </w:tc>
        <w:tc>
          <w:tcPr>
            <w:tcW w:w="1795" w:type="dxa"/>
            <w:vAlign w:val="top"/>
          </w:tcPr>
          <w:p>
            <w:pPr>
              <w:spacing w:before="233" w:line="195" w:lineRule="auto"/>
              <w:ind w:left="699"/>
              <w:rPr>
                <w:rFonts w:ascii="微软雅黑" w:hAnsi="微软雅黑" w:eastAsia="微软雅黑" w:cs="微软雅黑"/>
                <w:sz w:val="22"/>
                <w:szCs w:val="22"/>
              </w:rPr>
            </w:pPr>
            <w:r>
              <w:rPr>
                <w:rFonts w:ascii="微软雅黑" w:hAnsi="微软雅黑" w:eastAsia="微软雅黑" w:cs="微软雅黑"/>
                <w:spacing w:val="-6"/>
                <w:sz w:val="22"/>
                <w:szCs w:val="22"/>
              </w:rPr>
              <w:t>甲级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7" w:hRule="atLeast"/>
        </w:trPr>
        <w:tc>
          <w:tcPr>
            <w:tcW w:w="708" w:type="dxa"/>
            <w:vMerge w:val="continue"/>
            <w:tcBorders>
              <w:top w:val="nil"/>
            </w:tcBorders>
            <w:vAlign w:val="top"/>
          </w:tcPr>
          <w:p>
            <w:pPr>
              <w:rPr>
                <w:rFonts w:ascii="Arial"/>
                <w:sz w:val="21"/>
              </w:rPr>
            </w:pPr>
          </w:p>
        </w:tc>
        <w:tc>
          <w:tcPr>
            <w:tcW w:w="1276" w:type="dxa"/>
            <w:vMerge w:val="continue"/>
            <w:tcBorders>
              <w:top w:val="nil"/>
              <w:bottom w:val="nil"/>
            </w:tcBorders>
            <w:vAlign w:val="top"/>
          </w:tcPr>
          <w:p>
            <w:pPr>
              <w:rPr>
                <w:rFonts w:ascii="Arial"/>
                <w:sz w:val="21"/>
              </w:rPr>
            </w:pPr>
          </w:p>
        </w:tc>
        <w:tc>
          <w:tcPr>
            <w:tcW w:w="1985" w:type="dxa"/>
            <w:vMerge w:val="continue"/>
            <w:tcBorders>
              <w:top w:val="nil"/>
              <w:bottom w:val="nil"/>
            </w:tcBorders>
            <w:vAlign w:val="top"/>
          </w:tcPr>
          <w:p>
            <w:pPr>
              <w:rPr>
                <w:rFonts w:ascii="Arial"/>
                <w:sz w:val="21"/>
              </w:rPr>
            </w:pPr>
          </w:p>
        </w:tc>
        <w:tc>
          <w:tcPr>
            <w:tcW w:w="1842" w:type="dxa"/>
            <w:vMerge w:val="continue"/>
            <w:tcBorders>
              <w:top w:val="nil"/>
              <w:bottom w:val="nil"/>
            </w:tcBorders>
            <w:vAlign w:val="top"/>
          </w:tcPr>
          <w:p>
            <w:pPr>
              <w:rPr>
                <w:rFonts w:ascii="Arial"/>
                <w:sz w:val="21"/>
              </w:rPr>
            </w:pPr>
          </w:p>
        </w:tc>
        <w:tc>
          <w:tcPr>
            <w:tcW w:w="4309" w:type="dxa"/>
            <w:vMerge w:val="continue"/>
            <w:tcBorders>
              <w:top w:val="nil"/>
            </w:tcBorders>
            <w:vAlign w:val="top"/>
          </w:tcPr>
          <w:p>
            <w:pPr>
              <w:rPr>
                <w:rFonts w:ascii="Arial"/>
                <w:sz w:val="21"/>
              </w:rPr>
            </w:pPr>
          </w:p>
        </w:tc>
        <w:tc>
          <w:tcPr>
            <w:tcW w:w="1131" w:type="dxa"/>
            <w:vMerge w:val="continue"/>
            <w:tcBorders>
              <w:top w:val="nil"/>
            </w:tcBorders>
            <w:vAlign w:val="top"/>
          </w:tcPr>
          <w:p>
            <w:pPr>
              <w:rPr>
                <w:rFonts w:ascii="Arial"/>
                <w:sz w:val="21"/>
              </w:rPr>
            </w:pPr>
          </w:p>
        </w:tc>
        <w:tc>
          <w:tcPr>
            <w:tcW w:w="909" w:type="dxa"/>
            <w:vAlign w:val="top"/>
          </w:tcPr>
          <w:p>
            <w:pPr>
              <w:spacing w:before="241" w:line="173" w:lineRule="auto"/>
              <w:ind w:left="273"/>
              <w:rPr>
                <w:rFonts w:ascii="微软雅黑" w:hAnsi="微软雅黑" w:eastAsia="微软雅黑" w:cs="微软雅黑"/>
                <w:sz w:val="22"/>
                <w:szCs w:val="22"/>
              </w:rPr>
            </w:pPr>
            <w:r>
              <w:rPr>
                <w:rFonts w:ascii="微软雅黑" w:hAnsi="微软雅黑" w:eastAsia="微软雅黑" w:cs="微软雅黑"/>
                <w:spacing w:val="-7"/>
                <w:sz w:val="22"/>
                <w:szCs w:val="22"/>
              </w:rPr>
              <w:t>&lt;15</w:t>
            </w:r>
          </w:p>
        </w:tc>
        <w:tc>
          <w:tcPr>
            <w:tcW w:w="1795" w:type="dxa"/>
            <w:vAlign w:val="top"/>
          </w:tcPr>
          <w:p>
            <w:pPr>
              <w:spacing w:before="233" w:line="195" w:lineRule="auto"/>
              <w:ind w:left="689"/>
              <w:rPr>
                <w:rFonts w:ascii="微软雅黑" w:hAnsi="微软雅黑" w:eastAsia="微软雅黑" w:cs="微软雅黑"/>
                <w:sz w:val="22"/>
                <w:szCs w:val="22"/>
              </w:rPr>
            </w:pPr>
            <w:r>
              <w:rPr>
                <w:rFonts w:ascii="微软雅黑" w:hAnsi="微软雅黑" w:eastAsia="微软雅黑" w:cs="微软雅黑"/>
                <w:spacing w:val="-4"/>
                <w:sz w:val="22"/>
                <w:szCs w:val="22"/>
              </w:rPr>
              <w:t>乙级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9" w:hRule="atLeast"/>
        </w:trPr>
        <w:tc>
          <w:tcPr>
            <w:tcW w:w="708" w:type="dxa"/>
            <w:vMerge w:val="restart"/>
            <w:tcBorders>
              <w:bottom w:val="nil"/>
            </w:tcBorders>
            <w:vAlign w:val="top"/>
          </w:tcPr>
          <w:p>
            <w:pPr>
              <w:spacing w:line="479" w:lineRule="auto"/>
              <w:rPr>
                <w:rFonts w:ascii="Arial"/>
                <w:sz w:val="21"/>
              </w:rPr>
            </w:pPr>
          </w:p>
          <w:p>
            <w:pPr>
              <w:spacing w:before="95" w:line="172" w:lineRule="auto"/>
              <w:ind w:left="296"/>
              <w:rPr>
                <w:rFonts w:ascii="微软雅黑" w:hAnsi="微软雅黑" w:eastAsia="微软雅黑" w:cs="微软雅黑"/>
                <w:sz w:val="22"/>
                <w:szCs w:val="22"/>
              </w:rPr>
            </w:pPr>
            <w:r>
              <w:rPr>
                <w:rFonts w:ascii="微软雅黑" w:hAnsi="微软雅黑" w:eastAsia="微软雅黑" w:cs="微软雅黑"/>
                <w:sz w:val="22"/>
                <w:szCs w:val="22"/>
              </w:rPr>
              <w:t>8</w:t>
            </w:r>
          </w:p>
        </w:tc>
        <w:tc>
          <w:tcPr>
            <w:tcW w:w="1276" w:type="dxa"/>
            <w:vMerge w:val="continue"/>
            <w:tcBorders>
              <w:top w:val="nil"/>
              <w:bottom w:val="nil"/>
            </w:tcBorders>
            <w:vAlign w:val="top"/>
          </w:tcPr>
          <w:p>
            <w:pPr>
              <w:rPr>
                <w:rFonts w:ascii="Arial"/>
                <w:sz w:val="21"/>
              </w:rPr>
            </w:pPr>
          </w:p>
        </w:tc>
        <w:tc>
          <w:tcPr>
            <w:tcW w:w="1985" w:type="dxa"/>
            <w:vMerge w:val="continue"/>
            <w:tcBorders>
              <w:top w:val="nil"/>
              <w:bottom w:val="nil"/>
            </w:tcBorders>
            <w:vAlign w:val="top"/>
          </w:tcPr>
          <w:p>
            <w:pPr>
              <w:rPr>
                <w:rFonts w:ascii="Arial"/>
                <w:sz w:val="21"/>
              </w:rPr>
            </w:pPr>
          </w:p>
        </w:tc>
        <w:tc>
          <w:tcPr>
            <w:tcW w:w="1842" w:type="dxa"/>
            <w:vMerge w:val="continue"/>
            <w:tcBorders>
              <w:top w:val="nil"/>
              <w:bottom w:val="nil"/>
            </w:tcBorders>
            <w:vAlign w:val="top"/>
          </w:tcPr>
          <w:p>
            <w:pPr>
              <w:rPr>
                <w:rFonts w:ascii="Arial"/>
                <w:sz w:val="21"/>
              </w:rPr>
            </w:pPr>
          </w:p>
        </w:tc>
        <w:tc>
          <w:tcPr>
            <w:tcW w:w="4309" w:type="dxa"/>
            <w:vMerge w:val="restart"/>
            <w:tcBorders>
              <w:bottom w:val="nil"/>
            </w:tcBorders>
            <w:vAlign w:val="top"/>
          </w:tcPr>
          <w:p>
            <w:pPr>
              <w:spacing w:line="470" w:lineRule="auto"/>
              <w:rPr>
                <w:rFonts w:ascii="Arial"/>
                <w:sz w:val="21"/>
              </w:rPr>
            </w:pPr>
          </w:p>
          <w:p>
            <w:pPr>
              <w:tabs>
                <w:tab w:val="left" w:pos="409"/>
              </w:tabs>
              <w:spacing w:before="94" w:line="194" w:lineRule="auto"/>
              <w:ind w:left="12"/>
              <w:rPr>
                <w:rFonts w:ascii="微软雅黑" w:hAnsi="微软雅黑" w:eastAsia="微软雅黑" w:cs="微软雅黑"/>
                <w:sz w:val="22"/>
                <w:szCs w:val="22"/>
              </w:rPr>
            </w:pPr>
            <w:r>
              <w:rPr>
                <w:rFonts w:ascii="微软雅黑" w:hAnsi="微软雅黑" w:eastAsia="微软雅黑" w:cs="微软雅黑"/>
                <w:sz w:val="22"/>
                <w:szCs w:val="22"/>
                <w:u w:val="single" w:color="auto"/>
              </w:rPr>
              <w:tab/>
            </w:r>
            <w:r>
              <w:rPr>
                <w:rFonts w:ascii="微软雅黑" w:hAnsi="微软雅黑" w:eastAsia="微软雅黑" w:cs="微软雅黑"/>
                <w:spacing w:val="-1"/>
                <w:sz w:val="22"/>
                <w:szCs w:val="22"/>
              </w:rPr>
              <w:t>万吨/日的污水处理工程</w:t>
            </w:r>
          </w:p>
        </w:tc>
        <w:tc>
          <w:tcPr>
            <w:tcW w:w="1131" w:type="dxa"/>
            <w:vMerge w:val="restart"/>
            <w:tcBorders>
              <w:bottom w:val="nil"/>
            </w:tcBorders>
            <w:vAlign w:val="top"/>
          </w:tcPr>
          <w:p>
            <w:pPr>
              <w:spacing w:line="469" w:lineRule="auto"/>
              <w:rPr>
                <w:rFonts w:ascii="Arial"/>
                <w:sz w:val="21"/>
              </w:rPr>
            </w:pPr>
          </w:p>
          <w:p>
            <w:pPr>
              <w:spacing w:before="94" w:line="194" w:lineRule="auto"/>
              <w:ind w:left="344"/>
              <w:rPr>
                <w:rFonts w:ascii="微软雅黑" w:hAnsi="微软雅黑" w:eastAsia="微软雅黑" w:cs="微软雅黑"/>
                <w:sz w:val="22"/>
                <w:szCs w:val="22"/>
              </w:rPr>
            </w:pPr>
            <w:r>
              <w:rPr>
                <w:rFonts w:ascii="微软雅黑" w:hAnsi="微软雅黑" w:eastAsia="微软雅黑" w:cs="微软雅黑"/>
                <w:spacing w:val="-1"/>
                <w:sz w:val="22"/>
                <w:szCs w:val="22"/>
              </w:rPr>
              <w:t>数值</w:t>
            </w:r>
          </w:p>
        </w:tc>
        <w:tc>
          <w:tcPr>
            <w:tcW w:w="909" w:type="dxa"/>
            <w:vAlign w:val="top"/>
          </w:tcPr>
          <w:p>
            <w:pPr>
              <w:spacing w:before="236" w:line="212" w:lineRule="auto"/>
              <w:ind w:left="269"/>
              <w:rPr>
                <w:rFonts w:ascii="微软雅黑" w:hAnsi="微软雅黑" w:eastAsia="微软雅黑" w:cs="微软雅黑"/>
                <w:sz w:val="22"/>
                <w:szCs w:val="22"/>
              </w:rPr>
            </w:pPr>
            <w:r>
              <w:rPr>
                <w:rFonts w:ascii="微软雅黑" w:hAnsi="微软雅黑" w:eastAsia="微软雅黑" w:cs="微软雅黑"/>
                <w:spacing w:val="-9"/>
                <w:sz w:val="22"/>
                <w:szCs w:val="22"/>
              </w:rPr>
              <w:t>≥10</w:t>
            </w:r>
          </w:p>
        </w:tc>
        <w:tc>
          <w:tcPr>
            <w:tcW w:w="1795" w:type="dxa"/>
            <w:vAlign w:val="top"/>
          </w:tcPr>
          <w:p>
            <w:pPr>
              <w:spacing w:before="236" w:line="195" w:lineRule="auto"/>
              <w:ind w:left="699"/>
              <w:rPr>
                <w:rFonts w:ascii="微软雅黑" w:hAnsi="微软雅黑" w:eastAsia="微软雅黑" w:cs="微软雅黑"/>
                <w:sz w:val="22"/>
                <w:szCs w:val="22"/>
              </w:rPr>
            </w:pPr>
            <w:r>
              <w:rPr>
                <w:rFonts w:ascii="微软雅黑" w:hAnsi="微软雅黑" w:eastAsia="微软雅黑" w:cs="微软雅黑"/>
                <w:spacing w:val="-6"/>
                <w:sz w:val="22"/>
                <w:szCs w:val="22"/>
              </w:rPr>
              <w:t>甲级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9" w:hRule="atLeast"/>
        </w:trPr>
        <w:tc>
          <w:tcPr>
            <w:tcW w:w="708" w:type="dxa"/>
            <w:vMerge w:val="continue"/>
            <w:tcBorders>
              <w:top w:val="nil"/>
            </w:tcBorders>
            <w:vAlign w:val="top"/>
          </w:tcPr>
          <w:p>
            <w:pPr>
              <w:rPr>
                <w:rFonts w:ascii="Arial"/>
                <w:sz w:val="21"/>
              </w:rPr>
            </w:pPr>
          </w:p>
        </w:tc>
        <w:tc>
          <w:tcPr>
            <w:tcW w:w="1276" w:type="dxa"/>
            <w:vMerge w:val="continue"/>
            <w:tcBorders>
              <w:top w:val="nil"/>
              <w:bottom w:val="nil"/>
            </w:tcBorders>
            <w:vAlign w:val="top"/>
          </w:tcPr>
          <w:p>
            <w:pPr>
              <w:rPr>
                <w:rFonts w:ascii="Arial"/>
                <w:sz w:val="21"/>
              </w:rPr>
            </w:pPr>
          </w:p>
        </w:tc>
        <w:tc>
          <w:tcPr>
            <w:tcW w:w="1985" w:type="dxa"/>
            <w:vMerge w:val="continue"/>
            <w:tcBorders>
              <w:top w:val="nil"/>
              <w:bottom w:val="nil"/>
            </w:tcBorders>
            <w:vAlign w:val="top"/>
          </w:tcPr>
          <w:p>
            <w:pPr>
              <w:rPr>
                <w:rFonts w:ascii="Arial"/>
                <w:sz w:val="21"/>
              </w:rPr>
            </w:pPr>
          </w:p>
        </w:tc>
        <w:tc>
          <w:tcPr>
            <w:tcW w:w="1842" w:type="dxa"/>
            <w:vMerge w:val="continue"/>
            <w:tcBorders>
              <w:top w:val="nil"/>
              <w:bottom w:val="nil"/>
            </w:tcBorders>
            <w:vAlign w:val="top"/>
          </w:tcPr>
          <w:p>
            <w:pPr>
              <w:rPr>
                <w:rFonts w:ascii="Arial"/>
                <w:sz w:val="21"/>
              </w:rPr>
            </w:pPr>
          </w:p>
        </w:tc>
        <w:tc>
          <w:tcPr>
            <w:tcW w:w="4309" w:type="dxa"/>
            <w:vMerge w:val="continue"/>
            <w:tcBorders>
              <w:top w:val="nil"/>
            </w:tcBorders>
            <w:vAlign w:val="top"/>
          </w:tcPr>
          <w:p>
            <w:pPr>
              <w:rPr>
                <w:rFonts w:ascii="Arial"/>
                <w:sz w:val="21"/>
              </w:rPr>
            </w:pPr>
          </w:p>
        </w:tc>
        <w:tc>
          <w:tcPr>
            <w:tcW w:w="1131" w:type="dxa"/>
            <w:vMerge w:val="continue"/>
            <w:tcBorders>
              <w:top w:val="nil"/>
            </w:tcBorders>
            <w:vAlign w:val="top"/>
          </w:tcPr>
          <w:p>
            <w:pPr>
              <w:rPr>
                <w:rFonts w:ascii="Arial"/>
                <w:sz w:val="21"/>
              </w:rPr>
            </w:pPr>
          </w:p>
        </w:tc>
        <w:tc>
          <w:tcPr>
            <w:tcW w:w="909" w:type="dxa"/>
            <w:vAlign w:val="top"/>
          </w:tcPr>
          <w:p>
            <w:pPr>
              <w:spacing w:before="242" w:line="173" w:lineRule="auto"/>
              <w:ind w:left="273"/>
              <w:rPr>
                <w:rFonts w:ascii="微软雅黑" w:hAnsi="微软雅黑" w:eastAsia="微软雅黑" w:cs="微软雅黑"/>
                <w:sz w:val="22"/>
                <w:szCs w:val="22"/>
              </w:rPr>
            </w:pPr>
            <w:r>
              <w:rPr>
                <w:rFonts w:ascii="微软雅黑" w:hAnsi="微软雅黑" w:eastAsia="微软雅黑" w:cs="微软雅黑"/>
                <w:spacing w:val="-7"/>
                <w:sz w:val="22"/>
                <w:szCs w:val="22"/>
              </w:rPr>
              <w:t>&lt;10</w:t>
            </w:r>
          </w:p>
        </w:tc>
        <w:tc>
          <w:tcPr>
            <w:tcW w:w="1795" w:type="dxa"/>
            <w:vAlign w:val="top"/>
          </w:tcPr>
          <w:p>
            <w:pPr>
              <w:spacing w:before="235" w:line="195" w:lineRule="auto"/>
              <w:ind w:left="689"/>
              <w:rPr>
                <w:rFonts w:ascii="微软雅黑" w:hAnsi="微软雅黑" w:eastAsia="微软雅黑" w:cs="微软雅黑"/>
                <w:sz w:val="22"/>
                <w:szCs w:val="22"/>
              </w:rPr>
            </w:pPr>
            <w:r>
              <w:rPr>
                <w:rFonts w:ascii="微软雅黑" w:hAnsi="微软雅黑" w:eastAsia="微软雅黑" w:cs="微软雅黑"/>
                <w:spacing w:val="-4"/>
                <w:sz w:val="22"/>
                <w:szCs w:val="22"/>
              </w:rPr>
              <w:t>乙级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8" w:hRule="atLeast"/>
        </w:trPr>
        <w:tc>
          <w:tcPr>
            <w:tcW w:w="708" w:type="dxa"/>
            <w:vMerge w:val="restart"/>
            <w:tcBorders>
              <w:bottom w:val="nil"/>
            </w:tcBorders>
            <w:vAlign w:val="top"/>
          </w:tcPr>
          <w:p>
            <w:pPr>
              <w:spacing w:line="479" w:lineRule="auto"/>
              <w:rPr>
                <w:rFonts w:ascii="Arial"/>
                <w:sz w:val="21"/>
              </w:rPr>
            </w:pPr>
          </w:p>
          <w:p>
            <w:pPr>
              <w:spacing w:before="95" w:line="172" w:lineRule="auto"/>
              <w:ind w:left="296"/>
              <w:rPr>
                <w:rFonts w:ascii="微软雅黑" w:hAnsi="微软雅黑" w:eastAsia="微软雅黑" w:cs="微软雅黑"/>
                <w:sz w:val="22"/>
                <w:szCs w:val="22"/>
              </w:rPr>
            </w:pPr>
            <w:r>
              <w:rPr>
                <w:rFonts w:ascii="微软雅黑" w:hAnsi="微软雅黑" w:eastAsia="微软雅黑" w:cs="微软雅黑"/>
                <w:sz w:val="22"/>
                <w:szCs w:val="22"/>
              </w:rPr>
              <w:t>9</w:t>
            </w:r>
          </w:p>
        </w:tc>
        <w:tc>
          <w:tcPr>
            <w:tcW w:w="1276" w:type="dxa"/>
            <w:vMerge w:val="continue"/>
            <w:tcBorders>
              <w:top w:val="nil"/>
              <w:bottom w:val="nil"/>
            </w:tcBorders>
            <w:vAlign w:val="top"/>
          </w:tcPr>
          <w:p>
            <w:pPr>
              <w:rPr>
                <w:rFonts w:ascii="Arial"/>
                <w:sz w:val="21"/>
              </w:rPr>
            </w:pPr>
          </w:p>
        </w:tc>
        <w:tc>
          <w:tcPr>
            <w:tcW w:w="1985" w:type="dxa"/>
            <w:vMerge w:val="continue"/>
            <w:tcBorders>
              <w:top w:val="nil"/>
              <w:bottom w:val="nil"/>
            </w:tcBorders>
            <w:vAlign w:val="top"/>
          </w:tcPr>
          <w:p>
            <w:pPr>
              <w:rPr>
                <w:rFonts w:ascii="Arial"/>
                <w:sz w:val="21"/>
              </w:rPr>
            </w:pPr>
          </w:p>
        </w:tc>
        <w:tc>
          <w:tcPr>
            <w:tcW w:w="1842" w:type="dxa"/>
            <w:vMerge w:val="continue"/>
            <w:tcBorders>
              <w:top w:val="nil"/>
              <w:bottom w:val="nil"/>
            </w:tcBorders>
            <w:vAlign w:val="top"/>
          </w:tcPr>
          <w:p>
            <w:pPr>
              <w:rPr>
                <w:rFonts w:ascii="Arial"/>
                <w:sz w:val="21"/>
              </w:rPr>
            </w:pPr>
          </w:p>
        </w:tc>
        <w:tc>
          <w:tcPr>
            <w:tcW w:w="4309" w:type="dxa"/>
            <w:vMerge w:val="restart"/>
            <w:tcBorders>
              <w:bottom w:val="nil"/>
            </w:tcBorders>
            <w:vAlign w:val="top"/>
          </w:tcPr>
          <w:p>
            <w:pPr>
              <w:spacing w:line="470" w:lineRule="auto"/>
              <w:rPr>
                <w:rFonts w:ascii="Arial"/>
                <w:sz w:val="21"/>
              </w:rPr>
            </w:pPr>
          </w:p>
          <w:p>
            <w:pPr>
              <w:tabs>
                <w:tab w:val="left" w:pos="409"/>
              </w:tabs>
              <w:spacing w:before="94" w:line="195" w:lineRule="auto"/>
              <w:ind w:left="12"/>
              <w:rPr>
                <w:rFonts w:ascii="微软雅黑" w:hAnsi="微软雅黑" w:eastAsia="微软雅黑" w:cs="微软雅黑"/>
                <w:sz w:val="22"/>
                <w:szCs w:val="22"/>
              </w:rPr>
            </w:pPr>
            <w:r>
              <w:rPr>
                <w:rFonts w:ascii="微软雅黑" w:hAnsi="微软雅黑" w:eastAsia="微软雅黑" w:cs="微软雅黑"/>
                <w:sz w:val="22"/>
                <w:szCs w:val="22"/>
                <w:u w:val="single" w:color="auto"/>
              </w:rPr>
              <w:tab/>
            </w:r>
            <w:r>
              <w:rPr>
                <w:rFonts w:ascii="微软雅黑" w:hAnsi="微软雅黑" w:eastAsia="微软雅黑" w:cs="微软雅黑"/>
                <w:sz w:val="22"/>
                <w:szCs w:val="22"/>
              </w:rPr>
              <w:t>万吨/日的给水泵站</w:t>
            </w:r>
          </w:p>
        </w:tc>
        <w:tc>
          <w:tcPr>
            <w:tcW w:w="1131" w:type="dxa"/>
            <w:vMerge w:val="restart"/>
            <w:tcBorders>
              <w:bottom w:val="nil"/>
            </w:tcBorders>
            <w:vAlign w:val="top"/>
          </w:tcPr>
          <w:p>
            <w:pPr>
              <w:spacing w:line="469" w:lineRule="auto"/>
              <w:rPr>
                <w:rFonts w:ascii="Arial"/>
                <w:sz w:val="21"/>
              </w:rPr>
            </w:pPr>
          </w:p>
          <w:p>
            <w:pPr>
              <w:spacing w:before="94" w:line="194" w:lineRule="auto"/>
              <w:ind w:left="344"/>
              <w:rPr>
                <w:rFonts w:ascii="微软雅黑" w:hAnsi="微软雅黑" w:eastAsia="微软雅黑" w:cs="微软雅黑"/>
                <w:sz w:val="22"/>
                <w:szCs w:val="22"/>
              </w:rPr>
            </w:pPr>
            <w:r>
              <w:rPr>
                <w:rFonts w:ascii="微软雅黑" w:hAnsi="微软雅黑" w:eastAsia="微软雅黑" w:cs="微软雅黑"/>
                <w:spacing w:val="-1"/>
                <w:sz w:val="22"/>
                <w:szCs w:val="22"/>
              </w:rPr>
              <w:t>数值</w:t>
            </w:r>
          </w:p>
        </w:tc>
        <w:tc>
          <w:tcPr>
            <w:tcW w:w="909" w:type="dxa"/>
            <w:vAlign w:val="top"/>
          </w:tcPr>
          <w:p>
            <w:pPr>
              <w:spacing w:before="236" w:line="212" w:lineRule="auto"/>
              <w:ind w:left="269"/>
              <w:rPr>
                <w:rFonts w:ascii="微软雅黑" w:hAnsi="微软雅黑" w:eastAsia="微软雅黑" w:cs="微软雅黑"/>
                <w:sz w:val="22"/>
                <w:szCs w:val="22"/>
              </w:rPr>
            </w:pPr>
            <w:r>
              <w:rPr>
                <w:rFonts w:ascii="微软雅黑" w:hAnsi="微软雅黑" w:eastAsia="微软雅黑" w:cs="微软雅黑"/>
                <w:spacing w:val="-9"/>
                <w:sz w:val="22"/>
                <w:szCs w:val="22"/>
              </w:rPr>
              <w:t>≥25</w:t>
            </w:r>
          </w:p>
        </w:tc>
        <w:tc>
          <w:tcPr>
            <w:tcW w:w="1795" w:type="dxa"/>
            <w:vAlign w:val="top"/>
          </w:tcPr>
          <w:p>
            <w:pPr>
              <w:spacing w:before="236" w:line="195" w:lineRule="auto"/>
              <w:ind w:left="699"/>
              <w:rPr>
                <w:rFonts w:ascii="微软雅黑" w:hAnsi="微软雅黑" w:eastAsia="微软雅黑" w:cs="微软雅黑"/>
                <w:sz w:val="22"/>
                <w:szCs w:val="22"/>
              </w:rPr>
            </w:pPr>
            <w:r>
              <w:rPr>
                <w:rFonts w:ascii="微软雅黑" w:hAnsi="微软雅黑" w:eastAsia="微软雅黑" w:cs="微软雅黑"/>
                <w:spacing w:val="-6"/>
                <w:sz w:val="22"/>
                <w:szCs w:val="22"/>
              </w:rPr>
              <w:t>甲级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64" w:hRule="atLeast"/>
        </w:trPr>
        <w:tc>
          <w:tcPr>
            <w:tcW w:w="708" w:type="dxa"/>
            <w:vMerge w:val="continue"/>
            <w:tcBorders>
              <w:top w:val="nil"/>
            </w:tcBorders>
            <w:vAlign w:val="top"/>
          </w:tcPr>
          <w:p>
            <w:pPr>
              <w:rPr>
                <w:rFonts w:ascii="Arial"/>
                <w:sz w:val="21"/>
              </w:rPr>
            </w:pPr>
          </w:p>
        </w:tc>
        <w:tc>
          <w:tcPr>
            <w:tcW w:w="1276" w:type="dxa"/>
            <w:vMerge w:val="continue"/>
            <w:tcBorders>
              <w:top w:val="nil"/>
            </w:tcBorders>
            <w:vAlign w:val="top"/>
          </w:tcPr>
          <w:p>
            <w:pPr>
              <w:rPr>
                <w:rFonts w:ascii="Arial"/>
                <w:sz w:val="21"/>
              </w:rPr>
            </w:pPr>
          </w:p>
        </w:tc>
        <w:tc>
          <w:tcPr>
            <w:tcW w:w="1985" w:type="dxa"/>
            <w:vMerge w:val="continue"/>
            <w:tcBorders>
              <w:top w:val="nil"/>
            </w:tcBorders>
            <w:vAlign w:val="top"/>
          </w:tcPr>
          <w:p>
            <w:pPr>
              <w:rPr>
                <w:rFonts w:ascii="Arial"/>
                <w:sz w:val="21"/>
              </w:rPr>
            </w:pPr>
          </w:p>
        </w:tc>
        <w:tc>
          <w:tcPr>
            <w:tcW w:w="1842" w:type="dxa"/>
            <w:vMerge w:val="continue"/>
            <w:tcBorders>
              <w:top w:val="nil"/>
            </w:tcBorders>
            <w:vAlign w:val="top"/>
          </w:tcPr>
          <w:p>
            <w:pPr>
              <w:rPr>
                <w:rFonts w:ascii="Arial"/>
                <w:sz w:val="21"/>
              </w:rPr>
            </w:pPr>
          </w:p>
        </w:tc>
        <w:tc>
          <w:tcPr>
            <w:tcW w:w="4309" w:type="dxa"/>
            <w:vMerge w:val="continue"/>
            <w:tcBorders>
              <w:top w:val="nil"/>
            </w:tcBorders>
            <w:vAlign w:val="top"/>
          </w:tcPr>
          <w:p>
            <w:pPr>
              <w:rPr>
                <w:rFonts w:ascii="Arial"/>
                <w:sz w:val="21"/>
              </w:rPr>
            </w:pPr>
          </w:p>
        </w:tc>
        <w:tc>
          <w:tcPr>
            <w:tcW w:w="1131" w:type="dxa"/>
            <w:vMerge w:val="continue"/>
            <w:tcBorders>
              <w:top w:val="nil"/>
            </w:tcBorders>
            <w:vAlign w:val="top"/>
          </w:tcPr>
          <w:p>
            <w:pPr>
              <w:rPr>
                <w:rFonts w:ascii="Arial"/>
                <w:sz w:val="21"/>
              </w:rPr>
            </w:pPr>
          </w:p>
        </w:tc>
        <w:tc>
          <w:tcPr>
            <w:tcW w:w="909" w:type="dxa"/>
            <w:vAlign w:val="top"/>
          </w:tcPr>
          <w:p>
            <w:pPr>
              <w:spacing w:before="247" w:line="172" w:lineRule="auto"/>
              <w:ind w:left="273"/>
              <w:rPr>
                <w:rFonts w:ascii="微软雅黑" w:hAnsi="微软雅黑" w:eastAsia="微软雅黑" w:cs="微软雅黑"/>
                <w:sz w:val="22"/>
                <w:szCs w:val="22"/>
              </w:rPr>
            </w:pPr>
            <w:r>
              <w:rPr>
                <w:rFonts w:ascii="微软雅黑" w:hAnsi="微软雅黑" w:eastAsia="微软雅黑" w:cs="微软雅黑"/>
                <w:spacing w:val="-7"/>
                <w:sz w:val="22"/>
                <w:szCs w:val="22"/>
              </w:rPr>
              <w:t>&lt;25</w:t>
            </w:r>
          </w:p>
        </w:tc>
        <w:tc>
          <w:tcPr>
            <w:tcW w:w="1795" w:type="dxa"/>
            <w:vAlign w:val="top"/>
          </w:tcPr>
          <w:p>
            <w:pPr>
              <w:spacing w:before="238" w:line="195" w:lineRule="auto"/>
              <w:ind w:left="689"/>
              <w:rPr>
                <w:rFonts w:ascii="微软雅黑" w:hAnsi="微软雅黑" w:eastAsia="微软雅黑" w:cs="微软雅黑"/>
                <w:sz w:val="22"/>
                <w:szCs w:val="22"/>
              </w:rPr>
            </w:pPr>
            <w:r>
              <w:rPr>
                <w:rFonts w:ascii="微软雅黑" w:hAnsi="微软雅黑" w:eastAsia="微软雅黑" w:cs="微软雅黑"/>
                <w:spacing w:val="-4"/>
                <w:sz w:val="22"/>
                <w:szCs w:val="22"/>
              </w:rPr>
              <w:t>乙级</w:t>
            </w:r>
          </w:p>
        </w:tc>
      </w:tr>
    </w:tbl>
    <w:p>
      <w:pPr>
        <w:pStyle w:val="16"/>
        <w:spacing w:line="270" w:lineRule="auto"/>
      </w:pPr>
    </w:p>
    <w:p>
      <w:pPr>
        <w:pStyle w:val="16"/>
        <w:spacing w:line="270" w:lineRule="auto"/>
      </w:pPr>
    </w:p>
    <w:p>
      <w:pPr>
        <w:pStyle w:val="16"/>
        <w:spacing w:line="270" w:lineRule="auto"/>
      </w:pPr>
    </w:p>
    <w:p>
      <w:pPr>
        <w:pStyle w:val="16"/>
        <w:spacing w:line="271" w:lineRule="auto"/>
      </w:pPr>
    </w:p>
    <w:p>
      <w:pPr>
        <w:pStyle w:val="16"/>
        <w:spacing w:before="69" w:line="327" w:lineRule="exact"/>
        <w:ind w:left="4057"/>
        <w:rPr>
          <w:sz w:val="24"/>
          <w:szCs w:val="24"/>
        </w:rPr>
      </w:pPr>
      <w:r>
        <w:rPr>
          <w:spacing w:val="-4"/>
          <w:position w:val="1"/>
          <w:sz w:val="24"/>
          <w:szCs w:val="24"/>
        </w:rPr>
        <w:t>33 /</w:t>
      </w:r>
      <w:r>
        <w:rPr>
          <w:spacing w:val="26"/>
          <w:position w:val="1"/>
          <w:sz w:val="24"/>
          <w:szCs w:val="24"/>
        </w:rPr>
        <w:t xml:space="preserve"> </w:t>
      </w:r>
      <w:r>
        <w:rPr>
          <w:spacing w:val="-4"/>
          <w:position w:val="1"/>
          <w:sz w:val="24"/>
          <w:szCs w:val="24"/>
        </w:rPr>
        <w:t>165</w:t>
      </w:r>
    </w:p>
    <w:p>
      <w:pPr>
        <w:spacing w:line="327" w:lineRule="exact"/>
        <w:rPr>
          <w:sz w:val="24"/>
          <w:szCs w:val="24"/>
        </w:rPr>
        <w:sectPr>
          <w:pgSz w:w="16839" w:h="11907"/>
          <w:pgMar w:top="400" w:right="1438" w:bottom="400" w:left="995" w:header="0" w:footer="0" w:gutter="0"/>
          <w:cols w:space="720" w:num="1"/>
        </w:sectPr>
      </w:pPr>
    </w:p>
    <w:p>
      <w:pPr>
        <w:spacing w:before="39"/>
      </w:pPr>
      <w:r>
        <mc:AlternateContent>
          <mc:Choice Requires="wps">
            <w:drawing>
              <wp:anchor distT="0" distB="0" distL="114300" distR="114300" simplePos="0" relativeHeight="251667456" behindDoc="0" locked="0" layoutInCell="0" allowOverlap="1">
                <wp:simplePos x="0" y="0"/>
                <wp:positionH relativeFrom="page">
                  <wp:posOffset>631825</wp:posOffset>
                </wp:positionH>
                <wp:positionV relativeFrom="page">
                  <wp:posOffset>6922135</wp:posOffset>
                </wp:positionV>
                <wp:extent cx="6292850" cy="6350"/>
                <wp:effectExtent l="0" t="0" r="0" b="0"/>
                <wp:wrapNone/>
                <wp:docPr id="20" name="任意多边形 20"/>
                <wp:cNvGraphicFramePr/>
                <a:graphic xmlns:a="http://schemas.openxmlformats.org/drawingml/2006/main">
                  <a:graphicData uri="http://schemas.microsoft.com/office/word/2010/wordprocessingShape">
                    <wps:wsp>
                      <wps:cNvSpPr/>
                      <wps:spPr>
                        <a:xfrm>
                          <a:off x="0" y="0"/>
                          <a:ext cx="6292850" cy="6350"/>
                        </a:xfrm>
                        <a:custGeom>
                          <a:avLst/>
                          <a:gdLst/>
                          <a:ahLst/>
                          <a:cxnLst/>
                          <a:pathLst>
                            <a:path w="9910" h="10">
                              <a:moveTo>
                                <a:pt x="5" y="5"/>
                              </a:moveTo>
                              <a:lnTo>
                                <a:pt x="4955" y="5"/>
                              </a:lnTo>
                              <a:moveTo>
                                <a:pt x="4955" y="5"/>
                              </a:moveTo>
                              <a:lnTo>
                                <a:pt x="9905" y="5"/>
                              </a:lnTo>
                            </a:path>
                          </a:pathLst>
                        </a:custGeom>
                        <a:noFill/>
                        <a:ln w="6350" cap="sq" cmpd="sng">
                          <a:solidFill>
                            <a:srgbClr val="000000"/>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49.75pt;margin-top:545.05pt;height:0.5pt;width:495.5pt;mso-position-horizontal-relative:page;mso-position-vertical-relative:page;z-index:251667456;mso-width-relative:page;mso-height-relative:page;" filled="f" stroked="t" coordsize="9910,10" o:allowincell="f" o:gfxdata="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WAAAAZHJzL1BL&#10;AQIUABQAAAAIAIdO4kDujIKO2gAAAA0BAAAPAAAAAAAAAAEAIAAAADgAAABkcnMvZG93bnJldi54&#10;bWxQSwECFAAUAAAACACHTuJAWbTzvFQCAAD2BAAADgAAAAAAAAABACAAAAA/AQAAZHJzL2Uyb0Rv&#10;Yy54bWxQSwUGAAAAAAYABgBZAQAABQYAAAAA&#10;" path="m5,5l4955,5m4955,5l9905,5e">
                <v:fill on="f" focussize="0,0"/>
                <v:stroke weight="0.5pt" color="#000000" miterlimit="10" joinstyle="miter" endcap="square"/>
                <v:imagedata o:title=""/>
                <o:lock v:ext="edit" aspectratio="f"/>
              </v:shape>
            </w:pict>
          </mc:Fallback>
        </mc:AlternateContent>
      </w:r>
    </w:p>
    <w:p>
      <w:pPr>
        <w:spacing w:before="39"/>
      </w:pPr>
    </w:p>
    <w:p>
      <w:pPr>
        <w:spacing w:before="39"/>
      </w:pPr>
    </w:p>
    <w:p>
      <w:pPr>
        <w:spacing w:before="38"/>
      </w:pPr>
    </w:p>
    <w:p>
      <w:pPr>
        <w:spacing w:before="38"/>
      </w:pPr>
    </w:p>
    <w:tbl>
      <w:tblPr>
        <w:tblStyle w:val="96"/>
        <w:tblW w:w="13955" w:type="dxa"/>
        <w:tblInd w:w="44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8"/>
        <w:gridCol w:w="1276"/>
        <w:gridCol w:w="1985"/>
        <w:gridCol w:w="1842"/>
        <w:gridCol w:w="4309"/>
        <w:gridCol w:w="1131"/>
        <w:gridCol w:w="909"/>
        <w:gridCol w:w="17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64" w:hRule="atLeast"/>
        </w:trPr>
        <w:tc>
          <w:tcPr>
            <w:tcW w:w="708" w:type="dxa"/>
            <w:vAlign w:val="top"/>
          </w:tcPr>
          <w:p>
            <w:pPr>
              <w:spacing w:before="243" w:line="173" w:lineRule="auto"/>
              <w:ind w:left="243"/>
              <w:rPr>
                <w:rFonts w:ascii="微软雅黑" w:hAnsi="微软雅黑" w:eastAsia="微软雅黑" w:cs="微软雅黑"/>
                <w:sz w:val="22"/>
                <w:szCs w:val="22"/>
              </w:rPr>
            </w:pPr>
            <w:r>
              <w:rPr>
                <w:rFonts w:ascii="微软雅黑" w:hAnsi="微软雅黑" w:eastAsia="微软雅黑" w:cs="微软雅黑"/>
                <w:spacing w:val="-6"/>
                <w:sz w:val="22"/>
                <w:szCs w:val="22"/>
              </w:rPr>
              <w:t>10</w:t>
            </w:r>
          </w:p>
        </w:tc>
        <w:tc>
          <w:tcPr>
            <w:tcW w:w="1276" w:type="dxa"/>
            <w:vMerge w:val="restart"/>
            <w:tcBorders>
              <w:bottom w:val="nil"/>
            </w:tcBorders>
            <w:vAlign w:val="top"/>
          </w:tcPr>
          <w:p>
            <w:pPr>
              <w:rPr>
                <w:rFonts w:ascii="Arial"/>
                <w:sz w:val="21"/>
              </w:rPr>
            </w:pPr>
          </w:p>
        </w:tc>
        <w:tc>
          <w:tcPr>
            <w:tcW w:w="1985" w:type="dxa"/>
            <w:vMerge w:val="restart"/>
            <w:tcBorders>
              <w:bottom w:val="nil"/>
            </w:tcBorders>
            <w:vAlign w:val="top"/>
          </w:tcPr>
          <w:p>
            <w:pPr>
              <w:rPr>
                <w:rFonts w:ascii="Arial"/>
                <w:sz w:val="21"/>
              </w:rPr>
            </w:pPr>
          </w:p>
        </w:tc>
        <w:tc>
          <w:tcPr>
            <w:tcW w:w="1842" w:type="dxa"/>
            <w:vMerge w:val="restart"/>
            <w:tcBorders>
              <w:bottom w:val="nil"/>
            </w:tcBorders>
            <w:vAlign w:val="top"/>
          </w:tcPr>
          <w:p>
            <w:pPr>
              <w:rPr>
                <w:rFonts w:ascii="Arial"/>
                <w:sz w:val="21"/>
              </w:rPr>
            </w:pPr>
          </w:p>
        </w:tc>
        <w:tc>
          <w:tcPr>
            <w:tcW w:w="4309" w:type="dxa"/>
            <w:vAlign w:val="top"/>
          </w:tcPr>
          <w:p>
            <w:pPr>
              <w:spacing w:before="236" w:line="194" w:lineRule="auto"/>
              <w:ind w:left="13"/>
              <w:rPr>
                <w:rFonts w:ascii="微软雅黑" w:hAnsi="微软雅黑" w:eastAsia="微软雅黑" w:cs="微软雅黑"/>
                <w:sz w:val="22"/>
                <w:szCs w:val="22"/>
              </w:rPr>
            </w:pPr>
            <w:r>
              <w:rPr>
                <w:rFonts w:ascii="微软雅黑" w:hAnsi="微软雅黑" w:eastAsia="微软雅黑" w:cs="微软雅黑"/>
                <w:sz w:val="22"/>
                <w:szCs w:val="22"/>
              </w:rPr>
              <w:t>各类给排水及中水管道工程</w:t>
            </w:r>
          </w:p>
        </w:tc>
        <w:tc>
          <w:tcPr>
            <w:tcW w:w="1131" w:type="dxa"/>
            <w:vAlign w:val="top"/>
          </w:tcPr>
          <w:p>
            <w:pPr>
              <w:spacing w:before="236" w:line="194" w:lineRule="auto"/>
              <w:ind w:left="16"/>
              <w:rPr>
                <w:rFonts w:ascii="微软雅黑" w:hAnsi="微软雅黑" w:eastAsia="微软雅黑" w:cs="微软雅黑"/>
                <w:sz w:val="22"/>
                <w:szCs w:val="22"/>
              </w:rPr>
            </w:pPr>
            <w:r>
              <w:rPr>
                <w:rFonts w:ascii="微软雅黑" w:hAnsi="微软雅黑" w:eastAsia="微软雅黑" w:cs="微软雅黑"/>
                <w:sz w:val="22"/>
                <w:szCs w:val="22"/>
              </w:rPr>
              <w:t>符合性判断</w:t>
            </w:r>
          </w:p>
        </w:tc>
        <w:tc>
          <w:tcPr>
            <w:tcW w:w="909" w:type="dxa"/>
            <w:vAlign w:val="top"/>
          </w:tcPr>
          <w:p>
            <w:pPr>
              <w:spacing w:before="235" w:line="195" w:lineRule="auto"/>
              <w:ind w:left="237"/>
              <w:rPr>
                <w:rFonts w:ascii="微软雅黑" w:hAnsi="微软雅黑" w:eastAsia="微软雅黑" w:cs="微软雅黑"/>
                <w:sz w:val="22"/>
                <w:szCs w:val="22"/>
              </w:rPr>
            </w:pPr>
            <w:r>
              <w:rPr>
                <w:rFonts w:ascii="微软雅黑" w:hAnsi="微软雅黑" w:eastAsia="微软雅黑" w:cs="微软雅黑"/>
                <w:spacing w:val="-1"/>
                <w:sz w:val="22"/>
                <w:szCs w:val="22"/>
              </w:rPr>
              <w:t>符合</w:t>
            </w:r>
          </w:p>
        </w:tc>
        <w:tc>
          <w:tcPr>
            <w:tcW w:w="1795" w:type="dxa"/>
            <w:vAlign w:val="top"/>
          </w:tcPr>
          <w:p>
            <w:pPr>
              <w:spacing w:before="236" w:line="195" w:lineRule="auto"/>
              <w:ind w:left="689"/>
              <w:rPr>
                <w:rFonts w:ascii="微软雅黑" w:hAnsi="微软雅黑" w:eastAsia="微软雅黑" w:cs="微软雅黑"/>
                <w:sz w:val="22"/>
                <w:szCs w:val="22"/>
              </w:rPr>
            </w:pPr>
            <w:r>
              <w:rPr>
                <w:rFonts w:ascii="微软雅黑" w:hAnsi="微软雅黑" w:eastAsia="微软雅黑" w:cs="微软雅黑"/>
                <w:spacing w:val="-4"/>
                <w:sz w:val="22"/>
                <w:szCs w:val="22"/>
              </w:rPr>
              <w:t>乙级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7" w:hRule="atLeast"/>
        </w:trPr>
        <w:tc>
          <w:tcPr>
            <w:tcW w:w="708" w:type="dxa"/>
            <w:vMerge w:val="restart"/>
            <w:tcBorders>
              <w:bottom w:val="nil"/>
            </w:tcBorders>
            <w:vAlign w:val="top"/>
          </w:tcPr>
          <w:p>
            <w:pPr>
              <w:spacing w:line="473" w:lineRule="auto"/>
              <w:rPr>
                <w:rFonts w:ascii="Arial"/>
                <w:sz w:val="21"/>
              </w:rPr>
            </w:pPr>
          </w:p>
          <w:p>
            <w:pPr>
              <w:spacing w:before="95" w:line="173" w:lineRule="auto"/>
              <w:ind w:left="243"/>
              <w:rPr>
                <w:rFonts w:ascii="微软雅黑" w:hAnsi="微软雅黑" w:eastAsia="微软雅黑" w:cs="微软雅黑"/>
                <w:sz w:val="22"/>
                <w:szCs w:val="22"/>
              </w:rPr>
            </w:pPr>
            <w:r>
              <w:rPr>
                <w:rFonts w:ascii="微软雅黑" w:hAnsi="微软雅黑" w:eastAsia="微软雅黑" w:cs="微软雅黑"/>
                <w:spacing w:val="-6"/>
                <w:sz w:val="22"/>
                <w:szCs w:val="22"/>
              </w:rPr>
              <w:t>11</w:t>
            </w:r>
          </w:p>
        </w:tc>
        <w:tc>
          <w:tcPr>
            <w:tcW w:w="1276" w:type="dxa"/>
            <w:vMerge w:val="continue"/>
            <w:tcBorders>
              <w:top w:val="nil"/>
              <w:bottom w:val="nil"/>
            </w:tcBorders>
            <w:vAlign w:val="top"/>
          </w:tcPr>
          <w:p>
            <w:pPr>
              <w:rPr>
                <w:rFonts w:ascii="Arial"/>
                <w:sz w:val="21"/>
              </w:rPr>
            </w:pPr>
          </w:p>
        </w:tc>
        <w:tc>
          <w:tcPr>
            <w:tcW w:w="1985" w:type="dxa"/>
            <w:vMerge w:val="continue"/>
            <w:tcBorders>
              <w:top w:val="nil"/>
              <w:bottom w:val="nil"/>
            </w:tcBorders>
            <w:vAlign w:val="top"/>
          </w:tcPr>
          <w:p>
            <w:pPr>
              <w:rPr>
                <w:rFonts w:ascii="Arial"/>
                <w:sz w:val="21"/>
              </w:rPr>
            </w:pPr>
          </w:p>
        </w:tc>
        <w:tc>
          <w:tcPr>
            <w:tcW w:w="1842" w:type="dxa"/>
            <w:vMerge w:val="continue"/>
            <w:tcBorders>
              <w:top w:val="nil"/>
              <w:bottom w:val="nil"/>
            </w:tcBorders>
            <w:vAlign w:val="top"/>
          </w:tcPr>
          <w:p>
            <w:pPr>
              <w:rPr>
                <w:rFonts w:ascii="Arial"/>
                <w:sz w:val="21"/>
              </w:rPr>
            </w:pPr>
          </w:p>
        </w:tc>
        <w:tc>
          <w:tcPr>
            <w:tcW w:w="4309" w:type="dxa"/>
            <w:vMerge w:val="restart"/>
            <w:tcBorders>
              <w:bottom w:val="nil"/>
            </w:tcBorders>
            <w:vAlign w:val="top"/>
          </w:tcPr>
          <w:p>
            <w:pPr>
              <w:spacing w:line="465" w:lineRule="auto"/>
              <w:rPr>
                <w:rFonts w:ascii="Arial"/>
                <w:sz w:val="21"/>
              </w:rPr>
            </w:pPr>
          </w:p>
          <w:p>
            <w:pPr>
              <w:spacing w:before="94" w:line="195" w:lineRule="auto"/>
              <w:ind w:left="30"/>
              <w:rPr>
                <w:rFonts w:ascii="微软雅黑" w:hAnsi="微软雅黑" w:eastAsia="微软雅黑" w:cs="微软雅黑"/>
                <w:sz w:val="22"/>
                <w:szCs w:val="22"/>
              </w:rPr>
            </w:pPr>
            <w:r>
              <w:rPr>
                <w:rFonts w:ascii="微软雅黑" w:hAnsi="微软雅黑" w:eastAsia="微软雅黑" w:cs="微软雅黑"/>
                <w:spacing w:val="-2"/>
                <w:sz w:val="22"/>
                <w:szCs w:val="22"/>
              </w:rPr>
              <w:t>中压</w:t>
            </w:r>
            <w:r>
              <w:rPr>
                <w:rFonts w:ascii="微软雅黑" w:hAnsi="微软雅黑" w:eastAsia="微软雅黑" w:cs="微软雅黑"/>
                <w:spacing w:val="5"/>
                <w:sz w:val="22"/>
                <w:szCs w:val="22"/>
                <w:u w:val="single" w:color="auto"/>
              </w:rPr>
              <w:t xml:space="preserve">       </w:t>
            </w:r>
            <w:r>
              <w:rPr>
                <w:rFonts w:ascii="微软雅黑" w:hAnsi="微软雅黑" w:eastAsia="微软雅黑" w:cs="微软雅黑"/>
                <w:spacing w:val="-2"/>
                <w:sz w:val="22"/>
                <w:szCs w:val="22"/>
              </w:rPr>
              <w:t>燃气管道、调压站</w:t>
            </w:r>
          </w:p>
        </w:tc>
        <w:tc>
          <w:tcPr>
            <w:tcW w:w="1131" w:type="dxa"/>
            <w:vMerge w:val="restart"/>
            <w:tcBorders>
              <w:bottom w:val="nil"/>
            </w:tcBorders>
            <w:vAlign w:val="top"/>
          </w:tcPr>
          <w:p>
            <w:pPr>
              <w:spacing w:line="465" w:lineRule="auto"/>
              <w:rPr>
                <w:rFonts w:ascii="Arial"/>
                <w:sz w:val="21"/>
              </w:rPr>
            </w:pPr>
          </w:p>
          <w:p>
            <w:pPr>
              <w:spacing w:before="95" w:line="194" w:lineRule="auto"/>
              <w:ind w:left="16"/>
              <w:rPr>
                <w:rFonts w:ascii="微软雅黑" w:hAnsi="微软雅黑" w:eastAsia="微软雅黑" w:cs="微软雅黑"/>
                <w:sz w:val="22"/>
                <w:szCs w:val="22"/>
              </w:rPr>
            </w:pPr>
            <w:r>
              <w:rPr>
                <w:rFonts w:ascii="微软雅黑" w:hAnsi="微软雅黑" w:eastAsia="微软雅黑" w:cs="微软雅黑"/>
                <w:sz w:val="22"/>
                <w:szCs w:val="22"/>
              </w:rPr>
              <w:t>符合性判断</w:t>
            </w:r>
          </w:p>
        </w:tc>
        <w:tc>
          <w:tcPr>
            <w:tcW w:w="909" w:type="dxa"/>
            <w:vAlign w:val="top"/>
          </w:tcPr>
          <w:p>
            <w:pPr>
              <w:spacing w:before="231" w:line="195" w:lineRule="auto"/>
              <w:ind w:left="245"/>
              <w:rPr>
                <w:rFonts w:ascii="微软雅黑" w:hAnsi="微软雅黑" w:eastAsia="微软雅黑" w:cs="微软雅黑"/>
                <w:sz w:val="22"/>
                <w:szCs w:val="22"/>
              </w:rPr>
            </w:pPr>
            <w:r>
              <w:rPr>
                <w:rFonts w:ascii="微软雅黑" w:hAnsi="微软雅黑" w:eastAsia="微软雅黑" w:cs="微软雅黑"/>
                <w:spacing w:val="-3"/>
                <w:sz w:val="22"/>
                <w:szCs w:val="22"/>
              </w:rPr>
              <w:t>以上</w:t>
            </w:r>
          </w:p>
        </w:tc>
        <w:tc>
          <w:tcPr>
            <w:tcW w:w="1795" w:type="dxa"/>
            <w:vAlign w:val="top"/>
          </w:tcPr>
          <w:p>
            <w:pPr>
              <w:spacing w:before="231" w:line="195" w:lineRule="auto"/>
              <w:ind w:left="699"/>
              <w:rPr>
                <w:rFonts w:ascii="微软雅黑" w:hAnsi="微软雅黑" w:eastAsia="微软雅黑" w:cs="微软雅黑"/>
                <w:sz w:val="22"/>
                <w:szCs w:val="22"/>
              </w:rPr>
            </w:pPr>
            <w:r>
              <w:rPr>
                <w:rFonts w:ascii="微软雅黑" w:hAnsi="微软雅黑" w:eastAsia="微软雅黑" w:cs="微软雅黑"/>
                <w:spacing w:val="-6"/>
                <w:sz w:val="22"/>
                <w:szCs w:val="22"/>
              </w:rPr>
              <w:t>甲级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60" w:hRule="atLeast"/>
        </w:trPr>
        <w:tc>
          <w:tcPr>
            <w:tcW w:w="708" w:type="dxa"/>
            <w:vMerge w:val="continue"/>
            <w:tcBorders>
              <w:top w:val="nil"/>
            </w:tcBorders>
            <w:vAlign w:val="top"/>
          </w:tcPr>
          <w:p>
            <w:pPr>
              <w:rPr>
                <w:rFonts w:ascii="Arial"/>
                <w:sz w:val="21"/>
              </w:rPr>
            </w:pPr>
          </w:p>
        </w:tc>
        <w:tc>
          <w:tcPr>
            <w:tcW w:w="1276" w:type="dxa"/>
            <w:vMerge w:val="continue"/>
            <w:tcBorders>
              <w:top w:val="nil"/>
              <w:bottom w:val="nil"/>
            </w:tcBorders>
            <w:vAlign w:val="top"/>
          </w:tcPr>
          <w:p>
            <w:pPr>
              <w:rPr>
                <w:rFonts w:ascii="Arial"/>
                <w:sz w:val="21"/>
              </w:rPr>
            </w:pPr>
          </w:p>
        </w:tc>
        <w:tc>
          <w:tcPr>
            <w:tcW w:w="1985" w:type="dxa"/>
            <w:vMerge w:val="continue"/>
            <w:tcBorders>
              <w:top w:val="nil"/>
              <w:bottom w:val="nil"/>
            </w:tcBorders>
            <w:vAlign w:val="top"/>
          </w:tcPr>
          <w:p>
            <w:pPr>
              <w:rPr>
                <w:rFonts w:ascii="Arial"/>
                <w:sz w:val="21"/>
              </w:rPr>
            </w:pPr>
          </w:p>
        </w:tc>
        <w:tc>
          <w:tcPr>
            <w:tcW w:w="1842" w:type="dxa"/>
            <w:vMerge w:val="continue"/>
            <w:tcBorders>
              <w:top w:val="nil"/>
              <w:bottom w:val="nil"/>
            </w:tcBorders>
            <w:vAlign w:val="top"/>
          </w:tcPr>
          <w:p>
            <w:pPr>
              <w:rPr>
                <w:rFonts w:ascii="Arial"/>
                <w:sz w:val="21"/>
              </w:rPr>
            </w:pPr>
          </w:p>
        </w:tc>
        <w:tc>
          <w:tcPr>
            <w:tcW w:w="4309" w:type="dxa"/>
            <w:vMerge w:val="continue"/>
            <w:tcBorders>
              <w:top w:val="nil"/>
            </w:tcBorders>
            <w:vAlign w:val="top"/>
          </w:tcPr>
          <w:p>
            <w:pPr>
              <w:rPr>
                <w:rFonts w:ascii="Arial"/>
                <w:sz w:val="21"/>
              </w:rPr>
            </w:pPr>
          </w:p>
        </w:tc>
        <w:tc>
          <w:tcPr>
            <w:tcW w:w="1131" w:type="dxa"/>
            <w:vMerge w:val="continue"/>
            <w:tcBorders>
              <w:top w:val="nil"/>
            </w:tcBorders>
            <w:vAlign w:val="top"/>
          </w:tcPr>
          <w:p>
            <w:pPr>
              <w:rPr>
                <w:rFonts w:ascii="Arial"/>
                <w:sz w:val="21"/>
              </w:rPr>
            </w:pPr>
          </w:p>
        </w:tc>
        <w:tc>
          <w:tcPr>
            <w:tcW w:w="909" w:type="dxa"/>
            <w:vAlign w:val="top"/>
          </w:tcPr>
          <w:p>
            <w:pPr>
              <w:spacing w:before="233" w:line="195" w:lineRule="auto"/>
              <w:ind w:left="245"/>
              <w:rPr>
                <w:rFonts w:ascii="微软雅黑" w:hAnsi="微软雅黑" w:eastAsia="微软雅黑" w:cs="微软雅黑"/>
                <w:sz w:val="22"/>
                <w:szCs w:val="22"/>
              </w:rPr>
            </w:pPr>
            <w:r>
              <w:rPr>
                <w:rFonts w:ascii="微软雅黑" w:hAnsi="微软雅黑" w:eastAsia="微软雅黑" w:cs="微软雅黑"/>
                <w:spacing w:val="-3"/>
                <w:sz w:val="22"/>
                <w:szCs w:val="22"/>
              </w:rPr>
              <w:t>以下</w:t>
            </w:r>
          </w:p>
        </w:tc>
        <w:tc>
          <w:tcPr>
            <w:tcW w:w="1795" w:type="dxa"/>
            <w:vAlign w:val="top"/>
          </w:tcPr>
          <w:p>
            <w:pPr>
              <w:spacing w:before="234" w:line="195" w:lineRule="auto"/>
              <w:ind w:left="689"/>
              <w:rPr>
                <w:rFonts w:ascii="微软雅黑" w:hAnsi="微软雅黑" w:eastAsia="微软雅黑" w:cs="微软雅黑"/>
                <w:sz w:val="22"/>
                <w:szCs w:val="22"/>
              </w:rPr>
            </w:pPr>
            <w:r>
              <w:rPr>
                <w:rFonts w:ascii="微软雅黑" w:hAnsi="微软雅黑" w:eastAsia="微软雅黑" w:cs="微软雅黑"/>
                <w:spacing w:val="-4"/>
                <w:sz w:val="22"/>
                <w:szCs w:val="22"/>
              </w:rPr>
              <w:t>乙级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9" w:hRule="atLeast"/>
        </w:trPr>
        <w:tc>
          <w:tcPr>
            <w:tcW w:w="708" w:type="dxa"/>
            <w:vMerge w:val="restart"/>
            <w:tcBorders>
              <w:bottom w:val="nil"/>
            </w:tcBorders>
            <w:vAlign w:val="top"/>
          </w:tcPr>
          <w:p>
            <w:pPr>
              <w:spacing w:line="476" w:lineRule="auto"/>
              <w:rPr>
                <w:rFonts w:ascii="Arial"/>
                <w:sz w:val="21"/>
              </w:rPr>
            </w:pPr>
          </w:p>
          <w:p>
            <w:pPr>
              <w:spacing w:before="95" w:line="173" w:lineRule="auto"/>
              <w:ind w:left="243"/>
              <w:rPr>
                <w:rFonts w:ascii="微软雅黑" w:hAnsi="微软雅黑" w:eastAsia="微软雅黑" w:cs="微软雅黑"/>
                <w:sz w:val="22"/>
                <w:szCs w:val="22"/>
              </w:rPr>
            </w:pPr>
            <w:r>
              <w:rPr>
                <w:rFonts w:ascii="微软雅黑" w:hAnsi="微软雅黑" w:eastAsia="微软雅黑" w:cs="微软雅黑"/>
                <w:spacing w:val="-6"/>
                <w:sz w:val="22"/>
                <w:szCs w:val="22"/>
              </w:rPr>
              <w:t>12</w:t>
            </w:r>
          </w:p>
        </w:tc>
        <w:tc>
          <w:tcPr>
            <w:tcW w:w="1276" w:type="dxa"/>
            <w:vMerge w:val="continue"/>
            <w:tcBorders>
              <w:top w:val="nil"/>
              <w:bottom w:val="nil"/>
            </w:tcBorders>
            <w:vAlign w:val="top"/>
          </w:tcPr>
          <w:p>
            <w:pPr>
              <w:rPr>
                <w:rFonts w:ascii="Arial"/>
                <w:sz w:val="21"/>
              </w:rPr>
            </w:pPr>
          </w:p>
        </w:tc>
        <w:tc>
          <w:tcPr>
            <w:tcW w:w="1985" w:type="dxa"/>
            <w:vMerge w:val="continue"/>
            <w:tcBorders>
              <w:top w:val="nil"/>
              <w:bottom w:val="nil"/>
            </w:tcBorders>
            <w:vAlign w:val="top"/>
          </w:tcPr>
          <w:p>
            <w:pPr>
              <w:rPr>
                <w:rFonts w:ascii="Arial"/>
                <w:sz w:val="21"/>
              </w:rPr>
            </w:pPr>
          </w:p>
        </w:tc>
        <w:tc>
          <w:tcPr>
            <w:tcW w:w="1842" w:type="dxa"/>
            <w:vMerge w:val="continue"/>
            <w:tcBorders>
              <w:top w:val="nil"/>
              <w:bottom w:val="nil"/>
            </w:tcBorders>
            <w:vAlign w:val="top"/>
          </w:tcPr>
          <w:p>
            <w:pPr>
              <w:rPr>
                <w:rFonts w:ascii="Arial"/>
                <w:sz w:val="21"/>
              </w:rPr>
            </w:pPr>
          </w:p>
        </w:tc>
        <w:tc>
          <w:tcPr>
            <w:tcW w:w="4309" w:type="dxa"/>
            <w:vMerge w:val="restart"/>
            <w:tcBorders>
              <w:bottom w:val="nil"/>
            </w:tcBorders>
            <w:vAlign w:val="top"/>
          </w:tcPr>
          <w:p>
            <w:pPr>
              <w:spacing w:before="253" w:line="397" w:lineRule="auto"/>
              <w:ind w:left="13"/>
              <w:rPr>
                <w:rFonts w:ascii="微软雅黑" w:hAnsi="微软雅黑" w:eastAsia="微软雅黑" w:cs="微软雅黑"/>
                <w:sz w:val="22"/>
                <w:szCs w:val="22"/>
              </w:rPr>
            </w:pPr>
            <w:r>
              <w:rPr>
                <w:rFonts w:ascii="微软雅黑" w:hAnsi="微软雅黑" w:eastAsia="微软雅黑" w:cs="微软雅黑"/>
                <w:spacing w:val="-1"/>
                <w:sz w:val="22"/>
                <w:szCs w:val="22"/>
              </w:rPr>
              <w:t>供热面积</w:t>
            </w:r>
            <w:r>
              <w:rPr>
                <w:rFonts w:ascii="微软雅黑" w:hAnsi="微软雅黑" w:eastAsia="微软雅黑" w:cs="微软雅黑"/>
                <w:spacing w:val="7"/>
                <w:sz w:val="22"/>
                <w:szCs w:val="22"/>
                <w:u w:val="single" w:color="auto"/>
              </w:rPr>
              <w:t xml:space="preserve">       </w:t>
            </w:r>
            <w:r>
              <w:rPr>
                <w:rFonts w:ascii="微软雅黑" w:hAnsi="微软雅黑" w:eastAsia="微软雅黑" w:cs="微软雅黑"/>
                <w:spacing w:val="-1"/>
                <w:sz w:val="22"/>
                <w:szCs w:val="22"/>
              </w:rPr>
              <w:t>万平方米热力工程和各类热力</w:t>
            </w:r>
          </w:p>
          <w:p>
            <w:pPr>
              <w:spacing w:line="195" w:lineRule="auto"/>
              <w:ind w:left="15"/>
              <w:rPr>
                <w:rFonts w:ascii="微软雅黑" w:hAnsi="微软雅黑" w:eastAsia="微软雅黑" w:cs="微软雅黑"/>
                <w:sz w:val="22"/>
                <w:szCs w:val="22"/>
              </w:rPr>
            </w:pPr>
            <w:r>
              <w:rPr>
                <w:rFonts w:ascii="微软雅黑" w:hAnsi="微软雅黑" w:eastAsia="微软雅黑" w:cs="微软雅黑"/>
                <w:spacing w:val="-1"/>
                <w:sz w:val="22"/>
                <w:szCs w:val="22"/>
              </w:rPr>
              <w:t>管道工程</w:t>
            </w:r>
          </w:p>
        </w:tc>
        <w:tc>
          <w:tcPr>
            <w:tcW w:w="1131" w:type="dxa"/>
            <w:vMerge w:val="restart"/>
            <w:tcBorders>
              <w:bottom w:val="nil"/>
            </w:tcBorders>
            <w:vAlign w:val="top"/>
          </w:tcPr>
          <w:p>
            <w:pPr>
              <w:spacing w:line="467" w:lineRule="auto"/>
              <w:rPr>
                <w:rFonts w:ascii="Arial"/>
                <w:sz w:val="21"/>
              </w:rPr>
            </w:pPr>
          </w:p>
          <w:p>
            <w:pPr>
              <w:spacing w:before="95" w:line="194" w:lineRule="auto"/>
              <w:ind w:left="344"/>
              <w:rPr>
                <w:rFonts w:ascii="微软雅黑" w:hAnsi="微软雅黑" w:eastAsia="微软雅黑" w:cs="微软雅黑"/>
                <w:sz w:val="22"/>
                <w:szCs w:val="22"/>
              </w:rPr>
            </w:pPr>
            <w:r>
              <w:rPr>
                <w:rFonts w:ascii="微软雅黑" w:hAnsi="微软雅黑" w:eastAsia="微软雅黑" w:cs="微软雅黑"/>
                <w:spacing w:val="-1"/>
                <w:sz w:val="22"/>
                <w:szCs w:val="22"/>
              </w:rPr>
              <w:t>数值</w:t>
            </w:r>
          </w:p>
        </w:tc>
        <w:tc>
          <w:tcPr>
            <w:tcW w:w="909" w:type="dxa"/>
            <w:vAlign w:val="top"/>
          </w:tcPr>
          <w:p>
            <w:pPr>
              <w:spacing w:before="232" w:line="212" w:lineRule="auto"/>
              <w:ind w:left="206"/>
              <w:rPr>
                <w:rFonts w:ascii="微软雅黑" w:hAnsi="微软雅黑" w:eastAsia="微软雅黑" w:cs="微软雅黑"/>
                <w:sz w:val="22"/>
                <w:szCs w:val="22"/>
              </w:rPr>
            </w:pPr>
            <w:r>
              <w:rPr>
                <w:rFonts w:ascii="微软雅黑" w:hAnsi="微软雅黑" w:eastAsia="微软雅黑" w:cs="微软雅黑"/>
                <w:spacing w:val="-7"/>
                <w:sz w:val="22"/>
                <w:szCs w:val="22"/>
              </w:rPr>
              <w:t>≥150</w:t>
            </w:r>
          </w:p>
        </w:tc>
        <w:tc>
          <w:tcPr>
            <w:tcW w:w="1795" w:type="dxa"/>
            <w:vAlign w:val="top"/>
          </w:tcPr>
          <w:p>
            <w:pPr>
              <w:spacing w:before="232" w:line="195" w:lineRule="auto"/>
              <w:ind w:left="699"/>
              <w:rPr>
                <w:rFonts w:ascii="微软雅黑" w:hAnsi="微软雅黑" w:eastAsia="微软雅黑" w:cs="微软雅黑"/>
                <w:sz w:val="22"/>
                <w:szCs w:val="22"/>
              </w:rPr>
            </w:pPr>
            <w:r>
              <w:rPr>
                <w:rFonts w:ascii="微软雅黑" w:hAnsi="微软雅黑" w:eastAsia="微软雅黑" w:cs="微软雅黑"/>
                <w:spacing w:val="-6"/>
                <w:sz w:val="22"/>
                <w:szCs w:val="22"/>
              </w:rPr>
              <w:t>甲级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7" w:hRule="atLeast"/>
        </w:trPr>
        <w:tc>
          <w:tcPr>
            <w:tcW w:w="708" w:type="dxa"/>
            <w:vMerge w:val="continue"/>
            <w:tcBorders>
              <w:top w:val="nil"/>
            </w:tcBorders>
            <w:vAlign w:val="top"/>
          </w:tcPr>
          <w:p>
            <w:pPr>
              <w:rPr>
                <w:rFonts w:ascii="Arial"/>
                <w:sz w:val="21"/>
              </w:rPr>
            </w:pPr>
          </w:p>
        </w:tc>
        <w:tc>
          <w:tcPr>
            <w:tcW w:w="1276" w:type="dxa"/>
            <w:vMerge w:val="continue"/>
            <w:tcBorders>
              <w:top w:val="nil"/>
              <w:bottom w:val="nil"/>
            </w:tcBorders>
            <w:vAlign w:val="top"/>
          </w:tcPr>
          <w:p>
            <w:pPr>
              <w:rPr>
                <w:rFonts w:ascii="Arial"/>
                <w:sz w:val="21"/>
              </w:rPr>
            </w:pPr>
          </w:p>
        </w:tc>
        <w:tc>
          <w:tcPr>
            <w:tcW w:w="1985" w:type="dxa"/>
            <w:vMerge w:val="continue"/>
            <w:tcBorders>
              <w:top w:val="nil"/>
              <w:bottom w:val="nil"/>
            </w:tcBorders>
            <w:vAlign w:val="top"/>
          </w:tcPr>
          <w:p>
            <w:pPr>
              <w:rPr>
                <w:rFonts w:ascii="Arial"/>
                <w:sz w:val="21"/>
              </w:rPr>
            </w:pPr>
          </w:p>
        </w:tc>
        <w:tc>
          <w:tcPr>
            <w:tcW w:w="1842" w:type="dxa"/>
            <w:vMerge w:val="continue"/>
            <w:tcBorders>
              <w:top w:val="nil"/>
              <w:bottom w:val="nil"/>
            </w:tcBorders>
            <w:vAlign w:val="top"/>
          </w:tcPr>
          <w:p>
            <w:pPr>
              <w:rPr>
                <w:rFonts w:ascii="Arial"/>
                <w:sz w:val="21"/>
              </w:rPr>
            </w:pPr>
          </w:p>
        </w:tc>
        <w:tc>
          <w:tcPr>
            <w:tcW w:w="4309" w:type="dxa"/>
            <w:vMerge w:val="continue"/>
            <w:tcBorders>
              <w:top w:val="nil"/>
            </w:tcBorders>
            <w:vAlign w:val="top"/>
          </w:tcPr>
          <w:p>
            <w:pPr>
              <w:rPr>
                <w:rFonts w:ascii="Arial"/>
                <w:sz w:val="21"/>
              </w:rPr>
            </w:pPr>
          </w:p>
        </w:tc>
        <w:tc>
          <w:tcPr>
            <w:tcW w:w="1131" w:type="dxa"/>
            <w:vMerge w:val="continue"/>
            <w:tcBorders>
              <w:top w:val="nil"/>
            </w:tcBorders>
            <w:vAlign w:val="top"/>
          </w:tcPr>
          <w:p>
            <w:pPr>
              <w:rPr>
                <w:rFonts w:ascii="Arial"/>
                <w:sz w:val="21"/>
              </w:rPr>
            </w:pPr>
          </w:p>
        </w:tc>
        <w:tc>
          <w:tcPr>
            <w:tcW w:w="909" w:type="dxa"/>
            <w:vAlign w:val="top"/>
          </w:tcPr>
          <w:p>
            <w:pPr>
              <w:spacing w:before="241" w:line="173" w:lineRule="auto"/>
              <w:ind w:left="211"/>
              <w:rPr>
                <w:rFonts w:ascii="微软雅黑" w:hAnsi="微软雅黑" w:eastAsia="微软雅黑" w:cs="微软雅黑"/>
                <w:sz w:val="22"/>
                <w:szCs w:val="22"/>
              </w:rPr>
            </w:pPr>
            <w:r>
              <w:rPr>
                <w:rFonts w:ascii="微软雅黑" w:hAnsi="微软雅黑" w:eastAsia="微软雅黑" w:cs="微软雅黑"/>
                <w:spacing w:val="-6"/>
                <w:sz w:val="22"/>
                <w:szCs w:val="22"/>
              </w:rPr>
              <w:t>&lt;150</w:t>
            </w:r>
          </w:p>
        </w:tc>
        <w:tc>
          <w:tcPr>
            <w:tcW w:w="1795" w:type="dxa"/>
            <w:vAlign w:val="top"/>
          </w:tcPr>
          <w:p>
            <w:pPr>
              <w:spacing w:before="233" w:line="195" w:lineRule="auto"/>
              <w:ind w:left="689"/>
              <w:rPr>
                <w:rFonts w:ascii="微软雅黑" w:hAnsi="微软雅黑" w:eastAsia="微软雅黑" w:cs="微软雅黑"/>
                <w:sz w:val="22"/>
                <w:szCs w:val="22"/>
              </w:rPr>
            </w:pPr>
            <w:r>
              <w:rPr>
                <w:rFonts w:ascii="微软雅黑" w:hAnsi="微软雅黑" w:eastAsia="微软雅黑" w:cs="微软雅黑"/>
                <w:spacing w:val="-4"/>
                <w:sz w:val="22"/>
                <w:szCs w:val="22"/>
              </w:rPr>
              <w:t>乙级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60" w:hRule="atLeast"/>
        </w:trPr>
        <w:tc>
          <w:tcPr>
            <w:tcW w:w="708" w:type="dxa"/>
            <w:vAlign w:val="top"/>
          </w:tcPr>
          <w:p>
            <w:pPr>
              <w:spacing w:before="244" w:line="173" w:lineRule="auto"/>
              <w:ind w:left="243"/>
              <w:rPr>
                <w:rFonts w:ascii="微软雅黑" w:hAnsi="微软雅黑" w:eastAsia="微软雅黑" w:cs="微软雅黑"/>
                <w:sz w:val="22"/>
                <w:szCs w:val="22"/>
              </w:rPr>
            </w:pPr>
            <w:r>
              <w:rPr>
                <w:rFonts w:ascii="微软雅黑" w:hAnsi="微软雅黑" w:eastAsia="微软雅黑" w:cs="微软雅黑"/>
                <w:spacing w:val="-6"/>
                <w:sz w:val="22"/>
                <w:szCs w:val="22"/>
              </w:rPr>
              <w:t>13</w:t>
            </w:r>
          </w:p>
        </w:tc>
        <w:tc>
          <w:tcPr>
            <w:tcW w:w="1276" w:type="dxa"/>
            <w:vMerge w:val="continue"/>
            <w:tcBorders>
              <w:top w:val="nil"/>
              <w:bottom w:val="nil"/>
            </w:tcBorders>
            <w:vAlign w:val="top"/>
          </w:tcPr>
          <w:p>
            <w:pPr>
              <w:rPr>
                <w:rFonts w:ascii="Arial"/>
                <w:sz w:val="21"/>
              </w:rPr>
            </w:pPr>
          </w:p>
        </w:tc>
        <w:tc>
          <w:tcPr>
            <w:tcW w:w="1985" w:type="dxa"/>
            <w:vMerge w:val="continue"/>
            <w:tcBorders>
              <w:top w:val="nil"/>
              <w:bottom w:val="nil"/>
            </w:tcBorders>
            <w:vAlign w:val="top"/>
          </w:tcPr>
          <w:p>
            <w:pPr>
              <w:rPr>
                <w:rFonts w:ascii="Arial"/>
                <w:sz w:val="21"/>
              </w:rPr>
            </w:pPr>
          </w:p>
        </w:tc>
        <w:tc>
          <w:tcPr>
            <w:tcW w:w="1842" w:type="dxa"/>
            <w:vMerge w:val="continue"/>
            <w:tcBorders>
              <w:top w:val="nil"/>
              <w:bottom w:val="nil"/>
            </w:tcBorders>
            <w:vAlign w:val="top"/>
          </w:tcPr>
          <w:p>
            <w:pPr>
              <w:rPr>
                <w:rFonts w:ascii="Arial"/>
                <w:sz w:val="21"/>
              </w:rPr>
            </w:pPr>
          </w:p>
        </w:tc>
        <w:tc>
          <w:tcPr>
            <w:tcW w:w="4309" w:type="dxa"/>
            <w:vAlign w:val="top"/>
          </w:tcPr>
          <w:p>
            <w:pPr>
              <w:spacing w:before="236" w:line="194" w:lineRule="auto"/>
              <w:ind w:left="13"/>
              <w:rPr>
                <w:rFonts w:ascii="微软雅黑" w:hAnsi="微软雅黑" w:eastAsia="微软雅黑" w:cs="微软雅黑"/>
                <w:sz w:val="22"/>
                <w:szCs w:val="22"/>
              </w:rPr>
            </w:pPr>
            <w:r>
              <w:rPr>
                <w:rFonts w:ascii="微软雅黑" w:hAnsi="微软雅黑" w:eastAsia="微软雅黑" w:cs="微软雅黑"/>
                <w:sz w:val="22"/>
                <w:szCs w:val="22"/>
              </w:rPr>
              <w:t>各类城市生活垃圾处理工程</w:t>
            </w:r>
          </w:p>
        </w:tc>
        <w:tc>
          <w:tcPr>
            <w:tcW w:w="1131" w:type="dxa"/>
            <w:vAlign w:val="top"/>
          </w:tcPr>
          <w:p>
            <w:pPr>
              <w:spacing w:before="236" w:line="194" w:lineRule="auto"/>
              <w:ind w:left="16"/>
              <w:rPr>
                <w:rFonts w:ascii="微软雅黑" w:hAnsi="微软雅黑" w:eastAsia="微软雅黑" w:cs="微软雅黑"/>
                <w:sz w:val="22"/>
                <w:szCs w:val="22"/>
              </w:rPr>
            </w:pPr>
            <w:r>
              <w:rPr>
                <w:rFonts w:ascii="微软雅黑" w:hAnsi="微软雅黑" w:eastAsia="微软雅黑" w:cs="微软雅黑"/>
                <w:sz w:val="22"/>
                <w:szCs w:val="22"/>
              </w:rPr>
              <w:t>符合性判断</w:t>
            </w:r>
          </w:p>
        </w:tc>
        <w:tc>
          <w:tcPr>
            <w:tcW w:w="909" w:type="dxa"/>
            <w:vAlign w:val="top"/>
          </w:tcPr>
          <w:p>
            <w:pPr>
              <w:spacing w:before="235" w:line="195" w:lineRule="auto"/>
              <w:ind w:left="237"/>
              <w:rPr>
                <w:rFonts w:ascii="微软雅黑" w:hAnsi="微软雅黑" w:eastAsia="微软雅黑" w:cs="微软雅黑"/>
                <w:sz w:val="22"/>
                <w:szCs w:val="22"/>
              </w:rPr>
            </w:pPr>
            <w:r>
              <w:rPr>
                <w:rFonts w:ascii="微软雅黑" w:hAnsi="微软雅黑" w:eastAsia="微软雅黑" w:cs="微软雅黑"/>
                <w:spacing w:val="-1"/>
                <w:sz w:val="22"/>
                <w:szCs w:val="22"/>
              </w:rPr>
              <w:t>符合</w:t>
            </w:r>
          </w:p>
        </w:tc>
        <w:tc>
          <w:tcPr>
            <w:tcW w:w="1795" w:type="dxa"/>
            <w:vAlign w:val="top"/>
          </w:tcPr>
          <w:p>
            <w:pPr>
              <w:spacing w:before="236" w:line="195" w:lineRule="auto"/>
              <w:ind w:left="689"/>
              <w:rPr>
                <w:rFonts w:ascii="微软雅黑" w:hAnsi="微软雅黑" w:eastAsia="微软雅黑" w:cs="微软雅黑"/>
                <w:sz w:val="22"/>
                <w:szCs w:val="22"/>
              </w:rPr>
            </w:pPr>
            <w:r>
              <w:rPr>
                <w:rFonts w:ascii="微软雅黑" w:hAnsi="微软雅黑" w:eastAsia="微软雅黑" w:cs="微软雅黑"/>
                <w:spacing w:val="-4"/>
                <w:sz w:val="22"/>
                <w:szCs w:val="22"/>
              </w:rPr>
              <w:t>乙级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60" w:hRule="atLeast"/>
        </w:trPr>
        <w:tc>
          <w:tcPr>
            <w:tcW w:w="708" w:type="dxa"/>
            <w:vMerge w:val="restart"/>
            <w:tcBorders>
              <w:bottom w:val="nil"/>
            </w:tcBorders>
            <w:vAlign w:val="top"/>
          </w:tcPr>
          <w:p>
            <w:pPr>
              <w:spacing w:line="478" w:lineRule="auto"/>
              <w:rPr>
                <w:rFonts w:ascii="Arial"/>
                <w:sz w:val="21"/>
              </w:rPr>
            </w:pPr>
          </w:p>
          <w:p>
            <w:pPr>
              <w:spacing w:before="94" w:line="173" w:lineRule="auto"/>
              <w:ind w:left="243"/>
              <w:rPr>
                <w:rFonts w:ascii="微软雅黑" w:hAnsi="微软雅黑" w:eastAsia="微软雅黑" w:cs="微软雅黑"/>
                <w:sz w:val="22"/>
                <w:szCs w:val="22"/>
              </w:rPr>
            </w:pPr>
            <w:r>
              <w:rPr>
                <w:rFonts w:ascii="微软雅黑" w:hAnsi="微软雅黑" w:eastAsia="微软雅黑" w:cs="微软雅黑"/>
                <w:spacing w:val="-6"/>
                <w:sz w:val="22"/>
                <w:szCs w:val="22"/>
              </w:rPr>
              <w:t>14</w:t>
            </w:r>
          </w:p>
        </w:tc>
        <w:tc>
          <w:tcPr>
            <w:tcW w:w="1276" w:type="dxa"/>
            <w:vMerge w:val="continue"/>
            <w:tcBorders>
              <w:top w:val="nil"/>
              <w:bottom w:val="nil"/>
            </w:tcBorders>
            <w:vAlign w:val="top"/>
          </w:tcPr>
          <w:p>
            <w:pPr>
              <w:rPr>
                <w:rFonts w:ascii="Arial"/>
                <w:sz w:val="21"/>
              </w:rPr>
            </w:pPr>
          </w:p>
        </w:tc>
        <w:tc>
          <w:tcPr>
            <w:tcW w:w="1985" w:type="dxa"/>
            <w:vMerge w:val="continue"/>
            <w:tcBorders>
              <w:top w:val="nil"/>
              <w:bottom w:val="nil"/>
            </w:tcBorders>
            <w:vAlign w:val="top"/>
          </w:tcPr>
          <w:p>
            <w:pPr>
              <w:rPr>
                <w:rFonts w:ascii="Arial"/>
                <w:sz w:val="21"/>
              </w:rPr>
            </w:pPr>
          </w:p>
        </w:tc>
        <w:tc>
          <w:tcPr>
            <w:tcW w:w="1842" w:type="dxa"/>
            <w:vMerge w:val="continue"/>
            <w:tcBorders>
              <w:top w:val="nil"/>
              <w:bottom w:val="nil"/>
            </w:tcBorders>
            <w:vAlign w:val="top"/>
          </w:tcPr>
          <w:p>
            <w:pPr>
              <w:rPr>
                <w:rFonts w:ascii="Arial"/>
                <w:sz w:val="21"/>
              </w:rPr>
            </w:pPr>
          </w:p>
        </w:tc>
        <w:tc>
          <w:tcPr>
            <w:tcW w:w="4309" w:type="dxa"/>
            <w:vMerge w:val="restart"/>
            <w:tcBorders>
              <w:bottom w:val="nil"/>
            </w:tcBorders>
            <w:vAlign w:val="top"/>
          </w:tcPr>
          <w:p>
            <w:pPr>
              <w:spacing w:line="470" w:lineRule="auto"/>
              <w:rPr>
                <w:rFonts w:ascii="Arial"/>
                <w:sz w:val="21"/>
              </w:rPr>
            </w:pPr>
          </w:p>
          <w:p>
            <w:pPr>
              <w:spacing w:before="94" w:line="194" w:lineRule="auto"/>
              <w:ind w:left="25"/>
              <w:rPr>
                <w:rFonts w:ascii="微软雅黑" w:hAnsi="微软雅黑" w:eastAsia="微软雅黑" w:cs="微软雅黑"/>
                <w:sz w:val="22"/>
                <w:szCs w:val="22"/>
              </w:rPr>
            </w:pPr>
            <w:r>
              <w:rPr>
                <w:rFonts w:ascii="微软雅黑" w:hAnsi="微软雅黑" w:eastAsia="微软雅黑" w:cs="微软雅黑"/>
                <w:spacing w:val="-1"/>
                <w:sz w:val="22"/>
                <w:szCs w:val="22"/>
              </w:rPr>
              <w:t>断面</w:t>
            </w:r>
            <w:r>
              <w:rPr>
                <w:rFonts w:ascii="微软雅黑" w:hAnsi="微软雅黑" w:eastAsia="微软雅黑" w:cs="微软雅黑"/>
                <w:spacing w:val="5"/>
                <w:sz w:val="22"/>
                <w:szCs w:val="22"/>
                <w:u w:val="single" w:color="auto"/>
              </w:rPr>
              <w:t xml:space="preserve">       </w:t>
            </w:r>
            <w:r>
              <w:rPr>
                <w:rFonts w:ascii="微软雅黑" w:hAnsi="微软雅黑" w:eastAsia="微软雅黑" w:cs="微软雅黑"/>
                <w:spacing w:val="-58"/>
                <w:sz w:val="22"/>
                <w:szCs w:val="22"/>
              </w:rPr>
              <w:t xml:space="preserve"> </w:t>
            </w:r>
            <w:r>
              <w:rPr>
                <w:rFonts w:ascii="微软雅黑" w:hAnsi="微软雅黑" w:eastAsia="微软雅黑" w:cs="微软雅黑"/>
                <w:spacing w:val="-1"/>
                <w:sz w:val="22"/>
                <w:szCs w:val="22"/>
              </w:rPr>
              <w:t>平方米隧道工程和地下交通工程</w:t>
            </w:r>
          </w:p>
        </w:tc>
        <w:tc>
          <w:tcPr>
            <w:tcW w:w="1131" w:type="dxa"/>
            <w:vMerge w:val="restart"/>
            <w:tcBorders>
              <w:bottom w:val="nil"/>
            </w:tcBorders>
            <w:vAlign w:val="top"/>
          </w:tcPr>
          <w:p>
            <w:pPr>
              <w:spacing w:line="469" w:lineRule="auto"/>
              <w:rPr>
                <w:rFonts w:ascii="Arial"/>
                <w:sz w:val="21"/>
              </w:rPr>
            </w:pPr>
          </w:p>
          <w:p>
            <w:pPr>
              <w:spacing w:before="94" w:line="194" w:lineRule="auto"/>
              <w:ind w:left="344"/>
              <w:rPr>
                <w:rFonts w:ascii="微软雅黑" w:hAnsi="微软雅黑" w:eastAsia="微软雅黑" w:cs="微软雅黑"/>
                <w:sz w:val="22"/>
                <w:szCs w:val="22"/>
              </w:rPr>
            </w:pPr>
            <w:r>
              <w:rPr>
                <w:rFonts w:ascii="微软雅黑" w:hAnsi="微软雅黑" w:eastAsia="微软雅黑" w:cs="微软雅黑"/>
                <w:spacing w:val="-1"/>
                <w:sz w:val="22"/>
                <w:szCs w:val="22"/>
              </w:rPr>
              <w:t>数值</w:t>
            </w:r>
          </w:p>
        </w:tc>
        <w:tc>
          <w:tcPr>
            <w:tcW w:w="909" w:type="dxa"/>
            <w:vAlign w:val="top"/>
          </w:tcPr>
          <w:p>
            <w:pPr>
              <w:spacing w:before="233" w:line="212" w:lineRule="auto"/>
              <w:ind w:left="269"/>
              <w:rPr>
                <w:rFonts w:ascii="微软雅黑" w:hAnsi="微软雅黑" w:eastAsia="微软雅黑" w:cs="微软雅黑"/>
                <w:sz w:val="22"/>
                <w:szCs w:val="22"/>
              </w:rPr>
            </w:pPr>
            <w:r>
              <w:rPr>
                <w:rFonts w:ascii="微软雅黑" w:hAnsi="微软雅黑" w:eastAsia="微软雅黑" w:cs="微软雅黑"/>
                <w:spacing w:val="-9"/>
                <w:sz w:val="22"/>
                <w:szCs w:val="22"/>
              </w:rPr>
              <w:t>≥25</w:t>
            </w:r>
          </w:p>
        </w:tc>
        <w:tc>
          <w:tcPr>
            <w:tcW w:w="1795" w:type="dxa"/>
            <w:vAlign w:val="top"/>
          </w:tcPr>
          <w:p>
            <w:pPr>
              <w:spacing w:before="233" w:line="195" w:lineRule="auto"/>
              <w:ind w:left="699"/>
              <w:rPr>
                <w:rFonts w:ascii="微软雅黑" w:hAnsi="微软雅黑" w:eastAsia="微软雅黑" w:cs="微软雅黑"/>
                <w:sz w:val="22"/>
                <w:szCs w:val="22"/>
              </w:rPr>
            </w:pPr>
            <w:r>
              <w:rPr>
                <w:rFonts w:ascii="微软雅黑" w:hAnsi="微软雅黑" w:eastAsia="微软雅黑" w:cs="微软雅黑"/>
                <w:spacing w:val="-6"/>
                <w:sz w:val="22"/>
                <w:szCs w:val="22"/>
              </w:rPr>
              <w:t>甲级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7" w:hRule="atLeast"/>
        </w:trPr>
        <w:tc>
          <w:tcPr>
            <w:tcW w:w="708" w:type="dxa"/>
            <w:vMerge w:val="continue"/>
            <w:tcBorders>
              <w:top w:val="nil"/>
            </w:tcBorders>
            <w:vAlign w:val="top"/>
          </w:tcPr>
          <w:p>
            <w:pPr>
              <w:rPr>
                <w:rFonts w:ascii="Arial"/>
                <w:sz w:val="21"/>
              </w:rPr>
            </w:pPr>
          </w:p>
        </w:tc>
        <w:tc>
          <w:tcPr>
            <w:tcW w:w="1276" w:type="dxa"/>
            <w:vMerge w:val="continue"/>
            <w:tcBorders>
              <w:top w:val="nil"/>
              <w:bottom w:val="nil"/>
            </w:tcBorders>
            <w:vAlign w:val="top"/>
          </w:tcPr>
          <w:p>
            <w:pPr>
              <w:rPr>
                <w:rFonts w:ascii="Arial"/>
                <w:sz w:val="21"/>
              </w:rPr>
            </w:pPr>
          </w:p>
        </w:tc>
        <w:tc>
          <w:tcPr>
            <w:tcW w:w="1985" w:type="dxa"/>
            <w:vMerge w:val="continue"/>
            <w:tcBorders>
              <w:top w:val="nil"/>
              <w:bottom w:val="nil"/>
            </w:tcBorders>
            <w:vAlign w:val="top"/>
          </w:tcPr>
          <w:p>
            <w:pPr>
              <w:rPr>
                <w:rFonts w:ascii="Arial"/>
                <w:sz w:val="21"/>
              </w:rPr>
            </w:pPr>
          </w:p>
        </w:tc>
        <w:tc>
          <w:tcPr>
            <w:tcW w:w="1842" w:type="dxa"/>
            <w:vMerge w:val="continue"/>
            <w:tcBorders>
              <w:top w:val="nil"/>
              <w:bottom w:val="nil"/>
            </w:tcBorders>
            <w:vAlign w:val="top"/>
          </w:tcPr>
          <w:p>
            <w:pPr>
              <w:rPr>
                <w:rFonts w:ascii="Arial"/>
                <w:sz w:val="21"/>
              </w:rPr>
            </w:pPr>
          </w:p>
        </w:tc>
        <w:tc>
          <w:tcPr>
            <w:tcW w:w="4309" w:type="dxa"/>
            <w:vMerge w:val="continue"/>
            <w:tcBorders>
              <w:top w:val="nil"/>
            </w:tcBorders>
            <w:vAlign w:val="top"/>
          </w:tcPr>
          <w:p>
            <w:pPr>
              <w:rPr>
                <w:rFonts w:ascii="Arial"/>
                <w:sz w:val="21"/>
              </w:rPr>
            </w:pPr>
          </w:p>
        </w:tc>
        <w:tc>
          <w:tcPr>
            <w:tcW w:w="1131" w:type="dxa"/>
            <w:vMerge w:val="continue"/>
            <w:tcBorders>
              <w:top w:val="nil"/>
            </w:tcBorders>
            <w:vAlign w:val="top"/>
          </w:tcPr>
          <w:p>
            <w:pPr>
              <w:rPr>
                <w:rFonts w:ascii="Arial"/>
                <w:sz w:val="21"/>
              </w:rPr>
            </w:pPr>
          </w:p>
        </w:tc>
        <w:tc>
          <w:tcPr>
            <w:tcW w:w="909" w:type="dxa"/>
            <w:vAlign w:val="top"/>
          </w:tcPr>
          <w:p>
            <w:pPr>
              <w:spacing w:before="243" w:line="172" w:lineRule="auto"/>
              <w:ind w:left="273"/>
              <w:rPr>
                <w:rFonts w:ascii="微软雅黑" w:hAnsi="微软雅黑" w:eastAsia="微软雅黑" w:cs="微软雅黑"/>
                <w:sz w:val="22"/>
                <w:szCs w:val="22"/>
              </w:rPr>
            </w:pPr>
            <w:r>
              <w:rPr>
                <w:rFonts w:ascii="微软雅黑" w:hAnsi="微软雅黑" w:eastAsia="微软雅黑" w:cs="微软雅黑"/>
                <w:spacing w:val="-7"/>
                <w:sz w:val="22"/>
                <w:szCs w:val="22"/>
              </w:rPr>
              <w:t>&lt;25</w:t>
            </w:r>
          </w:p>
        </w:tc>
        <w:tc>
          <w:tcPr>
            <w:tcW w:w="1795" w:type="dxa"/>
            <w:vAlign w:val="top"/>
          </w:tcPr>
          <w:p>
            <w:pPr>
              <w:spacing w:before="233" w:line="195" w:lineRule="auto"/>
              <w:ind w:left="689"/>
              <w:rPr>
                <w:rFonts w:ascii="微软雅黑" w:hAnsi="微软雅黑" w:eastAsia="微软雅黑" w:cs="微软雅黑"/>
                <w:sz w:val="22"/>
                <w:szCs w:val="22"/>
              </w:rPr>
            </w:pPr>
            <w:r>
              <w:rPr>
                <w:rFonts w:ascii="微软雅黑" w:hAnsi="微软雅黑" w:eastAsia="微软雅黑" w:cs="微软雅黑"/>
                <w:spacing w:val="-4"/>
                <w:sz w:val="22"/>
                <w:szCs w:val="22"/>
              </w:rPr>
              <w:t>乙级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9" w:hRule="atLeast"/>
        </w:trPr>
        <w:tc>
          <w:tcPr>
            <w:tcW w:w="708" w:type="dxa"/>
            <w:vAlign w:val="top"/>
          </w:tcPr>
          <w:p>
            <w:pPr>
              <w:spacing w:before="244" w:line="173" w:lineRule="auto"/>
              <w:ind w:left="243"/>
              <w:rPr>
                <w:rFonts w:ascii="微软雅黑" w:hAnsi="微软雅黑" w:eastAsia="微软雅黑" w:cs="微软雅黑"/>
                <w:sz w:val="22"/>
                <w:szCs w:val="22"/>
              </w:rPr>
            </w:pPr>
            <w:r>
              <w:rPr>
                <w:rFonts w:ascii="微软雅黑" w:hAnsi="微软雅黑" w:eastAsia="微软雅黑" w:cs="微软雅黑"/>
                <w:spacing w:val="-6"/>
                <w:sz w:val="22"/>
                <w:szCs w:val="22"/>
              </w:rPr>
              <w:t>15</w:t>
            </w:r>
          </w:p>
        </w:tc>
        <w:tc>
          <w:tcPr>
            <w:tcW w:w="1276" w:type="dxa"/>
            <w:vMerge w:val="continue"/>
            <w:tcBorders>
              <w:top w:val="nil"/>
              <w:bottom w:val="nil"/>
            </w:tcBorders>
            <w:vAlign w:val="top"/>
          </w:tcPr>
          <w:p>
            <w:pPr>
              <w:rPr>
                <w:rFonts w:ascii="Arial"/>
                <w:sz w:val="21"/>
              </w:rPr>
            </w:pPr>
          </w:p>
        </w:tc>
        <w:tc>
          <w:tcPr>
            <w:tcW w:w="1985" w:type="dxa"/>
            <w:vMerge w:val="continue"/>
            <w:tcBorders>
              <w:top w:val="nil"/>
              <w:bottom w:val="nil"/>
            </w:tcBorders>
            <w:vAlign w:val="top"/>
          </w:tcPr>
          <w:p>
            <w:pPr>
              <w:rPr>
                <w:rFonts w:ascii="Arial"/>
                <w:sz w:val="21"/>
              </w:rPr>
            </w:pPr>
          </w:p>
        </w:tc>
        <w:tc>
          <w:tcPr>
            <w:tcW w:w="1842" w:type="dxa"/>
            <w:vMerge w:val="continue"/>
            <w:tcBorders>
              <w:top w:val="nil"/>
              <w:bottom w:val="nil"/>
            </w:tcBorders>
            <w:vAlign w:val="top"/>
          </w:tcPr>
          <w:p>
            <w:pPr>
              <w:rPr>
                <w:rFonts w:ascii="Arial"/>
                <w:sz w:val="21"/>
              </w:rPr>
            </w:pPr>
          </w:p>
        </w:tc>
        <w:tc>
          <w:tcPr>
            <w:tcW w:w="4309" w:type="dxa"/>
            <w:vAlign w:val="top"/>
          </w:tcPr>
          <w:p>
            <w:pPr>
              <w:spacing w:before="236" w:line="194" w:lineRule="auto"/>
              <w:ind w:left="13"/>
              <w:rPr>
                <w:rFonts w:ascii="微软雅黑" w:hAnsi="微软雅黑" w:eastAsia="微软雅黑" w:cs="微软雅黑"/>
                <w:sz w:val="22"/>
                <w:szCs w:val="22"/>
              </w:rPr>
            </w:pPr>
            <w:r>
              <w:rPr>
                <w:rFonts w:ascii="微软雅黑" w:hAnsi="微软雅黑" w:eastAsia="微软雅黑" w:cs="微软雅黑"/>
                <w:sz w:val="22"/>
                <w:szCs w:val="22"/>
              </w:rPr>
              <w:t>各类城市广场、地面停车场硬质铺装</w:t>
            </w:r>
          </w:p>
        </w:tc>
        <w:tc>
          <w:tcPr>
            <w:tcW w:w="1131" w:type="dxa"/>
            <w:vAlign w:val="top"/>
          </w:tcPr>
          <w:p>
            <w:pPr>
              <w:spacing w:before="236" w:line="194" w:lineRule="auto"/>
              <w:ind w:left="16"/>
              <w:rPr>
                <w:rFonts w:ascii="微软雅黑" w:hAnsi="微软雅黑" w:eastAsia="微软雅黑" w:cs="微软雅黑"/>
                <w:sz w:val="22"/>
                <w:szCs w:val="22"/>
              </w:rPr>
            </w:pPr>
            <w:r>
              <w:rPr>
                <w:rFonts w:ascii="微软雅黑" w:hAnsi="微软雅黑" w:eastAsia="微软雅黑" w:cs="微软雅黑"/>
                <w:sz w:val="22"/>
                <w:szCs w:val="22"/>
              </w:rPr>
              <w:t>符合性判断</w:t>
            </w:r>
          </w:p>
        </w:tc>
        <w:tc>
          <w:tcPr>
            <w:tcW w:w="909" w:type="dxa"/>
            <w:vAlign w:val="top"/>
          </w:tcPr>
          <w:p>
            <w:pPr>
              <w:spacing w:before="235" w:line="195" w:lineRule="auto"/>
              <w:ind w:left="237"/>
              <w:rPr>
                <w:rFonts w:ascii="微软雅黑" w:hAnsi="微软雅黑" w:eastAsia="微软雅黑" w:cs="微软雅黑"/>
                <w:sz w:val="22"/>
                <w:szCs w:val="22"/>
              </w:rPr>
            </w:pPr>
            <w:r>
              <w:rPr>
                <w:rFonts w:ascii="微软雅黑" w:hAnsi="微软雅黑" w:eastAsia="微软雅黑" w:cs="微软雅黑"/>
                <w:spacing w:val="-1"/>
                <w:sz w:val="22"/>
                <w:szCs w:val="22"/>
              </w:rPr>
              <w:t>符合</w:t>
            </w:r>
          </w:p>
        </w:tc>
        <w:tc>
          <w:tcPr>
            <w:tcW w:w="1795" w:type="dxa"/>
            <w:vAlign w:val="top"/>
          </w:tcPr>
          <w:p>
            <w:pPr>
              <w:spacing w:before="236" w:line="195" w:lineRule="auto"/>
              <w:ind w:left="689"/>
              <w:rPr>
                <w:rFonts w:ascii="微软雅黑" w:hAnsi="微软雅黑" w:eastAsia="微软雅黑" w:cs="微软雅黑"/>
                <w:sz w:val="22"/>
                <w:szCs w:val="22"/>
              </w:rPr>
            </w:pPr>
            <w:r>
              <w:rPr>
                <w:rFonts w:ascii="微软雅黑" w:hAnsi="微软雅黑" w:eastAsia="微软雅黑" w:cs="微软雅黑"/>
                <w:spacing w:val="-4"/>
                <w:sz w:val="22"/>
                <w:szCs w:val="22"/>
              </w:rPr>
              <w:t>乙级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9" w:hRule="atLeast"/>
        </w:trPr>
        <w:tc>
          <w:tcPr>
            <w:tcW w:w="708" w:type="dxa"/>
            <w:vMerge w:val="restart"/>
            <w:tcBorders>
              <w:bottom w:val="nil"/>
            </w:tcBorders>
            <w:vAlign w:val="top"/>
          </w:tcPr>
          <w:p>
            <w:pPr>
              <w:spacing w:line="479" w:lineRule="auto"/>
              <w:rPr>
                <w:rFonts w:ascii="Arial"/>
                <w:sz w:val="21"/>
              </w:rPr>
            </w:pPr>
          </w:p>
          <w:p>
            <w:pPr>
              <w:spacing w:before="94" w:line="173" w:lineRule="auto"/>
              <w:ind w:left="243"/>
              <w:rPr>
                <w:rFonts w:ascii="微软雅黑" w:hAnsi="微软雅黑" w:eastAsia="微软雅黑" w:cs="微软雅黑"/>
                <w:sz w:val="22"/>
                <w:szCs w:val="22"/>
              </w:rPr>
            </w:pPr>
            <w:r>
              <w:rPr>
                <w:rFonts w:ascii="微软雅黑" w:hAnsi="微软雅黑" w:eastAsia="微软雅黑" w:cs="微软雅黑"/>
                <w:spacing w:val="-6"/>
                <w:sz w:val="22"/>
                <w:szCs w:val="22"/>
              </w:rPr>
              <w:t>16</w:t>
            </w:r>
          </w:p>
        </w:tc>
        <w:tc>
          <w:tcPr>
            <w:tcW w:w="1276" w:type="dxa"/>
            <w:vMerge w:val="continue"/>
            <w:tcBorders>
              <w:top w:val="nil"/>
              <w:bottom w:val="nil"/>
            </w:tcBorders>
            <w:vAlign w:val="top"/>
          </w:tcPr>
          <w:p>
            <w:pPr>
              <w:rPr>
                <w:rFonts w:ascii="Arial"/>
                <w:sz w:val="21"/>
              </w:rPr>
            </w:pPr>
          </w:p>
        </w:tc>
        <w:tc>
          <w:tcPr>
            <w:tcW w:w="1985" w:type="dxa"/>
            <w:vMerge w:val="continue"/>
            <w:tcBorders>
              <w:top w:val="nil"/>
              <w:bottom w:val="nil"/>
            </w:tcBorders>
            <w:vAlign w:val="top"/>
          </w:tcPr>
          <w:p>
            <w:pPr>
              <w:rPr>
                <w:rFonts w:ascii="Arial"/>
                <w:sz w:val="21"/>
              </w:rPr>
            </w:pPr>
          </w:p>
        </w:tc>
        <w:tc>
          <w:tcPr>
            <w:tcW w:w="1842" w:type="dxa"/>
            <w:vMerge w:val="continue"/>
            <w:tcBorders>
              <w:top w:val="nil"/>
              <w:bottom w:val="nil"/>
            </w:tcBorders>
            <w:vAlign w:val="top"/>
          </w:tcPr>
          <w:p>
            <w:pPr>
              <w:rPr>
                <w:rFonts w:ascii="Arial"/>
                <w:sz w:val="21"/>
              </w:rPr>
            </w:pPr>
          </w:p>
        </w:tc>
        <w:tc>
          <w:tcPr>
            <w:tcW w:w="4309" w:type="dxa"/>
            <w:vMerge w:val="restart"/>
            <w:tcBorders>
              <w:bottom w:val="nil"/>
            </w:tcBorders>
            <w:vAlign w:val="top"/>
          </w:tcPr>
          <w:p>
            <w:pPr>
              <w:spacing w:line="470" w:lineRule="auto"/>
              <w:rPr>
                <w:rFonts w:ascii="Arial"/>
                <w:sz w:val="21"/>
              </w:rPr>
            </w:pPr>
          </w:p>
          <w:p>
            <w:pPr>
              <w:spacing w:before="94" w:line="194" w:lineRule="auto"/>
              <w:ind w:left="16"/>
              <w:rPr>
                <w:rFonts w:ascii="微软雅黑" w:hAnsi="微软雅黑" w:eastAsia="微软雅黑" w:cs="微软雅黑"/>
                <w:sz w:val="22"/>
                <w:szCs w:val="22"/>
              </w:rPr>
            </w:pPr>
            <w:r>
              <w:rPr>
                <w:rFonts w:ascii="微软雅黑" w:hAnsi="微软雅黑" w:eastAsia="微软雅黑" w:cs="微软雅黑"/>
                <w:spacing w:val="-1"/>
                <w:sz w:val="22"/>
                <w:szCs w:val="22"/>
              </w:rPr>
              <w:t>单项合同额</w:t>
            </w:r>
            <w:r>
              <w:rPr>
                <w:rFonts w:ascii="微软雅黑" w:hAnsi="微软雅黑" w:eastAsia="微软雅黑" w:cs="微软雅黑"/>
                <w:spacing w:val="-57"/>
                <w:sz w:val="22"/>
                <w:szCs w:val="22"/>
              </w:rPr>
              <w:t xml:space="preserve"> </w:t>
            </w:r>
            <w:r>
              <w:rPr>
                <w:rFonts w:ascii="微软雅黑" w:hAnsi="微软雅黑" w:eastAsia="微软雅黑" w:cs="微软雅黑"/>
                <w:spacing w:val="5"/>
                <w:sz w:val="22"/>
                <w:szCs w:val="22"/>
                <w:u w:val="single" w:color="auto"/>
              </w:rPr>
              <w:t xml:space="preserve">       </w:t>
            </w:r>
            <w:r>
              <w:rPr>
                <w:rFonts w:ascii="微软雅黑" w:hAnsi="微软雅黑" w:eastAsia="微软雅黑" w:cs="微软雅黑"/>
                <w:spacing w:val="-59"/>
                <w:sz w:val="22"/>
                <w:szCs w:val="22"/>
              </w:rPr>
              <w:t xml:space="preserve"> </w:t>
            </w:r>
            <w:r>
              <w:rPr>
                <w:rFonts w:ascii="微软雅黑" w:hAnsi="微软雅黑" w:eastAsia="微软雅黑" w:cs="微软雅黑"/>
                <w:spacing w:val="-1"/>
                <w:sz w:val="22"/>
                <w:szCs w:val="22"/>
              </w:rPr>
              <w:t>万元的市政综合工程</w:t>
            </w:r>
          </w:p>
        </w:tc>
        <w:tc>
          <w:tcPr>
            <w:tcW w:w="1131" w:type="dxa"/>
            <w:vMerge w:val="restart"/>
            <w:tcBorders>
              <w:bottom w:val="nil"/>
            </w:tcBorders>
            <w:vAlign w:val="top"/>
          </w:tcPr>
          <w:p>
            <w:pPr>
              <w:spacing w:line="470" w:lineRule="auto"/>
              <w:rPr>
                <w:rFonts w:ascii="Arial"/>
                <w:sz w:val="21"/>
              </w:rPr>
            </w:pPr>
          </w:p>
          <w:p>
            <w:pPr>
              <w:spacing w:before="94" w:line="194" w:lineRule="auto"/>
              <w:ind w:left="344"/>
              <w:rPr>
                <w:rFonts w:ascii="微软雅黑" w:hAnsi="微软雅黑" w:eastAsia="微软雅黑" w:cs="微软雅黑"/>
                <w:sz w:val="22"/>
                <w:szCs w:val="22"/>
              </w:rPr>
            </w:pPr>
            <w:r>
              <w:rPr>
                <w:rFonts w:ascii="微软雅黑" w:hAnsi="微软雅黑" w:eastAsia="微软雅黑" w:cs="微软雅黑"/>
                <w:spacing w:val="-1"/>
                <w:sz w:val="22"/>
                <w:szCs w:val="22"/>
              </w:rPr>
              <w:t>数值</w:t>
            </w:r>
          </w:p>
        </w:tc>
        <w:tc>
          <w:tcPr>
            <w:tcW w:w="909" w:type="dxa"/>
            <w:vAlign w:val="top"/>
          </w:tcPr>
          <w:p>
            <w:pPr>
              <w:spacing w:before="234" w:line="212" w:lineRule="auto"/>
              <w:ind w:left="141"/>
              <w:rPr>
                <w:rFonts w:ascii="微软雅黑" w:hAnsi="微软雅黑" w:eastAsia="微软雅黑" w:cs="微软雅黑"/>
                <w:sz w:val="22"/>
                <w:szCs w:val="22"/>
              </w:rPr>
            </w:pPr>
            <w:r>
              <w:rPr>
                <w:rFonts w:ascii="微软雅黑" w:hAnsi="微软雅黑" w:eastAsia="微软雅黑" w:cs="微软雅黑"/>
                <w:spacing w:val="-5"/>
                <w:sz w:val="22"/>
                <w:szCs w:val="22"/>
              </w:rPr>
              <w:t>≥4000</w:t>
            </w:r>
          </w:p>
        </w:tc>
        <w:tc>
          <w:tcPr>
            <w:tcW w:w="1795" w:type="dxa"/>
            <w:vAlign w:val="top"/>
          </w:tcPr>
          <w:p>
            <w:pPr>
              <w:spacing w:before="235" w:line="195" w:lineRule="auto"/>
              <w:ind w:left="699"/>
              <w:rPr>
                <w:rFonts w:ascii="微软雅黑" w:hAnsi="微软雅黑" w:eastAsia="微软雅黑" w:cs="微软雅黑"/>
                <w:sz w:val="22"/>
                <w:szCs w:val="22"/>
              </w:rPr>
            </w:pPr>
            <w:r>
              <w:rPr>
                <w:rFonts w:ascii="微软雅黑" w:hAnsi="微软雅黑" w:eastAsia="微软雅黑" w:cs="微软雅黑"/>
                <w:spacing w:val="-6"/>
                <w:sz w:val="22"/>
                <w:szCs w:val="22"/>
              </w:rPr>
              <w:t>甲级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8" w:hRule="atLeast"/>
        </w:trPr>
        <w:tc>
          <w:tcPr>
            <w:tcW w:w="708" w:type="dxa"/>
            <w:vMerge w:val="continue"/>
            <w:tcBorders>
              <w:top w:val="nil"/>
            </w:tcBorders>
            <w:vAlign w:val="top"/>
          </w:tcPr>
          <w:p>
            <w:pPr>
              <w:rPr>
                <w:rFonts w:ascii="Arial"/>
                <w:sz w:val="21"/>
              </w:rPr>
            </w:pPr>
          </w:p>
        </w:tc>
        <w:tc>
          <w:tcPr>
            <w:tcW w:w="1276" w:type="dxa"/>
            <w:vMerge w:val="continue"/>
            <w:tcBorders>
              <w:top w:val="nil"/>
              <w:bottom w:val="nil"/>
            </w:tcBorders>
            <w:vAlign w:val="top"/>
          </w:tcPr>
          <w:p>
            <w:pPr>
              <w:rPr>
                <w:rFonts w:ascii="Arial"/>
                <w:sz w:val="21"/>
              </w:rPr>
            </w:pPr>
          </w:p>
        </w:tc>
        <w:tc>
          <w:tcPr>
            <w:tcW w:w="1985" w:type="dxa"/>
            <w:vMerge w:val="continue"/>
            <w:tcBorders>
              <w:top w:val="nil"/>
            </w:tcBorders>
            <w:vAlign w:val="top"/>
          </w:tcPr>
          <w:p>
            <w:pPr>
              <w:rPr>
                <w:rFonts w:ascii="Arial"/>
                <w:sz w:val="21"/>
              </w:rPr>
            </w:pPr>
          </w:p>
        </w:tc>
        <w:tc>
          <w:tcPr>
            <w:tcW w:w="1842" w:type="dxa"/>
            <w:vMerge w:val="continue"/>
            <w:tcBorders>
              <w:top w:val="nil"/>
            </w:tcBorders>
            <w:vAlign w:val="top"/>
          </w:tcPr>
          <w:p>
            <w:pPr>
              <w:rPr>
                <w:rFonts w:ascii="Arial"/>
                <w:sz w:val="21"/>
              </w:rPr>
            </w:pPr>
          </w:p>
        </w:tc>
        <w:tc>
          <w:tcPr>
            <w:tcW w:w="4309" w:type="dxa"/>
            <w:vMerge w:val="continue"/>
            <w:tcBorders>
              <w:top w:val="nil"/>
            </w:tcBorders>
            <w:vAlign w:val="top"/>
          </w:tcPr>
          <w:p>
            <w:pPr>
              <w:rPr>
                <w:rFonts w:ascii="Arial"/>
                <w:sz w:val="21"/>
              </w:rPr>
            </w:pPr>
          </w:p>
        </w:tc>
        <w:tc>
          <w:tcPr>
            <w:tcW w:w="1131" w:type="dxa"/>
            <w:vMerge w:val="continue"/>
            <w:tcBorders>
              <w:top w:val="nil"/>
            </w:tcBorders>
            <w:vAlign w:val="top"/>
          </w:tcPr>
          <w:p>
            <w:pPr>
              <w:rPr>
                <w:rFonts w:ascii="Arial"/>
                <w:sz w:val="21"/>
              </w:rPr>
            </w:pPr>
          </w:p>
        </w:tc>
        <w:tc>
          <w:tcPr>
            <w:tcW w:w="909" w:type="dxa"/>
            <w:vAlign w:val="top"/>
          </w:tcPr>
          <w:p>
            <w:pPr>
              <w:spacing w:before="245" w:line="172" w:lineRule="auto"/>
              <w:ind w:left="146"/>
              <w:rPr>
                <w:rFonts w:ascii="微软雅黑" w:hAnsi="微软雅黑" w:eastAsia="微软雅黑" w:cs="微软雅黑"/>
                <w:sz w:val="22"/>
                <w:szCs w:val="22"/>
              </w:rPr>
            </w:pPr>
            <w:r>
              <w:rPr>
                <w:rFonts w:ascii="微软雅黑" w:hAnsi="微软雅黑" w:eastAsia="微软雅黑" w:cs="微软雅黑"/>
                <w:spacing w:val="-5"/>
                <w:sz w:val="22"/>
                <w:szCs w:val="22"/>
              </w:rPr>
              <w:t>&lt;4000</w:t>
            </w:r>
          </w:p>
        </w:tc>
        <w:tc>
          <w:tcPr>
            <w:tcW w:w="1795" w:type="dxa"/>
            <w:vAlign w:val="top"/>
          </w:tcPr>
          <w:p>
            <w:pPr>
              <w:spacing w:before="236" w:line="195" w:lineRule="auto"/>
              <w:ind w:left="689"/>
              <w:rPr>
                <w:rFonts w:ascii="微软雅黑" w:hAnsi="微软雅黑" w:eastAsia="微软雅黑" w:cs="微软雅黑"/>
                <w:sz w:val="22"/>
                <w:szCs w:val="22"/>
              </w:rPr>
            </w:pPr>
            <w:r>
              <w:rPr>
                <w:rFonts w:ascii="微软雅黑" w:hAnsi="微软雅黑" w:eastAsia="微软雅黑" w:cs="微软雅黑"/>
                <w:spacing w:val="-4"/>
                <w:sz w:val="22"/>
                <w:szCs w:val="22"/>
              </w:rPr>
              <w:t>乙级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64" w:hRule="atLeast"/>
        </w:trPr>
        <w:tc>
          <w:tcPr>
            <w:tcW w:w="708" w:type="dxa"/>
            <w:vAlign w:val="top"/>
          </w:tcPr>
          <w:p>
            <w:pPr>
              <w:spacing w:before="246" w:line="173" w:lineRule="auto"/>
              <w:ind w:left="243"/>
              <w:rPr>
                <w:rFonts w:ascii="微软雅黑" w:hAnsi="微软雅黑" w:eastAsia="微软雅黑" w:cs="微软雅黑"/>
                <w:sz w:val="22"/>
                <w:szCs w:val="22"/>
              </w:rPr>
            </w:pPr>
            <w:r>
              <w:rPr>
                <w:rFonts w:ascii="微软雅黑" w:hAnsi="微软雅黑" w:eastAsia="微软雅黑" w:cs="微软雅黑"/>
                <w:spacing w:val="-6"/>
                <w:sz w:val="22"/>
                <w:szCs w:val="22"/>
              </w:rPr>
              <w:t>17</w:t>
            </w:r>
          </w:p>
        </w:tc>
        <w:tc>
          <w:tcPr>
            <w:tcW w:w="1276" w:type="dxa"/>
            <w:vMerge w:val="continue"/>
            <w:tcBorders>
              <w:top w:val="nil"/>
            </w:tcBorders>
            <w:vAlign w:val="top"/>
          </w:tcPr>
          <w:p>
            <w:pPr>
              <w:rPr>
                <w:rFonts w:ascii="Arial"/>
                <w:sz w:val="21"/>
              </w:rPr>
            </w:pPr>
          </w:p>
        </w:tc>
        <w:tc>
          <w:tcPr>
            <w:tcW w:w="1985" w:type="dxa"/>
            <w:vAlign w:val="top"/>
          </w:tcPr>
          <w:p>
            <w:pPr>
              <w:spacing w:before="238" w:line="194" w:lineRule="auto"/>
              <w:ind w:left="551"/>
              <w:rPr>
                <w:rFonts w:ascii="微软雅黑" w:hAnsi="微软雅黑" w:eastAsia="微软雅黑" w:cs="微软雅黑"/>
                <w:sz w:val="22"/>
                <w:szCs w:val="22"/>
              </w:rPr>
            </w:pPr>
            <w:r>
              <w:rPr>
                <w:rFonts w:ascii="微软雅黑" w:hAnsi="微软雅黑" w:eastAsia="微软雅黑" w:cs="微软雅黑"/>
                <w:spacing w:val="-1"/>
                <w:sz w:val="22"/>
                <w:szCs w:val="22"/>
              </w:rPr>
              <w:t>专业资质</w:t>
            </w:r>
          </w:p>
        </w:tc>
        <w:tc>
          <w:tcPr>
            <w:tcW w:w="1842" w:type="dxa"/>
            <w:vAlign w:val="top"/>
          </w:tcPr>
          <w:p>
            <w:pPr>
              <w:rPr>
                <w:rFonts w:ascii="Arial"/>
                <w:sz w:val="21"/>
              </w:rPr>
            </w:pPr>
          </w:p>
        </w:tc>
        <w:tc>
          <w:tcPr>
            <w:tcW w:w="4309" w:type="dxa"/>
            <w:vAlign w:val="top"/>
          </w:tcPr>
          <w:p>
            <w:pPr>
              <w:rPr>
                <w:rFonts w:ascii="Arial"/>
                <w:sz w:val="21"/>
              </w:rPr>
            </w:pPr>
          </w:p>
        </w:tc>
        <w:tc>
          <w:tcPr>
            <w:tcW w:w="1131" w:type="dxa"/>
            <w:vAlign w:val="top"/>
          </w:tcPr>
          <w:p>
            <w:pPr>
              <w:spacing w:before="237" w:line="194" w:lineRule="auto"/>
              <w:ind w:left="344"/>
              <w:rPr>
                <w:rFonts w:ascii="微软雅黑" w:hAnsi="微软雅黑" w:eastAsia="微软雅黑" w:cs="微软雅黑"/>
                <w:sz w:val="22"/>
                <w:szCs w:val="22"/>
              </w:rPr>
            </w:pPr>
            <w:r>
              <w:rPr>
                <w:rFonts w:ascii="微软雅黑" w:hAnsi="微软雅黑" w:eastAsia="微软雅黑" w:cs="微软雅黑"/>
                <w:spacing w:val="-1"/>
                <w:sz w:val="22"/>
                <w:szCs w:val="22"/>
              </w:rPr>
              <w:t>数值</w:t>
            </w:r>
          </w:p>
        </w:tc>
        <w:tc>
          <w:tcPr>
            <w:tcW w:w="909" w:type="dxa"/>
            <w:vAlign w:val="top"/>
          </w:tcPr>
          <w:p>
            <w:pPr>
              <w:spacing w:before="237" w:line="212" w:lineRule="auto"/>
              <w:ind w:left="141"/>
              <w:rPr>
                <w:rFonts w:ascii="微软雅黑" w:hAnsi="微软雅黑" w:eastAsia="微软雅黑" w:cs="微软雅黑"/>
                <w:sz w:val="22"/>
                <w:szCs w:val="22"/>
              </w:rPr>
            </w:pPr>
            <w:r>
              <w:rPr>
                <w:rFonts w:ascii="微软雅黑" w:hAnsi="微软雅黑" w:eastAsia="微软雅黑" w:cs="微软雅黑"/>
                <w:spacing w:val="-5"/>
                <w:sz w:val="22"/>
                <w:szCs w:val="22"/>
              </w:rPr>
              <w:t>≥2000</w:t>
            </w:r>
          </w:p>
        </w:tc>
        <w:tc>
          <w:tcPr>
            <w:tcW w:w="1795" w:type="dxa"/>
            <w:vAlign w:val="top"/>
          </w:tcPr>
          <w:p>
            <w:pPr>
              <w:spacing w:before="238" w:line="195" w:lineRule="auto"/>
              <w:ind w:left="699"/>
              <w:rPr>
                <w:rFonts w:ascii="微软雅黑" w:hAnsi="微软雅黑" w:eastAsia="微软雅黑" w:cs="微软雅黑"/>
                <w:sz w:val="22"/>
                <w:szCs w:val="22"/>
              </w:rPr>
            </w:pPr>
            <w:r>
              <w:rPr>
                <w:rFonts w:ascii="微软雅黑" w:hAnsi="微软雅黑" w:eastAsia="微软雅黑" w:cs="微软雅黑"/>
                <w:spacing w:val="-6"/>
                <w:sz w:val="22"/>
                <w:szCs w:val="22"/>
              </w:rPr>
              <w:t>甲级</w:t>
            </w:r>
          </w:p>
        </w:tc>
      </w:tr>
    </w:tbl>
    <w:p>
      <w:pPr>
        <w:pStyle w:val="16"/>
        <w:spacing w:line="270" w:lineRule="auto"/>
      </w:pPr>
    </w:p>
    <w:p>
      <w:pPr>
        <w:pStyle w:val="16"/>
        <w:spacing w:line="270" w:lineRule="auto"/>
      </w:pPr>
    </w:p>
    <w:p>
      <w:pPr>
        <w:pStyle w:val="16"/>
        <w:spacing w:line="270" w:lineRule="auto"/>
      </w:pPr>
    </w:p>
    <w:p>
      <w:pPr>
        <w:pStyle w:val="16"/>
        <w:spacing w:line="271" w:lineRule="auto"/>
      </w:pPr>
    </w:p>
    <w:p>
      <w:pPr>
        <w:pStyle w:val="16"/>
        <w:spacing w:before="69" w:line="327" w:lineRule="exact"/>
        <w:ind w:left="4057"/>
        <w:rPr>
          <w:sz w:val="24"/>
          <w:szCs w:val="24"/>
        </w:rPr>
      </w:pPr>
      <w:r>
        <w:rPr>
          <w:spacing w:val="-4"/>
          <w:position w:val="1"/>
          <w:sz w:val="24"/>
          <w:szCs w:val="24"/>
        </w:rPr>
        <w:t>34 /</w:t>
      </w:r>
      <w:r>
        <w:rPr>
          <w:spacing w:val="26"/>
          <w:position w:val="1"/>
          <w:sz w:val="24"/>
          <w:szCs w:val="24"/>
        </w:rPr>
        <w:t xml:space="preserve"> </w:t>
      </w:r>
      <w:r>
        <w:rPr>
          <w:spacing w:val="-4"/>
          <w:position w:val="1"/>
          <w:sz w:val="24"/>
          <w:szCs w:val="24"/>
        </w:rPr>
        <w:t>165</w:t>
      </w:r>
    </w:p>
    <w:p>
      <w:pPr>
        <w:spacing w:line="327" w:lineRule="exact"/>
        <w:rPr>
          <w:sz w:val="24"/>
          <w:szCs w:val="24"/>
        </w:rPr>
        <w:sectPr>
          <w:pgSz w:w="16839" w:h="11907"/>
          <w:pgMar w:top="400" w:right="1438" w:bottom="400" w:left="995" w:header="0" w:footer="0" w:gutter="0"/>
          <w:cols w:space="720" w:num="1"/>
        </w:sectPr>
      </w:pPr>
    </w:p>
    <w:p>
      <w:pPr>
        <w:spacing w:before="39"/>
      </w:pPr>
      <w:r>
        <mc:AlternateContent>
          <mc:Choice Requires="wps">
            <w:drawing>
              <wp:anchor distT="0" distB="0" distL="114300" distR="114300" simplePos="0" relativeHeight="251668480" behindDoc="0" locked="0" layoutInCell="0" allowOverlap="1">
                <wp:simplePos x="0" y="0"/>
                <wp:positionH relativeFrom="page">
                  <wp:posOffset>631825</wp:posOffset>
                </wp:positionH>
                <wp:positionV relativeFrom="page">
                  <wp:posOffset>6922135</wp:posOffset>
                </wp:positionV>
                <wp:extent cx="6292850" cy="6350"/>
                <wp:effectExtent l="0" t="0" r="0" b="0"/>
                <wp:wrapNone/>
                <wp:docPr id="18" name="任意多边形 18"/>
                <wp:cNvGraphicFramePr/>
                <a:graphic xmlns:a="http://schemas.openxmlformats.org/drawingml/2006/main">
                  <a:graphicData uri="http://schemas.microsoft.com/office/word/2010/wordprocessingShape">
                    <wps:wsp>
                      <wps:cNvSpPr/>
                      <wps:spPr>
                        <a:xfrm>
                          <a:off x="0" y="0"/>
                          <a:ext cx="6292850" cy="6350"/>
                        </a:xfrm>
                        <a:custGeom>
                          <a:avLst/>
                          <a:gdLst/>
                          <a:ahLst/>
                          <a:cxnLst/>
                          <a:pathLst>
                            <a:path w="9910" h="10">
                              <a:moveTo>
                                <a:pt x="5" y="5"/>
                              </a:moveTo>
                              <a:lnTo>
                                <a:pt x="4955" y="5"/>
                              </a:lnTo>
                              <a:moveTo>
                                <a:pt x="4955" y="5"/>
                              </a:moveTo>
                              <a:lnTo>
                                <a:pt x="9905" y="5"/>
                              </a:lnTo>
                            </a:path>
                          </a:pathLst>
                        </a:custGeom>
                        <a:noFill/>
                        <a:ln w="6350" cap="sq" cmpd="sng">
                          <a:solidFill>
                            <a:srgbClr val="000000"/>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49.75pt;margin-top:545.05pt;height:0.5pt;width:495.5pt;mso-position-horizontal-relative:page;mso-position-vertical-relative:page;z-index:251668480;mso-width-relative:page;mso-height-relative:page;" filled="f" stroked="t" coordsize="9910,10" o:allowincell="f" o:gfxdata="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WAAAAZHJzL1BL&#10;AQIUABQAAAAIAIdO4kDujIKO2gAAAA0BAAAPAAAAAAAAAAEAIAAAADgAAABkcnMvZG93bnJldi54&#10;bWxQSwECFAAUAAAACACHTuJAWPziP1QCAAD2BAAADgAAAAAAAAABACAAAAA/AQAAZHJzL2Uyb0Rv&#10;Yy54bWxQSwUGAAAAAAYABgBZAQAABQYAAAAA&#10;" path="m5,5l4955,5m4955,5l9905,5e">
                <v:fill on="f" focussize="0,0"/>
                <v:stroke weight="0.5pt" color="#000000" miterlimit="10" joinstyle="miter" endcap="square"/>
                <v:imagedata o:title=""/>
                <o:lock v:ext="edit" aspectratio="f"/>
              </v:shape>
            </w:pict>
          </mc:Fallback>
        </mc:AlternateContent>
      </w:r>
    </w:p>
    <w:p>
      <w:pPr>
        <w:spacing w:before="39"/>
      </w:pPr>
    </w:p>
    <w:p>
      <w:pPr>
        <w:spacing w:before="39"/>
      </w:pPr>
    </w:p>
    <w:p>
      <w:pPr>
        <w:spacing w:before="38"/>
      </w:pPr>
    </w:p>
    <w:p>
      <w:pPr>
        <w:spacing w:before="38"/>
      </w:pPr>
    </w:p>
    <w:tbl>
      <w:tblPr>
        <w:tblStyle w:val="96"/>
        <w:tblW w:w="13955" w:type="dxa"/>
        <w:tblInd w:w="44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8"/>
        <w:gridCol w:w="1276"/>
        <w:gridCol w:w="1985"/>
        <w:gridCol w:w="1842"/>
        <w:gridCol w:w="4309"/>
        <w:gridCol w:w="1131"/>
        <w:gridCol w:w="909"/>
        <w:gridCol w:w="17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88" w:hRule="atLeast"/>
        </w:trPr>
        <w:tc>
          <w:tcPr>
            <w:tcW w:w="708" w:type="dxa"/>
            <w:vAlign w:val="top"/>
          </w:tcPr>
          <w:p>
            <w:pPr>
              <w:rPr>
                <w:rFonts w:ascii="Arial"/>
                <w:sz w:val="21"/>
              </w:rPr>
            </w:pPr>
          </w:p>
        </w:tc>
        <w:tc>
          <w:tcPr>
            <w:tcW w:w="1276" w:type="dxa"/>
            <w:vMerge w:val="restart"/>
            <w:tcBorders>
              <w:bottom w:val="nil"/>
            </w:tcBorders>
            <w:vAlign w:val="top"/>
          </w:tcPr>
          <w:p>
            <w:pPr>
              <w:rPr>
                <w:rFonts w:ascii="Arial"/>
                <w:sz w:val="21"/>
              </w:rPr>
            </w:pPr>
          </w:p>
        </w:tc>
        <w:tc>
          <w:tcPr>
            <w:tcW w:w="1985" w:type="dxa"/>
            <w:vMerge w:val="restart"/>
            <w:tcBorders>
              <w:bottom w:val="nil"/>
            </w:tcBorders>
            <w:vAlign w:val="top"/>
          </w:tcPr>
          <w:p>
            <w:pPr>
              <w:rPr>
                <w:rFonts w:ascii="Arial"/>
                <w:sz w:val="21"/>
              </w:rPr>
            </w:pPr>
          </w:p>
        </w:tc>
        <w:tc>
          <w:tcPr>
            <w:tcW w:w="1842"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before="95" w:line="624" w:lineRule="exact"/>
              <w:ind w:left="35"/>
              <w:rPr>
                <w:rFonts w:ascii="微软雅黑" w:hAnsi="微软雅黑" w:eastAsia="微软雅黑" w:cs="微软雅黑"/>
                <w:sz w:val="22"/>
                <w:szCs w:val="22"/>
              </w:rPr>
            </w:pPr>
            <w:r>
              <w:rPr>
                <w:rFonts w:ascii="微软雅黑" w:hAnsi="微软雅黑" w:eastAsia="微软雅黑" w:cs="微软雅黑"/>
                <w:position w:val="30"/>
                <w:sz w:val="22"/>
                <w:szCs w:val="22"/>
              </w:rPr>
              <w:t>建筑机电安装工程</w:t>
            </w:r>
          </w:p>
          <w:p>
            <w:pPr>
              <w:spacing w:line="194" w:lineRule="auto"/>
              <w:ind w:left="481"/>
              <w:rPr>
                <w:rFonts w:ascii="微软雅黑" w:hAnsi="微软雅黑" w:eastAsia="微软雅黑" w:cs="微软雅黑"/>
                <w:sz w:val="22"/>
                <w:szCs w:val="22"/>
              </w:rPr>
            </w:pPr>
            <w:r>
              <w:rPr>
                <w:rFonts w:ascii="微软雅黑" w:hAnsi="微软雅黑" w:eastAsia="微软雅黑" w:cs="微软雅黑"/>
                <w:spacing w:val="-1"/>
                <w:sz w:val="22"/>
                <w:szCs w:val="22"/>
              </w:rPr>
              <w:t>专业承包</w:t>
            </w:r>
          </w:p>
        </w:tc>
        <w:tc>
          <w:tcPr>
            <w:tcW w:w="4309" w:type="dxa"/>
            <w:vAlign w:val="top"/>
          </w:tcPr>
          <w:p>
            <w:pPr>
              <w:spacing w:before="235" w:line="397" w:lineRule="auto"/>
              <w:ind w:left="16"/>
              <w:rPr>
                <w:rFonts w:ascii="微软雅黑" w:hAnsi="微软雅黑" w:eastAsia="微软雅黑" w:cs="微软雅黑"/>
                <w:sz w:val="22"/>
                <w:szCs w:val="22"/>
              </w:rPr>
            </w:pPr>
            <w:r>
              <w:rPr>
                <w:rFonts w:ascii="微软雅黑" w:hAnsi="微软雅黑" w:eastAsia="微软雅黑" w:cs="微软雅黑"/>
                <w:spacing w:val="-1"/>
                <w:sz w:val="22"/>
                <w:szCs w:val="22"/>
              </w:rPr>
              <w:t>单项合同额</w:t>
            </w:r>
            <w:r>
              <w:rPr>
                <w:rFonts w:ascii="微软雅黑" w:hAnsi="微软雅黑" w:eastAsia="微软雅黑" w:cs="微软雅黑"/>
                <w:spacing w:val="-54"/>
                <w:sz w:val="22"/>
                <w:szCs w:val="22"/>
              </w:rPr>
              <w:t xml:space="preserve"> </w:t>
            </w:r>
            <w:r>
              <w:rPr>
                <w:rFonts w:ascii="微软雅黑" w:hAnsi="微软雅黑" w:eastAsia="微软雅黑" w:cs="微软雅黑"/>
                <w:spacing w:val="5"/>
                <w:sz w:val="22"/>
                <w:szCs w:val="22"/>
                <w:u w:val="single" w:color="auto"/>
              </w:rPr>
              <w:t xml:space="preserve">       </w:t>
            </w:r>
            <w:r>
              <w:rPr>
                <w:rFonts w:ascii="微软雅黑" w:hAnsi="微软雅黑" w:eastAsia="微软雅黑" w:cs="微软雅黑"/>
                <w:spacing w:val="-59"/>
                <w:sz w:val="22"/>
                <w:szCs w:val="22"/>
              </w:rPr>
              <w:t xml:space="preserve"> </w:t>
            </w:r>
            <w:r>
              <w:rPr>
                <w:rFonts w:ascii="微软雅黑" w:hAnsi="微软雅黑" w:eastAsia="微软雅黑" w:cs="微软雅黑"/>
                <w:spacing w:val="-1"/>
                <w:sz w:val="22"/>
                <w:szCs w:val="22"/>
              </w:rPr>
              <w:t>万元的各类建筑工程项目的</w:t>
            </w:r>
          </w:p>
          <w:p>
            <w:pPr>
              <w:spacing w:before="1" w:line="194" w:lineRule="auto"/>
              <w:ind w:left="16"/>
              <w:rPr>
                <w:rFonts w:ascii="微软雅黑" w:hAnsi="微软雅黑" w:eastAsia="微软雅黑" w:cs="微软雅黑"/>
                <w:sz w:val="22"/>
                <w:szCs w:val="22"/>
              </w:rPr>
            </w:pPr>
            <w:r>
              <w:rPr>
                <w:rFonts w:ascii="微软雅黑" w:hAnsi="微软雅黑" w:eastAsia="微软雅黑" w:cs="微软雅黑"/>
                <w:spacing w:val="-1"/>
                <w:sz w:val="22"/>
                <w:szCs w:val="22"/>
              </w:rPr>
              <w:t>设备、线路、管道的安装</w:t>
            </w:r>
          </w:p>
        </w:tc>
        <w:tc>
          <w:tcPr>
            <w:tcW w:w="1131" w:type="dxa"/>
            <w:vAlign w:val="top"/>
          </w:tcPr>
          <w:p>
            <w:pPr>
              <w:rPr>
                <w:rFonts w:ascii="Arial"/>
                <w:sz w:val="21"/>
              </w:rPr>
            </w:pPr>
          </w:p>
        </w:tc>
        <w:tc>
          <w:tcPr>
            <w:tcW w:w="909" w:type="dxa"/>
            <w:vAlign w:val="top"/>
          </w:tcPr>
          <w:p>
            <w:pPr>
              <w:spacing w:line="460" w:lineRule="auto"/>
              <w:rPr>
                <w:rFonts w:ascii="Arial"/>
                <w:sz w:val="21"/>
              </w:rPr>
            </w:pPr>
          </w:p>
          <w:p>
            <w:pPr>
              <w:spacing w:before="94" w:line="172" w:lineRule="auto"/>
              <w:ind w:left="146"/>
              <w:rPr>
                <w:rFonts w:ascii="微软雅黑" w:hAnsi="微软雅黑" w:eastAsia="微软雅黑" w:cs="微软雅黑"/>
                <w:sz w:val="22"/>
                <w:szCs w:val="22"/>
              </w:rPr>
            </w:pPr>
            <w:r>
              <w:rPr>
                <w:rFonts w:ascii="微软雅黑" w:hAnsi="微软雅黑" w:eastAsia="微软雅黑" w:cs="微软雅黑"/>
                <w:spacing w:val="-5"/>
                <w:sz w:val="22"/>
                <w:szCs w:val="22"/>
              </w:rPr>
              <w:t>&lt;2000</w:t>
            </w:r>
          </w:p>
        </w:tc>
        <w:tc>
          <w:tcPr>
            <w:tcW w:w="1795" w:type="dxa"/>
            <w:vAlign w:val="top"/>
          </w:tcPr>
          <w:p>
            <w:pPr>
              <w:spacing w:line="451" w:lineRule="auto"/>
              <w:rPr>
                <w:rFonts w:ascii="Arial"/>
                <w:sz w:val="21"/>
              </w:rPr>
            </w:pPr>
          </w:p>
          <w:p>
            <w:pPr>
              <w:spacing w:before="94" w:line="195" w:lineRule="auto"/>
              <w:ind w:left="689"/>
              <w:rPr>
                <w:rFonts w:ascii="微软雅黑" w:hAnsi="微软雅黑" w:eastAsia="微软雅黑" w:cs="微软雅黑"/>
                <w:sz w:val="22"/>
                <w:szCs w:val="22"/>
              </w:rPr>
            </w:pPr>
            <w:r>
              <w:rPr>
                <w:rFonts w:ascii="微软雅黑" w:hAnsi="微软雅黑" w:eastAsia="微软雅黑" w:cs="微软雅黑"/>
                <w:spacing w:val="-4"/>
                <w:sz w:val="22"/>
                <w:szCs w:val="22"/>
              </w:rPr>
              <w:t>乙级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8" w:hRule="atLeast"/>
        </w:trPr>
        <w:tc>
          <w:tcPr>
            <w:tcW w:w="708" w:type="dxa"/>
            <w:vMerge w:val="restart"/>
            <w:tcBorders>
              <w:bottom w:val="nil"/>
            </w:tcBorders>
            <w:vAlign w:val="top"/>
          </w:tcPr>
          <w:p>
            <w:pPr>
              <w:spacing w:line="474" w:lineRule="auto"/>
              <w:rPr>
                <w:rFonts w:ascii="Arial"/>
                <w:sz w:val="21"/>
              </w:rPr>
            </w:pPr>
          </w:p>
          <w:p>
            <w:pPr>
              <w:spacing w:before="94" w:line="173" w:lineRule="auto"/>
              <w:ind w:left="243"/>
              <w:rPr>
                <w:rFonts w:ascii="微软雅黑" w:hAnsi="微软雅黑" w:eastAsia="微软雅黑" w:cs="微软雅黑"/>
                <w:sz w:val="22"/>
                <w:szCs w:val="22"/>
              </w:rPr>
            </w:pPr>
            <w:r>
              <w:rPr>
                <w:rFonts w:ascii="微软雅黑" w:hAnsi="微软雅黑" w:eastAsia="微软雅黑" w:cs="微软雅黑"/>
                <w:spacing w:val="-6"/>
                <w:sz w:val="22"/>
                <w:szCs w:val="22"/>
              </w:rPr>
              <w:t>18</w:t>
            </w:r>
          </w:p>
        </w:tc>
        <w:tc>
          <w:tcPr>
            <w:tcW w:w="1276" w:type="dxa"/>
            <w:vMerge w:val="continue"/>
            <w:tcBorders>
              <w:top w:val="nil"/>
              <w:bottom w:val="nil"/>
            </w:tcBorders>
            <w:vAlign w:val="top"/>
          </w:tcPr>
          <w:p>
            <w:pPr>
              <w:rPr>
                <w:rFonts w:ascii="Arial"/>
                <w:sz w:val="21"/>
              </w:rPr>
            </w:pPr>
          </w:p>
        </w:tc>
        <w:tc>
          <w:tcPr>
            <w:tcW w:w="1985" w:type="dxa"/>
            <w:vMerge w:val="continue"/>
            <w:tcBorders>
              <w:top w:val="nil"/>
              <w:bottom w:val="nil"/>
            </w:tcBorders>
            <w:vAlign w:val="top"/>
          </w:tcPr>
          <w:p>
            <w:pPr>
              <w:rPr>
                <w:rFonts w:ascii="Arial"/>
                <w:sz w:val="21"/>
              </w:rPr>
            </w:pPr>
          </w:p>
        </w:tc>
        <w:tc>
          <w:tcPr>
            <w:tcW w:w="1842" w:type="dxa"/>
            <w:vMerge w:val="continue"/>
            <w:tcBorders>
              <w:top w:val="nil"/>
              <w:bottom w:val="nil"/>
            </w:tcBorders>
            <w:vAlign w:val="top"/>
          </w:tcPr>
          <w:p>
            <w:pPr>
              <w:rPr>
                <w:rFonts w:ascii="Arial"/>
                <w:sz w:val="21"/>
              </w:rPr>
            </w:pPr>
          </w:p>
        </w:tc>
        <w:tc>
          <w:tcPr>
            <w:tcW w:w="4309" w:type="dxa"/>
            <w:vMerge w:val="restart"/>
            <w:tcBorders>
              <w:bottom w:val="nil"/>
            </w:tcBorders>
            <w:vAlign w:val="top"/>
          </w:tcPr>
          <w:p>
            <w:pPr>
              <w:spacing w:line="465" w:lineRule="auto"/>
              <w:rPr>
                <w:rFonts w:ascii="Arial"/>
                <w:sz w:val="21"/>
              </w:rPr>
            </w:pPr>
          </w:p>
          <w:p>
            <w:pPr>
              <w:tabs>
                <w:tab w:val="left" w:pos="504"/>
              </w:tabs>
              <w:spacing w:before="95" w:line="195" w:lineRule="auto"/>
              <w:ind w:left="12"/>
              <w:rPr>
                <w:rFonts w:ascii="微软雅黑" w:hAnsi="微软雅黑" w:eastAsia="微软雅黑" w:cs="微软雅黑"/>
                <w:sz w:val="22"/>
                <w:szCs w:val="22"/>
              </w:rPr>
            </w:pPr>
            <w:r>
              <w:rPr>
                <w:rFonts w:ascii="微软雅黑" w:hAnsi="微软雅黑" w:eastAsia="微软雅黑" w:cs="微软雅黑"/>
                <w:sz w:val="22"/>
                <w:szCs w:val="22"/>
                <w:u w:val="single" w:color="auto"/>
              </w:rPr>
              <w:tab/>
            </w:r>
            <w:r>
              <w:rPr>
                <w:rFonts w:ascii="微软雅黑" w:hAnsi="微软雅黑" w:eastAsia="微软雅黑" w:cs="微软雅黑"/>
                <w:spacing w:val="-54"/>
                <w:sz w:val="22"/>
                <w:szCs w:val="22"/>
              </w:rPr>
              <w:t xml:space="preserve"> </w:t>
            </w:r>
            <w:r>
              <w:rPr>
                <w:rFonts w:ascii="微软雅黑" w:hAnsi="微软雅黑" w:eastAsia="微软雅黑" w:cs="微软雅黑"/>
                <w:spacing w:val="-1"/>
                <w:sz w:val="22"/>
                <w:szCs w:val="22"/>
              </w:rPr>
              <w:t>千伏变配电站工程</w:t>
            </w:r>
          </w:p>
        </w:tc>
        <w:tc>
          <w:tcPr>
            <w:tcW w:w="1131" w:type="dxa"/>
            <w:vMerge w:val="restart"/>
            <w:tcBorders>
              <w:bottom w:val="nil"/>
            </w:tcBorders>
            <w:vAlign w:val="top"/>
          </w:tcPr>
          <w:p>
            <w:pPr>
              <w:spacing w:line="465" w:lineRule="auto"/>
              <w:rPr>
                <w:rFonts w:ascii="Arial"/>
                <w:sz w:val="21"/>
              </w:rPr>
            </w:pPr>
          </w:p>
          <w:p>
            <w:pPr>
              <w:spacing w:before="94" w:line="194" w:lineRule="auto"/>
              <w:ind w:left="344"/>
              <w:rPr>
                <w:rFonts w:ascii="微软雅黑" w:hAnsi="微软雅黑" w:eastAsia="微软雅黑" w:cs="微软雅黑"/>
                <w:sz w:val="22"/>
                <w:szCs w:val="22"/>
              </w:rPr>
            </w:pPr>
            <w:r>
              <w:rPr>
                <w:rFonts w:ascii="微软雅黑" w:hAnsi="微软雅黑" w:eastAsia="微软雅黑" w:cs="微软雅黑"/>
                <w:spacing w:val="-1"/>
                <w:sz w:val="22"/>
                <w:szCs w:val="22"/>
              </w:rPr>
              <w:t>数值</w:t>
            </w:r>
          </w:p>
        </w:tc>
        <w:tc>
          <w:tcPr>
            <w:tcW w:w="909" w:type="dxa"/>
            <w:vAlign w:val="top"/>
          </w:tcPr>
          <w:p>
            <w:pPr>
              <w:spacing w:before="231" w:line="212" w:lineRule="auto"/>
              <w:ind w:left="269"/>
              <w:rPr>
                <w:rFonts w:ascii="微软雅黑" w:hAnsi="微软雅黑" w:eastAsia="微软雅黑" w:cs="微软雅黑"/>
                <w:sz w:val="22"/>
                <w:szCs w:val="22"/>
              </w:rPr>
            </w:pPr>
            <w:r>
              <w:rPr>
                <w:rFonts w:ascii="微软雅黑" w:hAnsi="微软雅黑" w:eastAsia="微软雅黑" w:cs="微软雅黑"/>
                <w:spacing w:val="-9"/>
                <w:sz w:val="22"/>
                <w:szCs w:val="22"/>
              </w:rPr>
              <w:t>≥10</w:t>
            </w:r>
          </w:p>
        </w:tc>
        <w:tc>
          <w:tcPr>
            <w:tcW w:w="1795" w:type="dxa"/>
            <w:vAlign w:val="top"/>
          </w:tcPr>
          <w:p>
            <w:pPr>
              <w:spacing w:before="231" w:line="195" w:lineRule="auto"/>
              <w:ind w:left="699"/>
              <w:rPr>
                <w:rFonts w:ascii="微软雅黑" w:hAnsi="微软雅黑" w:eastAsia="微软雅黑" w:cs="微软雅黑"/>
                <w:sz w:val="22"/>
                <w:szCs w:val="22"/>
              </w:rPr>
            </w:pPr>
            <w:r>
              <w:rPr>
                <w:rFonts w:ascii="微软雅黑" w:hAnsi="微软雅黑" w:eastAsia="微软雅黑" w:cs="微软雅黑"/>
                <w:spacing w:val="-6"/>
                <w:sz w:val="22"/>
                <w:szCs w:val="22"/>
              </w:rPr>
              <w:t>甲级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9" w:hRule="atLeast"/>
        </w:trPr>
        <w:tc>
          <w:tcPr>
            <w:tcW w:w="708" w:type="dxa"/>
            <w:vMerge w:val="continue"/>
            <w:tcBorders>
              <w:top w:val="nil"/>
            </w:tcBorders>
            <w:vAlign w:val="top"/>
          </w:tcPr>
          <w:p>
            <w:pPr>
              <w:rPr>
                <w:rFonts w:ascii="Arial"/>
                <w:sz w:val="21"/>
              </w:rPr>
            </w:pPr>
          </w:p>
        </w:tc>
        <w:tc>
          <w:tcPr>
            <w:tcW w:w="1276" w:type="dxa"/>
            <w:vMerge w:val="continue"/>
            <w:tcBorders>
              <w:top w:val="nil"/>
              <w:bottom w:val="nil"/>
            </w:tcBorders>
            <w:vAlign w:val="top"/>
          </w:tcPr>
          <w:p>
            <w:pPr>
              <w:rPr>
                <w:rFonts w:ascii="Arial"/>
                <w:sz w:val="21"/>
              </w:rPr>
            </w:pPr>
          </w:p>
        </w:tc>
        <w:tc>
          <w:tcPr>
            <w:tcW w:w="1985" w:type="dxa"/>
            <w:vMerge w:val="continue"/>
            <w:tcBorders>
              <w:top w:val="nil"/>
              <w:bottom w:val="nil"/>
            </w:tcBorders>
            <w:vAlign w:val="top"/>
          </w:tcPr>
          <w:p>
            <w:pPr>
              <w:rPr>
                <w:rFonts w:ascii="Arial"/>
                <w:sz w:val="21"/>
              </w:rPr>
            </w:pPr>
          </w:p>
        </w:tc>
        <w:tc>
          <w:tcPr>
            <w:tcW w:w="1842" w:type="dxa"/>
            <w:vMerge w:val="continue"/>
            <w:tcBorders>
              <w:top w:val="nil"/>
              <w:bottom w:val="nil"/>
            </w:tcBorders>
            <w:vAlign w:val="top"/>
          </w:tcPr>
          <w:p>
            <w:pPr>
              <w:rPr>
                <w:rFonts w:ascii="Arial"/>
                <w:sz w:val="21"/>
              </w:rPr>
            </w:pPr>
          </w:p>
        </w:tc>
        <w:tc>
          <w:tcPr>
            <w:tcW w:w="4309" w:type="dxa"/>
            <w:vMerge w:val="continue"/>
            <w:tcBorders>
              <w:top w:val="nil"/>
            </w:tcBorders>
            <w:vAlign w:val="top"/>
          </w:tcPr>
          <w:p>
            <w:pPr>
              <w:rPr>
                <w:rFonts w:ascii="Arial"/>
                <w:sz w:val="21"/>
              </w:rPr>
            </w:pPr>
          </w:p>
        </w:tc>
        <w:tc>
          <w:tcPr>
            <w:tcW w:w="1131" w:type="dxa"/>
            <w:vMerge w:val="continue"/>
            <w:tcBorders>
              <w:top w:val="nil"/>
            </w:tcBorders>
            <w:vAlign w:val="top"/>
          </w:tcPr>
          <w:p>
            <w:pPr>
              <w:rPr>
                <w:rFonts w:ascii="Arial"/>
                <w:sz w:val="21"/>
              </w:rPr>
            </w:pPr>
          </w:p>
        </w:tc>
        <w:tc>
          <w:tcPr>
            <w:tcW w:w="909" w:type="dxa"/>
            <w:vAlign w:val="top"/>
          </w:tcPr>
          <w:p>
            <w:pPr>
              <w:spacing w:before="242" w:line="173" w:lineRule="auto"/>
              <w:ind w:left="273"/>
              <w:rPr>
                <w:rFonts w:ascii="微软雅黑" w:hAnsi="微软雅黑" w:eastAsia="微软雅黑" w:cs="微软雅黑"/>
                <w:sz w:val="22"/>
                <w:szCs w:val="22"/>
              </w:rPr>
            </w:pPr>
            <w:r>
              <w:rPr>
                <w:rFonts w:ascii="微软雅黑" w:hAnsi="微软雅黑" w:eastAsia="微软雅黑" w:cs="微软雅黑"/>
                <w:spacing w:val="-7"/>
                <w:sz w:val="22"/>
                <w:szCs w:val="22"/>
              </w:rPr>
              <w:t>&lt;10</w:t>
            </w:r>
          </w:p>
        </w:tc>
        <w:tc>
          <w:tcPr>
            <w:tcW w:w="1795" w:type="dxa"/>
            <w:vAlign w:val="top"/>
          </w:tcPr>
          <w:p>
            <w:pPr>
              <w:spacing w:before="234" w:line="195" w:lineRule="auto"/>
              <w:ind w:left="689"/>
              <w:rPr>
                <w:rFonts w:ascii="微软雅黑" w:hAnsi="微软雅黑" w:eastAsia="微软雅黑" w:cs="微软雅黑"/>
                <w:sz w:val="22"/>
                <w:szCs w:val="22"/>
              </w:rPr>
            </w:pPr>
            <w:r>
              <w:rPr>
                <w:rFonts w:ascii="微软雅黑" w:hAnsi="微软雅黑" w:eastAsia="微软雅黑" w:cs="微软雅黑"/>
                <w:spacing w:val="-4"/>
                <w:sz w:val="22"/>
                <w:szCs w:val="22"/>
              </w:rPr>
              <w:t>乙级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9" w:hRule="atLeast"/>
        </w:trPr>
        <w:tc>
          <w:tcPr>
            <w:tcW w:w="708" w:type="dxa"/>
            <w:vAlign w:val="top"/>
          </w:tcPr>
          <w:p>
            <w:pPr>
              <w:spacing w:before="240" w:line="173" w:lineRule="auto"/>
              <w:ind w:left="243"/>
              <w:rPr>
                <w:rFonts w:ascii="微软雅黑" w:hAnsi="微软雅黑" w:eastAsia="微软雅黑" w:cs="微软雅黑"/>
                <w:sz w:val="22"/>
                <w:szCs w:val="22"/>
              </w:rPr>
            </w:pPr>
            <w:r>
              <w:rPr>
                <w:rFonts w:ascii="微软雅黑" w:hAnsi="微软雅黑" w:eastAsia="微软雅黑" w:cs="微软雅黑"/>
                <w:spacing w:val="-6"/>
                <w:sz w:val="22"/>
                <w:szCs w:val="22"/>
              </w:rPr>
              <w:t>19</w:t>
            </w:r>
          </w:p>
        </w:tc>
        <w:tc>
          <w:tcPr>
            <w:tcW w:w="1276" w:type="dxa"/>
            <w:vMerge w:val="continue"/>
            <w:tcBorders>
              <w:top w:val="nil"/>
              <w:bottom w:val="nil"/>
            </w:tcBorders>
            <w:vAlign w:val="top"/>
          </w:tcPr>
          <w:p>
            <w:pPr>
              <w:rPr>
                <w:rFonts w:ascii="Arial"/>
                <w:sz w:val="21"/>
              </w:rPr>
            </w:pPr>
          </w:p>
        </w:tc>
        <w:tc>
          <w:tcPr>
            <w:tcW w:w="1985" w:type="dxa"/>
            <w:vMerge w:val="continue"/>
            <w:tcBorders>
              <w:top w:val="nil"/>
              <w:bottom w:val="nil"/>
            </w:tcBorders>
            <w:vAlign w:val="top"/>
          </w:tcPr>
          <w:p>
            <w:pPr>
              <w:rPr>
                <w:rFonts w:ascii="Arial"/>
                <w:sz w:val="21"/>
              </w:rPr>
            </w:pPr>
          </w:p>
        </w:tc>
        <w:tc>
          <w:tcPr>
            <w:tcW w:w="1842" w:type="dxa"/>
            <w:vMerge w:val="continue"/>
            <w:tcBorders>
              <w:top w:val="nil"/>
              <w:bottom w:val="nil"/>
            </w:tcBorders>
            <w:vAlign w:val="top"/>
          </w:tcPr>
          <w:p>
            <w:pPr>
              <w:rPr>
                <w:rFonts w:ascii="Arial"/>
                <w:sz w:val="21"/>
              </w:rPr>
            </w:pPr>
          </w:p>
        </w:tc>
        <w:tc>
          <w:tcPr>
            <w:tcW w:w="4309" w:type="dxa"/>
            <w:vAlign w:val="top"/>
          </w:tcPr>
          <w:p>
            <w:pPr>
              <w:spacing w:before="231" w:line="195" w:lineRule="auto"/>
              <w:ind w:left="17"/>
              <w:rPr>
                <w:rFonts w:ascii="微软雅黑" w:hAnsi="微软雅黑" w:eastAsia="微软雅黑" w:cs="微软雅黑"/>
                <w:sz w:val="22"/>
                <w:szCs w:val="22"/>
              </w:rPr>
            </w:pPr>
            <w:r>
              <w:rPr>
                <w:rFonts w:ascii="微软雅黑" w:hAnsi="微软雅黑" w:eastAsia="微软雅黑" w:cs="微软雅黑"/>
                <w:spacing w:val="-1"/>
                <w:sz w:val="22"/>
                <w:szCs w:val="22"/>
              </w:rPr>
              <w:t>非标准钢结构件的制作、安装</w:t>
            </w:r>
          </w:p>
        </w:tc>
        <w:tc>
          <w:tcPr>
            <w:tcW w:w="1131" w:type="dxa"/>
            <w:vAlign w:val="top"/>
          </w:tcPr>
          <w:p>
            <w:pPr>
              <w:spacing w:before="232" w:line="194" w:lineRule="auto"/>
              <w:ind w:left="16"/>
              <w:rPr>
                <w:rFonts w:ascii="微软雅黑" w:hAnsi="微软雅黑" w:eastAsia="微软雅黑" w:cs="微软雅黑"/>
                <w:sz w:val="22"/>
                <w:szCs w:val="22"/>
              </w:rPr>
            </w:pPr>
            <w:r>
              <w:rPr>
                <w:rFonts w:ascii="微软雅黑" w:hAnsi="微软雅黑" w:eastAsia="微软雅黑" w:cs="微软雅黑"/>
                <w:sz w:val="22"/>
                <w:szCs w:val="22"/>
              </w:rPr>
              <w:t>符合性判断</w:t>
            </w:r>
          </w:p>
        </w:tc>
        <w:tc>
          <w:tcPr>
            <w:tcW w:w="909" w:type="dxa"/>
            <w:vAlign w:val="top"/>
          </w:tcPr>
          <w:p>
            <w:pPr>
              <w:spacing w:before="231" w:line="195" w:lineRule="auto"/>
              <w:ind w:left="237"/>
              <w:rPr>
                <w:rFonts w:ascii="微软雅黑" w:hAnsi="微软雅黑" w:eastAsia="微软雅黑" w:cs="微软雅黑"/>
                <w:sz w:val="22"/>
                <w:szCs w:val="22"/>
              </w:rPr>
            </w:pPr>
            <w:r>
              <w:rPr>
                <w:rFonts w:ascii="微软雅黑" w:hAnsi="微软雅黑" w:eastAsia="微软雅黑" w:cs="微软雅黑"/>
                <w:spacing w:val="-1"/>
                <w:sz w:val="22"/>
                <w:szCs w:val="22"/>
              </w:rPr>
              <w:t>符合</w:t>
            </w:r>
          </w:p>
        </w:tc>
        <w:tc>
          <w:tcPr>
            <w:tcW w:w="1795" w:type="dxa"/>
            <w:vAlign w:val="top"/>
          </w:tcPr>
          <w:p>
            <w:pPr>
              <w:spacing w:before="232" w:line="195" w:lineRule="auto"/>
              <w:ind w:left="689"/>
              <w:rPr>
                <w:rFonts w:ascii="微软雅黑" w:hAnsi="微软雅黑" w:eastAsia="微软雅黑" w:cs="微软雅黑"/>
                <w:sz w:val="22"/>
                <w:szCs w:val="22"/>
              </w:rPr>
            </w:pPr>
            <w:r>
              <w:rPr>
                <w:rFonts w:ascii="微软雅黑" w:hAnsi="微软雅黑" w:eastAsia="微软雅黑" w:cs="微软雅黑"/>
                <w:spacing w:val="-4"/>
                <w:sz w:val="22"/>
                <w:szCs w:val="22"/>
              </w:rPr>
              <w:t>乙级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7" w:hRule="atLeast"/>
        </w:trPr>
        <w:tc>
          <w:tcPr>
            <w:tcW w:w="708" w:type="dxa"/>
            <w:vMerge w:val="restart"/>
            <w:tcBorders>
              <w:bottom w:val="nil"/>
            </w:tcBorders>
            <w:vAlign w:val="top"/>
          </w:tcPr>
          <w:p>
            <w:pPr>
              <w:spacing w:line="476" w:lineRule="auto"/>
              <w:rPr>
                <w:rFonts w:ascii="Arial"/>
                <w:sz w:val="21"/>
              </w:rPr>
            </w:pPr>
          </w:p>
          <w:p>
            <w:pPr>
              <w:spacing w:before="95" w:line="172" w:lineRule="auto"/>
              <w:ind w:left="233"/>
              <w:rPr>
                <w:rFonts w:ascii="微软雅黑" w:hAnsi="微软雅黑" w:eastAsia="微软雅黑" w:cs="微软雅黑"/>
                <w:sz w:val="22"/>
                <w:szCs w:val="22"/>
              </w:rPr>
            </w:pPr>
            <w:r>
              <w:rPr>
                <w:rFonts w:ascii="微软雅黑" w:hAnsi="微软雅黑" w:eastAsia="微软雅黑" w:cs="微软雅黑"/>
                <w:spacing w:val="-3"/>
                <w:sz w:val="22"/>
                <w:szCs w:val="22"/>
              </w:rPr>
              <w:t>20</w:t>
            </w:r>
          </w:p>
        </w:tc>
        <w:tc>
          <w:tcPr>
            <w:tcW w:w="1276" w:type="dxa"/>
            <w:vMerge w:val="continue"/>
            <w:tcBorders>
              <w:top w:val="nil"/>
              <w:bottom w:val="nil"/>
            </w:tcBorders>
            <w:vAlign w:val="top"/>
          </w:tcPr>
          <w:p>
            <w:pPr>
              <w:rPr>
                <w:rFonts w:ascii="Arial"/>
                <w:sz w:val="21"/>
              </w:rPr>
            </w:pPr>
          </w:p>
        </w:tc>
        <w:tc>
          <w:tcPr>
            <w:tcW w:w="1985" w:type="dxa"/>
            <w:vMerge w:val="continue"/>
            <w:tcBorders>
              <w:top w:val="nil"/>
              <w:bottom w:val="nil"/>
            </w:tcBorders>
            <w:vAlign w:val="top"/>
          </w:tcPr>
          <w:p>
            <w:pPr>
              <w:rPr>
                <w:rFonts w:ascii="Arial"/>
                <w:sz w:val="21"/>
              </w:rPr>
            </w:pPr>
          </w:p>
        </w:tc>
        <w:tc>
          <w:tcPr>
            <w:tcW w:w="1842" w:type="dxa"/>
            <w:vMerge w:val="continue"/>
            <w:tcBorders>
              <w:top w:val="nil"/>
              <w:bottom w:val="nil"/>
            </w:tcBorders>
            <w:vAlign w:val="top"/>
          </w:tcPr>
          <w:p>
            <w:pPr>
              <w:rPr>
                <w:rFonts w:ascii="Arial"/>
                <w:sz w:val="21"/>
              </w:rPr>
            </w:pPr>
          </w:p>
        </w:tc>
        <w:tc>
          <w:tcPr>
            <w:tcW w:w="4309" w:type="dxa"/>
            <w:vMerge w:val="restart"/>
            <w:tcBorders>
              <w:bottom w:val="nil"/>
            </w:tcBorders>
            <w:shd w:val="clear" w:color="auto" w:fill="B7DEE8"/>
            <w:vAlign w:val="top"/>
          </w:tcPr>
          <w:p>
            <w:pPr>
              <w:spacing w:before="251" w:line="397" w:lineRule="auto"/>
              <w:ind w:left="16"/>
              <w:rPr>
                <w:rFonts w:ascii="微软雅黑" w:hAnsi="微软雅黑" w:eastAsia="微软雅黑" w:cs="微软雅黑"/>
                <w:sz w:val="22"/>
                <w:szCs w:val="22"/>
              </w:rPr>
            </w:pPr>
            <w:r>
              <w:rPr>
                <w:rFonts w:ascii="微软雅黑" w:hAnsi="微软雅黑" w:eastAsia="微软雅黑" w:cs="微软雅黑"/>
                <w:spacing w:val="-1"/>
                <w:sz w:val="22"/>
                <w:szCs w:val="22"/>
              </w:rPr>
              <w:t>可承担单项合同额超过</w:t>
            </w:r>
            <w:r>
              <w:rPr>
                <w:rFonts w:ascii="微软雅黑" w:hAnsi="微软雅黑" w:eastAsia="微软雅黑" w:cs="微软雅黑"/>
                <w:spacing w:val="-51"/>
                <w:sz w:val="22"/>
                <w:szCs w:val="22"/>
              </w:rPr>
              <w:t xml:space="preserve"> </w:t>
            </w:r>
            <w:r>
              <w:rPr>
                <w:rFonts w:ascii="微软雅黑" w:hAnsi="微软雅黑" w:eastAsia="微软雅黑" w:cs="微软雅黑"/>
                <w:spacing w:val="5"/>
                <w:sz w:val="22"/>
                <w:szCs w:val="22"/>
                <w:u w:val="single" w:color="auto"/>
              </w:rPr>
              <w:t xml:space="preserve">       </w:t>
            </w:r>
            <w:r>
              <w:rPr>
                <w:rFonts w:ascii="微软雅黑" w:hAnsi="微软雅黑" w:eastAsia="微软雅黑" w:cs="微软雅黑"/>
                <w:spacing w:val="-62"/>
                <w:sz w:val="22"/>
                <w:szCs w:val="22"/>
              </w:rPr>
              <w:t xml:space="preserve"> </w:t>
            </w:r>
            <w:r>
              <w:rPr>
                <w:rFonts w:ascii="微软雅黑" w:hAnsi="微软雅黑" w:eastAsia="微软雅黑" w:cs="微软雅黑"/>
                <w:spacing w:val="-1"/>
                <w:sz w:val="22"/>
                <w:szCs w:val="22"/>
              </w:rPr>
              <w:t>万元的城市与道</w:t>
            </w:r>
          </w:p>
          <w:p>
            <w:pPr>
              <w:spacing w:before="1" w:line="194" w:lineRule="auto"/>
              <w:ind w:left="15"/>
              <w:rPr>
                <w:rFonts w:ascii="微软雅黑" w:hAnsi="微软雅黑" w:eastAsia="微软雅黑" w:cs="微软雅黑"/>
                <w:sz w:val="22"/>
                <w:szCs w:val="22"/>
              </w:rPr>
            </w:pPr>
            <w:r>
              <w:rPr>
                <w:rFonts w:ascii="微软雅黑" w:hAnsi="微软雅黑" w:eastAsia="微软雅黑" w:cs="微软雅黑"/>
                <w:spacing w:val="-1"/>
                <w:sz w:val="22"/>
                <w:szCs w:val="22"/>
              </w:rPr>
              <w:t>路照明工程的施工</w:t>
            </w:r>
          </w:p>
        </w:tc>
        <w:tc>
          <w:tcPr>
            <w:tcW w:w="1131" w:type="dxa"/>
            <w:vMerge w:val="restart"/>
            <w:tcBorders>
              <w:bottom w:val="nil"/>
            </w:tcBorders>
            <w:vAlign w:val="top"/>
          </w:tcPr>
          <w:p>
            <w:pPr>
              <w:spacing w:line="466" w:lineRule="auto"/>
              <w:rPr>
                <w:rFonts w:ascii="Arial"/>
                <w:sz w:val="21"/>
              </w:rPr>
            </w:pPr>
          </w:p>
          <w:p>
            <w:pPr>
              <w:spacing w:before="94" w:line="194" w:lineRule="auto"/>
              <w:ind w:left="344"/>
              <w:rPr>
                <w:rFonts w:ascii="微软雅黑" w:hAnsi="微软雅黑" w:eastAsia="微软雅黑" w:cs="微软雅黑"/>
                <w:sz w:val="22"/>
                <w:szCs w:val="22"/>
              </w:rPr>
            </w:pPr>
            <w:r>
              <w:rPr>
                <w:rFonts w:ascii="微软雅黑" w:hAnsi="微软雅黑" w:eastAsia="微软雅黑" w:cs="微软雅黑"/>
                <w:spacing w:val="-1"/>
                <w:sz w:val="22"/>
                <w:szCs w:val="22"/>
              </w:rPr>
              <w:t>数值</w:t>
            </w:r>
          </w:p>
        </w:tc>
        <w:tc>
          <w:tcPr>
            <w:tcW w:w="909" w:type="dxa"/>
            <w:vAlign w:val="top"/>
          </w:tcPr>
          <w:p>
            <w:pPr>
              <w:spacing w:before="233" w:line="212" w:lineRule="auto"/>
              <w:ind w:left="141"/>
              <w:rPr>
                <w:rFonts w:ascii="微软雅黑" w:hAnsi="微软雅黑" w:eastAsia="微软雅黑" w:cs="微软雅黑"/>
                <w:sz w:val="22"/>
                <w:szCs w:val="22"/>
              </w:rPr>
            </w:pPr>
            <w:r>
              <w:rPr>
                <w:rFonts w:ascii="微软雅黑" w:hAnsi="微软雅黑" w:eastAsia="微软雅黑" w:cs="微软雅黑"/>
                <w:spacing w:val="-5"/>
                <w:sz w:val="22"/>
                <w:szCs w:val="22"/>
              </w:rPr>
              <w:t>≥1200</w:t>
            </w:r>
          </w:p>
        </w:tc>
        <w:tc>
          <w:tcPr>
            <w:tcW w:w="1795" w:type="dxa"/>
            <w:vAlign w:val="top"/>
          </w:tcPr>
          <w:p>
            <w:pPr>
              <w:spacing w:before="233" w:line="195" w:lineRule="auto"/>
              <w:ind w:left="699"/>
              <w:rPr>
                <w:rFonts w:ascii="微软雅黑" w:hAnsi="微软雅黑" w:eastAsia="微软雅黑" w:cs="微软雅黑"/>
                <w:sz w:val="22"/>
                <w:szCs w:val="22"/>
              </w:rPr>
            </w:pPr>
            <w:r>
              <w:rPr>
                <w:rFonts w:ascii="微软雅黑" w:hAnsi="微软雅黑" w:eastAsia="微软雅黑" w:cs="微软雅黑"/>
                <w:spacing w:val="-6"/>
                <w:sz w:val="22"/>
                <w:szCs w:val="22"/>
              </w:rPr>
              <w:t>甲级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60" w:hRule="atLeast"/>
        </w:trPr>
        <w:tc>
          <w:tcPr>
            <w:tcW w:w="708" w:type="dxa"/>
            <w:vMerge w:val="continue"/>
            <w:tcBorders>
              <w:top w:val="nil"/>
            </w:tcBorders>
            <w:vAlign w:val="top"/>
          </w:tcPr>
          <w:p>
            <w:pPr>
              <w:rPr>
                <w:rFonts w:ascii="Arial"/>
                <w:sz w:val="21"/>
              </w:rPr>
            </w:pPr>
          </w:p>
        </w:tc>
        <w:tc>
          <w:tcPr>
            <w:tcW w:w="1276" w:type="dxa"/>
            <w:vMerge w:val="continue"/>
            <w:tcBorders>
              <w:top w:val="nil"/>
              <w:bottom w:val="nil"/>
            </w:tcBorders>
            <w:vAlign w:val="top"/>
          </w:tcPr>
          <w:p>
            <w:pPr>
              <w:rPr>
                <w:rFonts w:ascii="Arial"/>
                <w:sz w:val="21"/>
              </w:rPr>
            </w:pPr>
          </w:p>
        </w:tc>
        <w:tc>
          <w:tcPr>
            <w:tcW w:w="1985" w:type="dxa"/>
            <w:vMerge w:val="continue"/>
            <w:tcBorders>
              <w:top w:val="nil"/>
              <w:bottom w:val="nil"/>
            </w:tcBorders>
            <w:vAlign w:val="top"/>
          </w:tcPr>
          <w:p>
            <w:pPr>
              <w:rPr>
                <w:rFonts w:ascii="Arial"/>
                <w:sz w:val="21"/>
              </w:rPr>
            </w:pPr>
          </w:p>
        </w:tc>
        <w:tc>
          <w:tcPr>
            <w:tcW w:w="1842" w:type="dxa"/>
            <w:vMerge w:val="continue"/>
            <w:tcBorders>
              <w:top w:val="nil"/>
              <w:bottom w:val="nil"/>
            </w:tcBorders>
            <w:vAlign w:val="top"/>
          </w:tcPr>
          <w:p>
            <w:pPr>
              <w:rPr>
                <w:rFonts w:ascii="Arial"/>
                <w:sz w:val="21"/>
              </w:rPr>
            </w:pPr>
          </w:p>
        </w:tc>
        <w:tc>
          <w:tcPr>
            <w:tcW w:w="4309" w:type="dxa"/>
            <w:vMerge w:val="continue"/>
            <w:tcBorders>
              <w:top w:val="nil"/>
            </w:tcBorders>
            <w:vAlign w:val="top"/>
          </w:tcPr>
          <w:p>
            <w:pPr>
              <w:rPr>
                <w:rFonts w:ascii="Arial"/>
                <w:sz w:val="21"/>
              </w:rPr>
            </w:pPr>
          </w:p>
        </w:tc>
        <w:tc>
          <w:tcPr>
            <w:tcW w:w="1131" w:type="dxa"/>
            <w:vMerge w:val="continue"/>
            <w:tcBorders>
              <w:top w:val="nil"/>
            </w:tcBorders>
            <w:vAlign w:val="top"/>
          </w:tcPr>
          <w:p>
            <w:pPr>
              <w:rPr>
                <w:rFonts w:ascii="Arial"/>
                <w:sz w:val="21"/>
              </w:rPr>
            </w:pPr>
          </w:p>
        </w:tc>
        <w:tc>
          <w:tcPr>
            <w:tcW w:w="909" w:type="dxa"/>
            <w:vAlign w:val="top"/>
          </w:tcPr>
          <w:p>
            <w:pPr>
              <w:spacing w:before="244" w:line="173" w:lineRule="auto"/>
              <w:ind w:left="146"/>
              <w:rPr>
                <w:rFonts w:ascii="微软雅黑" w:hAnsi="微软雅黑" w:eastAsia="微软雅黑" w:cs="微软雅黑"/>
                <w:sz w:val="22"/>
                <w:szCs w:val="22"/>
              </w:rPr>
            </w:pPr>
            <w:r>
              <w:rPr>
                <w:rFonts w:ascii="微软雅黑" w:hAnsi="微软雅黑" w:eastAsia="微软雅黑" w:cs="微软雅黑"/>
                <w:spacing w:val="-5"/>
                <w:sz w:val="22"/>
                <w:szCs w:val="22"/>
              </w:rPr>
              <w:t>&lt;1200</w:t>
            </w:r>
          </w:p>
        </w:tc>
        <w:tc>
          <w:tcPr>
            <w:tcW w:w="1795" w:type="dxa"/>
            <w:vAlign w:val="top"/>
          </w:tcPr>
          <w:p>
            <w:pPr>
              <w:spacing w:before="236" w:line="195" w:lineRule="auto"/>
              <w:ind w:left="689"/>
              <w:rPr>
                <w:rFonts w:ascii="微软雅黑" w:hAnsi="微软雅黑" w:eastAsia="微软雅黑" w:cs="微软雅黑"/>
                <w:sz w:val="22"/>
                <w:szCs w:val="22"/>
              </w:rPr>
            </w:pPr>
            <w:r>
              <w:rPr>
                <w:rFonts w:ascii="微软雅黑" w:hAnsi="微软雅黑" w:eastAsia="微软雅黑" w:cs="微软雅黑"/>
                <w:spacing w:val="-4"/>
                <w:sz w:val="22"/>
                <w:szCs w:val="22"/>
              </w:rPr>
              <w:t>乙级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9" w:hRule="atLeast"/>
        </w:trPr>
        <w:tc>
          <w:tcPr>
            <w:tcW w:w="708" w:type="dxa"/>
            <w:vMerge w:val="restart"/>
            <w:tcBorders>
              <w:bottom w:val="nil"/>
            </w:tcBorders>
            <w:vAlign w:val="top"/>
          </w:tcPr>
          <w:p>
            <w:pPr>
              <w:spacing w:line="478" w:lineRule="auto"/>
              <w:rPr>
                <w:rFonts w:ascii="Arial"/>
                <w:sz w:val="21"/>
              </w:rPr>
            </w:pPr>
          </w:p>
          <w:p>
            <w:pPr>
              <w:spacing w:before="94" w:line="173" w:lineRule="auto"/>
              <w:ind w:left="233"/>
              <w:rPr>
                <w:rFonts w:ascii="微软雅黑" w:hAnsi="微软雅黑" w:eastAsia="微软雅黑" w:cs="微软雅黑"/>
                <w:sz w:val="22"/>
                <w:szCs w:val="22"/>
              </w:rPr>
            </w:pPr>
            <w:r>
              <w:rPr>
                <w:rFonts w:ascii="微软雅黑" w:hAnsi="微软雅黑" w:eastAsia="微软雅黑" w:cs="微软雅黑"/>
                <w:spacing w:val="-3"/>
                <w:sz w:val="22"/>
                <w:szCs w:val="22"/>
              </w:rPr>
              <w:t>21</w:t>
            </w:r>
          </w:p>
        </w:tc>
        <w:tc>
          <w:tcPr>
            <w:tcW w:w="1276" w:type="dxa"/>
            <w:vMerge w:val="continue"/>
            <w:tcBorders>
              <w:top w:val="nil"/>
              <w:bottom w:val="nil"/>
            </w:tcBorders>
            <w:vAlign w:val="top"/>
          </w:tcPr>
          <w:p>
            <w:pPr>
              <w:rPr>
                <w:rFonts w:ascii="Arial"/>
                <w:sz w:val="21"/>
              </w:rPr>
            </w:pPr>
          </w:p>
        </w:tc>
        <w:tc>
          <w:tcPr>
            <w:tcW w:w="1985" w:type="dxa"/>
            <w:vMerge w:val="continue"/>
            <w:tcBorders>
              <w:top w:val="nil"/>
              <w:bottom w:val="nil"/>
            </w:tcBorders>
            <w:vAlign w:val="top"/>
          </w:tcPr>
          <w:p>
            <w:pPr>
              <w:rPr>
                <w:rFonts w:ascii="Arial"/>
                <w:sz w:val="21"/>
              </w:rPr>
            </w:pPr>
          </w:p>
        </w:tc>
        <w:tc>
          <w:tcPr>
            <w:tcW w:w="1842" w:type="dxa"/>
            <w:vMerge w:val="continue"/>
            <w:tcBorders>
              <w:top w:val="nil"/>
              <w:bottom w:val="nil"/>
            </w:tcBorders>
            <w:vAlign w:val="top"/>
          </w:tcPr>
          <w:p>
            <w:pPr>
              <w:rPr>
                <w:rFonts w:ascii="Arial"/>
                <w:sz w:val="21"/>
              </w:rPr>
            </w:pPr>
          </w:p>
        </w:tc>
        <w:tc>
          <w:tcPr>
            <w:tcW w:w="4309" w:type="dxa"/>
            <w:vMerge w:val="restart"/>
            <w:tcBorders>
              <w:bottom w:val="nil"/>
            </w:tcBorders>
            <w:shd w:val="clear" w:color="auto" w:fill="B7DEE8"/>
            <w:vAlign w:val="top"/>
          </w:tcPr>
          <w:p>
            <w:pPr>
              <w:spacing w:before="254" w:line="397" w:lineRule="auto"/>
              <w:ind w:left="16"/>
              <w:rPr>
                <w:rFonts w:ascii="微软雅黑" w:hAnsi="微软雅黑" w:eastAsia="微软雅黑" w:cs="微软雅黑"/>
                <w:sz w:val="22"/>
                <w:szCs w:val="22"/>
              </w:rPr>
            </w:pPr>
            <w:r>
              <w:rPr>
                <w:rFonts w:ascii="微软雅黑" w:hAnsi="微软雅黑" w:eastAsia="微软雅黑" w:cs="微软雅黑"/>
                <w:spacing w:val="-1"/>
                <w:sz w:val="22"/>
                <w:szCs w:val="22"/>
              </w:rPr>
              <w:t>可承担单项合同额</w:t>
            </w:r>
            <w:r>
              <w:rPr>
                <w:rFonts w:ascii="微软雅黑" w:hAnsi="微软雅黑" w:eastAsia="微软雅黑" w:cs="微软雅黑"/>
                <w:spacing w:val="-53"/>
                <w:sz w:val="22"/>
                <w:szCs w:val="22"/>
              </w:rPr>
              <w:t xml:space="preserve"> </w:t>
            </w:r>
            <w:r>
              <w:rPr>
                <w:rFonts w:ascii="微软雅黑" w:hAnsi="微软雅黑" w:eastAsia="微软雅黑" w:cs="微软雅黑"/>
                <w:spacing w:val="5"/>
                <w:sz w:val="22"/>
                <w:szCs w:val="22"/>
                <w:u w:val="single" w:color="auto"/>
              </w:rPr>
              <w:t xml:space="preserve">       </w:t>
            </w:r>
            <w:r>
              <w:rPr>
                <w:rFonts w:ascii="微软雅黑" w:hAnsi="微软雅黑" w:eastAsia="微软雅黑" w:cs="微软雅黑"/>
                <w:spacing w:val="-60"/>
                <w:sz w:val="22"/>
                <w:szCs w:val="22"/>
              </w:rPr>
              <w:t xml:space="preserve"> </w:t>
            </w:r>
            <w:r>
              <w:rPr>
                <w:rFonts w:ascii="微软雅黑" w:hAnsi="微软雅黑" w:eastAsia="微软雅黑" w:cs="微软雅黑"/>
                <w:spacing w:val="-1"/>
                <w:sz w:val="22"/>
                <w:szCs w:val="22"/>
              </w:rPr>
              <w:t>万元的电子工业制造</w:t>
            </w:r>
          </w:p>
          <w:p>
            <w:pPr>
              <w:spacing w:before="1" w:line="194" w:lineRule="auto"/>
              <w:ind w:left="16"/>
              <w:rPr>
                <w:rFonts w:ascii="微软雅黑" w:hAnsi="微软雅黑" w:eastAsia="微软雅黑" w:cs="微软雅黑"/>
                <w:sz w:val="22"/>
                <w:szCs w:val="22"/>
              </w:rPr>
            </w:pPr>
            <w:r>
              <w:rPr>
                <w:rFonts w:ascii="微软雅黑" w:hAnsi="微软雅黑" w:eastAsia="微软雅黑" w:cs="微软雅黑"/>
                <w:spacing w:val="-1"/>
                <w:sz w:val="22"/>
                <w:szCs w:val="22"/>
              </w:rPr>
              <w:t>设备安装工程和电子工业环境工程</w:t>
            </w:r>
          </w:p>
        </w:tc>
        <w:tc>
          <w:tcPr>
            <w:tcW w:w="1131" w:type="dxa"/>
            <w:vMerge w:val="restart"/>
            <w:tcBorders>
              <w:bottom w:val="nil"/>
            </w:tcBorders>
            <w:vAlign w:val="top"/>
          </w:tcPr>
          <w:p>
            <w:pPr>
              <w:spacing w:line="469" w:lineRule="auto"/>
              <w:rPr>
                <w:rFonts w:ascii="Arial"/>
                <w:sz w:val="21"/>
              </w:rPr>
            </w:pPr>
          </w:p>
          <w:p>
            <w:pPr>
              <w:spacing w:before="94" w:line="194" w:lineRule="auto"/>
              <w:ind w:left="344"/>
              <w:rPr>
                <w:rFonts w:ascii="微软雅黑" w:hAnsi="微软雅黑" w:eastAsia="微软雅黑" w:cs="微软雅黑"/>
                <w:sz w:val="22"/>
                <w:szCs w:val="22"/>
              </w:rPr>
            </w:pPr>
            <w:r>
              <w:rPr>
                <w:rFonts w:ascii="微软雅黑" w:hAnsi="微软雅黑" w:eastAsia="微软雅黑" w:cs="微软雅黑"/>
                <w:spacing w:val="-1"/>
                <w:sz w:val="22"/>
                <w:szCs w:val="22"/>
              </w:rPr>
              <w:t>数值</w:t>
            </w:r>
          </w:p>
        </w:tc>
        <w:tc>
          <w:tcPr>
            <w:tcW w:w="909" w:type="dxa"/>
            <w:vAlign w:val="top"/>
          </w:tcPr>
          <w:p>
            <w:pPr>
              <w:spacing w:before="233" w:line="212" w:lineRule="auto"/>
              <w:ind w:left="141"/>
              <w:rPr>
                <w:rFonts w:ascii="微软雅黑" w:hAnsi="微软雅黑" w:eastAsia="微软雅黑" w:cs="微软雅黑"/>
                <w:sz w:val="22"/>
                <w:szCs w:val="22"/>
              </w:rPr>
            </w:pPr>
            <w:r>
              <w:rPr>
                <w:rFonts w:ascii="微软雅黑" w:hAnsi="微软雅黑" w:eastAsia="微软雅黑" w:cs="微软雅黑"/>
                <w:spacing w:val="-5"/>
                <w:sz w:val="22"/>
                <w:szCs w:val="22"/>
              </w:rPr>
              <w:t>≥2500</w:t>
            </w:r>
          </w:p>
        </w:tc>
        <w:tc>
          <w:tcPr>
            <w:tcW w:w="1795" w:type="dxa"/>
            <w:vAlign w:val="top"/>
          </w:tcPr>
          <w:p>
            <w:pPr>
              <w:spacing w:before="234" w:line="195" w:lineRule="auto"/>
              <w:ind w:left="699"/>
              <w:rPr>
                <w:rFonts w:ascii="微软雅黑" w:hAnsi="微软雅黑" w:eastAsia="微软雅黑" w:cs="微软雅黑"/>
                <w:sz w:val="22"/>
                <w:szCs w:val="22"/>
              </w:rPr>
            </w:pPr>
            <w:r>
              <w:rPr>
                <w:rFonts w:ascii="微软雅黑" w:hAnsi="微软雅黑" w:eastAsia="微软雅黑" w:cs="微软雅黑"/>
                <w:spacing w:val="-6"/>
                <w:sz w:val="22"/>
                <w:szCs w:val="22"/>
              </w:rPr>
              <w:t>甲级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7" w:hRule="atLeast"/>
        </w:trPr>
        <w:tc>
          <w:tcPr>
            <w:tcW w:w="708" w:type="dxa"/>
            <w:vMerge w:val="continue"/>
            <w:tcBorders>
              <w:top w:val="nil"/>
            </w:tcBorders>
            <w:vAlign w:val="top"/>
          </w:tcPr>
          <w:p>
            <w:pPr>
              <w:rPr>
                <w:rFonts w:ascii="Arial"/>
                <w:sz w:val="21"/>
              </w:rPr>
            </w:pPr>
          </w:p>
        </w:tc>
        <w:tc>
          <w:tcPr>
            <w:tcW w:w="1276" w:type="dxa"/>
            <w:vMerge w:val="continue"/>
            <w:tcBorders>
              <w:top w:val="nil"/>
              <w:bottom w:val="nil"/>
            </w:tcBorders>
            <w:vAlign w:val="top"/>
          </w:tcPr>
          <w:p>
            <w:pPr>
              <w:rPr>
                <w:rFonts w:ascii="Arial"/>
                <w:sz w:val="21"/>
              </w:rPr>
            </w:pPr>
          </w:p>
        </w:tc>
        <w:tc>
          <w:tcPr>
            <w:tcW w:w="1985" w:type="dxa"/>
            <w:vMerge w:val="continue"/>
            <w:tcBorders>
              <w:top w:val="nil"/>
              <w:bottom w:val="nil"/>
            </w:tcBorders>
            <w:vAlign w:val="top"/>
          </w:tcPr>
          <w:p>
            <w:pPr>
              <w:rPr>
                <w:rFonts w:ascii="Arial"/>
                <w:sz w:val="21"/>
              </w:rPr>
            </w:pPr>
          </w:p>
        </w:tc>
        <w:tc>
          <w:tcPr>
            <w:tcW w:w="1842" w:type="dxa"/>
            <w:vMerge w:val="continue"/>
            <w:tcBorders>
              <w:top w:val="nil"/>
              <w:bottom w:val="nil"/>
            </w:tcBorders>
            <w:vAlign w:val="top"/>
          </w:tcPr>
          <w:p>
            <w:pPr>
              <w:rPr>
                <w:rFonts w:ascii="Arial"/>
                <w:sz w:val="21"/>
              </w:rPr>
            </w:pPr>
          </w:p>
        </w:tc>
        <w:tc>
          <w:tcPr>
            <w:tcW w:w="4309" w:type="dxa"/>
            <w:vMerge w:val="continue"/>
            <w:tcBorders>
              <w:top w:val="nil"/>
            </w:tcBorders>
            <w:vAlign w:val="top"/>
          </w:tcPr>
          <w:p>
            <w:pPr>
              <w:rPr>
                <w:rFonts w:ascii="Arial"/>
                <w:sz w:val="21"/>
              </w:rPr>
            </w:pPr>
          </w:p>
        </w:tc>
        <w:tc>
          <w:tcPr>
            <w:tcW w:w="1131" w:type="dxa"/>
            <w:vMerge w:val="continue"/>
            <w:tcBorders>
              <w:top w:val="nil"/>
            </w:tcBorders>
            <w:vAlign w:val="top"/>
          </w:tcPr>
          <w:p>
            <w:pPr>
              <w:rPr>
                <w:rFonts w:ascii="Arial"/>
                <w:sz w:val="21"/>
              </w:rPr>
            </w:pPr>
          </w:p>
        </w:tc>
        <w:tc>
          <w:tcPr>
            <w:tcW w:w="909" w:type="dxa"/>
            <w:vAlign w:val="top"/>
          </w:tcPr>
          <w:p>
            <w:pPr>
              <w:spacing w:before="244" w:line="172" w:lineRule="auto"/>
              <w:ind w:left="146"/>
              <w:rPr>
                <w:rFonts w:ascii="微软雅黑" w:hAnsi="微软雅黑" w:eastAsia="微软雅黑" w:cs="微软雅黑"/>
                <w:sz w:val="22"/>
                <w:szCs w:val="22"/>
              </w:rPr>
            </w:pPr>
            <w:r>
              <w:rPr>
                <w:rFonts w:ascii="微软雅黑" w:hAnsi="微软雅黑" w:eastAsia="微软雅黑" w:cs="微软雅黑"/>
                <w:spacing w:val="-5"/>
                <w:sz w:val="22"/>
                <w:szCs w:val="22"/>
              </w:rPr>
              <w:t>&lt;2500</w:t>
            </w:r>
          </w:p>
        </w:tc>
        <w:tc>
          <w:tcPr>
            <w:tcW w:w="1795" w:type="dxa"/>
            <w:vAlign w:val="top"/>
          </w:tcPr>
          <w:p>
            <w:pPr>
              <w:spacing w:before="234" w:line="195" w:lineRule="auto"/>
              <w:ind w:left="689"/>
              <w:rPr>
                <w:rFonts w:ascii="微软雅黑" w:hAnsi="微软雅黑" w:eastAsia="微软雅黑" w:cs="微软雅黑"/>
                <w:sz w:val="22"/>
                <w:szCs w:val="22"/>
              </w:rPr>
            </w:pPr>
            <w:r>
              <w:rPr>
                <w:rFonts w:ascii="微软雅黑" w:hAnsi="微软雅黑" w:eastAsia="微软雅黑" w:cs="微软雅黑"/>
                <w:spacing w:val="-4"/>
                <w:sz w:val="22"/>
                <w:szCs w:val="22"/>
              </w:rPr>
              <w:t>乙级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9" w:hRule="atLeast"/>
        </w:trPr>
        <w:tc>
          <w:tcPr>
            <w:tcW w:w="708" w:type="dxa"/>
            <w:vMerge w:val="restart"/>
            <w:tcBorders>
              <w:bottom w:val="nil"/>
            </w:tcBorders>
            <w:vAlign w:val="top"/>
          </w:tcPr>
          <w:p>
            <w:pPr>
              <w:rPr>
                <w:rFonts w:ascii="Arial"/>
                <w:sz w:val="21"/>
              </w:rPr>
            </w:pPr>
          </w:p>
          <w:p>
            <w:pPr>
              <w:spacing w:line="241" w:lineRule="auto"/>
              <w:rPr>
                <w:rFonts w:ascii="Arial"/>
                <w:sz w:val="21"/>
              </w:rPr>
            </w:pPr>
          </w:p>
          <w:p>
            <w:pPr>
              <w:spacing w:before="94" w:line="172" w:lineRule="auto"/>
              <w:ind w:left="233"/>
              <w:rPr>
                <w:rFonts w:ascii="微软雅黑" w:hAnsi="微软雅黑" w:eastAsia="微软雅黑" w:cs="微软雅黑"/>
                <w:sz w:val="22"/>
                <w:szCs w:val="22"/>
              </w:rPr>
            </w:pPr>
            <w:r>
              <w:rPr>
                <w:rFonts w:ascii="微软雅黑" w:hAnsi="微软雅黑" w:eastAsia="微软雅黑" w:cs="微软雅黑"/>
                <w:spacing w:val="-3"/>
                <w:sz w:val="22"/>
                <w:szCs w:val="22"/>
              </w:rPr>
              <w:t>22</w:t>
            </w:r>
          </w:p>
        </w:tc>
        <w:tc>
          <w:tcPr>
            <w:tcW w:w="1276" w:type="dxa"/>
            <w:vMerge w:val="continue"/>
            <w:tcBorders>
              <w:top w:val="nil"/>
              <w:bottom w:val="nil"/>
            </w:tcBorders>
            <w:vAlign w:val="top"/>
          </w:tcPr>
          <w:p>
            <w:pPr>
              <w:rPr>
                <w:rFonts w:ascii="Arial"/>
                <w:sz w:val="21"/>
              </w:rPr>
            </w:pPr>
          </w:p>
        </w:tc>
        <w:tc>
          <w:tcPr>
            <w:tcW w:w="1985" w:type="dxa"/>
            <w:vMerge w:val="continue"/>
            <w:tcBorders>
              <w:top w:val="nil"/>
              <w:bottom w:val="nil"/>
            </w:tcBorders>
            <w:vAlign w:val="top"/>
          </w:tcPr>
          <w:p>
            <w:pPr>
              <w:rPr>
                <w:rFonts w:ascii="Arial"/>
                <w:sz w:val="21"/>
              </w:rPr>
            </w:pPr>
          </w:p>
        </w:tc>
        <w:tc>
          <w:tcPr>
            <w:tcW w:w="1842" w:type="dxa"/>
            <w:vMerge w:val="continue"/>
            <w:tcBorders>
              <w:top w:val="nil"/>
              <w:bottom w:val="nil"/>
            </w:tcBorders>
            <w:vAlign w:val="top"/>
          </w:tcPr>
          <w:p>
            <w:pPr>
              <w:rPr>
                <w:rFonts w:ascii="Arial"/>
                <w:sz w:val="21"/>
              </w:rPr>
            </w:pPr>
          </w:p>
        </w:tc>
        <w:tc>
          <w:tcPr>
            <w:tcW w:w="4309" w:type="dxa"/>
            <w:vMerge w:val="restart"/>
            <w:tcBorders>
              <w:bottom w:val="nil"/>
            </w:tcBorders>
            <w:shd w:val="clear" w:color="auto" w:fill="B7DEE8"/>
            <w:vAlign w:val="top"/>
          </w:tcPr>
          <w:p>
            <w:pPr>
              <w:spacing w:before="256" w:line="397" w:lineRule="auto"/>
              <w:ind w:left="16"/>
              <w:rPr>
                <w:rFonts w:ascii="微软雅黑" w:hAnsi="微软雅黑" w:eastAsia="微软雅黑" w:cs="微软雅黑"/>
                <w:sz w:val="22"/>
                <w:szCs w:val="22"/>
              </w:rPr>
            </w:pPr>
            <w:r>
              <w:rPr>
                <w:rFonts w:ascii="微软雅黑" w:hAnsi="微软雅黑" w:eastAsia="微软雅黑" w:cs="微软雅黑"/>
                <w:spacing w:val="-1"/>
                <w:sz w:val="22"/>
                <w:szCs w:val="22"/>
              </w:rPr>
              <w:t>可承担单项合同额</w:t>
            </w:r>
            <w:r>
              <w:rPr>
                <w:rFonts w:ascii="微软雅黑" w:hAnsi="微软雅黑" w:eastAsia="微软雅黑" w:cs="微软雅黑"/>
                <w:spacing w:val="-53"/>
                <w:sz w:val="22"/>
                <w:szCs w:val="22"/>
              </w:rPr>
              <w:t xml:space="preserve"> </w:t>
            </w:r>
            <w:r>
              <w:rPr>
                <w:rFonts w:ascii="微软雅黑" w:hAnsi="微软雅黑" w:eastAsia="微软雅黑" w:cs="微软雅黑"/>
                <w:spacing w:val="5"/>
                <w:sz w:val="22"/>
                <w:szCs w:val="22"/>
                <w:u w:val="single" w:color="auto"/>
              </w:rPr>
              <w:t xml:space="preserve">       </w:t>
            </w:r>
            <w:r>
              <w:rPr>
                <w:rFonts w:ascii="微软雅黑" w:hAnsi="微软雅黑" w:eastAsia="微软雅黑" w:cs="微软雅黑"/>
                <w:spacing w:val="-60"/>
                <w:sz w:val="22"/>
                <w:szCs w:val="22"/>
              </w:rPr>
              <w:t xml:space="preserve"> </w:t>
            </w:r>
            <w:r>
              <w:rPr>
                <w:rFonts w:ascii="微软雅黑" w:hAnsi="微软雅黑" w:eastAsia="微软雅黑" w:cs="微软雅黑"/>
                <w:spacing w:val="-1"/>
                <w:sz w:val="22"/>
                <w:szCs w:val="22"/>
              </w:rPr>
              <w:t>万元以上的电子系统</w:t>
            </w:r>
          </w:p>
          <w:p>
            <w:pPr>
              <w:spacing w:before="1" w:line="194" w:lineRule="auto"/>
              <w:ind w:left="18"/>
              <w:rPr>
                <w:rFonts w:ascii="微软雅黑" w:hAnsi="微软雅黑" w:eastAsia="微软雅黑" w:cs="微软雅黑"/>
                <w:sz w:val="22"/>
                <w:szCs w:val="22"/>
              </w:rPr>
            </w:pPr>
            <w:r>
              <w:rPr>
                <w:rFonts w:ascii="微软雅黑" w:hAnsi="微软雅黑" w:eastAsia="微软雅黑" w:cs="微软雅黑"/>
                <w:spacing w:val="-1"/>
                <w:sz w:val="22"/>
                <w:szCs w:val="22"/>
              </w:rPr>
              <w:t>工程和建筑智能化工程施工</w:t>
            </w:r>
          </w:p>
        </w:tc>
        <w:tc>
          <w:tcPr>
            <w:tcW w:w="1131" w:type="dxa"/>
            <w:vMerge w:val="restart"/>
            <w:tcBorders>
              <w:bottom w:val="nil"/>
            </w:tcBorders>
            <w:vAlign w:val="top"/>
          </w:tcPr>
          <w:p>
            <w:pPr>
              <w:spacing w:line="470" w:lineRule="auto"/>
              <w:rPr>
                <w:rFonts w:ascii="Arial"/>
                <w:sz w:val="21"/>
              </w:rPr>
            </w:pPr>
          </w:p>
          <w:p>
            <w:pPr>
              <w:spacing w:before="94" w:line="194" w:lineRule="auto"/>
              <w:ind w:left="344"/>
              <w:rPr>
                <w:rFonts w:ascii="微软雅黑" w:hAnsi="微软雅黑" w:eastAsia="微软雅黑" w:cs="微软雅黑"/>
                <w:sz w:val="22"/>
                <w:szCs w:val="22"/>
              </w:rPr>
            </w:pPr>
            <w:r>
              <w:rPr>
                <w:rFonts w:ascii="微软雅黑" w:hAnsi="微软雅黑" w:eastAsia="微软雅黑" w:cs="微软雅黑"/>
                <w:spacing w:val="-1"/>
                <w:sz w:val="22"/>
                <w:szCs w:val="22"/>
              </w:rPr>
              <w:t>数值</w:t>
            </w:r>
          </w:p>
        </w:tc>
        <w:tc>
          <w:tcPr>
            <w:tcW w:w="909" w:type="dxa"/>
            <w:vAlign w:val="top"/>
          </w:tcPr>
          <w:p>
            <w:pPr>
              <w:spacing w:before="237" w:line="212" w:lineRule="auto"/>
              <w:ind w:left="141"/>
              <w:rPr>
                <w:rFonts w:ascii="微软雅黑" w:hAnsi="微软雅黑" w:eastAsia="微软雅黑" w:cs="微软雅黑"/>
                <w:sz w:val="22"/>
                <w:szCs w:val="22"/>
              </w:rPr>
            </w:pPr>
            <w:r>
              <w:rPr>
                <w:rFonts w:ascii="微软雅黑" w:hAnsi="微软雅黑" w:eastAsia="微软雅黑" w:cs="微软雅黑"/>
                <w:spacing w:val="-5"/>
                <w:sz w:val="22"/>
                <w:szCs w:val="22"/>
              </w:rPr>
              <w:t>≥1500</w:t>
            </w:r>
          </w:p>
        </w:tc>
        <w:tc>
          <w:tcPr>
            <w:tcW w:w="1795" w:type="dxa"/>
            <w:vAlign w:val="top"/>
          </w:tcPr>
          <w:p>
            <w:pPr>
              <w:spacing w:before="237" w:line="195" w:lineRule="auto"/>
              <w:ind w:left="699"/>
              <w:rPr>
                <w:rFonts w:ascii="微软雅黑" w:hAnsi="微软雅黑" w:eastAsia="微软雅黑" w:cs="微软雅黑"/>
                <w:sz w:val="22"/>
                <w:szCs w:val="22"/>
              </w:rPr>
            </w:pPr>
            <w:r>
              <w:rPr>
                <w:rFonts w:ascii="微软雅黑" w:hAnsi="微软雅黑" w:eastAsia="微软雅黑" w:cs="微软雅黑"/>
                <w:spacing w:val="-6"/>
                <w:sz w:val="22"/>
                <w:szCs w:val="22"/>
              </w:rPr>
              <w:t>甲级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60" w:hRule="atLeast"/>
        </w:trPr>
        <w:tc>
          <w:tcPr>
            <w:tcW w:w="708" w:type="dxa"/>
            <w:vMerge w:val="continue"/>
            <w:tcBorders>
              <w:top w:val="nil"/>
            </w:tcBorders>
            <w:vAlign w:val="top"/>
          </w:tcPr>
          <w:p>
            <w:pPr>
              <w:rPr>
                <w:rFonts w:ascii="Arial"/>
                <w:sz w:val="21"/>
              </w:rPr>
            </w:pPr>
          </w:p>
        </w:tc>
        <w:tc>
          <w:tcPr>
            <w:tcW w:w="1276" w:type="dxa"/>
            <w:vMerge w:val="continue"/>
            <w:tcBorders>
              <w:top w:val="nil"/>
              <w:bottom w:val="nil"/>
            </w:tcBorders>
            <w:vAlign w:val="top"/>
          </w:tcPr>
          <w:p>
            <w:pPr>
              <w:rPr>
                <w:rFonts w:ascii="Arial"/>
                <w:sz w:val="21"/>
              </w:rPr>
            </w:pPr>
          </w:p>
        </w:tc>
        <w:tc>
          <w:tcPr>
            <w:tcW w:w="1985" w:type="dxa"/>
            <w:vMerge w:val="continue"/>
            <w:tcBorders>
              <w:top w:val="nil"/>
              <w:bottom w:val="nil"/>
            </w:tcBorders>
            <w:vAlign w:val="top"/>
          </w:tcPr>
          <w:p>
            <w:pPr>
              <w:rPr>
                <w:rFonts w:ascii="Arial"/>
                <w:sz w:val="21"/>
              </w:rPr>
            </w:pPr>
          </w:p>
        </w:tc>
        <w:tc>
          <w:tcPr>
            <w:tcW w:w="1842" w:type="dxa"/>
            <w:vMerge w:val="continue"/>
            <w:tcBorders>
              <w:top w:val="nil"/>
            </w:tcBorders>
            <w:vAlign w:val="top"/>
          </w:tcPr>
          <w:p>
            <w:pPr>
              <w:rPr>
                <w:rFonts w:ascii="Arial"/>
                <w:sz w:val="21"/>
              </w:rPr>
            </w:pPr>
          </w:p>
        </w:tc>
        <w:tc>
          <w:tcPr>
            <w:tcW w:w="4309" w:type="dxa"/>
            <w:vMerge w:val="continue"/>
            <w:tcBorders>
              <w:top w:val="nil"/>
            </w:tcBorders>
            <w:vAlign w:val="top"/>
          </w:tcPr>
          <w:p>
            <w:pPr>
              <w:rPr>
                <w:rFonts w:ascii="Arial"/>
                <w:sz w:val="21"/>
              </w:rPr>
            </w:pPr>
          </w:p>
        </w:tc>
        <w:tc>
          <w:tcPr>
            <w:tcW w:w="1131" w:type="dxa"/>
            <w:vMerge w:val="continue"/>
            <w:tcBorders>
              <w:top w:val="nil"/>
            </w:tcBorders>
            <w:vAlign w:val="top"/>
          </w:tcPr>
          <w:p>
            <w:pPr>
              <w:rPr>
                <w:rFonts w:ascii="Arial"/>
                <w:sz w:val="21"/>
              </w:rPr>
            </w:pPr>
          </w:p>
        </w:tc>
        <w:tc>
          <w:tcPr>
            <w:tcW w:w="909" w:type="dxa"/>
            <w:vAlign w:val="top"/>
          </w:tcPr>
          <w:p>
            <w:pPr>
              <w:spacing w:before="244" w:line="173" w:lineRule="auto"/>
              <w:ind w:left="146"/>
              <w:rPr>
                <w:rFonts w:ascii="微软雅黑" w:hAnsi="微软雅黑" w:eastAsia="微软雅黑" w:cs="微软雅黑"/>
                <w:sz w:val="22"/>
                <w:szCs w:val="22"/>
              </w:rPr>
            </w:pPr>
            <w:r>
              <w:rPr>
                <w:rFonts w:ascii="微软雅黑" w:hAnsi="微软雅黑" w:eastAsia="微软雅黑" w:cs="微软雅黑"/>
                <w:spacing w:val="-5"/>
                <w:sz w:val="22"/>
                <w:szCs w:val="22"/>
              </w:rPr>
              <w:t>&lt;1500</w:t>
            </w:r>
          </w:p>
        </w:tc>
        <w:tc>
          <w:tcPr>
            <w:tcW w:w="1795" w:type="dxa"/>
            <w:vAlign w:val="top"/>
          </w:tcPr>
          <w:p>
            <w:pPr>
              <w:spacing w:before="236" w:line="195" w:lineRule="auto"/>
              <w:ind w:left="689"/>
              <w:rPr>
                <w:rFonts w:ascii="微软雅黑" w:hAnsi="微软雅黑" w:eastAsia="微软雅黑" w:cs="微软雅黑"/>
                <w:sz w:val="22"/>
                <w:szCs w:val="22"/>
              </w:rPr>
            </w:pPr>
            <w:r>
              <w:rPr>
                <w:rFonts w:ascii="微软雅黑" w:hAnsi="微软雅黑" w:eastAsia="微软雅黑" w:cs="微软雅黑"/>
                <w:spacing w:val="-4"/>
                <w:sz w:val="22"/>
                <w:szCs w:val="22"/>
              </w:rPr>
              <w:t>乙级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62" w:hRule="atLeast"/>
        </w:trPr>
        <w:tc>
          <w:tcPr>
            <w:tcW w:w="708" w:type="dxa"/>
            <w:vAlign w:val="top"/>
          </w:tcPr>
          <w:p>
            <w:pPr>
              <w:spacing w:before="245" w:line="172" w:lineRule="auto"/>
              <w:ind w:left="233"/>
              <w:rPr>
                <w:rFonts w:ascii="微软雅黑" w:hAnsi="微软雅黑" w:eastAsia="微软雅黑" w:cs="微软雅黑"/>
                <w:sz w:val="22"/>
                <w:szCs w:val="22"/>
              </w:rPr>
            </w:pPr>
            <w:r>
              <w:rPr>
                <w:rFonts w:ascii="微软雅黑" w:hAnsi="微软雅黑" w:eastAsia="微软雅黑" w:cs="微软雅黑"/>
                <w:spacing w:val="-3"/>
                <w:sz w:val="22"/>
                <w:szCs w:val="22"/>
              </w:rPr>
              <w:t>23</w:t>
            </w:r>
          </w:p>
        </w:tc>
        <w:tc>
          <w:tcPr>
            <w:tcW w:w="1276" w:type="dxa"/>
            <w:vMerge w:val="continue"/>
            <w:tcBorders>
              <w:top w:val="nil"/>
            </w:tcBorders>
            <w:vAlign w:val="top"/>
          </w:tcPr>
          <w:p>
            <w:pPr>
              <w:rPr>
                <w:rFonts w:ascii="Arial"/>
                <w:sz w:val="21"/>
              </w:rPr>
            </w:pPr>
          </w:p>
        </w:tc>
        <w:tc>
          <w:tcPr>
            <w:tcW w:w="1985" w:type="dxa"/>
            <w:vMerge w:val="continue"/>
            <w:tcBorders>
              <w:top w:val="nil"/>
            </w:tcBorders>
            <w:vAlign w:val="top"/>
          </w:tcPr>
          <w:p>
            <w:pPr>
              <w:rPr>
                <w:rFonts w:ascii="Arial"/>
                <w:sz w:val="21"/>
              </w:rPr>
            </w:pPr>
          </w:p>
        </w:tc>
        <w:tc>
          <w:tcPr>
            <w:tcW w:w="1842" w:type="dxa"/>
            <w:vAlign w:val="top"/>
          </w:tcPr>
          <w:p>
            <w:pPr>
              <w:rPr>
                <w:rFonts w:ascii="Arial"/>
                <w:sz w:val="21"/>
              </w:rPr>
            </w:pPr>
          </w:p>
        </w:tc>
        <w:tc>
          <w:tcPr>
            <w:tcW w:w="4309" w:type="dxa"/>
            <w:vAlign w:val="top"/>
          </w:tcPr>
          <w:p>
            <w:pPr>
              <w:rPr>
                <w:rFonts w:ascii="Arial"/>
                <w:sz w:val="21"/>
              </w:rPr>
            </w:pPr>
          </w:p>
        </w:tc>
        <w:tc>
          <w:tcPr>
            <w:tcW w:w="1131" w:type="dxa"/>
            <w:vAlign w:val="top"/>
          </w:tcPr>
          <w:p>
            <w:pPr>
              <w:spacing w:before="235" w:line="194" w:lineRule="auto"/>
              <w:ind w:left="344"/>
              <w:rPr>
                <w:rFonts w:ascii="微软雅黑" w:hAnsi="微软雅黑" w:eastAsia="微软雅黑" w:cs="微软雅黑"/>
                <w:sz w:val="22"/>
                <w:szCs w:val="22"/>
              </w:rPr>
            </w:pPr>
            <w:r>
              <w:rPr>
                <w:rFonts w:ascii="微软雅黑" w:hAnsi="微软雅黑" w:eastAsia="微软雅黑" w:cs="微软雅黑"/>
                <w:spacing w:val="-1"/>
                <w:sz w:val="22"/>
                <w:szCs w:val="22"/>
              </w:rPr>
              <w:t>数值</w:t>
            </w:r>
          </w:p>
        </w:tc>
        <w:tc>
          <w:tcPr>
            <w:tcW w:w="909" w:type="dxa"/>
            <w:vAlign w:val="top"/>
          </w:tcPr>
          <w:p>
            <w:pPr>
              <w:spacing w:before="236" w:line="212" w:lineRule="auto"/>
              <w:ind w:left="141"/>
              <w:rPr>
                <w:rFonts w:ascii="微软雅黑" w:hAnsi="微软雅黑" w:eastAsia="微软雅黑" w:cs="微软雅黑"/>
                <w:sz w:val="22"/>
                <w:szCs w:val="22"/>
              </w:rPr>
            </w:pPr>
            <w:r>
              <w:rPr>
                <w:rFonts w:ascii="微软雅黑" w:hAnsi="微软雅黑" w:eastAsia="微软雅黑" w:cs="微软雅黑"/>
                <w:spacing w:val="-5"/>
                <w:sz w:val="22"/>
                <w:szCs w:val="22"/>
              </w:rPr>
              <w:t>≥2000</w:t>
            </w:r>
          </w:p>
        </w:tc>
        <w:tc>
          <w:tcPr>
            <w:tcW w:w="1795" w:type="dxa"/>
            <w:vAlign w:val="top"/>
          </w:tcPr>
          <w:p>
            <w:pPr>
              <w:spacing w:before="236" w:line="195" w:lineRule="auto"/>
              <w:ind w:left="699"/>
              <w:rPr>
                <w:rFonts w:ascii="微软雅黑" w:hAnsi="微软雅黑" w:eastAsia="微软雅黑" w:cs="微软雅黑"/>
                <w:sz w:val="22"/>
                <w:szCs w:val="22"/>
              </w:rPr>
            </w:pPr>
            <w:r>
              <w:rPr>
                <w:rFonts w:ascii="微软雅黑" w:hAnsi="微软雅黑" w:eastAsia="微软雅黑" w:cs="微软雅黑"/>
                <w:spacing w:val="-6"/>
                <w:sz w:val="22"/>
                <w:szCs w:val="22"/>
              </w:rPr>
              <w:t>甲级</w:t>
            </w:r>
          </w:p>
        </w:tc>
      </w:tr>
    </w:tbl>
    <w:p>
      <w:pPr>
        <w:pStyle w:val="16"/>
        <w:spacing w:line="280" w:lineRule="auto"/>
      </w:pPr>
    </w:p>
    <w:p>
      <w:pPr>
        <w:pStyle w:val="16"/>
        <w:spacing w:line="280" w:lineRule="auto"/>
      </w:pPr>
    </w:p>
    <w:p>
      <w:pPr>
        <w:pStyle w:val="16"/>
        <w:spacing w:line="281" w:lineRule="auto"/>
      </w:pPr>
    </w:p>
    <w:p>
      <w:pPr>
        <w:pStyle w:val="16"/>
        <w:spacing w:line="281" w:lineRule="auto"/>
      </w:pPr>
    </w:p>
    <w:p>
      <w:pPr>
        <w:pStyle w:val="16"/>
        <w:spacing w:before="69" w:line="327" w:lineRule="exact"/>
        <w:ind w:left="4057"/>
        <w:rPr>
          <w:sz w:val="24"/>
          <w:szCs w:val="24"/>
        </w:rPr>
      </w:pPr>
      <w:r>
        <w:rPr>
          <w:spacing w:val="-4"/>
          <w:position w:val="1"/>
          <w:sz w:val="24"/>
          <w:szCs w:val="24"/>
        </w:rPr>
        <w:t>35 /</w:t>
      </w:r>
      <w:r>
        <w:rPr>
          <w:spacing w:val="26"/>
          <w:position w:val="1"/>
          <w:sz w:val="24"/>
          <w:szCs w:val="24"/>
        </w:rPr>
        <w:t xml:space="preserve"> </w:t>
      </w:r>
      <w:r>
        <w:rPr>
          <w:spacing w:val="-4"/>
          <w:position w:val="1"/>
          <w:sz w:val="24"/>
          <w:szCs w:val="24"/>
        </w:rPr>
        <w:t>165</w:t>
      </w:r>
    </w:p>
    <w:p>
      <w:pPr>
        <w:spacing w:line="327" w:lineRule="exact"/>
        <w:rPr>
          <w:sz w:val="24"/>
          <w:szCs w:val="24"/>
        </w:rPr>
        <w:sectPr>
          <w:pgSz w:w="16839" w:h="11907"/>
          <w:pgMar w:top="400" w:right="1438" w:bottom="400" w:left="995" w:header="0" w:footer="0" w:gutter="0"/>
          <w:cols w:space="720" w:num="1"/>
        </w:sectPr>
      </w:pPr>
    </w:p>
    <w:p>
      <w:pPr>
        <w:spacing w:before="39"/>
      </w:pPr>
      <w:r>
        <mc:AlternateContent>
          <mc:Choice Requires="wps">
            <w:drawing>
              <wp:anchor distT="0" distB="0" distL="114300" distR="114300" simplePos="0" relativeHeight="251669504" behindDoc="0" locked="0" layoutInCell="0" allowOverlap="1">
                <wp:simplePos x="0" y="0"/>
                <wp:positionH relativeFrom="page">
                  <wp:posOffset>631825</wp:posOffset>
                </wp:positionH>
                <wp:positionV relativeFrom="page">
                  <wp:posOffset>6922135</wp:posOffset>
                </wp:positionV>
                <wp:extent cx="6292850" cy="6350"/>
                <wp:effectExtent l="0" t="0" r="0" b="0"/>
                <wp:wrapNone/>
                <wp:docPr id="19" name="任意多边形 19"/>
                <wp:cNvGraphicFramePr/>
                <a:graphic xmlns:a="http://schemas.openxmlformats.org/drawingml/2006/main">
                  <a:graphicData uri="http://schemas.microsoft.com/office/word/2010/wordprocessingShape">
                    <wps:wsp>
                      <wps:cNvSpPr/>
                      <wps:spPr>
                        <a:xfrm>
                          <a:off x="0" y="0"/>
                          <a:ext cx="6292850" cy="6350"/>
                        </a:xfrm>
                        <a:custGeom>
                          <a:avLst/>
                          <a:gdLst/>
                          <a:ahLst/>
                          <a:cxnLst/>
                          <a:pathLst>
                            <a:path w="9910" h="10">
                              <a:moveTo>
                                <a:pt x="5" y="5"/>
                              </a:moveTo>
                              <a:lnTo>
                                <a:pt x="4955" y="5"/>
                              </a:lnTo>
                              <a:moveTo>
                                <a:pt x="4955" y="5"/>
                              </a:moveTo>
                              <a:lnTo>
                                <a:pt x="9905" y="5"/>
                              </a:lnTo>
                            </a:path>
                          </a:pathLst>
                        </a:custGeom>
                        <a:noFill/>
                        <a:ln w="6350" cap="sq" cmpd="sng">
                          <a:solidFill>
                            <a:srgbClr val="000000"/>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49.75pt;margin-top:545.05pt;height:0.5pt;width:495.5pt;mso-position-horizontal-relative:page;mso-position-vertical-relative:page;z-index:251669504;mso-width-relative:page;mso-height-relative:page;" filled="f" stroked="t" coordsize="9910,10" o:allowincell="f" o:gfxdata="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WAAAAZHJzL1BL&#10;AQIUABQAAAAIAIdO4kDujIKO2gAAAA0BAAAPAAAAAAAAAAEAIAAAADgAAABkcnMvZG93bnJldi54&#10;bWxQSwECFAAUAAAACACHTuJAviA7QlQCAAD2BAAADgAAAAAAAAABACAAAAA/AQAAZHJzL2Uyb0Rv&#10;Yy54bWxQSwUGAAAAAAYABgBZAQAABQYAAAAA&#10;" path="m5,5l4955,5m4955,5l9905,5e">
                <v:fill on="f" focussize="0,0"/>
                <v:stroke weight="0.5pt" color="#000000" miterlimit="10" joinstyle="miter" endcap="square"/>
                <v:imagedata o:title=""/>
                <o:lock v:ext="edit" aspectratio="f"/>
              </v:shape>
            </w:pict>
          </mc:Fallback>
        </mc:AlternateContent>
      </w:r>
    </w:p>
    <w:p>
      <w:pPr>
        <w:spacing w:before="39"/>
      </w:pPr>
    </w:p>
    <w:p>
      <w:pPr>
        <w:spacing w:before="39"/>
      </w:pPr>
    </w:p>
    <w:p>
      <w:pPr>
        <w:spacing w:before="38"/>
      </w:pPr>
    </w:p>
    <w:p>
      <w:pPr>
        <w:spacing w:before="38"/>
      </w:pPr>
    </w:p>
    <w:tbl>
      <w:tblPr>
        <w:tblStyle w:val="96"/>
        <w:tblW w:w="13955" w:type="dxa"/>
        <w:tblInd w:w="44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8"/>
        <w:gridCol w:w="1276"/>
        <w:gridCol w:w="1985"/>
        <w:gridCol w:w="1842"/>
        <w:gridCol w:w="4309"/>
        <w:gridCol w:w="1131"/>
        <w:gridCol w:w="909"/>
        <w:gridCol w:w="17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87" w:hRule="atLeast"/>
        </w:trPr>
        <w:tc>
          <w:tcPr>
            <w:tcW w:w="708" w:type="dxa"/>
            <w:vAlign w:val="top"/>
          </w:tcPr>
          <w:p>
            <w:pPr>
              <w:rPr>
                <w:rFonts w:ascii="Arial"/>
                <w:sz w:val="21"/>
              </w:rPr>
            </w:pPr>
          </w:p>
        </w:tc>
        <w:tc>
          <w:tcPr>
            <w:tcW w:w="1276" w:type="dxa"/>
            <w:vMerge w:val="restart"/>
            <w:tcBorders>
              <w:bottom w:val="nil"/>
            </w:tcBorders>
            <w:vAlign w:val="top"/>
          </w:tcPr>
          <w:p>
            <w:pPr>
              <w:rPr>
                <w:rFonts w:ascii="Arial"/>
                <w:sz w:val="21"/>
              </w:rPr>
            </w:pPr>
          </w:p>
        </w:tc>
        <w:tc>
          <w:tcPr>
            <w:tcW w:w="1985" w:type="dxa"/>
            <w:vMerge w:val="restart"/>
            <w:tcBorders>
              <w:bottom w:val="nil"/>
            </w:tcBorders>
            <w:vAlign w:val="top"/>
          </w:tcPr>
          <w:p>
            <w:pPr>
              <w:rPr>
                <w:rFonts w:ascii="Arial"/>
                <w:sz w:val="21"/>
              </w:rPr>
            </w:pPr>
          </w:p>
        </w:tc>
        <w:tc>
          <w:tcPr>
            <w:tcW w:w="1842" w:type="dxa"/>
            <w:vMerge w:val="restart"/>
            <w:tcBorders>
              <w:bottom w:val="nil"/>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94" w:line="624" w:lineRule="exact"/>
              <w:ind w:left="35"/>
              <w:rPr>
                <w:rFonts w:ascii="微软雅黑" w:hAnsi="微软雅黑" w:eastAsia="微软雅黑" w:cs="微软雅黑"/>
                <w:sz w:val="22"/>
                <w:szCs w:val="22"/>
              </w:rPr>
            </w:pPr>
            <w:r>
              <w:rPr>
                <w:rFonts w:ascii="微软雅黑" w:hAnsi="微软雅黑" w:eastAsia="微软雅黑" w:cs="微软雅黑"/>
                <w:position w:val="30"/>
                <w:sz w:val="22"/>
                <w:szCs w:val="22"/>
              </w:rPr>
              <w:t>建筑装修装饰工程</w:t>
            </w:r>
          </w:p>
          <w:p>
            <w:pPr>
              <w:spacing w:line="194" w:lineRule="auto"/>
              <w:ind w:left="481"/>
              <w:rPr>
                <w:rFonts w:ascii="微软雅黑" w:hAnsi="微软雅黑" w:eastAsia="微软雅黑" w:cs="微软雅黑"/>
                <w:sz w:val="22"/>
                <w:szCs w:val="22"/>
              </w:rPr>
            </w:pPr>
            <w:r>
              <w:rPr>
                <w:rFonts w:ascii="微软雅黑" w:hAnsi="微软雅黑" w:eastAsia="微软雅黑" w:cs="微软雅黑"/>
                <w:spacing w:val="-1"/>
                <w:sz w:val="22"/>
                <w:szCs w:val="22"/>
              </w:rPr>
              <w:t>专业承包</w:t>
            </w:r>
          </w:p>
        </w:tc>
        <w:tc>
          <w:tcPr>
            <w:tcW w:w="4309" w:type="dxa"/>
            <w:vAlign w:val="top"/>
          </w:tcPr>
          <w:p>
            <w:pPr>
              <w:spacing w:before="235" w:line="397" w:lineRule="auto"/>
              <w:ind w:left="16"/>
              <w:rPr>
                <w:rFonts w:ascii="微软雅黑" w:hAnsi="微软雅黑" w:eastAsia="微软雅黑" w:cs="微软雅黑"/>
                <w:sz w:val="22"/>
                <w:szCs w:val="22"/>
              </w:rPr>
            </w:pPr>
            <w:r>
              <w:rPr>
                <w:rFonts w:ascii="微软雅黑" w:hAnsi="微软雅黑" w:eastAsia="微软雅黑" w:cs="微软雅黑"/>
                <w:sz w:val="22"/>
                <w:szCs w:val="22"/>
              </w:rPr>
              <w:t>单项合同额</w:t>
            </w:r>
            <w:r>
              <w:rPr>
                <w:rFonts w:ascii="微软雅黑" w:hAnsi="微软雅黑" w:eastAsia="微软雅黑" w:cs="微软雅黑"/>
                <w:spacing w:val="-60"/>
                <w:sz w:val="22"/>
                <w:szCs w:val="22"/>
              </w:rPr>
              <w:t xml:space="preserve"> </w:t>
            </w:r>
            <w:r>
              <w:rPr>
                <w:rFonts w:ascii="微软雅黑" w:hAnsi="微软雅黑" w:eastAsia="微软雅黑" w:cs="微软雅黑"/>
                <w:spacing w:val="5"/>
                <w:sz w:val="22"/>
                <w:szCs w:val="22"/>
                <w:u w:val="single" w:color="auto"/>
              </w:rPr>
              <w:t xml:space="preserve">       </w:t>
            </w:r>
            <w:r>
              <w:rPr>
                <w:rFonts w:ascii="微软雅黑" w:hAnsi="微软雅黑" w:eastAsia="微软雅黑" w:cs="微软雅黑"/>
                <w:spacing w:val="-59"/>
                <w:sz w:val="22"/>
                <w:szCs w:val="22"/>
              </w:rPr>
              <w:t xml:space="preserve"> </w:t>
            </w:r>
            <w:r>
              <w:rPr>
                <w:rFonts w:ascii="微软雅黑" w:hAnsi="微软雅黑" w:eastAsia="微软雅黑" w:cs="微软雅黑"/>
                <w:sz w:val="22"/>
                <w:szCs w:val="22"/>
              </w:rPr>
              <w:t>万元的建筑装修装饰工程，</w:t>
            </w:r>
          </w:p>
          <w:p>
            <w:pPr>
              <w:spacing w:line="194" w:lineRule="auto"/>
              <w:ind w:left="23"/>
              <w:rPr>
                <w:rFonts w:ascii="微软雅黑" w:hAnsi="微软雅黑" w:eastAsia="微软雅黑" w:cs="微软雅黑"/>
                <w:sz w:val="22"/>
                <w:szCs w:val="22"/>
              </w:rPr>
            </w:pPr>
            <w:r>
              <w:rPr>
                <w:rFonts w:ascii="微软雅黑" w:hAnsi="微软雅黑" w:eastAsia="微软雅黑" w:cs="微软雅黑"/>
                <w:spacing w:val="-1"/>
                <w:sz w:val="22"/>
                <w:szCs w:val="22"/>
              </w:rPr>
              <w:t>以及与装修工程直接配套的其他工程的施工</w:t>
            </w:r>
          </w:p>
        </w:tc>
        <w:tc>
          <w:tcPr>
            <w:tcW w:w="1131" w:type="dxa"/>
            <w:vAlign w:val="top"/>
          </w:tcPr>
          <w:p>
            <w:pPr>
              <w:rPr>
                <w:rFonts w:ascii="Arial"/>
                <w:sz w:val="21"/>
              </w:rPr>
            </w:pPr>
          </w:p>
        </w:tc>
        <w:tc>
          <w:tcPr>
            <w:tcW w:w="909" w:type="dxa"/>
            <w:vAlign w:val="top"/>
          </w:tcPr>
          <w:p>
            <w:pPr>
              <w:spacing w:line="460" w:lineRule="auto"/>
              <w:rPr>
                <w:rFonts w:ascii="Arial"/>
                <w:sz w:val="21"/>
              </w:rPr>
            </w:pPr>
          </w:p>
          <w:p>
            <w:pPr>
              <w:spacing w:before="94" w:line="172" w:lineRule="auto"/>
              <w:ind w:left="146"/>
              <w:rPr>
                <w:rFonts w:ascii="微软雅黑" w:hAnsi="微软雅黑" w:eastAsia="微软雅黑" w:cs="微软雅黑"/>
                <w:sz w:val="22"/>
                <w:szCs w:val="22"/>
              </w:rPr>
            </w:pPr>
            <w:r>
              <w:rPr>
                <w:rFonts w:ascii="微软雅黑" w:hAnsi="微软雅黑" w:eastAsia="微软雅黑" w:cs="微软雅黑"/>
                <w:spacing w:val="-5"/>
                <w:sz w:val="22"/>
                <w:szCs w:val="22"/>
              </w:rPr>
              <w:t>&lt;2000</w:t>
            </w:r>
          </w:p>
        </w:tc>
        <w:tc>
          <w:tcPr>
            <w:tcW w:w="1795" w:type="dxa"/>
            <w:vAlign w:val="top"/>
          </w:tcPr>
          <w:p>
            <w:pPr>
              <w:spacing w:line="451" w:lineRule="auto"/>
              <w:rPr>
                <w:rFonts w:ascii="Arial"/>
                <w:sz w:val="21"/>
              </w:rPr>
            </w:pPr>
          </w:p>
          <w:p>
            <w:pPr>
              <w:spacing w:before="94" w:line="195" w:lineRule="auto"/>
              <w:ind w:left="689"/>
              <w:rPr>
                <w:rFonts w:ascii="微软雅黑" w:hAnsi="微软雅黑" w:eastAsia="微软雅黑" w:cs="微软雅黑"/>
                <w:sz w:val="22"/>
                <w:szCs w:val="22"/>
              </w:rPr>
            </w:pPr>
            <w:r>
              <w:rPr>
                <w:rFonts w:ascii="微软雅黑" w:hAnsi="微软雅黑" w:eastAsia="微软雅黑" w:cs="微软雅黑"/>
                <w:spacing w:val="-4"/>
                <w:sz w:val="22"/>
                <w:szCs w:val="22"/>
              </w:rPr>
              <w:t>乙级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7" w:hRule="atLeast"/>
        </w:trPr>
        <w:tc>
          <w:tcPr>
            <w:tcW w:w="708" w:type="dxa"/>
            <w:vMerge w:val="restart"/>
            <w:tcBorders>
              <w:bottom w:val="nil"/>
            </w:tcBorders>
            <w:vAlign w:val="top"/>
          </w:tcPr>
          <w:p>
            <w:pPr>
              <w:spacing w:line="476" w:lineRule="auto"/>
              <w:rPr>
                <w:rFonts w:ascii="Arial"/>
                <w:sz w:val="21"/>
              </w:rPr>
            </w:pPr>
          </w:p>
          <w:p>
            <w:pPr>
              <w:spacing w:before="95" w:line="172" w:lineRule="auto"/>
              <w:ind w:left="233"/>
              <w:rPr>
                <w:rFonts w:ascii="微软雅黑" w:hAnsi="微软雅黑" w:eastAsia="微软雅黑" w:cs="微软雅黑"/>
                <w:sz w:val="22"/>
                <w:szCs w:val="22"/>
              </w:rPr>
            </w:pPr>
            <w:r>
              <w:rPr>
                <w:rFonts w:ascii="微软雅黑" w:hAnsi="微软雅黑" w:eastAsia="微软雅黑" w:cs="微软雅黑"/>
                <w:spacing w:val="-3"/>
                <w:sz w:val="22"/>
                <w:szCs w:val="22"/>
              </w:rPr>
              <w:t>24</w:t>
            </w:r>
          </w:p>
        </w:tc>
        <w:tc>
          <w:tcPr>
            <w:tcW w:w="1276" w:type="dxa"/>
            <w:vMerge w:val="continue"/>
            <w:tcBorders>
              <w:top w:val="nil"/>
              <w:bottom w:val="nil"/>
            </w:tcBorders>
            <w:vAlign w:val="top"/>
          </w:tcPr>
          <w:p>
            <w:pPr>
              <w:rPr>
                <w:rFonts w:ascii="Arial"/>
                <w:sz w:val="21"/>
              </w:rPr>
            </w:pPr>
          </w:p>
        </w:tc>
        <w:tc>
          <w:tcPr>
            <w:tcW w:w="1985" w:type="dxa"/>
            <w:vMerge w:val="continue"/>
            <w:tcBorders>
              <w:top w:val="nil"/>
              <w:bottom w:val="nil"/>
            </w:tcBorders>
            <w:vAlign w:val="top"/>
          </w:tcPr>
          <w:p>
            <w:pPr>
              <w:rPr>
                <w:rFonts w:ascii="Arial"/>
                <w:sz w:val="21"/>
              </w:rPr>
            </w:pPr>
          </w:p>
        </w:tc>
        <w:tc>
          <w:tcPr>
            <w:tcW w:w="1842" w:type="dxa"/>
            <w:vMerge w:val="continue"/>
            <w:tcBorders>
              <w:top w:val="nil"/>
              <w:bottom w:val="nil"/>
            </w:tcBorders>
            <w:vAlign w:val="top"/>
          </w:tcPr>
          <w:p>
            <w:pPr>
              <w:rPr>
                <w:rFonts w:ascii="Arial"/>
                <w:sz w:val="21"/>
              </w:rPr>
            </w:pPr>
          </w:p>
        </w:tc>
        <w:tc>
          <w:tcPr>
            <w:tcW w:w="4309" w:type="dxa"/>
            <w:vMerge w:val="restart"/>
            <w:tcBorders>
              <w:bottom w:val="nil"/>
            </w:tcBorders>
            <w:vAlign w:val="top"/>
          </w:tcPr>
          <w:p>
            <w:pPr>
              <w:spacing w:before="251" w:line="397" w:lineRule="auto"/>
              <w:ind w:left="15"/>
              <w:rPr>
                <w:rFonts w:ascii="微软雅黑" w:hAnsi="微软雅黑" w:eastAsia="微软雅黑" w:cs="微软雅黑"/>
                <w:sz w:val="22"/>
                <w:szCs w:val="22"/>
              </w:rPr>
            </w:pPr>
            <w:r>
              <w:rPr>
                <w:rFonts w:ascii="微软雅黑" w:hAnsi="微软雅黑" w:eastAsia="微软雅黑" w:cs="微软雅黑"/>
                <w:spacing w:val="-1"/>
                <w:sz w:val="22"/>
                <w:szCs w:val="22"/>
              </w:rPr>
              <w:t>建筑工程幕墙面积</w:t>
            </w:r>
            <w:r>
              <w:rPr>
                <w:rFonts w:ascii="微软雅黑" w:hAnsi="微软雅黑" w:eastAsia="微软雅黑" w:cs="微软雅黑"/>
                <w:spacing w:val="-54"/>
                <w:sz w:val="22"/>
                <w:szCs w:val="22"/>
              </w:rPr>
              <w:t xml:space="preserve"> </w:t>
            </w:r>
            <w:r>
              <w:rPr>
                <w:rFonts w:ascii="微软雅黑" w:hAnsi="微软雅黑" w:eastAsia="微软雅黑" w:cs="微软雅黑"/>
                <w:spacing w:val="5"/>
                <w:sz w:val="22"/>
                <w:szCs w:val="22"/>
                <w:u w:val="single" w:color="auto"/>
              </w:rPr>
              <w:t xml:space="preserve">       </w:t>
            </w:r>
            <w:r>
              <w:rPr>
                <w:rFonts w:ascii="微软雅黑" w:hAnsi="微软雅黑" w:eastAsia="微软雅黑" w:cs="微软雅黑"/>
                <w:spacing w:val="-58"/>
                <w:sz w:val="22"/>
                <w:szCs w:val="22"/>
              </w:rPr>
              <w:t xml:space="preserve"> </w:t>
            </w:r>
            <w:r>
              <w:rPr>
                <w:rFonts w:ascii="微软雅黑" w:hAnsi="微软雅黑" w:eastAsia="微软雅黑" w:cs="微软雅黑"/>
                <w:spacing w:val="-1"/>
                <w:sz w:val="22"/>
                <w:szCs w:val="22"/>
              </w:rPr>
              <w:t>平方米以上建筑幕墙</w:t>
            </w:r>
          </w:p>
          <w:p>
            <w:pPr>
              <w:spacing w:line="195" w:lineRule="auto"/>
              <w:ind w:left="18"/>
              <w:rPr>
                <w:rFonts w:ascii="微软雅黑" w:hAnsi="微软雅黑" w:eastAsia="微软雅黑" w:cs="微软雅黑"/>
                <w:sz w:val="22"/>
                <w:szCs w:val="22"/>
              </w:rPr>
            </w:pPr>
            <w:r>
              <w:rPr>
                <w:rFonts w:ascii="微软雅黑" w:hAnsi="微软雅黑" w:eastAsia="微软雅黑" w:cs="微软雅黑"/>
                <w:spacing w:val="-1"/>
                <w:sz w:val="22"/>
                <w:szCs w:val="22"/>
              </w:rPr>
              <w:t>工程的施工</w:t>
            </w:r>
          </w:p>
        </w:tc>
        <w:tc>
          <w:tcPr>
            <w:tcW w:w="1131" w:type="dxa"/>
            <w:vMerge w:val="restart"/>
            <w:tcBorders>
              <w:bottom w:val="nil"/>
            </w:tcBorders>
            <w:vAlign w:val="top"/>
          </w:tcPr>
          <w:p>
            <w:pPr>
              <w:spacing w:line="466" w:lineRule="auto"/>
              <w:rPr>
                <w:rFonts w:ascii="Arial"/>
                <w:sz w:val="21"/>
              </w:rPr>
            </w:pPr>
          </w:p>
          <w:p>
            <w:pPr>
              <w:spacing w:before="94" w:line="194" w:lineRule="auto"/>
              <w:ind w:left="344"/>
              <w:rPr>
                <w:rFonts w:ascii="微软雅黑" w:hAnsi="微软雅黑" w:eastAsia="微软雅黑" w:cs="微软雅黑"/>
                <w:sz w:val="22"/>
                <w:szCs w:val="22"/>
              </w:rPr>
            </w:pPr>
            <w:r>
              <w:rPr>
                <w:rFonts w:ascii="微软雅黑" w:hAnsi="微软雅黑" w:eastAsia="微软雅黑" w:cs="微软雅黑"/>
                <w:spacing w:val="-1"/>
                <w:sz w:val="22"/>
                <w:szCs w:val="22"/>
              </w:rPr>
              <w:t>数值</w:t>
            </w:r>
          </w:p>
        </w:tc>
        <w:tc>
          <w:tcPr>
            <w:tcW w:w="909" w:type="dxa"/>
            <w:vAlign w:val="top"/>
          </w:tcPr>
          <w:p>
            <w:pPr>
              <w:spacing w:before="232" w:line="212" w:lineRule="auto"/>
              <w:ind w:left="141"/>
              <w:rPr>
                <w:rFonts w:ascii="微软雅黑" w:hAnsi="微软雅黑" w:eastAsia="微软雅黑" w:cs="微软雅黑"/>
                <w:sz w:val="22"/>
                <w:szCs w:val="22"/>
              </w:rPr>
            </w:pPr>
            <w:r>
              <w:rPr>
                <w:rFonts w:ascii="微软雅黑" w:hAnsi="微软雅黑" w:eastAsia="微软雅黑" w:cs="微软雅黑"/>
                <w:spacing w:val="-5"/>
                <w:sz w:val="22"/>
                <w:szCs w:val="22"/>
              </w:rPr>
              <w:t>≥8000</w:t>
            </w:r>
          </w:p>
        </w:tc>
        <w:tc>
          <w:tcPr>
            <w:tcW w:w="1795" w:type="dxa"/>
            <w:vAlign w:val="top"/>
          </w:tcPr>
          <w:p>
            <w:pPr>
              <w:spacing w:before="232" w:line="195" w:lineRule="auto"/>
              <w:ind w:left="699"/>
              <w:rPr>
                <w:rFonts w:ascii="微软雅黑" w:hAnsi="微软雅黑" w:eastAsia="微软雅黑" w:cs="微软雅黑"/>
                <w:sz w:val="22"/>
                <w:szCs w:val="22"/>
              </w:rPr>
            </w:pPr>
            <w:r>
              <w:rPr>
                <w:rFonts w:ascii="微软雅黑" w:hAnsi="微软雅黑" w:eastAsia="微软雅黑" w:cs="微软雅黑"/>
                <w:spacing w:val="-6"/>
                <w:sz w:val="22"/>
                <w:szCs w:val="22"/>
              </w:rPr>
              <w:t>甲级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59" w:hRule="atLeast"/>
        </w:trPr>
        <w:tc>
          <w:tcPr>
            <w:tcW w:w="708" w:type="dxa"/>
            <w:vMerge w:val="continue"/>
            <w:tcBorders>
              <w:top w:val="nil"/>
            </w:tcBorders>
            <w:vAlign w:val="top"/>
          </w:tcPr>
          <w:p>
            <w:pPr>
              <w:rPr>
                <w:rFonts w:ascii="Arial"/>
                <w:sz w:val="21"/>
              </w:rPr>
            </w:pPr>
          </w:p>
        </w:tc>
        <w:tc>
          <w:tcPr>
            <w:tcW w:w="1276" w:type="dxa"/>
            <w:vMerge w:val="continue"/>
            <w:tcBorders>
              <w:top w:val="nil"/>
              <w:bottom w:val="nil"/>
            </w:tcBorders>
            <w:vAlign w:val="top"/>
          </w:tcPr>
          <w:p>
            <w:pPr>
              <w:rPr>
                <w:rFonts w:ascii="Arial"/>
                <w:sz w:val="21"/>
              </w:rPr>
            </w:pPr>
          </w:p>
        </w:tc>
        <w:tc>
          <w:tcPr>
            <w:tcW w:w="1985" w:type="dxa"/>
            <w:vMerge w:val="continue"/>
            <w:tcBorders>
              <w:top w:val="nil"/>
              <w:bottom w:val="nil"/>
            </w:tcBorders>
            <w:vAlign w:val="top"/>
          </w:tcPr>
          <w:p>
            <w:pPr>
              <w:rPr>
                <w:rFonts w:ascii="Arial"/>
                <w:sz w:val="21"/>
              </w:rPr>
            </w:pPr>
          </w:p>
        </w:tc>
        <w:tc>
          <w:tcPr>
            <w:tcW w:w="1842" w:type="dxa"/>
            <w:vMerge w:val="continue"/>
            <w:tcBorders>
              <w:top w:val="nil"/>
            </w:tcBorders>
            <w:vAlign w:val="top"/>
          </w:tcPr>
          <w:p>
            <w:pPr>
              <w:rPr>
                <w:rFonts w:ascii="Arial"/>
                <w:sz w:val="21"/>
              </w:rPr>
            </w:pPr>
          </w:p>
        </w:tc>
        <w:tc>
          <w:tcPr>
            <w:tcW w:w="4309" w:type="dxa"/>
            <w:vMerge w:val="continue"/>
            <w:tcBorders>
              <w:top w:val="nil"/>
            </w:tcBorders>
            <w:vAlign w:val="top"/>
          </w:tcPr>
          <w:p>
            <w:pPr>
              <w:rPr>
                <w:rFonts w:ascii="Arial"/>
                <w:sz w:val="21"/>
              </w:rPr>
            </w:pPr>
          </w:p>
        </w:tc>
        <w:tc>
          <w:tcPr>
            <w:tcW w:w="1131" w:type="dxa"/>
            <w:vMerge w:val="continue"/>
            <w:tcBorders>
              <w:top w:val="nil"/>
            </w:tcBorders>
            <w:vAlign w:val="top"/>
          </w:tcPr>
          <w:p>
            <w:pPr>
              <w:rPr>
                <w:rFonts w:ascii="Arial"/>
                <w:sz w:val="21"/>
              </w:rPr>
            </w:pPr>
          </w:p>
        </w:tc>
        <w:tc>
          <w:tcPr>
            <w:tcW w:w="909" w:type="dxa"/>
            <w:vAlign w:val="top"/>
          </w:tcPr>
          <w:p>
            <w:pPr>
              <w:spacing w:before="245" w:line="172" w:lineRule="auto"/>
              <w:ind w:left="146"/>
              <w:rPr>
                <w:rFonts w:ascii="微软雅黑" w:hAnsi="微软雅黑" w:eastAsia="微软雅黑" w:cs="微软雅黑"/>
                <w:sz w:val="22"/>
                <w:szCs w:val="22"/>
              </w:rPr>
            </w:pPr>
            <w:r>
              <w:rPr>
                <w:rFonts w:ascii="微软雅黑" w:hAnsi="微软雅黑" w:eastAsia="微软雅黑" w:cs="微软雅黑"/>
                <w:spacing w:val="-5"/>
                <w:sz w:val="22"/>
                <w:szCs w:val="22"/>
              </w:rPr>
              <w:t>&lt;8000</w:t>
            </w:r>
          </w:p>
        </w:tc>
        <w:tc>
          <w:tcPr>
            <w:tcW w:w="1795" w:type="dxa"/>
            <w:vAlign w:val="top"/>
          </w:tcPr>
          <w:p>
            <w:pPr>
              <w:spacing w:before="236" w:line="195" w:lineRule="auto"/>
              <w:ind w:left="689"/>
              <w:rPr>
                <w:rFonts w:ascii="微软雅黑" w:hAnsi="微软雅黑" w:eastAsia="微软雅黑" w:cs="微软雅黑"/>
                <w:sz w:val="22"/>
                <w:szCs w:val="22"/>
              </w:rPr>
            </w:pPr>
            <w:r>
              <w:rPr>
                <w:rFonts w:ascii="微软雅黑" w:hAnsi="微软雅黑" w:eastAsia="微软雅黑" w:cs="微软雅黑"/>
                <w:spacing w:val="-4"/>
                <w:sz w:val="22"/>
                <w:szCs w:val="22"/>
              </w:rPr>
              <w:t>乙级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63" w:hRule="atLeast"/>
        </w:trPr>
        <w:tc>
          <w:tcPr>
            <w:tcW w:w="708" w:type="dxa"/>
            <w:vAlign w:val="top"/>
          </w:tcPr>
          <w:p>
            <w:pPr>
              <w:spacing w:before="243" w:line="172" w:lineRule="auto"/>
              <w:ind w:left="233"/>
              <w:rPr>
                <w:rFonts w:ascii="微软雅黑" w:hAnsi="微软雅黑" w:eastAsia="微软雅黑" w:cs="微软雅黑"/>
                <w:sz w:val="22"/>
                <w:szCs w:val="22"/>
              </w:rPr>
            </w:pPr>
            <w:r>
              <w:rPr>
                <w:rFonts w:ascii="微软雅黑" w:hAnsi="微软雅黑" w:eastAsia="微软雅黑" w:cs="微软雅黑"/>
                <w:spacing w:val="-3"/>
                <w:sz w:val="22"/>
                <w:szCs w:val="22"/>
              </w:rPr>
              <w:t>25</w:t>
            </w:r>
          </w:p>
        </w:tc>
        <w:tc>
          <w:tcPr>
            <w:tcW w:w="1276" w:type="dxa"/>
            <w:vMerge w:val="continue"/>
            <w:tcBorders>
              <w:top w:val="nil"/>
            </w:tcBorders>
            <w:vAlign w:val="top"/>
          </w:tcPr>
          <w:p>
            <w:pPr>
              <w:rPr>
                <w:rFonts w:ascii="Arial"/>
                <w:sz w:val="21"/>
              </w:rPr>
            </w:pPr>
          </w:p>
        </w:tc>
        <w:tc>
          <w:tcPr>
            <w:tcW w:w="1985" w:type="dxa"/>
            <w:vMerge w:val="continue"/>
            <w:tcBorders>
              <w:top w:val="nil"/>
            </w:tcBorders>
            <w:vAlign w:val="top"/>
          </w:tcPr>
          <w:p>
            <w:pPr>
              <w:rPr>
                <w:rFonts w:ascii="Arial"/>
                <w:sz w:val="21"/>
              </w:rPr>
            </w:pPr>
          </w:p>
        </w:tc>
        <w:tc>
          <w:tcPr>
            <w:tcW w:w="1842" w:type="dxa"/>
            <w:vAlign w:val="top"/>
          </w:tcPr>
          <w:p>
            <w:pPr>
              <w:spacing w:before="234" w:line="194" w:lineRule="auto"/>
              <w:ind w:left="13"/>
              <w:rPr>
                <w:rFonts w:ascii="微软雅黑" w:hAnsi="微软雅黑" w:eastAsia="微软雅黑" w:cs="微软雅黑"/>
                <w:sz w:val="22"/>
                <w:szCs w:val="22"/>
              </w:rPr>
            </w:pPr>
            <w:r>
              <w:rPr>
                <w:rFonts w:ascii="微软雅黑" w:hAnsi="微软雅黑" w:eastAsia="微软雅黑" w:cs="微软雅黑"/>
                <w:sz w:val="22"/>
                <w:szCs w:val="22"/>
              </w:rPr>
              <w:t>通用专业承包</w:t>
            </w:r>
          </w:p>
        </w:tc>
        <w:tc>
          <w:tcPr>
            <w:tcW w:w="4309" w:type="dxa"/>
            <w:vAlign w:val="top"/>
          </w:tcPr>
          <w:p>
            <w:pPr>
              <w:rPr>
                <w:rFonts w:ascii="Arial"/>
                <w:sz w:val="21"/>
              </w:rPr>
            </w:pPr>
          </w:p>
        </w:tc>
        <w:tc>
          <w:tcPr>
            <w:tcW w:w="1131" w:type="dxa"/>
            <w:vAlign w:val="top"/>
          </w:tcPr>
          <w:p>
            <w:pPr>
              <w:rPr>
                <w:rFonts w:ascii="Arial"/>
                <w:sz w:val="21"/>
              </w:rPr>
            </w:pPr>
          </w:p>
        </w:tc>
        <w:tc>
          <w:tcPr>
            <w:tcW w:w="909" w:type="dxa"/>
            <w:vAlign w:val="top"/>
          </w:tcPr>
          <w:p>
            <w:pPr>
              <w:rPr>
                <w:rFonts w:ascii="Arial"/>
                <w:sz w:val="21"/>
              </w:rPr>
            </w:pPr>
          </w:p>
        </w:tc>
        <w:tc>
          <w:tcPr>
            <w:tcW w:w="1795" w:type="dxa"/>
            <w:vAlign w:val="top"/>
          </w:tcPr>
          <w:p>
            <w:pPr>
              <w:rPr>
                <w:rFonts w:ascii="Arial"/>
                <w:sz w:val="21"/>
              </w:rPr>
            </w:pPr>
          </w:p>
        </w:tc>
      </w:tr>
    </w:tbl>
    <w:p>
      <w:pPr>
        <w:pStyle w:val="16"/>
        <w:spacing w:line="299" w:lineRule="auto"/>
      </w:pPr>
    </w:p>
    <w:p>
      <w:pPr>
        <w:pStyle w:val="16"/>
        <w:spacing w:line="299" w:lineRule="auto"/>
      </w:pPr>
    </w:p>
    <w:p>
      <w:pPr>
        <w:pStyle w:val="16"/>
        <w:spacing w:line="299" w:lineRule="auto"/>
      </w:pPr>
    </w:p>
    <w:p>
      <w:pPr>
        <w:pStyle w:val="16"/>
        <w:spacing w:line="300" w:lineRule="auto"/>
      </w:pPr>
    </w:p>
    <w:p>
      <w:pPr>
        <w:spacing w:before="78" w:line="220" w:lineRule="auto"/>
        <w:ind w:left="458"/>
        <w:rPr>
          <w:rFonts w:ascii="宋体" w:hAnsi="宋体" w:eastAsia="宋体" w:cs="宋体"/>
          <w:sz w:val="24"/>
          <w:szCs w:val="24"/>
        </w:rPr>
      </w:pPr>
      <w:r>
        <w:rPr>
          <w:rFonts w:ascii="宋体" w:hAnsi="宋体" w:eastAsia="宋体" w:cs="宋体"/>
          <w:b/>
          <w:bCs/>
          <w:spacing w:val="-3"/>
          <w:sz w:val="24"/>
          <w:szCs w:val="24"/>
        </w:rPr>
        <w:t>项目经理资质判定规则</w:t>
      </w:r>
    </w:p>
    <w:p>
      <w:pPr>
        <w:pStyle w:val="16"/>
        <w:spacing w:line="257" w:lineRule="auto"/>
      </w:pPr>
    </w:p>
    <w:p>
      <w:pPr>
        <w:spacing w:before="78" w:line="220" w:lineRule="auto"/>
        <w:ind w:left="457"/>
        <w:rPr>
          <w:rFonts w:ascii="宋体" w:hAnsi="宋体" w:eastAsia="宋体" w:cs="宋体"/>
          <w:sz w:val="24"/>
          <w:szCs w:val="24"/>
        </w:rPr>
      </w:pPr>
      <w:r>
        <w:rPr>
          <w:rFonts w:ascii="宋体" w:hAnsi="宋体" w:eastAsia="宋体" w:cs="宋体"/>
          <w:spacing w:val="-1"/>
          <w:sz w:val="24"/>
          <w:szCs w:val="24"/>
        </w:rPr>
        <w:t>大中型项目要求一级注册建造师</w:t>
      </w:r>
    </w:p>
    <w:p>
      <w:pPr>
        <w:spacing w:before="26" w:line="214" w:lineRule="auto"/>
        <w:ind w:left="476"/>
        <w:rPr>
          <w:rFonts w:ascii="宋体" w:hAnsi="宋体" w:eastAsia="宋体" w:cs="宋体"/>
          <w:sz w:val="24"/>
          <w:szCs w:val="24"/>
        </w:rPr>
      </w:pPr>
      <w:r>
        <w:rPr>
          <w:rFonts w:ascii="宋体" w:hAnsi="宋体" w:eastAsia="宋体" w:cs="宋体"/>
          <w:spacing w:val="-2"/>
          <w:sz w:val="24"/>
          <w:szCs w:val="24"/>
        </w:rPr>
        <w:t>中小型项目要求二级及以上注册建造师</w:t>
      </w:r>
    </w:p>
    <w:tbl>
      <w:tblPr>
        <w:tblStyle w:val="96"/>
        <w:tblW w:w="12856" w:type="dxa"/>
        <w:tblInd w:w="44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5"/>
        <w:gridCol w:w="1099"/>
        <w:gridCol w:w="816"/>
        <w:gridCol w:w="2637"/>
        <w:gridCol w:w="4616"/>
        <w:gridCol w:w="657"/>
        <w:gridCol w:w="23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55" w:hRule="atLeast"/>
        </w:trPr>
        <w:tc>
          <w:tcPr>
            <w:tcW w:w="665" w:type="dxa"/>
            <w:shd w:val="clear" w:color="auto" w:fill="B7DEE8"/>
            <w:vAlign w:val="top"/>
          </w:tcPr>
          <w:p>
            <w:pPr>
              <w:spacing w:line="443" w:lineRule="auto"/>
              <w:rPr>
                <w:rFonts w:ascii="Arial"/>
                <w:sz w:val="21"/>
              </w:rPr>
            </w:pPr>
          </w:p>
          <w:p>
            <w:pPr>
              <w:pStyle w:val="95"/>
              <w:spacing w:before="71" w:line="222" w:lineRule="auto"/>
              <w:ind w:left="115"/>
              <w:rPr>
                <w:sz w:val="22"/>
                <w:szCs w:val="22"/>
              </w:rPr>
            </w:pPr>
            <w:r>
              <w:rPr>
                <w:b/>
                <w:bCs/>
                <w:spacing w:val="-4"/>
                <w:sz w:val="22"/>
                <w:szCs w:val="22"/>
              </w:rPr>
              <w:t>序号</w:t>
            </w:r>
          </w:p>
        </w:tc>
        <w:tc>
          <w:tcPr>
            <w:tcW w:w="1099" w:type="dxa"/>
            <w:shd w:val="clear" w:color="auto" w:fill="B7DEE8"/>
            <w:vAlign w:val="top"/>
          </w:tcPr>
          <w:p>
            <w:pPr>
              <w:spacing w:line="444" w:lineRule="auto"/>
              <w:rPr>
                <w:rFonts w:ascii="Arial"/>
                <w:sz w:val="21"/>
              </w:rPr>
            </w:pPr>
          </w:p>
          <w:p>
            <w:pPr>
              <w:pStyle w:val="95"/>
              <w:spacing w:before="71" w:line="220" w:lineRule="auto"/>
              <w:ind w:left="111"/>
              <w:rPr>
                <w:sz w:val="22"/>
                <w:szCs w:val="22"/>
              </w:rPr>
            </w:pPr>
            <w:r>
              <w:rPr>
                <w:b/>
                <w:bCs/>
                <w:spacing w:val="-4"/>
                <w:sz w:val="22"/>
                <w:szCs w:val="22"/>
              </w:rPr>
              <w:t>类别分类</w:t>
            </w:r>
          </w:p>
        </w:tc>
        <w:tc>
          <w:tcPr>
            <w:tcW w:w="816" w:type="dxa"/>
            <w:shd w:val="clear" w:color="auto" w:fill="B7DEE8"/>
            <w:vAlign w:val="top"/>
          </w:tcPr>
          <w:p>
            <w:pPr>
              <w:pStyle w:val="95"/>
              <w:spacing w:before="50" w:line="312" w:lineRule="exact"/>
              <w:ind w:left="115"/>
              <w:rPr>
                <w:sz w:val="22"/>
                <w:szCs w:val="22"/>
              </w:rPr>
            </w:pPr>
            <w:r>
              <w:rPr>
                <w:b/>
                <w:bCs/>
                <w:spacing w:val="-8"/>
                <w:position w:val="6"/>
                <w:sz w:val="22"/>
                <w:szCs w:val="22"/>
              </w:rPr>
              <w:t>一级</w:t>
            </w:r>
          </w:p>
          <w:p>
            <w:pPr>
              <w:pStyle w:val="95"/>
              <w:spacing w:before="1" w:line="220" w:lineRule="auto"/>
              <w:ind w:left="114"/>
              <w:rPr>
                <w:sz w:val="22"/>
                <w:szCs w:val="22"/>
              </w:rPr>
            </w:pPr>
            <w:r>
              <w:rPr>
                <w:b/>
                <w:bCs/>
                <w:spacing w:val="-5"/>
                <w:sz w:val="22"/>
                <w:szCs w:val="22"/>
              </w:rPr>
              <w:t>指标</w:t>
            </w:r>
          </w:p>
          <w:p>
            <w:pPr>
              <w:pStyle w:val="95"/>
              <w:spacing w:before="48" w:line="221" w:lineRule="auto"/>
              <w:ind w:left="121"/>
              <w:rPr>
                <w:sz w:val="22"/>
                <w:szCs w:val="22"/>
              </w:rPr>
            </w:pPr>
            <w:r>
              <w:rPr>
                <w:b/>
                <w:bCs/>
                <w:spacing w:val="-7"/>
                <w:sz w:val="22"/>
                <w:szCs w:val="22"/>
              </w:rPr>
              <w:t>资质</w:t>
            </w:r>
          </w:p>
          <w:p>
            <w:pPr>
              <w:pStyle w:val="95"/>
              <w:spacing w:before="49" w:line="217" w:lineRule="auto"/>
              <w:ind w:left="114"/>
              <w:rPr>
                <w:sz w:val="22"/>
                <w:szCs w:val="22"/>
              </w:rPr>
            </w:pPr>
            <w:r>
              <w:rPr>
                <w:b/>
                <w:bCs/>
                <w:spacing w:val="-5"/>
                <w:sz w:val="22"/>
                <w:szCs w:val="22"/>
              </w:rPr>
              <w:t>分类</w:t>
            </w:r>
          </w:p>
        </w:tc>
        <w:tc>
          <w:tcPr>
            <w:tcW w:w="2637" w:type="dxa"/>
            <w:shd w:val="clear" w:color="auto" w:fill="B7DEE8"/>
            <w:vAlign w:val="top"/>
          </w:tcPr>
          <w:p>
            <w:pPr>
              <w:spacing w:line="443" w:lineRule="auto"/>
              <w:rPr>
                <w:rFonts w:ascii="Arial"/>
                <w:sz w:val="21"/>
              </w:rPr>
            </w:pPr>
          </w:p>
          <w:p>
            <w:pPr>
              <w:pStyle w:val="95"/>
              <w:spacing w:before="72" w:line="221" w:lineRule="auto"/>
              <w:ind w:left="883"/>
              <w:rPr>
                <w:sz w:val="22"/>
                <w:szCs w:val="22"/>
              </w:rPr>
            </w:pPr>
            <w:r>
              <w:rPr>
                <w:b/>
                <w:bCs/>
                <w:spacing w:val="-4"/>
                <w:sz w:val="22"/>
                <w:szCs w:val="22"/>
              </w:rPr>
              <w:t>二级指标</w:t>
            </w:r>
          </w:p>
        </w:tc>
        <w:tc>
          <w:tcPr>
            <w:tcW w:w="4616" w:type="dxa"/>
            <w:shd w:val="clear" w:color="auto" w:fill="B7DEE8"/>
            <w:vAlign w:val="top"/>
          </w:tcPr>
          <w:p>
            <w:pPr>
              <w:spacing w:line="443" w:lineRule="auto"/>
              <w:rPr>
                <w:rFonts w:ascii="Arial"/>
                <w:sz w:val="21"/>
              </w:rPr>
            </w:pPr>
          </w:p>
          <w:p>
            <w:pPr>
              <w:pStyle w:val="95"/>
              <w:spacing w:before="72" w:line="221" w:lineRule="auto"/>
              <w:ind w:left="113"/>
              <w:rPr>
                <w:sz w:val="22"/>
                <w:szCs w:val="22"/>
              </w:rPr>
            </w:pPr>
            <w:r>
              <w:rPr>
                <w:b/>
                <w:bCs/>
                <w:spacing w:val="-3"/>
                <w:sz w:val="22"/>
                <w:szCs w:val="22"/>
              </w:rPr>
              <w:t>三级指标描述</w:t>
            </w:r>
          </w:p>
        </w:tc>
        <w:tc>
          <w:tcPr>
            <w:tcW w:w="657" w:type="dxa"/>
            <w:shd w:val="clear" w:color="auto" w:fill="B7DEE8"/>
            <w:vAlign w:val="top"/>
          </w:tcPr>
          <w:p>
            <w:pPr>
              <w:spacing w:line="444" w:lineRule="auto"/>
              <w:rPr>
                <w:rFonts w:ascii="Arial"/>
                <w:sz w:val="21"/>
              </w:rPr>
            </w:pPr>
          </w:p>
          <w:p>
            <w:pPr>
              <w:pStyle w:val="95"/>
              <w:spacing w:before="71" w:line="220" w:lineRule="auto"/>
              <w:ind w:left="112"/>
              <w:rPr>
                <w:sz w:val="22"/>
                <w:szCs w:val="22"/>
              </w:rPr>
            </w:pPr>
            <w:r>
              <w:rPr>
                <w:b/>
                <w:bCs/>
                <w:spacing w:val="-5"/>
                <w:sz w:val="22"/>
                <w:szCs w:val="22"/>
              </w:rPr>
              <w:t>类型</w:t>
            </w:r>
          </w:p>
        </w:tc>
        <w:tc>
          <w:tcPr>
            <w:tcW w:w="2366" w:type="dxa"/>
            <w:shd w:val="clear" w:color="auto" w:fill="B7DEE8"/>
            <w:vAlign w:val="top"/>
          </w:tcPr>
          <w:p>
            <w:pPr>
              <w:spacing w:line="444" w:lineRule="auto"/>
              <w:rPr>
                <w:rFonts w:ascii="Arial"/>
                <w:sz w:val="21"/>
              </w:rPr>
            </w:pPr>
          </w:p>
          <w:p>
            <w:pPr>
              <w:pStyle w:val="95"/>
              <w:spacing w:before="71" w:line="220" w:lineRule="auto"/>
              <w:ind w:left="308"/>
              <w:rPr>
                <w:sz w:val="22"/>
                <w:szCs w:val="22"/>
              </w:rPr>
            </w:pPr>
            <w:r>
              <w:rPr>
                <w:b/>
                <w:bCs/>
                <w:spacing w:val="-3"/>
                <w:sz w:val="22"/>
                <w:szCs w:val="22"/>
              </w:rPr>
              <w:t>项目规模判断逻辑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98" w:hRule="atLeast"/>
        </w:trPr>
        <w:tc>
          <w:tcPr>
            <w:tcW w:w="665" w:type="dxa"/>
            <w:vAlign w:val="top"/>
          </w:tcPr>
          <w:p>
            <w:pPr>
              <w:spacing w:line="349" w:lineRule="auto"/>
              <w:rPr>
                <w:rFonts w:ascii="Arial"/>
                <w:sz w:val="21"/>
              </w:rPr>
            </w:pPr>
          </w:p>
          <w:p>
            <w:pPr>
              <w:pStyle w:val="95"/>
              <w:spacing w:before="72" w:line="182" w:lineRule="auto"/>
              <w:ind w:left="298"/>
              <w:rPr>
                <w:sz w:val="22"/>
                <w:szCs w:val="22"/>
              </w:rPr>
            </w:pPr>
            <w:r>
              <w:rPr>
                <w:sz w:val="22"/>
                <w:szCs w:val="22"/>
              </w:rPr>
              <w:t>1</w:t>
            </w:r>
          </w:p>
        </w:tc>
        <w:tc>
          <w:tcPr>
            <w:tcW w:w="1099" w:type="dxa"/>
            <w:vAlign w:val="top"/>
          </w:tcPr>
          <w:p>
            <w:pPr>
              <w:rPr>
                <w:rFonts w:ascii="Arial"/>
                <w:sz w:val="21"/>
              </w:rPr>
            </w:pPr>
          </w:p>
        </w:tc>
        <w:tc>
          <w:tcPr>
            <w:tcW w:w="816" w:type="dxa"/>
            <w:vAlign w:val="top"/>
          </w:tcPr>
          <w:p>
            <w:pPr>
              <w:pStyle w:val="95"/>
              <w:spacing w:before="230" w:line="312" w:lineRule="exact"/>
              <w:ind w:left="194"/>
              <w:rPr>
                <w:sz w:val="22"/>
                <w:szCs w:val="22"/>
              </w:rPr>
            </w:pPr>
            <w:r>
              <w:rPr>
                <w:spacing w:val="-6"/>
                <w:position w:val="6"/>
                <w:sz w:val="22"/>
                <w:szCs w:val="22"/>
              </w:rPr>
              <w:t>一般</w:t>
            </w:r>
          </w:p>
          <w:p>
            <w:pPr>
              <w:pStyle w:val="95"/>
              <w:spacing w:before="1" w:line="220" w:lineRule="auto"/>
              <w:ind w:left="192"/>
              <w:rPr>
                <w:sz w:val="22"/>
                <w:szCs w:val="22"/>
              </w:rPr>
            </w:pPr>
            <w:r>
              <w:rPr>
                <w:spacing w:val="-2"/>
                <w:sz w:val="22"/>
                <w:szCs w:val="22"/>
              </w:rPr>
              <w:t>房屋</w:t>
            </w:r>
          </w:p>
        </w:tc>
        <w:tc>
          <w:tcPr>
            <w:tcW w:w="2637" w:type="dxa"/>
            <w:vAlign w:val="top"/>
          </w:tcPr>
          <w:p>
            <w:pPr>
              <w:pStyle w:val="95"/>
              <w:spacing w:before="231" w:line="241" w:lineRule="auto"/>
              <w:ind w:left="1209" w:right="107" w:hanging="1095"/>
              <w:rPr>
                <w:sz w:val="22"/>
                <w:szCs w:val="22"/>
              </w:rPr>
            </w:pPr>
            <w:r>
              <w:rPr>
                <w:spacing w:val="-1"/>
                <w:sz w:val="22"/>
                <w:szCs w:val="22"/>
              </w:rPr>
              <w:t>工业、民用与公共建筑工</w:t>
            </w:r>
            <w:r>
              <w:rPr>
                <w:sz w:val="22"/>
                <w:szCs w:val="22"/>
              </w:rPr>
              <w:t xml:space="preserve"> 程</w:t>
            </w:r>
          </w:p>
        </w:tc>
        <w:tc>
          <w:tcPr>
            <w:tcW w:w="4616" w:type="dxa"/>
            <w:vAlign w:val="top"/>
          </w:tcPr>
          <w:p>
            <w:pPr>
              <w:spacing w:line="313" w:lineRule="auto"/>
              <w:rPr>
                <w:rFonts w:ascii="Arial"/>
                <w:sz w:val="21"/>
              </w:rPr>
            </w:pPr>
          </w:p>
          <w:p>
            <w:pPr>
              <w:pStyle w:val="95"/>
              <w:spacing w:before="72" w:line="220" w:lineRule="auto"/>
              <w:ind w:left="115"/>
              <w:rPr>
                <w:sz w:val="22"/>
                <w:szCs w:val="22"/>
              </w:rPr>
            </w:pPr>
            <w:r>
              <w:rPr>
                <w:spacing w:val="-2"/>
                <w:sz w:val="22"/>
                <w:szCs w:val="22"/>
              </w:rPr>
              <w:t>建筑物层数</w:t>
            </w:r>
            <w:r>
              <w:rPr>
                <w:spacing w:val="-109"/>
                <w:sz w:val="22"/>
                <w:szCs w:val="22"/>
              </w:rPr>
              <w:t xml:space="preserve"> </w:t>
            </w:r>
            <w:r>
              <w:rPr>
                <w:sz w:val="22"/>
                <w:szCs w:val="22"/>
                <w:u w:val="single" w:color="auto"/>
              </w:rPr>
              <w:t xml:space="preserve">     </w:t>
            </w:r>
            <w:r>
              <w:rPr>
                <w:spacing w:val="-102"/>
                <w:sz w:val="22"/>
                <w:szCs w:val="22"/>
              </w:rPr>
              <w:t xml:space="preserve"> </w:t>
            </w:r>
            <w:r>
              <w:rPr>
                <w:spacing w:val="-2"/>
                <w:sz w:val="22"/>
                <w:szCs w:val="22"/>
              </w:rPr>
              <w:t>层</w:t>
            </w:r>
          </w:p>
        </w:tc>
        <w:tc>
          <w:tcPr>
            <w:tcW w:w="657" w:type="dxa"/>
            <w:vAlign w:val="top"/>
          </w:tcPr>
          <w:p>
            <w:pPr>
              <w:spacing w:line="313" w:lineRule="auto"/>
              <w:rPr>
                <w:rFonts w:ascii="Arial"/>
                <w:sz w:val="21"/>
              </w:rPr>
            </w:pPr>
          </w:p>
          <w:p>
            <w:pPr>
              <w:pStyle w:val="95"/>
              <w:spacing w:before="72" w:line="220" w:lineRule="auto"/>
              <w:ind w:left="114"/>
              <w:rPr>
                <w:sz w:val="22"/>
                <w:szCs w:val="22"/>
              </w:rPr>
            </w:pPr>
            <w:r>
              <w:rPr>
                <w:spacing w:val="-3"/>
                <w:sz w:val="22"/>
                <w:szCs w:val="22"/>
              </w:rPr>
              <w:t>数值</w:t>
            </w:r>
          </w:p>
        </w:tc>
        <w:tc>
          <w:tcPr>
            <w:tcW w:w="2366" w:type="dxa"/>
            <w:vAlign w:val="top"/>
          </w:tcPr>
          <w:p>
            <w:pPr>
              <w:pStyle w:val="95"/>
              <w:spacing w:before="74" w:line="312" w:lineRule="exact"/>
              <w:ind w:left="114"/>
              <w:rPr>
                <w:sz w:val="22"/>
                <w:szCs w:val="22"/>
              </w:rPr>
            </w:pPr>
            <w:r>
              <w:rPr>
                <w:spacing w:val="-1"/>
                <w:position w:val="6"/>
                <w:sz w:val="22"/>
                <w:szCs w:val="22"/>
              </w:rPr>
              <w:t>①≥100，大型</w:t>
            </w:r>
          </w:p>
          <w:p>
            <w:pPr>
              <w:pStyle w:val="95"/>
              <w:spacing w:line="218" w:lineRule="auto"/>
              <w:ind w:left="114"/>
              <w:rPr>
                <w:sz w:val="22"/>
                <w:szCs w:val="22"/>
              </w:rPr>
            </w:pPr>
            <w:r>
              <w:rPr>
                <w:sz w:val="22"/>
                <w:szCs w:val="22"/>
              </w:rPr>
              <w:t>②5~25，中型</w:t>
            </w:r>
          </w:p>
          <w:p>
            <w:pPr>
              <w:pStyle w:val="95"/>
              <w:spacing w:before="52" w:line="218" w:lineRule="auto"/>
              <w:ind w:left="114"/>
              <w:rPr>
                <w:sz w:val="22"/>
                <w:szCs w:val="22"/>
              </w:rPr>
            </w:pPr>
            <w:r>
              <w:rPr>
                <w:spacing w:val="-4"/>
                <w:sz w:val="22"/>
                <w:szCs w:val="22"/>
              </w:rPr>
              <w:t>③&lt;5，小型</w:t>
            </w:r>
          </w:p>
        </w:tc>
      </w:tr>
    </w:tbl>
    <w:p>
      <w:pPr>
        <w:pStyle w:val="16"/>
        <w:spacing w:line="251" w:lineRule="auto"/>
      </w:pPr>
    </w:p>
    <w:p>
      <w:pPr>
        <w:pStyle w:val="16"/>
        <w:spacing w:line="251" w:lineRule="auto"/>
      </w:pPr>
    </w:p>
    <w:p>
      <w:pPr>
        <w:pStyle w:val="16"/>
        <w:spacing w:line="251" w:lineRule="auto"/>
      </w:pPr>
    </w:p>
    <w:p>
      <w:pPr>
        <w:pStyle w:val="16"/>
        <w:spacing w:line="252" w:lineRule="auto"/>
      </w:pPr>
    </w:p>
    <w:p>
      <w:pPr>
        <w:pStyle w:val="16"/>
        <w:spacing w:before="69" w:line="327" w:lineRule="exact"/>
        <w:ind w:left="4057"/>
        <w:rPr>
          <w:sz w:val="24"/>
          <w:szCs w:val="24"/>
        </w:rPr>
      </w:pPr>
      <w:r>
        <w:rPr>
          <w:spacing w:val="-4"/>
          <w:position w:val="1"/>
          <w:sz w:val="24"/>
          <w:szCs w:val="24"/>
        </w:rPr>
        <w:t>36 /</w:t>
      </w:r>
      <w:r>
        <w:rPr>
          <w:spacing w:val="26"/>
          <w:position w:val="1"/>
          <w:sz w:val="24"/>
          <w:szCs w:val="24"/>
        </w:rPr>
        <w:t xml:space="preserve"> </w:t>
      </w:r>
      <w:r>
        <w:rPr>
          <w:spacing w:val="-4"/>
          <w:position w:val="1"/>
          <w:sz w:val="24"/>
          <w:szCs w:val="24"/>
        </w:rPr>
        <w:t>165</w:t>
      </w:r>
    </w:p>
    <w:p>
      <w:pPr>
        <w:spacing w:line="327" w:lineRule="exact"/>
        <w:rPr>
          <w:sz w:val="24"/>
          <w:szCs w:val="24"/>
        </w:rPr>
        <w:sectPr>
          <w:pgSz w:w="16839" w:h="11907"/>
          <w:pgMar w:top="400" w:right="1438" w:bottom="400" w:left="995" w:header="0" w:footer="0" w:gutter="0"/>
          <w:cols w:space="720" w:num="1"/>
        </w:sectPr>
      </w:pPr>
    </w:p>
    <w:p>
      <w:pPr>
        <w:spacing w:before="39"/>
      </w:pPr>
      <w:r>
        <mc:AlternateContent>
          <mc:Choice Requires="wps">
            <w:drawing>
              <wp:anchor distT="0" distB="0" distL="114300" distR="114300" simplePos="0" relativeHeight="251670528" behindDoc="0" locked="0" layoutInCell="0" allowOverlap="1">
                <wp:simplePos x="0" y="0"/>
                <wp:positionH relativeFrom="page">
                  <wp:posOffset>631825</wp:posOffset>
                </wp:positionH>
                <wp:positionV relativeFrom="page">
                  <wp:posOffset>6922135</wp:posOffset>
                </wp:positionV>
                <wp:extent cx="6292850" cy="6350"/>
                <wp:effectExtent l="0" t="0" r="0" b="0"/>
                <wp:wrapNone/>
                <wp:docPr id="21" name="任意多边形 21"/>
                <wp:cNvGraphicFramePr/>
                <a:graphic xmlns:a="http://schemas.openxmlformats.org/drawingml/2006/main">
                  <a:graphicData uri="http://schemas.microsoft.com/office/word/2010/wordprocessingShape">
                    <wps:wsp>
                      <wps:cNvSpPr/>
                      <wps:spPr>
                        <a:xfrm>
                          <a:off x="0" y="0"/>
                          <a:ext cx="6292850" cy="6350"/>
                        </a:xfrm>
                        <a:custGeom>
                          <a:avLst/>
                          <a:gdLst/>
                          <a:ahLst/>
                          <a:cxnLst/>
                          <a:pathLst>
                            <a:path w="9910" h="10">
                              <a:moveTo>
                                <a:pt x="5" y="5"/>
                              </a:moveTo>
                              <a:lnTo>
                                <a:pt x="4955" y="5"/>
                              </a:lnTo>
                              <a:moveTo>
                                <a:pt x="4955" y="5"/>
                              </a:moveTo>
                              <a:lnTo>
                                <a:pt x="9905" y="5"/>
                              </a:lnTo>
                            </a:path>
                          </a:pathLst>
                        </a:custGeom>
                        <a:noFill/>
                        <a:ln w="6350" cap="sq" cmpd="sng">
                          <a:solidFill>
                            <a:srgbClr val="000000"/>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49.75pt;margin-top:545.05pt;height:0.5pt;width:495.5pt;mso-position-horizontal-relative:page;mso-position-vertical-relative:page;z-index:251670528;mso-width-relative:page;mso-height-relative:page;" filled="f" stroked="t" coordsize="9910,10" o:allowincell="f" o:gfxdata="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WAAAAZHJzL1BL&#10;AQIUABQAAAAIAIdO4kDujIKO2gAAAA0BAAAPAAAAAAAAAAEAIAAAADgAAABkcnMvZG93bnJldi54&#10;bWxQSwECFAAUAAAACACHTuJAv2gqwVQCAAD2BAAADgAAAAAAAAABACAAAAA/AQAAZHJzL2Uyb0Rv&#10;Yy54bWxQSwUGAAAAAAYABgBZAQAABQYAAAAA&#10;" path="m5,5l4955,5m4955,5l9905,5e">
                <v:fill on="f" focussize="0,0"/>
                <v:stroke weight="0.5pt" color="#000000" miterlimit="10" joinstyle="miter" endcap="square"/>
                <v:imagedata o:title=""/>
                <o:lock v:ext="edit" aspectratio="f"/>
              </v:shape>
            </w:pict>
          </mc:Fallback>
        </mc:AlternateContent>
      </w:r>
    </w:p>
    <w:p>
      <w:pPr>
        <w:spacing w:before="39"/>
      </w:pPr>
    </w:p>
    <w:p>
      <w:pPr>
        <w:spacing w:before="39"/>
      </w:pPr>
    </w:p>
    <w:p>
      <w:pPr>
        <w:spacing w:before="38"/>
      </w:pPr>
    </w:p>
    <w:p>
      <w:pPr>
        <w:spacing w:before="38"/>
      </w:pPr>
    </w:p>
    <w:tbl>
      <w:tblPr>
        <w:tblStyle w:val="96"/>
        <w:tblW w:w="12856" w:type="dxa"/>
        <w:tblInd w:w="44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5"/>
        <w:gridCol w:w="1099"/>
        <w:gridCol w:w="816"/>
        <w:gridCol w:w="2637"/>
        <w:gridCol w:w="4616"/>
        <w:gridCol w:w="657"/>
        <w:gridCol w:w="23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95" w:hRule="atLeast"/>
        </w:trPr>
        <w:tc>
          <w:tcPr>
            <w:tcW w:w="665" w:type="dxa"/>
            <w:tcBorders>
              <w:top w:val="nil"/>
            </w:tcBorders>
            <w:vAlign w:val="top"/>
          </w:tcPr>
          <w:p>
            <w:pPr>
              <w:spacing w:line="346" w:lineRule="auto"/>
              <w:rPr>
                <w:rFonts w:ascii="Arial"/>
                <w:sz w:val="21"/>
              </w:rPr>
            </w:pPr>
          </w:p>
          <w:p>
            <w:pPr>
              <w:pStyle w:val="95"/>
              <w:spacing w:before="72" w:line="182" w:lineRule="auto"/>
              <w:ind w:left="285"/>
              <w:rPr>
                <w:sz w:val="22"/>
                <w:szCs w:val="22"/>
              </w:rPr>
            </w:pPr>
            <w:r>
              <w:rPr>
                <w:sz w:val="22"/>
                <w:szCs w:val="22"/>
              </w:rPr>
              <w:t>2</w:t>
            </w:r>
          </w:p>
        </w:tc>
        <w:tc>
          <w:tcPr>
            <w:tcW w:w="1099" w:type="dxa"/>
            <w:vMerge w:val="restart"/>
            <w:tcBorders>
              <w:top w:val="nil"/>
              <w:bottom w:val="nil"/>
            </w:tcBorders>
            <w:vAlign w:val="top"/>
          </w:tcPr>
          <w:p>
            <w:pPr>
              <w:rPr>
                <w:rFonts w:ascii="Arial"/>
                <w:sz w:val="21"/>
              </w:rPr>
            </w:pPr>
          </w:p>
        </w:tc>
        <w:tc>
          <w:tcPr>
            <w:tcW w:w="816" w:type="dxa"/>
            <w:vMerge w:val="restart"/>
            <w:tcBorders>
              <w:top w:val="nil"/>
              <w:bottom w:val="nil"/>
            </w:tcBorders>
            <w:vAlign w:val="top"/>
          </w:tcPr>
          <w:p>
            <w:pPr>
              <w:pStyle w:val="95"/>
              <w:spacing w:before="45" w:line="312" w:lineRule="exact"/>
              <w:ind w:left="193"/>
              <w:rPr>
                <w:sz w:val="22"/>
                <w:szCs w:val="22"/>
              </w:rPr>
            </w:pPr>
            <w:r>
              <w:rPr>
                <w:spacing w:val="-3"/>
                <w:position w:val="6"/>
                <w:sz w:val="22"/>
                <w:szCs w:val="22"/>
              </w:rPr>
              <w:t>建筑</w:t>
            </w:r>
          </w:p>
          <w:p>
            <w:pPr>
              <w:pStyle w:val="95"/>
              <w:spacing w:before="1" w:line="220" w:lineRule="auto"/>
              <w:ind w:left="193"/>
              <w:rPr>
                <w:sz w:val="22"/>
                <w:szCs w:val="22"/>
              </w:rPr>
            </w:pPr>
            <w:r>
              <w:rPr>
                <w:spacing w:val="-3"/>
                <w:sz w:val="22"/>
                <w:szCs w:val="22"/>
              </w:rPr>
              <w:t>工程</w:t>
            </w:r>
          </w:p>
        </w:tc>
        <w:tc>
          <w:tcPr>
            <w:tcW w:w="2637" w:type="dxa"/>
            <w:vMerge w:val="restart"/>
            <w:tcBorders>
              <w:top w:val="nil"/>
              <w:bottom w:val="nil"/>
            </w:tcBorders>
            <w:vAlign w:val="top"/>
          </w:tcPr>
          <w:p>
            <w:pPr>
              <w:rPr>
                <w:rFonts w:ascii="Arial"/>
                <w:sz w:val="21"/>
              </w:rPr>
            </w:pPr>
          </w:p>
        </w:tc>
        <w:tc>
          <w:tcPr>
            <w:tcW w:w="4616" w:type="dxa"/>
            <w:tcBorders>
              <w:top w:val="nil"/>
            </w:tcBorders>
            <w:vAlign w:val="top"/>
          </w:tcPr>
          <w:p>
            <w:pPr>
              <w:spacing w:line="310" w:lineRule="auto"/>
              <w:rPr>
                <w:rFonts w:ascii="Arial"/>
                <w:sz w:val="21"/>
              </w:rPr>
            </w:pPr>
          </w:p>
          <w:p>
            <w:pPr>
              <w:pStyle w:val="95"/>
              <w:spacing w:before="72" w:line="220" w:lineRule="auto"/>
              <w:ind w:left="115"/>
              <w:rPr>
                <w:sz w:val="22"/>
                <w:szCs w:val="22"/>
              </w:rPr>
            </w:pPr>
            <w:r>
              <w:rPr>
                <w:spacing w:val="-2"/>
                <w:sz w:val="22"/>
                <w:szCs w:val="22"/>
              </w:rPr>
              <w:t>建筑物高度</w:t>
            </w:r>
            <w:r>
              <w:rPr>
                <w:spacing w:val="-109"/>
                <w:sz w:val="22"/>
                <w:szCs w:val="22"/>
              </w:rPr>
              <w:t xml:space="preserve"> </w:t>
            </w:r>
            <w:r>
              <w:rPr>
                <w:sz w:val="22"/>
                <w:szCs w:val="22"/>
                <w:u w:val="single" w:color="auto"/>
              </w:rPr>
              <w:t xml:space="preserve">     </w:t>
            </w:r>
            <w:r>
              <w:rPr>
                <w:spacing w:val="-102"/>
                <w:sz w:val="22"/>
                <w:szCs w:val="22"/>
              </w:rPr>
              <w:t xml:space="preserve"> </w:t>
            </w:r>
            <w:r>
              <w:rPr>
                <w:spacing w:val="-2"/>
                <w:sz w:val="22"/>
                <w:szCs w:val="22"/>
              </w:rPr>
              <w:t>米</w:t>
            </w:r>
          </w:p>
        </w:tc>
        <w:tc>
          <w:tcPr>
            <w:tcW w:w="657" w:type="dxa"/>
            <w:tcBorders>
              <w:top w:val="nil"/>
            </w:tcBorders>
            <w:vAlign w:val="top"/>
          </w:tcPr>
          <w:p>
            <w:pPr>
              <w:spacing w:line="310" w:lineRule="auto"/>
              <w:rPr>
                <w:rFonts w:ascii="Arial"/>
                <w:sz w:val="21"/>
              </w:rPr>
            </w:pPr>
          </w:p>
          <w:p>
            <w:pPr>
              <w:pStyle w:val="95"/>
              <w:spacing w:before="72" w:line="220" w:lineRule="auto"/>
              <w:ind w:left="114"/>
              <w:rPr>
                <w:sz w:val="22"/>
                <w:szCs w:val="22"/>
              </w:rPr>
            </w:pPr>
            <w:r>
              <w:rPr>
                <w:spacing w:val="-3"/>
                <w:sz w:val="22"/>
                <w:szCs w:val="22"/>
              </w:rPr>
              <w:t>数值</w:t>
            </w:r>
          </w:p>
        </w:tc>
        <w:tc>
          <w:tcPr>
            <w:tcW w:w="2366" w:type="dxa"/>
            <w:tcBorders>
              <w:top w:val="nil"/>
            </w:tcBorders>
            <w:vAlign w:val="top"/>
          </w:tcPr>
          <w:p>
            <w:pPr>
              <w:pStyle w:val="95"/>
              <w:spacing w:before="71" w:line="312" w:lineRule="exact"/>
              <w:ind w:left="114"/>
              <w:rPr>
                <w:sz w:val="22"/>
                <w:szCs w:val="22"/>
              </w:rPr>
            </w:pPr>
            <w:r>
              <w:rPr>
                <w:spacing w:val="-1"/>
                <w:position w:val="6"/>
                <w:sz w:val="22"/>
                <w:szCs w:val="22"/>
              </w:rPr>
              <w:t>①≥100，大型</w:t>
            </w:r>
          </w:p>
          <w:p>
            <w:pPr>
              <w:pStyle w:val="95"/>
              <w:spacing w:line="218" w:lineRule="auto"/>
              <w:ind w:left="114"/>
              <w:rPr>
                <w:sz w:val="22"/>
                <w:szCs w:val="22"/>
              </w:rPr>
            </w:pPr>
            <w:r>
              <w:rPr>
                <w:spacing w:val="-2"/>
                <w:sz w:val="22"/>
                <w:szCs w:val="22"/>
              </w:rPr>
              <w:t>②15~100，中型</w:t>
            </w:r>
          </w:p>
          <w:p>
            <w:pPr>
              <w:pStyle w:val="95"/>
              <w:spacing w:before="52" w:line="218" w:lineRule="auto"/>
              <w:ind w:left="114"/>
              <w:rPr>
                <w:sz w:val="22"/>
                <w:szCs w:val="22"/>
              </w:rPr>
            </w:pPr>
            <w:r>
              <w:rPr>
                <w:spacing w:val="-3"/>
                <w:sz w:val="22"/>
                <w:szCs w:val="22"/>
              </w:rPr>
              <w:t>③&lt;15，小型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93" w:hRule="atLeast"/>
        </w:trPr>
        <w:tc>
          <w:tcPr>
            <w:tcW w:w="665" w:type="dxa"/>
            <w:vAlign w:val="top"/>
          </w:tcPr>
          <w:p>
            <w:pPr>
              <w:spacing w:line="347" w:lineRule="auto"/>
              <w:rPr>
                <w:rFonts w:ascii="Arial"/>
                <w:sz w:val="21"/>
              </w:rPr>
            </w:pPr>
          </w:p>
          <w:p>
            <w:pPr>
              <w:pStyle w:val="95"/>
              <w:spacing w:before="72" w:line="182" w:lineRule="auto"/>
              <w:ind w:left="286"/>
              <w:rPr>
                <w:sz w:val="22"/>
                <w:szCs w:val="22"/>
              </w:rPr>
            </w:pPr>
            <w:r>
              <w:rPr>
                <w:sz w:val="22"/>
                <w:szCs w:val="22"/>
              </w:rPr>
              <w:t>3</w:t>
            </w:r>
          </w:p>
        </w:tc>
        <w:tc>
          <w:tcPr>
            <w:tcW w:w="1099" w:type="dxa"/>
            <w:vMerge w:val="continue"/>
            <w:tcBorders>
              <w:top w:val="nil"/>
              <w:bottom w:val="nil"/>
            </w:tcBorders>
            <w:vAlign w:val="top"/>
          </w:tcPr>
          <w:p>
            <w:pPr>
              <w:rPr>
                <w:rFonts w:ascii="Arial"/>
                <w:sz w:val="21"/>
              </w:rPr>
            </w:pPr>
          </w:p>
        </w:tc>
        <w:tc>
          <w:tcPr>
            <w:tcW w:w="816" w:type="dxa"/>
            <w:vMerge w:val="continue"/>
            <w:tcBorders>
              <w:top w:val="nil"/>
              <w:bottom w:val="nil"/>
            </w:tcBorders>
            <w:vAlign w:val="top"/>
          </w:tcPr>
          <w:p>
            <w:pPr>
              <w:rPr>
                <w:rFonts w:ascii="Arial"/>
                <w:sz w:val="21"/>
              </w:rPr>
            </w:pPr>
          </w:p>
        </w:tc>
        <w:tc>
          <w:tcPr>
            <w:tcW w:w="2637" w:type="dxa"/>
            <w:vMerge w:val="continue"/>
            <w:tcBorders>
              <w:top w:val="nil"/>
              <w:bottom w:val="nil"/>
            </w:tcBorders>
            <w:vAlign w:val="top"/>
          </w:tcPr>
          <w:p>
            <w:pPr>
              <w:rPr>
                <w:rFonts w:ascii="Arial"/>
                <w:sz w:val="21"/>
              </w:rPr>
            </w:pPr>
          </w:p>
        </w:tc>
        <w:tc>
          <w:tcPr>
            <w:tcW w:w="4616" w:type="dxa"/>
            <w:vAlign w:val="top"/>
          </w:tcPr>
          <w:p>
            <w:pPr>
              <w:spacing w:line="311" w:lineRule="auto"/>
              <w:rPr>
                <w:rFonts w:ascii="Arial"/>
                <w:sz w:val="21"/>
              </w:rPr>
            </w:pPr>
          </w:p>
          <w:p>
            <w:pPr>
              <w:pStyle w:val="95"/>
              <w:spacing w:before="72" w:line="220" w:lineRule="auto"/>
              <w:ind w:left="114"/>
              <w:rPr>
                <w:sz w:val="22"/>
                <w:szCs w:val="22"/>
              </w:rPr>
            </w:pPr>
            <w:r>
              <w:rPr>
                <w:spacing w:val="-1"/>
                <w:sz w:val="22"/>
                <w:szCs w:val="22"/>
              </w:rPr>
              <w:t>单跨跨度</w:t>
            </w:r>
            <w:r>
              <w:rPr>
                <w:spacing w:val="-1"/>
                <w:sz w:val="22"/>
                <w:szCs w:val="22"/>
                <w:u w:val="single" w:color="auto"/>
              </w:rPr>
              <w:t xml:space="preserve">     </w:t>
            </w:r>
            <w:r>
              <w:rPr>
                <w:spacing w:val="-100"/>
                <w:sz w:val="22"/>
                <w:szCs w:val="22"/>
              </w:rPr>
              <w:t xml:space="preserve"> </w:t>
            </w:r>
            <w:r>
              <w:rPr>
                <w:spacing w:val="-1"/>
                <w:sz w:val="22"/>
                <w:szCs w:val="22"/>
              </w:rPr>
              <w:t>米</w:t>
            </w:r>
          </w:p>
        </w:tc>
        <w:tc>
          <w:tcPr>
            <w:tcW w:w="657" w:type="dxa"/>
            <w:vAlign w:val="top"/>
          </w:tcPr>
          <w:p>
            <w:pPr>
              <w:spacing w:line="311" w:lineRule="auto"/>
              <w:rPr>
                <w:rFonts w:ascii="Arial"/>
                <w:sz w:val="21"/>
              </w:rPr>
            </w:pPr>
          </w:p>
          <w:p>
            <w:pPr>
              <w:pStyle w:val="95"/>
              <w:spacing w:before="72" w:line="220" w:lineRule="auto"/>
              <w:ind w:left="114"/>
              <w:rPr>
                <w:sz w:val="22"/>
                <w:szCs w:val="22"/>
              </w:rPr>
            </w:pPr>
            <w:r>
              <w:rPr>
                <w:spacing w:val="-3"/>
                <w:sz w:val="22"/>
                <w:szCs w:val="22"/>
              </w:rPr>
              <w:t>数值</w:t>
            </w:r>
          </w:p>
        </w:tc>
        <w:tc>
          <w:tcPr>
            <w:tcW w:w="2366" w:type="dxa"/>
            <w:vAlign w:val="top"/>
          </w:tcPr>
          <w:p>
            <w:pPr>
              <w:pStyle w:val="95"/>
              <w:spacing w:before="72" w:line="312" w:lineRule="exact"/>
              <w:ind w:left="114"/>
              <w:rPr>
                <w:sz w:val="22"/>
                <w:szCs w:val="22"/>
              </w:rPr>
            </w:pPr>
            <w:r>
              <w:rPr>
                <w:spacing w:val="-2"/>
                <w:position w:val="6"/>
                <w:sz w:val="22"/>
                <w:szCs w:val="22"/>
              </w:rPr>
              <w:t>①≥30，大型</w:t>
            </w:r>
          </w:p>
          <w:p>
            <w:pPr>
              <w:pStyle w:val="95"/>
              <w:spacing w:line="218" w:lineRule="auto"/>
              <w:ind w:left="114"/>
              <w:rPr>
                <w:sz w:val="22"/>
                <w:szCs w:val="22"/>
              </w:rPr>
            </w:pPr>
            <w:r>
              <w:rPr>
                <w:sz w:val="22"/>
                <w:szCs w:val="22"/>
              </w:rPr>
              <w:t>②15~30，中型</w:t>
            </w:r>
          </w:p>
          <w:p>
            <w:pPr>
              <w:pStyle w:val="95"/>
              <w:spacing w:before="52" w:line="218" w:lineRule="auto"/>
              <w:ind w:left="114"/>
              <w:rPr>
                <w:sz w:val="22"/>
                <w:szCs w:val="22"/>
              </w:rPr>
            </w:pPr>
            <w:r>
              <w:rPr>
                <w:spacing w:val="-3"/>
                <w:sz w:val="22"/>
                <w:szCs w:val="22"/>
              </w:rPr>
              <w:t>③&lt;15，小型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95" w:hRule="atLeast"/>
        </w:trPr>
        <w:tc>
          <w:tcPr>
            <w:tcW w:w="665" w:type="dxa"/>
            <w:vAlign w:val="top"/>
          </w:tcPr>
          <w:p>
            <w:pPr>
              <w:spacing w:line="351" w:lineRule="auto"/>
              <w:rPr>
                <w:rFonts w:ascii="Arial"/>
                <w:sz w:val="21"/>
              </w:rPr>
            </w:pPr>
          </w:p>
          <w:p>
            <w:pPr>
              <w:pStyle w:val="95"/>
              <w:spacing w:before="71" w:line="182" w:lineRule="auto"/>
              <w:ind w:left="281"/>
              <w:rPr>
                <w:sz w:val="22"/>
                <w:szCs w:val="22"/>
              </w:rPr>
            </w:pPr>
            <w:r>
              <w:rPr>
                <w:sz w:val="22"/>
                <w:szCs w:val="22"/>
              </w:rPr>
              <w:t>4</w:t>
            </w:r>
          </w:p>
        </w:tc>
        <w:tc>
          <w:tcPr>
            <w:tcW w:w="1099" w:type="dxa"/>
            <w:vMerge w:val="continue"/>
            <w:tcBorders>
              <w:top w:val="nil"/>
              <w:bottom w:val="nil"/>
            </w:tcBorders>
            <w:vAlign w:val="top"/>
          </w:tcPr>
          <w:p>
            <w:pPr>
              <w:rPr>
                <w:rFonts w:ascii="Arial"/>
                <w:sz w:val="21"/>
              </w:rPr>
            </w:pPr>
          </w:p>
        </w:tc>
        <w:tc>
          <w:tcPr>
            <w:tcW w:w="816" w:type="dxa"/>
            <w:vMerge w:val="continue"/>
            <w:tcBorders>
              <w:top w:val="nil"/>
              <w:bottom w:val="nil"/>
            </w:tcBorders>
            <w:vAlign w:val="top"/>
          </w:tcPr>
          <w:p>
            <w:pPr>
              <w:rPr>
                <w:rFonts w:ascii="Arial"/>
                <w:sz w:val="21"/>
              </w:rPr>
            </w:pPr>
          </w:p>
        </w:tc>
        <w:tc>
          <w:tcPr>
            <w:tcW w:w="2637" w:type="dxa"/>
            <w:vMerge w:val="continue"/>
            <w:tcBorders>
              <w:top w:val="nil"/>
            </w:tcBorders>
            <w:vAlign w:val="top"/>
          </w:tcPr>
          <w:p>
            <w:pPr>
              <w:rPr>
                <w:rFonts w:ascii="Arial"/>
                <w:sz w:val="21"/>
              </w:rPr>
            </w:pPr>
          </w:p>
        </w:tc>
        <w:tc>
          <w:tcPr>
            <w:tcW w:w="4616" w:type="dxa"/>
            <w:vAlign w:val="top"/>
          </w:tcPr>
          <w:p>
            <w:pPr>
              <w:spacing w:line="314" w:lineRule="auto"/>
              <w:rPr>
                <w:rFonts w:ascii="Arial"/>
                <w:sz w:val="21"/>
              </w:rPr>
            </w:pPr>
          </w:p>
          <w:p>
            <w:pPr>
              <w:pStyle w:val="95"/>
              <w:spacing w:before="72" w:line="220" w:lineRule="auto"/>
              <w:ind w:left="114"/>
              <w:rPr>
                <w:sz w:val="22"/>
                <w:szCs w:val="22"/>
              </w:rPr>
            </w:pPr>
            <w:r>
              <w:rPr>
                <w:spacing w:val="-2"/>
                <w:sz w:val="22"/>
                <w:szCs w:val="22"/>
              </w:rPr>
              <w:t>单体建筑面积</w:t>
            </w:r>
            <w:r>
              <w:rPr>
                <w:spacing w:val="-108"/>
                <w:sz w:val="22"/>
                <w:szCs w:val="22"/>
              </w:rPr>
              <w:t xml:space="preserve"> </w:t>
            </w:r>
            <w:r>
              <w:rPr>
                <w:spacing w:val="27"/>
                <w:sz w:val="22"/>
                <w:szCs w:val="22"/>
                <w:u w:val="single" w:color="auto"/>
              </w:rPr>
              <w:t xml:space="preserve">    </w:t>
            </w:r>
            <w:r>
              <w:rPr>
                <w:spacing w:val="-100"/>
                <w:sz w:val="22"/>
                <w:szCs w:val="22"/>
              </w:rPr>
              <w:t xml:space="preserve"> </w:t>
            </w:r>
            <w:r>
              <w:rPr>
                <w:spacing w:val="-2"/>
                <w:sz w:val="22"/>
                <w:szCs w:val="22"/>
              </w:rPr>
              <w:t>平方米</w:t>
            </w:r>
          </w:p>
        </w:tc>
        <w:tc>
          <w:tcPr>
            <w:tcW w:w="657" w:type="dxa"/>
            <w:vAlign w:val="top"/>
          </w:tcPr>
          <w:p>
            <w:pPr>
              <w:spacing w:line="314" w:lineRule="auto"/>
              <w:rPr>
                <w:rFonts w:ascii="Arial"/>
                <w:sz w:val="21"/>
              </w:rPr>
            </w:pPr>
          </w:p>
          <w:p>
            <w:pPr>
              <w:pStyle w:val="95"/>
              <w:spacing w:before="72" w:line="220" w:lineRule="auto"/>
              <w:ind w:left="114"/>
              <w:rPr>
                <w:sz w:val="22"/>
                <w:szCs w:val="22"/>
              </w:rPr>
            </w:pPr>
            <w:r>
              <w:rPr>
                <w:spacing w:val="-3"/>
                <w:sz w:val="22"/>
                <w:szCs w:val="22"/>
              </w:rPr>
              <w:t>数值</w:t>
            </w:r>
          </w:p>
        </w:tc>
        <w:tc>
          <w:tcPr>
            <w:tcW w:w="2366" w:type="dxa"/>
            <w:vAlign w:val="top"/>
          </w:tcPr>
          <w:p>
            <w:pPr>
              <w:pStyle w:val="95"/>
              <w:spacing w:before="76" w:line="218" w:lineRule="auto"/>
              <w:ind w:left="114"/>
              <w:rPr>
                <w:sz w:val="22"/>
                <w:szCs w:val="22"/>
              </w:rPr>
            </w:pPr>
            <w:r>
              <w:rPr>
                <w:spacing w:val="-2"/>
                <w:sz w:val="22"/>
                <w:szCs w:val="22"/>
              </w:rPr>
              <w:t>①≥30000，大型</w:t>
            </w:r>
          </w:p>
          <w:p>
            <w:pPr>
              <w:pStyle w:val="95"/>
              <w:spacing w:before="52"/>
              <w:ind w:left="114" w:right="285"/>
              <w:rPr>
                <w:sz w:val="22"/>
                <w:szCs w:val="22"/>
              </w:rPr>
            </w:pPr>
            <w:r>
              <w:rPr>
                <w:spacing w:val="-2"/>
                <w:sz w:val="22"/>
                <w:szCs w:val="22"/>
              </w:rPr>
              <w:t>②3000~30000，中型</w:t>
            </w:r>
            <w:r>
              <w:rPr>
                <w:spacing w:val="8"/>
                <w:sz w:val="22"/>
                <w:szCs w:val="22"/>
              </w:rPr>
              <w:t xml:space="preserve"> </w:t>
            </w:r>
            <w:r>
              <w:rPr>
                <w:sz w:val="22"/>
                <w:szCs w:val="22"/>
              </w:rPr>
              <w:t>③&lt;3000，小型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95" w:hRule="atLeast"/>
        </w:trPr>
        <w:tc>
          <w:tcPr>
            <w:tcW w:w="665" w:type="dxa"/>
            <w:vAlign w:val="top"/>
          </w:tcPr>
          <w:p>
            <w:pPr>
              <w:spacing w:line="351" w:lineRule="auto"/>
              <w:rPr>
                <w:rFonts w:ascii="Arial"/>
                <w:sz w:val="21"/>
              </w:rPr>
            </w:pPr>
          </w:p>
          <w:p>
            <w:pPr>
              <w:pStyle w:val="95"/>
              <w:spacing w:before="72" w:line="180" w:lineRule="auto"/>
              <w:ind w:left="286"/>
              <w:rPr>
                <w:sz w:val="22"/>
                <w:szCs w:val="22"/>
              </w:rPr>
            </w:pPr>
            <w:r>
              <w:rPr>
                <w:sz w:val="22"/>
                <w:szCs w:val="22"/>
              </w:rPr>
              <w:t>5</w:t>
            </w:r>
          </w:p>
        </w:tc>
        <w:tc>
          <w:tcPr>
            <w:tcW w:w="1099" w:type="dxa"/>
            <w:vMerge w:val="continue"/>
            <w:tcBorders>
              <w:top w:val="nil"/>
              <w:bottom w:val="nil"/>
            </w:tcBorders>
            <w:vAlign w:val="top"/>
          </w:tcPr>
          <w:p>
            <w:pPr>
              <w:rPr>
                <w:rFonts w:ascii="Arial"/>
                <w:sz w:val="21"/>
              </w:rPr>
            </w:pPr>
          </w:p>
        </w:tc>
        <w:tc>
          <w:tcPr>
            <w:tcW w:w="816" w:type="dxa"/>
            <w:vMerge w:val="continue"/>
            <w:tcBorders>
              <w:top w:val="nil"/>
              <w:bottom w:val="nil"/>
            </w:tcBorders>
            <w:vAlign w:val="top"/>
          </w:tcPr>
          <w:p>
            <w:pPr>
              <w:rPr>
                <w:rFonts w:ascii="Arial"/>
                <w:sz w:val="21"/>
              </w:rPr>
            </w:pPr>
          </w:p>
        </w:tc>
        <w:tc>
          <w:tcPr>
            <w:tcW w:w="2637" w:type="dxa"/>
            <w:vAlign w:val="top"/>
          </w:tcPr>
          <w:p>
            <w:pPr>
              <w:spacing w:line="313" w:lineRule="auto"/>
              <w:rPr>
                <w:rFonts w:ascii="Arial"/>
                <w:sz w:val="21"/>
              </w:rPr>
            </w:pPr>
          </w:p>
          <w:p>
            <w:pPr>
              <w:pStyle w:val="95"/>
              <w:spacing w:before="71" w:line="220" w:lineRule="auto"/>
              <w:ind w:left="111"/>
              <w:rPr>
                <w:sz w:val="22"/>
                <w:szCs w:val="22"/>
              </w:rPr>
            </w:pPr>
            <w:r>
              <w:rPr>
                <w:spacing w:val="-1"/>
                <w:sz w:val="22"/>
                <w:szCs w:val="22"/>
              </w:rPr>
              <w:t>住宅小区或建筑群体工程</w:t>
            </w:r>
          </w:p>
        </w:tc>
        <w:tc>
          <w:tcPr>
            <w:tcW w:w="4616" w:type="dxa"/>
            <w:vAlign w:val="top"/>
          </w:tcPr>
          <w:p>
            <w:pPr>
              <w:spacing w:line="313" w:lineRule="auto"/>
              <w:rPr>
                <w:rFonts w:ascii="Arial"/>
                <w:sz w:val="21"/>
              </w:rPr>
            </w:pPr>
          </w:p>
          <w:p>
            <w:pPr>
              <w:pStyle w:val="95"/>
              <w:spacing w:before="71" w:line="220" w:lineRule="auto"/>
              <w:ind w:left="115"/>
              <w:rPr>
                <w:sz w:val="22"/>
                <w:szCs w:val="22"/>
              </w:rPr>
            </w:pPr>
            <w:r>
              <w:rPr>
                <w:spacing w:val="-2"/>
                <w:sz w:val="22"/>
                <w:szCs w:val="22"/>
              </w:rPr>
              <w:t>建筑群建筑面积</w:t>
            </w:r>
            <w:r>
              <w:rPr>
                <w:spacing w:val="-107"/>
                <w:sz w:val="22"/>
                <w:szCs w:val="22"/>
              </w:rPr>
              <w:t xml:space="preserve"> </w:t>
            </w:r>
            <w:r>
              <w:rPr>
                <w:spacing w:val="27"/>
                <w:sz w:val="22"/>
                <w:szCs w:val="22"/>
                <w:u w:val="single" w:color="auto"/>
              </w:rPr>
              <w:t xml:space="preserve">    </w:t>
            </w:r>
            <w:r>
              <w:rPr>
                <w:spacing w:val="-100"/>
                <w:sz w:val="22"/>
                <w:szCs w:val="22"/>
              </w:rPr>
              <w:t xml:space="preserve"> </w:t>
            </w:r>
            <w:r>
              <w:rPr>
                <w:spacing w:val="-2"/>
                <w:sz w:val="22"/>
                <w:szCs w:val="22"/>
              </w:rPr>
              <w:t>平方米</w:t>
            </w:r>
          </w:p>
        </w:tc>
        <w:tc>
          <w:tcPr>
            <w:tcW w:w="657" w:type="dxa"/>
            <w:vAlign w:val="top"/>
          </w:tcPr>
          <w:p>
            <w:pPr>
              <w:spacing w:line="313" w:lineRule="auto"/>
              <w:rPr>
                <w:rFonts w:ascii="Arial"/>
                <w:sz w:val="21"/>
              </w:rPr>
            </w:pPr>
          </w:p>
          <w:p>
            <w:pPr>
              <w:pStyle w:val="95"/>
              <w:spacing w:before="71" w:line="220" w:lineRule="auto"/>
              <w:ind w:left="114"/>
              <w:rPr>
                <w:sz w:val="22"/>
                <w:szCs w:val="22"/>
              </w:rPr>
            </w:pPr>
            <w:r>
              <w:rPr>
                <w:spacing w:val="-3"/>
                <w:sz w:val="22"/>
                <w:szCs w:val="22"/>
              </w:rPr>
              <w:t>数值</w:t>
            </w:r>
          </w:p>
        </w:tc>
        <w:tc>
          <w:tcPr>
            <w:tcW w:w="2366" w:type="dxa"/>
            <w:vAlign w:val="top"/>
          </w:tcPr>
          <w:p>
            <w:pPr>
              <w:pStyle w:val="95"/>
              <w:spacing w:before="74" w:line="218" w:lineRule="auto"/>
              <w:ind w:left="114"/>
              <w:rPr>
                <w:sz w:val="22"/>
                <w:szCs w:val="22"/>
              </w:rPr>
            </w:pPr>
            <w:r>
              <w:rPr>
                <w:spacing w:val="-2"/>
                <w:sz w:val="22"/>
                <w:szCs w:val="22"/>
              </w:rPr>
              <w:t>①≥100000，大型</w:t>
            </w:r>
          </w:p>
          <w:p>
            <w:pPr>
              <w:pStyle w:val="95"/>
              <w:spacing w:before="52"/>
              <w:ind w:left="114" w:right="175"/>
              <w:rPr>
                <w:sz w:val="22"/>
                <w:szCs w:val="22"/>
              </w:rPr>
            </w:pPr>
            <w:r>
              <w:rPr>
                <w:spacing w:val="-2"/>
                <w:sz w:val="22"/>
                <w:szCs w:val="22"/>
              </w:rPr>
              <w:t>②3000~100000，中型</w:t>
            </w:r>
            <w:r>
              <w:rPr>
                <w:spacing w:val="10"/>
                <w:sz w:val="22"/>
                <w:szCs w:val="22"/>
              </w:rPr>
              <w:t xml:space="preserve"> </w:t>
            </w:r>
            <w:r>
              <w:rPr>
                <w:sz w:val="22"/>
                <w:szCs w:val="22"/>
              </w:rPr>
              <w:t>③&lt;3000，小型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93" w:hRule="atLeast"/>
        </w:trPr>
        <w:tc>
          <w:tcPr>
            <w:tcW w:w="665" w:type="dxa"/>
            <w:vAlign w:val="top"/>
          </w:tcPr>
          <w:p>
            <w:pPr>
              <w:spacing w:line="350" w:lineRule="auto"/>
              <w:rPr>
                <w:rFonts w:ascii="Arial"/>
                <w:sz w:val="21"/>
              </w:rPr>
            </w:pPr>
          </w:p>
          <w:p>
            <w:pPr>
              <w:pStyle w:val="95"/>
              <w:spacing w:before="72" w:line="182" w:lineRule="auto"/>
              <w:ind w:left="284"/>
              <w:rPr>
                <w:sz w:val="22"/>
                <w:szCs w:val="22"/>
              </w:rPr>
            </w:pPr>
            <w:r>
              <w:rPr>
                <w:sz w:val="22"/>
                <w:szCs w:val="22"/>
              </w:rPr>
              <w:t>6</w:t>
            </w:r>
          </w:p>
        </w:tc>
        <w:tc>
          <w:tcPr>
            <w:tcW w:w="1099" w:type="dxa"/>
            <w:vMerge w:val="continue"/>
            <w:tcBorders>
              <w:top w:val="nil"/>
              <w:bottom w:val="nil"/>
            </w:tcBorders>
            <w:vAlign w:val="top"/>
          </w:tcPr>
          <w:p>
            <w:pPr>
              <w:rPr>
                <w:rFonts w:ascii="Arial"/>
                <w:sz w:val="21"/>
              </w:rPr>
            </w:pPr>
          </w:p>
        </w:tc>
        <w:tc>
          <w:tcPr>
            <w:tcW w:w="816" w:type="dxa"/>
            <w:vMerge w:val="continue"/>
            <w:tcBorders>
              <w:top w:val="nil"/>
            </w:tcBorders>
            <w:vAlign w:val="top"/>
          </w:tcPr>
          <w:p>
            <w:pPr>
              <w:rPr>
                <w:rFonts w:ascii="Arial"/>
                <w:sz w:val="21"/>
              </w:rPr>
            </w:pPr>
          </w:p>
        </w:tc>
        <w:tc>
          <w:tcPr>
            <w:tcW w:w="2637" w:type="dxa"/>
            <w:vAlign w:val="top"/>
          </w:tcPr>
          <w:p>
            <w:pPr>
              <w:spacing w:line="314" w:lineRule="auto"/>
              <w:rPr>
                <w:rFonts w:ascii="Arial"/>
                <w:sz w:val="21"/>
              </w:rPr>
            </w:pPr>
          </w:p>
          <w:p>
            <w:pPr>
              <w:pStyle w:val="95"/>
              <w:spacing w:before="71" w:line="221" w:lineRule="auto"/>
              <w:ind w:left="223"/>
              <w:rPr>
                <w:sz w:val="22"/>
                <w:szCs w:val="22"/>
              </w:rPr>
            </w:pPr>
            <w:r>
              <w:rPr>
                <w:spacing w:val="-1"/>
                <w:sz w:val="22"/>
                <w:szCs w:val="22"/>
              </w:rPr>
              <w:t>其他一般房屋建筑工程</w:t>
            </w:r>
          </w:p>
        </w:tc>
        <w:tc>
          <w:tcPr>
            <w:tcW w:w="4616" w:type="dxa"/>
            <w:vAlign w:val="top"/>
          </w:tcPr>
          <w:p>
            <w:pPr>
              <w:spacing w:line="314" w:lineRule="auto"/>
              <w:rPr>
                <w:rFonts w:ascii="Arial"/>
                <w:sz w:val="21"/>
              </w:rPr>
            </w:pPr>
          </w:p>
          <w:p>
            <w:pPr>
              <w:pStyle w:val="95"/>
              <w:spacing w:before="72" w:line="220" w:lineRule="auto"/>
              <w:ind w:left="114"/>
              <w:rPr>
                <w:sz w:val="22"/>
                <w:szCs w:val="22"/>
              </w:rPr>
            </w:pPr>
            <w:r>
              <w:rPr>
                <w:spacing w:val="-2"/>
                <w:sz w:val="22"/>
                <w:szCs w:val="22"/>
              </w:rPr>
              <w:t>单项工程合同额</w:t>
            </w:r>
            <w:r>
              <w:rPr>
                <w:spacing w:val="-108"/>
                <w:sz w:val="22"/>
                <w:szCs w:val="22"/>
              </w:rPr>
              <w:t xml:space="preserve"> </w:t>
            </w:r>
            <w:r>
              <w:rPr>
                <w:spacing w:val="27"/>
                <w:sz w:val="22"/>
                <w:szCs w:val="22"/>
                <w:u w:val="single" w:color="auto"/>
              </w:rPr>
              <w:t xml:space="preserve">    </w:t>
            </w:r>
            <w:r>
              <w:rPr>
                <w:spacing w:val="-94"/>
                <w:sz w:val="22"/>
                <w:szCs w:val="22"/>
              </w:rPr>
              <w:t xml:space="preserve"> </w:t>
            </w:r>
            <w:r>
              <w:rPr>
                <w:spacing w:val="-2"/>
                <w:sz w:val="22"/>
                <w:szCs w:val="22"/>
              </w:rPr>
              <w:t>万元</w:t>
            </w:r>
          </w:p>
        </w:tc>
        <w:tc>
          <w:tcPr>
            <w:tcW w:w="657" w:type="dxa"/>
            <w:vAlign w:val="top"/>
          </w:tcPr>
          <w:p>
            <w:pPr>
              <w:spacing w:line="314" w:lineRule="auto"/>
              <w:rPr>
                <w:rFonts w:ascii="Arial"/>
                <w:sz w:val="21"/>
              </w:rPr>
            </w:pPr>
          </w:p>
          <w:p>
            <w:pPr>
              <w:pStyle w:val="95"/>
              <w:spacing w:before="72" w:line="220" w:lineRule="auto"/>
              <w:ind w:left="114"/>
              <w:rPr>
                <w:sz w:val="22"/>
                <w:szCs w:val="22"/>
              </w:rPr>
            </w:pPr>
            <w:r>
              <w:rPr>
                <w:spacing w:val="-3"/>
                <w:sz w:val="22"/>
                <w:szCs w:val="22"/>
              </w:rPr>
              <w:t>数值</w:t>
            </w:r>
          </w:p>
        </w:tc>
        <w:tc>
          <w:tcPr>
            <w:tcW w:w="2366" w:type="dxa"/>
            <w:vAlign w:val="top"/>
          </w:tcPr>
          <w:p>
            <w:pPr>
              <w:pStyle w:val="95"/>
              <w:spacing w:before="75" w:line="218" w:lineRule="auto"/>
              <w:ind w:left="114"/>
              <w:rPr>
                <w:sz w:val="22"/>
                <w:szCs w:val="22"/>
              </w:rPr>
            </w:pPr>
            <w:r>
              <w:rPr>
                <w:spacing w:val="-2"/>
                <w:sz w:val="22"/>
                <w:szCs w:val="22"/>
              </w:rPr>
              <w:t>①≥3000，大型</w:t>
            </w:r>
          </w:p>
          <w:p>
            <w:pPr>
              <w:pStyle w:val="95"/>
              <w:spacing w:before="52" w:line="312" w:lineRule="exact"/>
              <w:ind w:left="114"/>
              <w:rPr>
                <w:sz w:val="22"/>
                <w:szCs w:val="22"/>
              </w:rPr>
            </w:pPr>
            <w:r>
              <w:rPr>
                <w:spacing w:val="-2"/>
                <w:position w:val="6"/>
                <w:sz w:val="22"/>
                <w:szCs w:val="22"/>
              </w:rPr>
              <w:t>②300~3000，中型</w:t>
            </w:r>
          </w:p>
          <w:p>
            <w:pPr>
              <w:pStyle w:val="95"/>
              <w:spacing w:line="218" w:lineRule="auto"/>
              <w:ind w:left="114"/>
              <w:rPr>
                <w:sz w:val="22"/>
                <w:szCs w:val="22"/>
              </w:rPr>
            </w:pPr>
            <w:r>
              <w:rPr>
                <w:spacing w:val="-1"/>
                <w:sz w:val="22"/>
                <w:szCs w:val="22"/>
              </w:rPr>
              <w:t>③&lt;300，小型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95" w:hRule="atLeast"/>
        </w:trPr>
        <w:tc>
          <w:tcPr>
            <w:tcW w:w="665" w:type="dxa"/>
            <w:vAlign w:val="top"/>
          </w:tcPr>
          <w:p>
            <w:pPr>
              <w:spacing w:line="355" w:lineRule="auto"/>
              <w:rPr>
                <w:rFonts w:ascii="Arial"/>
                <w:sz w:val="21"/>
              </w:rPr>
            </w:pPr>
          </w:p>
          <w:p>
            <w:pPr>
              <w:pStyle w:val="95"/>
              <w:spacing w:before="72" w:line="180" w:lineRule="auto"/>
              <w:ind w:left="287"/>
              <w:rPr>
                <w:sz w:val="22"/>
                <w:szCs w:val="22"/>
              </w:rPr>
            </w:pPr>
            <w:r>
              <w:rPr>
                <w:sz w:val="22"/>
                <w:szCs w:val="22"/>
              </w:rPr>
              <w:t>7</w:t>
            </w:r>
          </w:p>
        </w:tc>
        <w:tc>
          <w:tcPr>
            <w:tcW w:w="1099" w:type="dxa"/>
            <w:vMerge w:val="continue"/>
            <w:tcBorders>
              <w:top w:val="nil"/>
              <w:bottom w:val="nil"/>
            </w:tcBorders>
            <w:vAlign w:val="top"/>
          </w:tcPr>
          <w:p>
            <w:pPr>
              <w:rPr>
                <w:rFonts w:ascii="Arial"/>
                <w:sz w:val="21"/>
              </w:rPr>
            </w:pPr>
          </w:p>
        </w:tc>
        <w:tc>
          <w:tcPr>
            <w:tcW w:w="816"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95"/>
              <w:spacing w:before="72" w:line="222" w:lineRule="auto"/>
              <w:ind w:left="189"/>
              <w:rPr>
                <w:sz w:val="22"/>
                <w:szCs w:val="22"/>
              </w:rPr>
            </w:pPr>
            <w:r>
              <w:rPr>
                <w:spacing w:val="-2"/>
                <w:sz w:val="22"/>
                <w:szCs w:val="22"/>
              </w:rPr>
              <w:t>钢结</w:t>
            </w:r>
          </w:p>
          <w:p>
            <w:pPr>
              <w:pStyle w:val="95"/>
              <w:spacing w:before="47" w:line="221" w:lineRule="auto"/>
              <w:ind w:left="193"/>
              <w:rPr>
                <w:sz w:val="22"/>
                <w:szCs w:val="22"/>
              </w:rPr>
            </w:pPr>
            <w:r>
              <w:rPr>
                <w:spacing w:val="-3"/>
                <w:sz w:val="22"/>
                <w:szCs w:val="22"/>
              </w:rPr>
              <w:t>构工</w:t>
            </w:r>
          </w:p>
          <w:p>
            <w:pPr>
              <w:pStyle w:val="95"/>
              <w:spacing w:before="48" w:line="221" w:lineRule="auto"/>
              <w:ind w:left="300"/>
              <w:rPr>
                <w:sz w:val="22"/>
                <w:szCs w:val="22"/>
              </w:rPr>
            </w:pPr>
            <w:r>
              <w:rPr>
                <w:sz w:val="22"/>
                <w:szCs w:val="22"/>
              </w:rPr>
              <w:t>程</w:t>
            </w:r>
          </w:p>
        </w:tc>
        <w:tc>
          <w:tcPr>
            <w:tcW w:w="2637" w:type="dxa"/>
            <w:vMerge w:val="restart"/>
            <w:tcBorders>
              <w:bottom w:val="nil"/>
            </w:tcBorders>
            <w:vAlign w:val="top"/>
          </w:tcPr>
          <w:p>
            <w:pPr>
              <w:spacing w:line="288" w:lineRule="auto"/>
              <w:rPr>
                <w:rFonts w:ascii="Arial"/>
                <w:sz w:val="21"/>
              </w:rPr>
            </w:pPr>
          </w:p>
          <w:p>
            <w:pPr>
              <w:spacing w:line="288" w:lineRule="auto"/>
              <w:rPr>
                <w:rFonts w:ascii="Arial"/>
                <w:sz w:val="21"/>
              </w:rPr>
            </w:pPr>
          </w:p>
          <w:p>
            <w:pPr>
              <w:spacing w:line="289" w:lineRule="auto"/>
              <w:rPr>
                <w:rFonts w:ascii="Arial"/>
                <w:sz w:val="21"/>
              </w:rPr>
            </w:pPr>
          </w:p>
          <w:p>
            <w:pPr>
              <w:spacing w:line="289" w:lineRule="auto"/>
              <w:rPr>
                <w:rFonts w:ascii="Arial"/>
                <w:sz w:val="21"/>
              </w:rPr>
            </w:pPr>
          </w:p>
          <w:p>
            <w:pPr>
              <w:pStyle w:val="95"/>
              <w:spacing w:before="71" w:line="241" w:lineRule="auto"/>
              <w:ind w:left="110" w:right="107"/>
              <w:rPr>
                <w:sz w:val="22"/>
                <w:szCs w:val="22"/>
              </w:rPr>
            </w:pPr>
            <w:r>
              <w:rPr>
                <w:spacing w:val="-1"/>
                <w:sz w:val="22"/>
                <w:szCs w:val="22"/>
              </w:rPr>
              <w:t>钢结构建筑物或构筑物工</w:t>
            </w:r>
            <w:r>
              <w:rPr>
                <w:spacing w:val="4"/>
                <w:sz w:val="22"/>
                <w:szCs w:val="22"/>
              </w:rPr>
              <w:t xml:space="preserve"> </w:t>
            </w:r>
            <w:r>
              <w:rPr>
                <w:spacing w:val="-2"/>
                <w:sz w:val="22"/>
                <w:szCs w:val="22"/>
              </w:rPr>
              <w:t>程（包括轻钢结构工程）</w:t>
            </w:r>
          </w:p>
        </w:tc>
        <w:tc>
          <w:tcPr>
            <w:tcW w:w="4616" w:type="dxa"/>
            <w:vAlign w:val="top"/>
          </w:tcPr>
          <w:p>
            <w:pPr>
              <w:spacing w:line="317" w:lineRule="auto"/>
              <w:rPr>
                <w:rFonts w:ascii="Arial"/>
                <w:sz w:val="21"/>
              </w:rPr>
            </w:pPr>
          </w:p>
          <w:p>
            <w:pPr>
              <w:pStyle w:val="95"/>
              <w:spacing w:before="71" w:line="220" w:lineRule="auto"/>
              <w:ind w:left="111"/>
              <w:rPr>
                <w:sz w:val="22"/>
                <w:szCs w:val="22"/>
              </w:rPr>
            </w:pPr>
            <w:r>
              <w:rPr>
                <w:spacing w:val="-1"/>
                <w:sz w:val="22"/>
                <w:szCs w:val="22"/>
              </w:rPr>
              <w:t>钢结构跨度</w:t>
            </w:r>
            <w:r>
              <w:rPr>
                <w:spacing w:val="-110"/>
                <w:sz w:val="22"/>
                <w:szCs w:val="22"/>
              </w:rPr>
              <w:t xml:space="preserve"> </w:t>
            </w:r>
            <w:r>
              <w:rPr>
                <w:sz w:val="22"/>
                <w:szCs w:val="22"/>
                <w:u w:val="single" w:color="auto"/>
              </w:rPr>
              <w:t xml:space="preserve">     </w:t>
            </w:r>
            <w:r>
              <w:rPr>
                <w:spacing w:val="-103"/>
                <w:sz w:val="22"/>
                <w:szCs w:val="22"/>
              </w:rPr>
              <w:t xml:space="preserve"> </w:t>
            </w:r>
            <w:r>
              <w:rPr>
                <w:spacing w:val="-1"/>
                <w:sz w:val="22"/>
                <w:szCs w:val="22"/>
              </w:rPr>
              <w:t>米</w:t>
            </w:r>
          </w:p>
        </w:tc>
        <w:tc>
          <w:tcPr>
            <w:tcW w:w="657" w:type="dxa"/>
            <w:vAlign w:val="top"/>
          </w:tcPr>
          <w:p>
            <w:pPr>
              <w:spacing w:line="317" w:lineRule="auto"/>
              <w:rPr>
                <w:rFonts w:ascii="Arial"/>
                <w:sz w:val="21"/>
              </w:rPr>
            </w:pPr>
          </w:p>
          <w:p>
            <w:pPr>
              <w:pStyle w:val="95"/>
              <w:spacing w:before="71" w:line="220" w:lineRule="auto"/>
              <w:ind w:left="114"/>
              <w:rPr>
                <w:sz w:val="22"/>
                <w:szCs w:val="22"/>
              </w:rPr>
            </w:pPr>
            <w:r>
              <w:rPr>
                <w:spacing w:val="-3"/>
                <w:sz w:val="22"/>
                <w:szCs w:val="22"/>
              </w:rPr>
              <w:t>数值</w:t>
            </w:r>
          </w:p>
        </w:tc>
        <w:tc>
          <w:tcPr>
            <w:tcW w:w="2366" w:type="dxa"/>
            <w:vAlign w:val="top"/>
          </w:tcPr>
          <w:p>
            <w:pPr>
              <w:pStyle w:val="95"/>
              <w:spacing w:before="78" w:line="312" w:lineRule="exact"/>
              <w:ind w:left="114"/>
              <w:rPr>
                <w:sz w:val="22"/>
                <w:szCs w:val="22"/>
              </w:rPr>
            </w:pPr>
            <w:r>
              <w:rPr>
                <w:spacing w:val="-2"/>
                <w:position w:val="6"/>
                <w:sz w:val="22"/>
                <w:szCs w:val="22"/>
              </w:rPr>
              <w:t>①≥30，大型</w:t>
            </w:r>
          </w:p>
          <w:p>
            <w:pPr>
              <w:pStyle w:val="95"/>
              <w:spacing w:line="218" w:lineRule="auto"/>
              <w:ind w:left="114"/>
              <w:rPr>
                <w:sz w:val="22"/>
                <w:szCs w:val="22"/>
              </w:rPr>
            </w:pPr>
            <w:r>
              <w:rPr>
                <w:sz w:val="22"/>
                <w:szCs w:val="22"/>
              </w:rPr>
              <w:t>②10~30，中型</w:t>
            </w:r>
          </w:p>
          <w:p>
            <w:pPr>
              <w:pStyle w:val="95"/>
              <w:spacing w:before="52" w:line="218" w:lineRule="auto"/>
              <w:ind w:left="114"/>
              <w:rPr>
                <w:sz w:val="22"/>
                <w:szCs w:val="22"/>
              </w:rPr>
            </w:pPr>
            <w:r>
              <w:rPr>
                <w:spacing w:val="-3"/>
                <w:sz w:val="22"/>
                <w:szCs w:val="22"/>
              </w:rPr>
              <w:t>③&lt;10，小型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96" w:hRule="atLeast"/>
        </w:trPr>
        <w:tc>
          <w:tcPr>
            <w:tcW w:w="665" w:type="dxa"/>
            <w:vAlign w:val="top"/>
          </w:tcPr>
          <w:p>
            <w:pPr>
              <w:spacing w:line="351" w:lineRule="auto"/>
              <w:rPr>
                <w:rFonts w:ascii="Arial"/>
                <w:sz w:val="21"/>
              </w:rPr>
            </w:pPr>
          </w:p>
          <w:p>
            <w:pPr>
              <w:pStyle w:val="95"/>
              <w:spacing w:before="72" w:line="182" w:lineRule="auto"/>
              <w:ind w:left="283"/>
              <w:rPr>
                <w:sz w:val="22"/>
                <w:szCs w:val="22"/>
              </w:rPr>
            </w:pPr>
            <w:r>
              <w:rPr>
                <w:sz w:val="22"/>
                <w:szCs w:val="22"/>
              </w:rPr>
              <w:t>8</w:t>
            </w:r>
          </w:p>
        </w:tc>
        <w:tc>
          <w:tcPr>
            <w:tcW w:w="1099" w:type="dxa"/>
            <w:vMerge w:val="continue"/>
            <w:tcBorders>
              <w:top w:val="nil"/>
              <w:bottom w:val="nil"/>
            </w:tcBorders>
            <w:vAlign w:val="top"/>
          </w:tcPr>
          <w:p>
            <w:pPr>
              <w:rPr>
                <w:rFonts w:ascii="Arial"/>
                <w:sz w:val="21"/>
              </w:rPr>
            </w:pPr>
          </w:p>
        </w:tc>
        <w:tc>
          <w:tcPr>
            <w:tcW w:w="816" w:type="dxa"/>
            <w:vMerge w:val="continue"/>
            <w:tcBorders>
              <w:top w:val="nil"/>
              <w:bottom w:val="nil"/>
            </w:tcBorders>
            <w:vAlign w:val="top"/>
          </w:tcPr>
          <w:p>
            <w:pPr>
              <w:rPr>
                <w:rFonts w:ascii="Arial"/>
                <w:sz w:val="21"/>
              </w:rPr>
            </w:pPr>
          </w:p>
        </w:tc>
        <w:tc>
          <w:tcPr>
            <w:tcW w:w="2637" w:type="dxa"/>
            <w:vMerge w:val="continue"/>
            <w:tcBorders>
              <w:top w:val="nil"/>
              <w:bottom w:val="nil"/>
            </w:tcBorders>
            <w:vAlign w:val="top"/>
          </w:tcPr>
          <w:p>
            <w:pPr>
              <w:rPr>
                <w:rFonts w:ascii="Arial"/>
                <w:sz w:val="21"/>
              </w:rPr>
            </w:pPr>
          </w:p>
        </w:tc>
        <w:tc>
          <w:tcPr>
            <w:tcW w:w="4616" w:type="dxa"/>
            <w:vAlign w:val="top"/>
          </w:tcPr>
          <w:p>
            <w:pPr>
              <w:spacing w:line="315" w:lineRule="auto"/>
              <w:rPr>
                <w:rFonts w:ascii="Arial"/>
                <w:sz w:val="21"/>
              </w:rPr>
            </w:pPr>
          </w:p>
          <w:p>
            <w:pPr>
              <w:pStyle w:val="95"/>
              <w:spacing w:before="71" w:line="226" w:lineRule="auto"/>
              <w:ind w:left="119"/>
              <w:rPr>
                <w:sz w:val="22"/>
                <w:szCs w:val="22"/>
              </w:rPr>
            </w:pPr>
            <w:r>
              <w:rPr>
                <w:spacing w:val="-2"/>
                <w:sz w:val="22"/>
                <w:szCs w:val="22"/>
              </w:rPr>
              <w:t>总重量</w:t>
            </w:r>
            <w:r>
              <w:rPr>
                <w:spacing w:val="-2"/>
                <w:sz w:val="22"/>
                <w:szCs w:val="22"/>
                <w:u w:val="single" w:color="auto"/>
              </w:rPr>
              <w:t xml:space="preserve">     </w:t>
            </w:r>
            <w:r>
              <w:rPr>
                <w:spacing w:val="-87"/>
                <w:sz w:val="22"/>
                <w:szCs w:val="22"/>
              </w:rPr>
              <w:t xml:space="preserve"> </w:t>
            </w:r>
            <w:r>
              <w:rPr>
                <w:spacing w:val="-2"/>
                <w:sz w:val="22"/>
                <w:szCs w:val="22"/>
              </w:rPr>
              <w:t>吨</w:t>
            </w:r>
          </w:p>
        </w:tc>
        <w:tc>
          <w:tcPr>
            <w:tcW w:w="657" w:type="dxa"/>
            <w:vAlign w:val="top"/>
          </w:tcPr>
          <w:p>
            <w:pPr>
              <w:spacing w:line="315" w:lineRule="auto"/>
              <w:rPr>
                <w:rFonts w:ascii="Arial"/>
                <w:sz w:val="21"/>
              </w:rPr>
            </w:pPr>
          </w:p>
          <w:p>
            <w:pPr>
              <w:pStyle w:val="95"/>
              <w:spacing w:before="72" w:line="220" w:lineRule="auto"/>
              <w:ind w:left="114"/>
              <w:rPr>
                <w:sz w:val="22"/>
                <w:szCs w:val="22"/>
              </w:rPr>
            </w:pPr>
            <w:r>
              <w:rPr>
                <w:spacing w:val="-3"/>
                <w:sz w:val="22"/>
                <w:szCs w:val="22"/>
              </w:rPr>
              <w:t>数值</w:t>
            </w:r>
          </w:p>
        </w:tc>
        <w:tc>
          <w:tcPr>
            <w:tcW w:w="2366" w:type="dxa"/>
            <w:vAlign w:val="top"/>
          </w:tcPr>
          <w:p>
            <w:pPr>
              <w:pStyle w:val="95"/>
              <w:spacing w:before="76" w:line="218" w:lineRule="auto"/>
              <w:ind w:left="114"/>
              <w:rPr>
                <w:sz w:val="22"/>
                <w:szCs w:val="22"/>
              </w:rPr>
            </w:pPr>
            <w:r>
              <w:rPr>
                <w:spacing w:val="-2"/>
                <w:sz w:val="22"/>
                <w:szCs w:val="22"/>
              </w:rPr>
              <w:t>①≥1000，大型</w:t>
            </w:r>
          </w:p>
          <w:p>
            <w:pPr>
              <w:pStyle w:val="95"/>
              <w:spacing w:before="52" w:line="312" w:lineRule="exact"/>
              <w:ind w:left="114"/>
              <w:rPr>
                <w:sz w:val="22"/>
                <w:szCs w:val="22"/>
              </w:rPr>
            </w:pPr>
            <w:r>
              <w:rPr>
                <w:spacing w:val="-2"/>
                <w:position w:val="6"/>
                <w:sz w:val="22"/>
                <w:szCs w:val="22"/>
              </w:rPr>
              <w:t>②100~1000，中型</w:t>
            </w:r>
          </w:p>
          <w:p>
            <w:pPr>
              <w:pStyle w:val="95"/>
              <w:spacing w:line="218" w:lineRule="auto"/>
              <w:ind w:left="114"/>
              <w:rPr>
                <w:sz w:val="22"/>
                <w:szCs w:val="22"/>
              </w:rPr>
            </w:pPr>
            <w:r>
              <w:rPr>
                <w:spacing w:val="-1"/>
                <w:sz w:val="22"/>
                <w:szCs w:val="22"/>
              </w:rPr>
              <w:t>③&lt;100，小型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98" w:hRule="atLeast"/>
        </w:trPr>
        <w:tc>
          <w:tcPr>
            <w:tcW w:w="665" w:type="dxa"/>
            <w:vAlign w:val="top"/>
          </w:tcPr>
          <w:p>
            <w:pPr>
              <w:spacing w:line="352" w:lineRule="auto"/>
              <w:rPr>
                <w:rFonts w:ascii="Arial"/>
                <w:sz w:val="21"/>
              </w:rPr>
            </w:pPr>
          </w:p>
          <w:p>
            <w:pPr>
              <w:pStyle w:val="95"/>
              <w:spacing w:before="71" w:line="182" w:lineRule="auto"/>
              <w:ind w:left="283"/>
              <w:rPr>
                <w:sz w:val="22"/>
                <w:szCs w:val="22"/>
              </w:rPr>
            </w:pPr>
            <w:r>
              <w:rPr>
                <w:sz w:val="22"/>
                <w:szCs w:val="22"/>
              </w:rPr>
              <w:t>9</w:t>
            </w:r>
          </w:p>
        </w:tc>
        <w:tc>
          <w:tcPr>
            <w:tcW w:w="1099" w:type="dxa"/>
            <w:vMerge w:val="continue"/>
            <w:tcBorders>
              <w:top w:val="nil"/>
            </w:tcBorders>
            <w:vAlign w:val="top"/>
          </w:tcPr>
          <w:p>
            <w:pPr>
              <w:rPr>
                <w:rFonts w:ascii="Arial"/>
                <w:sz w:val="21"/>
              </w:rPr>
            </w:pPr>
          </w:p>
        </w:tc>
        <w:tc>
          <w:tcPr>
            <w:tcW w:w="816" w:type="dxa"/>
            <w:vMerge w:val="continue"/>
            <w:tcBorders>
              <w:top w:val="nil"/>
            </w:tcBorders>
            <w:vAlign w:val="top"/>
          </w:tcPr>
          <w:p>
            <w:pPr>
              <w:rPr>
                <w:rFonts w:ascii="Arial"/>
                <w:sz w:val="21"/>
              </w:rPr>
            </w:pPr>
          </w:p>
        </w:tc>
        <w:tc>
          <w:tcPr>
            <w:tcW w:w="2637" w:type="dxa"/>
            <w:vMerge w:val="continue"/>
            <w:tcBorders>
              <w:top w:val="nil"/>
            </w:tcBorders>
            <w:vAlign w:val="top"/>
          </w:tcPr>
          <w:p>
            <w:pPr>
              <w:rPr>
                <w:rFonts w:ascii="Arial"/>
                <w:sz w:val="21"/>
              </w:rPr>
            </w:pPr>
          </w:p>
        </w:tc>
        <w:tc>
          <w:tcPr>
            <w:tcW w:w="4616" w:type="dxa"/>
            <w:vAlign w:val="top"/>
          </w:tcPr>
          <w:p>
            <w:pPr>
              <w:spacing w:line="316" w:lineRule="auto"/>
              <w:rPr>
                <w:rFonts w:ascii="Arial"/>
                <w:sz w:val="21"/>
              </w:rPr>
            </w:pPr>
          </w:p>
          <w:p>
            <w:pPr>
              <w:pStyle w:val="95"/>
              <w:spacing w:before="71" w:line="220" w:lineRule="auto"/>
              <w:ind w:left="114"/>
              <w:rPr>
                <w:sz w:val="22"/>
                <w:szCs w:val="22"/>
              </w:rPr>
            </w:pPr>
            <w:r>
              <w:rPr>
                <w:spacing w:val="-2"/>
                <w:sz w:val="22"/>
                <w:szCs w:val="22"/>
              </w:rPr>
              <w:t>单体建筑面积</w:t>
            </w:r>
            <w:r>
              <w:rPr>
                <w:spacing w:val="-108"/>
                <w:sz w:val="22"/>
                <w:szCs w:val="22"/>
              </w:rPr>
              <w:t xml:space="preserve"> </w:t>
            </w:r>
            <w:r>
              <w:rPr>
                <w:spacing w:val="27"/>
                <w:sz w:val="22"/>
                <w:szCs w:val="22"/>
                <w:u w:val="single" w:color="auto"/>
              </w:rPr>
              <w:t xml:space="preserve">    </w:t>
            </w:r>
            <w:r>
              <w:rPr>
                <w:spacing w:val="-100"/>
                <w:sz w:val="22"/>
                <w:szCs w:val="22"/>
              </w:rPr>
              <w:t xml:space="preserve"> </w:t>
            </w:r>
            <w:r>
              <w:rPr>
                <w:spacing w:val="-2"/>
                <w:sz w:val="22"/>
                <w:szCs w:val="22"/>
              </w:rPr>
              <w:t>平方米</w:t>
            </w:r>
          </w:p>
        </w:tc>
        <w:tc>
          <w:tcPr>
            <w:tcW w:w="657" w:type="dxa"/>
            <w:vAlign w:val="top"/>
          </w:tcPr>
          <w:p>
            <w:pPr>
              <w:spacing w:line="316" w:lineRule="auto"/>
              <w:rPr>
                <w:rFonts w:ascii="Arial"/>
                <w:sz w:val="21"/>
              </w:rPr>
            </w:pPr>
          </w:p>
          <w:p>
            <w:pPr>
              <w:pStyle w:val="95"/>
              <w:spacing w:before="71" w:line="220" w:lineRule="auto"/>
              <w:ind w:left="114"/>
              <w:rPr>
                <w:sz w:val="22"/>
                <w:szCs w:val="22"/>
              </w:rPr>
            </w:pPr>
            <w:r>
              <w:rPr>
                <w:spacing w:val="-3"/>
                <w:sz w:val="22"/>
                <w:szCs w:val="22"/>
              </w:rPr>
              <w:t>数值</w:t>
            </w:r>
          </w:p>
        </w:tc>
        <w:tc>
          <w:tcPr>
            <w:tcW w:w="2366" w:type="dxa"/>
            <w:vAlign w:val="top"/>
          </w:tcPr>
          <w:p>
            <w:pPr>
              <w:pStyle w:val="95"/>
              <w:spacing w:before="77" w:line="218" w:lineRule="auto"/>
              <w:ind w:left="114"/>
              <w:rPr>
                <w:sz w:val="22"/>
                <w:szCs w:val="22"/>
              </w:rPr>
            </w:pPr>
            <w:r>
              <w:rPr>
                <w:spacing w:val="-2"/>
                <w:sz w:val="22"/>
                <w:szCs w:val="22"/>
              </w:rPr>
              <w:t>①≥20000，大型</w:t>
            </w:r>
          </w:p>
          <w:p>
            <w:pPr>
              <w:pStyle w:val="95"/>
              <w:spacing w:before="52"/>
              <w:ind w:left="114" w:right="285"/>
              <w:rPr>
                <w:sz w:val="22"/>
                <w:szCs w:val="22"/>
              </w:rPr>
            </w:pPr>
            <w:r>
              <w:rPr>
                <w:spacing w:val="-2"/>
                <w:sz w:val="22"/>
                <w:szCs w:val="22"/>
              </w:rPr>
              <w:t>②3000~20000，中型</w:t>
            </w:r>
            <w:r>
              <w:rPr>
                <w:spacing w:val="8"/>
                <w:sz w:val="22"/>
                <w:szCs w:val="22"/>
              </w:rPr>
              <w:t xml:space="preserve"> </w:t>
            </w:r>
            <w:r>
              <w:rPr>
                <w:sz w:val="22"/>
                <w:szCs w:val="22"/>
              </w:rPr>
              <w:t>③&lt;3000，小型</w:t>
            </w:r>
          </w:p>
        </w:tc>
      </w:tr>
    </w:tbl>
    <w:p>
      <w:pPr>
        <w:pStyle w:val="16"/>
        <w:spacing w:line="265" w:lineRule="auto"/>
      </w:pPr>
    </w:p>
    <w:p>
      <w:pPr>
        <w:pStyle w:val="16"/>
        <w:spacing w:line="265" w:lineRule="auto"/>
      </w:pPr>
    </w:p>
    <w:p>
      <w:pPr>
        <w:pStyle w:val="16"/>
        <w:spacing w:line="265" w:lineRule="auto"/>
      </w:pPr>
    </w:p>
    <w:p>
      <w:pPr>
        <w:pStyle w:val="16"/>
        <w:spacing w:line="265" w:lineRule="auto"/>
      </w:pPr>
    </w:p>
    <w:p>
      <w:pPr>
        <w:pStyle w:val="16"/>
        <w:spacing w:before="69" w:line="327" w:lineRule="exact"/>
        <w:ind w:left="4057"/>
        <w:rPr>
          <w:sz w:val="24"/>
          <w:szCs w:val="24"/>
        </w:rPr>
      </w:pPr>
      <w:r>
        <w:rPr>
          <w:spacing w:val="-4"/>
          <w:position w:val="1"/>
          <w:sz w:val="24"/>
          <w:szCs w:val="24"/>
        </w:rPr>
        <w:t>37 /</w:t>
      </w:r>
      <w:r>
        <w:rPr>
          <w:spacing w:val="26"/>
          <w:position w:val="1"/>
          <w:sz w:val="24"/>
          <w:szCs w:val="24"/>
        </w:rPr>
        <w:t xml:space="preserve"> </w:t>
      </w:r>
      <w:r>
        <w:rPr>
          <w:spacing w:val="-4"/>
          <w:position w:val="1"/>
          <w:sz w:val="24"/>
          <w:szCs w:val="24"/>
        </w:rPr>
        <w:t>165</w:t>
      </w:r>
    </w:p>
    <w:p>
      <w:pPr>
        <w:spacing w:line="327" w:lineRule="exact"/>
        <w:rPr>
          <w:sz w:val="24"/>
          <w:szCs w:val="24"/>
        </w:rPr>
        <w:sectPr>
          <w:pgSz w:w="16839" w:h="11907"/>
          <w:pgMar w:top="400" w:right="2525" w:bottom="400" w:left="995" w:header="0" w:footer="0" w:gutter="0"/>
          <w:cols w:space="720" w:num="1"/>
        </w:sectPr>
      </w:pPr>
    </w:p>
    <w:p>
      <w:pPr>
        <w:spacing w:before="39"/>
      </w:pPr>
      <w:r>
        <mc:AlternateContent>
          <mc:Choice Requires="wps">
            <w:drawing>
              <wp:anchor distT="0" distB="0" distL="114300" distR="114300" simplePos="0" relativeHeight="251671552" behindDoc="0" locked="0" layoutInCell="0" allowOverlap="1">
                <wp:simplePos x="0" y="0"/>
                <wp:positionH relativeFrom="page">
                  <wp:posOffset>631825</wp:posOffset>
                </wp:positionH>
                <wp:positionV relativeFrom="page">
                  <wp:posOffset>6922135</wp:posOffset>
                </wp:positionV>
                <wp:extent cx="6292850" cy="6350"/>
                <wp:effectExtent l="0" t="0" r="0" b="0"/>
                <wp:wrapNone/>
                <wp:docPr id="11" name="任意多边形 11"/>
                <wp:cNvGraphicFramePr/>
                <a:graphic xmlns:a="http://schemas.openxmlformats.org/drawingml/2006/main">
                  <a:graphicData uri="http://schemas.microsoft.com/office/word/2010/wordprocessingShape">
                    <wps:wsp>
                      <wps:cNvSpPr/>
                      <wps:spPr>
                        <a:xfrm>
                          <a:off x="0" y="0"/>
                          <a:ext cx="6292850" cy="6350"/>
                        </a:xfrm>
                        <a:custGeom>
                          <a:avLst/>
                          <a:gdLst/>
                          <a:ahLst/>
                          <a:cxnLst/>
                          <a:pathLst>
                            <a:path w="9910" h="10">
                              <a:moveTo>
                                <a:pt x="5" y="5"/>
                              </a:moveTo>
                              <a:lnTo>
                                <a:pt x="4955" y="5"/>
                              </a:lnTo>
                              <a:moveTo>
                                <a:pt x="4955" y="5"/>
                              </a:moveTo>
                              <a:lnTo>
                                <a:pt x="9905" y="5"/>
                              </a:lnTo>
                            </a:path>
                          </a:pathLst>
                        </a:custGeom>
                        <a:noFill/>
                        <a:ln w="6350" cap="sq" cmpd="sng">
                          <a:solidFill>
                            <a:srgbClr val="000000"/>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49.75pt;margin-top:545.05pt;height:0.5pt;width:495.5pt;mso-position-horizontal-relative:page;mso-position-vertical-relative:page;z-index:251671552;mso-width-relative:page;mso-height-relative:page;" filled="f" stroked="t" coordsize="9910,10" o:allowincell="f" o:gfxdata="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BYAAABkcnMvUEsB&#10;AhQAFAAAAAgAh07iQO6Mgo7aAAAADQEAAA8AAAAAAAAAAQAgAAAAOAAAAGRycy9kb3ducmV2Lnht&#10;bFBLAQIUABQAAAAIAIdO4kAMyxcaUwIAAPYEAAAOAAAAAAAAAAEAIAAAAD8BAABkcnMvZTJvRG9j&#10;LnhtbFBLBQYAAAAABgAGAFkBAAAEBgAAAAA=&#10;" path="m5,5l4955,5m4955,5l9905,5e">
                <v:fill on="f" focussize="0,0"/>
                <v:stroke weight="0.5pt" color="#000000" miterlimit="10" joinstyle="miter" endcap="square"/>
                <v:imagedata o:title=""/>
                <o:lock v:ext="edit" aspectratio="f"/>
              </v:shape>
            </w:pict>
          </mc:Fallback>
        </mc:AlternateContent>
      </w:r>
    </w:p>
    <w:p>
      <w:pPr>
        <w:spacing w:before="39"/>
      </w:pPr>
    </w:p>
    <w:p>
      <w:pPr>
        <w:spacing w:before="39"/>
      </w:pPr>
    </w:p>
    <w:p>
      <w:pPr>
        <w:spacing w:before="38"/>
      </w:pPr>
    </w:p>
    <w:p>
      <w:pPr>
        <w:spacing w:before="38"/>
      </w:pPr>
    </w:p>
    <w:tbl>
      <w:tblPr>
        <w:tblStyle w:val="96"/>
        <w:tblW w:w="12856" w:type="dxa"/>
        <w:tblInd w:w="44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5"/>
        <w:gridCol w:w="1099"/>
        <w:gridCol w:w="816"/>
        <w:gridCol w:w="2637"/>
        <w:gridCol w:w="4616"/>
        <w:gridCol w:w="657"/>
        <w:gridCol w:w="23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95" w:hRule="atLeast"/>
        </w:trPr>
        <w:tc>
          <w:tcPr>
            <w:tcW w:w="665" w:type="dxa"/>
            <w:tcBorders>
              <w:top w:val="nil"/>
            </w:tcBorders>
            <w:vAlign w:val="top"/>
          </w:tcPr>
          <w:p>
            <w:pPr>
              <w:spacing w:line="346" w:lineRule="auto"/>
              <w:rPr>
                <w:rFonts w:ascii="Arial"/>
                <w:sz w:val="21"/>
              </w:rPr>
            </w:pPr>
          </w:p>
          <w:p>
            <w:pPr>
              <w:pStyle w:val="95"/>
              <w:spacing w:before="72" w:line="182" w:lineRule="auto"/>
              <w:ind w:left="243"/>
              <w:rPr>
                <w:sz w:val="22"/>
                <w:szCs w:val="22"/>
              </w:rPr>
            </w:pPr>
            <w:r>
              <w:rPr>
                <w:spacing w:val="-7"/>
                <w:sz w:val="22"/>
                <w:szCs w:val="22"/>
              </w:rPr>
              <w:t>10</w:t>
            </w:r>
          </w:p>
        </w:tc>
        <w:tc>
          <w:tcPr>
            <w:tcW w:w="1099" w:type="dxa"/>
            <w:vMerge w:val="restart"/>
            <w:tcBorders>
              <w:top w:val="nil"/>
              <w:bottom w:val="nil"/>
            </w:tcBorders>
            <w:vAlign w:val="top"/>
          </w:tcPr>
          <w:p>
            <w:pPr>
              <w:rPr>
                <w:rFonts w:ascii="Arial"/>
                <w:sz w:val="21"/>
              </w:rPr>
            </w:pPr>
          </w:p>
        </w:tc>
        <w:tc>
          <w:tcPr>
            <w:tcW w:w="816" w:type="dxa"/>
            <w:vMerge w:val="restart"/>
            <w:tcBorders>
              <w:top w:val="nil"/>
              <w:bottom w:val="nil"/>
            </w:tcBorders>
            <w:vAlign w:val="top"/>
          </w:tcPr>
          <w:p>
            <w:pPr>
              <w:rPr>
                <w:rFonts w:ascii="Arial"/>
                <w:sz w:val="21"/>
              </w:rPr>
            </w:pPr>
          </w:p>
        </w:tc>
        <w:tc>
          <w:tcPr>
            <w:tcW w:w="2637" w:type="dxa"/>
            <w:vMerge w:val="restart"/>
            <w:tcBorders>
              <w:top w:val="nil"/>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95"/>
              <w:spacing w:before="71" w:line="221" w:lineRule="auto"/>
              <w:ind w:left="129"/>
              <w:rPr>
                <w:sz w:val="22"/>
                <w:szCs w:val="22"/>
              </w:rPr>
            </w:pPr>
            <w:r>
              <w:rPr>
                <w:spacing w:val="-3"/>
                <w:sz w:val="22"/>
                <w:szCs w:val="22"/>
              </w:rPr>
              <w:t>网架结构的制作安装工程</w:t>
            </w:r>
          </w:p>
        </w:tc>
        <w:tc>
          <w:tcPr>
            <w:tcW w:w="4616" w:type="dxa"/>
            <w:tcBorders>
              <w:top w:val="nil"/>
            </w:tcBorders>
            <w:vAlign w:val="top"/>
          </w:tcPr>
          <w:p>
            <w:pPr>
              <w:spacing w:line="310" w:lineRule="auto"/>
              <w:rPr>
                <w:rFonts w:ascii="Arial"/>
                <w:sz w:val="21"/>
              </w:rPr>
            </w:pPr>
          </w:p>
          <w:p>
            <w:pPr>
              <w:pStyle w:val="95"/>
              <w:spacing w:before="72" w:line="220" w:lineRule="auto"/>
              <w:ind w:left="130"/>
              <w:rPr>
                <w:sz w:val="22"/>
                <w:szCs w:val="22"/>
              </w:rPr>
            </w:pPr>
            <w:r>
              <w:rPr>
                <w:spacing w:val="-4"/>
                <w:sz w:val="22"/>
                <w:szCs w:val="22"/>
              </w:rPr>
              <w:t>网架工程边长</w:t>
            </w:r>
            <w:r>
              <w:rPr>
                <w:spacing w:val="-107"/>
                <w:sz w:val="22"/>
                <w:szCs w:val="22"/>
              </w:rPr>
              <w:t xml:space="preserve"> </w:t>
            </w:r>
            <w:r>
              <w:rPr>
                <w:spacing w:val="27"/>
                <w:sz w:val="22"/>
                <w:szCs w:val="22"/>
                <w:u w:val="single" w:color="auto"/>
              </w:rPr>
              <w:t xml:space="preserve">    </w:t>
            </w:r>
            <w:r>
              <w:rPr>
                <w:spacing w:val="-100"/>
                <w:sz w:val="22"/>
                <w:szCs w:val="22"/>
              </w:rPr>
              <w:t xml:space="preserve"> </w:t>
            </w:r>
            <w:r>
              <w:rPr>
                <w:spacing w:val="-4"/>
                <w:sz w:val="22"/>
                <w:szCs w:val="22"/>
              </w:rPr>
              <w:t>米</w:t>
            </w:r>
          </w:p>
        </w:tc>
        <w:tc>
          <w:tcPr>
            <w:tcW w:w="657" w:type="dxa"/>
            <w:tcBorders>
              <w:top w:val="nil"/>
            </w:tcBorders>
            <w:vAlign w:val="top"/>
          </w:tcPr>
          <w:p>
            <w:pPr>
              <w:spacing w:line="310" w:lineRule="auto"/>
              <w:rPr>
                <w:rFonts w:ascii="Arial"/>
                <w:sz w:val="21"/>
              </w:rPr>
            </w:pPr>
          </w:p>
          <w:p>
            <w:pPr>
              <w:pStyle w:val="95"/>
              <w:spacing w:before="72" w:line="220" w:lineRule="auto"/>
              <w:ind w:left="114"/>
              <w:rPr>
                <w:sz w:val="22"/>
                <w:szCs w:val="22"/>
              </w:rPr>
            </w:pPr>
            <w:r>
              <w:rPr>
                <w:spacing w:val="-3"/>
                <w:sz w:val="22"/>
                <w:szCs w:val="22"/>
              </w:rPr>
              <w:t>数值</w:t>
            </w:r>
          </w:p>
        </w:tc>
        <w:tc>
          <w:tcPr>
            <w:tcW w:w="2366" w:type="dxa"/>
            <w:tcBorders>
              <w:top w:val="nil"/>
            </w:tcBorders>
            <w:vAlign w:val="top"/>
          </w:tcPr>
          <w:p>
            <w:pPr>
              <w:pStyle w:val="95"/>
              <w:spacing w:before="71" w:line="312" w:lineRule="exact"/>
              <w:ind w:left="114"/>
              <w:rPr>
                <w:sz w:val="22"/>
                <w:szCs w:val="22"/>
              </w:rPr>
            </w:pPr>
            <w:r>
              <w:rPr>
                <w:spacing w:val="-2"/>
                <w:position w:val="6"/>
                <w:sz w:val="22"/>
                <w:szCs w:val="22"/>
              </w:rPr>
              <w:t>①≥70，大型</w:t>
            </w:r>
          </w:p>
          <w:p>
            <w:pPr>
              <w:pStyle w:val="95"/>
              <w:spacing w:line="218" w:lineRule="auto"/>
              <w:ind w:left="114"/>
              <w:rPr>
                <w:sz w:val="22"/>
                <w:szCs w:val="22"/>
              </w:rPr>
            </w:pPr>
            <w:r>
              <w:rPr>
                <w:sz w:val="22"/>
                <w:szCs w:val="22"/>
              </w:rPr>
              <w:t>②10~70，中型</w:t>
            </w:r>
          </w:p>
          <w:p>
            <w:pPr>
              <w:pStyle w:val="95"/>
              <w:spacing w:before="52" w:line="218" w:lineRule="auto"/>
              <w:ind w:left="114"/>
              <w:rPr>
                <w:sz w:val="22"/>
                <w:szCs w:val="22"/>
              </w:rPr>
            </w:pPr>
            <w:r>
              <w:rPr>
                <w:spacing w:val="-3"/>
                <w:sz w:val="22"/>
                <w:szCs w:val="22"/>
              </w:rPr>
              <w:t>③&lt;10，小型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93" w:hRule="atLeast"/>
        </w:trPr>
        <w:tc>
          <w:tcPr>
            <w:tcW w:w="665" w:type="dxa"/>
            <w:vAlign w:val="top"/>
          </w:tcPr>
          <w:p>
            <w:pPr>
              <w:spacing w:line="347" w:lineRule="auto"/>
              <w:rPr>
                <w:rFonts w:ascii="Arial"/>
                <w:sz w:val="21"/>
              </w:rPr>
            </w:pPr>
          </w:p>
          <w:p>
            <w:pPr>
              <w:pStyle w:val="95"/>
              <w:spacing w:before="72" w:line="182" w:lineRule="auto"/>
              <w:ind w:left="243"/>
              <w:rPr>
                <w:sz w:val="22"/>
                <w:szCs w:val="22"/>
              </w:rPr>
            </w:pPr>
            <w:r>
              <w:rPr>
                <w:spacing w:val="-7"/>
                <w:sz w:val="22"/>
                <w:szCs w:val="22"/>
              </w:rPr>
              <w:t>11</w:t>
            </w:r>
          </w:p>
        </w:tc>
        <w:tc>
          <w:tcPr>
            <w:tcW w:w="1099" w:type="dxa"/>
            <w:vMerge w:val="continue"/>
            <w:tcBorders>
              <w:top w:val="nil"/>
              <w:bottom w:val="nil"/>
            </w:tcBorders>
            <w:vAlign w:val="top"/>
          </w:tcPr>
          <w:p>
            <w:pPr>
              <w:rPr>
                <w:rFonts w:ascii="Arial"/>
                <w:sz w:val="21"/>
              </w:rPr>
            </w:pPr>
          </w:p>
        </w:tc>
        <w:tc>
          <w:tcPr>
            <w:tcW w:w="816" w:type="dxa"/>
            <w:vMerge w:val="continue"/>
            <w:tcBorders>
              <w:top w:val="nil"/>
              <w:bottom w:val="nil"/>
            </w:tcBorders>
            <w:vAlign w:val="top"/>
          </w:tcPr>
          <w:p>
            <w:pPr>
              <w:rPr>
                <w:rFonts w:ascii="Arial"/>
                <w:sz w:val="21"/>
              </w:rPr>
            </w:pPr>
          </w:p>
        </w:tc>
        <w:tc>
          <w:tcPr>
            <w:tcW w:w="2637" w:type="dxa"/>
            <w:vMerge w:val="continue"/>
            <w:tcBorders>
              <w:top w:val="nil"/>
              <w:bottom w:val="nil"/>
            </w:tcBorders>
            <w:vAlign w:val="top"/>
          </w:tcPr>
          <w:p>
            <w:pPr>
              <w:rPr>
                <w:rFonts w:ascii="Arial"/>
                <w:sz w:val="21"/>
              </w:rPr>
            </w:pPr>
          </w:p>
        </w:tc>
        <w:tc>
          <w:tcPr>
            <w:tcW w:w="4616" w:type="dxa"/>
            <w:vAlign w:val="top"/>
          </w:tcPr>
          <w:p>
            <w:pPr>
              <w:spacing w:line="311" w:lineRule="auto"/>
              <w:rPr>
                <w:rFonts w:ascii="Arial"/>
                <w:sz w:val="21"/>
              </w:rPr>
            </w:pPr>
          </w:p>
          <w:p>
            <w:pPr>
              <w:pStyle w:val="95"/>
              <w:spacing w:before="71" w:line="226" w:lineRule="auto"/>
              <w:ind w:left="119"/>
              <w:rPr>
                <w:sz w:val="22"/>
                <w:szCs w:val="22"/>
              </w:rPr>
            </w:pPr>
            <w:r>
              <w:rPr>
                <w:spacing w:val="-2"/>
                <w:sz w:val="22"/>
                <w:szCs w:val="22"/>
              </w:rPr>
              <w:t>总重量</w:t>
            </w:r>
            <w:r>
              <w:rPr>
                <w:spacing w:val="-2"/>
                <w:sz w:val="22"/>
                <w:szCs w:val="22"/>
                <w:u w:val="single" w:color="auto"/>
              </w:rPr>
              <w:t xml:space="preserve">     </w:t>
            </w:r>
            <w:r>
              <w:rPr>
                <w:spacing w:val="-87"/>
                <w:sz w:val="22"/>
                <w:szCs w:val="22"/>
              </w:rPr>
              <w:t xml:space="preserve"> </w:t>
            </w:r>
            <w:r>
              <w:rPr>
                <w:spacing w:val="-2"/>
                <w:sz w:val="22"/>
                <w:szCs w:val="22"/>
              </w:rPr>
              <w:t>吨</w:t>
            </w:r>
          </w:p>
        </w:tc>
        <w:tc>
          <w:tcPr>
            <w:tcW w:w="657" w:type="dxa"/>
            <w:vAlign w:val="top"/>
          </w:tcPr>
          <w:p>
            <w:pPr>
              <w:spacing w:line="311" w:lineRule="auto"/>
              <w:rPr>
                <w:rFonts w:ascii="Arial"/>
                <w:sz w:val="21"/>
              </w:rPr>
            </w:pPr>
          </w:p>
          <w:p>
            <w:pPr>
              <w:pStyle w:val="95"/>
              <w:spacing w:before="72" w:line="220" w:lineRule="auto"/>
              <w:ind w:left="114"/>
              <w:rPr>
                <w:sz w:val="22"/>
                <w:szCs w:val="22"/>
              </w:rPr>
            </w:pPr>
            <w:r>
              <w:rPr>
                <w:spacing w:val="-3"/>
                <w:sz w:val="22"/>
                <w:szCs w:val="22"/>
              </w:rPr>
              <w:t>数值</w:t>
            </w:r>
          </w:p>
        </w:tc>
        <w:tc>
          <w:tcPr>
            <w:tcW w:w="2366" w:type="dxa"/>
            <w:vAlign w:val="top"/>
          </w:tcPr>
          <w:p>
            <w:pPr>
              <w:pStyle w:val="95"/>
              <w:spacing w:before="72" w:line="312" w:lineRule="exact"/>
              <w:ind w:left="114"/>
              <w:rPr>
                <w:sz w:val="22"/>
                <w:szCs w:val="22"/>
              </w:rPr>
            </w:pPr>
            <w:r>
              <w:rPr>
                <w:spacing w:val="-1"/>
                <w:position w:val="6"/>
                <w:sz w:val="22"/>
                <w:szCs w:val="22"/>
              </w:rPr>
              <w:t>①≥300，大型</w:t>
            </w:r>
          </w:p>
          <w:p>
            <w:pPr>
              <w:pStyle w:val="95"/>
              <w:spacing w:line="218" w:lineRule="auto"/>
              <w:ind w:left="114"/>
              <w:rPr>
                <w:sz w:val="22"/>
                <w:szCs w:val="22"/>
              </w:rPr>
            </w:pPr>
            <w:r>
              <w:rPr>
                <w:spacing w:val="-2"/>
                <w:sz w:val="22"/>
                <w:szCs w:val="22"/>
              </w:rPr>
              <w:t>②50~300，中型</w:t>
            </w:r>
          </w:p>
          <w:p>
            <w:pPr>
              <w:pStyle w:val="95"/>
              <w:spacing w:before="52" w:line="218" w:lineRule="auto"/>
              <w:ind w:left="114"/>
              <w:rPr>
                <w:sz w:val="22"/>
                <w:szCs w:val="22"/>
              </w:rPr>
            </w:pPr>
            <w:r>
              <w:rPr>
                <w:spacing w:val="-3"/>
                <w:sz w:val="22"/>
                <w:szCs w:val="22"/>
              </w:rPr>
              <w:t>③&lt;50，小型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95" w:hRule="atLeast"/>
        </w:trPr>
        <w:tc>
          <w:tcPr>
            <w:tcW w:w="665" w:type="dxa"/>
            <w:vAlign w:val="top"/>
          </w:tcPr>
          <w:p>
            <w:pPr>
              <w:spacing w:line="351" w:lineRule="auto"/>
              <w:rPr>
                <w:rFonts w:ascii="Arial"/>
                <w:sz w:val="21"/>
              </w:rPr>
            </w:pPr>
          </w:p>
          <w:p>
            <w:pPr>
              <w:pStyle w:val="95"/>
              <w:spacing w:before="71" w:line="182" w:lineRule="auto"/>
              <w:ind w:left="243"/>
              <w:rPr>
                <w:sz w:val="22"/>
                <w:szCs w:val="22"/>
              </w:rPr>
            </w:pPr>
            <w:r>
              <w:rPr>
                <w:spacing w:val="-7"/>
                <w:sz w:val="22"/>
                <w:szCs w:val="22"/>
              </w:rPr>
              <w:t>12</w:t>
            </w:r>
          </w:p>
        </w:tc>
        <w:tc>
          <w:tcPr>
            <w:tcW w:w="1099" w:type="dxa"/>
            <w:vMerge w:val="continue"/>
            <w:tcBorders>
              <w:top w:val="nil"/>
              <w:bottom w:val="nil"/>
            </w:tcBorders>
            <w:vAlign w:val="top"/>
          </w:tcPr>
          <w:p>
            <w:pPr>
              <w:rPr>
                <w:rFonts w:ascii="Arial"/>
                <w:sz w:val="21"/>
              </w:rPr>
            </w:pPr>
          </w:p>
        </w:tc>
        <w:tc>
          <w:tcPr>
            <w:tcW w:w="816" w:type="dxa"/>
            <w:vMerge w:val="continue"/>
            <w:tcBorders>
              <w:top w:val="nil"/>
              <w:bottom w:val="nil"/>
            </w:tcBorders>
            <w:vAlign w:val="top"/>
          </w:tcPr>
          <w:p>
            <w:pPr>
              <w:rPr>
                <w:rFonts w:ascii="Arial"/>
                <w:sz w:val="21"/>
              </w:rPr>
            </w:pPr>
          </w:p>
        </w:tc>
        <w:tc>
          <w:tcPr>
            <w:tcW w:w="2637" w:type="dxa"/>
            <w:vMerge w:val="continue"/>
            <w:tcBorders>
              <w:top w:val="nil"/>
            </w:tcBorders>
            <w:vAlign w:val="top"/>
          </w:tcPr>
          <w:p>
            <w:pPr>
              <w:rPr>
                <w:rFonts w:ascii="Arial"/>
                <w:sz w:val="21"/>
              </w:rPr>
            </w:pPr>
          </w:p>
        </w:tc>
        <w:tc>
          <w:tcPr>
            <w:tcW w:w="4616" w:type="dxa"/>
            <w:vAlign w:val="top"/>
          </w:tcPr>
          <w:p>
            <w:pPr>
              <w:spacing w:line="314" w:lineRule="auto"/>
              <w:rPr>
                <w:rFonts w:ascii="Arial"/>
                <w:sz w:val="21"/>
              </w:rPr>
            </w:pPr>
          </w:p>
          <w:p>
            <w:pPr>
              <w:pStyle w:val="95"/>
              <w:spacing w:before="72" w:line="220" w:lineRule="auto"/>
              <w:ind w:left="114"/>
              <w:rPr>
                <w:sz w:val="22"/>
                <w:szCs w:val="22"/>
              </w:rPr>
            </w:pPr>
            <w:r>
              <w:rPr>
                <w:spacing w:val="-2"/>
                <w:sz w:val="22"/>
                <w:szCs w:val="22"/>
              </w:rPr>
              <w:t>单体建筑面积</w:t>
            </w:r>
            <w:r>
              <w:rPr>
                <w:spacing w:val="-108"/>
                <w:sz w:val="22"/>
                <w:szCs w:val="22"/>
              </w:rPr>
              <w:t xml:space="preserve"> </w:t>
            </w:r>
            <w:r>
              <w:rPr>
                <w:spacing w:val="27"/>
                <w:sz w:val="22"/>
                <w:szCs w:val="22"/>
                <w:u w:val="single" w:color="auto"/>
              </w:rPr>
              <w:t xml:space="preserve">    </w:t>
            </w:r>
            <w:r>
              <w:rPr>
                <w:spacing w:val="-100"/>
                <w:sz w:val="22"/>
                <w:szCs w:val="22"/>
              </w:rPr>
              <w:t xml:space="preserve"> </w:t>
            </w:r>
            <w:r>
              <w:rPr>
                <w:spacing w:val="-2"/>
                <w:sz w:val="22"/>
                <w:szCs w:val="22"/>
              </w:rPr>
              <w:t>平方米</w:t>
            </w:r>
          </w:p>
        </w:tc>
        <w:tc>
          <w:tcPr>
            <w:tcW w:w="657" w:type="dxa"/>
            <w:vAlign w:val="top"/>
          </w:tcPr>
          <w:p>
            <w:pPr>
              <w:spacing w:line="314" w:lineRule="auto"/>
              <w:rPr>
                <w:rFonts w:ascii="Arial"/>
                <w:sz w:val="21"/>
              </w:rPr>
            </w:pPr>
          </w:p>
          <w:p>
            <w:pPr>
              <w:pStyle w:val="95"/>
              <w:spacing w:before="72" w:line="220" w:lineRule="auto"/>
              <w:ind w:left="114"/>
              <w:rPr>
                <w:sz w:val="22"/>
                <w:szCs w:val="22"/>
              </w:rPr>
            </w:pPr>
            <w:r>
              <w:rPr>
                <w:spacing w:val="-3"/>
                <w:sz w:val="22"/>
                <w:szCs w:val="22"/>
              </w:rPr>
              <w:t>数值</w:t>
            </w:r>
          </w:p>
        </w:tc>
        <w:tc>
          <w:tcPr>
            <w:tcW w:w="2366" w:type="dxa"/>
            <w:vAlign w:val="top"/>
          </w:tcPr>
          <w:p>
            <w:pPr>
              <w:pStyle w:val="95"/>
              <w:spacing w:before="76" w:line="218" w:lineRule="auto"/>
              <w:ind w:left="114"/>
              <w:rPr>
                <w:sz w:val="22"/>
                <w:szCs w:val="22"/>
              </w:rPr>
            </w:pPr>
            <w:r>
              <w:rPr>
                <w:spacing w:val="-2"/>
                <w:sz w:val="22"/>
                <w:szCs w:val="22"/>
              </w:rPr>
              <w:t>①≥6000，大型</w:t>
            </w:r>
          </w:p>
          <w:p>
            <w:pPr>
              <w:pStyle w:val="95"/>
              <w:spacing w:before="52" w:line="312" w:lineRule="exact"/>
              <w:ind w:left="114"/>
              <w:rPr>
                <w:sz w:val="22"/>
                <w:szCs w:val="22"/>
              </w:rPr>
            </w:pPr>
            <w:r>
              <w:rPr>
                <w:spacing w:val="-2"/>
                <w:position w:val="6"/>
                <w:sz w:val="22"/>
                <w:szCs w:val="22"/>
              </w:rPr>
              <w:t>②200~6000，中型</w:t>
            </w:r>
          </w:p>
          <w:p>
            <w:pPr>
              <w:pStyle w:val="95"/>
              <w:spacing w:line="218" w:lineRule="auto"/>
              <w:ind w:left="114"/>
              <w:rPr>
                <w:sz w:val="22"/>
                <w:szCs w:val="22"/>
              </w:rPr>
            </w:pPr>
            <w:r>
              <w:rPr>
                <w:spacing w:val="-1"/>
                <w:sz w:val="22"/>
                <w:szCs w:val="22"/>
              </w:rPr>
              <w:t>③&lt;200，小型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95" w:hRule="atLeast"/>
        </w:trPr>
        <w:tc>
          <w:tcPr>
            <w:tcW w:w="665" w:type="dxa"/>
            <w:vAlign w:val="top"/>
          </w:tcPr>
          <w:p>
            <w:pPr>
              <w:spacing w:line="349" w:lineRule="auto"/>
              <w:rPr>
                <w:rFonts w:ascii="Arial"/>
                <w:sz w:val="21"/>
              </w:rPr>
            </w:pPr>
          </w:p>
          <w:p>
            <w:pPr>
              <w:pStyle w:val="95"/>
              <w:spacing w:before="72" w:line="182" w:lineRule="auto"/>
              <w:ind w:left="243"/>
              <w:rPr>
                <w:sz w:val="22"/>
                <w:szCs w:val="22"/>
              </w:rPr>
            </w:pPr>
            <w:r>
              <w:rPr>
                <w:spacing w:val="-7"/>
                <w:sz w:val="22"/>
                <w:szCs w:val="22"/>
              </w:rPr>
              <w:t>13</w:t>
            </w:r>
          </w:p>
        </w:tc>
        <w:tc>
          <w:tcPr>
            <w:tcW w:w="1099" w:type="dxa"/>
            <w:vMerge w:val="continue"/>
            <w:tcBorders>
              <w:top w:val="nil"/>
              <w:bottom w:val="nil"/>
            </w:tcBorders>
            <w:vAlign w:val="top"/>
          </w:tcPr>
          <w:p>
            <w:pPr>
              <w:rPr>
                <w:rFonts w:ascii="Arial"/>
                <w:sz w:val="21"/>
              </w:rPr>
            </w:pPr>
          </w:p>
        </w:tc>
        <w:tc>
          <w:tcPr>
            <w:tcW w:w="816" w:type="dxa"/>
            <w:vMerge w:val="continue"/>
            <w:tcBorders>
              <w:top w:val="nil"/>
            </w:tcBorders>
            <w:vAlign w:val="top"/>
          </w:tcPr>
          <w:p>
            <w:pPr>
              <w:rPr>
                <w:rFonts w:ascii="Arial"/>
                <w:sz w:val="21"/>
              </w:rPr>
            </w:pPr>
          </w:p>
        </w:tc>
        <w:tc>
          <w:tcPr>
            <w:tcW w:w="2637" w:type="dxa"/>
            <w:vAlign w:val="top"/>
          </w:tcPr>
          <w:p>
            <w:pPr>
              <w:spacing w:line="312" w:lineRule="auto"/>
              <w:rPr>
                <w:rFonts w:ascii="Arial"/>
                <w:sz w:val="21"/>
              </w:rPr>
            </w:pPr>
          </w:p>
          <w:p>
            <w:pPr>
              <w:pStyle w:val="95"/>
              <w:spacing w:before="72" w:line="221" w:lineRule="auto"/>
              <w:ind w:left="552"/>
              <w:rPr>
                <w:sz w:val="22"/>
                <w:szCs w:val="22"/>
              </w:rPr>
            </w:pPr>
            <w:r>
              <w:rPr>
                <w:spacing w:val="-1"/>
                <w:sz w:val="22"/>
                <w:szCs w:val="22"/>
              </w:rPr>
              <w:t>其他钢结构工程</w:t>
            </w:r>
          </w:p>
        </w:tc>
        <w:tc>
          <w:tcPr>
            <w:tcW w:w="4616" w:type="dxa"/>
            <w:vAlign w:val="top"/>
          </w:tcPr>
          <w:p>
            <w:pPr>
              <w:spacing w:line="313" w:lineRule="auto"/>
              <w:rPr>
                <w:rFonts w:ascii="Arial"/>
                <w:sz w:val="21"/>
              </w:rPr>
            </w:pPr>
          </w:p>
          <w:p>
            <w:pPr>
              <w:pStyle w:val="95"/>
              <w:spacing w:before="71" w:line="220" w:lineRule="auto"/>
              <w:ind w:left="114"/>
              <w:rPr>
                <w:sz w:val="22"/>
                <w:szCs w:val="22"/>
              </w:rPr>
            </w:pPr>
            <w:r>
              <w:rPr>
                <w:spacing w:val="-2"/>
                <w:sz w:val="22"/>
                <w:szCs w:val="22"/>
              </w:rPr>
              <w:t>单项工程合同额</w:t>
            </w:r>
            <w:r>
              <w:rPr>
                <w:spacing w:val="-108"/>
                <w:sz w:val="22"/>
                <w:szCs w:val="22"/>
              </w:rPr>
              <w:t xml:space="preserve"> </w:t>
            </w:r>
            <w:r>
              <w:rPr>
                <w:spacing w:val="27"/>
                <w:sz w:val="22"/>
                <w:szCs w:val="22"/>
                <w:u w:val="single" w:color="auto"/>
              </w:rPr>
              <w:t xml:space="preserve">    </w:t>
            </w:r>
            <w:r>
              <w:rPr>
                <w:spacing w:val="-94"/>
                <w:sz w:val="22"/>
                <w:szCs w:val="22"/>
              </w:rPr>
              <w:t xml:space="preserve"> </w:t>
            </w:r>
            <w:r>
              <w:rPr>
                <w:spacing w:val="-2"/>
                <w:sz w:val="22"/>
                <w:szCs w:val="22"/>
              </w:rPr>
              <w:t>万元</w:t>
            </w:r>
          </w:p>
        </w:tc>
        <w:tc>
          <w:tcPr>
            <w:tcW w:w="657" w:type="dxa"/>
            <w:vAlign w:val="top"/>
          </w:tcPr>
          <w:p>
            <w:pPr>
              <w:spacing w:line="313" w:lineRule="auto"/>
              <w:rPr>
                <w:rFonts w:ascii="Arial"/>
                <w:sz w:val="21"/>
              </w:rPr>
            </w:pPr>
          </w:p>
          <w:p>
            <w:pPr>
              <w:pStyle w:val="95"/>
              <w:spacing w:before="71" w:line="220" w:lineRule="auto"/>
              <w:ind w:left="114"/>
              <w:rPr>
                <w:sz w:val="22"/>
                <w:szCs w:val="22"/>
              </w:rPr>
            </w:pPr>
            <w:r>
              <w:rPr>
                <w:spacing w:val="-3"/>
                <w:sz w:val="22"/>
                <w:szCs w:val="22"/>
              </w:rPr>
              <w:t>数值</w:t>
            </w:r>
          </w:p>
        </w:tc>
        <w:tc>
          <w:tcPr>
            <w:tcW w:w="2366" w:type="dxa"/>
            <w:vAlign w:val="top"/>
          </w:tcPr>
          <w:p>
            <w:pPr>
              <w:pStyle w:val="95"/>
              <w:spacing w:before="74" w:line="218" w:lineRule="auto"/>
              <w:ind w:left="114"/>
              <w:rPr>
                <w:sz w:val="22"/>
                <w:szCs w:val="22"/>
              </w:rPr>
            </w:pPr>
            <w:r>
              <w:rPr>
                <w:spacing w:val="-2"/>
                <w:sz w:val="22"/>
                <w:szCs w:val="22"/>
              </w:rPr>
              <w:t>①≥3000，大型</w:t>
            </w:r>
          </w:p>
          <w:p>
            <w:pPr>
              <w:pStyle w:val="95"/>
              <w:spacing w:before="52" w:line="312" w:lineRule="exact"/>
              <w:ind w:left="114"/>
              <w:rPr>
                <w:sz w:val="22"/>
                <w:szCs w:val="22"/>
              </w:rPr>
            </w:pPr>
            <w:r>
              <w:rPr>
                <w:spacing w:val="-2"/>
                <w:position w:val="6"/>
                <w:sz w:val="22"/>
                <w:szCs w:val="22"/>
              </w:rPr>
              <w:t>②300~3000，中型</w:t>
            </w:r>
          </w:p>
          <w:p>
            <w:pPr>
              <w:pStyle w:val="95"/>
              <w:spacing w:line="218" w:lineRule="auto"/>
              <w:ind w:left="114"/>
              <w:rPr>
                <w:sz w:val="22"/>
                <w:szCs w:val="22"/>
              </w:rPr>
            </w:pPr>
            <w:r>
              <w:rPr>
                <w:spacing w:val="-1"/>
                <w:sz w:val="22"/>
                <w:szCs w:val="22"/>
              </w:rPr>
              <w:t>③&lt;300，小型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93" w:hRule="atLeast"/>
        </w:trPr>
        <w:tc>
          <w:tcPr>
            <w:tcW w:w="665" w:type="dxa"/>
            <w:vAlign w:val="top"/>
          </w:tcPr>
          <w:p>
            <w:pPr>
              <w:spacing w:line="350" w:lineRule="auto"/>
              <w:rPr>
                <w:rFonts w:ascii="Arial"/>
                <w:sz w:val="21"/>
              </w:rPr>
            </w:pPr>
          </w:p>
          <w:p>
            <w:pPr>
              <w:pStyle w:val="95"/>
              <w:spacing w:before="72" w:line="182" w:lineRule="auto"/>
              <w:ind w:left="243"/>
              <w:rPr>
                <w:sz w:val="22"/>
                <w:szCs w:val="22"/>
              </w:rPr>
            </w:pPr>
            <w:r>
              <w:rPr>
                <w:spacing w:val="-7"/>
                <w:sz w:val="22"/>
                <w:szCs w:val="22"/>
              </w:rPr>
              <w:t>14</w:t>
            </w:r>
          </w:p>
        </w:tc>
        <w:tc>
          <w:tcPr>
            <w:tcW w:w="1099" w:type="dxa"/>
            <w:vMerge w:val="continue"/>
            <w:tcBorders>
              <w:top w:val="nil"/>
              <w:bottom w:val="nil"/>
            </w:tcBorders>
            <w:vAlign w:val="top"/>
          </w:tcPr>
          <w:p>
            <w:pPr>
              <w:rPr>
                <w:rFonts w:ascii="Arial"/>
                <w:sz w:val="21"/>
              </w:rPr>
            </w:pPr>
          </w:p>
        </w:tc>
        <w:tc>
          <w:tcPr>
            <w:tcW w:w="816" w:type="dxa"/>
            <w:vMerge w:val="restart"/>
            <w:tcBorders>
              <w:bottom w:val="nil"/>
            </w:tcBorders>
            <w:vAlign w:val="top"/>
          </w:tcPr>
          <w:p>
            <w:pPr>
              <w:spacing w:line="359" w:lineRule="auto"/>
              <w:rPr>
                <w:rFonts w:ascii="Arial"/>
                <w:sz w:val="21"/>
              </w:rPr>
            </w:pPr>
          </w:p>
          <w:p>
            <w:pPr>
              <w:spacing w:line="360" w:lineRule="auto"/>
              <w:rPr>
                <w:rFonts w:ascii="Arial"/>
                <w:sz w:val="21"/>
              </w:rPr>
            </w:pPr>
          </w:p>
          <w:p>
            <w:pPr>
              <w:pStyle w:val="95"/>
              <w:spacing w:before="71" w:line="222" w:lineRule="auto"/>
              <w:ind w:left="194"/>
              <w:rPr>
                <w:sz w:val="22"/>
                <w:szCs w:val="22"/>
              </w:rPr>
            </w:pPr>
            <w:r>
              <w:rPr>
                <w:spacing w:val="-6"/>
                <w:sz w:val="22"/>
                <w:szCs w:val="22"/>
              </w:rPr>
              <w:t>一般</w:t>
            </w:r>
          </w:p>
          <w:p>
            <w:pPr>
              <w:pStyle w:val="95"/>
              <w:spacing w:before="47" w:line="312" w:lineRule="exact"/>
              <w:ind w:left="304"/>
              <w:rPr>
                <w:sz w:val="22"/>
                <w:szCs w:val="22"/>
              </w:rPr>
            </w:pPr>
            <w:r>
              <w:rPr>
                <w:position w:val="6"/>
                <w:sz w:val="22"/>
                <w:szCs w:val="22"/>
              </w:rPr>
              <w:t>工</w:t>
            </w:r>
          </w:p>
          <w:p>
            <w:pPr>
              <w:pStyle w:val="95"/>
              <w:spacing w:line="232" w:lineRule="auto"/>
              <w:ind w:left="190"/>
              <w:rPr>
                <w:sz w:val="22"/>
                <w:szCs w:val="22"/>
              </w:rPr>
            </w:pPr>
            <w:r>
              <w:rPr>
                <w:spacing w:val="-10"/>
                <w:sz w:val="22"/>
                <w:szCs w:val="22"/>
              </w:rPr>
              <w:t>业、</w:t>
            </w:r>
          </w:p>
          <w:p>
            <w:pPr>
              <w:pStyle w:val="95"/>
              <w:spacing w:before="35" w:line="312" w:lineRule="exact"/>
              <w:ind w:left="323"/>
              <w:rPr>
                <w:sz w:val="22"/>
                <w:szCs w:val="22"/>
              </w:rPr>
            </w:pPr>
            <w:r>
              <w:rPr>
                <w:position w:val="6"/>
                <w:sz w:val="22"/>
                <w:szCs w:val="22"/>
              </w:rPr>
              <w:t>民</w:t>
            </w:r>
          </w:p>
          <w:p>
            <w:pPr>
              <w:pStyle w:val="95"/>
              <w:spacing w:before="1" w:line="221" w:lineRule="auto"/>
              <w:ind w:left="192"/>
              <w:rPr>
                <w:sz w:val="22"/>
                <w:szCs w:val="22"/>
              </w:rPr>
            </w:pPr>
            <w:r>
              <w:rPr>
                <w:spacing w:val="-11"/>
                <w:sz w:val="22"/>
                <w:szCs w:val="22"/>
              </w:rPr>
              <w:t>用、</w:t>
            </w:r>
          </w:p>
          <w:p>
            <w:pPr>
              <w:pStyle w:val="95"/>
              <w:spacing w:before="47" w:line="222" w:lineRule="auto"/>
              <w:ind w:left="198"/>
              <w:rPr>
                <w:sz w:val="22"/>
                <w:szCs w:val="22"/>
              </w:rPr>
            </w:pPr>
            <w:r>
              <w:rPr>
                <w:spacing w:val="-4"/>
                <w:sz w:val="22"/>
                <w:szCs w:val="22"/>
              </w:rPr>
              <w:t>公用</w:t>
            </w:r>
          </w:p>
          <w:p>
            <w:pPr>
              <w:pStyle w:val="95"/>
              <w:spacing w:before="47" w:line="222" w:lineRule="auto"/>
              <w:ind w:left="193"/>
              <w:rPr>
                <w:sz w:val="22"/>
                <w:szCs w:val="22"/>
              </w:rPr>
            </w:pPr>
            <w:r>
              <w:rPr>
                <w:spacing w:val="-3"/>
                <w:sz w:val="22"/>
                <w:szCs w:val="22"/>
              </w:rPr>
              <w:t>建设</w:t>
            </w:r>
          </w:p>
          <w:p>
            <w:pPr>
              <w:pStyle w:val="95"/>
              <w:spacing w:before="49" w:line="221" w:lineRule="auto"/>
              <w:ind w:left="193"/>
              <w:rPr>
                <w:sz w:val="22"/>
                <w:szCs w:val="22"/>
              </w:rPr>
            </w:pPr>
            <w:r>
              <w:rPr>
                <w:spacing w:val="-3"/>
                <w:sz w:val="22"/>
                <w:szCs w:val="22"/>
              </w:rPr>
              <w:t>工程</w:t>
            </w:r>
          </w:p>
        </w:tc>
        <w:tc>
          <w:tcPr>
            <w:tcW w:w="2637" w:type="dxa"/>
            <w:vAlign w:val="top"/>
          </w:tcPr>
          <w:p>
            <w:pPr>
              <w:spacing w:line="314" w:lineRule="auto"/>
              <w:rPr>
                <w:rFonts w:ascii="Arial"/>
                <w:sz w:val="21"/>
              </w:rPr>
            </w:pPr>
          </w:p>
          <w:p>
            <w:pPr>
              <w:pStyle w:val="95"/>
              <w:spacing w:before="72" w:line="219" w:lineRule="auto"/>
              <w:ind w:left="660"/>
              <w:rPr>
                <w:sz w:val="22"/>
                <w:szCs w:val="22"/>
              </w:rPr>
            </w:pPr>
            <w:r>
              <w:rPr>
                <w:spacing w:val="-1"/>
                <w:sz w:val="22"/>
                <w:szCs w:val="22"/>
              </w:rPr>
              <w:t>机电安装工程</w:t>
            </w:r>
          </w:p>
        </w:tc>
        <w:tc>
          <w:tcPr>
            <w:tcW w:w="4616" w:type="dxa"/>
            <w:vAlign w:val="top"/>
          </w:tcPr>
          <w:p>
            <w:pPr>
              <w:spacing w:line="313" w:lineRule="auto"/>
              <w:rPr>
                <w:rFonts w:ascii="Arial"/>
                <w:sz w:val="21"/>
              </w:rPr>
            </w:pPr>
          </w:p>
          <w:p>
            <w:pPr>
              <w:pStyle w:val="95"/>
              <w:spacing w:before="72" w:line="219" w:lineRule="auto"/>
              <w:ind w:left="114"/>
              <w:rPr>
                <w:sz w:val="22"/>
                <w:szCs w:val="22"/>
              </w:rPr>
            </w:pPr>
            <w:r>
              <w:rPr>
                <w:spacing w:val="-2"/>
                <w:sz w:val="22"/>
                <w:szCs w:val="22"/>
              </w:rPr>
              <w:t>单项工程造价</w:t>
            </w:r>
            <w:r>
              <w:rPr>
                <w:spacing w:val="-110"/>
                <w:sz w:val="22"/>
                <w:szCs w:val="22"/>
              </w:rPr>
              <w:t xml:space="preserve"> </w:t>
            </w:r>
            <w:r>
              <w:rPr>
                <w:spacing w:val="27"/>
                <w:sz w:val="22"/>
                <w:szCs w:val="22"/>
                <w:u w:val="single" w:color="auto"/>
              </w:rPr>
              <w:t xml:space="preserve">    </w:t>
            </w:r>
            <w:r>
              <w:rPr>
                <w:spacing w:val="-94"/>
                <w:sz w:val="22"/>
                <w:szCs w:val="22"/>
              </w:rPr>
              <w:t xml:space="preserve"> </w:t>
            </w:r>
            <w:r>
              <w:rPr>
                <w:spacing w:val="-2"/>
                <w:sz w:val="22"/>
                <w:szCs w:val="22"/>
              </w:rPr>
              <w:t>万元</w:t>
            </w:r>
          </w:p>
        </w:tc>
        <w:tc>
          <w:tcPr>
            <w:tcW w:w="657" w:type="dxa"/>
            <w:vAlign w:val="top"/>
          </w:tcPr>
          <w:p>
            <w:pPr>
              <w:spacing w:line="314" w:lineRule="auto"/>
              <w:rPr>
                <w:rFonts w:ascii="Arial"/>
                <w:sz w:val="21"/>
              </w:rPr>
            </w:pPr>
          </w:p>
          <w:p>
            <w:pPr>
              <w:pStyle w:val="95"/>
              <w:spacing w:before="72" w:line="220" w:lineRule="auto"/>
              <w:ind w:left="114"/>
              <w:rPr>
                <w:sz w:val="22"/>
                <w:szCs w:val="22"/>
              </w:rPr>
            </w:pPr>
            <w:r>
              <w:rPr>
                <w:spacing w:val="-3"/>
                <w:sz w:val="22"/>
                <w:szCs w:val="22"/>
              </w:rPr>
              <w:t>数值</w:t>
            </w:r>
          </w:p>
        </w:tc>
        <w:tc>
          <w:tcPr>
            <w:tcW w:w="2366" w:type="dxa"/>
            <w:vAlign w:val="top"/>
          </w:tcPr>
          <w:p>
            <w:pPr>
              <w:pStyle w:val="95"/>
              <w:spacing w:before="75" w:line="218" w:lineRule="auto"/>
              <w:ind w:left="114"/>
              <w:rPr>
                <w:sz w:val="22"/>
                <w:szCs w:val="22"/>
              </w:rPr>
            </w:pPr>
            <w:r>
              <w:rPr>
                <w:spacing w:val="-2"/>
                <w:sz w:val="22"/>
                <w:szCs w:val="22"/>
              </w:rPr>
              <w:t>①≥1500，大型</w:t>
            </w:r>
          </w:p>
          <w:p>
            <w:pPr>
              <w:pStyle w:val="95"/>
              <w:spacing w:before="52" w:line="312" w:lineRule="exact"/>
              <w:ind w:left="114"/>
              <w:rPr>
                <w:sz w:val="22"/>
                <w:szCs w:val="22"/>
              </w:rPr>
            </w:pPr>
            <w:r>
              <w:rPr>
                <w:spacing w:val="-2"/>
                <w:position w:val="6"/>
                <w:sz w:val="22"/>
                <w:szCs w:val="22"/>
              </w:rPr>
              <w:t>②200~1500，中型</w:t>
            </w:r>
          </w:p>
          <w:p>
            <w:pPr>
              <w:pStyle w:val="95"/>
              <w:spacing w:line="218" w:lineRule="auto"/>
              <w:ind w:left="114"/>
              <w:rPr>
                <w:sz w:val="22"/>
                <w:szCs w:val="22"/>
              </w:rPr>
            </w:pPr>
            <w:r>
              <w:rPr>
                <w:spacing w:val="-1"/>
                <w:sz w:val="22"/>
                <w:szCs w:val="22"/>
              </w:rPr>
              <w:t>③&lt;200，小型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95" w:hRule="atLeast"/>
        </w:trPr>
        <w:tc>
          <w:tcPr>
            <w:tcW w:w="665" w:type="dxa"/>
            <w:vAlign w:val="top"/>
          </w:tcPr>
          <w:p>
            <w:pPr>
              <w:spacing w:line="353" w:lineRule="auto"/>
              <w:rPr>
                <w:rFonts w:ascii="Arial"/>
                <w:sz w:val="21"/>
              </w:rPr>
            </w:pPr>
          </w:p>
          <w:p>
            <w:pPr>
              <w:pStyle w:val="95"/>
              <w:spacing w:before="72" w:line="182" w:lineRule="auto"/>
              <w:ind w:left="243"/>
              <w:rPr>
                <w:sz w:val="22"/>
                <w:szCs w:val="22"/>
              </w:rPr>
            </w:pPr>
            <w:r>
              <w:rPr>
                <w:spacing w:val="-7"/>
                <w:sz w:val="22"/>
                <w:szCs w:val="22"/>
              </w:rPr>
              <w:t>15</w:t>
            </w:r>
          </w:p>
        </w:tc>
        <w:tc>
          <w:tcPr>
            <w:tcW w:w="1099" w:type="dxa"/>
            <w:vMerge w:val="continue"/>
            <w:tcBorders>
              <w:top w:val="nil"/>
              <w:bottom w:val="nil"/>
            </w:tcBorders>
            <w:vAlign w:val="top"/>
          </w:tcPr>
          <w:p>
            <w:pPr>
              <w:rPr>
                <w:rFonts w:ascii="Arial"/>
                <w:sz w:val="21"/>
              </w:rPr>
            </w:pPr>
          </w:p>
        </w:tc>
        <w:tc>
          <w:tcPr>
            <w:tcW w:w="816" w:type="dxa"/>
            <w:vMerge w:val="continue"/>
            <w:tcBorders>
              <w:top w:val="nil"/>
              <w:bottom w:val="nil"/>
            </w:tcBorders>
            <w:vAlign w:val="top"/>
          </w:tcPr>
          <w:p>
            <w:pPr>
              <w:rPr>
                <w:rFonts w:ascii="Arial"/>
                <w:sz w:val="21"/>
              </w:rPr>
            </w:pPr>
          </w:p>
        </w:tc>
        <w:tc>
          <w:tcPr>
            <w:tcW w:w="2637" w:type="dxa"/>
            <w:vMerge w:val="restart"/>
            <w:tcBorders>
              <w:bottom w:val="nil"/>
            </w:tcBorders>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95"/>
              <w:spacing w:before="71" w:line="221" w:lineRule="auto"/>
              <w:ind w:left="661"/>
              <w:rPr>
                <w:sz w:val="22"/>
                <w:szCs w:val="22"/>
              </w:rPr>
            </w:pPr>
            <w:r>
              <w:rPr>
                <w:spacing w:val="-1"/>
                <w:sz w:val="22"/>
                <w:szCs w:val="22"/>
              </w:rPr>
              <w:t>通风空调工程</w:t>
            </w:r>
          </w:p>
        </w:tc>
        <w:tc>
          <w:tcPr>
            <w:tcW w:w="4616" w:type="dxa"/>
            <w:vAlign w:val="top"/>
          </w:tcPr>
          <w:p>
            <w:pPr>
              <w:spacing w:line="317" w:lineRule="auto"/>
              <w:rPr>
                <w:rFonts w:ascii="Arial"/>
                <w:sz w:val="21"/>
              </w:rPr>
            </w:pPr>
          </w:p>
          <w:p>
            <w:pPr>
              <w:pStyle w:val="95"/>
              <w:spacing w:before="71" w:line="220" w:lineRule="auto"/>
              <w:ind w:left="115"/>
              <w:rPr>
                <w:sz w:val="22"/>
                <w:szCs w:val="22"/>
              </w:rPr>
            </w:pPr>
            <w:r>
              <w:rPr>
                <w:spacing w:val="-2"/>
                <w:sz w:val="22"/>
                <w:szCs w:val="22"/>
              </w:rPr>
              <w:t>建筑面积</w:t>
            </w:r>
            <w:r>
              <w:rPr>
                <w:spacing w:val="-2"/>
                <w:sz w:val="22"/>
                <w:szCs w:val="22"/>
                <w:u w:val="single" w:color="auto"/>
              </w:rPr>
              <w:t xml:space="preserve">     </w:t>
            </w:r>
            <w:r>
              <w:rPr>
                <w:spacing w:val="-93"/>
                <w:sz w:val="22"/>
                <w:szCs w:val="22"/>
              </w:rPr>
              <w:t xml:space="preserve"> </w:t>
            </w:r>
            <w:r>
              <w:rPr>
                <w:spacing w:val="-2"/>
                <w:sz w:val="22"/>
                <w:szCs w:val="22"/>
              </w:rPr>
              <w:t>万平方米</w:t>
            </w:r>
          </w:p>
        </w:tc>
        <w:tc>
          <w:tcPr>
            <w:tcW w:w="657" w:type="dxa"/>
            <w:vAlign w:val="top"/>
          </w:tcPr>
          <w:p>
            <w:pPr>
              <w:spacing w:line="317" w:lineRule="auto"/>
              <w:rPr>
                <w:rFonts w:ascii="Arial"/>
                <w:sz w:val="21"/>
              </w:rPr>
            </w:pPr>
          </w:p>
          <w:p>
            <w:pPr>
              <w:pStyle w:val="95"/>
              <w:spacing w:before="71" w:line="220" w:lineRule="auto"/>
              <w:ind w:left="114"/>
              <w:rPr>
                <w:sz w:val="22"/>
                <w:szCs w:val="22"/>
              </w:rPr>
            </w:pPr>
            <w:r>
              <w:rPr>
                <w:spacing w:val="-3"/>
                <w:sz w:val="22"/>
                <w:szCs w:val="22"/>
              </w:rPr>
              <w:t>数值</w:t>
            </w:r>
          </w:p>
        </w:tc>
        <w:tc>
          <w:tcPr>
            <w:tcW w:w="2366" w:type="dxa"/>
            <w:vAlign w:val="top"/>
          </w:tcPr>
          <w:p>
            <w:pPr>
              <w:pStyle w:val="95"/>
              <w:spacing w:before="78" w:line="312" w:lineRule="exact"/>
              <w:ind w:left="114"/>
              <w:rPr>
                <w:sz w:val="22"/>
                <w:szCs w:val="22"/>
              </w:rPr>
            </w:pPr>
            <w:r>
              <w:rPr>
                <w:spacing w:val="-3"/>
                <w:position w:val="6"/>
                <w:sz w:val="22"/>
                <w:szCs w:val="22"/>
              </w:rPr>
              <w:t>①≥2，大型</w:t>
            </w:r>
          </w:p>
          <w:p>
            <w:pPr>
              <w:pStyle w:val="95"/>
              <w:spacing w:line="218" w:lineRule="auto"/>
              <w:ind w:left="114"/>
              <w:rPr>
                <w:sz w:val="22"/>
                <w:szCs w:val="22"/>
              </w:rPr>
            </w:pPr>
            <w:r>
              <w:rPr>
                <w:spacing w:val="-3"/>
                <w:sz w:val="22"/>
                <w:szCs w:val="22"/>
              </w:rPr>
              <w:t>②1~2，中型</w:t>
            </w:r>
          </w:p>
          <w:p>
            <w:pPr>
              <w:pStyle w:val="95"/>
              <w:spacing w:before="52" w:line="218" w:lineRule="auto"/>
              <w:ind w:left="114"/>
              <w:rPr>
                <w:sz w:val="22"/>
                <w:szCs w:val="22"/>
              </w:rPr>
            </w:pPr>
            <w:r>
              <w:rPr>
                <w:spacing w:val="-4"/>
                <w:sz w:val="22"/>
                <w:szCs w:val="22"/>
              </w:rPr>
              <w:t>③&lt;1，小型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96" w:hRule="atLeast"/>
        </w:trPr>
        <w:tc>
          <w:tcPr>
            <w:tcW w:w="665" w:type="dxa"/>
            <w:vAlign w:val="top"/>
          </w:tcPr>
          <w:p>
            <w:pPr>
              <w:spacing w:line="351" w:lineRule="auto"/>
              <w:rPr>
                <w:rFonts w:ascii="Arial"/>
                <w:sz w:val="21"/>
              </w:rPr>
            </w:pPr>
          </w:p>
          <w:p>
            <w:pPr>
              <w:pStyle w:val="95"/>
              <w:spacing w:before="72" w:line="182" w:lineRule="auto"/>
              <w:ind w:left="243"/>
              <w:rPr>
                <w:sz w:val="22"/>
                <w:szCs w:val="22"/>
              </w:rPr>
            </w:pPr>
            <w:r>
              <w:rPr>
                <w:spacing w:val="-7"/>
                <w:sz w:val="22"/>
                <w:szCs w:val="22"/>
              </w:rPr>
              <w:t>16</w:t>
            </w:r>
          </w:p>
        </w:tc>
        <w:tc>
          <w:tcPr>
            <w:tcW w:w="1099" w:type="dxa"/>
            <w:vMerge w:val="continue"/>
            <w:tcBorders>
              <w:top w:val="nil"/>
              <w:bottom w:val="nil"/>
            </w:tcBorders>
            <w:vAlign w:val="top"/>
          </w:tcPr>
          <w:p>
            <w:pPr>
              <w:rPr>
                <w:rFonts w:ascii="Arial"/>
                <w:sz w:val="21"/>
              </w:rPr>
            </w:pPr>
          </w:p>
        </w:tc>
        <w:tc>
          <w:tcPr>
            <w:tcW w:w="816" w:type="dxa"/>
            <w:vMerge w:val="continue"/>
            <w:tcBorders>
              <w:top w:val="nil"/>
              <w:bottom w:val="nil"/>
            </w:tcBorders>
            <w:vAlign w:val="top"/>
          </w:tcPr>
          <w:p>
            <w:pPr>
              <w:rPr>
                <w:rFonts w:ascii="Arial"/>
                <w:sz w:val="21"/>
              </w:rPr>
            </w:pPr>
          </w:p>
        </w:tc>
        <w:tc>
          <w:tcPr>
            <w:tcW w:w="2637" w:type="dxa"/>
            <w:vMerge w:val="continue"/>
            <w:tcBorders>
              <w:top w:val="nil"/>
              <w:bottom w:val="nil"/>
            </w:tcBorders>
            <w:vAlign w:val="top"/>
          </w:tcPr>
          <w:p>
            <w:pPr>
              <w:rPr>
                <w:rFonts w:ascii="Arial"/>
                <w:sz w:val="21"/>
              </w:rPr>
            </w:pPr>
          </w:p>
        </w:tc>
        <w:tc>
          <w:tcPr>
            <w:tcW w:w="4616" w:type="dxa"/>
            <w:vAlign w:val="top"/>
          </w:tcPr>
          <w:p>
            <w:pPr>
              <w:spacing w:line="315" w:lineRule="auto"/>
              <w:rPr>
                <w:rFonts w:ascii="Arial"/>
                <w:sz w:val="21"/>
              </w:rPr>
            </w:pPr>
          </w:p>
          <w:p>
            <w:pPr>
              <w:pStyle w:val="95"/>
              <w:spacing w:before="71" w:line="219" w:lineRule="auto"/>
              <w:ind w:left="114"/>
              <w:rPr>
                <w:sz w:val="22"/>
                <w:szCs w:val="22"/>
              </w:rPr>
            </w:pPr>
            <w:r>
              <w:rPr>
                <w:spacing w:val="-2"/>
                <w:sz w:val="22"/>
                <w:szCs w:val="22"/>
              </w:rPr>
              <w:t>单项工程造价</w:t>
            </w:r>
            <w:r>
              <w:rPr>
                <w:spacing w:val="-110"/>
                <w:sz w:val="22"/>
                <w:szCs w:val="22"/>
              </w:rPr>
              <w:t xml:space="preserve"> </w:t>
            </w:r>
            <w:r>
              <w:rPr>
                <w:spacing w:val="27"/>
                <w:sz w:val="22"/>
                <w:szCs w:val="22"/>
                <w:u w:val="single" w:color="auto"/>
              </w:rPr>
              <w:t xml:space="preserve">    </w:t>
            </w:r>
            <w:r>
              <w:rPr>
                <w:spacing w:val="-94"/>
                <w:sz w:val="22"/>
                <w:szCs w:val="22"/>
              </w:rPr>
              <w:t xml:space="preserve"> </w:t>
            </w:r>
            <w:r>
              <w:rPr>
                <w:spacing w:val="-2"/>
                <w:sz w:val="22"/>
                <w:szCs w:val="22"/>
              </w:rPr>
              <w:t>万元</w:t>
            </w:r>
          </w:p>
        </w:tc>
        <w:tc>
          <w:tcPr>
            <w:tcW w:w="657" w:type="dxa"/>
            <w:vAlign w:val="top"/>
          </w:tcPr>
          <w:p>
            <w:pPr>
              <w:spacing w:line="315" w:lineRule="auto"/>
              <w:rPr>
                <w:rFonts w:ascii="Arial"/>
                <w:sz w:val="21"/>
              </w:rPr>
            </w:pPr>
          </w:p>
          <w:p>
            <w:pPr>
              <w:pStyle w:val="95"/>
              <w:spacing w:before="72" w:line="220" w:lineRule="auto"/>
              <w:ind w:left="114"/>
              <w:rPr>
                <w:sz w:val="22"/>
                <w:szCs w:val="22"/>
              </w:rPr>
            </w:pPr>
            <w:r>
              <w:rPr>
                <w:spacing w:val="-3"/>
                <w:sz w:val="22"/>
                <w:szCs w:val="22"/>
              </w:rPr>
              <w:t>数值</w:t>
            </w:r>
          </w:p>
        </w:tc>
        <w:tc>
          <w:tcPr>
            <w:tcW w:w="2366" w:type="dxa"/>
            <w:vAlign w:val="top"/>
          </w:tcPr>
          <w:p>
            <w:pPr>
              <w:pStyle w:val="95"/>
              <w:spacing w:before="76" w:line="218" w:lineRule="auto"/>
              <w:ind w:left="114"/>
              <w:rPr>
                <w:sz w:val="22"/>
                <w:szCs w:val="22"/>
              </w:rPr>
            </w:pPr>
            <w:r>
              <w:rPr>
                <w:spacing w:val="-2"/>
                <w:sz w:val="22"/>
                <w:szCs w:val="22"/>
              </w:rPr>
              <w:t>①≥1000，大型</w:t>
            </w:r>
          </w:p>
          <w:p>
            <w:pPr>
              <w:pStyle w:val="95"/>
              <w:spacing w:before="52" w:line="312" w:lineRule="exact"/>
              <w:ind w:left="114"/>
              <w:rPr>
                <w:sz w:val="22"/>
                <w:szCs w:val="22"/>
              </w:rPr>
            </w:pPr>
            <w:r>
              <w:rPr>
                <w:spacing w:val="-2"/>
                <w:position w:val="6"/>
                <w:sz w:val="22"/>
                <w:szCs w:val="22"/>
              </w:rPr>
              <w:t>②200~1000，中型</w:t>
            </w:r>
          </w:p>
          <w:p>
            <w:pPr>
              <w:pStyle w:val="95"/>
              <w:spacing w:line="218" w:lineRule="auto"/>
              <w:ind w:left="114"/>
              <w:rPr>
                <w:sz w:val="22"/>
                <w:szCs w:val="22"/>
              </w:rPr>
            </w:pPr>
            <w:r>
              <w:rPr>
                <w:spacing w:val="-1"/>
                <w:sz w:val="22"/>
                <w:szCs w:val="22"/>
              </w:rPr>
              <w:t>③&lt;200，小型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98" w:hRule="atLeast"/>
        </w:trPr>
        <w:tc>
          <w:tcPr>
            <w:tcW w:w="665" w:type="dxa"/>
            <w:vAlign w:val="top"/>
          </w:tcPr>
          <w:p>
            <w:pPr>
              <w:spacing w:line="352" w:lineRule="auto"/>
              <w:rPr>
                <w:rFonts w:ascii="Arial"/>
                <w:sz w:val="21"/>
              </w:rPr>
            </w:pPr>
          </w:p>
          <w:p>
            <w:pPr>
              <w:pStyle w:val="95"/>
              <w:spacing w:before="71" w:line="182" w:lineRule="auto"/>
              <w:ind w:left="243"/>
              <w:rPr>
                <w:sz w:val="22"/>
                <w:szCs w:val="22"/>
              </w:rPr>
            </w:pPr>
            <w:r>
              <w:rPr>
                <w:spacing w:val="-7"/>
                <w:sz w:val="22"/>
                <w:szCs w:val="22"/>
              </w:rPr>
              <w:t>17</w:t>
            </w:r>
          </w:p>
        </w:tc>
        <w:tc>
          <w:tcPr>
            <w:tcW w:w="1099" w:type="dxa"/>
            <w:vMerge w:val="continue"/>
            <w:tcBorders>
              <w:top w:val="nil"/>
            </w:tcBorders>
            <w:vAlign w:val="top"/>
          </w:tcPr>
          <w:p>
            <w:pPr>
              <w:rPr>
                <w:rFonts w:ascii="Arial"/>
                <w:sz w:val="21"/>
              </w:rPr>
            </w:pPr>
          </w:p>
        </w:tc>
        <w:tc>
          <w:tcPr>
            <w:tcW w:w="816" w:type="dxa"/>
            <w:vMerge w:val="continue"/>
            <w:tcBorders>
              <w:top w:val="nil"/>
            </w:tcBorders>
            <w:vAlign w:val="top"/>
          </w:tcPr>
          <w:p>
            <w:pPr>
              <w:rPr>
                <w:rFonts w:ascii="Arial"/>
                <w:sz w:val="21"/>
              </w:rPr>
            </w:pPr>
          </w:p>
        </w:tc>
        <w:tc>
          <w:tcPr>
            <w:tcW w:w="2637" w:type="dxa"/>
            <w:vMerge w:val="continue"/>
            <w:tcBorders>
              <w:top w:val="nil"/>
            </w:tcBorders>
            <w:vAlign w:val="top"/>
          </w:tcPr>
          <w:p>
            <w:pPr>
              <w:rPr>
                <w:rFonts w:ascii="Arial"/>
                <w:sz w:val="21"/>
              </w:rPr>
            </w:pPr>
          </w:p>
        </w:tc>
        <w:tc>
          <w:tcPr>
            <w:tcW w:w="4616" w:type="dxa"/>
            <w:vAlign w:val="top"/>
          </w:tcPr>
          <w:p>
            <w:pPr>
              <w:spacing w:line="315" w:lineRule="auto"/>
              <w:rPr>
                <w:rFonts w:ascii="Arial"/>
                <w:sz w:val="21"/>
              </w:rPr>
            </w:pPr>
          </w:p>
          <w:p>
            <w:pPr>
              <w:pStyle w:val="95"/>
              <w:spacing w:before="72" w:line="221" w:lineRule="auto"/>
              <w:ind w:left="120"/>
              <w:rPr>
                <w:sz w:val="22"/>
                <w:szCs w:val="22"/>
              </w:rPr>
            </w:pPr>
            <w:r>
              <w:rPr>
                <w:spacing w:val="-3"/>
                <w:sz w:val="22"/>
                <w:szCs w:val="22"/>
              </w:rPr>
              <w:t>空调制冷量</w:t>
            </w:r>
            <w:r>
              <w:rPr>
                <w:spacing w:val="-109"/>
                <w:sz w:val="22"/>
                <w:szCs w:val="22"/>
              </w:rPr>
              <w:t xml:space="preserve"> </w:t>
            </w:r>
            <w:r>
              <w:rPr>
                <w:sz w:val="22"/>
                <w:szCs w:val="22"/>
                <w:u w:val="single" w:color="auto"/>
              </w:rPr>
              <w:t xml:space="preserve">     </w:t>
            </w:r>
            <w:r>
              <w:rPr>
                <w:spacing w:val="-100"/>
                <w:sz w:val="22"/>
                <w:szCs w:val="22"/>
              </w:rPr>
              <w:t xml:space="preserve"> </w:t>
            </w:r>
            <w:r>
              <w:rPr>
                <w:spacing w:val="-3"/>
                <w:sz w:val="22"/>
                <w:szCs w:val="22"/>
              </w:rPr>
              <w:t>冷吨</w:t>
            </w:r>
          </w:p>
        </w:tc>
        <w:tc>
          <w:tcPr>
            <w:tcW w:w="657" w:type="dxa"/>
            <w:vAlign w:val="top"/>
          </w:tcPr>
          <w:p>
            <w:pPr>
              <w:spacing w:line="316" w:lineRule="auto"/>
              <w:rPr>
                <w:rFonts w:ascii="Arial"/>
                <w:sz w:val="21"/>
              </w:rPr>
            </w:pPr>
          </w:p>
          <w:p>
            <w:pPr>
              <w:pStyle w:val="95"/>
              <w:spacing w:before="71" w:line="220" w:lineRule="auto"/>
              <w:ind w:left="114"/>
              <w:rPr>
                <w:sz w:val="22"/>
                <w:szCs w:val="22"/>
              </w:rPr>
            </w:pPr>
            <w:r>
              <w:rPr>
                <w:spacing w:val="-3"/>
                <w:sz w:val="22"/>
                <w:szCs w:val="22"/>
              </w:rPr>
              <w:t>数值</w:t>
            </w:r>
          </w:p>
        </w:tc>
        <w:tc>
          <w:tcPr>
            <w:tcW w:w="2366" w:type="dxa"/>
            <w:vAlign w:val="top"/>
          </w:tcPr>
          <w:p>
            <w:pPr>
              <w:pStyle w:val="95"/>
              <w:spacing w:before="77" w:line="218" w:lineRule="auto"/>
              <w:ind w:left="114"/>
              <w:rPr>
                <w:sz w:val="22"/>
                <w:szCs w:val="22"/>
              </w:rPr>
            </w:pPr>
            <w:r>
              <w:rPr>
                <w:spacing w:val="-1"/>
                <w:sz w:val="22"/>
                <w:szCs w:val="22"/>
              </w:rPr>
              <w:t>①≥800，大型</w:t>
            </w:r>
          </w:p>
          <w:p>
            <w:pPr>
              <w:pStyle w:val="95"/>
              <w:spacing w:before="52" w:line="312" w:lineRule="exact"/>
              <w:ind w:left="114"/>
              <w:rPr>
                <w:sz w:val="22"/>
                <w:szCs w:val="22"/>
              </w:rPr>
            </w:pPr>
            <w:r>
              <w:rPr>
                <w:spacing w:val="-2"/>
                <w:position w:val="6"/>
                <w:sz w:val="22"/>
                <w:szCs w:val="22"/>
              </w:rPr>
              <w:t>②300~800，中型</w:t>
            </w:r>
          </w:p>
          <w:p>
            <w:pPr>
              <w:pStyle w:val="95"/>
              <w:spacing w:line="218" w:lineRule="auto"/>
              <w:ind w:left="114"/>
              <w:rPr>
                <w:sz w:val="22"/>
                <w:szCs w:val="22"/>
              </w:rPr>
            </w:pPr>
            <w:r>
              <w:rPr>
                <w:spacing w:val="-1"/>
                <w:sz w:val="22"/>
                <w:szCs w:val="22"/>
              </w:rPr>
              <w:t>③&lt;300，小型</w:t>
            </w:r>
          </w:p>
        </w:tc>
      </w:tr>
    </w:tbl>
    <w:p>
      <w:pPr>
        <w:pStyle w:val="16"/>
        <w:spacing w:line="265" w:lineRule="auto"/>
      </w:pPr>
    </w:p>
    <w:p>
      <w:pPr>
        <w:pStyle w:val="16"/>
        <w:spacing w:line="265" w:lineRule="auto"/>
      </w:pPr>
    </w:p>
    <w:p>
      <w:pPr>
        <w:pStyle w:val="16"/>
        <w:spacing w:line="265" w:lineRule="auto"/>
      </w:pPr>
    </w:p>
    <w:p>
      <w:pPr>
        <w:pStyle w:val="16"/>
        <w:spacing w:line="265" w:lineRule="auto"/>
      </w:pPr>
    </w:p>
    <w:p>
      <w:pPr>
        <w:pStyle w:val="16"/>
        <w:spacing w:before="69" w:line="327" w:lineRule="exact"/>
        <w:ind w:left="4057"/>
        <w:rPr>
          <w:sz w:val="24"/>
          <w:szCs w:val="24"/>
        </w:rPr>
      </w:pPr>
      <w:r>
        <w:rPr>
          <w:spacing w:val="-4"/>
          <w:position w:val="1"/>
          <w:sz w:val="24"/>
          <w:szCs w:val="24"/>
        </w:rPr>
        <w:t>38 /</w:t>
      </w:r>
      <w:r>
        <w:rPr>
          <w:spacing w:val="26"/>
          <w:position w:val="1"/>
          <w:sz w:val="24"/>
          <w:szCs w:val="24"/>
        </w:rPr>
        <w:t xml:space="preserve"> </w:t>
      </w:r>
      <w:r>
        <w:rPr>
          <w:spacing w:val="-4"/>
          <w:position w:val="1"/>
          <w:sz w:val="24"/>
          <w:szCs w:val="24"/>
        </w:rPr>
        <w:t>165</w:t>
      </w:r>
    </w:p>
    <w:p>
      <w:pPr>
        <w:spacing w:line="327" w:lineRule="exact"/>
        <w:rPr>
          <w:sz w:val="24"/>
          <w:szCs w:val="24"/>
        </w:rPr>
        <w:sectPr>
          <w:pgSz w:w="16839" w:h="11907"/>
          <w:pgMar w:top="400" w:right="2525" w:bottom="400" w:left="995" w:header="0" w:footer="0" w:gutter="0"/>
          <w:cols w:space="720" w:num="1"/>
        </w:sectPr>
      </w:pPr>
    </w:p>
    <w:p>
      <w:pPr>
        <w:spacing w:before="39"/>
      </w:pPr>
      <w:r>
        <mc:AlternateContent>
          <mc:Choice Requires="wps">
            <w:drawing>
              <wp:anchor distT="0" distB="0" distL="114300" distR="114300" simplePos="0" relativeHeight="251672576" behindDoc="0" locked="0" layoutInCell="0" allowOverlap="1">
                <wp:simplePos x="0" y="0"/>
                <wp:positionH relativeFrom="page">
                  <wp:posOffset>631825</wp:posOffset>
                </wp:positionH>
                <wp:positionV relativeFrom="page">
                  <wp:posOffset>6922135</wp:posOffset>
                </wp:positionV>
                <wp:extent cx="6292850" cy="6350"/>
                <wp:effectExtent l="0" t="0" r="0" b="0"/>
                <wp:wrapNone/>
                <wp:docPr id="12" name="任意多边形 12"/>
                <wp:cNvGraphicFramePr/>
                <a:graphic xmlns:a="http://schemas.openxmlformats.org/drawingml/2006/main">
                  <a:graphicData uri="http://schemas.microsoft.com/office/word/2010/wordprocessingShape">
                    <wps:wsp>
                      <wps:cNvSpPr/>
                      <wps:spPr>
                        <a:xfrm>
                          <a:off x="0" y="0"/>
                          <a:ext cx="6292850" cy="6350"/>
                        </a:xfrm>
                        <a:custGeom>
                          <a:avLst/>
                          <a:gdLst/>
                          <a:ahLst/>
                          <a:cxnLst/>
                          <a:pathLst>
                            <a:path w="9910" h="10">
                              <a:moveTo>
                                <a:pt x="5" y="5"/>
                              </a:moveTo>
                              <a:lnTo>
                                <a:pt x="4955" y="5"/>
                              </a:lnTo>
                              <a:moveTo>
                                <a:pt x="4955" y="5"/>
                              </a:moveTo>
                              <a:lnTo>
                                <a:pt x="9905" y="5"/>
                              </a:lnTo>
                            </a:path>
                          </a:pathLst>
                        </a:custGeom>
                        <a:noFill/>
                        <a:ln w="6350" cap="sq" cmpd="sng">
                          <a:solidFill>
                            <a:srgbClr val="000000"/>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49.75pt;margin-top:545.05pt;height:0.5pt;width:495.5pt;mso-position-horizontal-relative:page;mso-position-vertical-relative:page;z-index:251672576;mso-width-relative:page;mso-height-relative:page;" filled="f" stroked="t" coordsize="9910,10" o:allowincell="f" o:gfxdata="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WAAAAZHJzL1BL&#10;AQIUABQAAAAIAIdO4kDujIKO2gAAAA0BAAAPAAAAAAAAAAEAIAAAADgAAABkcnMvZG93bnJldi54&#10;bWxQSwECFAAUAAAACACHTuJAJq59nFQCAAD2BAAADgAAAAAAAAABACAAAAA/AQAAZHJzL2Uyb0Rv&#10;Yy54bWxQSwUGAAAAAAYABgBZAQAABQYAAAAA&#10;" path="m5,5l4955,5m4955,5l9905,5e">
                <v:fill on="f" focussize="0,0"/>
                <v:stroke weight="0.5pt" color="#000000" miterlimit="10" joinstyle="miter" endcap="square"/>
                <v:imagedata o:title=""/>
                <o:lock v:ext="edit" aspectratio="f"/>
              </v:shape>
            </w:pict>
          </mc:Fallback>
        </mc:AlternateContent>
      </w:r>
    </w:p>
    <w:p>
      <w:pPr>
        <w:spacing w:before="39"/>
      </w:pPr>
    </w:p>
    <w:p>
      <w:pPr>
        <w:spacing w:before="39"/>
      </w:pPr>
    </w:p>
    <w:p>
      <w:pPr>
        <w:spacing w:before="38"/>
      </w:pPr>
    </w:p>
    <w:p>
      <w:pPr>
        <w:spacing w:before="38"/>
      </w:pPr>
    </w:p>
    <w:tbl>
      <w:tblPr>
        <w:tblStyle w:val="96"/>
        <w:tblW w:w="12856" w:type="dxa"/>
        <w:tblInd w:w="44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5"/>
        <w:gridCol w:w="1099"/>
        <w:gridCol w:w="816"/>
        <w:gridCol w:w="2637"/>
        <w:gridCol w:w="4616"/>
        <w:gridCol w:w="657"/>
        <w:gridCol w:w="23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96" w:hRule="atLeast"/>
        </w:trPr>
        <w:tc>
          <w:tcPr>
            <w:tcW w:w="665" w:type="dxa"/>
            <w:tcBorders>
              <w:top w:val="nil"/>
            </w:tcBorders>
            <w:vAlign w:val="top"/>
          </w:tcPr>
          <w:p>
            <w:pPr>
              <w:spacing w:line="346" w:lineRule="auto"/>
              <w:rPr>
                <w:rFonts w:ascii="Arial"/>
                <w:sz w:val="21"/>
              </w:rPr>
            </w:pPr>
          </w:p>
          <w:p>
            <w:pPr>
              <w:pStyle w:val="95"/>
              <w:spacing w:before="72" w:line="182" w:lineRule="auto"/>
              <w:ind w:left="243"/>
              <w:rPr>
                <w:sz w:val="22"/>
                <w:szCs w:val="22"/>
              </w:rPr>
            </w:pPr>
            <w:r>
              <w:rPr>
                <w:spacing w:val="-7"/>
                <w:sz w:val="22"/>
                <w:szCs w:val="22"/>
              </w:rPr>
              <w:t>18</w:t>
            </w:r>
          </w:p>
        </w:tc>
        <w:tc>
          <w:tcPr>
            <w:tcW w:w="1099" w:type="dxa"/>
            <w:vMerge w:val="restart"/>
            <w:tcBorders>
              <w:top w:val="nil"/>
              <w:bottom w:val="nil"/>
            </w:tcBorders>
            <w:vAlign w:val="top"/>
          </w:tcPr>
          <w:p>
            <w:pPr>
              <w:rPr>
                <w:rFonts w:ascii="Arial"/>
                <w:sz w:val="21"/>
              </w:rPr>
            </w:pPr>
          </w:p>
        </w:tc>
        <w:tc>
          <w:tcPr>
            <w:tcW w:w="816" w:type="dxa"/>
            <w:vMerge w:val="restart"/>
            <w:tcBorders>
              <w:top w:val="nil"/>
              <w:bottom w:val="nil"/>
            </w:tcBorders>
            <w:vAlign w:val="top"/>
          </w:tcPr>
          <w:p>
            <w:pPr>
              <w:rPr>
                <w:rFonts w:ascii="Arial"/>
                <w:sz w:val="21"/>
              </w:rPr>
            </w:pPr>
          </w:p>
        </w:tc>
        <w:tc>
          <w:tcPr>
            <w:tcW w:w="2637" w:type="dxa"/>
            <w:tcBorders>
              <w:top w:val="nil"/>
            </w:tcBorders>
            <w:vAlign w:val="top"/>
          </w:tcPr>
          <w:p>
            <w:pPr>
              <w:spacing w:line="310" w:lineRule="auto"/>
              <w:rPr>
                <w:rFonts w:ascii="Arial"/>
                <w:sz w:val="21"/>
              </w:rPr>
            </w:pPr>
          </w:p>
          <w:p>
            <w:pPr>
              <w:pStyle w:val="95"/>
              <w:spacing w:before="71" w:line="221" w:lineRule="auto"/>
              <w:ind w:left="553"/>
              <w:rPr>
                <w:sz w:val="22"/>
                <w:szCs w:val="22"/>
              </w:rPr>
            </w:pPr>
            <w:r>
              <w:rPr>
                <w:spacing w:val="-2"/>
                <w:sz w:val="22"/>
                <w:szCs w:val="22"/>
              </w:rPr>
              <w:t>建筑智能化工程</w:t>
            </w:r>
          </w:p>
        </w:tc>
        <w:tc>
          <w:tcPr>
            <w:tcW w:w="4616" w:type="dxa"/>
            <w:tcBorders>
              <w:top w:val="nil"/>
            </w:tcBorders>
            <w:vAlign w:val="top"/>
          </w:tcPr>
          <w:p>
            <w:pPr>
              <w:spacing w:line="310" w:lineRule="auto"/>
              <w:rPr>
                <w:rFonts w:ascii="Arial"/>
                <w:sz w:val="21"/>
              </w:rPr>
            </w:pPr>
          </w:p>
          <w:p>
            <w:pPr>
              <w:pStyle w:val="95"/>
              <w:spacing w:before="71" w:line="219" w:lineRule="auto"/>
              <w:ind w:left="114"/>
              <w:rPr>
                <w:sz w:val="22"/>
                <w:szCs w:val="22"/>
              </w:rPr>
            </w:pPr>
            <w:r>
              <w:rPr>
                <w:spacing w:val="-2"/>
                <w:sz w:val="22"/>
                <w:szCs w:val="22"/>
              </w:rPr>
              <w:t>单项工程造价</w:t>
            </w:r>
            <w:r>
              <w:rPr>
                <w:spacing w:val="-110"/>
                <w:sz w:val="22"/>
                <w:szCs w:val="22"/>
              </w:rPr>
              <w:t xml:space="preserve"> </w:t>
            </w:r>
            <w:r>
              <w:rPr>
                <w:spacing w:val="27"/>
                <w:sz w:val="22"/>
                <w:szCs w:val="22"/>
                <w:u w:val="single" w:color="auto"/>
              </w:rPr>
              <w:t xml:space="preserve">    </w:t>
            </w:r>
            <w:r>
              <w:rPr>
                <w:spacing w:val="-94"/>
                <w:sz w:val="22"/>
                <w:szCs w:val="22"/>
              </w:rPr>
              <w:t xml:space="preserve"> </w:t>
            </w:r>
            <w:r>
              <w:rPr>
                <w:spacing w:val="-2"/>
                <w:sz w:val="22"/>
                <w:szCs w:val="22"/>
              </w:rPr>
              <w:t>万元</w:t>
            </w:r>
          </w:p>
        </w:tc>
        <w:tc>
          <w:tcPr>
            <w:tcW w:w="657" w:type="dxa"/>
            <w:tcBorders>
              <w:top w:val="nil"/>
            </w:tcBorders>
            <w:vAlign w:val="top"/>
          </w:tcPr>
          <w:p>
            <w:pPr>
              <w:spacing w:line="310" w:lineRule="auto"/>
              <w:rPr>
                <w:rFonts w:ascii="Arial"/>
                <w:sz w:val="21"/>
              </w:rPr>
            </w:pPr>
          </w:p>
          <w:p>
            <w:pPr>
              <w:pStyle w:val="95"/>
              <w:spacing w:before="72" w:line="220" w:lineRule="auto"/>
              <w:ind w:left="114"/>
              <w:rPr>
                <w:sz w:val="22"/>
                <w:szCs w:val="22"/>
              </w:rPr>
            </w:pPr>
            <w:r>
              <w:rPr>
                <w:spacing w:val="-3"/>
                <w:sz w:val="22"/>
                <w:szCs w:val="22"/>
              </w:rPr>
              <w:t>数值</w:t>
            </w:r>
          </w:p>
        </w:tc>
        <w:tc>
          <w:tcPr>
            <w:tcW w:w="2366" w:type="dxa"/>
            <w:tcBorders>
              <w:top w:val="nil"/>
            </w:tcBorders>
            <w:vAlign w:val="top"/>
          </w:tcPr>
          <w:p>
            <w:pPr>
              <w:pStyle w:val="95"/>
              <w:spacing w:before="71" w:line="218" w:lineRule="auto"/>
              <w:ind w:left="114"/>
              <w:rPr>
                <w:sz w:val="22"/>
                <w:szCs w:val="22"/>
              </w:rPr>
            </w:pPr>
            <w:r>
              <w:rPr>
                <w:spacing w:val="-1"/>
                <w:sz w:val="22"/>
                <w:szCs w:val="22"/>
              </w:rPr>
              <w:t>①≥500，大型</w:t>
            </w:r>
          </w:p>
          <w:p>
            <w:pPr>
              <w:pStyle w:val="95"/>
              <w:spacing w:before="52" w:line="312" w:lineRule="exact"/>
              <w:ind w:left="114"/>
              <w:rPr>
                <w:sz w:val="22"/>
                <w:szCs w:val="22"/>
              </w:rPr>
            </w:pPr>
            <w:r>
              <w:rPr>
                <w:spacing w:val="-2"/>
                <w:position w:val="6"/>
                <w:sz w:val="22"/>
                <w:szCs w:val="22"/>
              </w:rPr>
              <w:t>②200~500，中型</w:t>
            </w:r>
          </w:p>
          <w:p>
            <w:pPr>
              <w:pStyle w:val="95"/>
              <w:spacing w:line="218" w:lineRule="auto"/>
              <w:ind w:left="114"/>
              <w:rPr>
                <w:sz w:val="22"/>
                <w:szCs w:val="22"/>
              </w:rPr>
            </w:pPr>
            <w:r>
              <w:rPr>
                <w:spacing w:val="-1"/>
                <w:sz w:val="22"/>
                <w:szCs w:val="22"/>
              </w:rPr>
              <w:t>③&lt;200，小型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93" w:hRule="atLeast"/>
        </w:trPr>
        <w:tc>
          <w:tcPr>
            <w:tcW w:w="665" w:type="dxa"/>
            <w:vAlign w:val="top"/>
          </w:tcPr>
          <w:p>
            <w:pPr>
              <w:spacing w:line="346" w:lineRule="auto"/>
              <w:rPr>
                <w:rFonts w:ascii="Arial"/>
                <w:sz w:val="21"/>
              </w:rPr>
            </w:pPr>
          </w:p>
          <w:p>
            <w:pPr>
              <w:pStyle w:val="95"/>
              <w:spacing w:before="72" w:line="182" w:lineRule="auto"/>
              <w:ind w:left="243"/>
              <w:rPr>
                <w:sz w:val="22"/>
                <w:szCs w:val="22"/>
              </w:rPr>
            </w:pPr>
            <w:r>
              <w:rPr>
                <w:spacing w:val="-7"/>
                <w:sz w:val="22"/>
                <w:szCs w:val="22"/>
              </w:rPr>
              <w:t>19</w:t>
            </w:r>
          </w:p>
        </w:tc>
        <w:tc>
          <w:tcPr>
            <w:tcW w:w="1099" w:type="dxa"/>
            <w:vMerge w:val="continue"/>
            <w:tcBorders>
              <w:top w:val="nil"/>
              <w:bottom w:val="nil"/>
            </w:tcBorders>
            <w:vAlign w:val="top"/>
          </w:tcPr>
          <w:p>
            <w:pPr>
              <w:rPr>
                <w:rFonts w:ascii="Arial"/>
                <w:sz w:val="21"/>
              </w:rPr>
            </w:pPr>
          </w:p>
        </w:tc>
        <w:tc>
          <w:tcPr>
            <w:tcW w:w="816" w:type="dxa"/>
            <w:vMerge w:val="continue"/>
            <w:tcBorders>
              <w:top w:val="nil"/>
              <w:bottom w:val="nil"/>
            </w:tcBorders>
            <w:vAlign w:val="top"/>
          </w:tcPr>
          <w:p>
            <w:pPr>
              <w:rPr>
                <w:rFonts w:ascii="Arial"/>
                <w:sz w:val="21"/>
              </w:rPr>
            </w:pPr>
          </w:p>
        </w:tc>
        <w:tc>
          <w:tcPr>
            <w:tcW w:w="2637" w:type="dxa"/>
            <w:vAlign w:val="top"/>
          </w:tcPr>
          <w:p>
            <w:pPr>
              <w:spacing w:line="310" w:lineRule="auto"/>
              <w:rPr>
                <w:rFonts w:ascii="Arial"/>
                <w:sz w:val="21"/>
              </w:rPr>
            </w:pPr>
          </w:p>
          <w:p>
            <w:pPr>
              <w:pStyle w:val="95"/>
              <w:spacing w:before="71" w:line="221" w:lineRule="auto"/>
              <w:ind w:left="886"/>
              <w:rPr>
                <w:sz w:val="22"/>
                <w:szCs w:val="22"/>
              </w:rPr>
            </w:pPr>
            <w:r>
              <w:rPr>
                <w:spacing w:val="-2"/>
                <w:sz w:val="22"/>
                <w:szCs w:val="22"/>
              </w:rPr>
              <w:t>消防工程</w:t>
            </w:r>
          </w:p>
        </w:tc>
        <w:tc>
          <w:tcPr>
            <w:tcW w:w="4616" w:type="dxa"/>
            <w:vAlign w:val="top"/>
          </w:tcPr>
          <w:p>
            <w:pPr>
              <w:spacing w:line="310" w:lineRule="auto"/>
              <w:rPr>
                <w:rFonts w:ascii="Arial"/>
                <w:sz w:val="21"/>
              </w:rPr>
            </w:pPr>
          </w:p>
          <w:p>
            <w:pPr>
              <w:pStyle w:val="95"/>
              <w:spacing w:before="72" w:line="220" w:lineRule="auto"/>
              <w:ind w:left="113"/>
              <w:rPr>
                <w:sz w:val="22"/>
                <w:szCs w:val="22"/>
              </w:rPr>
            </w:pPr>
            <w:r>
              <w:rPr>
                <w:spacing w:val="-2"/>
                <w:sz w:val="22"/>
                <w:szCs w:val="22"/>
              </w:rPr>
              <w:t>含火灾报警及联动控制系统</w:t>
            </w:r>
            <w:r>
              <w:rPr>
                <w:spacing w:val="-101"/>
                <w:sz w:val="22"/>
                <w:szCs w:val="22"/>
              </w:rPr>
              <w:t xml:space="preserve"> </w:t>
            </w:r>
            <w:r>
              <w:rPr>
                <w:sz w:val="22"/>
                <w:szCs w:val="22"/>
                <w:u w:val="single" w:color="auto"/>
              </w:rPr>
              <w:t xml:space="preserve">     </w:t>
            </w:r>
            <w:r>
              <w:rPr>
                <w:spacing w:val="-94"/>
                <w:sz w:val="22"/>
                <w:szCs w:val="22"/>
              </w:rPr>
              <w:t xml:space="preserve"> </w:t>
            </w:r>
            <w:r>
              <w:rPr>
                <w:spacing w:val="-2"/>
                <w:sz w:val="22"/>
                <w:szCs w:val="22"/>
              </w:rPr>
              <w:t>万平方米</w:t>
            </w:r>
          </w:p>
        </w:tc>
        <w:tc>
          <w:tcPr>
            <w:tcW w:w="657" w:type="dxa"/>
            <w:vAlign w:val="top"/>
          </w:tcPr>
          <w:p>
            <w:pPr>
              <w:spacing w:line="310" w:lineRule="auto"/>
              <w:rPr>
                <w:rFonts w:ascii="Arial"/>
                <w:sz w:val="21"/>
              </w:rPr>
            </w:pPr>
          </w:p>
          <w:p>
            <w:pPr>
              <w:pStyle w:val="95"/>
              <w:spacing w:before="72" w:line="220" w:lineRule="auto"/>
              <w:ind w:left="114"/>
              <w:rPr>
                <w:sz w:val="22"/>
                <w:szCs w:val="22"/>
              </w:rPr>
            </w:pPr>
            <w:r>
              <w:rPr>
                <w:spacing w:val="-3"/>
                <w:sz w:val="22"/>
                <w:szCs w:val="22"/>
              </w:rPr>
              <w:t>数值</w:t>
            </w:r>
          </w:p>
        </w:tc>
        <w:tc>
          <w:tcPr>
            <w:tcW w:w="2366" w:type="dxa"/>
            <w:vAlign w:val="top"/>
          </w:tcPr>
          <w:p>
            <w:pPr>
              <w:pStyle w:val="95"/>
              <w:spacing w:before="71" w:line="312" w:lineRule="exact"/>
              <w:ind w:left="114"/>
              <w:rPr>
                <w:sz w:val="22"/>
                <w:szCs w:val="22"/>
              </w:rPr>
            </w:pPr>
            <w:r>
              <w:rPr>
                <w:spacing w:val="-3"/>
                <w:position w:val="6"/>
                <w:sz w:val="22"/>
                <w:szCs w:val="22"/>
              </w:rPr>
              <w:t>①≥2，大型</w:t>
            </w:r>
          </w:p>
          <w:p>
            <w:pPr>
              <w:pStyle w:val="95"/>
              <w:spacing w:line="218" w:lineRule="auto"/>
              <w:ind w:left="114"/>
              <w:rPr>
                <w:sz w:val="22"/>
                <w:szCs w:val="22"/>
              </w:rPr>
            </w:pPr>
            <w:r>
              <w:rPr>
                <w:spacing w:val="-3"/>
                <w:sz w:val="22"/>
                <w:szCs w:val="22"/>
              </w:rPr>
              <w:t>②1~2，中型</w:t>
            </w:r>
          </w:p>
          <w:p>
            <w:pPr>
              <w:pStyle w:val="95"/>
              <w:spacing w:before="52" w:line="218" w:lineRule="auto"/>
              <w:ind w:left="114"/>
              <w:rPr>
                <w:sz w:val="22"/>
                <w:szCs w:val="22"/>
              </w:rPr>
            </w:pPr>
            <w:r>
              <w:rPr>
                <w:spacing w:val="-4"/>
                <w:sz w:val="22"/>
                <w:szCs w:val="22"/>
              </w:rPr>
              <w:t>③&lt;1，小型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95" w:hRule="atLeast"/>
        </w:trPr>
        <w:tc>
          <w:tcPr>
            <w:tcW w:w="665" w:type="dxa"/>
            <w:vAlign w:val="top"/>
          </w:tcPr>
          <w:p>
            <w:pPr>
              <w:spacing w:line="350" w:lineRule="auto"/>
              <w:rPr>
                <w:rFonts w:ascii="Arial"/>
                <w:sz w:val="21"/>
              </w:rPr>
            </w:pPr>
          </w:p>
          <w:p>
            <w:pPr>
              <w:pStyle w:val="95"/>
              <w:spacing w:before="71" w:line="182" w:lineRule="auto"/>
              <w:ind w:left="229"/>
              <w:rPr>
                <w:sz w:val="22"/>
                <w:szCs w:val="22"/>
              </w:rPr>
            </w:pPr>
            <w:r>
              <w:rPr>
                <w:spacing w:val="-3"/>
                <w:sz w:val="22"/>
                <w:szCs w:val="22"/>
              </w:rPr>
              <w:t>20</w:t>
            </w:r>
          </w:p>
        </w:tc>
        <w:tc>
          <w:tcPr>
            <w:tcW w:w="1099" w:type="dxa"/>
            <w:vMerge w:val="continue"/>
            <w:tcBorders>
              <w:top w:val="nil"/>
              <w:bottom w:val="nil"/>
            </w:tcBorders>
            <w:vAlign w:val="top"/>
          </w:tcPr>
          <w:p>
            <w:pPr>
              <w:rPr>
                <w:rFonts w:ascii="Arial"/>
                <w:sz w:val="21"/>
              </w:rPr>
            </w:pPr>
          </w:p>
        </w:tc>
        <w:tc>
          <w:tcPr>
            <w:tcW w:w="816" w:type="dxa"/>
            <w:vMerge w:val="continue"/>
            <w:tcBorders>
              <w:top w:val="nil"/>
              <w:bottom w:val="nil"/>
            </w:tcBorders>
            <w:vAlign w:val="top"/>
          </w:tcPr>
          <w:p>
            <w:pPr>
              <w:rPr>
                <w:rFonts w:ascii="Arial"/>
                <w:sz w:val="21"/>
              </w:rPr>
            </w:pPr>
          </w:p>
        </w:tc>
        <w:tc>
          <w:tcPr>
            <w:tcW w:w="2637" w:type="dxa"/>
            <w:vAlign w:val="top"/>
          </w:tcPr>
          <w:p>
            <w:pPr>
              <w:pStyle w:val="95"/>
              <w:spacing w:before="230" w:line="241" w:lineRule="auto"/>
              <w:ind w:left="552" w:right="107" w:hanging="404"/>
              <w:rPr>
                <w:sz w:val="22"/>
                <w:szCs w:val="22"/>
              </w:rPr>
            </w:pPr>
            <w:r>
              <w:rPr>
                <w:spacing w:val="-4"/>
                <w:sz w:val="22"/>
                <w:szCs w:val="22"/>
              </w:rPr>
              <w:t>自动控制系统工程（有计</w:t>
            </w:r>
            <w:r>
              <w:rPr>
                <w:sz w:val="22"/>
                <w:szCs w:val="22"/>
              </w:rPr>
              <w:t xml:space="preserve"> </w:t>
            </w:r>
            <w:r>
              <w:rPr>
                <w:spacing w:val="-3"/>
                <w:sz w:val="22"/>
                <w:szCs w:val="22"/>
              </w:rPr>
              <w:t>算机集散系统）</w:t>
            </w:r>
          </w:p>
        </w:tc>
        <w:tc>
          <w:tcPr>
            <w:tcW w:w="4616" w:type="dxa"/>
            <w:vAlign w:val="top"/>
          </w:tcPr>
          <w:p>
            <w:pPr>
              <w:spacing w:line="314" w:lineRule="auto"/>
              <w:rPr>
                <w:rFonts w:ascii="Arial"/>
                <w:sz w:val="21"/>
              </w:rPr>
            </w:pPr>
          </w:p>
          <w:p>
            <w:pPr>
              <w:pStyle w:val="95"/>
              <w:spacing w:before="71" w:line="219" w:lineRule="auto"/>
              <w:ind w:left="113"/>
              <w:rPr>
                <w:sz w:val="22"/>
                <w:szCs w:val="22"/>
              </w:rPr>
            </w:pPr>
            <w:r>
              <w:rPr>
                <w:spacing w:val="-3"/>
                <w:sz w:val="22"/>
                <w:szCs w:val="22"/>
              </w:rPr>
              <w:t>计算机或可编程控制器</w:t>
            </w:r>
            <w:r>
              <w:rPr>
                <w:spacing w:val="-98"/>
                <w:sz w:val="22"/>
                <w:szCs w:val="22"/>
              </w:rPr>
              <w:t xml:space="preserve"> </w:t>
            </w:r>
            <w:r>
              <w:rPr>
                <w:spacing w:val="26"/>
                <w:sz w:val="22"/>
                <w:szCs w:val="22"/>
                <w:u w:val="single" w:color="auto"/>
              </w:rPr>
              <w:t xml:space="preserve">    </w:t>
            </w:r>
            <w:r>
              <w:rPr>
                <w:spacing w:val="-81"/>
                <w:sz w:val="22"/>
                <w:szCs w:val="22"/>
              </w:rPr>
              <w:t xml:space="preserve"> </w:t>
            </w:r>
            <w:r>
              <w:rPr>
                <w:spacing w:val="-3"/>
                <w:sz w:val="22"/>
                <w:szCs w:val="22"/>
              </w:rPr>
              <w:t>台（套）</w:t>
            </w:r>
          </w:p>
        </w:tc>
        <w:tc>
          <w:tcPr>
            <w:tcW w:w="657" w:type="dxa"/>
            <w:vAlign w:val="top"/>
          </w:tcPr>
          <w:p>
            <w:pPr>
              <w:spacing w:line="313" w:lineRule="auto"/>
              <w:rPr>
                <w:rFonts w:ascii="Arial"/>
                <w:sz w:val="21"/>
              </w:rPr>
            </w:pPr>
          </w:p>
          <w:p>
            <w:pPr>
              <w:pStyle w:val="95"/>
              <w:spacing w:before="72" w:line="220" w:lineRule="auto"/>
              <w:ind w:left="114"/>
              <w:rPr>
                <w:sz w:val="22"/>
                <w:szCs w:val="22"/>
              </w:rPr>
            </w:pPr>
            <w:r>
              <w:rPr>
                <w:spacing w:val="-3"/>
                <w:sz w:val="22"/>
                <w:szCs w:val="22"/>
              </w:rPr>
              <w:t>数值</w:t>
            </w:r>
          </w:p>
        </w:tc>
        <w:tc>
          <w:tcPr>
            <w:tcW w:w="2366" w:type="dxa"/>
            <w:vAlign w:val="top"/>
          </w:tcPr>
          <w:p>
            <w:pPr>
              <w:pStyle w:val="95"/>
              <w:spacing w:before="75" w:line="312" w:lineRule="exact"/>
              <w:ind w:left="114"/>
              <w:rPr>
                <w:sz w:val="22"/>
                <w:szCs w:val="22"/>
              </w:rPr>
            </w:pPr>
            <w:r>
              <w:rPr>
                <w:spacing w:val="-2"/>
                <w:position w:val="6"/>
                <w:sz w:val="22"/>
                <w:szCs w:val="22"/>
              </w:rPr>
              <w:t>①≥30，大型</w:t>
            </w:r>
          </w:p>
          <w:p>
            <w:pPr>
              <w:pStyle w:val="95"/>
              <w:spacing w:line="218" w:lineRule="auto"/>
              <w:ind w:left="114"/>
              <w:rPr>
                <w:sz w:val="22"/>
                <w:szCs w:val="22"/>
              </w:rPr>
            </w:pPr>
            <w:r>
              <w:rPr>
                <w:sz w:val="22"/>
                <w:szCs w:val="22"/>
              </w:rPr>
              <w:t>②10~30，中型</w:t>
            </w:r>
          </w:p>
          <w:p>
            <w:pPr>
              <w:pStyle w:val="95"/>
              <w:spacing w:before="52" w:line="218" w:lineRule="auto"/>
              <w:ind w:left="114"/>
              <w:rPr>
                <w:sz w:val="22"/>
                <w:szCs w:val="22"/>
              </w:rPr>
            </w:pPr>
            <w:r>
              <w:rPr>
                <w:spacing w:val="-3"/>
                <w:sz w:val="22"/>
                <w:szCs w:val="22"/>
              </w:rPr>
              <w:t>③&lt;10，小型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95" w:hRule="atLeast"/>
        </w:trPr>
        <w:tc>
          <w:tcPr>
            <w:tcW w:w="665" w:type="dxa"/>
            <w:vAlign w:val="top"/>
          </w:tcPr>
          <w:p>
            <w:pPr>
              <w:spacing w:line="348" w:lineRule="auto"/>
              <w:rPr>
                <w:rFonts w:ascii="Arial"/>
                <w:sz w:val="21"/>
              </w:rPr>
            </w:pPr>
          </w:p>
          <w:p>
            <w:pPr>
              <w:pStyle w:val="95"/>
              <w:spacing w:before="72" w:line="182" w:lineRule="auto"/>
              <w:ind w:left="229"/>
              <w:rPr>
                <w:sz w:val="22"/>
                <w:szCs w:val="22"/>
              </w:rPr>
            </w:pPr>
            <w:r>
              <w:rPr>
                <w:spacing w:val="-3"/>
                <w:sz w:val="22"/>
                <w:szCs w:val="22"/>
              </w:rPr>
              <w:t>21</w:t>
            </w:r>
          </w:p>
        </w:tc>
        <w:tc>
          <w:tcPr>
            <w:tcW w:w="1099" w:type="dxa"/>
            <w:vMerge w:val="continue"/>
            <w:tcBorders>
              <w:top w:val="nil"/>
              <w:bottom w:val="nil"/>
            </w:tcBorders>
            <w:vAlign w:val="top"/>
          </w:tcPr>
          <w:p>
            <w:pPr>
              <w:rPr>
                <w:rFonts w:ascii="Arial"/>
                <w:sz w:val="21"/>
              </w:rPr>
            </w:pPr>
          </w:p>
        </w:tc>
        <w:tc>
          <w:tcPr>
            <w:tcW w:w="816" w:type="dxa"/>
            <w:vMerge w:val="continue"/>
            <w:tcBorders>
              <w:top w:val="nil"/>
              <w:bottom w:val="nil"/>
            </w:tcBorders>
            <w:vAlign w:val="top"/>
          </w:tcPr>
          <w:p>
            <w:pPr>
              <w:rPr>
                <w:rFonts w:ascii="Arial"/>
                <w:sz w:val="21"/>
              </w:rPr>
            </w:pPr>
          </w:p>
        </w:tc>
        <w:tc>
          <w:tcPr>
            <w:tcW w:w="2637" w:type="dxa"/>
            <w:vAlign w:val="top"/>
          </w:tcPr>
          <w:p>
            <w:pPr>
              <w:spacing w:line="312" w:lineRule="auto"/>
              <w:rPr>
                <w:rFonts w:ascii="Arial"/>
                <w:sz w:val="21"/>
              </w:rPr>
            </w:pPr>
          </w:p>
          <w:p>
            <w:pPr>
              <w:pStyle w:val="95"/>
              <w:spacing w:before="71" w:line="220" w:lineRule="auto"/>
              <w:ind w:left="675"/>
              <w:rPr>
                <w:sz w:val="22"/>
                <w:szCs w:val="22"/>
              </w:rPr>
            </w:pPr>
            <w:r>
              <w:rPr>
                <w:spacing w:val="-4"/>
                <w:sz w:val="22"/>
                <w:szCs w:val="22"/>
              </w:rPr>
              <w:t>防腐保温工程</w:t>
            </w:r>
          </w:p>
        </w:tc>
        <w:tc>
          <w:tcPr>
            <w:tcW w:w="4616" w:type="dxa"/>
            <w:vAlign w:val="top"/>
          </w:tcPr>
          <w:p>
            <w:pPr>
              <w:spacing w:line="311" w:lineRule="auto"/>
              <w:rPr>
                <w:rFonts w:ascii="Arial"/>
                <w:sz w:val="21"/>
              </w:rPr>
            </w:pPr>
          </w:p>
          <w:p>
            <w:pPr>
              <w:pStyle w:val="95"/>
              <w:spacing w:before="72" w:line="219" w:lineRule="auto"/>
              <w:ind w:left="114"/>
              <w:rPr>
                <w:sz w:val="22"/>
                <w:szCs w:val="22"/>
              </w:rPr>
            </w:pPr>
            <w:r>
              <w:rPr>
                <w:spacing w:val="-2"/>
                <w:sz w:val="22"/>
                <w:szCs w:val="22"/>
              </w:rPr>
              <w:t>单项工程造价</w:t>
            </w:r>
            <w:r>
              <w:rPr>
                <w:spacing w:val="-110"/>
                <w:sz w:val="22"/>
                <w:szCs w:val="22"/>
              </w:rPr>
              <w:t xml:space="preserve"> </w:t>
            </w:r>
            <w:r>
              <w:rPr>
                <w:spacing w:val="27"/>
                <w:sz w:val="22"/>
                <w:szCs w:val="22"/>
                <w:u w:val="single" w:color="auto"/>
              </w:rPr>
              <w:t xml:space="preserve">    </w:t>
            </w:r>
            <w:r>
              <w:rPr>
                <w:spacing w:val="-94"/>
                <w:sz w:val="22"/>
                <w:szCs w:val="22"/>
              </w:rPr>
              <w:t xml:space="preserve"> </w:t>
            </w:r>
            <w:r>
              <w:rPr>
                <w:spacing w:val="-2"/>
                <w:sz w:val="22"/>
                <w:szCs w:val="22"/>
              </w:rPr>
              <w:t>万元</w:t>
            </w:r>
          </w:p>
        </w:tc>
        <w:tc>
          <w:tcPr>
            <w:tcW w:w="657" w:type="dxa"/>
            <w:vAlign w:val="top"/>
          </w:tcPr>
          <w:p>
            <w:pPr>
              <w:spacing w:line="312" w:lineRule="auto"/>
              <w:rPr>
                <w:rFonts w:ascii="Arial"/>
                <w:sz w:val="21"/>
              </w:rPr>
            </w:pPr>
          </w:p>
          <w:p>
            <w:pPr>
              <w:pStyle w:val="95"/>
              <w:spacing w:before="71" w:line="220" w:lineRule="auto"/>
              <w:ind w:left="114"/>
              <w:rPr>
                <w:sz w:val="22"/>
                <w:szCs w:val="22"/>
              </w:rPr>
            </w:pPr>
            <w:r>
              <w:rPr>
                <w:spacing w:val="-3"/>
                <w:sz w:val="22"/>
                <w:szCs w:val="22"/>
              </w:rPr>
              <w:t>数值</w:t>
            </w:r>
          </w:p>
        </w:tc>
        <w:tc>
          <w:tcPr>
            <w:tcW w:w="2366" w:type="dxa"/>
            <w:vAlign w:val="top"/>
          </w:tcPr>
          <w:p>
            <w:pPr>
              <w:pStyle w:val="95"/>
              <w:spacing w:before="73" w:line="218" w:lineRule="auto"/>
              <w:ind w:left="114"/>
              <w:rPr>
                <w:sz w:val="22"/>
                <w:szCs w:val="22"/>
              </w:rPr>
            </w:pPr>
            <w:r>
              <w:rPr>
                <w:spacing w:val="-1"/>
                <w:sz w:val="22"/>
                <w:szCs w:val="22"/>
              </w:rPr>
              <w:t>①≥300，大型</w:t>
            </w:r>
          </w:p>
          <w:p>
            <w:pPr>
              <w:pStyle w:val="95"/>
              <w:spacing w:before="52" w:line="312" w:lineRule="exact"/>
              <w:ind w:left="114"/>
              <w:rPr>
                <w:sz w:val="22"/>
                <w:szCs w:val="22"/>
              </w:rPr>
            </w:pPr>
            <w:r>
              <w:rPr>
                <w:spacing w:val="-2"/>
                <w:position w:val="6"/>
                <w:sz w:val="22"/>
                <w:szCs w:val="22"/>
              </w:rPr>
              <w:t>②100~300，中型</w:t>
            </w:r>
          </w:p>
          <w:p>
            <w:pPr>
              <w:pStyle w:val="95"/>
              <w:spacing w:line="218" w:lineRule="auto"/>
              <w:ind w:left="114"/>
              <w:rPr>
                <w:sz w:val="22"/>
                <w:szCs w:val="22"/>
              </w:rPr>
            </w:pPr>
            <w:r>
              <w:rPr>
                <w:spacing w:val="-1"/>
                <w:sz w:val="22"/>
                <w:szCs w:val="22"/>
              </w:rPr>
              <w:t>③&lt;100，小型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93" w:hRule="atLeast"/>
        </w:trPr>
        <w:tc>
          <w:tcPr>
            <w:tcW w:w="665" w:type="dxa"/>
            <w:vAlign w:val="top"/>
          </w:tcPr>
          <w:p>
            <w:pPr>
              <w:spacing w:line="349" w:lineRule="auto"/>
              <w:rPr>
                <w:rFonts w:ascii="Arial"/>
                <w:sz w:val="21"/>
              </w:rPr>
            </w:pPr>
          </w:p>
          <w:p>
            <w:pPr>
              <w:pStyle w:val="95"/>
              <w:spacing w:before="72" w:line="182" w:lineRule="auto"/>
              <w:ind w:left="229"/>
              <w:rPr>
                <w:sz w:val="22"/>
                <w:szCs w:val="22"/>
              </w:rPr>
            </w:pPr>
            <w:r>
              <w:rPr>
                <w:spacing w:val="-3"/>
                <w:sz w:val="22"/>
                <w:szCs w:val="22"/>
              </w:rPr>
              <w:t>22</w:t>
            </w:r>
          </w:p>
        </w:tc>
        <w:tc>
          <w:tcPr>
            <w:tcW w:w="1099" w:type="dxa"/>
            <w:vMerge w:val="continue"/>
            <w:tcBorders>
              <w:top w:val="nil"/>
              <w:bottom w:val="nil"/>
            </w:tcBorders>
            <w:vAlign w:val="top"/>
          </w:tcPr>
          <w:p>
            <w:pPr>
              <w:rPr>
                <w:rFonts w:ascii="Arial"/>
                <w:sz w:val="21"/>
              </w:rPr>
            </w:pPr>
          </w:p>
        </w:tc>
        <w:tc>
          <w:tcPr>
            <w:tcW w:w="816" w:type="dxa"/>
            <w:vMerge w:val="continue"/>
            <w:tcBorders>
              <w:top w:val="nil"/>
              <w:bottom w:val="nil"/>
            </w:tcBorders>
            <w:vAlign w:val="top"/>
          </w:tcPr>
          <w:p>
            <w:pPr>
              <w:rPr>
                <w:rFonts w:ascii="Arial"/>
                <w:sz w:val="21"/>
              </w:rPr>
            </w:pPr>
          </w:p>
        </w:tc>
        <w:tc>
          <w:tcPr>
            <w:tcW w:w="2637" w:type="dxa"/>
            <w:vAlign w:val="top"/>
          </w:tcPr>
          <w:p>
            <w:pPr>
              <w:spacing w:line="313" w:lineRule="auto"/>
              <w:rPr>
                <w:rFonts w:ascii="Arial"/>
                <w:sz w:val="21"/>
              </w:rPr>
            </w:pPr>
          </w:p>
          <w:p>
            <w:pPr>
              <w:pStyle w:val="95"/>
              <w:spacing w:before="71" w:line="221" w:lineRule="auto"/>
              <w:ind w:left="446"/>
              <w:rPr>
                <w:sz w:val="22"/>
                <w:szCs w:val="22"/>
              </w:rPr>
            </w:pPr>
            <w:r>
              <w:rPr>
                <w:spacing w:val="-2"/>
                <w:sz w:val="22"/>
                <w:szCs w:val="22"/>
              </w:rPr>
              <w:t>非标设备制安工程</w:t>
            </w:r>
          </w:p>
        </w:tc>
        <w:tc>
          <w:tcPr>
            <w:tcW w:w="4616" w:type="dxa"/>
            <w:vAlign w:val="top"/>
          </w:tcPr>
          <w:p>
            <w:pPr>
              <w:spacing w:line="313" w:lineRule="auto"/>
              <w:rPr>
                <w:rFonts w:ascii="Arial"/>
                <w:sz w:val="21"/>
              </w:rPr>
            </w:pPr>
          </w:p>
          <w:p>
            <w:pPr>
              <w:pStyle w:val="95"/>
              <w:spacing w:before="71" w:line="221" w:lineRule="auto"/>
              <w:ind w:left="115"/>
              <w:rPr>
                <w:sz w:val="22"/>
                <w:szCs w:val="22"/>
              </w:rPr>
            </w:pPr>
            <w:r>
              <w:rPr>
                <w:spacing w:val="-2"/>
                <w:sz w:val="22"/>
                <w:szCs w:val="22"/>
              </w:rPr>
              <w:t>工程量</w:t>
            </w:r>
            <w:r>
              <w:rPr>
                <w:spacing w:val="-2"/>
                <w:sz w:val="22"/>
                <w:szCs w:val="22"/>
                <w:u w:val="single" w:color="auto"/>
              </w:rPr>
              <w:t xml:space="preserve">     </w:t>
            </w:r>
            <w:r>
              <w:rPr>
                <w:spacing w:val="-84"/>
                <w:sz w:val="22"/>
                <w:szCs w:val="22"/>
              </w:rPr>
              <w:t xml:space="preserve"> </w:t>
            </w:r>
            <w:r>
              <w:rPr>
                <w:spacing w:val="-2"/>
                <w:sz w:val="22"/>
                <w:szCs w:val="22"/>
              </w:rPr>
              <w:t>吨</w:t>
            </w:r>
          </w:p>
        </w:tc>
        <w:tc>
          <w:tcPr>
            <w:tcW w:w="657" w:type="dxa"/>
            <w:vAlign w:val="top"/>
          </w:tcPr>
          <w:p>
            <w:pPr>
              <w:spacing w:line="313" w:lineRule="auto"/>
              <w:rPr>
                <w:rFonts w:ascii="Arial"/>
                <w:sz w:val="21"/>
              </w:rPr>
            </w:pPr>
          </w:p>
          <w:p>
            <w:pPr>
              <w:pStyle w:val="95"/>
              <w:spacing w:before="72" w:line="220" w:lineRule="auto"/>
              <w:ind w:left="114"/>
              <w:rPr>
                <w:sz w:val="22"/>
                <w:szCs w:val="22"/>
              </w:rPr>
            </w:pPr>
            <w:r>
              <w:rPr>
                <w:spacing w:val="-3"/>
                <w:sz w:val="22"/>
                <w:szCs w:val="22"/>
              </w:rPr>
              <w:t>数值</w:t>
            </w:r>
          </w:p>
        </w:tc>
        <w:tc>
          <w:tcPr>
            <w:tcW w:w="2366" w:type="dxa"/>
            <w:vAlign w:val="top"/>
          </w:tcPr>
          <w:p>
            <w:pPr>
              <w:pStyle w:val="95"/>
              <w:spacing w:before="74" w:line="218" w:lineRule="auto"/>
              <w:ind w:left="114"/>
              <w:rPr>
                <w:sz w:val="22"/>
                <w:szCs w:val="22"/>
              </w:rPr>
            </w:pPr>
            <w:r>
              <w:rPr>
                <w:spacing w:val="-1"/>
                <w:sz w:val="22"/>
                <w:szCs w:val="22"/>
              </w:rPr>
              <w:t>①≥300，大型</w:t>
            </w:r>
          </w:p>
          <w:p>
            <w:pPr>
              <w:pStyle w:val="95"/>
              <w:spacing w:before="52" w:line="312" w:lineRule="exact"/>
              <w:ind w:left="114"/>
              <w:rPr>
                <w:sz w:val="22"/>
                <w:szCs w:val="22"/>
              </w:rPr>
            </w:pPr>
            <w:r>
              <w:rPr>
                <w:spacing w:val="-2"/>
                <w:position w:val="6"/>
                <w:sz w:val="22"/>
                <w:szCs w:val="22"/>
              </w:rPr>
              <w:t>②100~300，中型</w:t>
            </w:r>
          </w:p>
          <w:p>
            <w:pPr>
              <w:pStyle w:val="95"/>
              <w:spacing w:line="218" w:lineRule="auto"/>
              <w:ind w:left="114"/>
              <w:rPr>
                <w:sz w:val="22"/>
                <w:szCs w:val="22"/>
              </w:rPr>
            </w:pPr>
            <w:r>
              <w:rPr>
                <w:spacing w:val="-1"/>
                <w:sz w:val="22"/>
                <w:szCs w:val="22"/>
              </w:rPr>
              <w:t>③&lt;100，小型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95" w:hRule="atLeast"/>
        </w:trPr>
        <w:tc>
          <w:tcPr>
            <w:tcW w:w="665" w:type="dxa"/>
            <w:vAlign w:val="top"/>
          </w:tcPr>
          <w:p>
            <w:pPr>
              <w:spacing w:line="352" w:lineRule="auto"/>
              <w:rPr>
                <w:rFonts w:ascii="Arial"/>
                <w:sz w:val="21"/>
              </w:rPr>
            </w:pPr>
          </w:p>
          <w:p>
            <w:pPr>
              <w:pStyle w:val="95"/>
              <w:spacing w:before="72" w:line="182" w:lineRule="auto"/>
              <w:ind w:left="229"/>
              <w:rPr>
                <w:sz w:val="22"/>
                <w:szCs w:val="22"/>
              </w:rPr>
            </w:pPr>
            <w:r>
              <w:rPr>
                <w:spacing w:val="-3"/>
                <w:sz w:val="22"/>
                <w:szCs w:val="22"/>
              </w:rPr>
              <w:t>23</w:t>
            </w:r>
          </w:p>
        </w:tc>
        <w:tc>
          <w:tcPr>
            <w:tcW w:w="1099" w:type="dxa"/>
            <w:vMerge w:val="continue"/>
            <w:tcBorders>
              <w:top w:val="nil"/>
              <w:bottom w:val="nil"/>
            </w:tcBorders>
            <w:vAlign w:val="top"/>
          </w:tcPr>
          <w:p>
            <w:pPr>
              <w:rPr>
                <w:rFonts w:ascii="Arial"/>
                <w:sz w:val="21"/>
              </w:rPr>
            </w:pPr>
          </w:p>
        </w:tc>
        <w:tc>
          <w:tcPr>
            <w:tcW w:w="816" w:type="dxa"/>
            <w:vMerge w:val="continue"/>
            <w:tcBorders>
              <w:top w:val="nil"/>
              <w:bottom w:val="nil"/>
            </w:tcBorders>
            <w:vAlign w:val="top"/>
          </w:tcPr>
          <w:p>
            <w:pPr>
              <w:rPr>
                <w:rFonts w:ascii="Arial"/>
                <w:sz w:val="21"/>
              </w:rPr>
            </w:pPr>
          </w:p>
        </w:tc>
        <w:tc>
          <w:tcPr>
            <w:tcW w:w="2637" w:type="dxa"/>
            <w:vMerge w:val="restart"/>
            <w:tcBorders>
              <w:bottom w:val="nil"/>
            </w:tcBorders>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95"/>
              <w:spacing w:before="72" w:line="220" w:lineRule="auto"/>
              <w:ind w:left="666"/>
              <w:rPr>
                <w:sz w:val="22"/>
                <w:szCs w:val="22"/>
              </w:rPr>
            </w:pPr>
            <w:r>
              <w:rPr>
                <w:spacing w:val="-2"/>
                <w:sz w:val="22"/>
                <w:szCs w:val="22"/>
              </w:rPr>
              <w:t>管道安装工程</w:t>
            </w:r>
          </w:p>
        </w:tc>
        <w:tc>
          <w:tcPr>
            <w:tcW w:w="4616" w:type="dxa"/>
            <w:vAlign w:val="top"/>
          </w:tcPr>
          <w:p>
            <w:pPr>
              <w:spacing w:line="315" w:lineRule="auto"/>
              <w:rPr>
                <w:rFonts w:ascii="Arial"/>
                <w:sz w:val="21"/>
              </w:rPr>
            </w:pPr>
          </w:p>
          <w:p>
            <w:pPr>
              <w:pStyle w:val="95"/>
              <w:spacing w:before="72" w:line="219" w:lineRule="auto"/>
              <w:ind w:left="114"/>
              <w:rPr>
                <w:sz w:val="22"/>
                <w:szCs w:val="22"/>
              </w:rPr>
            </w:pPr>
            <w:r>
              <w:rPr>
                <w:spacing w:val="-2"/>
                <w:sz w:val="22"/>
                <w:szCs w:val="22"/>
              </w:rPr>
              <w:t>单项工程造价</w:t>
            </w:r>
            <w:r>
              <w:rPr>
                <w:spacing w:val="-110"/>
                <w:sz w:val="22"/>
                <w:szCs w:val="22"/>
              </w:rPr>
              <w:t xml:space="preserve"> </w:t>
            </w:r>
            <w:r>
              <w:rPr>
                <w:spacing w:val="27"/>
                <w:sz w:val="22"/>
                <w:szCs w:val="22"/>
                <w:u w:val="single" w:color="auto"/>
              </w:rPr>
              <w:t xml:space="preserve">    </w:t>
            </w:r>
            <w:r>
              <w:rPr>
                <w:spacing w:val="-94"/>
                <w:sz w:val="22"/>
                <w:szCs w:val="22"/>
              </w:rPr>
              <w:t xml:space="preserve"> </w:t>
            </w:r>
            <w:r>
              <w:rPr>
                <w:spacing w:val="-2"/>
                <w:sz w:val="22"/>
                <w:szCs w:val="22"/>
              </w:rPr>
              <w:t>万元</w:t>
            </w:r>
          </w:p>
        </w:tc>
        <w:tc>
          <w:tcPr>
            <w:tcW w:w="657" w:type="dxa"/>
            <w:vAlign w:val="top"/>
          </w:tcPr>
          <w:p>
            <w:pPr>
              <w:spacing w:line="316" w:lineRule="auto"/>
              <w:rPr>
                <w:rFonts w:ascii="Arial"/>
                <w:sz w:val="21"/>
              </w:rPr>
            </w:pPr>
          </w:p>
          <w:p>
            <w:pPr>
              <w:pStyle w:val="95"/>
              <w:spacing w:before="71" w:line="220" w:lineRule="auto"/>
              <w:ind w:left="114"/>
              <w:rPr>
                <w:sz w:val="22"/>
                <w:szCs w:val="22"/>
              </w:rPr>
            </w:pPr>
            <w:r>
              <w:rPr>
                <w:spacing w:val="-3"/>
                <w:sz w:val="22"/>
                <w:szCs w:val="22"/>
              </w:rPr>
              <w:t>数值</w:t>
            </w:r>
          </w:p>
        </w:tc>
        <w:tc>
          <w:tcPr>
            <w:tcW w:w="2366" w:type="dxa"/>
            <w:vAlign w:val="top"/>
          </w:tcPr>
          <w:p>
            <w:pPr>
              <w:pStyle w:val="95"/>
              <w:spacing w:before="77" w:line="218" w:lineRule="auto"/>
              <w:ind w:left="114"/>
              <w:rPr>
                <w:sz w:val="22"/>
                <w:szCs w:val="22"/>
              </w:rPr>
            </w:pPr>
            <w:r>
              <w:rPr>
                <w:spacing w:val="-2"/>
                <w:sz w:val="22"/>
                <w:szCs w:val="22"/>
              </w:rPr>
              <w:t>①≥1000，大型</w:t>
            </w:r>
          </w:p>
          <w:p>
            <w:pPr>
              <w:pStyle w:val="95"/>
              <w:spacing w:before="52" w:line="312" w:lineRule="exact"/>
              <w:ind w:left="114"/>
              <w:rPr>
                <w:sz w:val="22"/>
                <w:szCs w:val="22"/>
              </w:rPr>
            </w:pPr>
            <w:r>
              <w:rPr>
                <w:spacing w:val="-2"/>
                <w:position w:val="6"/>
                <w:sz w:val="22"/>
                <w:szCs w:val="22"/>
              </w:rPr>
              <w:t>②300~1000，中型</w:t>
            </w:r>
          </w:p>
          <w:p>
            <w:pPr>
              <w:pStyle w:val="95"/>
              <w:spacing w:line="218" w:lineRule="auto"/>
              <w:ind w:left="114"/>
              <w:rPr>
                <w:sz w:val="22"/>
                <w:szCs w:val="22"/>
              </w:rPr>
            </w:pPr>
            <w:r>
              <w:rPr>
                <w:spacing w:val="-1"/>
                <w:sz w:val="22"/>
                <w:szCs w:val="22"/>
              </w:rPr>
              <w:t>③&lt;300，小型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1" w:hRule="atLeast"/>
        </w:trPr>
        <w:tc>
          <w:tcPr>
            <w:tcW w:w="665" w:type="dxa"/>
            <w:vAlign w:val="top"/>
          </w:tcPr>
          <w:p>
            <w:pPr>
              <w:spacing w:line="324" w:lineRule="auto"/>
              <w:rPr>
                <w:rFonts w:ascii="Arial"/>
                <w:sz w:val="21"/>
              </w:rPr>
            </w:pPr>
          </w:p>
          <w:p>
            <w:pPr>
              <w:pStyle w:val="95"/>
              <w:spacing w:before="72" w:line="182" w:lineRule="auto"/>
              <w:ind w:left="229"/>
              <w:rPr>
                <w:sz w:val="22"/>
                <w:szCs w:val="22"/>
              </w:rPr>
            </w:pPr>
            <w:r>
              <w:rPr>
                <w:spacing w:val="-3"/>
                <w:sz w:val="22"/>
                <w:szCs w:val="22"/>
              </w:rPr>
              <w:t>24</w:t>
            </w:r>
          </w:p>
        </w:tc>
        <w:tc>
          <w:tcPr>
            <w:tcW w:w="1099" w:type="dxa"/>
            <w:vMerge w:val="continue"/>
            <w:tcBorders>
              <w:top w:val="nil"/>
              <w:bottom w:val="nil"/>
            </w:tcBorders>
            <w:vAlign w:val="top"/>
          </w:tcPr>
          <w:p>
            <w:pPr>
              <w:rPr>
                <w:rFonts w:ascii="Arial"/>
                <w:sz w:val="21"/>
              </w:rPr>
            </w:pPr>
          </w:p>
        </w:tc>
        <w:tc>
          <w:tcPr>
            <w:tcW w:w="816" w:type="dxa"/>
            <w:vMerge w:val="continue"/>
            <w:tcBorders>
              <w:top w:val="nil"/>
              <w:bottom w:val="nil"/>
            </w:tcBorders>
            <w:vAlign w:val="top"/>
          </w:tcPr>
          <w:p>
            <w:pPr>
              <w:rPr>
                <w:rFonts w:ascii="Arial"/>
                <w:sz w:val="21"/>
              </w:rPr>
            </w:pPr>
          </w:p>
        </w:tc>
        <w:tc>
          <w:tcPr>
            <w:tcW w:w="2637" w:type="dxa"/>
            <w:vMerge w:val="continue"/>
            <w:tcBorders>
              <w:top w:val="nil"/>
              <w:bottom w:val="nil"/>
            </w:tcBorders>
            <w:vAlign w:val="top"/>
          </w:tcPr>
          <w:p>
            <w:pPr>
              <w:rPr>
                <w:rFonts w:ascii="Arial"/>
                <w:sz w:val="21"/>
              </w:rPr>
            </w:pPr>
          </w:p>
        </w:tc>
        <w:tc>
          <w:tcPr>
            <w:tcW w:w="4616" w:type="dxa"/>
            <w:vAlign w:val="top"/>
          </w:tcPr>
          <w:p>
            <w:pPr>
              <w:spacing w:line="288" w:lineRule="auto"/>
              <w:rPr>
                <w:rFonts w:ascii="Arial"/>
                <w:sz w:val="21"/>
              </w:rPr>
            </w:pPr>
          </w:p>
          <w:p>
            <w:pPr>
              <w:pStyle w:val="95"/>
              <w:spacing w:before="72" w:line="217" w:lineRule="auto"/>
              <w:ind w:left="115"/>
              <w:rPr>
                <w:sz w:val="22"/>
                <w:szCs w:val="22"/>
              </w:rPr>
            </w:pPr>
            <w:r>
              <w:rPr>
                <w:spacing w:val="-2"/>
                <w:sz w:val="22"/>
                <w:szCs w:val="22"/>
              </w:rPr>
              <w:t>工程量直径</w:t>
            </w:r>
            <w:r>
              <w:rPr>
                <w:spacing w:val="-108"/>
                <w:sz w:val="22"/>
                <w:szCs w:val="22"/>
              </w:rPr>
              <w:t xml:space="preserve"> </w:t>
            </w:r>
            <w:r>
              <w:rPr>
                <w:sz w:val="22"/>
                <w:szCs w:val="22"/>
                <w:u w:val="single" w:color="auto"/>
              </w:rPr>
              <w:t xml:space="preserve">     </w:t>
            </w:r>
            <w:r>
              <w:rPr>
                <w:spacing w:val="-100"/>
                <w:sz w:val="22"/>
                <w:szCs w:val="22"/>
              </w:rPr>
              <w:t xml:space="preserve"> </w:t>
            </w:r>
            <w:r>
              <w:rPr>
                <w:spacing w:val="-2"/>
                <w:sz w:val="22"/>
                <w:szCs w:val="22"/>
              </w:rPr>
              <w:t>毫米,且长度</w:t>
            </w:r>
            <w:r>
              <w:rPr>
                <w:spacing w:val="-110"/>
                <w:sz w:val="22"/>
                <w:szCs w:val="22"/>
              </w:rPr>
              <w:t xml:space="preserve"> </w:t>
            </w:r>
            <w:r>
              <w:rPr>
                <w:sz w:val="22"/>
                <w:szCs w:val="22"/>
                <w:u w:val="single" w:color="auto"/>
              </w:rPr>
              <w:t xml:space="preserve">     </w:t>
            </w:r>
            <w:r>
              <w:rPr>
                <w:spacing w:val="-101"/>
                <w:sz w:val="22"/>
                <w:szCs w:val="22"/>
              </w:rPr>
              <w:t xml:space="preserve"> </w:t>
            </w:r>
            <w:r>
              <w:rPr>
                <w:spacing w:val="-2"/>
                <w:sz w:val="22"/>
                <w:szCs w:val="22"/>
              </w:rPr>
              <w:t>米</w:t>
            </w:r>
          </w:p>
        </w:tc>
        <w:tc>
          <w:tcPr>
            <w:tcW w:w="657" w:type="dxa"/>
            <w:vAlign w:val="top"/>
          </w:tcPr>
          <w:p>
            <w:pPr>
              <w:spacing w:line="288" w:lineRule="auto"/>
              <w:rPr>
                <w:rFonts w:ascii="Arial"/>
                <w:sz w:val="21"/>
              </w:rPr>
            </w:pPr>
          </w:p>
          <w:p>
            <w:pPr>
              <w:pStyle w:val="95"/>
              <w:spacing w:before="71" w:line="220" w:lineRule="auto"/>
              <w:ind w:left="114"/>
              <w:rPr>
                <w:sz w:val="22"/>
                <w:szCs w:val="22"/>
              </w:rPr>
            </w:pPr>
            <w:r>
              <w:rPr>
                <w:spacing w:val="-3"/>
                <w:sz w:val="22"/>
                <w:szCs w:val="22"/>
              </w:rPr>
              <w:t>数值</w:t>
            </w:r>
          </w:p>
        </w:tc>
        <w:tc>
          <w:tcPr>
            <w:tcW w:w="2366" w:type="dxa"/>
            <w:vAlign w:val="top"/>
          </w:tcPr>
          <w:p>
            <w:pPr>
              <w:pStyle w:val="95"/>
              <w:spacing w:before="49" w:line="245" w:lineRule="auto"/>
              <w:ind w:left="121" w:right="170" w:hanging="7"/>
              <w:rPr>
                <w:sz w:val="22"/>
                <w:szCs w:val="22"/>
              </w:rPr>
            </w:pPr>
            <w:r>
              <w:rPr>
                <w:spacing w:val="-2"/>
                <w:sz w:val="22"/>
                <w:szCs w:val="22"/>
              </w:rPr>
              <w:t>①≥150，≥2000，大</w:t>
            </w:r>
            <w:r>
              <w:rPr>
                <w:spacing w:val="10"/>
                <w:sz w:val="22"/>
                <w:szCs w:val="22"/>
              </w:rPr>
              <w:t xml:space="preserve"> </w:t>
            </w:r>
            <w:r>
              <w:rPr>
                <w:sz w:val="22"/>
                <w:szCs w:val="22"/>
              </w:rPr>
              <w:t>型</w:t>
            </w:r>
          </w:p>
          <w:p>
            <w:pPr>
              <w:pStyle w:val="95"/>
              <w:spacing w:before="40" w:line="216" w:lineRule="auto"/>
              <w:ind w:left="114"/>
              <w:rPr>
                <w:sz w:val="22"/>
                <w:szCs w:val="22"/>
              </w:rPr>
            </w:pPr>
            <w:r>
              <w:rPr>
                <w:sz w:val="22"/>
                <w:szCs w:val="22"/>
              </w:rPr>
              <w:t>②&lt;150，&lt;2000，中型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64" w:hRule="atLeast"/>
        </w:trPr>
        <w:tc>
          <w:tcPr>
            <w:tcW w:w="665" w:type="dxa"/>
            <w:vAlign w:val="top"/>
          </w:tcPr>
          <w:p>
            <w:pPr>
              <w:pStyle w:val="95"/>
              <w:spacing w:before="261" w:line="182" w:lineRule="auto"/>
              <w:ind w:left="229"/>
              <w:rPr>
                <w:sz w:val="22"/>
                <w:szCs w:val="22"/>
              </w:rPr>
            </w:pPr>
            <w:r>
              <w:rPr>
                <w:spacing w:val="-3"/>
                <w:sz w:val="22"/>
                <w:szCs w:val="22"/>
              </w:rPr>
              <w:t>25</w:t>
            </w:r>
          </w:p>
        </w:tc>
        <w:tc>
          <w:tcPr>
            <w:tcW w:w="1099" w:type="dxa"/>
            <w:vMerge w:val="continue"/>
            <w:tcBorders>
              <w:top w:val="nil"/>
              <w:bottom w:val="nil"/>
            </w:tcBorders>
            <w:vAlign w:val="top"/>
          </w:tcPr>
          <w:p>
            <w:pPr>
              <w:rPr>
                <w:rFonts w:ascii="Arial"/>
                <w:sz w:val="21"/>
              </w:rPr>
            </w:pPr>
          </w:p>
        </w:tc>
        <w:tc>
          <w:tcPr>
            <w:tcW w:w="816" w:type="dxa"/>
            <w:vMerge w:val="continue"/>
            <w:tcBorders>
              <w:top w:val="nil"/>
              <w:bottom w:val="nil"/>
            </w:tcBorders>
            <w:vAlign w:val="top"/>
          </w:tcPr>
          <w:p>
            <w:pPr>
              <w:rPr>
                <w:rFonts w:ascii="Arial"/>
                <w:sz w:val="21"/>
              </w:rPr>
            </w:pPr>
          </w:p>
        </w:tc>
        <w:tc>
          <w:tcPr>
            <w:tcW w:w="2637" w:type="dxa"/>
            <w:vMerge w:val="continue"/>
            <w:tcBorders>
              <w:top w:val="nil"/>
              <w:bottom w:val="nil"/>
            </w:tcBorders>
            <w:vAlign w:val="top"/>
          </w:tcPr>
          <w:p>
            <w:pPr>
              <w:rPr>
                <w:rFonts w:ascii="Arial"/>
                <w:sz w:val="21"/>
              </w:rPr>
            </w:pPr>
          </w:p>
        </w:tc>
        <w:tc>
          <w:tcPr>
            <w:tcW w:w="4616" w:type="dxa"/>
            <w:vAlign w:val="top"/>
          </w:tcPr>
          <w:p>
            <w:pPr>
              <w:pStyle w:val="95"/>
              <w:spacing w:before="225" w:line="219" w:lineRule="auto"/>
              <w:ind w:left="115"/>
              <w:rPr>
                <w:sz w:val="22"/>
                <w:szCs w:val="22"/>
              </w:rPr>
            </w:pPr>
            <w:r>
              <w:rPr>
                <w:spacing w:val="-2"/>
                <w:sz w:val="22"/>
                <w:szCs w:val="22"/>
              </w:rPr>
              <w:t>工程量直径</w:t>
            </w:r>
            <w:r>
              <w:rPr>
                <w:spacing w:val="-105"/>
                <w:sz w:val="22"/>
                <w:szCs w:val="22"/>
              </w:rPr>
              <w:t xml:space="preserve"> </w:t>
            </w:r>
            <w:r>
              <w:rPr>
                <w:sz w:val="22"/>
                <w:szCs w:val="22"/>
                <w:u w:val="single" w:color="auto"/>
              </w:rPr>
              <w:t xml:space="preserve">     </w:t>
            </w:r>
            <w:r>
              <w:rPr>
                <w:spacing w:val="-102"/>
                <w:sz w:val="22"/>
                <w:szCs w:val="22"/>
              </w:rPr>
              <w:t xml:space="preserve"> </w:t>
            </w:r>
            <w:r>
              <w:rPr>
                <w:spacing w:val="-2"/>
                <w:sz w:val="22"/>
                <w:szCs w:val="22"/>
              </w:rPr>
              <w:t>米，且长度</w:t>
            </w:r>
            <w:r>
              <w:rPr>
                <w:spacing w:val="-109"/>
                <w:sz w:val="22"/>
                <w:szCs w:val="22"/>
              </w:rPr>
              <w:t xml:space="preserve"> </w:t>
            </w:r>
            <w:r>
              <w:rPr>
                <w:sz w:val="22"/>
                <w:szCs w:val="22"/>
                <w:u w:val="single" w:color="auto"/>
              </w:rPr>
              <w:t xml:space="preserve">     </w:t>
            </w:r>
            <w:r>
              <w:rPr>
                <w:spacing w:val="-102"/>
                <w:sz w:val="22"/>
                <w:szCs w:val="22"/>
              </w:rPr>
              <w:t xml:space="preserve"> </w:t>
            </w:r>
            <w:r>
              <w:rPr>
                <w:spacing w:val="-2"/>
                <w:sz w:val="22"/>
                <w:szCs w:val="22"/>
              </w:rPr>
              <w:t>米供水管道</w:t>
            </w:r>
          </w:p>
        </w:tc>
        <w:tc>
          <w:tcPr>
            <w:tcW w:w="657" w:type="dxa"/>
            <w:vAlign w:val="top"/>
          </w:tcPr>
          <w:p>
            <w:pPr>
              <w:pStyle w:val="95"/>
              <w:spacing w:before="225" w:line="220" w:lineRule="auto"/>
              <w:ind w:left="114"/>
              <w:rPr>
                <w:sz w:val="22"/>
                <w:szCs w:val="22"/>
              </w:rPr>
            </w:pPr>
            <w:r>
              <w:rPr>
                <w:spacing w:val="-3"/>
                <w:sz w:val="22"/>
                <w:szCs w:val="22"/>
              </w:rPr>
              <w:t>数值</w:t>
            </w:r>
          </w:p>
        </w:tc>
        <w:tc>
          <w:tcPr>
            <w:tcW w:w="2366" w:type="dxa"/>
            <w:vAlign w:val="top"/>
          </w:tcPr>
          <w:p>
            <w:pPr>
              <w:pStyle w:val="95"/>
              <w:spacing w:before="68"/>
              <w:ind w:left="114" w:right="175"/>
              <w:rPr>
                <w:sz w:val="22"/>
                <w:szCs w:val="22"/>
              </w:rPr>
            </w:pPr>
            <w:r>
              <w:rPr>
                <w:spacing w:val="-2"/>
                <w:sz w:val="22"/>
                <w:szCs w:val="22"/>
              </w:rPr>
              <w:t>①≥1，≥5000，大型</w:t>
            </w:r>
            <w:r>
              <w:rPr>
                <w:spacing w:val="4"/>
                <w:sz w:val="22"/>
                <w:szCs w:val="22"/>
              </w:rPr>
              <w:t xml:space="preserve"> </w:t>
            </w:r>
            <w:r>
              <w:rPr>
                <w:spacing w:val="-1"/>
                <w:sz w:val="22"/>
                <w:szCs w:val="22"/>
              </w:rPr>
              <w:t>②&lt;1，&lt;5000，中型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69" w:hRule="atLeast"/>
        </w:trPr>
        <w:tc>
          <w:tcPr>
            <w:tcW w:w="665" w:type="dxa"/>
            <w:vAlign w:val="top"/>
          </w:tcPr>
          <w:p>
            <w:pPr>
              <w:pStyle w:val="95"/>
              <w:spacing w:before="262" w:line="182" w:lineRule="auto"/>
              <w:ind w:left="229"/>
              <w:rPr>
                <w:sz w:val="22"/>
                <w:szCs w:val="22"/>
              </w:rPr>
            </w:pPr>
            <w:r>
              <w:rPr>
                <w:spacing w:val="-3"/>
                <w:sz w:val="22"/>
                <w:szCs w:val="22"/>
              </w:rPr>
              <w:t>26</w:t>
            </w:r>
          </w:p>
        </w:tc>
        <w:tc>
          <w:tcPr>
            <w:tcW w:w="1099" w:type="dxa"/>
            <w:vMerge w:val="continue"/>
            <w:tcBorders>
              <w:top w:val="nil"/>
            </w:tcBorders>
            <w:vAlign w:val="top"/>
          </w:tcPr>
          <w:p>
            <w:pPr>
              <w:rPr>
                <w:rFonts w:ascii="Arial"/>
                <w:sz w:val="21"/>
              </w:rPr>
            </w:pPr>
          </w:p>
        </w:tc>
        <w:tc>
          <w:tcPr>
            <w:tcW w:w="816" w:type="dxa"/>
            <w:vMerge w:val="continue"/>
            <w:tcBorders>
              <w:top w:val="nil"/>
            </w:tcBorders>
            <w:vAlign w:val="top"/>
          </w:tcPr>
          <w:p>
            <w:pPr>
              <w:rPr>
                <w:rFonts w:ascii="Arial"/>
                <w:sz w:val="21"/>
              </w:rPr>
            </w:pPr>
          </w:p>
        </w:tc>
        <w:tc>
          <w:tcPr>
            <w:tcW w:w="2637" w:type="dxa"/>
            <w:vMerge w:val="continue"/>
            <w:tcBorders>
              <w:top w:val="nil"/>
            </w:tcBorders>
            <w:vAlign w:val="top"/>
          </w:tcPr>
          <w:p>
            <w:pPr>
              <w:rPr>
                <w:rFonts w:ascii="Arial"/>
                <w:sz w:val="21"/>
              </w:rPr>
            </w:pPr>
          </w:p>
        </w:tc>
        <w:tc>
          <w:tcPr>
            <w:tcW w:w="4616" w:type="dxa"/>
            <w:vAlign w:val="top"/>
          </w:tcPr>
          <w:p>
            <w:pPr>
              <w:pStyle w:val="95"/>
              <w:spacing w:before="225" w:line="220" w:lineRule="auto"/>
              <w:ind w:left="115"/>
              <w:rPr>
                <w:sz w:val="22"/>
                <w:szCs w:val="22"/>
              </w:rPr>
            </w:pPr>
            <w:r>
              <w:rPr>
                <w:spacing w:val="-2"/>
                <w:sz w:val="22"/>
                <w:szCs w:val="22"/>
              </w:rPr>
              <w:t>工程量</w:t>
            </w:r>
            <w:r>
              <w:rPr>
                <w:spacing w:val="-2"/>
                <w:sz w:val="22"/>
                <w:szCs w:val="22"/>
                <w:u w:val="single" w:color="auto"/>
              </w:rPr>
              <w:t xml:space="preserve">     </w:t>
            </w:r>
            <w:r>
              <w:rPr>
                <w:spacing w:val="-94"/>
                <w:sz w:val="22"/>
                <w:szCs w:val="22"/>
              </w:rPr>
              <w:t xml:space="preserve"> </w:t>
            </w:r>
            <w:r>
              <w:rPr>
                <w:spacing w:val="-2"/>
                <w:sz w:val="22"/>
                <w:szCs w:val="22"/>
              </w:rPr>
              <w:t>米</w:t>
            </w:r>
          </w:p>
        </w:tc>
        <w:tc>
          <w:tcPr>
            <w:tcW w:w="657" w:type="dxa"/>
            <w:vAlign w:val="top"/>
          </w:tcPr>
          <w:p>
            <w:pPr>
              <w:pStyle w:val="95"/>
              <w:spacing w:before="225" w:line="220" w:lineRule="auto"/>
              <w:ind w:left="114"/>
              <w:rPr>
                <w:sz w:val="22"/>
                <w:szCs w:val="22"/>
              </w:rPr>
            </w:pPr>
            <w:r>
              <w:rPr>
                <w:spacing w:val="-3"/>
                <w:sz w:val="22"/>
                <w:szCs w:val="22"/>
              </w:rPr>
              <w:t>数值</w:t>
            </w:r>
          </w:p>
        </w:tc>
        <w:tc>
          <w:tcPr>
            <w:tcW w:w="2366" w:type="dxa"/>
            <w:vAlign w:val="top"/>
          </w:tcPr>
          <w:p>
            <w:pPr>
              <w:pStyle w:val="95"/>
              <w:spacing w:before="69" w:line="312" w:lineRule="exact"/>
              <w:ind w:left="114"/>
              <w:rPr>
                <w:sz w:val="22"/>
                <w:szCs w:val="22"/>
              </w:rPr>
            </w:pPr>
            <w:r>
              <w:rPr>
                <w:spacing w:val="-2"/>
                <w:position w:val="6"/>
                <w:sz w:val="22"/>
                <w:szCs w:val="22"/>
              </w:rPr>
              <w:t>①≥10000，大型</w:t>
            </w:r>
          </w:p>
          <w:p>
            <w:pPr>
              <w:pStyle w:val="95"/>
              <w:spacing w:line="218" w:lineRule="auto"/>
              <w:ind w:left="114"/>
              <w:rPr>
                <w:sz w:val="22"/>
                <w:szCs w:val="22"/>
              </w:rPr>
            </w:pPr>
            <w:r>
              <w:rPr>
                <w:spacing w:val="-2"/>
                <w:sz w:val="22"/>
                <w:szCs w:val="22"/>
              </w:rPr>
              <w:t>②&lt;10000，中型</w:t>
            </w:r>
          </w:p>
        </w:tc>
      </w:tr>
    </w:tbl>
    <w:p>
      <w:pPr>
        <w:pStyle w:val="16"/>
        <w:spacing w:line="258" w:lineRule="auto"/>
      </w:pPr>
    </w:p>
    <w:p>
      <w:pPr>
        <w:pStyle w:val="16"/>
        <w:spacing w:line="259" w:lineRule="auto"/>
      </w:pPr>
    </w:p>
    <w:p>
      <w:pPr>
        <w:pStyle w:val="16"/>
        <w:spacing w:line="259" w:lineRule="auto"/>
      </w:pPr>
    </w:p>
    <w:p>
      <w:pPr>
        <w:pStyle w:val="16"/>
        <w:spacing w:before="69" w:line="327" w:lineRule="exact"/>
        <w:ind w:left="4057"/>
        <w:rPr>
          <w:sz w:val="24"/>
          <w:szCs w:val="24"/>
        </w:rPr>
      </w:pPr>
      <w:r>
        <w:rPr>
          <w:spacing w:val="-4"/>
          <w:position w:val="1"/>
          <w:sz w:val="24"/>
          <w:szCs w:val="24"/>
        </w:rPr>
        <w:t>39 /</w:t>
      </w:r>
      <w:r>
        <w:rPr>
          <w:spacing w:val="26"/>
          <w:position w:val="1"/>
          <w:sz w:val="24"/>
          <w:szCs w:val="24"/>
        </w:rPr>
        <w:t xml:space="preserve"> </w:t>
      </w:r>
      <w:r>
        <w:rPr>
          <w:spacing w:val="-4"/>
          <w:position w:val="1"/>
          <w:sz w:val="24"/>
          <w:szCs w:val="24"/>
        </w:rPr>
        <w:t>165</w:t>
      </w:r>
    </w:p>
    <w:p>
      <w:pPr>
        <w:spacing w:line="327" w:lineRule="exact"/>
        <w:rPr>
          <w:sz w:val="24"/>
          <w:szCs w:val="24"/>
        </w:rPr>
        <w:sectPr>
          <w:pgSz w:w="16839" w:h="11907"/>
          <w:pgMar w:top="400" w:right="2525" w:bottom="400" w:left="995" w:header="0" w:footer="0" w:gutter="0"/>
          <w:cols w:space="720" w:num="1"/>
        </w:sectPr>
      </w:pPr>
    </w:p>
    <w:p>
      <w:pPr>
        <w:spacing w:before="39"/>
      </w:pPr>
      <w:r>
        <mc:AlternateContent>
          <mc:Choice Requires="wps">
            <w:drawing>
              <wp:anchor distT="0" distB="0" distL="114300" distR="114300" simplePos="0" relativeHeight="251673600" behindDoc="0" locked="0" layoutInCell="0" allowOverlap="1">
                <wp:simplePos x="0" y="0"/>
                <wp:positionH relativeFrom="page">
                  <wp:posOffset>631825</wp:posOffset>
                </wp:positionH>
                <wp:positionV relativeFrom="page">
                  <wp:posOffset>6922135</wp:posOffset>
                </wp:positionV>
                <wp:extent cx="6292850" cy="6350"/>
                <wp:effectExtent l="0" t="0" r="0" b="0"/>
                <wp:wrapNone/>
                <wp:docPr id="13" name="任意多边形 13"/>
                <wp:cNvGraphicFramePr/>
                <a:graphic xmlns:a="http://schemas.openxmlformats.org/drawingml/2006/main">
                  <a:graphicData uri="http://schemas.microsoft.com/office/word/2010/wordprocessingShape">
                    <wps:wsp>
                      <wps:cNvSpPr/>
                      <wps:spPr>
                        <a:xfrm>
                          <a:off x="0" y="0"/>
                          <a:ext cx="6292850" cy="6350"/>
                        </a:xfrm>
                        <a:custGeom>
                          <a:avLst/>
                          <a:gdLst/>
                          <a:ahLst/>
                          <a:cxnLst/>
                          <a:pathLst>
                            <a:path w="9910" h="10">
                              <a:moveTo>
                                <a:pt x="5" y="5"/>
                              </a:moveTo>
                              <a:lnTo>
                                <a:pt x="4955" y="5"/>
                              </a:lnTo>
                              <a:moveTo>
                                <a:pt x="4955" y="5"/>
                              </a:moveTo>
                              <a:lnTo>
                                <a:pt x="9905" y="5"/>
                              </a:lnTo>
                            </a:path>
                          </a:pathLst>
                        </a:custGeom>
                        <a:noFill/>
                        <a:ln w="6350" cap="sq" cmpd="sng">
                          <a:solidFill>
                            <a:srgbClr val="000000"/>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49.75pt;margin-top:545.05pt;height:0.5pt;width:495.5pt;mso-position-horizontal-relative:page;mso-position-vertical-relative:page;z-index:251673600;mso-width-relative:page;mso-height-relative:page;" filled="f" stroked="t" coordsize="9910,10" o:allowincell="f" o:gfxdata="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WAAAAZHJzL1BL&#10;AQIUABQAAAAIAIdO4kDujIKO2gAAAA0BAAAPAAAAAAAAAAEAIAAAADgAAABkcnMvZG93bnJldi54&#10;bWxQSwECFAAUAAAACACHTuJAwHKk4VQCAAD2BAAADgAAAAAAAAABACAAAAA/AQAAZHJzL2Uyb0Rv&#10;Yy54bWxQSwUGAAAAAAYABgBZAQAABQYAAAAA&#10;" path="m5,5l4955,5m4955,5l9905,5e">
                <v:fill on="f" focussize="0,0"/>
                <v:stroke weight="0.5pt" color="#000000" miterlimit="10" joinstyle="miter" endcap="square"/>
                <v:imagedata o:title=""/>
                <o:lock v:ext="edit" aspectratio="f"/>
              </v:shape>
            </w:pict>
          </mc:Fallback>
        </mc:AlternateContent>
      </w:r>
    </w:p>
    <w:p>
      <w:pPr>
        <w:spacing w:before="39"/>
      </w:pPr>
    </w:p>
    <w:p>
      <w:pPr>
        <w:spacing w:before="39"/>
      </w:pPr>
    </w:p>
    <w:p>
      <w:pPr>
        <w:spacing w:before="38"/>
      </w:pPr>
    </w:p>
    <w:p>
      <w:pPr>
        <w:spacing w:before="38"/>
      </w:pPr>
    </w:p>
    <w:tbl>
      <w:tblPr>
        <w:tblStyle w:val="96"/>
        <w:tblW w:w="12856" w:type="dxa"/>
        <w:tblInd w:w="44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5"/>
        <w:gridCol w:w="1099"/>
        <w:gridCol w:w="816"/>
        <w:gridCol w:w="2637"/>
        <w:gridCol w:w="4616"/>
        <w:gridCol w:w="657"/>
        <w:gridCol w:w="23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63" w:hRule="atLeast"/>
        </w:trPr>
        <w:tc>
          <w:tcPr>
            <w:tcW w:w="665" w:type="dxa"/>
            <w:tcBorders>
              <w:top w:val="nil"/>
            </w:tcBorders>
            <w:vAlign w:val="top"/>
          </w:tcPr>
          <w:p>
            <w:pPr>
              <w:spacing w:line="315" w:lineRule="auto"/>
              <w:rPr>
                <w:rFonts w:ascii="Arial"/>
                <w:sz w:val="21"/>
              </w:rPr>
            </w:pPr>
          </w:p>
          <w:p>
            <w:pPr>
              <w:spacing w:line="315" w:lineRule="auto"/>
              <w:rPr>
                <w:rFonts w:ascii="Arial"/>
                <w:sz w:val="21"/>
              </w:rPr>
            </w:pPr>
          </w:p>
          <w:p>
            <w:pPr>
              <w:pStyle w:val="95"/>
              <w:spacing w:before="72" w:line="182" w:lineRule="auto"/>
              <w:ind w:left="229"/>
              <w:rPr>
                <w:sz w:val="22"/>
                <w:szCs w:val="22"/>
              </w:rPr>
            </w:pPr>
            <w:r>
              <w:rPr>
                <w:spacing w:val="-3"/>
                <w:sz w:val="22"/>
                <w:szCs w:val="22"/>
              </w:rPr>
              <w:t>27</w:t>
            </w:r>
          </w:p>
        </w:tc>
        <w:tc>
          <w:tcPr>
            <w:tcW w:w="1099" w:type="dxa"/>
            <w:vMerge w:val="restart"/>
            <w:tcBorders>
              <w:top w:val="nil"/>
              <w:bottom w:val="nil"/>
            </w:tcBorders>
            <w:vAlign w:val="top"/>
          </w:tcPr>
          <w:p>
            <w:pPr>
              <w:rPr>
                <w:rFonts w:ascii="Arial"/>
                <w:sz w:val="21"/>
              </w:rPr>
            </w:pPr>
          </w:p>
        </w:tc>
        <w:tc>
          <w:tcPr>
            <w:tcW w:w="816" w:type="dxa"/>
            <w:vMerge w:val="restart"/>
            <w:tcBorders>
              <w:top w:val="nil"/>
              <w:bottom w:val="nil"/>
            </w:tcBorders>
            <w:vAlign w:val="top"/>
          </w:tcPr>
          <w:p>
            <w:pPr>
              <w:rPr>
                <w:rFonts w:ascii="Arial"/>
                <w:sz w:val="21"/>
              </w:rPr>
            </w:pPr>
          </w:p>
        </w:tc>
        <w:tc>
          <w:tcPr>
            <w:tcW w:w="2637" w:type="dxa"/>
            <w:tcBorders>
              <w:top w:val="nil"/>
            </w:tcBorders>
            <w:vAlign w:val="top"/>
          </w:tcPr>
          <w:p>
            <w:pPr>
              <w:spacing w:line="297" w:lineRule="auto"/>
              <w:rPr>
                <w:rFonts w:ascii="Arial"/>
                <w:sz w:val="21"/>
              </w:rPr>
            </w:pPr>
          </w:p>
          <w:p>
            <w:pPr>
              <w:spacing w:line="297" w:lineRule="auto"/>
              <w:rPr>
                <w:rFonts w:ascii="Arial"/>
                <w:sz w:val="21"/>
              </w:rPr>
            </w:pPr>
          </w:p>
          <w:p>
            <w:pPr>
              <w:pStyle w:val="95"/>
              <w:spacing w:before="71" w:line="221" w:lineRule="auto"/>
              <w:ind w:left="661"/>
              <w:rPr>
                <w:sz w:val="22"/>
                <w:szCs w:val="22"/>
              </w:rPr>
            </w:pPr>
            <w:r>
              <w:rPr>
                <w:spacing w:val="-1"/>
                <w:sz w:val="22"/>
                <w:szCs w:val="22"/>
              </w:rPr>
              <w:t>变配电站工程</w:t>
            </w:r>
          </w:p>
        </w:tc>
        <w:tc>
          <w:tcPr>
            <w:tcW w:w="4616" w:type="dxa"/>
            <w:tcBorders>
              <w:top w:val="nil"/>
            </w:tcBorders>
            <w:vAlign w:val="top"/>
          </w:tcPr>
          <w:p>
            <w:pPr>
              <w:spacing w:line="297" w:lineRule="auto"/>
              <w:rPr>
                <w:rFonts w:ascii="Arial"/>
                <w:sz w:val="21"/>
              </w:rPr>
            </w:pPr>
          </w:p>
          <w:p>
            <w:pPr>
              <w:spacing w:line="297" w:lineRule="auto"/>
              <w:rPr>
                <w:rFonts w:ascii="Arial"/>
                <w:sz w:val="21"/>
              </w:rPr>
            </w:pPr>
          </w:p>
          <w:p>
            <w:pPr>
              <w:pStyle w:val="95"/>
              <w:spacing w:before="72" w:line="220" w:lineRule="auto"/>
              <w:ind w:left="115"/>
              <w:rPr>
                <w:sz w:val="22"/>
                <w:szCs w:val="22"/>
              </w:rPr>
            </w:pPr>
            <w:r>
              <w:rPr>
                <w:spacing w:val="-2"/>
                <w:sz w:val="22"/>
                <w:szCs w:val="22"/>
              </w:rPr>
              <w:t>工程规模电压</w:t>
            </w:r>
            <w:r>
              <w:rPr>
                <w:spacing w:val="-101"/>
                <w:sz w:val="22"/>
                <w:szCs w:val="22"/>
              </w:rPr>
              <w:t xml:space="preserve"> </w:t>
            </w:r>
            <w:r>
              <w:rPr>
                <w:spacing w:val="27"/>
                <w:sz w:val="22"/>
                <w:szCs w:val="22"/>
                <w:u w:val="single" w:color="auto"/>
              </w:rPr>
              <w:t xml:space="preserve">    </w:t>
            </w:r>
            <w:r>
              <w:rPr>
                <w:spacing w:val="-101"/>
                <w:sz w:val="22"/>
                <w:szCs w:val="22"/>
              </w:rPr>
              <w:t xml:space="preserve"> </w:t>
            </w:r>
            <w:r>
              <w:rPr>
                <w:spacing w:val="-2"/>
                <w:sz w:val="22"/>
                <w:szCs w:val="22"/>
              </w:rPr>
              <w:t>kv，且容量</w:t>
            </w:r>
            <w:r>
              <w:rPr>
                <w:spacing w:val="-110"/>
                <w:sz w:val="22"/>
                <w:szCs w:val="22"/>
              </w:rPr>
              <w:t xml:space="preserve"> </w:t>
            </w:r>
            <w:r>
              <w:rPr>
                <w:spacing w:val="27"/>
                <w:sz w:val="22"/>
                <w:szCs w:val="22"/>
                <w:u w:val="single" w:color="auto"/>
              </w:rPr>
              <w:t xml:space="preserve">    </w:t>
            </w:r>
            <w:r>
              <w:rPr>
                <w:spacing w:val="-102"/>
                <w:sz w:val="22"/>
                <w:szCs w:val="22"/>
              </w:rPr>
              <w:t xml:space="preserve"> </w:t>
            </w:r>
            <w:r>
              <w:rPr>
                <w:spacing w:val="-2"/>
                <w:sz w:val="22"/>
                <w:szCs w:val="22"/>
              </w:rPr>
              <w:t>kvA</w:t>
            </w:r>
          </w:p>
        </w:tc>
        <w:tc>
          <w:tcPr>
            <w:tcW w:w="657" w:type="dxa"/>
            <w:tcBorders>
              <w:top w:val="nil"/>
            </w:tcBorders>
            <w:vAlign w:val="top"/>
          </w:tcPr>
          <w:p>
            <w:pPr>
              <w:spacing w:line="297" w:lineRule="auto"/>
              <w:rPr>
                <w:rFonts w:ascii="Arial"/>
                <w:sz w:val="21"/>
              </w:rPr>
            </w:pPr>
          </w:p>
          <w:p>
            <w:pPr>
              <w:spacing w:line="297" w:lineRule="auto"/>
              <w:rPr>
                <w:rFonts w:ascii="Arial"/>
                <w:sz w:val="21"/>
              </w:rPr>
            </w:pPr>
          </w:p>
          <w:p>
            <w:pPr>
              <w:pStyle w:val="95"/>
              <w:spacing w:before="72" w:line="220" w:lineRule="auto"/>
              <w:ind w:left="114"/>
              <w:rPr>
                <w:sz w:val="22"/>
                <w:szCs w:val="22"/>
              </w:rPr>
            </w:pPr>
            <w:r>
              <w:rPr>
                <w:spacing w:val="-3"/>
                <w:sz w:val="22"/>
                <w:szCs w:val="22"/>
              </w:rPr>
              <w:t>数值</w:t>
            </w:r>
          </w:p>
        </w:tc>
        <w:tc>
          <w:tcPr>
            <w:tcW w:w="2366" w:type="dxa"/>
            <w:tcBorders>
              <w:top w:val="nil"/>
            </w:tcBorders>
            <w:vAlign w:val="top"/>
          </w:tcPr>
          <w:p>
            <w:pPr>
              <w:pStyle w:val="95"/>
              <w:spacing w:before="45" w:line="245" w:lineRule="auto"/>
              <w:ind w:left="121" w:right="170" w:hanging="7"/>
              <w:rPr>
                <w:sz w:val="22"/>
                <w:szCs w:val="22"/>
              </w:rPr>
            </w:pPr>
            <w:r>
              <w:rPr>
                <w:spacing w:val="-2"/>
                <w:sz w:val="22"/>
                <w:szCs w:val="22"/>
              </w:rPr>
              <w:t>①10~35，≥5000，大</w:t>
            </w:r>
            <w:r>
              <w:rPr>
                <w:spacing w:val="12"/>
                <w:sz w:val="22"/>
                <w:szCs w:val="22"/>
              </w:rPr>
              <w:t xml:space="preserve"> </w:t>
            </w:r>
            <w:r>
              <w:rPr>
                <w:sz w:val="22"/>
                <w:szCs w:val="22"/>
              </w:rPr>
              <w:t>型</w:t>
            </w:r>
          </w:p>
          <w:p>
            <w:pPr>
              <w:pStyle w:val="95"/>
              <w:spacing w:before="40" w:line="218" w:lineRule="auto"/>
              <w:ind w:left="114"/>
              <w:rPr>
                <w:sz w:val="22"/>
                <w:szCs w:val="22"/>
              </w:rPr>
            </w:pPr>
            <w:r>
              <w:rPr>
                <w:spacing w:val="-1"/>
                <w:sz w:val="22"/>
                <w:szCs w:val="22"/>
              </w:rPr>
              <w:t>②10~35，</w:t>
            </w:r>
          </w:p>
          <w:p>
            <w:pPr>
              <w:pStyle w:val="95"/>
              <w:spacing w:before="52" w:line="221" w:lineRule="auto"/>
              <w:ind w:left="132"/>
              <w:rPr>
                <w:sz w:val="22"/>
                <w:szCs w:val="22"/>
              </w:rPr>
            </w:pPr>
            <w:r>
              <w:rPr>
                <w:spacing w:val="-3"/>
                <w:sz w:val="22"/>
                <w:szCs w:val="22"/>
              </w:rPr>
              <w:t>1600~5000，中型</w:t>
            </w:r>
          </w:p>
          <w:p>
            <w:pPr>
              <w:pStyle w:val="95"/>
              <w:spacing w:before="48" w:line="218" w:lineRule="auto"/>
              <w:ind w:left="114"/>
              <w:rPr>
                <w:sz w:val="22"/>
                <w:szCs w:val="22"/>
              </w:rPr>
            </w:pPr>
            <w:r>
              <w:rPr>
                <w:spacing w:val="-2"/>
                <w:sz w:val="22"/>
                <w:szCs w:val="22"/>
              </w:rPr>
              <w:t>③10，&lt;1600，小型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95" w:hRule="atLeast"/>
        </w:trPr>
        <w:tc>
          <w:tcPr>
            <w:tcW w:w="665" w:type="dxa"/>
            <w:vAlign w:val="top"/>
          </w:tcPr>
          <w:p>
            <w:pPr>
              <w:spacing w:line="349" w:lineRule="auto"/>
              <w:rPr>
                <w:rFonts w:ascii="Arial"/>
                <w:sz w:val="21"/>
              </w:rPr>
            </w:pPr>
          </w:p>
          <w:p>
            <w:pPr>
              <w:pStyle w:val="95"/>
              <w:spacing w:before="71" w:line="182" w:lineRule="auto"/>
              <w:ind w:left="229"/>
              <w:rPr>
                <w:sz w:val="22"/>
                <w:szCs w:val="22"/>
              </w:rPr>
            </w:pPr>
            <w:r>
              <w:rPr>
                <w:spacing w:val="-3"/>
                <w:sz w:val="22"/>
                <w:szCs w:val="22"/>
              </w:rPr>
              <w:t>28</w:t>
            </w:r>
          </w:p>
        </w:tc>
        <w:tc>
          <w:tcPr>
            <w:tcW w:w="1099" w:type="dxa"/>
            <w:vMerge w:val="continue"/>
            <w:tcBorders>
              <w:top w:val="nil"/>
              <w:bottom w:val="nil"/>
            </w:tcBorders>
            <w:vAlign w:val="top"/>
          </w:tcPr>
          <w:p>
            <w:pPr>
              <w:rPr>
                <w:rFonts w:ascii="Arial"/>
                <w:sz w:val="21"/>
              </w:rPr>
            </w:pPr>
          </w:p>
        </w:tc>
        <w:tc>
          <w:tcPr>
            <w:tcW w:w="816" w:type="dxa"/>
            <w:vMerge w:val="continue"/>
            <w:tcBorders>
              <w:top w:val="nil"/>
            </w:tcBorders>
            <w:vAlign w:val="top"/>
          </w:tcPr>
          <w:p>
            <w:pPr>
              <w:rPr>
                <w:rFonts w:ascii="Arial"/>
                <w:sz w:val="21"/>
              </w:rPr>
            </w:pPr>
          </w:p>
        </w:tc>
        <w:tc>
          <w:tcPr>
            <w:tcW w:w="2637" w:type="dxa"/>
            <w:vAlign w:val="top"/>
          </w:tcPr>
          <w:p>
            <w:pPr>
              <w:spacing w:line="312" w:lineRule="auto"/>
              <w:rPr>
                <w:rFonts w:ascii="Arial"/>
                <w:sz w:val="21"/>
              </w:rPr>
            </w:pPr>
          </w:p>
          <w:p>
            <w:pPr>
              <w:pStyle w:val="95"/>
              <w:spacing w:before="72" w:line="220" w:lineRule="auto"/>
              <w:ind w:left="469"/>
              <w:rPr>
                <w:sz w:val="22"/>
                <w:szCs w:val="22"/>
              </w:rPr>
            </w:pPr>
            <w:r>
              <w:rPr>
                <w:spacing w:val="-4"/>
                <w:sz w:val="22"/>
                <w:szCs w:val="22"/>
              </w:rPr>
              <w:t>电气动力照明工程</w:t>
            </w:r>
          </w:p>
        </w:tc>
        <w:tc>
          <w:tcPr>
            <w:tcW w:w="4616" w:type="dxa"/>
            <w:vAlign w:val="top"/>
          </w:tcPr>
          <w:p>
            <w:pPr>
              <w:spacing w:line="312" w:lineRule="auto"/>
              <w:rPr>
                <w:rFonts w:ascii="Arial"/>
                <w:sz w:val="21"/>
              </w:rPr>
            </w:pPr>
          </w:p>
          <w:p>
            <w:pPr>
              <w:pStyle w:val="95"/>
              <w:spacing w:before="71" w:line="219" w:lineRule="auto"/>
              <w:ind w:left="114"/>
              <w:rPr>
                <w:sz w:val="22"/>
                <w:szCs w:val="22"/>
              </w:rPr>
            </w:pPr>
            <w:r>
              <w:rPr>
                <w:spacing w:val="-2"/>
                <w:sz w:val="22"/>
                <w:szCs w:val="22"/>
              </w:rPr>
              <w:t>单项工程造价</w:t>
            </w:r>
            <w:r>
              <w:rPr>
                <w:spacing w:val="-110"/>
                <w:sz w:val="22"/>
                <w:szCs w:val="22"/>
              </w:rPr>
              <w:t xml:space="preserve"> </w:t>
            </w:r>
            <w:r>
              <w:rPr>
                <w:spacing w:val="27"/>
                <w:sz w:val="22"/>
                <w:szCs w:val="22"/>
                <w:u w:val="single" w:color="auto"/>
              </w:rPr>
              <w:t xml:space="preserve">    </w:t>
            </w:r>
            <w:r>
              <w:rPr>
                <w:spacing w:val="-94"/>
                <w:sz w:val="22"/>
                <w:szCs w:val="22"/>
              </w:rPr>
              <w:t xml:space="preserve"> </w:t>
            </w:r>
            <w:r>
              <w:rPr>
                <w:spacing w:val="-2"/>
                <w:sz w:val="22"/>
                <w:szCs w:val="22"/>
              </w:rPr>
              <w:t>万元</w:t>
            </w:r>
          </w:p>
        </w:tc>
        <w:tc>
          <w:tcPr>
            <w:tcW w:w="657" w:type="dxa"/>
            <w:vAlign w:val="top"/>
          </w:tcPr>
          <w:p>
            <w:pPr>
              <w:spacing w:line="312" w:lineRule="auto"/>
              <w:rPr>
                <w:rFonts w:ascii="Arial"/>
                <w:sz w:val="21"/>
              </w:rPr>
            </w:pPr>
          </w:p>
          <w:p>
            <w:pPr>
              <w:pStyle w:val="95"/>
              <w:spacing w:before="72" w:line="220" w:lineRule="auto"/>
              <w:ind w:left="114"/>
              <w:rPr>
                <w:sz w:val="22"/>
                <w:szCs w:val="22"/>
              </w:rPr>
            </w:pPr>
            <w:r>
              <w:rPr>
                <w:spacing w:val="-3"/>
                <w:sz w:val="22"/>
                <w:szCs w:val="22"/>
              </w:rPr>
              <w:t>数值</w:t>
            </w:r>
          </w:p>
        </w:tc>
        <w:tc>
          <w:tcPr>
            <w:tcW w:w="2366" w:type="dxa"/>
            <w:vAlign w:val="top"/>
          </w:tcPr>
          <w:p>
            <w:pPr>
              <w:pStyle w:val="95"/>
              <w:spacing w:before="73" w:line="218" w:lineRule="auto"/>
              <w:ind w:left="114"/>
              <w:rPr>
                <w:sz w:val="22"/>
                <w:szCs w:val="22"/>
              </w:rPr>
            </w:pPr>
            <w:r>
              <w:rPr>
                <w:spacing w:val="-2"/>
                <w:sz w:val="22"/>
                <w:szCs w:val="22"/>
              </w:rPr>
              <w:t>①≥1000，大型</w:t>
            </w:r>
          </w:p>
          <w:p>
            <w:pPr>
              <w:pStyle w:val="95"/>
              <w:spacing w:before="52" w:line="312" w:lineRule="exact"/>
              <w:ind w:left="114"/>
              <w:rPr>
                <w:sz w:val="22"/>
                <w:szCs w:val="22"/>
              </w:rPr>
            </w:pPr>
            <w:r>
              <w:rPr>
                <w:spacing w:val="-2"/>
                <w:position w:val="6"/>
                <w:sz w:val="22"/>
                <w:szCs w:val="22"/>
              </w:rPr>
              <w:t>②200~1000，中型</w:t>
            </w:r>
          </w:p>
          <w:p>
            <w:pPr>
              <w:pStyle w:val="95"/>
              <w:spacing w:line="218" w:lineRule="auto"/>
              <w:ind w:left="114"/>
              <w:rPr>
                <w:sz w:val="22"/>
                <w:szCs w:val="22"/>
              </w:rPr>
            </w:pPr>
            <w:r>
              <w:rPr>
                <w:spacing w:val="-1"/>
                <w:sz w:val="22"/>
                <w:szCs w:val="22"/>
              </w:rPr>
              <w:t>③&lt;200，小型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3" w:hRule="atLeast"/>
        </w:trPr>
        <w:tc>
          <w:tcPr>
            <w:tcW w:w="665" w:type="dxa"/>
            <w:vAlign w:val="top"/>
          </w:tcPr>
          <w:p>
            <w:pPr>
              <w:pStyle w:val="95"/>
              <w:spacing w:before="94" w:line="182" w:lineRule="auto"/>
              <w:ind w:left="229"/>
              <w:rPr>
                <w:sz w:val="22"/>
                <w:szCs w:val="22"/>
              </w:rPr>
            </w:pPr>
            <w:r>
              <w:rPr>
                <w:spacing w:val="-3"/>
                <w:sz w:val="22"/>
                <w:szCs w:val="22"/>
              </w:rPr>
              <w:t>29</w:t>
            </w:r>
          </w:p>
        </w:tc>
        <w:tc>
          <w:tcPr>
            <w:tcW w:w="1099" w:type="dxa"/>
            <w:vMerge w:val="continue"/>
            <w:tcBorders>
              <w:top w:val="nil"/>
              <w:bottom w:val="nil"/>
            </w:tcBorders>
            <w:vAlign w:val="top"/>
          </w:tcPr>
          <w:p>
            <w:pPr>
              <w:rPr>
                <w:rFonts w:ascii="Arial"/>
                <w:sz w:val="21"/>
              </w:rPr>
            </w:pPr>
          </w:p>
        </w:tc>
        <w:tc>
          <w:tcPr>
            <w:tcW w:w="816" w:type="dxa"/>
            <w:vMerge w:val="restart"/>
            <w:tcBorders>
              <w:bottom w:val="nil"/>
            </w:tcBorders>
            <w:vAlign w:val="top"/>
          </w:tcPr>
          <w:p>
            <w:pPr>
              <w:pStyle w:val="95"/>
              <w:spacing w:before="62" w:line="312" w:lineRule="exact"/>
              <w:ind w:left="192"/>
              <w:rPr>
                <w:sz w:val="22"/>
                <w:szCs w:val="22"/>
              </w:rPr>
            </w:pPr>
            <w:r>
              <w:rPr>
                <w:spacing w:val="-2"/>
                <w:position w:val="6"/>
                <w:sz w:val="22"/>
                <w:szCs w:val="22"/>
              </w:rPr>
              <w:t>其他</w:t>
            </w:r>
          </w:p>
          <w:p>
            <w:pPr>
              <w:pStyle w:val="95"/>
              <w:spacing w:before="1" w:line="220" w:lineRule="auto"/>
              <w:ind w:left="191"/>
              <w:rPr>
                <w:sz w:val="22"/>
                <w:szCs w:val="22"/>
              </w:rPr>
            </w:pPr>
            <w:r>
              <w:rPr>
                <w:spacing w:val="-2"/>
                <w:sz w:val="22"/>
                <w:szCs w:val="22"/>
              </w:rPr>
              <w:t>相关</w:t>
            </w:r>
          </w:p>
          <w:p>
            <w:pPr>
              <w:pStyle w:val="95"/>
              <w:spacing w:before="48" w:line="221" w:lineRule="auto"/>
              <w:ind w:left="192"/>
              <w:rPr>
                <w:sz w:val="22"/>
                <w:szCs w:val="22"/>
              </w:rPr>
            </w:pPr>
            <w:r>
              <w:rPr>
                <w:spacing w:val="-2"/>
                <w:sz w:val="22"/>
                <w:szCs w:val="22"/>
              </w:rPr>
              <w:t>专业</w:t>
            </w:r>
          </w:p>
          <w:p>
            <w:pPr>
              <w:pStyle w:val="95"/>
              <w:spacing w:before="48" w:line="221" w:lineRule="auto"/>
              <w:ind w:left="193"/>
              <w:rPr>
                <w:sz w:val="22"/>
                <w:szCs w:val="22"/>
              </w:rPr>
            </w:pPr>
            <w:r>
              <w:rPr>
                <w:spacing w:val="-3"/>
                <w:sz w:val="22"/>
                <w:szCs w:val="22"/>
              </w:rPr>
              <w:t>工程</w:t>
            </w:r>
          </w:p>
        </w:tc>
        <w:tc>
          <w:tcPr>
            <w:tcW w:w="2637" w:type="dxa"/>
            <w:vMerge w:val="restart"/>
            <w:tcBorders>
              <w:bottom w:val="nil"/>
            </w:tcBorders>
            <w:vAlign w:val="top"/>
          </w:tcPr>
          <w:p>
            <w:pPr>
              <w:spacing w:line="457" w:lineRule="auto"/>
              <w:rPr>
                <w:rFonts w:ascii="Arial"/>
                <w:sz w:val="21"/>
              </w:rPr>
            </w:pPr>
          </w:p>
          <w:p>
            <w:pPr>
              <w:pStyle w:val="95"/>
              <w:spacing w:before="71" w:line="219" w:lineRule="auto"/>
              <w:ind w:left="660"/>
              <w:rPr>
                <w:sz w:val="22"/>
                <w:szCs w:val="22"/>
              </w:rPr>
            </w:pPr>
            <w:r>
              <w:rPr>
                <w:spacing w:val="-1"/>
                <w:sz w:val="22"/>
                <w:szCs w:val="22"/>
              </w:rPr>
              <w:t>机电安装工程</w:t>
            </w:r>
          </w:p>
        </w:tc>
        <w:tc>
          <w:tcPr>
            <w:tcW w:w="4616" w:type="dxa"/>
            <w:shd w:val="clear" w:color="auto" w:fill="FFC000"/>
            <w:vAlign w:val="top"/>
          </w:tcPr>
          <w:p>
            <w:pPr>
              <w:pStyle w:val="95"/>
              <w:spacing w:before="58" w:line="220" w:lineRule="auto"/>
              <w:ind w:left="115"/>
              <w:rPr>
                <w:sz w:val="22"/>
                <w:szCs w:val="22"/>
              </w:rPr>
            </w:pPr>
            <w:r>
              <w:rPr>
                <w:spacing w:val="-2"/>
                <w:sz w:val="22"/>
                <w:szCs w:val="22"/>
              </w:rPr>
              <w:t>投资额</w:t>
            </w:r>
            <w:r>
              <w:rPr>
                <w:spacing w:val="-2"/>
                <w:sz w:val="22"/>
                <w:szCs w:val="22"/>
                <w:u w:val="single" w:color="auto"/>
              </w:rPr>
              <w:t xml:space="preserve">      </w:t>
            </w:r>
            <w:r>
              <w:rPr>
                <w:spacing w:val="-92"/>
                <w:sz w:val="22"/>
                <w:szCs w:val="22"/>
              </w:rPr>
              <w:t xml:space="preserve"> </w:t>
            </w:r>
            <w:r>
              <w:rPr>
                <w:spacing w:val="-2"/>
                <w:sz w:val="22"/>
                <w:szCs w:val="22"/>
              </w:rPr>
              <w:t>万元</w:t>
            </w:r>
          </w:p>
        </w:tc>
        <w:tc>
          <w:tcPr>
            <w:tcW w:w="657" w:type="dxa"/>
            <w:shd w:val="clear" w:color="auto" w:fill="FFC000"/>
            <w:vAlign w:val="top"/>
          </w:tcPr>
          <w:p>
            <w:pPr>
              <w:pStyle w:val="95"/>
              <w:spacing w:before="58" w:line="220" w:lineRule="auto"/>
              <w:ind w:left="114"/>
              <w:rPr>
                <w:sz w:val="22"/>
                <w:szCs w:val="22"/>
              </w:rPr>
            </w:pPr>
            <w:r>
              <w:rPr>
                <w:spacing w:val="-3"/>
                <w:sz w:val="22"/>
                <w:szCs w:val="22"/>
              </w:rPr>
              <w:t>数值</w:t>
            </w:r>
          </w:p>
        </w:tc>
        <w:tc>
          <w:tcPr>
            <w:tcW w:w="2366" w:type="dxa"/>
            <w:shd w:val="clear" w:color="auto" w:fill="FFC000"/>
            <w:vAlign w:val="top"/>
          </w:tcPr>
          <w:p>
            <w:pPr>
              <w:pStyle w:val="95"/>
              <w:spacing w:before="58" w:line="220" w:lineRule="auto"/>
              <w:ind w:left="117"/>
              <w:rPr>
                <w:sz w:val="22"/>
                <w:szCs w:val="22"/>
              </w:rPr>
            </w:pPr>
            <w:r>
              <w:rPr>
                <w:spacing w:val="-3"/>
                <w:sz w:val="22"/>
                <w:szCs w:val="22"/>
              </w:rPr>
              <w:t>数值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0" w:hRule="atLeast"/>
        </w:trPr>
        <w:tc>
          <w:tcPr>
            <w:tcW w:w="665" w:type="dxa"/>
            <w:vAlign w:val="top"/>
          </w:tcPr>
          <w:p>
            <w:pPr>
              <w:spacing w:line="324" w:lineRule="auto"/>
              <w:rPr>
                <w:rFonts w:ascii="Arial"/>
                <w:sz w:val="21"/>
              </w:rPr>
            </w:pPr>
          </w:p>
          <w:p>
            <w:pPr>
              <w:pStyle w:val="95"/>
              <w:spacing w:before="71" w:line="182" w:lineRule="auto"/>
              <w:ind w:left="231"/>
              <w:rPr>
                <w:sz w:val="22"/>
                <w:szCs w:val="22"/>
              </w:rPr>
            </w:pPr>
            <w:r>
              <w:rPr>
                <w:spacing w:val="-4"/>
                <w:sz w:val="22"/>
                <w:szCs w:val="22"/>
              </w:rPr>
              <w:t>30</w:t>
            </w:r>
          </w:p>
        </w:tc>
        <w:tc>
          <w:tcPr>
            <w:tcW w:w="1099" w:type="dxa"/>
            <w:vMerge w:val="continue"/>
            <w:tcBorders>
              <w:top w:val="nil"/>
              <w:bottom w:val="nil"/>
            </w:tcBorders>
            <w:vAlign w:val="top"/>
          </w:tcPr>
          <w:p>
            <w:pPr>
              <w:rPr>
                <w:rFonts w:ascii="Arial"/>
                <w:sz w:val="21"/>
              </w:rPr>
            </w:pPr>
          </w:p>
        </w:tc>
        <w:tc>
          <w:tcPr>
            <w:tcW w:w="816" w:type="dxa"/>
            <w:vMerge w:val="continue"/>
            <w:tcBorders>
              <w:top w:val="nil"/>
            </w:tcBorders>
            <w:vAlign w:val="top"/>
          </w:tcPr>
          <w:p>
            <w:pPr>
              <w:rPr>
                <w:rFonts w:ascii="Arial"/>
                <w:sz w:val="21"/>
              </w:rPr>
            </w:pPr>
          </w:p>
        </w:tc>
        <w:tc>
          <w:tcPr>
            <w:tcW w:w="2637" w:type="dxa"/>
            <w:vMerge w:val="continue"/>
            <w:tcBorders>
              <w:top w:val="nil"/>
            </w:tcBorders>
            <w:vAlign w:val="top"/>
          </w:tcPr>
          <w:p>
            <w:pPr>
              <w:rPr>
                <w:rFonts w:ascii="Arial"/>
                <w:sz w:val="21"/>
              </w:rPr>
            </w:pPr>
          </w:p>
        </w:tc>
        <w:tc>
          <w:tcPr>
            <w:tcW w:w="4616" w:type="dxa"/>
            <w:vAlign w:val="top"/>
          </w:tcPr>
          <w:p>
            <w:pPr>
              <w:spacing w:line="287" w:lineRule="auto"/>
              <w:rPr>
                <w:rFonts w:ascii="Arial"/>
                <w:sz w:val="21"/>
              </w:rPr>
            </w:pPr>
          </w:p>
          <w:p>
            <w:pPr>
              <w:pStyle w:val="95"/>
              <w:spacing w:before="71" w:line="219" w:lineRule="auto"/>
              <w:ind w:left="114"/>
              <w:rPr>
                <w:sz w:val="22"/>
                <w:szCs w:val="22"/>
              </w:rPr>
            </w:pPr>
            <w:r>
              <w:rPr>
                <w:spacing w:val="-2"/>
                <w:sz w:val="22"/>
                <w:szCs w:val="22"/>
              </w:rPr>
              <w:t>主体工程单项造价额</w:t>
            </w:r>
            <w:r>
              <w:rPr>
                <w:spacing w:val="-104"/>
                <w:sz w:val="22"/>
                <w:szCs w:val="22"/>
              </w:rPr>
              <w:t xml:space="preserve"> </w:t>
            </w:r>
            <w:r>
              <w:rPr>
                <w:spacing w:val="21"/>
                <w:sz w:val="22"/>
                <w:szCs w:val="22"/>
                <w:u w:val="single" w:color="auto"/>
              </w:rPr>
              <w:t xml:space="preserve">     </w:t>
            </w:r>
            <w:r>
              <w:rPr>
                <w:spacing w:val="-93"/>
                <w:sz w:val="22"/>
                <w:szCs w:val="22"/>
              </w:rPr>
              <w:t xml:space="preserve"> </w:t>
            </w:r>
            <w:r>
              <w:rPr>
                <w:spacing w:val="-2"/>
                <w:sz w:val="22"/>
                <w:szCs w:val="22"/>
              </w:rPr>
              <w:t>万元</w:t>
            </w:r>
          </w:p>
        </w:tc>
        <w:tc>
          <w:tcPr>
            <w:tcW w:w="657" w:type="dxa"/>
            <w:vAlign w:val="top"/>
          </w:tcPr>
          <w:p>
            <w:pPr>
              <w:spacing w:line="287" w:lineRule="auto"/>
              <w:rPr>
                <w:rFonts w:ascii="Arial"/>
                <w:sz w:val="21"/>
              </w:rPr>
            </w:pPr>
          </w:p>
          <w:p>
            <w:pPr>
              <w:pStyle w:val="95"/>
              <w:spacing w:before="72" w:line="220" w:lineRule="auto"/>
              <w:ind w:left="114"/>
              <w:rPr>
                <w:sz w:val="22"/>
                <w:szCs w:val="22"/>
              </w:rPr>
            </w:pPr>
            <w:r>
              <w:rPr>
                <w:spacing w:val="-3"/>
                <w:sz w:val="22"/>
                <w:szCs w:val="22"/>
              </w:rPr>
              <w:t>数值</w:t>
            </w:r>
          </w:p>
        </w:tc>
        <w:tc>
          <w:tcPr>
            <w:tcW w:w="2366" w:type="dxa"/>
            <w:vAlign w:val="top"/>
          </w:tcPr>
          <w:p>
            <w:pPr>
              <w:pStyle w:val="95"/>
              <w:spacing w:before="48" w:line="218" w:lineRule="auto"/>
              <w:ind w:left="114"/>
              <w:rPr>
                <w:sz w:val="22"/>
                <w:szCs w:val="22"/>
              </w:rPr>
            </w:pPr>
            <w:r>
              <w:rPr>
                <w:spacing w:val="-2"/>
                <w:sz w:val="22"/>
                <w:szCs w:val="22"/>
              </w:rPr>
              <w:t>①≥1000，大型</w:t>
            </w:r>
          </w:p>
          <w:p>
            <w:pPr>
              <w:pStyle w:val="95"/>
              <w:spacing w:before="51" w:line="239" w:lineRule="auto"/>
              <w:ind w:left="122" w:right="294" w:hanging="8"/>
              <w:rPr>
                <w:sz w:val="22"/>
                <w:szCs w:val="22"/>
              </w:rPr>
            </w:pPr>
            <w:r>
              <w:rPr>
                <w:spacing w:val="-3"/>
                <w:sz w:val="22"/>
                <w:szCs w:val="22"/>
              </w:rPr>
              <w:t>②≥500，&lt;1000，中</w:t>
            </w:r>
            <w:r>
              <w:rPr>
                <w:spacing w:val="10"/>
                <w:sz w:val="22"/>
                <w:szCs w:val="22"/>
              </w:rPr>
              <w:t xml:space="preserve"> </w:t>
            </w:r>
            <w:r>
              <w:rPr>
                <w:sz w:val="22"/>
                <w:szCs w:val="22"/>
              </w:rPr>
              <w:t>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95" w:hRule="atLeast"/>
        </w:trPr>
        <w:tc>
          <w:tcPr>
            <w:tcW w:w="665" w:type="dxa"/>
            <w:vAlign w:val="top"/>
          </w:tcPr>
          <w:p>
            <w:pPr>
              <w:spacing w:line="353" w:lineRule="auto"/>
              <w:rPr>
                <w:rFonts w:ascii="Arial"/>
                <w:sz w:val="21"/>
              </w:rPr>
            </w:pPr>
          </w:p>
          <w:p>
            <w:pPr>
              <w:pStyle w:val="95"/>
              <w:spacing w:before="72" w:line="182" w:lineRule="auto"/>
              <w:ind w:left="231"/>
              <w:rPr>
                <w:sz w:val="22"/>
                <w:szCs w:val="22"/>
              </w:rPr>
            </w:pPr>
            <w:r>
              <w:rPr>
                <w:spacing w:val="-4"/>
                <w:sz w:val="22"/>
                <w:szCs w:val="22"/>
              </w:rPr>
              <w:t>31</w:t>
            </w:r>
          </w:p>
        </w:tc>
        <w:tc>
          <w:tcPr>
            <w:tcW w:w="1099" w:type="dxa"/>
            <w:vMerge w:val="continue"/>
            <w:tcBorders>
              <w:top w:val="nil"/>
              <w:bottom w:val="nil"/>
            </w:tcBorders>
            <w:vAlign w:val="top"/>
          </w:tcPr>
          <w:p>
            <w:pPr>
              <w:rPr>
                <w:rFonts w:ascii="Arial"/>
                <w:sz w:val="21"/>
              </w:rPr>
            </w:pPr>
          </w:p>
        </w:tc>
        <w:tc>
          <w:tcPr>
            <w:tcW w:w="816" w:type="dxa"/>
            <w:vMerge w:val="restart"/>
            <w:tcBorders>
              <w:bottom w:val="nil"/>
            </w:tcBorders>
            <w:vAlign w:val="top"/>
          </w:tcPr>
          <w:p>
            <w:pPr>
              <w:spacing w:line="477" w:lineRule="auto"/>
              <w:rPr>
                <w:rFonts w:ascii="Arial"/>
                <w:sz w:val="21"/>
              </w:rPr>
            </w:pPr>
          </w:p>
          <w:p>
            <w:pPr>
              <w:pStyle w:val="95"/>
              <w:spacing w:before="71" w:line="312" w:lineRule="exact"/>
              <w:ind w:left="191"/>
              <w:rPr>
                <w:sz w:val="22"/>
                <w:szCs w:val="22"/>
              </w:rPr>
            </w:pPr>
            <w:r>
              <w:rPr>
                <w:spacing w:val="-2"/>
                <w:position w:val="6"/>
                <w:sz w:val="22"/>
                <w:szCs w:val="22"/>
              </w:rPr>
              <w:t>装饰</w:t>
            </w:r>
          </w:p>
          <w:p>
            <w:pPr>
              <w:pStyle w:val="95"/>
              <w:spacing w:line="220" w:lineRule="auto"/>
              <w:ind w:left="191"/>
              <w:rPr>
                <w:sz w:val="22"/>
                <w:szCs w:val="22"/>
              </w:rPr>
            </w:pPr>
            <w:r>
              <w:rPr>
                <w:spacing w:val="-2"/>
                <w:sz w:val="22"/>
                <w:szCs w:val="22"/>
              </w:rPr>
              <w:t>装修</w:t>
            </w:r>
          </w:p>
          <w:p>
            <w:pPr>
              <w:pStyle w:val="95"/>
              <w:spacing w:before="49" w:line="221" w:lineRule="auto"/>
              <w:ind w:left="193"/>
              <w:rPr>
                <w:sz w:val="22"/>
                <w:szCs w:val="22"/>
              </w:rPr>
            </w:pPr>
            <w:r>
              <w:rPr>
                <w:spacing w:val="-3"/>
                <w:sz w:val="22"/>
                <w:szCs w:val="22"/>
              </w:rPr>
              <w:t>工程</w:t>
            </w:r>
          </w:p>
        </w:tc>
        <w:tc>
          <w:tcPr>
            <w:tcW w:w="2637" w:type="dxa"/>
            <w:vAlign w:val="top"/>
          </w:tcPr>
          <w:p>
            <w:pPr>
              <w:spacing w:line="317" w:lineRule="auto"/>
              <w:rPr>
                <w:rFonts w:ascii="Arial"/>
                <w:sz w:val="21"/>
              </w:rPr>
            </w:pPr>
          </w:p>
          <w:p>
            <w:pPr>
              <w:pStyle w:val="95"/>
              <w:spacing w:before="72" w:line="220" w:lineRule="auto"/>
              <w:ind w:left="661"/>
              <w:rPr>
                <w:sz w:val="22"/>
                <w:szCs w:val="22"/>
              </w:rPr>
            </w:pPr>
            <w:r>
              <w:rPr>
                <w:spacing w:val="-1"/>
                <w:sz w:val="22"/>
                <w:szCs w:val="22"/>
              </w:rPr>
              <w:t>装饰装修工程</w:t>
            </w:r>
          </w:p>
        </w:tc>
        <w:tc>
          <w:tcPr>
            <w:tcW w:w="4616" w:type="dxa"/>
            <w:vAlign w:val="top"/>
          </w:tcPr>
          <w:p>
            <w:pPr>
              <w:spacing w:line="317" w:lineRule="auto"/>
              <w:rPr>
                <w:rFonts w:ascii="Arial"/>
                <w:sz w:val="21"/>
              </w:rPr>
            </w:pPr>
          </w:p>
          <w:p>
            <w:pPr>
              <w:pStyle w:val="95"/>
              <w:spacing w:before="72" w:line="220" w:lineRule="auto"/>
              <w:ind w:left="114"/>
              <w:rPr>
                <w:sz w:val="22"/>
                <w:szCs w:val="22"/>
              </w:rPr>
            </w:pPr>
            <w:r>
              <w:rPr>
                <w:spacing w:val="-2"/>
                <w:sz w:val="22"/>
                <w:szCs w:val="22"/>
              </w:rPr>
              <w:t>单项工程合同额</w:t>
            </w:r>
            <w:r>
              <w:rPr>
                <w:spacing w:val="-108"/>
                <w:sz w:val="22"/>
                <w:szCs w:val="22"/>
              </w:rPr>
              <w:t xml:space="preserve"> </w:t>
            </w:r>
            <w:r>
              <w:rPr>
                <w:spacing w:val="27"/>
                <w:sz w:val="22"/>
                <w:szCs w:val="22"/>
                <w:u w:val="single" w:color="auto"/>
              </w:rPr>
              <w:t xml:space="preserve">    </w:t>
            </w:r>
            <w:r>
              <w:rPr>
                <w:spacing w:val="-94"/>
                <w:sz w:val="22"/>
                <w:szCs w:val="22"/>
              </w:rPr>
              <w:t xml:space="preserve"> </w:t>
            </w:r>
            <w:r>
              <w:rPr>
                <w:spacing w:val="-2"/>
                <w:sz w:val="22"/>
                <w:szCs w:val="22"/>
              </w:rPr>
              <w:t>万元</w:t>
            </w:r>
          </w:p>
        </w:tc>
        <w:tc>
          <w:tcPr>
            <w:tcW w:w="657" w:type="dxa"/>
            <w:vAlign w:val="top"/>
          </w:tcPr>
          <w:p>
            <w:pPr>
              <w:spacing w:line="317" w:lineRule="auto"/>
              <w:rPr>
                <w:rFonts w:ascii="Arial"/>
                <w:sz w:val="21"/>
              </w:rPr>
            </w:pPr>
          </w:p>
          <w:p>
            <w:pPr>
              <w:pStyle w:val="95"/>
              <w:spacing w:before="72" w:line="220" w:lineRule="auto"/>
              <w:ind w:left="114"/>
              <w:rPr>
                <w:sz w:val="22"/>
                <w:szCs w:val="22"/>
              </w:rPr>
            </w:pPr>
            <w:r>
              <w:rPr>
                <w:spacing w:val="-3"/>
                <w:sz w:val="22"/>
                <w:szCs w:val="22"/>
              </w:rPr>
              <w:t>数值</w:t>
            </w:r>
          </w:p>
        </w:tc>
        <w:tc>
          <w:tcPr>
            <w:tcW w:w="2366" w:type="dxa"/>
            <w:vAlign w:val="top"/>
          </w:tcPr>
          <w:p>
            <w:pPr>
              <w:pStyle w:val="95"/>
              <w:spacing w:before="78" w:line="218" w:lineRule="auto"/>
              <w:ind w:left="114"/>
              <w:rPr>
                <w:sz w:val="22"/>
                <w:szCs w:val="22"/>
              </w:rPr>
            </w:pPr>
            <w:r>
              <w:rPr>
                <w:spacing w:val="-2"/>
                <w:sz w:val="22"/>
                <w:szCs w:val="22"/>
              </w:rPr>
              <w:t>①≥1000，大型</w:t>
            </w:r>
          </w:p>
          <w:p>
            <w:pPr>
              <w:pStyle w:val="95"/>
              <w:spacing w:before="52" w:line="312" w:lineRule="exact"/>
              <w:ind w:left="114"/>
              <w:rPr>
                <w:sz w:val="22"/>
                <w:szCs w:val="22"/>
              </w:rPr>
            </w:pPr>
            <w:r>
              <w:rPr>
                <w:spacing w:val="-2"/>
                <w:position w:val="6"/>
                <w:sz w:val="22"/>
                <w:szCs w:val="22"/>
              </w:rPr>
              <w:t>②100~1000，中型</w:t>
            </w:r>
          </w:p>
          <w:p>
            <w:pPr>
              <w:pStyle w:val="95"/>
              <w:spacing w:line="218" w:lineRule="auto"/>
              <w:ind w:left="114"/>
              <w:rPr>
                <w:sz w:val="22"/>
                <w:szCs w:val="22"/>
              </w:rPr>
            </w:pPr>
            <w:r>
              <w:rPr>
                <w:spacing w:val="-1"/>
                <w:sz w:val="22"/>
                <w:szCs w:val="22"/>
              </w:rPr>
              <w:t>③&lt;100，小型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5" w:hRule="atLeast"/>
        </w:trPr>
        <w:tc>
          <w:tcPr>
            <w:tcW w:w="665" w:type="dxa"/>
            <w:vAlign w:val="top"/>
          </w:tcPr>
          <w:p>
            <w:pPr>
              <w:spacing w:line="325" w:lineRule="auto"/>
              <w:rPr>
                <w:rFonts w:ascii="Arial"/>
                <w:sz w:val="21"/>
              </w:rPr>
            </w:pPr>
          </w:p>
          <w:p>
            <w:pPr>
              <w:pStyle w:val="95"/>
              <w:spacing w:before="72" w:line="182" w:lineRule="auto"/>
              <w:ind w:left="231"/>
              <w:rPr>
                <w:sz w:val="22"/>
                <w:szCs w:val="22"/>
              </w:rPr>
            </w:pPr>
            <w:r>
              <w:rPr>
                <w:spacing w:val="-4"/>
                <w:sz w:val="22"/>
                <w:szCs w:val="22"/>
              </w:rPr>
              <w:t>32</w:t>
            </w:r>
          </w:p>
        </w:tc>
        <w:tc>
          <w:tcPr>
            <w:tcW w:w="1099" w:type="dxa"/>
            <w:vMerge w:val="continue"/>
            <w:tcBorders>
              <w:top w:val="nil"/>
            </w:tcBorders>
            <w:vAlign w:val="top"/>
          </w:tcPr>
          <w:p>
            <w:pPr>
              <w:rPr>
                <w:rFonts w:ascii="Arial"/>
                <w:sz w:val="21"/>
              </w:rPr>
            </w:pPr>
          </w:p>
        </w:tc>
        <w:tc>
          <w:tcPr>
            <w:tcW w:w="816" w:type="dxa"/>
            <w:vMerge w:val="continue"/>
            <w:tcBorders>
              <w:top w:val="nil"/>
            </w:tcBorders>
            <w:vAlign w:val="top"/>
          </w:tcPr>
          <w:p>
            <w:pPr>
              <w:rPr>
                <w:rFonts w:ascii="Arial"/>
                <w:sz w:val="21"/>
              </w:rPr>
            </w:pPr>
          </w:p>
        </w:tc>
        <w:tc>
          <w:tcPr>
            <w:tcW w:w="2637" w:type="dxa"/>
            <w:vAlign w:val="top"/>
          </w:tcPr>
          <w:p>
            <w:pPr>
              <w:spacing w:line="290" w:lineRule="auto"/>
              <w:rPr>
                <w:rFonts w:ascii="Arial"/>
                <w:sz w:val="21"/>
              </w:rPr>
            </w:pPr>
          </w:p>
          <w:p>
            <w:pPr>
              <w:pStyle w:val="95"/>
              <w:spacing w:before="71" w:line="219" w:lineRule="auto"/>
              <w:ind w:left="881"/>
              <w:rPr>
                <w:sz w:val="22"/>
                <w:szCs w:val="22"/>
              </w:rPr>
            </w:pPr>
            <w:r>
              <w:rPr>
                <w:spacing w:val="-1"/>
                <w:sz w:val="22"/>
                <w:szCs w:val="22"/>
              </w:rPr>
              <w:t>幕墙工程</w:t>
            </w:r>
          </w:p>
        </w:tc>
        <w:tc>
          <w:tcPr>
            <w:tcW w:w="4616" w:type="dxa"/>
            <w:vAlign w:val="top"/>
          </w:tcPr>
          <w:p>
            <w:pPr>
              <w:spacing w:line="290" w:lineRule="auto"/>
              <w:rPr>
                <w:rFonts w:ascii="Arial"/>
                <w:sz w:val="21"/>
              </w:rPr>
            </w:pPr>
          </w:p>
          <w:p>
            <w:pPr>
              <w:pStyle w:val="95"/>
              <w:spacing w:before="71" w:line="219" w:lineRule="auto"/>
              <w:ind w:left="114"/>
              <w:rPr>
                <w:sz w:val="22"/>
                <w:szCs w:val="22"/>
              </w:rPr>
            </w:pPr>
            <w:r>
              <w:rPr>
                <w:spacing w:val="-2"/>
                <w:sz w:val="22"/>
                <w:szCs w:val="22"/>
              </w:rPr>
              <w:t>单体建筑幕墙高度</w:t>
            </w:r>
            <w:r>
              <w:rPr>
                <w:spacing w:val="-93"/>
                <w:sz w:val="22"/>
                <w:szCs w:val="22"/>
              </w:rPr>
              <w:t xml:space="preserve"> </w:t>
            </w:r>
            <w:r>
              <w:rPr>
                <w:sz w:val="22"/>
                <w:szCs w:val="22"/>
                <w:u w:val="single" w:color="auto"/>
              </w:rPr>
              <w:t xml:space="preserve">     </w:t>
            </w:r>
            <w:r>
              <w:rPr>
                <w:spacing w:val="-102"/>
                <w:sz w:val="22"/>
                <w:szCs w:val="22"/>
              </w:rPr>
              <w:t xml:space="preserve"> </w:t>
            </w:r>
            <w:r>
              <w:rPr>
                <w:spacing w:val="-2"/>
                <w:sz w:val="22"/>
                <w:szCs w:val="22"/>
              </w:rPr>
              <w:t>米，面积</w:t>
            </w:r>
            <w:r>
              <w:rPr>
                <w:spacing w:val="-2"/>
                <w:sz w:val="22"/>
                <w:szCs w:val="22"/>
                <w:u w:val="single" w:color="auto"/>
              </w:rPr>
              <w:t xml:space="preserve">     </w:t>
            </w:r>
            <w:r>
              <w:rPr>
                <w:spacing w:val="-102"/>
                <w:sz w:val="22"/>
                <w:szCs w:val="22"/>
              </w:rPr>
              <w:t xml:space="preserve"> </w:t>
            </w:r>
            <w:r>
              <w:rPr>
                <w:spacing w:val="-2"/>
                <w:sz w:val="22"/>
                <w:szCs w:val="22"/>
              </w:rPr>
              <w:t>平方米</w:t>
            </w:r>
          </w:p>
        </w:tc>
        <w:tc>
          <w:tcPr>
            <w:tcW w:w="657" w:type="dxa"/>
            <w:vAlign w:val="top"/>
          </w:tcPr>
          <w:p>
            <w:pPr>
              <w:spacing w:line="289" w:lineRule="auto"/>
              <w:rPr>
                <w:rFonts w:ascii="Arial"/>
                <w:sz w:val="21"/>
              </w:rPr>
            </w:pPr>
          </w:p>
          <w:p>
            <w:pPr>
              <w:pStyle w:val="95"/>
              <w:spacing w:before="72" w:line="220" w:lineRule="auto"/>
              <w:ind w:left="114"/>
              <w:rPr>
                <w:sz w:val="22"/>
                <w:szCs w:val="22"/>
              </w:rPr>
            </w:pPr>
            <w:r>
              <w:rPr>
                <w:spacing w:val="-3"/>
                <w:sz w:val="22"/>
                <w:szCs w:val="22"/>
              </w:rPr>
              <w:t>数值</w:t>
            </w:r>
          </w:p>
        </w:tc>
        <w:tc>
          <w:tcPr>
            <w:tcW w:w="2366" w:type="dxa"/>
            <w:vAlign w:val="top"/>
          </w:tcPr>
          <w:p>
            <w:pPr>
              <w:pStyle w:val="95"/>
              <w:spacing w:before="50" w:line="245" w:lineRule="auto"/>
              <w:ind w:left="121" w:right="225" w:hanging="7"/>
              <w:rPr>
                <w:sz w:val="22"/>
                <w:szCs w:val="22"/>
              </w:rPr>
            </w:pPr>
            <w:r>
              <w:rPr>
                <w:spacing w:val="-3"/>
                <w:sz w:val="22"/>
                <w:szCs w:val="22"/>
              </w:rPr>
              <w:t>①≥60</w:t>
            </w:r>
            <w:r>
              <w:rPr>
                <w:spacing w:val="-35"/>
                <w:sz w:val="22"/>
                <w:szCs w:val="22"/>
              </w:rPr>
              <w:t xml:space="preserve"> </w:t>
            </w:r>
            <w:r>
              <w:rPr>
                <w:spacing w:val="-3"/>
                <w:sz w:val="22"/>
                <w:szCs w:val="22"/>
              </w:rPr>
              <w:t>或≥6000，大</w:t>
            </w:r>
            <w:r>
              <w:rPr>
                <w:sz w:val="22"/>
                <w:szCs w:val="22"/>
              </w:rPr>
              <w:t xml:space="preserve"> 型</w:t>
            </w:r>
          </w:p>
          <w:p>
            <w:pPr>
              <w:pStyle w:val="95"/>
              <w:spacing w:before="40" w:line="218" w:lineRule="auto"/>
              <w:ind w:left="114"/>
              <w:rPr>
                <w:sz w:val="22"/>
                <w:szCs w:val="22"/>
              </w:rPr>
            </w:pPr>
            <w:r>
              <w:rPr>
                <w:spacing w:val="-1"/>
                <w:sz w:val="22"/>
                <w:szCs w:val="22"/>
              </w:rPr>
              <w:t>②&lt;60</w:t>
            </w:r>
            <w:r>
              <w:rPr>
                <w:spacing w:val="-41"/>
                <w:sz w:val="22"/>
                <w:szCs w:val="22"/>
              </w:rPr>
              <w:t xml:space="preserve"> </w:t>
            </w:r>
            <w:r>
              <w:rPr>
                <w:spacing w:val="-1"/>
                <w:sz w:val="22"/>
                <w:szCs w:val="22"/>
              </w:rPr>
              <w:t>且&lt;6000，中型</w:t>
            </w:r>
          </w:p>
        </w:tc>
      </w:tr>
    </w:tbl>
    <w:p>
      <w:pPr>
        <w:pStyle w:val="16"/>
        <w:spacing w:line="249" w:lineRule="auto"/>
      </w:pPr>
    </w:p>
    <w:p>
      <w:pPr>
        <w:pStyle w:val="16"/>
        <w:spacing w:line="249" w:lineRule="auto"/>
        <w:sectPr>
          <w:footerReference r:id="rId10" w:type="default"/>
          <w:pgSz w:w="16839" w:h="11907" w:orient="landscape"/>
          <w:pgMar w:top="995" w:right="400" w:bottom="1001" w:left="1005" w:header="0" w:footer="642" w:gutter="0"/>
          <w:cols w:space="720" w:num="1"/>
        </w:sectPr>
      </w:pPr>
    </w:p>
    <w:p>
      <w:pPr>
        <w:pStyle w:val="16"/>
        <w:spacing w:line="249" w:lineRule="auto"/>
      </w:pPr>
    </w:p>
    <w:p>
      <w:pPr>
        <w:spacing w:line="440" w:lineRule="exact"/>
        <w:ind w:firstLine="420" w:firstLineChars="200"/>
        <w:rPr>
          <w:rFonts w:ascii="宋体" w:hAnsi="宋体"/>
          <w:color w:val="000000"/>
        </w:rPr>
      </w:pPr>
    </w:p>
    <w:p>
      <w:pPr>
        <w:spacing w:line="420" w:lineRule="exact"/>
        <w:ind w:right="527"/>
        <w:outlineLvl w:val="2"/>
        <w:rPr>
          <w:rFonts w:hint="eastAsia" w:ascii="黑体" w:eastAsia="黑体"/>
          <w:color w:val="000000"/>
          <w:sz w:val="24"/>
        </w:rPr>
      </w:pPr>
      <w:r>
        <w:rPr>
          <w:rFonts w:hint="eastAsia" w:ascii="黑体" w:eastAsia="黑体"/>
          <w:color w:val="000000"/>
          <w:sz w:val="24"/>
        </w:rPr>
        <w:t>附表十：项目管理机构主要管理人员数量配备</w:t>
      </w:r>
    </w:p>
    <w:p>
      <w:pPr>
        <w:spacing w:before="46" w:line="312" w:lineRule="exact"/>
        <w:ind w:left="817"/>
        <w:rPr>
          <w:rFonts w:ascii="宋体" w:hAnsi="宋体" w:eastAsia="宋体" w:cs="宋体"/>
          <w:sz w:val="21"/>
          <w:szCs w:val="21"/>
        </w:rPr>
      </w:pPr>
      <w:r>
        <w:rPr>
          <w:rFonts w:ascii="宋体" w:hAnsi="宋体" w:eastAsia="宋体" w:cs="宋体"/>
          <w:spacing w:val="-1"/>
          <w:position w:val="7"/>
          <w:sz w:val="21"/>
          <w:szCs w:val="21"/>
        </w:rPr>
        <w:t>一、海南省建筑工程承包单位现场关键岗位人员配备标准</w:t>
      </w:r>
    </w:p>
    <w:p>
      <w:pPr>
        <w:spacing w:line="220" w:lineRule="auto"/>
        <w:ind w:left="820"/>
        <w:rPr>
          <w:rFonts w:ascii="宋体" w:hAnsi="宋体" w:eastAsia="宋体" w:cs="宋体"/>
          <w:sz w:val="21"/>
          <w:szCs w:val="21"/>
        </w:rPr>
      </w:pPr>
      <w:r>
        <w:rPr>
          <w:rFonts w:ascii="宋体" w:hAnsi="宋体" w:eastAsia="宋体" w:cs="宋体"/>
          <w:spacing w:val="-1"/>
          <w:sz w:val="21"/>
          <w:szCs w:val="21"/>
        </w:rPr>
        <w:t>（一）房屋建筑和市政基础设施工程总承包</w:t>
      </w:r>
    </w:p>
    <w:p>
      <w:pPr>
        <w:spacing w:line="101" w:lineRule="auto"/>
        <w:rPr>
          <w:rFonts w:ascii="Arial"/>
          <w:sz w:val="2"/>
        </w:rPr>
      </w:pPr>
    </w:p>
    <w:tbl>
      <w:tblPr>
        <w:tblStyle w:val="96"/>
        <w:tblW w:w="8302" w:type="dxa"/>
        <w:tblInd w:w="8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8"/>
        <w:gridCol w:w="979"/>
        <w:gridCol w:w="698"/>
        <w:gridCol w:w="3305"/>
        <w:gridCol w:w="26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3" w:hRule="atLeast"/>
        </w:trPr>
        <w:tc>
          <w:tcPr>
            <w:tcW w:w="698" w:type="dxa"/>
            <w:vAlign w:val="top"/>
          </w:tcPr>
          <w:p>
            <w:pPr>
              <w:pStyle w:val="95"/>
              <w:spacing w:before="58" w:line="266" w:lineRule="auto"/>
              <w:ind w:left="115" w:right="107" w:firstLine="2"/>
              <w:rPr>
                <w:sz w:val="19"/>
                <w:szCs w:val="19"/>
              </w:rPr>
            </w:pPr>
            <w:r>
              <w:rPr>
                <w:sz w:val="19"/>
                <w:szCs w:val="19"/>
              </w:rPr>
              <w:t>工</w:t>
            </w:r>
            <w:r>
              <w:rPr>
                <w:spacing w:val="-9"/>
                <w:sz w:val="19"/>
                <w:szCs w:val="19"/>
              </w:rPr>
              <w:t xml:space="preserve"> </w:t>
            </w:r>
            <w:r>
              <w:rPr>
                <w:sz w:val="19"/>
                <w:szCs w:val="19"/>
              </w:rPr>
              <w:t xml:space="preserve">程 </w:t>
            </w:r>
            <w:r>
              <w:rPr>
                <w:spacing w:val="5"/>
                <w:sz w:val="19"/>
                <w:szCs w:val="19"/>
              </w:rPr>
              <w:t>类别</w:t>
            </w:r>
          </w:p>
        </w:tc>
        <w:tc>
          <w:tcPr>
            <w:tcW w:w="979" w:type="dxa"/>
            <w:vAlign w:val="top"/>
          </w:tcPr>
          <w:p>
            <w:pPr>
              <w:pStyle w:val="95"/>
              <w:spacing w:before="58" w:line="266" w:lineRule="auto"/>
              <w:ind w:left="110" w:right="109" w:firstLine="3"/>
              <w:rPr>
                <w:sz w:val="19"/>
                <w:szCs w:val="19"/>
              </w:rPr>
            </w:pPr>
            <w:r>
              <w:rPr>
                <w:spacing w:val="-1"/>
                <w:sz w:val="19"/>
                <w:szCs w:val="19"/>
              </w:rPr>
              <w:t>工</w:t>
            </w:r>
            <w:r>
              <w:rPr>
                <w:spacing w:val="-7"/>
                <w:sz w:val="19"/>
                <w:szCs w:val="19"/>
              </w:rPr>
              <w:t xml:space="preserve"> </w:t>
            </w:r>
            <w:r>
              <w:rPr>
                <w:spacing w:val="-1"/>
                <w:sz w:val="19"/>
                <w:szCs w:val="19"/>
              </w:rPr>
              <w:t>程 规</w:t>
            </w:r>
            <w:r>
              <w:rPr>
                <w:sz w:val="19"/>
                <w:szCs w:val="19"/>
              </w:rPr>
              <w:t xml:space="preserve"> </w:t>
            </w:r>
            <w:r>
              <w:rPr>
                <w:spacing w:val="2"/>
                <w:sz w:val="19"/>
                <w:szCs w:val="19"/>
              </w:rPr>
              <w:t>模</w:t>
            </w:r>
          </w:p>
        </w:tc>
        <w:tc>
          <w:tcPr>
            <w:tcW w:w="698" w:type="dxa"/>
            <w:vAlign w:val="top"/>
          </w:tcPr>
          <w:p>
            <w:pPr>
              <w:pStyle w:val="95"/>
              <w:spacing w:before="58" w:line="266" w:lineRule="auto"/>
              <w:ind w:left="112" w:right="107" w:firstLine="3"/>
              <w:rPr>
                <w:sz w:val="19"/>
                <w:szCs w:val="19"/>
              </w:rPr>
            </w:pPr>
            <w:r>
              <w:rPr>
                <w:spacing w:val="-2"/>
                <w:sz w:val="19"/>
                <w:szCs w:val="19"/>
              </w:rPr>
              <w:t>总 人</w:t>
            </w:r>
            <w:r>
              <w:rPr>
                <w:sz w:val="19"/>
                <w:szCs w:val="19"/>
              </w:rPr>
              <w:t xml:space="preserve"> 数</w:t>
            </w:r>
          </w:p>
        </w:tc>
        <w:tc>
          <w:tcPr>
            <w:tcW w:w="3305" w:type="dxa"/>
            <w:vAlign w:val="top"/>
          </w:tcPr>
          <w:p>
            <w:pPr>
              <w:pStyle w:val="95"/>
              <w:spacing w:before="215" w:line="228" w:lineRule="auto"/>
              <w:ind w:left="134"/>
              <w:rPr>
                <w:sz w:val="19"/>
                <w:szCs w:val="19"/>
              </w:rPr>
            </w:pPr>
            <w:r>
              <w:rPr>
                <w:spacing w:val="3"/>
                <w:sz w:val="19"/>
                <w:szCs w:val="19"/>
              </w:rPr>
              <w:t>岗位及人数</w:t>
            </w:r>
          </w:p>
        </w:tc>
        <w:tc>
          <w:tcPr>
            <w:tcW w:w="2622" w:type="dxa"/>
            <w:vAlign w:val="top"/>
          </w:tcPr>
          <w:p>
            <w:pPr>
              <w:pStyle w:val="95"/>
              <w:spacing w:before="214" w:line="230" w:lineRule="auto"/>
              <w:ind w:left="117"/>
              <w:rPr>
                <w:sz w:val="19"/>
                <w:szCs w:val="19"/>
              </w:rPr>
            </w:pPr>
            <w:r>
              <w:rPr>
                <w:spacing w:val="4"/>
                <w:sz w:val="19"/>
                <w:szCs w:val="19"/>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36" w:hRule="atLeast"/>
        </w:trPr>
        <w:tc>
          <w:tcPr>
            <w:tcW w:w="698" w:type="dxa"/>
            <w:vMerge w:val="restart"/>
            <w:tcBorders>
              <w:bottom w:val="nil"/>
            </w:tcBorders>
            <w:textDirection w:val="tbRlV"/>
            <w:vAlign w:val="top"/>
          </w:tcPr>
          <w:p>
            <w:pPr>
              <w:spacing w:line="312" w:lineRule="auto"/>
              <w:rPr>
                <w:rFonts w:ascii="Arial"/>
                <w:sz w:val="21"/>
              </w:rPr>
            </w:pPr>
          </w:p>
          <w:p>
            <w:pPr>
              <w:pStyle w:val="95"/>
              <w:spacing w:before="63" w:line="218" w:lineRule="auto"/>
              <w:ind w:left="5220"/>
              <w:rPr>
                <w:sz w:val="19"/>
                <w:szCs w:val="19"/>
              </w:rPr>
            </w:pPr>
            <w:r>
              <w:rPr>
                <w:spacing w:val="9"/>
                <w:sz w:val="19"/>
                <w:szCs w:val="19"/>
              </w:rPr>
              <w:t>房</w:t>
            </w:r>
            <w:r>
              <w:rPr>
                <w:spacing w:val="17"/>
                <w:sz w:val="19"/>
                <w:szCs w:val="19"/>
              </w:rPr>
              <w:t xml:space="preserve"> </w:t>
            </w:r>
            <w:r>
              <w:rPr>
                <w:spacing w:val="9"/>
                <w:sz w:val="19"/>
                <w:szCs w:val="19"/>
              </w:rPr>
              <w:t>屋</w:t>
            </w:r>
            <w:r>
              <w:rPr>
                <w:spacing w:val="19"/>
                <w:sz w:val="19"/>
                <w:szCs w:val="19"/>
              </w:rPr>
              <w:t xml:space="preserve"> </w:t>
            </w:r>
            <w:r>
              <w:rPr>
                <w:spacing w:val="9"/>
                <w:sz w:val="19"/>
                <w:szCs w:val="19"/>
              </w:rPr>
              <w:t>建</w:t>
            </w:r>
            <w:r>
              <w:rPr>
                <w:spacing w:val="17"/>
                <w:sz w:val="19"/>
                <w:szCs w:val="19"/>
              </w:rPr>
              <w:t xml:space="preserve"> </w:t>
            </w:r>
            <w:r>
              <w:rPr>
                <w:spacing w:val="9"/>
                <w:sz w:val="19"/>
                <w:szCs w:val="19"/>
              </w:rPr>
              <w:t>筑</w:t>
            </w:r>
            <w:r>
              <w:rPr>
                <w:spacing w:val="18"/>
                <w:sz w:val="19"/>
                <w:szCs w:val="19"/>
              </w:rPr>
              <w:t xml:space="preserve"> </w:t>
            </w:r>
            <w:r>
              <w:rPr>
                <w:spacing w:val="9"/>
                <w:sz w:val="19"/>
                <w:szCs w:val="19"/>
              </w:rPr>
              <w:t>工</w:t>
            </w:r>
            <w:r>
              <w:rPr>
                <w:spacing w:val="18"/>
                <w:sz w:val="19"/>
                <w:szCs w:val="19"/>
              </w:rPr>
              <w:t xml:space="preserve"> </w:t>
            </w:r>
            <w:r>
              <w:rPr>
                <w:spacing w:val="9"/>
                <w:sz w:val="19"/>
                <w:szCs w:val="19"/>
              </w:rPr>
              <w:t>程</w:t>
            </w:r>
          </w:p>
        </w:tc>
        <w:tc>
          <w:tcPr>
            <w:tcW w:w="979" w:type="dxa"/>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95"/>
              <w:spacing w:before="61" w:line="278" w:lineRule="auto"/>
              <w:ind w:left="110" w:right="107" w:firstLine="3"/>
              <w:jc w:val="both"/>
              <w:rPr>
                <w:sz w:val="19"/>
                <w:szCs w:val="19"/>
              </w:rPr>
            </w:pPr>
            <w:r>
              <w:rPr>
                <w:spacing w:val="-2"/>
                <w:sz w:val="19"/>
                <w:szCs w:val="19"/>
              </w:rPr>
              <w:t>建 筑</w:t>
            </w:r>
            <w:r>
              <w:rPr>
                <w:spacing w:val="-3"/>
                <w:sz w:val="19"/>
                <w:szCs w:val="19"/>
              </w:rPr>
              <w:t xml:space="preserve"> </w:t>
            </w:r>
            <w:r>
              <w:rPr>
                <w:spacing w:val="-2"/>
                <w:sz w:val="19"/>
                <w:szCs w:val="19"/>
              </w:rPr>
              <w:t>面</w:t>
            </w:r>
            <w:r>
              <w:rPr>
                <w:sz w:val="19"/>
                <w:szCs w:val="19"/>
              </w:rPr>
              <w:t xml:space="preserve"> </w:t>
            </w:r>
            <w:r>
              <w:rPr>
                <w:spacing w:val="1"/>
                <w:sz w:val="19"/>
                <w:szCs w:val="19"/>
              </w:rPr>
              <w:t>积</w:t>
            </w:r>
            <w:r>
              <w:rPr>
                <w:spacing w:val="-14"/>
                <w:sz w:val="19"/>
                <w:szCs w:val="19"/>
              </w:rPr>
              <w:t xml:space="preserve"> </w:t>
            </w:r>
            <w:r>
              <w:rPr>
                <w:rFonts w:ascii="Times New Roman" w:hAnsi="Times New Roman" w:eastAsia="Times New Roman" w:cs="Times New Roman"/>
                <w:spacing w:val="1"/>
                <w:sz w:val="19"/>
                <w:szCs w:val="19"/>
              </w:rPr>
              <w:t>≤1</w:t>
            </w:r>
            <w:r>
              <w:rPr>
                <w:rFonts w:ascii="Times New Roman" w:hAnsi="Times New Roman" w:eastAsia="Times New Roman" w:cs="Times New Roman"/>
                <w:spacing w:val="43"/>
                <w:sz w:val="19"/>
                <w:szCs w:val="19"/>
              </w:rPr>
              <w:t xml:space="preserve"> </w:t>
            </w:r>
            <w:r>
              <w:rPr>
                <w:spacing w:val="1"/>
                <w:sz w:val="19"/>
                <w:szCs w:val="19"/>
              </w:rPr>
              <w:t>万</w:t>
            </w:r>
            <w:r>
              <w:rPr>
                <w:sz w:val="19"/>
                <w:szCs w:val="19"/>
              </w:rPr>
              <w:t xml:space="preserve"> </w:t>
            </w:r>
            <w:r>
              <w:rPr>
                <w:spacing w:val="6"/>
                <w:sz w:val="19"/>
                <w:szCs w:val="19"/>
              </w:rPr>
              <w:t>平方米</w:t>
            </w:r>
          </w:p>
        </w:tc>
        <w:tc>
          <w:tcPr>
            <w:tcW w:w="698"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pStyle w:val="95"/>
              <w:spacing w:before="62" w:line="251" w:lineRule="exact"/>
              <w:ind w:left="140"/>
              <w:rPr>
                <w:rFonts w:ascii="Times New Roman" w:hAnsi="Times New Roman" w:eastAsia="Times New Roman" w:cs="Times New Roman"/>
                <w:sz w:val="19"/>
                <w:szCs w:val="19"/>
              </w:rPr>
            </w:pPr>
            <w:r>
              <w:rPr>
                <w:spacing w:val="-14"/>
                <w:position w:val="1"/>
                <w:sz w:val="19"/>
                <w:szCs w:val="19"/>
              </w:rPr>
              <w:t>≧</w:t>
            </w:r>
            <w:r>
              <w:rPr>
                <w:spacing w:val="-35"/>
                <w:position w:val="1"/>
                <w:sz w:val="19"/>
                <w:szCs w:val="19"/>
              </w:rPr>
              <w:t xml:space="preserve"> </w:t>
            </w:r>
            <w:r>
              <w:rPr>
                <w:rFonts w:ascii="Times New Roman" w:hAnsi="Times New Roman" w:eastAsia="Times New Roman" w:cs="Times New Roman"/>
                <w:spacing w:val="-14"/>
                <w:position w:val="1"/>
                <w:sz w:val="19"/>
                <w:szCs w:val="19"/>
              </w:rPr>
              <w:t>7</w:t>
            </w:r>
          </w:p>
        </w:tc>
        <w:tc>
          <w:tcPr>
            <w:tcW w:w="3305" w:type="dxa"/>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pStyle w:val="95"/>
              <w:spacing w:before="62" w:line="283" w:lineRule="auto"/>
              <w:ind w:left="113" w:right="105" w:firstLine="1"/>
              <w:jc w:val="both"/>
              <w:rPr>
                <w:sz w:val="19"/>
                <w:szCs w:val="19"/>
              </w:rPr>
            </w:pPr>
            <w:r>
              <w:rPr>
                <w:spacing w:val="4"/>
                <w:sz w:val="19"/>
                <w:szCs w:val="19"/>
              </w:rPr>
              <w:t>项目经理</w:t>
            </w:r>
            <w:r>
              <w:rPr>
                <w:spacing w:val="40"/>
                <w:sz w:val="19"/>
                <w:szCs w:val="19"/>
              </w:rPr>
              <w:t xml:space="preserve"> </w:t>
            </w:r>
            <w:r>
              <w:rPr>
                <w:rFonts w:ascii="Times New Roman" w:hAnsi="Times New Roman" w:eastAsia="Times New Roman" w:cs="Times New Roman"/>
                <w:spacing w:val="4"/>
                <w:sz w:val="19"/>
                <w:szCs w:val="19"/>
              </w:rPr>
              <w:t>1</w:t>
            </w:r>
            <w:r>
              <w:rPr>
                <w:spacing w:val="4"/>
                <w:sz w:val="19"/>
                <w:szCs w:val="19"/>
              </w:rPr>
              <w:t>人、项目技术负责 人</w:t>
            </w:r>
            <w:r>
              <w:rPr>
                <w:spacing w:val="29"/>
                <w:sz w:val="19"/>
                <w:szCs w:val="19"/>
              </w:rPr>
              <w:t xml:space="preserve"> </w:t>
            </w:r>
            <w:r>
              <w:rPr>
                <w:rFonts w:ascii="Times New Roman" w:hAnsi="Times New Roman" w:eastAsia="Times New Roman" w:cs="Times New Roman"/>
                <w:spacing w:val="4"/>
                <w:sz w:val="19"/>
                <w:szCs w:val="19"/>
              </w:rPr>
              <w:t>1</w:t>
            </w:r>
            <w:r>
              <w:rPr>
                <w:rFonts w:ascii="Times New Roman" w:hAnsi="Times New Roman" w:eastAsia="Times New Roman" w:cs="Times New Roman"/>
                <w:sz w:val="19"/>
                <w:szCs w:val="19"/>
              </w:rPr>
              <w:t xml:space="preserve"> </w:t>
            </w:r>
            <w:r>
              <w:rPr>
                <w:spacing w:val="6"/>
                <w:sz w:val="19"/>
                <w:szCs w:val="19"/>
              </w:rPr>
              <w:t>人、施工员</w:t>
            </w:r>
            <w:r>
              <w:rPr>
                <w:spacing w:val="35"/>
                <w:sz w:val="19"/>
                <w:szCs w:val="19"/>
              </w:rPr>
              <w:t xml:space="preserve"> </w:t>
            </w:r>
            <w:r>
              <w:rPr>
                <w:rFonts w:ascii="Times New Roman" w:hAnsi="Times New Roman" w:eastAsia="Times New Roman" w:cs="Times New Roman"/>
                <w:spacing w:val="6"/>
                <w:sz w:val="19"/>
                <w:szCs w:val="19"/>
              </w:rPr>
              <w:t>1</w:t>
            </w:r>
            <w:r>
              <w:rPr>
                <w:spacing w:val="6"/>
                <w:sz w:val="19"/>
                <w:szCs w:val="19"/>
              </w:rPr>
              <w:t>人、专职安 全生产管</w:t>
            </w:r>
            <w:r>
              <w:rPr>
                <w:sz w:val="19"/>
                <w:szCs w:val="19"/>
              </w:rPr>
              <w:t xml:space="preserve"> </w:t>
            </w:r>
            <w:r>
              <w:rPr>
                <w:spacing w:val="-2"/>
                <w:sz w:val="19"/>
                <w:szCs w:val="19"/>
              </w:rPr>
              <w:t>理人员</w:t>
            </w:r>
            <w:r>
              <w:rPr>
                <w:spacing w:val="39"/>
                <w:sz w:val="19"/>
                <w:szCs w:val="19"/>
              </w:rPr>
              <w:t xml:space="preserve"> </w:t>
            </w:r>
            <w:r>
              <w:rPr>
                <w:rFonts w:ascii="Times New Roman" w:hAnsi="Times New Roman" w:eastAsia="Times New Roman" w:cs="Times New Roman"/>
                <w:spacing w:val="-2"/>
                <w:sz w:val="19"/>
                <w:szCs w:val="19"/>
              </w:rPr>
              <w:t>1</w:t>
            </w:r>
            <w:r>
              <w:rPr>
                <w:spacing w:val="-2"/>
                <w:sz w:val="19"/>
                <w:szCs w:val="19"/>
              </w:rPr>
              <w:t>人、质量员</w:t>
            </w:r>
            <w:r>
              <w:rPr>
                <w:spacing w:val="29"/>
                <w:sz w:val="19"/>
                <w:szCs w:val="19"/>
              </w:rPr>
              <w:t xml:space="preserve"> </w:t>
            </w:r>
            <w:r>
              <w:rPr>
                <w:rFonts w:ascii="Times New Roman" w:hAnsi="Times New Roman" w:eastAsia="Times New Roman" w:cs="Times New Roman"/>
                <w:spacing w:val="-2"/>
                <w:sz w:val="19"/>
                <w:szCs w:val="19"/>
              </w:rPr>
              <w:t>1</w:t>
            </w:r>
            <w:r>
              <w:rPr>
                <w:spacing w:val="-2"/>
                <w:sz w:val="19"/>
                <w:szCs w:val="19"/>
              </w:rPr>
              <w:t>人、劳资专管</w:t>
            </w:r>
            <w:r>
              <w:rPr>
                <w:sz w:val="19"/>
                <w:szCs w:val="19"/>
              </w:rPr>
              <w:t xml:space="preserve"> </w:t>
            </w:r>
            <w:r>
              <w:rPr>
                <w:spacing w:val="5"/>
                <w:sz w:val="19"/>
                <w:szCs w:val="19"/>
              </w:rPr>
              <w:t>员</w:t>
            </w:r>
            <w:r>
              <w:rPr>
                <w:spacing w:val="40"/>
                <w:sz w:val="19"/>
                <w:szCs w:val="19"/>
              </w:rPr>
              <w:t xml:space="preserve"> </w:t>
            </w:r>
            <w:r>
              <w:rPr>
                <w:rFonts w:ascii="Times New Roman" w:hAnsi="Times New Roman" w:eastAsia="Times New Roman" w:cs="Times New Roman"/>
                <w:spacing w:val="5"/>
                <w:sz w:val="19"/>
                <w:szCs w:val="19"/>
              </w:rPr>
              <w:t>1</w:t>
            </w:r>
            <w:r>
              <w:rPr>
                <w:spacing w:val="5"/>
                <w:sz w:val="19"/>
                <w:szCs w:val="19"/>
              </w:rPr>
              <w:t>人、资料 员</w:t>
            </w:r>
            <w:r>
              <w:rPr>
                <w:rFonts w:ascii="Times New Roman" w:hAnsi="Times New Roman" w:eastAsia="Times New Roman" w:cs="Times New Roman"/>
                <w:spacing w:val="5"/>
                <w:sz w:val="19"/>
                <w:szCs w:val="19"/>
              </w:rPr>
              <w:t>(</w:t>
            </w:r>
            <w:r>
              <w:rPr>
                <w:spacing w:val="5"/>
                <w:sz w:val="19"/>
                <w:szCs w:val="19"/>
              </w:rPr>
              <w:t>可兼任</w:t>
            </w:r>
            <w:r>
              <w:rPr>
                <w:rFonts w:ascii="Times New Roman" w:hAnsi="Times New Roman" w:eastAsia="Times New Roman" w:cs="Times New Roman"/>
                <w:spacing w:val="5"/>
                <w:sz w:val="19"/>
                <w:szCs w:val="19"/>
              </w:rPr>
              <w:t>)1</w:t>
            </w:r>
            <w:r>
              <w:rPr>
                <w:spacing w:val="5"/>
                <w:sz w:val="19"/>
                <w:szCs w:val="19"/>
              </w:rPr>
              <w:t>人</w:t>
            </w:r>
          </w:p>
        </w:tc>
        <w:tc>
          <w:tcPr>
            <w:tcW w:w="2622" w:type="dxa"/>
            <w:vAlign w:val="top"/>
          </w:tcPr>
          <w:p>
            <w:pPr>
              <w:pStyle w:val="95"/>
              <w:spacing w:before="59" w:line="296" w:lineRule="auto"/>
              <w:ind w:left="111" w:right="43" w:firstLine="19"/>
              <w:jc w:val="both"/>
              <w:rPr>
                <w:sz w:val="19"/>
                <w:szCs w:val="19"/>
              </w:rPr>
            </w:pPr>
            <w:r>
              <w:rPr>
                <w:rFonts w:ascii="Times New Roman" w:hAnsi="Times New Roman" w:eastAsia="Times New Roman" w:cs="Times New Roman"/>
                <w:spacing w:val="-1"/>
                <w:sz w:val="19"/>
                <w:szCs w:val="19"/>
              </w:rPr>
              <w:t>1</w:t>
            </w:r>
            <w:r>
              <w:rPr>
                <w:spacing w:val="-1"/>
                <w:sz w:val="19"/>
                <w:szCs w:val="19"/>
              </w:rPr>
              <w:t>、建筑面积＜</w:t>
            </w:r>
            <w:r>
              <w:rPr>
                <w:rFonts w:ascii="Times New Roman" w:hAnsi="Times New Roman" w:eastAsia="Times New Roman" w:cs="Times New Roman"/>
                <w:spacing w:val="-1"/>
                <w:sz w:val="19"/>
                <w:szCs w:val="19"/>
              </w:rPr>
              <w:t>3000</w:t>
            </w:r>
            <w:r>
              <w:rPr>
                <w:spacing w:val="-1"/>
                <w:sz w:val="19"/>
                <w:szCs w:val="19"/>
              </w:rPr>
              <w:t xml:space="preserve">平方米的 </w:t>
            </w:r>
            <w:r>
              <w:rPr>
                <w:spacing w:val="7"/>
                <w:sz w:val="19"/>
                <w:szCs w:val="19"/>
              </w:rPr>
              <w:t>工程、建筑面 积＜</w:t>
            </w:r>
            <w:r>
              <w:rPr>
                <w:rFonts w:ascii="Times New Roman" w:hAnsi="Times New Roman" w:eastAsia="Times New Roman" w:cs="Times New Roman"/>
                <w:spacing w:val="7"/>
                <w:sz w:val="19"/>
                <w:szCs w:val="19"/>
              </w:rPr>
              <w:t>1</w:t>
            </w:r>
            <w:r>
              <w:rPr>
                <w:spacing w:val="7"/>
                <w:sz w:val="19"/>
                <w:szCs w:val="19"/>
              </w:rPr>
              <w:t xml:space="preserve">万平方 </w:t>
            </w:r>
            <w:r>
              <w:rPr>
                <w:spacing w:val="8"/>
                <w:sz w:val="19"/>
                <w:szCs w:val="19"/>
              </w:rPr>
              <w:t xml:space="preserve">米的二次装修工程，岗位人 </w:t>
            </w:r>
            <w:r>
              <w:rPr>
                <w:spacing w:val="-1"/>
                <w:sz w:val="19"/>
                <w:szCs w:val="19"/>
              </w:rPr>
              <w:t>员 总人数可减少至</w:t>
            </w:r>
            <w:r>
              <w:rPr>
                <w:spacing w:val="25"/>
                <w:sz w:val="19"/>
                <w:szCs w:val="19"/>
              </w:rPr>
              <w:t xml:space="preserve"> </w:t>
            </w:r>
            <w:r>
              <w:rPr>
                <w:rFonts w:ascii="Times New Roman" w:hAnsi="Times New Roman" w:eastAsia="Times New Roman" w:cs="Times New Roman"/>
                <w:spacing w:val="-1"/>
                <w:sz w:val="19"/>
                <w:szCs w:val="19"/>
              </w:rPr>
              <w:t>3</w:t>
            </w:r>
            <w:r>
              <w:rPr>
                <w:spacing w:val="-1"/>
                <w:sz w:val="19"/>
                <w:szCs w:val="19"/>
              </w:rPr>
              <w:t xml:space="preserve">人，即 </w:t>
            </w:r>
            <w:r>
              <w:rPr>
                <w:spacing w:val="6"/>
                <w:sz w:val="19"/>
                <w:szCs w:val="19"/>
              </w:rPr>
              <w:t>项目经理</w:t>
            </w:r>
            <w:r>
              <w:rPr>
                <w:spacing w:val="49"/>
                <w:sz w:val="19"/>
                <w:szCs w:val="19"/>
              </w:rPr>
              <w:t xml:space="preserve"> </w:t>
            </w:r>
            <w:r>
              <w:rPr>
                <w:rFonts w:ascii="Times New Roman" w:hAnsi="Times New Roman" w:eastAsia="Times New Roman" w:cs="Times New Roman"/>
                <w:spacing w:val="6"/>
                <w:sz w:val="19"/>
                <w:szCs w:val="19"/>
              </w:rPr>
              <w:t>1</w:t>
            </w:r>
            <w:r>
              <w:rPr>
                <w:spacing w:val="6"/>
                <w:sz w:val="19"/>
                <w:szCs w:val="19"/>
              </w:rPr>
              <w:t>人、施</w:t>
            </w:r>
            <w:r>
              <w:rPr>
                <w:spacing w:val="33"/>
                <w:sz w:val="19"/>
                <w:szCs w:val="19"/>
              </w:rPr>
              <w:t xml:space="preserve"> </w:t>
            </w:r>
            <w:r>
              <w:rPr>
                <w:spacing w:val="6"/>
                <w:sz w:val="19"/>
                <w:szCs w:val="19"/>
              </w:rPr>
              <w:t>工员</w:t>
            </w:r>
            <w:r>
              <w:rPr>
                <w:spacing w:val="41"/>
                <w:sz w:val="19"/>
                <w:szCs w:val="19"/>
              </w:rPr>
              <w:t xml:space="preserve"> </w:t>
            </w:r>
            <w:r>
              <w:rPr>
                <w:rFonts w:ascii="Times New Roman" w:hAnsi="Times New Roman" w:eastAsia="Times New Roman" w:cs="Times New Roman"/>
                <w:spacing w:val="6"/>
                <w:sz w:val="19"/>
                <w:szCs w:val="19"/>
              </w:rPr>
              <w:t xml:space="preserve">1  </w:t>
            </w:r>
            <w:r>
              <w:rPr>
                <w:spacing w:val="8"/>
                <w:sz w:val="19"/>
                <w:szCs w:val="19"/>
              </w:rPr>
              <w:t xml:space="preserve">人、专职安全生产管理人员 </w:t>
            </w:r>
            <w:r>
              <w:rPr>
                <w:rFonts w:ascii="Times New Roman" w:hAnsi="Times New Roman" w:eastAsia="Times New Roman" w:cs="Times New Roman"/>
                <w:spacing w:val="-1"/>
                <w:sz w:val="19"/>
                <w:szCs w:val="19"/>
              </w:rPr>
              <w:t>1</w:t>
            </w:r>
            <w:r>
              <w:rPr>
                <w:spacing w:val="-1"/>
                <w:sz w:val="19"/>
                <w:szCs w:val="19"/>
              </w:rPr>
              <w:t>人，其 它岗位职责可兼任。</w:t>
            </w:r>
            <w:r>
              <w:rPr>
                <w:spacing w:val="5"/>
                <w:sz w:val="19"/>
                <w:szCs w:val="19"/>
              </w:rPr>
              <w:t xml:space="preserve"> </w:t>
            </w:r>
            <w:r>
              <w:rPr>
                <w:rFonts w:ascii="Times New Roman" w:hAnsi="Times New Roman" w:eastAsia="Times New Roman" w:cs="Times New Roman"/>
                <w:sz w:val="19"/>
                <w:szCs w:val="19"/>
              </w:rPr>
              <w:t>2</w:t>
            </w:r>
            <w:r>
              <w:rPr>
                <w:sz w:val="19"/>
                <w:szCs w:val="19"/>
              </w:rPr>
              <w:t>、建筑面积＜</w:t>
            </w:r>
            <w:r>
              <w:rPr>
                <w:rFonts w:ascii="Times New Roman" w:hAnsi="Times New Roman" w:eastAsia="Times New Roman" w:cs="Times New Roman"/>
                <w:sz w:val="19"/>
                <w:szCs w:val="19"/>
              </w:rPr>
              <w:t>5000</w:t>
            </w:r>
            <w:r>
              <w:rPr>
                <w:sz w:val="19"/>
                <w:szCs w:val="19"/>
              </w:rPr>
              <w:t xml:space="preserve">平方米的 工程，施工员 职责可由技术 负责人兼任。  </w:t>
            </w:r>
            <w:r>
              <w:rPr>
                <w:rFonts w:ascii="Times New Roman" w:hAnsi="Times New Roman" w:eastAsia="Times New Roman" w:cs="Times New Roman"/>
                <w:sz w:val="19"/>
                <w:szCs w:val="19"/>
              </w:rPr>
              <w:t>3</w:t>
            </w:r>
            <w:r>
              <w:rPr>
                <w:sz w:val="19"/>
                <w:szCs w:val="19"/>
              </w:rPr>
              <w:t xml:space="preserve">、资料员可 </w:t>
            </w:r>
            <w:r>
              <w:rPr>
                <w:spacing w:val="8"/>
                <w:sz w:val="19"/>
                <w:szCs w:val="19"/>
              </w:rPr>
              <w:t>以由其他岗位人员兼任。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64" w:hRule="atLeast"/>
        </w:trPr>
        <w:tc>
          <w:tcPr>
            <w:tcW w:w="698" w:type="dxa"/>
            <w:vMerge w:val="continue"/>
            <w:tcBorders>
              <w:top w:val="nil"/>
              <w:bottom w:val="nil"/>
            </w:tcBorders>
            <w:textDirection w:val="tbRlV"/>
            <w:vAlign w:val="top"/>
          </w:tcPr>
          <w:p>
            <w:pPr>
              <w:rPr>
                <w:rFonts w:ascii="Arial"/>
                <w:sz w:val="21"/>
              </w:rPr>
            </w:pPr>
          </w:p>
        </w:tc>
        <w:tc>
          <w:tcPr>
            <w:tcW w:w="979" w:type="dxa"/>
            <w:vAlign w:val="top"/>
          </w:tcPr>
          <w:p>
            <w:pPr>
              <w:pStyle w:val="95"/>
              <w:spacing w:before="57" w:line="288" w:lineRule="auto"/>
              <w:ind w:left="105" w:right="107" w:firstLine="20"/>
              <w:jc w:val="both"/>
              <w:rPr>
                <w:sz w:val="19"/>
                <w:szCs w:val="19"/>
              </w:rPr>
            </w:pPr>
            <w:r>
              <w:rPr>
                <w:rFonts w:ascii="Times New Roman" w:hAnsi="Times New Roman" w:eastAsia="Times New Roman" w:cs="Times New Roman"/>
                <w:spacing w:val="9"/>
                <w:sz w:val="19"/>
                <w:szCs w:val="19"/>
              </w:rPr>
              <w:t>1</w:t>
            </w:r>
            <w:r>
              <w:rPr>
                <w:rFonts w:ascii="Times New Roman" w:hAnsi="Times New Roman" w:eastAsia="Times New Roman" w:cs="Times New Roman"/>
                <w:spacing w:val="-10"/>
                <w:sz w:val="19"/>
                <w:szCs w:val="19"/>
              </w:rPr>
              <w:t xml:space="preserve"> </w:t>
            </w:r>
            <w:r>
              <w:rPr>
                <w:spacing w:val="9"/>
                <w:sz w:val="19"/>
                <w:szCs w:val="19"/>
              </w:rPr>
              <w:t>万平方</w:t>
            </w:r>
            <w:r>
              <w:rPr>
                <w:sz w:val="19"/>
                <w:szCs w:val="19"/>
              </w:rPr>
              <w:t xml:space="preserve"> </w:t>
            </w:r>
            <w:r>
              <w:rPr>
                <w:spacing w:val="-3"/>
                <w:sz w:val="19"/>
                <w:szCs w:val="19"/>
              </w:rPr>
              <w:t>米</w:t>
            </w:r>
            <w:r>
              <w:rPr>
                <w:spacing w:val="9"/>
                <w:sz w:val="19"/>
                <w:szCs w:val="19"/>
              </w:rPr>
              <w:t xml:space="preserve"> </w:t>
            </w:r>
            <w:r>
              <w:rPr>
                <w:spacing w:val="-3"/>
                <w:sz w:val="19"/>
                <w:szCs w:val="19"/>
              </w:rPr>
              <w:t>＜ 建</w:t>
            </w:r>
            <w:r>
              <w:rPr>
                <w:sz w:val="19"/>
                <w:szCs w:val="19"/>
              </w:rPr>
              <w:t xml:space="preserve"> </w:t>
            </w:r>
            <w:r>
              <w:rPr>
                <w:spacing w:val="12"/>
                <w:sz w:val="19"/>
                <w:szCs w:val="19"/>
              </w:rPr>
              <w:t>筑</w:t>
            </w:r>
            <w:r>
              <w:rPr>
                <w:spacing w:val="58"/>
                <w:sz w:val="19"/>
                <w:szCs w:val="19"/>
              </w:rPr>
              <w:t xml:space="preserve"> </w:t>
            </w:r>
            <w:r>
              <w:rPr>
                <w:spacing w:val="12"/>
                <w:sz w:val="19"/>
                <w:szCs w:val="19"/>
              </w:rPr>
              <w:t>面积</w:t>
            </w:r>
            <w:r>
              <w:rPr>
                <w:sz w:val="19"/>
                <w:szCs w:val="19"/>
              </w:rPr>
              <w:t xml:space="preserve"> </w:t>
            </w:r>
            <w:r>
              <w:rPr>
                <w:rFonts w:ascii="Times New Roman" w:hAnsi="Times New Roman" w:eastAsia="Times New Roman" w:cs="Times New Roman"/>
                <w:spacing w:val="7"/>
                <w:sz w:val="19"/>
                <w:szCs w:val="19"/>
              </w:rPr>
              <w:t>≤  3</w:t>
            </w:r>
            <w:r>
              <w:rPr>
                <w:rFonts w:ascii="Times New Roman" w:hAnsi="Times New Roman" w:eastAsia="Times New Roman" w:cs="Times New Roman"/>
                <w:spacing w:val="-7"/>
                <w:sz w:val="19"/>
                <w:szCs w:val="19"/>
              </w:rPr>
              <w:t xml:space="preserve"> </w:t>
            </w:r>
            <w:r>
              <w:rPr>
                <w:spacing w:val="7"/>
                <w:sz w:val="19"/>
                <w:szCs w:val="19"/>
              </w:rPr>
              <w:t>万平</w:t>
            </w:r>
            <w:r>
              <w:rPr>
                <w:sz w:val="19"/>
                <w:szCs w:val="19"/>
              </w:rPr>
              <w:t xml:space="preserve"> </w:t>
            </w:r>
            <w:r>
              <w:rPr>
                <w:spacing w:val="4"/>
                <w:sz w:val="19"/>
                <w:szCs w:val="19"/>
              </w:rPr>
              <w:t>方</w:t>
            </w:r>
            <w:r>
              <w:rPr>
                <w:spacing w:val="13"/>
                <w:sz w:val="19"/>
                <w:szCs w:val="19"/>
              </w:rPr>
              <w:t xml:space="preserve"> </w:t>
            </w:r>
            <w:r>
              <w:rPr>
                <w:spacing w:val="4"/>
                <w:sz w:val="19"/>
                <w:szCs w:val="19"/>
              </w:rPr>
              <w:t>米</w:t>
            </w:r>
          </w:p>
        </w:tc>
        <w:tc>
          <w:tcPr>
            <w:tcW w:w="698" w:type="dxa"/>
            <w:vAlign w:val="top"/>
          </w:tcPr>
          <w:p>
            <w:pPr>
              <w:spacing w:line="307" w:lineRule="auto"/>
              <w:rPr>
                <w:rFonts w:ascii="Arial"/>
                <w:sz w:val="21"/>
              </w:rPr>
            </w:pPr>
          </w:p>
          <w:p>
            <w:pPr>
              <w:spacing w:line="307" w:lineRule="auto"/>
              <w:rPr>
                <w:rFonts w:ascii="Arial"/>
                <w:sz w:val="21"/>
              </w:rPr>
            </w:pPr>
          </w:p>
          <w:p>
            <w:pPr>
              <w:pStyle w:val="95"/>
              <w:spacing w:before="62" w:line="252" w:lineRule="exact"/>
              <w:ind w:left="140"/>
              <w:rPr>
                <w:rFonts w:ascii="Times New Roman" w:hAnsi="Times New Roman" w:eastAsia="Times New Roman" w:cs="Times New Roman"/>
                <w:sz w:val="19"/>
                <w:szCs w:val="19"/>
              </w:rPr>
            </w:pPr>
            <w:r>
              <w:rPr>
                <w:spacing w:val="-14"/>
                <w:position w:val="1"/>
                <w:sz w:val="19"/>
                <w:szCs w:val="19"/>
              </w:rPr>
              <w:t>≧</w:t>
            </w:r>
            <w:r>
              <w:rPr>
                <w:spacing w:val="-31"/>
                <w:position w:val="1"/>
                <w:sz w:val="19"/>
                <w:szCs w:val="19"/>
              </w:rPr>
              <w:t xml:space="preserve"> </w:t>
            </w:r>
            <w:r>
              <w:rPr>
                <w:rFonts w:ascii="Times New Roman" w:hAnsi="Times New Roman" w:eastAsia="Times New Roman" w:cs="Times New Roman"/>
                <w:spacing w:val="-14"/>
                <w:position w:val="1"/>
                <w:sz w:val="19"/>
                <w:szCs w:val="19"/>
              </w:rPr>
              <w:t>8</w:t>
            </w:r>
          </w:p>
        </w:tc>
        <w:tc>
          <w:tcPr>
            <w:tcW w:w="3305" w:type="dxa"/>
            <w:vAlign w:val="top"/>
          </w:tcPr>
          <w:p>
            <w:pPr>
              <w:pStyle w:val="95"/>
              <w:spacing w:before="211" w:line="283" w:lineRule="auto"/>
              <w:ind w:left="113" w:right="105" w:firstLine="1"/>
              <w:jc w:val="both"/>
              <w:rPr>
                <w:sz w:val="19"/>
                <w:szCs w:val="19"/>
              </w:rPr>
            </w:pPr>
            <w:r>
              <w:rPr>
                <w:spacing w:val="4"/>
                <w:sz w:val="19"/>
                <w:szCs w:val="19"/>
              </w:rPr>
              <w:t>项目经理</w:t>
            </w:r>
            <w:r>
              <w:rPr>
                <w:spacing w:val="40"/>
                <w:sz w:val="19"/>
                <w:szCs w:val="19"/>
              </w:rPr>
              <w:t xml:space="preserve"> </w:t>
            </w:r>
            <w:r>
              <w:rPr>
                <w:rFonts w:ascii="Times New Roman" w:hAnsi="Times New Roman" w:eastAsia="Times New Roman" w:cs="Times New Roman"/>
                <w:spacing w:val="4"/>
                <w:sz w:val="19"/>
                <w:szCs w:val="19"/>
              </w:rPr>
              <w:t>1</w:t>
            </w:r>
            <w:r>
              <w:rPr>
                <w:spacing w:val="4"/>
                <w:sz w:val="19"/>
                <w:szCs w:val="19"/>
              </w:rPr>
              <w:t>人、项目技术负责 人</w:t>
            </w:r>
            <w:r>
              <w:rPr>
                <w:spacing w:val="29"/>
                <w:sz w:val="19"/>
                <w:szCs w:val="19"/>
              </w:rPr>
              <w:t xml:space="preserve"> </w:t>
            </w:r>
            <w:r>
              <w:rPr>
                <w:rFonts w:ascii="Times New Roman" w:hAnsi="Times New Roman" w:eastAsia="Times New Roman" w:cs="Times New Roman"/>
                <w:spacing w:val="4"/>
                <w:sz w:val="19"/>
                <w:szCs w:val="19"/>
              </w:rPr>
              <w:t>1</w:t>
            </w:r>
            <w:r>
              <w:rPr>
                <w:rFonts w:ascii="Times New Roman" w:hAnsi="Times New Roman" w:eastAsia="Times New Roman" w:cs="Times New Roman"/>
                <w:sz w:val="19"/>
                <w:szCs w:val="19"/>
              </w:rPr>
              <w:t xml:space="preserve"> </w:t>
            </w:r>
            <w:r>
              <w:rPr>
                <w:spacing w:val="6"/>
                <w:sz w:val="19"/>
                <w:szCs w:val="19"/>
              </w:rPr>
              <w:t>人、施工员</w:t>
            </w:r>
            <w:r>
              <w:rPr>
                <w:spacing w:val="35"/>
                <w:sz w:val="19"/>
                <w:szCs w:val="19"/>
              </w:rPr>
              <w:t xml:space="preserve"> </w:t>
            </w:r>
            <w:r>
              <w:rPr>
                <w:rFonts w:ascii="Times New Roman" w:hAnsi="Times New Roman" w:eastAsia="Times New Roman" w:cs="Times New Roman"/>
                <w:spacing w:val="6"/>
                <w:sz w:val="19"/>
                <w:szCs w:val="19"/>
              </w:rPr>
              <w:t>1</w:t>
            </w:r>
            <w:r>
              <w:rPr>
                <w:spacing w:val="6"/>
                <w:sz w:val="19"/>
                <w:szCs w:val="19"/>
              </w:rPr>
              <w:t>人、专职安 全生产管</w:t>
            </w:r>
            <w:r>
              <w:rPr>
                <w:sz w:val="19"/>
                <w:szCs w:val="19"/>
              </w:rPr>
              <w:t xml:space="preserve"> 理人员 </w:t>
            </w:r>
            <w:r>
              <w:rPr>
                <w:rFonts w:ascii="Times New Roman" w:hAnsi="Times New Roman" w:eastAsia="Times New Roman" w:cs="Times New Roman"/>
                <w:sz w:val="19"/>
                <w:szCs w:val="19"/>
              </w:rPr>
              <w:t>2</w:t>
            </w:r>
            <w:r>
              <w:rPr>
                <w:sz w:val="19"/>
                <w:szCs w:val="19"/>
              </w:rPr>
              <w:t>人、质量员</w:t>
            </w:r>
            <w:r>
              <w:rPr>
                <w:spacing w:val="36"/>
                <w:sz w:val="19"/>
                <w:szCs w:val="19"/>
              </w:rPr>
              <w:t xml:space="preserve"> </w:t>
            </w:r>
            <w:r>
              <w:rPr>
                <w:rFonts w:ascii="Times New Roman" w:hAnsi="Times New Roman" w:eastAsia="Times New Roman" w:cs="Times New Roman"/>
                <w:sz w:val="19"/>
                <w:szCs w:val="19"/>
              </w:rPr>
              <w:t>1</w:t>
            </w:r>
            <w:r>
              <w:rPr>
                <w:sz w:val="19"/>
                <w:szCs w:val="19"/>
              </w:rPr>
              <w:t xml:space="preserve">人、劳资专管 </w:t>
            </w:r>
            <w:r>
              <w:rPr>
                <w:spacing w:val="5"/>
                <w:sz w:val="19"/>
                <w:szCs w:val="19"/>
              </w:rPr>
              <w:t>员</w:t>
            </w:r>
            <w:r>
              <w:rPr>
                <w:spacing w:val="40"/>
                <w:sz w:val="19"/>
                <w:szCs w:val="19"/>
              </w:rPr>
              <w:t xml:space="preserve"> </w:t>
            </w:r>
            <w:r>
              <w:rPr>
                <w:rFonts w:ascii="Times New Roman" w:hAnsi="Times New Roman" w:eastAsia="Times New Roman" w:cs="Times New Roman"/>
                <w:spacing w:val="5"/>
                <w:sz w:val="19"/>
                <w:szCs w:val="19"/>
              </w:rPr>
              <w:t>1</w:t>
            </w:r>
            <w:r>
              <w:rPr>
                <w:spacing w:val="5"/>
                <w:sz w:val="19"/>
                <w:szCs w:val="19"/>
              </w:rPr>
              <w:t>人、资料 员</w:t>
            </w:r>
            <w:r>
              <w:rPr>
                <w:rFonts w:ascii="Times New Roman" w:hAnsi="Times New Roman" w:eastAsia="Times New Roman" w:cs="Times New Roman"/>
                <w:spacing w:val="5"/>
                <w:sz w:val="19"/>
                <w:szCs w:val="19"/>
              </w:rPr>
              <w:t>(</w:t>
            </w:r>
            <w:r>
              <w:rPr>
                <w:spacing w:val="5"/>
                <w:sz w:val="19"/>
                <w:szCs w:val="19"/>
              </w:rPr>
              <w:t>可兼任</w:t>
            </w:r>
            <w:r>
              <w:rPr>
                <w:rFonts w:ascii="Times New Roman" w:hAnsi="Times New Roman" w:eastAsia="Times New Roman" w:cs="Times New Roman"/>
                <w:spacing w:val="5"/>
                <w:sz w:val="19"/>
                <w:szCs w:val="19"/>
              </w:rPr>
              <w:t>)1</w:t>
            </w:r>
            <w:r>
              <w:rPr>
                <w:spacing w:val="5"/>
                <w:sz w:val="19"/>
                <w:szCs w:val="19"/>
              </w:rPr>
              <w:t>人</w:t>
            </w:r>
          </w:p>
        </w:tc>
        <w:tc>
          <w:tcPr>
            <w:tcW w:w="2622"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pStyle w:val="95"/>
              <w:spacing w:before="62" w:line="266" w:lineRule="auto"/>
              <w:ind w:left="118" w:right="110" w:firstLine="5"/>
              <w:rPr>
                <w:sz w:val="19"/>
                <w:szCs w:val="19"/>
              </w:rPr>
            </w:pPr>
            <w:r>
              <w:rPr>
                <w:spacing w:val="8"/>
                <w:sz w:val="19"/>
                <w:szCs w:val="19"/>
              </w:rPr>
              <w:t>资料员可以由其他岗位人员</w:t>
            </w:r>
            <w:r>
              <w:rPr>
                <w:spacing w:val="6"/>
                <w:sz w:val="19"/>
                <w:szCs w:val="19"/>
              </w:rPr>
              <w:t xml:space="preserve"> </w:t>
            </w:r>
            <w:r>
              <w:rPr>
                <w:spacing w:val="-4"/>
                <w:sz w:val="19"/>
                <w:szCs w:val="19"/>
              </w:rPr>
              <w:t>兼任。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67" w:hRule="atLeast"/>
        </w:trPr>
        <w:tc>
          <w:tcPr>
            <w:tcW w:w="698" w:type="dxa"/>
            <w:vMerge w:val="continue"/>
            <w:tcBorders>
              <w:top w:val="nil"/>
              <w:bottom w:val="nil"/>
            </w:tcBorders>
            <w:textDirection w:val="tbRlV"/>
            <w:vAlign w:val="top"/>
          </w:tcPr>
          <w:p>
            <w:pPr>
              <w:rPr>
                <w:rFonts w:ascii="Arial"/>
                <w:sz w:val="21"/>
              </w:rPr>
            </w:pPr>
          </w:p>
        </w:tc>
        <w:tc>
          <w:tcPr>
            <w:tcW w:w="979" w:type="dxa"/>
            <w:vAlign w:val="top"/>
          </w:tcPr>
          <w:p>
            <w:pPr>
              <w:pStyle w:val="95"/>
              <w:spacing w:before="60" w:line="288" w:lineRule="auto"/>
              <w:ind w:left="105" w:right="107" w:firstLine="5"/>
              <w:jc w:val="both"/>
              <w:rPr>
                <w:sz w:val="19"/>
                <w:szCs w:val="19"/>
              </w:rPr>
            </w:pPr>
            <w:r>
              <w:rPr>
                <w:rFonts w:ascii="Times New Roman" w:hAnsi="Times New Roman" w:eastAsia="Times New Roman" w:cs="Times New Roman"/>
                <w:spacing w:val="13"/>
                <w:sz w:val="19"/>
                <w:szCs w:val="19"/>
              </w:rPr>
              <w:t>3</w:t>
            </w:r>
            <w:r>
              <w:rPr>
                <w:rFonts w:ascii="Times New Roman" w:hAnsi="Times New Roman" w:eastAsia="Times New Roman" w:cs="Times New Roman"/>
                <w:spacing w:val="-11"/>
                <w:sz w:val="19"/>
                <w:szCs w:val="19"/>
              </w:rPr>
              <w:t xml:space="preserve"> </w:t>
            </w:r>
            <w:r>
              <w:rPr>
                <w:spacing w:val="13"/>
                <w:sz w:val="19"/>
                <w:szCs w:val="19"/>
              </w:rPr>
              <w:t>万平方</w:t>
            </w:r>
            <w:r>
              <w:rPr>
                <w:sz w:val="19"/>
                <w:szCs w:val="19"/>
              </w:rPr>
              <w:t xml:space="preserve"> </w:t>
            </w:r>
            <w:r>
              <w:rPr>
                <w:spacing w:val="-3"/>
                <w:sz w:val="19"/>
                <w:szCs w:val="19"/>
              </w:rPr>
              <w:t>米</w:t>
            </w:r>
            <w:r>
              <w:rPr>
                <w:spacing w:val="9"/>
                <w:sz w:val="19"/>
                <w:szCs w:val="19"/>
              </w:rPr>
              <w:t xml:space="preserve"> </w:t>
            </w:r>
            <w:r>
              <w:rPr>
                <w:spacing w:val="-3"/>
                <w:sz w:val="19"/>
                <w:szCs w:val="19"/>
              </w:rPr>
              <w:t>＜ 建</w:t>
            </w:r>
            <w:r>
              <w:rPr>
                <w:sz w:val="19"/>
                <w:szCs w:val="19"/>
              </w:rPr>
              <w:t xml:space="preserve"> </w:t>
            </w:r>
            <w:r>
              <w:rPr>
                <w:spacing w:val="12"/>
                <w:sz w:val="19"/>
                <w:szCs w:val="19"/>
              </w:rPr>
              <w:t>筑</w:t>
            </w:r>
            <w:r>
              <w:rPr>
                <w:spacing w:val="58"/>
                <w:sz w:val="19"/>
                <w:szCs w:val="19"/>
              </w:rPr>
              <w:t xml:space="preserve"> </w:t>
            </w:r>
            <w:r>
              <w:rPr>
                <w:spacing w:val="12"/>
                <w:sz w:val="19"/>
                <w:szCs w:val="19"/>
              </w:rPr>
              <w:t>面积</w:t>
            </w:r>
            <w:r>
              <w:rPr>
                <w:sz w:val="19"/>
                <w:szCs w:val="19"/>
              </w:rPr>
              <w:t xml:space="preserve"> </w:t>
            </w:r>
            <w:r>
              <w:rPr>
                <w:rFonts w:ascii="Times New Roman" w:hAnsi="Times New Roman" w:eastAsia="Times New Roman" w:cs="Times New Roman"/>
                <w:spacing w:val="7"/>
                <w:sz w:val="19"/>
                <w:szCs w:val="19"/>
              </w:rPr>
              <w:t>≤  5</w:t>
            </w:r>
            <w:r>
              <w:rPr>
                <w:rFonts w:ascii="Times New Roman" w:hAnsi="Times New Roman" w:eastAsia="Times New Roman" w:cs="Times New Roman"/>
                <w:spacing w:val="-7"/>
                <w:sz w:val="19"/>
                <w:szCs w:val="19"/>
              </w:rPr>
              <w:t xml:space="preserve"> </w:t>
            </w:r>
            <w:r>
              <w:rPr>
                <w:spacing w:val="7"/>
                <w:sz w:val="19"/>
                <w:szCs w:val="19"/>
              </w:rPr>
              <w:t>万平</w:t>
            </w:r>
            <w:r>
              <w:rPr>
                <w:sz w:val="19"/>
                <w:szCs w:val="19"/>
              </w:rPr>
              <w:t xml:space="preserve"> </w:t>
            </w:r>
            <w:r>
              <w:rPr>
                <w:spacing w:val="4"/>
                <w:sz w:val="19"/>
                <w:szCs w:val="19"/>
              </w:rPr>
              <w:t>方</w:t>
            </w:r>
            <w:r>
              <w:rPr>
                <w:spacing w:val="13"/>
                <w:sz w:val="19"/>
                <w:szCs w:val="19"/>
              </w:rPr>
              <w:t xml:space="preserve"> </w:t>
            </w:r>
            <w:r>
              <w:rPr>
                <w:spacing w:val="4"/>
                <w:sz w:val="19"/>
                <w:szCs w:val="19"/>
              </w:rPr>
              <w:t>米</w:t>
            </w:r>
          </w:p>
        </w:tc>
        <w:tc>
          <w:tcPr>
            <w:tcW w:w="698" w:type="dxa"/>
            <w:vAlign w:val="top"/>
          </w:tcPr>
          <w:p>
            <w:pPr>
              <w:spacing w:line="308" w:lineRule="auto"/>
              <w:rPr>
                <w:rFonts w:ascii="Arial"/>
                <w:sz w:val="21"/>
              </w:rPr>
            </w:pPr>
          </w:p>
          <w:p>
            <w:pPr>
              <w:spacing w:line="309" w:lineRule="auto"/>
              <w:rPr>
                <w:rFonts w:ascii="Arial"/>
                <w:sz w:val="21"/>
              </w:rPr>
            </w:pPr>
          </w:p>
          <w:p>
            <w:pPr>
              <w:pStyle w:val="95"/>
              <w:spacing w:before="62" w:line="252" w:lineRule="exact"/>
              <w:ind w:left="140"/>
              <w:rPr>
                <w:rFonts w:ascii="Times New Roman" w:hAnsi="Times New Roman" w:eastAsia="Times New Roman" w:cs="Times New Roman"/>
                <w:sz w:val="19"/>
                <w:szCs w:val="19"/>
              </w:rPr>
            </w:pPr>
            <w:r>
              <w:rPr>
                <w:spacing w:val="-14"/>
                <w:position w:val="1"/>
                <w:sz w:val="19"/>
                <w:szCs w:val="19"/>
              </w:rPr>
              <w:t>≧</w:t>
            </w:r>
            <w:r>
              <w:rPr>
                <w:spacing w:val="-35"/>
                <w:position w:val="1"/>
                <w:sz w:val="19"/>
                <w:szCs w:val="19"/>
              </w:rPr>
              <w:t xml:space="preserve"> </w:t>
            </w:r>
            <w:r>
              <w:rPr>
                <w:rFonts w:ascii="Times New Roman" w:hAnsi="Times New Roman" w:eastAsia="Times New Roman" w:cs="Times New Roman"/>
                <w:spacing w:val="-14"/>
                <w:position w:val="1"/>
                <w:sz w:val="19"/>
                <w:szCs w:val="19"/>
              </w:rPr>
              <w:t>9</w:t>
            </w:r>
          </w:p>
        </w:tc>
        <w:tc>
          <w:tcPr>
            <w:tcW w:w="3305" w:type="dxa"/>
            <w:vAlign w:val="top"/>
          </w:tcPr>
          <w:p>
            <w:pPr>
              <w:pStyle w:val="95"/>
              <w:spacing w:before="214" w:line="283" w:lineRule="auto"/>
              <w:ind w:left="113" w:right="105" w:firstLine="1"/>
              <w:jc w:val="both"/>
              <w:rPr>
                <w:sz w:val="19"/>
                <w:szCs w:val="19"/>
              </w:rPr>
            </w:pPr>
            <w:r>
              <w:rPr>
                <w:spacing w:val="4"/>
                <w:sz w:val="19"/>
                <w:szCs w:val="19"/>
              </w:rPr>
              <w:t>项目经理</w:t>
            </w:r>
            <w:r>
              <w:rPr>
                <w:spacing w:val="40"/>
                <w:sz w:val="19"/>
                <w:szCs w:val="19"/>
              </w:rPr>
              <w:t xml:space="preserve"> </w:t>
            </w:r>
            <w:r>
              <w:rPr>
                <w:rFonts w:ascii="Times New Roman" w:hAnsi="Times New Roman" w:eastAsia="Times New Roman" w:cs="Times New Roman"/>
                <w:spacing w:val="4"/>
                <w:sz w:val="19"/>
                <w:szCs w:val="19"/>
              </w:rPr>
              <w:t>1</w:t>
            </w:r>
            <w:r>
              <w:rPr>
                <w:spacing w:val="4"/>
                <w:sz w:val="19"/>
                <w:szCs w:val="19"/>
              </w:rPr>
              <w:t>人、项目技术负责 人</w:t>
            </w:r>
            <w:r>
              <w:rPr>
                <w:spacing w:val="29"/>
                <w:sz w:val="19"/>
                <w:szCs w:val="19"/>
              </w:rPr>
              <w:t xml:space="preserve"> </w:t>
            </w:r>
            <w:r>
              <w:rPr>
                <w:rFonts w:ascii="Times New Roman" w:hAnsi="Times New Roman" w:eastAsia="Times New Roman" w:cs="Times New Roman"/>
                <w:spacing w:val="4"/>
                <w:sz w:val="19"/>
                <w:szCs w:val="19"/>
              </w:rPr>
              <w:t>1</w:t>
            </w:r>
            <w:r>
              <w:rPr>
                <w:rFonts w:ascii="Times New Roman" w:hAnsi="Times New Roman" w:eastAsia="Times New Roman" w:cs="Times New Roman"/>
                <w:sz w:val="19"/>
                <w:szCs w:val="19"/>
              </w:rPr>
              <w:t xml:space="preserve"> </w:t>
            </w:r>
            <w:r>
              <w:rPr>
                <w:spacing w:val="7"/>
                <w:sz w:val="19"/>
                <w:szCs w:val="19"/>
              </w:rPr>
              <w:t xml:space="preserve">人、施工员 </w:t>
            </w:r>
            <w:r>
              <w:rPr>
                <w:rFonts w:ascii="Times New Roman" w:hAnsi="Times New Roman" w:eastAsia="Times New Roman" w:cs="Times New Roman"/>
                <w:spacing w:val="7"/>
                <w:sz w:val="19"/>
                <w:szCs w:val="19"/>
              </w:rPr>
              <w:t>2</w:t>
            </w:r>
            <w:r>
              <w:rPr>
                <w:spacing w:val="7"/>
                <w:sz w:val="19"/>
                <w:szCs w:val="19"/>
              </w:rPr>
              <w:t>人、专职安 全生产管</w:t>
            </w:r>
            <w:r>
              <w:rPr>
                <w:spacing w:val="12"/>
                <w:sz w:val="19"/>
                <w:szCs w:val="19"/>
              </w:rPr>
              <w:t xml:space="preserve"> </w:t>
            </w:r>
            <w:r>
              <w:rPr>
                <w:sz w:val="19"/>
                <w:szCs w:val="19"/>
              </w:rPr>
              <w:t xml:space="preserve">理人员 </w:t>
            </w:r>
            <w:r>
              <w:rPr>
                <w:rFonts w:ascii="Times New Roman" w:hAnsi="Times New Roman" w:eastAsia="Times New Roman" w:cs="Times New Roman"/>
                <w:sz w:val="19"/>
                <w:szCs w:val="19"/>
              </w:rPr>
              <w:t>2</w:t>
            </w:r>
            <w:r>
              <w:rPr>
                <w:sz w:val="19"/>
                <w:szCs w:val="19"/>
              </w:rPr>
              <w:t>人、质量员</w:t>
            </w:r>
            <w:r>
              <w:rPr>
                <w:spacing w:val="36"/>
                <w:sz w:val="19"/>
                <w:szCs w:val="19"/>
              </w:rPr>
              <w:t xml:space="preserve"> </w:t>
            </w:r>
            <w:r>
              <w:rPr>
                <w:rFonts w:ascii="Times New Roman" w:hAnsi="Times New Roman" w:eastAsia="Times New Roman" w:cs="Times New Roman"/>
                <w:sz w:val="19"/>
                <w:szCs w:val="19"/>
              </w:rPr>
              <w:t>1</w:t>
            </w:r>
            <w:r>
              <w:rPr>
                <w:sz w:val="19"/>
                <w:szCs w:val="19"/>
              </w:rPr>
              <w:t xml:space="preserve">人、劳资专管 </w:t>
            </w:r>
            <w:r>
              <w:rPr>
                <w:spacing w:val="5"/>
                <w:sz w:val="19"/>
                <w:szCs w:val="19"/>
              </w:rPr>
              <w:t>员</w:t>
            </w:r>
            <w:r>
              <w:rPr>
                <w:spacing w:val="40"/>
                <w:sz w:val="19"/>
                <w:szCs w:val="19"/>
              </w:rPr>
              <w:t xml:space="preserve"> </w:t>
            </w:r>
            <w:r>
              <w:rPr>
                <w:rFonts w:ascii="Times New Roman" w:hAnsi="Times New Roman" w:eastAsia="Times New Roman" w:cs="Times New Roman"/>
                <w:spacing w:val="5"/>
                <w:sz w:val="19"/>
                <w:szCs w:val="19"/>
              </w:rPr>
              <w:t>1</w:t>
            </w:r>
            <w:r>
              <w:rPr>
                <w:spacing w:val="5"/>
                <w:sz w:val="19"/>
                <w:szCs w:val="19"/>
              </w:rPr>
              <w:t>人、资料 员</w:t>
            </w:r>
            <w:r>
              <w:rPr>
                <w:rFonts w:ascii="Times New Roman" w:hAnsi="Times New Roman" w:eastAsia="Times New Roman" w:cs="Times New Roman"/>
                <w:spacing w:val="5"/>
                <w:sz w:val="19"/>
                <w:szCs w:val="19"/>
              </w:rPr>
              <w:t>(</w:t>
            </w:r>
            <w:r>
              <w:rPr>
                <w:spacing w:val="5"/>
                <w:sz w:val="19"/>
                <w:szCs w:val="19"/>
              </w:rPr>
              <w:t>可兼任</w:t>
            </w:r>
            <w:r>
              <w:rPr>
                <w:rFonts w:ascii="Times New Roman" w:hAnsi="Times New Roman" w:eastAsia="Times New Roman" w:cs="Times New Roman"/>
                <w:spacing w:val="5"/>
                <w:sz w:val="19"/>
                <w:szCs w:val="19"/>
              </w:rPr>
              <w:t>)1</w:t>
            </w:r>
            <w:r>
              <w:rPr>
                <w:spacing w:val="5"/>
                <w:sz w:val="19"/>
                <w:szCs w:val="19"/>
              </w:rPr>
              <w:t>人</w:t>
            </w:r>
          </w:p>
        </w:tc>
        <w:tc>
          <w:tcPr>
            <w:tcW w:w="2622"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23" w:hRule="atLeast"/>
        </w:trPr>
        <w:tc>
          <w:tcPr>
            <w:tcW w:w="698" w:type="dxa"/>
            <w:vMerge w:val="continue"/>
            <w:tcBorders>
              <w:top w:val="nil"/>
            </w:tcBorders>
            <w:textDirection w:val="tbRlV"/>
            <w:vAlign w:val="top"/>
          </w:tcPr>
          <w:p>
            <w:pPr>
              <w:rPr>
                <w:rFonts w:ascii="Arial"/>
                <w:sz w:val="21"/>
              </w:rPr>
            </w:pPr>
          </w:p>
        </w:tc>
        <w:tc>
          <w:tcPr>
            <w:tcW w:w="979"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95"/>
              <w:spacing w:before="62" w:line="285" w:lineRule="auto"/>
              <w:ind w:left="111" w:right="108" w:firstLine="2"/>
              <w:jc w:val="both"/>
              <w:rPr>
                <w:sz w:val="19"/>
                <w:szCs w:val="19"/>
              </w:rPr>
            </w:pPr>
            <w:r>
              <w:rPr>
                <w:spacing w:val="-2"/>
                <w:sz w:val="19"/>
                <w:szCs w:val="19"/>
              </w:rPr>
              <w:t>建 筑</w:t>
            </w:r>
            <w:r>
              <w:rPr>
                <w:spacing w:val="-3"/>
                <w:sz w:val="19"/>
                <w:szCs w:val="19"/>
              </w:rPr>
              <w:t xml:space="preserve"> </w:t>
            </w:r>
            <w:r>
              <w:rPr>
                <w:spacing w:val="-2"/>
                <w:sz w:val="19"/>
                <w:szCs w:val="19"/>
              </w:rPr>
              <w:t>面</w:t>
            </w:r>
            <w:r>
              <w:rPr>
                <w:sz w:val="19"/>
                <w:szCs w:val="19"/>
              </w:rPr>
              <w:t xml:space="preserve"> </w:t>
            </w:r>
            <w:r>
              <w:rPr>
                <w:spacing w:val="-8"/>
                <w:sz w:val="19"/>
                <w:szCs w:val="19"/>
              </w:rPr>
              <w:t>积</w:t>
            </w:r>
            <w:r>
              <w:rPr>
                <w:spacing w:val="-13"/>
                <w:sz w:val="19"/>
                <w:szCs w:val="19"/>
              </w:rPr>
              <w:t xml:space="preserve"> </w:t>
            </w:r>
            <w:r>
              <w:rPr>
                <w:spacing w:val="-8"/>
                <w:sz w:val="19"/>
                <w:szCs w:val="19"/>
              </w:rPr>
              <w:t>＞</w:t>
            </w:r>
            <w:r>
              <w:rPr>
                <w:spacing w:val="15"/>
                <w:sz w:val="19"/>
                <w:szCs w:val="19"/>
              </w:rPr>
              <w:t xml:space="preserve">  </w:t>
            </w:r>
            <w:r>
              <w:rPr>
                <w:rFonts w:ascii="Times New Roman" w:hAnsi="Times New Roman" w:eastAsia="Times New Roman" w:cs="Times New Roman"/>
                <w:spacing w:val="-8"/>
                <w:sz w:val="19"/>
                <w:szCs w:val="19"/>
              </w:rPr>
              <w:t>5</w:t>
            </w:r>
            <w:r>
              <w:rPr>
                <w:rFonts w:ascii="Times New Roman" w:hAnsi="Times New Roman" w:eastAsia="Times New Roman" w:cs="Times New Roman"/>
                <w:sz w:val="19"/>
                <w:szCs w:val="19"/>
              </w:rPr>
              <w:t xml:space="preserve"> </w:t>
            </w:r>
            <w:r>
              <w:rPr>
                <w:spacing w:val="-1"/>
                <w:sz w:val="19"/>
                <w:szCs w:val="19"/>
              </w:rPr>
              <w:t>万</w:t>
            </w:r>
            <w:r>
              <w:rPr>
                <w:spacing w:val="-4"/>
                <w:sz w:val="19"/>
                <w:szCs w:val="19"/>
              </w:rPr>
              <w:t xml:space="preserve"> </w:t>
            </w:r>
            <w:r>
              <w:rPr>
                <w:spacing w:val="-1"/>
                <w:sz w:val="19"/>
                <w:szCs w:val="19"/>
              </w:rPr>
              <w:t>平 方</w:t>
            </w:r>
            <w:r>
              <w:rPr>
                <w:sz w:val="19"/>
                <w:szCs w:val="19"/>
              </w:rPr>
              <w:t xml:space="preserve"> </w:t>
            </w:r>
            <w:r>
              <w:rPr>
                <w:spacing w:val="1"/>
                <w:sz w:val="19"/>
                <w:szCs w:val="19"/>
              </w:rPr>
              <w:t>米</w:t>
            </w:r>
          </w:p>
        </w:tc>
        <w:tc>
          <w:tcPr>
            <w:tcW w:w="698"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pStyle w:val="95"/>
              <w:spacing w:before="62" w:line="254" w:lineRule="exact"/>
              <w:ind w:left="140"/>
              <w:rPr>
                <w:rFonts w:ascii="Times New Roman" w:hAnsi="Times New Roman" w:eastAsia="Times New Roman" w:cs="Times New Roman"/>
                <w:sz w:val="19"/>
                <w:szCs w:val="19"/>
              </w:rPr>
            </w:pPr>
            <w:r>
              <w:rPr>
                <w:spacing w:val="-14"/>
                <w:position w:val="1"/>
                <w:sz w:val="19"/>
                <w:szCs w:val="19"/>
              </w:rPr>
              <w:t>≧</w:t>
            </w:r>
            <w:r>
              <w:rPr>
                <w:spacing w:val="-19"/>
                <w:position w:val="1"/>
                <w:sz w:val="19"/>
                <w:szCs w:val="19"/>
              </w:rPr>
              <w:t xml:space="preserve"> </w:t>
            </w:r>
            <w:r>
              <w:rPr>
                <w:rFonts w:ascii="Times New Roman" w:hAnsi="Times New Roman" w:eastAsia="Times New Roman" w:cs="Times New Roman"/>
                <w:spacing w:val="-14"/>
                <w:position w:val="1"/>
                <w:sz w:val="19"/>
                <w:szCs w:val="19"/>
              </w:rPr>
              <w:t>12</w:t>
            </w:r>
          </w:p>
        </w:tc>
        <w:tc>
          <w:tcPr>
            <w:tcW w:w="3305" w:type="dxa"/>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95"/>
              <w:spacing w:before="61" w:line="285" w:lineRule="auto"/>
              <w:ind w:left="113" w:right="105" w:firstLine="1"/>
              <w:jc w:val="both"/>
              <w:rPr>
                <w:sz w:val="19"/>
                <w:szCs w:val="19"/>
              </w:rPr>
            </w:pPr>
            <w:r>
              <w:rPr>
                <w:spacing w:val="4"/>
                <w:sz w:val="19"/>
                <w:szCs w:val="19"/>
              </w:rPr>
              <w:t>项目经理</w:t>
            </w:r>
            <w:r>
              <w:rPr>
                <w:spacing w:val="40"/>
                <w:sz w:val="19"/>
                <w:szCs w:val="19"/>
              </w:rPr>
              <w:t xml:space="preserve"> </w:t>
            </w:r>
            <w:r>
              <w:rPr>
                <w:rFonts w:ascii="Times New Roman" w:hAnsi="Times New Roman" w:eastAsia="Times New Roman" w:cs="Times New Roman"/>
                <w:spacing w:val="4"/>
                <w:sz w:val="19"/>
                <w:szCs w:val="19"/>
              </w:rPr>
              <w:t>1</w:t>
            </w:r>
            <w:r>
              <w:rPr>
                <w:spacing w:val="4"/>
                <w:sz w:val="19"/>
                <w:szCs w:val="19"/>
              </w:rPr>
              <w:t>人、项目技术负责 人</w:t>
            </w:r>
            <w:r>
              <w:rPr>
                <w:spacing w:val="29"/>
                <w:sz w:val="19"/>
                <w:szCs w:val="19"/>
              </w:rPr>
              <w:t xml:space="preserve"> </w:t>
            </w:r>
            <w:r>
              <w:rPr>
                <w:rFonts w:ascii="Times New Roman" w:hAnsi="Times New Roman" w:eastAsia="Times New Roman" w:cs="Times New Roman"/>
                <w:spacing w:val="4"/>
                <w:sz w:val="19"/>
                <w:szCs w:val="19"/>
              </w:rPr>
              <w:t>1</w:t>
            </w:r>
            <w:r>
              <w:rPr>
                <w:rFonts w:ascii="Times New Roman" w:hAnsi="Times New Roman" w:eastAsia="Times New Roman" w:cs="Times New Roman"/>
                <w:sz w:val="19"/>
                <w:szCs w:val="19"/>
              </w:rPr>
              <w:t xml:space="preserve"> </w:t>
            </w:r>
            <w:r>
              <w:rPr>
                <w:spacing w:val="7"/>
                <w:sz w:val="19"/>
                <w:szCs w:val="19"/>
              </w:rPr>
              <w:t xml:space="preserve">人、施工员 </w:t>
            </w:r>
            <w:r>
              <w:rPr>
                <w:rFonts w:ascii="Times New Roman" w:hAnsi="Times New Roman" w:eastAsia="Times New Roman" w:cs="Times New Roman"/>
                <w:spacing w:val="7"/>
                <w:sz w:val="19"/>
                <w:szCs w:val="19"/>
              </w:rPr>
              <w:t>3</w:t>
            </w:r>
            <w:r>
              <w:rPr>
                <w:spacing w:val="7"/>
                <w:sz w:val="19"/>
                <w:szCs w:val="19"/>
              </w:rPr>
              <w:t>人、专职安 全生产管</w:t>
            </w:r>
            <w:r>
              <w:rPr>
                <w:spacing w:val="12"/>
                <w:sz w:val="19"/>
                <w:szCs w:val="19"/>
              </w:rPr>
              <w:t xml:space="preserve"> </w:t>
            </w:r>
            <w:r>
              <w:rPr>
                <w:spacing w:val="2"/>
                <w:sz w:val="19"/>
                <w:szCs w:val="19"/>
              </w:rPr>
              <w:t xml:space="preserve">理人员 </w:t>
            </w:r>
            <w:r>
              <w:rPr>
                <w:rFonts w:ascii="Times New Roman" w:hAnsi="Times New Roman" w:eastAsia="Times New Roman" w:cs="Times New Roman"/>
                <w:spacing w:val="2"/>
                <w:sz w:val="19"/>
                <w:szCs w:val="19"/>
              </w:rPr>
              <w:t>3</w:t>
            </w:r>
            <w:r>
              <w:rPr>
                <w:spacing w:val="2"/>
                <w:sz w:val="19"/>
                <w:szCs w:val="19"/>
              </w:rPr>
              <w:t xml:space="preserve">人、质量员 </w:t>
            </w:r>
            <w:r>
              <w:rPr>
                <w:rFonts w:ascii="Times New Roman" w:hAnsi="Times New Roman" w:eastAsia="Times New Roman" w:cs="Times New Roman"/>
                <w:spacing w:val="2"/>
                <w:sz w:val="19"/>
                <w:szCs w:val="19"/>
              </w:rPr>
              <w:t>2</w:t>
            </w:r>
            <w:r>
              <w:rPr>
                <w:spacing w:val="2"/>
                <w:sz w:val="19"/>
                <w:szCs w:val="19"/>
              </w:rPr>
              <w:t>人、劳资专管</w:t>
            </w:r>
            <w:r>
              <w:rPr>
                <w:sz w:val="19"/>
                <w:szCs w:val="19"/>
              </w:rPr>
              <w:t xml:space="preserve"> 员</w:t>
            </w:r>
            <w:r>
              <w:rPr>
                <w:spacing w:val="32"/>
                <w:sz w:val="19"/>
                <w:szCs w:val="19"/>
              </w:rPr>
              <w:t xml:space="preserve"> </w:t>
            </w:r>
            <w:r>
              <w:rPr>
                <w:rFonts w:ascii="Times New Roman" w:hAnsi="Times New Roman" w:eastAsia="Times New Roman" w:cs="Times New Roman"/>
                <w:sz w:val="19"/>
                <w:szCs w:val="19"/>
              </w:rPr>
              <w:t>1</w:t>
            </w:r>
            <w:r>
              <w:rPr>
                <w:sz w:val="19"/>
                <w:szCs w:val="19"/>
              </w:rPr>
              <w:t>人、资料</w:t>
            </w:r>
            <w:r>
              <w:rPr>
                <w:spacing w:val="21"/>
                <w:sz w:val="19"/>
                <w:szCs w:val="19"/>
              </w:rPr>
              <w:t xml:space="preserve"> </w:t>
            </w:r>
            <w:r>
              <w:rPr>
                <w:sz w:val="19"/>
                <w:szCs w:val="19"/>
              </w:rPr>
              <w:t>员</w:t>
            </w:r>
            <w:r>
              <w:rPr>
                <w:spacing w:val="30"/>
                <w:sz w:val="19"/>
                <w:szCs w:val="19"/>
              </w:rPr>
              <w:t xml:space="preserve"> </w:t>
            </w:r>
            <w:r>
              <w:rPr>
                <w:rFonts w:ascii="Times New Roman" w:hAnsi="Times New Roman" w:eastAsia="Times New Roman" w:cs="Times New Roman"/>
                <w:sz w:val="19"/>
                <w:szCs w:val="19"/>
              </w:rPr>
              <w:t>1</w:t>
            </w:r>
            <w:r>
              <w:rPr>
                <w:sz w:val="19"/>
                <w:szCs w:val="19"/>
              </w:rPr>
              <w:t>人</w:t>
            </w:r>
          </w:p>
        </w:tc>
        <w:tc>
          <w:tcPr>
            <w:tcW w:w="2622" w:type="dxa"/>
            <w:vAlign w:val="top"/>
          </w:tcPr>
          <w:p>
            <w:pPr>
              <w:pStyle w:val="95"/>
              <w:spacing w:before="58" w:line="299" w:lineRule="auto"/>
              <w:ind w:left="111" w:right="41" w:firstLine="19"/>
              <w:rPr>
                <w:sz w:val="19"/>
                <w:szCs w:val="19"/>
              </w:rPr>
            </w:pPr>
            <w:r>
              <w:rPr>
                <w:rFonts w:ascii="Times New Roman" w:hAnsi="Times New Roman" w:eastAsia="Times New Roman" w:cs="Times New Roman"/>
                <w:spacing w:val="-1"/>
                <w:sz w:val="19"/>
                <w:szCs w:val="19"/>
              </w:rPr>
              <w:t>1</w:t>
            </w:r>
            <w:r>
              <w:rPr>
                <w:spacing w:val="-1"/>
                <w:sz w:val="19"/>
                <w:szCs w:val="19"/>
              </w:rPr>
              <w:t xml:space="preserve">、工业、民用与公共建筑在 </w:t>
            </w:r>
            <w:r>
              <w:rPr>
                <w:rFonts w:ascii="Times New Roman" w:hAnsi="Times New Roman" w:eastAsia="Times New Roman" w:cs="Times New Roman"/>
                <w:spacing w:val="-2"/>
                <w:sz w:val="19"/>
                <w:szCs w:val="19"/>
              </w:rPr>
              <w:t>5</w:t>
            </w:r>
            <w:r>
              <w:rPr>
                <w:spacing w:val="-2"/>
                <w:sz w:val="19"/>
                <w:szCs w:val="19"/>
              </w:rPr>
              <w:t>万平方米以 上时，按</w:t>
            </w:r>
            <w:r>
              <w:rPr>
                <w:spacing w:val="20"/>
                <w:sz w:val="19"/>
                <w:szCs w:val="19"/>
              </w:rPr>
              <w:t xml:space="preserve"> </w:t>
            </w:r>
            <w:r>
              <w:rPr>
                <w:rFonts w:ascii="Times New Roman" w:hAnsi="Times New Roman" w:eastAsia="Times New Roman" w:cs="Times New Roman"/>
                <w:spacing w:val="-2"/>
                <w:sz w:val="19"/>
                <w:szCs w:val="19"/>
              </w:rPr>
              <w:t>5</w:t>
            </w:r>
            <w:r>
              <w:rPr>
                <w:spacing w:val="-2"/>
                <w:sz w:val="19"/>
                <w:szCs w:val="19"/>
              </w:rPr>
              <w:t>万、</w:t>
            </w:r>
            <w:r>
              <w:rPr>
                <w:sz w:val="19"/>
                <w:szCs w:val="19"/>
              </w:rPr>
              <w:t xml:space="preserve"> </w:t>
            </w:r>
            <w:r>
              <w:rPr>
                <w:rFonts w:ascii="Times New Roman" w:hAnsi="Times New Roman" w:eastAsia="Times New Roman" w:cs="Times New Roman"/>
                <w:sz w:val="19"/>
                <w:szCs w:val="19"/>
              </w:rPr>
              <w:t>10</w:t>
            </w:r>
            <w:r>
              <w:rPr>
                <w:sz w:val="19"/>
                <w:szCs w:val="19"/>
              </w:rPr>
              <w:t>万、</w:t>
            </w:r>
            <w:r>
              <w:rPr>
                <w:rFonts w:ascii="Times New Roman" w:hAnsi="Times New Roman" w:eastAsia="Times New Roman" w:cs="Times New Roman"/>
                <w:sz w:val="19"/>
                <w:szCs w:val="19"/>
              </w:rPr>
              <w:t>15</w:t>
            </w:r>
            <w:r>
              <w:rPr>
                <w:sz w:val="19"/>
                <w:szCs w:val="19"/>
              </w:rPr>
              <w:t>万、</w:t>
            </w:r>
            <w:r>
              <w:rPr>
                <w:rFonts w:ascii="Times New Roman" w:hAnsi="Times New Roman" w:eastAsia="Times New Roman" w:cs="Times New Roman"/>
                <w:sz w:val="19"/>
                <w:szCs w:val="19"/>
              </w:rPr>
              <w:t>25</w:t>
            </w:r>
            <w:r>
              <w:rPr>
                <w:sz w:val="19"/>
                <w:szCs w:val="19"/>
              </w:rPr>
              <w:t>万、</w:t>
            </w:r>
            <w:r>
              <w:rPr>
                <w:rFonts w:ascii="Times New Roman" w:hAnsi="Times New Roman" w:eastAsia="Times New Roman" w:cs="Times New Roman"/>
                <w:sz w:val="19"/>
                <w:szCs w:val="19"/>
              </w:rPr>
              <w:t xml:space="preserve">40  </w:t>
            </w:r>
            <w:r>
              <w:rPr>
                <w:sz w:val="19"/>
                <w:szCs w:val="19"/>
              </w:rPr>
              <w:t xml:space="preserve">万等 </w:t>
            </w:r>
            <w:r>
              <w:rPr>
                <w:spacing w:val="8"/>
                <w:sz w:val="19"/>
                <w:szCs w:val="19"/>
              </w:rPr>
              <w:t xml:space="preserve">相邻数据相加的类推方式确 </w:t>
            </w:r>
            <w:r>
              <w:rPr>
                <w:spacing w:val="14"/>
                <w:sz w:val="19"/>
                <w:szCs w:val="19"/>
              </w:rPr>
              <w:t>定步距计</w:t>
            </w:r>
            <w:r>
              <w:rPr>
                <w:spacing w:val="34"/>
                <w:sz w:val="19"/>
                <w:szCs w:val="19"/>
              </w:rPr>
              <w:t xml:space="preserve"> </w:t>
            </w:r>
            <w:r>
              <w:rPr>
                <w:spacing w:val="14"/>
                <w:sz w:val="19"/>
                <w:szCs w:val="19"/>
              </w:rPr>
              <w:t xml:space="preserve">算增加关键岗位 </w:t>
            </w:r>
            <w:r>
              <w:rPr>
                <w:sz w:val="19"/>
                <w:szCs w:val="19"/>
              </w:rPr>
              <w:t xml:space="preserve">人员， 每步距施工员、专职 </w:t>
            </w:r>
            <w:r>
              <w:rPr>
                <w:spacing w:val="8"/>
                <w:sz w:val="19"/>
                <w:szCs w:val="19"/>
              </w:rPr>
              <w:t xml:space="preserve">安全生产管理人员、质量员 </w:t>
            </w:r>
            <w:r>
              <w:rPr>
                <w:spacing w:val="-1"/>
                <w:sz w:val="19"/>
                <w:szCs w:val="19"/>
              </w:rPr>
              <w:t>应各增加</w:t>
            </w:r>
            <w:r>
              <w:rPr>
                <w:spacing w:val="42"/>
                <w:sz w:val="19"/>
                <w:szCs w:val="19"/>
              </w:rPr>
              <w:t xml:space="preserve"> </w:t>
            </w:r>
            <w:r>
              <w:rPr>
                <w:rFonts w:ascii="Times New Roman" w:hAnsi="Times New Roman" w:eastAsia="Times New Roman" w:cs="Times New Roman"/>
                <w:spacing w:val="-1"/>
                <w:sz w:val="19"/>
                <w:szCs w:val="19"/>
              </w:rPr>
              <w:t>1</w:t>
            </w:r>
            <w:r>
              <w:rPr>
                <w:spacing w:val="-1"/>
                <w:sz w:val="19"/>
                <w:szCs w:val="19"/>
              </w:rPr>
              <w:t>人，  超过</w:t>
            </w:r>
            <w:r>
              <w:rPr>
                <w:spacing w:val="18"/>
                <w:sz w:val="19"/>
                <w:szCs w:val="19"/>
              </w:rPr>
              <w:t xml:space="preserve"> </w:t>
            </w:r>
            <w:r>
              <w:rPr>
                <w:rFonts w:ascii="Times New Roman" w:hAnsi="Times New Roman" w:eastAsia="Times New Roman" w:cs="Times New Roman"/>
                <w:spacing w:val="-1"/>
                <w:sz w:val="19"/>
                <w:szCs w:val="19"/>
              </w:rPr>
              <w:t xml:space="preserve">50%  </w:t>
            </w:r>
            <w:r>
              <w:rPr>
                <w:spacing w:val="1"/>
                <w:sz w:val="19"/>
                <w:szCs w:val="19"/>
              </w:rPr>
              <w:t>按一个步距计算。</w:t>
            </w:r>
            <w:r>
              <w:rPr>
                <w:spacing w:val="94"/>
                <w:sz w:val="19"/>
                <w:szCs w:val="19"/>
              </w:rPr>
              <w:t xml:space="preserve"> </w:t>
            </w:r>
            <w:r>
              <w:rPr>
                <w:rFonts w:ascii="Times New Roman" w:hAnsi="Times New Roman" w:eastAsia="Times New Roman" w:cs="Times New Roman"/>
                <w:spacing w:val="1"/>
                <w:sz w:val="19"/>
                <w:szCs w:val="19"/>
              </w:rPr>
              <w:t>2</w:t>
            </w:r>
            <w:r>
              <w:rPr>
                <w:spacing w:val="1"/>
                <w:sz w:val="19"/>
                <w:szCs w:val="19"/>
              </w:rPr>
              <w:t xml:space="preserve">、住宅 </w:t>
            </w:r>
            <w:r>
              <w:rPr>
                <w:spacing w:val="8"/>
                <w:sz w:val="19"/>
                <w:szCs w:val="19"/>
              </w:rPr>
              <w:t xml:space="preserve">小区或其他建筑群体工程和 </w:t>
            </w:r>
            <w:r>
              <w:rPr>
                <w:spacing w:val="11"/>
                <w:sz w:val="19"/>
                <w:szCs w:val="19"/>
              </w:rPr>
              <w:t>单栋高</w:t>
            </w:r>
            <w:r>
              <w:rPr>
                <w:spacing w:val="46"/>
                <w:sz w:val="19"/>
                <w:szCs w:val="19"/>
              </w:rPr>
              <w:t xml:space="preserve"> </w:t>
            </w:r>
            <w:r>
              <w:rPr>
                <w:spacing w:val="11"/>
                <w:sz w:val="19"/>
                <w:szCs w:val="19"/>
              </w:rPr>
              <w:t>度</w:t>
            </w:r>
            <w:r>
              <w:rPr>
                <w:spacing w:val="55"/>
                <w:sz w:val="19"/>
                <w:szCs w:val="19"/>
              </w:rPr>
              <w:t xml:space="preserve"> </w:t>
            </w:r>
            <w:r>
              <w:rPr>
                <w:rFonts w:ascii="Times New Roman" w:hAnsi="Times New Roman" w:eastAsia="Times New Roman" w:cs="Times New Roman"/>
                <w:spacing w:val="11"/>
                <w:sz w:val="19"/>
                <w:szCs w:val="19"/>
              </w:rPr>
              <w:t>150m</w:t>
            </w:r>
            <w:r>
              <w:rPr>
                <w:spacing w:val="11"/>
                <w:sz w:val="19"/>
                <w:szCs w:val="19"/>
              </w:rPr>
              <w:t>及以上的 超高层工程达到</w:t>
            </w:r>
            <w:r>
              <w:rPr>
                <w:spacing w:val="59"/>
                <w:sz w:val="19"/>
                <w:szCs w:val="19"/>
              </w:rPr>
              <w:t xml:space="preserve"> </w:t>
            </w:r>
            <w:r>
              <w:rPr>
                <w:rFonts w:ascii="Times New Roman" w:hAnsi="Times New Roman" w:eastAsia="Times New Roman" w:cs="Times New Roman"/>
                <w:spacing w:val="11"/>
                <w:sz w:val="19"/>
                <w:szCs w:val="19"/>
              </w:rPr>
              <w:t>10</w:t>
            </w:r>
            <w:r>
              <w:rPr>
                <w:spacing w:val="11"/>
                <w:sz w:val="19"/>
                <w:szCs w:val="19"/>
              </w:rPr>
              <w:t xml:space="preserve">万平方 </w:t>
            </w:r>
            <w:r>
              <w:rPr>
                <w:spacing w:val="-6"/>
                <w:sz w:val="19"/>
                <w:szCs w:val="19"/>
              </w:rPr>
              <w:t xml:space="preserve">米后， 按 </w:t>
            </w:r>
            <w:r>
              <w:rPr>
                <w:rFonts w:ascii="Times New Roman" w:hAnsi="Times New Roman" w:eastAsia="Times New Roman" w:cs="Times New Roman"/>
                <w:spacing w:val="-6"/>
                <w:sz w:val="19"/>
                <w:szCs w:val="19"/>
              </w:rPr>
              <w:t>5</w:t>
            </w:r>
            <w:r>
              <w:rPr>
                <w:spacing w:val="-6"/>
                <w:sz w:val="19"/>
                <w:szCs w:val="19"/>
              </w:rPr>
              <w:t>万、</w:t>
            </w:r>
            <w:r>
              <w:rPr>
                <w:rFonts w:ascii="Times New Roman" w:hAnsi="Times New Roman" w:eastAsia="Times New Roman" w:cs="Times New Roman"/>
                <w:spacing w:val="-6"/>
                <w:sz w:val="19"/>
                <w:szCs w:val="19"/>
              </w:rPr>
              <w:t>10</w:t>
            </w:r>
            <w:r>
              <w:rPr>
                <w:spacing w:val="-6"/>
                <w:sz w:val="19"/>
                <w:szCs w:val="19"/>
              </w:rPr>
              <w:t>万、</w:t>
            </w:r>
            <w:r>
              <w:rPr>
                <w:rFonts w:ascii="Times New Roman" w:hAnsi="Times New Roman" w:eastAsia="Times New Roman" w:cs="Times New Roman"/>
                <w:spacing w:val="-6"/>
                <w:sz w:val="19"/>
                <w:szCs w:val="19"/>
              </w:rPr>
              <w:t>15</w:t>
            </w:r>
            <w:r>
              <w:rPr>
                <w:spacing w:val="-6"/>
                <w:sz w:val="19"/>
                <w:szCs w:val="19"/>
              </w:rPr>
              <w:t>万、</w:t>
            </w:r>
            <w:r>
              <w:rPr>
                <w:sz w:val="19"/>
                <w:szCs w:val="19"/>
              </w:rPr>
              <w:t xml:space="preserve"> </w:t>
            </w:r>
            <w:r>
              <w:rPr>
                <w:rFonts w:ascii="Times New Roman" w:hAnsi="Times New Roman" w:eastAsia="Times New Roman" w:cs="Times New Roman"/>
                <w:sz w:val="19"/>
                <w:szCs w:val="19"/>
              </w:rPr>
              <w:t>25</w:t>
            </w:r>
            <w:r>
              <w:rPr>
                <w:sz w:val="19"/>
                <w:szCs w:val="19"/>
              </w:rPr>
              <w:t>万、</w:t>
            </w:r>
            <w:r>
              <w:rPr>
                <w:rFonts w:ascii="Times New Roman" w:hAnsi="Times New Roman" w:eastAsia="Times New Roman" w:cs="Times New Roman"/>
                <w:sz w:val="19"/>
                <w:szCs w:val="19"/>
              </w:rPr>
              <w:t xml:space="preserve">40  </w:t>
            </w:r>
            <w:r>
              <w:rPr>
                <w:sz w:val="19"/>
                <w:szCs w:val="19"/>
              </w:rPr>
              <w:t xml:space="preserve">万等相邻数据相加 </w:t>
            </w:r>
            <w:r>
              <w:rPr>
                <w:spacing w:val="14"/>
                <w:sz w:val="19"/>
                <w:szCs w:val="19"/>
              </w:rPr>
              <w:t>的类推方式计算增加关</w:t>
            </w:r>
            <w:r>
              <w:rPr>
                <w:spacing w:val="34"/>
                <w:sz w:val="19"/>
                <w:szCs w:val="19"/>
              </w:rPr>
              <w:t xml:space="preserve"> </w:t>
            </w:r>
            <w:r>
              <w:rPr>
                <w:spacing w:val="14"/>
                <w:sz w:val="19"/>
                <w:szCs w:val="19"/>
              </w:rPr>
              <w:t xml:space="preserve">键 </w:t>
            </w:r>
            <w:r>
              <w:rPr>
                <w:spacing w:val="6"/>
                <w:sz w:val="19"/>
                <w:szCs w:val="19"/>
              </w:rPr>
              <w:t>岗位人员，每步距施工员、</w:t>
            </w:r>
            <w:r>
              <w:rPr>
                <w:spacing w:val="4"/>
                <w:sz w:val="19"/>
                <w:szCs w:val="19"/>
              </w:rPr>
              <w:t xml:space="preserve">  </w:t>
            </w:r>
            <w:r>
              <w:rPr>
                <w:sz w:val="19"/>
                <w:szCs w:val="19"/>
              </w:rPr>
              <w:t xml:space="preserve">专职安全生产 管理人员、质 </w:t>
            </w:r>
            <w:r>
              <w:rPr>
                <w:spacing w:val="19"/>
                <w:sz w:val="19"/>
                <w:szCs w:val="19"/>
              </w:rPr>
              <w:t>量员应各增加</w:t>
            </w:r>
            <w:r>
              <w:rPr>
                <w:spacing w:val="66"/>
                <w:sz w:val="19"/>
                <w:szCs w:val="19"/>
              </w:rPr>
              <w:t xml:space="preserve"> </w:t>
            </w:r>
            <w:r>
              <w:rPr>
                <w:rFonts w:ascii="Times New Roman" w:hAnsi="Times New Roman" w:eastAsia="Times New Roman" w:cs="Times New Roman"/>
                <w:spacing w:val="19"/>
                <w:sz w:val="19"/>
                <w:szCs w:val="19"/>
              </w:rPr>
              <w:t>1</w:t>
            </w:r>
            <w:r>
              <w:rPr>
                <w:rFonts w:ascii="Times New Roman" w:hAnsi="Times New Roman" w:eastAsia="Times New Roman" w:cs="Times New Roman"/>
                <w:spacing w:val="-18"/>
                <w:sz w:val="19"/>
                <w:szCs w:val="19"/>
              </w:rPr>
              <w:t xml:space="preserve"> </w:t>
            </w:r>
            <w:r>
              <w:rPr>
                <w:spacing w:val="19"/>
                <w:sz w:val="19"/>
                <w:szCs w:val="19"/>
              </w:rPr>
              <w:t>人，超过</w:t>
            </w:r>
          </w:p>
        </w:tc>
      </w:tr>
    </w:tbl>
    <w:p>
      <w:pPr>
        <w:pStyle w:val="16"/>
      </w:pPr>
    </w:p>
    <w:p>
      <w:pPr>
        <w:sectPr>
          <w:pgSz w:w="11907" w:h="16839"/>
          <w:pgMar w:top="400" w:right="1001" w:bottom="1005" w:left="995" w:header="0" w:footer="642" w:gutter="0"/>
          <w:cols w:space="720" w:num="1"/>
        </w:sectPr>
      </w:pPr>
    </w:p>
    <w:p>
      <w:pPr>
        <w:spacing w:before="19"/>
      </w:pPr>
      <w:r>
        <mc:AlternateContent>
          <mc:Choice Requires="wps">
            <w:drawing>
              <wp:anchor distT="0" distB="0" distL="114300" distR="114300" simplePos="0" relativeHeight="251675648" behindDoc="0" locked="0" layoutInCell="0" allowOverlap="1">
                <wp:simplePos x="0" y="0"/>
                <wp:positionH relativeFrom="page">
                  <wp:posOffset>631825</wp:posOffset>
                </wp:positionH>
                <wp:positionV relativeFrom="page">
                  <wp:posOffset>427355</wp:posOffset>
                </wp:positionV>
                <wp:extent cx="6292850" cy="6350"/>
                <wp:effectExtent l="0" t="0" r="0" b="0"/>
                <wp:wrapNone/>
                <wp:docPr id="23" name="任意多边形 23"/>
                <wp:cNvGraphicFramePr/>
                <a:graphic xmlns:a="http://schemas.openxmlformats.org/drawingml/2006/main">
                  <a:graphicData uri="http://schemas.microsoft.com/office/word/2010/wordprocessingShape">
                    <wps:wsp>
                      <wps:cNvSpPr/>
                      <wps:spPr>
                        <a:xfrm>
                          <a:off x="0" y="0"/>
                          <a:ext cx="6292850" cy="6350"/>
                        </a:xfrm>
                        <a:custGeom>
                          <a:avLst/>
                          <a:gdLst/>
                          <a:ahLst/>
                          <a:cxnLst/>
                          <a:pathLst>
                            <a:path w="9910" h="10">
                              <a:moveTo>
                                <a:pt x="5" y="5"/>
                              </a:moveTo>
                              <a:lnTo>
                                <a:pt x="4955" y="5"/>
                              </a:lnTo>
                              <a:moveTo>
                                <a:pt x="4955" y="5"/>
                              </a:moveTo>
                              <a:lnTo>
                                <a:pt x="9905" y="5"/>
                              </a:lnTo>
                            </a:path>
                          </a:pathLst>
                        </a:custGeom>
                        <a:noFill/>
                        <a:ln w="6350" cap="sq" cmpd="sng">
                          <a:solidFill>
                            <a:srgbClr val="000000"/>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49.75pt;margin-top:33.65pt;height:0.5pt;width:495.5pt;mso-position-horizontal-relative:page;mso-position-vertical-relative:page;z-index:251675648;mso-width-relative:page;mso-height-relative:page;" filled="f" stroked="t" coordsize="9910,10" o:allowincell="f" o:gfxdata="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WAAAAZHJzL1BL&#10;AQIUABQAAAAIAIdO4kBZ9Ui52gAAAAkBAAAPAAAAAAAAAAEAIAAAADgAAABkcnMvZG93bnJldi54&#10;bWxQSwECFAAUAAAACACHTuJAc9GZOlQCAAD2BAAADgAAAAAAAAABACAAAAA/AQAAZHJzL2Uyb0Rv&#10;Yy54bWxQSwUGAAAAAAYABgBZAQAABQYAAAAA&#10;" path="m5,5l4955,5m4955,5l9905,5e">
                <v:fill on="f" focussize="0,0"/>
                <v:stroke weight="0.5pt" color="#000000" miterlimit="10" joinstyle="miter" endcap="square"/>
                <v:imagedata o:title=""/>
                <o:lock v:ext="edit" aspectratio="f"/>
              </v:shape>
            </w:pict>
          </mc:Fallback>
        </mc:AlternateContent>
      </w:r>
    </w:p>
    <w:p>
      <w:pPr>
        <w:spacing w:before="19"/>
      </w:pPr>
    </w:p>
    <w:p>
      <w:pPr>
        <w:spacing w:before="18"/>
      </w:pPr>
    </w:p>
    <w:p>
      <w:pPr>
        <w:spacing w:before="18"/>
      </w:pPr>
    </w:p>
    <w:tbl>
      <w:tblPr>
        <w:tblStyle w:val="96"/>
        <w:tblW w:w="8302" w:type="dxa"/>
        <w:tblInd w:w="8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8"/>
        <w:gridCol w:w="594"/>
        <w:gridCol w:w="384"/>
        <w:gridCol w:w="698"/>
        <w:gridCol w:w="3306"/>
        <w:gridCol w:w="26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1" w:hRule="atLeast"/>
        </w:trPr>
        <w:tc>
          <w:tcPr>
            <w:tcW w:w="698" w:type="dxa"/>
            <w:vAlign w:val="top"/>
          </w:tcPr>
          <w:p>
            <w:pPr>
              <w:rPr>
                <w:rFonts w:ascii="Arial"/>
                <w:sz w:val="21"/>
              </w:rPr>
            </w:pPr>
          </w:p>
        </w:tc>
        <w:tc>
          <w:tcPr>
            <w:tcW w:w="978" w:type="dxa"/>
            <w:gridSpan w:val="2"/>
            <w:vAlign w:val="top"/>
          </w:tcPr>
          <w:p>
            <w:pPr>
              <w:rPr>
                <w:rFonts w:ascii="Arial"/>
                <w:sz w:val="21"/>
              </w:rPr>
            </w:pPr>
          </w:p>
        </w:tc>
        <w:tc>
          <w:tcPr>
            <w:tcW w:w="698" w:type="dxa"/>
            <w:vAlign w:val="top"/>
          </w:tcPr>
          <w:p>
            <w:pPr>
              <w:rPr>
                <w:rFonts w:ascii="Arial"/>
                <w:sz w:val="21"/>
              </w:rPr>
            </w:pPr>
          </w:p>
        </w:tc>
        <w:tc>
          <w:tcPr>
            <w:tcW w:w="3306" w:type="dxa"/>
            <w:vAlign w:val="top"/>
          </w:tcPr>
          <w:p>
            <w:pPr>
              <w:rPr>
                <w:rFonts w:ascii="Arial"/>
                <w:sz w:val="21"/>
              </w:rPr>
            </w:pPr>
          </w:p>
        </w:tc>
        <w:tc>
          <w:tcPr>
            <w:tcW w:w="2622" w:type="dxa"/>
            <w:vAlign w:val="top"/>
          </w:tcPr>
          <w:p>
            <w:pPr>
              <w:pStyle w:val="95"/>
              <w:spacing w:before="59" w:line="228" w:lineRule="auto"/>
              <w:ind w:left="116"/>
              <w:rPr>
                <w:sz w:val="19"/>
                <w:szCs w:val="19"/>
              </w:rPr>
            </w:pPr>
            <w:r>
              <w:rPr>
                <w:rFonts w:ascii="Times New Roman" w:hAnsi="Times New Roman" w:eastAsia="Times New Roman" w:cs="Times New Roman"/>
                <w:spacing w:val="4"/>
                <w:sz w:val="19"/>
                <w:szCs w:val="19"/>
              </w:rPr>
              <w:t xml:space="preserve">50%  </w:t>
            </w:r>
            <w:r>
              <w:rPr>
                <w:spacing w:val="4"/>
                <w:sz w:val="19"/>
                <w:szCs w:val="19"/>
              </w:rPr>
              <w:t>按一个步距计算。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64" w:hRule="atLeast"/>
        </w:trPr>
        <w:tc>
          <w:tcPr>
            <w:tcW w:w="698" w:type="dxa"/>
            <w:vMerge w:val="restart"/>
            <w:tcBorders>
              <w:bottom w:val="nil"/>
            </w:tcBorders>
            <w:textDirection w:val="tbRlV"/>
            <w:vAlign w:val="top"/>
          </w:tcPr>
          <w:p>
            <w:pPr>
              <w:spacing w:line="312" w:lineRule="auto"/>
              <w:rPr>
                <w:rFonts w:ascii="Arial"/>
                <w:sz w:val="21"/>
              </w:rPr>
            </w:pPr>
          </w:p>
          <w:p>
            <w:pPr>
              <w:pStyle w:val="95"/>
              <w:spacing w:before="64" w:line="217" w:lineRule="auto"/>
              <w:ind w:left="2711"/>
              <w:rPr>
                <w:sz w:val="19"/>
                <w:szCs w:val="19"/>
              </w:rPr>
            </w:pPr>
            <w:r>
              <w:rPr>
                <w:spacing w:val="10"/>
                <w:sz w:val="19"/>
                <w:szCs w:val="19"/>
              </w:rPr>
              <w:t>市 政</w:t>
            </w:r>
            <w:r>
              <w:rPr>
                <w:spacing w:val="18"/>
                <w:sz w:val="19"/>
                <w:szCs w:val="19"/>
              </w:rPr>
              <w:t xml:space="preserve"> </w:t>
            </w:r>
            <w:r>
              <w:rPr>
                <w:spacing w:val="10"/>
                <w:sz w:val="19"/>
                <w:szCs w:val="19"/>
              </w:rPr>
              <w:t>基</w:t>
            </w:r>
            <w:r>
              <w:rPr>
                <w:spacing w:val="18"/>
                <w:sz w:val="19"/>
                <w:szCs w:val="19"/>
              </w:rPr>
              <w:t xml:space="preserve"> </w:t>
            </w:r>
            <w:r>
              <w:rPr>
                <w:spacing w:val="10"/>
                <w:sz w:val="19"/>
                <w:szCs w:val="19"/>
              </w:rPr>
              <w:t>础</w:t>
            </w:r>
            <w:r>
              <w:rPr>
                <w:spacing w:val="18"/>
                <w:sz w:val="19"/>
                <w:szCs w:val="19"/>
              </w:rPr>
              <w:t xml:space="preserve"> </w:t>
            </w:r>
            <w:r>
              <w:rPr>
                <w:spacing w:val="10"/>
                <w:sz w:val="19"/>
                <w:szCs w:val="19"/>
              </w:rPr>
              <w:t>设</w:t>
            </w:r>
            <w:r>
              <w:rPr>
                <w:spacing w:val="18"/>
                <w:sz w:val="19"/>
                <w:szCs w:val="19"/>
              </w:rPr>
              <w:t xml:space="preserve"> </w:t>
            </w:r>
            <w:r>
              <w:rPr>
                <w:spacing w:val="10"/>
                <w:sz w:val="19"/>
                <w:szCs w:val="19"/>
              </w:rPr>
              <w:t>施</w:t>
            </w:r>
            <w:r>
              <w:rPr>
                <w:spacing w:val="18"/>
                <w:sz w:val="19"/>
                <w:szCs w:val="19"/>
              </w:rPr>
              <w:t xml:space="preserve"> </w:t>
            </w:r>
            <w:r>
              <w:rPr>
                <w:spacing w:val="10"/>
                <w:sz w:val="19"/>
                <w:szCs w:val="19"/>
              </w:rPr>
              <w:t>工</w:t>
            </w:r>
            <w:r>
              <w:rPr>
                <w:spacing w:val="17"/>
                <w:sz w:val="19"/>
                <w:szCs w:val="19"/>
              </w:rPr>
              <w:t xml:space="preserve"> </w:t>
            </w:r>
            <w:r>
              <w:rPr>
                <w:spacing w:val="10"/>
                <w:sz w:val="19"/>
                <w:szCs w:val="19"/>
              </w:rPr>
              <w:t>程</w:t>
            </w:r>
          </w:p>
        </w:tc>
        <w:tc>
          <w:tcPr>
            <w:tcW w:w="594" w:type="dxa"/>
            <w:tcBorders>
              <w:right w:val="nil"/>
            </w:tcBorders>
            <w:vAlign w:val="top"/>
          </w:tcPr>
          <w:p>
            <w:pPr>
              <w:pStyle w:val="95"/>
              <w:spacing w:before="55" w:line="251" w:lineRule="exact"/>
              <w:ind w:left="113"/>
              <w:rPr>
                <w:sz w:val="19"/>
                <w:szCs w:val="19"/>
              </w:rPr>
            </w:pPr>
            <w:r>
              <w:rPr>
                <w:position w:val="1"/>
                <w:sz w:val="19"/>
                <w:szCs w:val="19"/>
              </w:rPr>
              <w:t>工</w:t>
            </w:r>
          </w:p>
          <w:p>
            <w:pPr>
              <w:pStyle w:val="95"/>
              <w:spacing w:before="60" w:line="232" w:lineRule="auto"/>
              <w:ind w:left="111"/>
              <w:rPr>
                <w:sz w:val="19"/>
                <w:szCs w:val="19"/>
              </w:rPr>
            </w:pPr>
            <w:r>
              <w:rPr>
                <w:sz w:val="19"/>
                <w:szCs w:val="19"/>
              </w:rPr>
              <w:t>合</w:t>
            </w:r>
          </w:p>
          <w:p>
            <w:pPr>
              <w:pStyle w:val="95"/>
              <w:spacing w:before="73" w:line="227" w:lineRule="auto"/>
              <w:ind w:left="111"/>
              <w:rPr>
                <w:sz w:val="19"/>
                <w:szCs w:val="19"/>
              </w:rPr>
            </w:pPr>
            <w:r>
              <w:rPr>
                <w:sz w:val="19"/>
                <w:szCs w:val="19"/>
              </w:rPr>
              <w:t>价</w:t>
            </w:r>
          </w:p>
          <w:p>
            <w:pPr>
              <w:spacing w:before="114" w:line="276" w:lineRule="exact"/>
              <w:ind w:left="112"/>
              <w:rPr>
                <w:rFonts w:ascii="Times New Roman" w:hAnsi="Times New Roman" w:eastAsia="Times New Roman" w:cs="Times New Roman"/>
                <w:sz w:val="19"/>
                <w:szCs w:val="19"/>
              </w:rPr>
            </w:pPr>
            <w:r>
              <w:rPr>
                <w:rFonts w:ascii="Times New Roman" w:hAnsi="Times New Roman" w:eastAsia="Times New Roman" w:cs="Times New Roman"/>
                <w:spacing w:val="3"/>
                <w:position w:val="9"/>
                <w:sz w:val="19"/>
                <w:szCs w:val="19"/>
              </w:rPr>
              <w:t>5000</w:t>
            </w:r>
          </w:p>
          <w:p>
            <w:pPr>
              <w:pStyle w:val="95"/>
              <w:spacing w:line="229" w:lineRule="auto"/>
              <w:ind w:left="112"/>
              <w:rPr>
                <w:sz w:val="19"/>
                <w:szCs w:val="19"/>
              </w:rPr>
            </w:pPr>
            <w:r>
              <w:rPr>
                <w:sz w:val="19"/>
                <w:szCs w:val="19"/>
              </w:rPr>
              <w:t>元</w:t>
            </w:r>
          </w:p>
        </w:tc>
        <w:tc>
          <w:tcPr>
            <w:tcW w:w="384" w:type="dxa"/>
            <w:tcBorders>
              <w:left w:val="nil"/>
            </w:tcBorders>
            <w:textDirection w:val="tbRlV"/>
            <w:vAlign w:val="top"/>
          </w:tcPr>
          <w:p>
            <w:pPr>
              <w:pStyle w:val="95"/>
              <w:spacing w:before="104" w:line="205" w:lineRule="auto"/>
              <w:ind w:left="55"/>
              <w:rPr>
                <w:sz w:val="19"/>
                <w:szCs w:val="19"/>
              </w:rPr>
            </w:pPr>
            <w:r>
              <w:rPr>
                <w:spacing w:val="24"/>
                <w:sz w:val="19"/>
                <w:szCs w:val="19"/>
              </w:rPr>
              <w:t>程 同</w:t>
            </w:r>
            <w:r>
              <w:rPr>
                <w:spacing w:val="52"/>
                <w:sz w:val="19"/>
                <w:szCs w:val="19"/>
              </w:rPr>
              <w:t xml:space="preserve"> </w:t>
            </w:r>
            <w:r>
              <w:rPr>
                <w:rFonts w:ascii="Times New Roman" w:hAnsi="Times New Roman" w:eastAsia="Times New Roman" w:cs="Times New Roman"/>
                <w:spacing w:val="24"/>
                <w:position w:val="3"/>
                <w:sz w:val="19"/>
                <w:szCs w:val="19"/>
              </w:rPr>
              <w:t>≤</w:t>
            </w:r>
            <w:r>
              <w:rPr>
                <w:rFonts w:ascii="Times New Roman" w:hAnsi="Times New Roman" w:eastAsia="Times New Roman" w:cs="Times New Roman"/>
                <w:spacing w:val="1"/>
                <w:position w:val="3"/>
                <w:sz w:val="19"/>
                <w:szCs w:val="19"/>
              </w:rPr>
              <w:t xml:space="preserve">  </w:t>
            </w:r>
            <w:r>
              <w:rPr>
                <w:spacing w:val="24"/>
                <w:sz w:val="19"/>
                <w:szCs w:val="19"/>
              </w:rPr>
              <w:t>万</w:t>
            </w:r>
          </w:p>
        </w:tc>
        <w:tc>
          <w:tcPr>
            <w:tcW w:w="698" w:type="dxa"/>
            <w:vAlign w:val="top"/>
          </w:tcPr>
          <w:p>
            <w:pPr>
              <w:spacing w:line="306" w:lineRule="auto"/>
              <w:rPr>
                <w:rFonts w:ascii="Arial"/>
                <w:sz w:val="21"/>
              </w:rPr>
            </w:pPr>
          </w:p>
          <w:p>
            <w:pPr>
              <w:spacing w:line="307" w:lineRule="auto"/>
              <w:rPr>
                <w:rFonts w:ascii="Arial"/>
                <w:sz w:val="21"/>
              </w:rPr>
            </w:pPr>
          </w:p>
          <w:p>
            <w:pPr>
              <w:pStyle w:val="95"/>
              <w:spacing w:before="62" w:line="252" w:lineRule="exact"/>
              <w:ind w:left="141"/>
              <w:rPr>
                <w:rFonts w:ascii="Times New Roman" w:hAnsi="Times New Roman" w:eastAsia="Times New Roman" w:cs="Times New Roman"/>
                <w:sz w:val="19"/>
                <w:szCs w:val="19"/>
              </w:rPr>
            </w:pPr>
            <w:r>
              <w:rPr>
                <w:spacing w:val="-14"/>
                <w:position w:val="1"/>
                <w:sz w:val="19"/>
                <w:szCs w:val="19"/>
              </w:rPr>
              <w:t>≧</w:t>
            </w:r>
            <w:r>
              <w:rPr>
                <w:spacing w:val="-35"/>
                <w:position w:val="1"/>
                <w:sz w:val="19"/>
                <w:szCs w:val="19"/>
              </w:rPr>
              <w:t xml:space="preserve"> </w:t>
            </w:r>
            <w:r>
              <w:rPr>
                <w:rFonts w:ascii="Times New Roman" w:hAnsi="Times New Roman" w:eastAsia="Times New Roman" w:cs="Times New Roman"/>
                <w:spacing w:val="-14"/>
                <w:position w:val="1"/>
                <w:sz w:val="19"/>
                <w:szCs w:val="19"/>
              </w:rPr>
              <w:t>7</w:t>
            </w:r>
          </w:p>
        </w:tc>
        <w:tc>
          <w:tcPr>
            <w:tcW w:w="3306" w:type="dxa"/>
            <w:vAlign w:val="top"/>
          </w:tcPr>
          <w:p>
            <w:pPr>
              <w:pStyle w:val="95"/>
              <w:spacing w:before="210" w:line="283" w:lineRule="auto"/>
              <w:ind w:left="114" w:right="105" w:firstLine="1"/>
              <w:jc w:val="both"/>
              <w:rPr>
                <w:sz w:val="19"/>
                <w:szCs w:val="19"/>
              </w:rPr>
            </w:pPr>
            <w:r>
              <w:rPr>
                <w:spacing w:val="4"/>
                <w:sz w:val="19"/>
                <w:szCs w:val="19"/>
              </w:rPr>
              <w:t>项目经理</w:t>
            </w:r>
            <w:r>
              <w:rPr>
                <w:spacing w:val="40"/>
                <w:sz w:val="19"/>
                <w:szCs w:val="19"/>
              </w:rPr>
              <w:t xml:space="preserve"> </w:t>
            </w:r>
            <w:r>
              <w:rPr>
                <w:rFonts w:ascii="Times New Roman" w:hAnsi="Times New Roman" w:eastAsia="Times New Roman" w:cs="Times New Roman"/>
                <w:spacing w:val="4"/>
                <w:sz w:val="19"/>
                <w:szCs w:val="19"/>
              </w:rPr>
              <w:t>1</w:t>
            </w:r>
            <w:r>
              <w:rPr>
                <w:spacing w:val="4"/>
                <w:sz w:val="19"/>
                <w:szCs w:val="19"/>
              </w:rPr>
              <w:t>人、项目技术负责 人</w:t>
            </w:r>
            <w:r>
              <w:rPr>
                <w:spacing w:val="29"/>
                <w:sz w:val="19"/>
                <w:szCs w:val="19"/>
              </w:rPr>
              <w:t xml:space="preserve"> </w:t>
            </w:r>
            <w:r>
              <w:rPr>
                <w:rFonts w:ascii="Times New Roman" w:hAnsi="Times New Roman" w:eastAsia="Times New Roman" w:cs="Times New Roman"/>
                <w:spacing w:val="4"/>
                <w:sz w:val="19"/>
                <w:szCs w:val="19"/>
              </w:rPr>
              <w:t>1</w:t>
            </w:r>
            <w:r>
              <w:rPr>
                <w:rFonts w:ascii="Times New Roman" w:hAnsi="Times New Roman" w:eastAsia="Times New Roman" w:cs="Times New Roman"/>
                <w:sz w:val="19"/>
                <w:szCs w:val="19"/>
              </w:rPr>
              <w:t xml:space="preserve"> </w:t>
            </w:r>
            <w:r>
              <w:rPr>
                <w:spacing w:val="6"/>
                <w:sz w:val="19"/>
                <w:szCs w:val="19"/>
              </w:rPr>
              <w:t>人、施工员</w:t>
            </w:r>
            <w:r>
              <w:rPr>
                <w:spacing w:val="35"/>
                <w:sz w:val="19"/>
                <w:szCs w:val="19"/>
              </w:rPr>
              <w:t xml:space="preserve"> </w:t>
            </w:r>
            <w:r>
              <w:rPr>
                <w:rFonts w:ascii="Times New Roman" w:hAnsi="Times New Roman" w:eastAsia="Times New Roman" w:cs="Times New Roman"/>
                <w:spacing w:val="6"/>
                <w:sz w:val="19"/>
                <w:szCs w:val="19"/>
              </w:rPr>
              <w:t>1</w:t>
            </w:r>
            <w:r>
              <w:rPr>
                <w:spacing w:val="6"/>
                <w:sz w:val="19"/>
                <w:szCs w:val="19"/>
              </w:rPr>
              <w:t>人、专职安 全生产管</w:t>
            </w:r>
            <w:r>
              <w:rPr>
                <w:sz w:val="19"/>
                <w:szCs w:val="19"/>
              </w:rPr>
              <w:t xml:space="preserve"> </w:t>
            </w:r>
            <w:r>
              <w:rPr>
                <w:spacing w:val="-2"/>
                <w:sz w:val="19"/>
                <w:szCs w:val="19"/>
              </w:rPr>
              <w:t>理人员</w:t>
            </w:r>
            <w:r>
              <w:rPr>
                <w:spacing w:val="39"/>
                <w:sz w:val="19"/>
                <w:szCs w:val="19"/>
              </w:rPr>
              <w:t xml:space="preserve"> </w:t>
            </w:r>
            <w:r>
              <w:rPr>
                <w:rFonts w:ascii="Times New Roman" w:hAnsi="Times New Roman" w:eastAsia="Times New Roman" w:cs="Times New Roman"/>
                <w:spacing w:val="-2"/>
                <w:sz w:val="19"/>
                <w:szCs w:val="19"/>
              </w:rPr>
              <w:t>1</w:t>
            </w:r>
            <w:r>
              <w:rPr>
                <w:spacing w:val="-2"/>
                <w:sz w:val="19"/>
                <w:szCs w:val="19"/>
              </w:rPr>
              <w:t>人、质量员</w:t>
            </w:r>
            <w:r>
              <w:rPr>
                <w:spacing w:val="29"/>
                <w:sz w:val="19"/>
                <w:szCs w:val="19"/>
              </w:rPr>
              <w:t xml:space="preserve"> </w:t>
            </w:r>
            <w:r>
              <w:rPr>
                <w:rFonts w:ascii="Times New Roman" w:hAnsi="Times New Roman" w:eastAsia="Times New Roman" w:cs="Times New Roman"/>
                <w:spacing w:val="-2"/>
                <w:sz w:val="19"/>
                <w:szCs w:val="19"/>
              </w:rPr>
              <w:t>1</w:t>
            </w:r>
            <w:r>
              <w:rPr>
                <w:spacing w:val="-2"/>
                <w:sz w:val="19"/>
                <w:szCs w:val="19"/>
              </w:rPr>
              <w:t>人、劳资专管</w:t>
            </w:r>
            <w:r>
              <w:rPr>
                <w:sz w:val="19"/>
                <w:szCs w:val="19"/>
              </w:rPr>
              <w:t xml:space="preserve"> </w:t>
            </w:r>
            <w:r>
              <w:rPr>
                <w:spacing w:val="5"/>
                <w:sz w:val="19"/>
                <w:szCs w:val="19"/>
              </w:rPr>
              <w:t>员</w:t>
            </w:r>
            <w:r>
              <w:rPr>
                <w:spacing w:val="40"/>
                <w:sz w:val="19"/>
                <w:szCs w:val="19"/>
              </w:rPr>
              <w:t xml:space="preserve"> </w:t>
            </w:r>
            <w:r>
              <w:rPr>
                <w:rFonts w:ascii="Times New Roman" w:hAnsi="Times New Roman" w:eastAsia="Times New Roman" w:cs="Times New Roman"/>
                <w:spacing w:val="5"/>
                <w:sz w:val="19"/>
                <w:szCs w:val="19"/>
              </w:rPr>
              <w:t>1</w:t>
            </w:r>
            <w:r>
              <w:rPr>
                <w:spacing w:val="5"/>
                <w:sz w:val="19"/>
                <w:szCs w:val="19"/>
              </w:rPr>
              <w:t>人、资料 员</w:t>
            </w:r>
            <w:r>
              <w:rPr>
                <w:rFonts w:ascii="Times New Roman" w:hAnsi="Times New Roman" w:eastAsia="Times New Roman" w:cs="Times New Roman"/>
                <w:spacing w:val="5"/>
                <w:sz w:val="19"/>
                <w:szCs w:val="19"/>
              </w:rPr>
              <w:t>(</w:t>
            </w:r>
            <w:r>
              <w:rPr>
                <w:spacing w:val="5"/>
                <w:sz w:val="19"/>
                <w:szCs w:val="19"/>
              </w:rPr>
              <w:t>可兼任</w:t>
            </w:r>
            <w:r>
              <w:rPr>
                <w:rFonts w:ascii="Times New Roman" w:hAnsi="Times New Roman" w:eastAsia="Times New Roman" w:cs="Times New Roman"/>
                <w:spacing w:val="5"/>
                <w:sz w:val="19"/>
                <w:szCs w:val="19"/>
              </w:rPr>
              <w:t>)1</w:t>
            </w:r>
            <w:r>
              <w:rPr>
                <w:spacing w:val="5"/>
                <w:sz w:val="19"/>
                <w:szCs w:val="19"/>
              </w:rPr>
              <w:t>人</w:t>
            </w:r>
          </w:p>
        </w:tc>
        <w:tc>
          <w:tcPr>
            <w:tcW w:w="2622" w:type="dxa"/>
            <w:vMerge w:val="restart"/>
            <w:tcBorders>
              <w:bottom w:val="nil"/>
            </w:tcBorders>
            <w:vAlign w:val="top"/>
          </w:tcPr>
          <w:p>
            <w:pPr>
              <w:pStyle w:val="95"/>
              <w:spacing w:before="54" w:line="297" w:lineRule="auto"/>
              <w:ind w:left="114" w:right="41" w:firstLine="16"/>
              <w:jc w:val="both"/>
              <w:rPr>
                <w:sz w:val="19"/>
                <w:szCs w:val="19"/>
              </w:rPr>
            </w:pPr>
            <w:r>
              <w:rPr>
                <w:rFonts w:ascii="Times New Roman" w:hAnsi="Times New Roman" w:eastAsia="Times New Roman" w:cs="Times New Roman"/>
                <w:spacing w:val="3"/>
                <w:sz w:val="19"/>
                <w:szCs w:val="19"/>
              </w:rPr>
              <w:t>1</w:t>
            </w:r>
            <w:r>
              <w:rPr>
                <w:spacing w:val="3"/>
                <w:sz w:val="19"/>
                <w:szCs w:val="19"/>
              </w:rPr>
              <w:t>、造价低于</w:t>
            </w:r>
            <w:r>
              <w:rPr>
                <w:spacing w:val="43"/>
                <w:sz w:val="19"/>
                <w:szCs w:val="19"/>
              </w:rPr>
              <w:t xml:space="preserve"> </w:t>
            </w:r>
            <w:r>
              <w:rPr>
                <w:rFonts w:ascii="Times New Roman" w:hAnsi="Times New Roman" w:eastAsia="Times New Roman" w:cs="Times New Roman"/>
                <w:spacing w:val="3"/>
                <w:sz w:val="19"/>
                <w:szCs w:val="19"/>
              </w:rPr>
              <w:t>1000</w:t>
            </w:r>
            <w:r>
              <w:rPr>
                <w:spacing w:val="3"/>
                <w:sz w:val="19"/>
                <w:szCs w:val="19"/>
              </w:rPr>
              <w:t xml:space="preserve">万元的工 </w:t>
            </w:r>
            <w:r>
              <w:rPr>
                <w:spacing w:val="8"/>
                <w:sz w:val="19"/>
                <w:szCs w:val="19"/>
              </w:rPr>
              <w:t xml:space="preserve">程，岗位人员总人数可减少 </w:t>
            </w:r>
            <w:r>
              <w:rPr>
                <w:spacing w:val="7"/>
                <w:sz w:val="19"/>
                <w:szCs w:val="19"/>
              </w:rPr>
              <w:t>至</w:t>
            </w:r>
            <w:r>
              <w:rPr>
                <w:rFonts w:ascii="Times New Roman" w:hAnsi="Times New Roman" w:eastAsia="Times New Roman" w:cs="Times New Roman"/>
                <w:spacing w:val="7"/>
                <w:sz w:val="19"/>
                <w:szCs w:val="19"/>
              </w:rPr>
              <w:t>3</w:t>
            </w:r>
            <w:r>
              <w:rPr>
                <w:spacing w:val="7"/>
                <w:sz w:val="19"/>
                <w:szCs w:val="19"/>
              </w:rPr>
              <w:t>人，即项目经理</w:t>
            </w:r>
            <w:r>
              <w:rPr>
                <w:rFonts w:ascii="Times New Roman" w:hAnsi="Times New Roman" w:eastAsia="Times New Roman" w:cs="Times New Roman"/>
                <w:spacing w:val="7"/>
                <w:sz w:val="19"/>
                <w:szCs w:val="19"/>
              </w:rPr>
              <w:t>1</w:t>
            </w:r>
            <w:r>
              <w:rPr>
                <w:spacing w:val="7"/>
                <w:sz w:val="19"/>
                <w:szCs w:val="19"/>
              </w:rPr>
              <w:t xml:space="preserve">人、施 </w:t>
            </w:r>
            <w:r>
              <w:rPr>
                <w:spacing w:val="5"/>
                <w:sz w:val="19"/>
                <w:szCs w:val="19"/>
              </w:rPr>
              <w:t>工员</w:t>
            </w:r>
            <w:r>
              <w:rPr>
                <w:spacing w:val="39"/>
                <w:sz w:val="19"/>
                <w:szCs w:val="19"/>
              </w:rPr>
              <w:t xml:space="preserve"> </w:t>
            </w:r>
            <w:r>
              <w:rPr>
                <w:rFonts w:ascii="Times New Roman" w:hAnsi="Times New Roman" w:eastAsia="Times New Roman" w:cs="Times New Roman"/>
                <w:spacing w:val="5"/>
                <w:sz w:val="19"/>
                <w:szCs w:val="19"/>
              </w:rPr>
              <w:t>1</w:t>
            </w:r>
            <w:r>
              <w:rPr>
                <w:spacing w:val="5"/>
                <w:sz w:val="19"/>
                <w:szCs w:val="19"/>
              </w:rPr>
              <w:t xml:space="preserve">人、专职安全生产管 </w:t>
            </w:r>
            <w:r>
              <w:rPr>
                <w:spacing w:val="-2"/>
                <w:sz w:val="19"/>
                <w:szCs w:val="19"/>
              </w:rPr>
              <w:t>理人员</w:t>
            </w:r>
            <w:r>
              <w:rPr>
                <w:spacing w:val="37"/>
                <w:sz w:val="19"/>
                <w:szCs w:val="19"/>
              </w:rPr>
              <w:t xml:space="preserve"> </w:t>
            </w:r>
            <w:r>
              <w:rPr>
                <w:rFonts w:ascii="Times New Roman" w:hAnsi="Times New Roman" w:eastAsia="Times New Roman" w:cs="Times New Roman"/>
                <w:spacing w:val="-2"/>
                <w:sz w:val="19"/>
                <w:szCs w:val="19"/>
              </w:rPr>
              <w:t>1</w:t>
            </w:r>
            <w:r>
              <w:rPr>
                <w:spacing w:val="-2"/>
                <w:sz w:val="19"/>
                <w:szCs w:val="19"/>
              </w:rPr>
              <w:t xml:space="preserve">人， 其它岗位职责 </w:t>
            </w:r>
            <w:r>
              <w:rPr>
                <w:spacing w:val="7"/>
                <w:sz w:val="19"/>
                <w:szCs w:val="19"/>
              </w:rPr>
              <w:t xml:space="preserve">可兼任。 </w:t>
            </w:r>
            <w:r>
              <w:rPr>
                <w:rFonts w:ascii="Times New Roman" w:hAnsi="Times New Roman" w:eastAsia="Times New Roman" w:cs="Times New Roman"/>
                <w:spacing w:val="7"/>
                <w:sz w:val="19"/>
                <w:szCs w:val="19"/>
              </w:rPr>
              <w:t>2</w:t>
            </w:r>
            <w:r>
              <w:rPr>
                <w:spacing w:val="7"/>
                <w:sz w:val="19"/>
                <w:szCs w:val="19"/>
              </w:rPr>
              <w:t xml:space="preserve">、城市桥梁、地 </w:t>
            </w:r>
            <w:r>
              <w:rPr>
                <w:spacing w:val="8"/>
                <w:sz w:val="19"/>
                <w:szCs w:val="19"/>
              </w:rPr>
              <w:t xml:space="preserve">下交通中的隧道工程、轻轨 交通中的桥涵工程，应适当 增加施工员、质量员、专职 </w:t>
            </w:r>
            <w:r>
              <w:rPr>
                <w:spacing w:val="6"/>
                <w:sz w:val="19"/>
                <w:szCs w:val="19"/>
              </w:rPr>
              <w:t>安全生产管理人员人数。</w:t>
            </w:r>
            <w:r>
              <w:rPr>
                <w:rFonts w:ascii="Times New Roman" w:hAnsi="Times New Roman" w:eastAsia="Times New Roman" w:cs="Times New Roman"/>
                <w:spacing w:val="6"/>
                <w:sz w:val="19"/>
                <w:szCs w:val="19"/>
              </w:rPr>
              <w:t>3</w:t>
            </w:r>
            <w:r>
              <w:rPr>
                <w:spacing w:val="6"/>
                <w:sz w:val="19"/>
                <w:szCs w:val="19"/>
              </w:rPr>
              <w:t xml:space="preserve">、 </w:t>
            </w:r>
            <w:r>
              <w:rPr>
                <w:spacing w:val="8"/>
                <w:sz w:val="19"/>
                <w:szCs w:val="19"/>
              </w:rPr>
              <w:t xml:space="preserve">资料员可以由其他岗位人员 </w:t>
            </w:r>
            <w:r>
              <w:rPr>
                <w:spacing w:val="-3"/>
                <w:sz w:val="19"/>
                <w:szCs w:val="19"/>
              </w:rPr>
              <w:t>兼任。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178" w:hRule="atLeast"/>
        </w:trPr>
        <w:tc>
          <w:tcPr>
            <w:tcW w:w="698" w:type="dxa"/>
            <w:vMerge w:val="continue"/>
            <w:tcBorders>
              <w:top w:val="nil"/>
              <w:bottom w:val="nil"/>
            </w:tcBorders>
            <w:textDirection w:val="tbRlV"/>
            <w:vAlign w:val="top"/>
          </w:tcPr>
          <w:p>
            <w:pPr>
              <w:rPr>
                <w:rFonts w:ascii="Arial"/>
                <w:sz w:val="21"/>
              </w:rPr>
            </w:pPr>
          </w:p>
        </w:tc>
        <w:tc>
          <w:tcPr>
            <w:tcW w:w="978" w:type="dxa"/>
            <w:gridSpan w:val="2"/>
            <w:vAlign w:val="top"/>
          </w:tcPr>
          <w:p>
            <w:pPr>
              <w:spacing w:line="455" w:lineRule="auto"/>
              <w:rPr>
                <w:rFonts w:ascii="Arial"/>
                <w:sz w:val="21"/>
              </w:rPr>
            </w:pPr>
          </w:p>
          <w:p>
            <w:pPr>
              <w:pStyle w:val="95"/>
              <w:spacing w:before="62" w:line="288" w:lineRule="auto"/>
              <w:ind w:left="105" w:right="104" w:firstLine="7"/>
              <w:jc w:val="both"/>
              <w:rPr>
                <w:sz w:val="19"/>
                <w:szCs w:val="19"/>
              </w:rPr>
            </w:pPr>
            <w:r>
              <w:rPr>
                <w:rFonts w:ascii="Times New Roman" w:hAnsi="Times New Roman" w:eastAsia="Times New Roman" w:cs="Times New Roman"/>
                <w:spacing w:val="1"/>
                <w:sz w:val="19"/>
                <w:szCs w:val="19"/>
              </w:rPr>
              <w:t>5000</w:t>
            </w:r>
            <w:r>
              <w:rPr>
                <w:rFonts w:ascii="Times New Roman" w:hAnsi="Times New Roman" w:eastAsia="Times New Roman" w:cs="Times New Roman"/>
                <w:spacing w:val="12"/>
                <w:w w:val="101"/>
                <w:sz w:val="19"/>
                <w:szCs w:val="19"/>
              </w:rPr>
              <w:t xml:space="preserve">   </w:t>
            </w:r>
            <w:r>
              <w:rPr>
                <w:spacing w:val="1"/>
                <w:sz w:val="19"/>
                <w:szCs w:val="19"/>
              </w:rPr>
              <w:t>万</w:t>
            </w:r>
            <w:r>
              <w:rPr>
                <w:sz w:val="19"/>
                <w:szCs w:val="19"/>
              </w:rPr>
              <w:t xml:space="preserve"> </w:t>
            </w:r>
            <w:r>
              <w:rPr>
                <w:spacing w:val="-1"/>
                <w:sz w:val="19"/>
                <w:szCs w:val="19"/>
              </w:rPr>
              <w:t>＜ 工 程</w:t>
            </w:r>
            <w:r>
              <w:rPr>
                <w:spacing w:val="2"/>
                <w:sz w:val="19"/>
                <w:szCs w:val="19"/>
              </w:rPr>
              <w:t xml:space="preserve"> </w:t>
            </w:r>
            <w:r>
              <w:rPr>
                <w:spacing w:val="-4"/>
                <w:sz w:val="19"/>
                <w:szCs w:val="19"/>
              </w:rPr>
              <w:t>合</w:t>
            </w:r>
            <w:r>
              <w:rPr>
                <w:spacing w:val="13"/>
                <w:sz w:val="19"/>
                <w:szCs w:val="19"/>
              </w:rPr>
              <w:t xml:space="preserve"> </w:t>
            </w:r>
            <w:r>
              <w:rPr>
                <w:spacing w:val="-4"/>
                <w:sz w:val="19"/>
                <w:szCs w:val="19"/>
              </w:rPr>
              <w:t>同 价</w:t>
            </w:r>
            <w:r>
              <w:rPr>
                <w:sz w:val="19"/>
                <w:szCs w:val="19"/>
              </w:rPr>
              <w:t xml:space="preserve"> </w:t>
            </w:r>
            <w:r>
              <w:rPr>
                <w:rFonts w:ascii="Times New Roman" w:hAnsi="Times New Roman" w:eastAsia="Times New Roman" w:cs="Times New Roman"/>
                <w:spacing w:val="6"/>
                <w:sz w:val="19"/>
                <w:szCs w:val="19"/>
              </w:rPr>
              <w:t>≤1</w:t>
            </w:r>
            <w:r>
              <w:rPr>
                <w:spacing w:val="6"/>
                <w:sz w:val="19"/>
                <w:szCs w:val="19"/>
              </w:rPr>
              <w:t>亿元</w:t>
            </w:r>
          </w:p>
        </w:tc>
        <w:tc>
          <w:tcPr>
            <w:tcW w:w="698" w:type="dxa"/>
            <w:vAlign w:val="top"/>
          </w:tcPr>
          <w:p>
            <w:pPr>
              <w:spacing w:line="306" w:lineRule="auto"/>
              <w:rPr>
                <w:rFonts w:ascii="Arial"/>
                <w:sz w:val="21"/>
              </w:rPr>
            </w:pPr>
          </w:p>
          <w:p>
            <w:pPr>
              <w:spacing w:line="306" w:lineRule="auto"/>
              <w:rPr>
                <w:rFonts w:ascii="Arial"/>
                <w:sz w:val="21"/>
              </w:rPr>
            </w:pPr>
          </w:p>
          <w:p>
            <w:pPr>
              <w:spacing w:line="307" w:lineRule="auto"/>
              <w:rPr>
                <w:rFonts w:ascii="Arial"/>
                <w:sz w:val="21"/>
              </w:rPr>
            </w:pPr>
          </w:p>
          <w:p>
            <w:pPr>
              <w:pStyle w:val="95"/>
              <w:spacing w:before="62" w:line="252" w:lineRule="exact"/>
              <w:ind w:left="141"/>
              <w:rPr>
                <w:rFonts w:ascii="Times New Roman" w:hAnsi="Times New Roman" w:eastAsia="Times New Roman" w:cs="Times New Roman"/>
                <w:sz w:val="19"/>
                <w:szCs w:val="19"/>
              </w:rPr>
            </w:pPr>
            <w:r>
              <w:rPr>
                <w:spacing w:val="-14"/>
                <w:position w:val="1"/>
                <w:sz w:val="19"/>
                <w:szCs w:val="19"/>
              </w:rPr>
              <w:t>≧</w:t>
            </w:r>
            <w:r>
              <w:rPr>
                <w:spacing w:val="-35"/>
                <w:position w:val="1"/>
                <w:sz w:val="19"/>
                <w:szCs w:val="19"/>
              </w:rPr>
              <w:t xml:space="preserve"> </w:t>
            </w:r>
            <w:r>
              <w:rPr>
                <w:rFonts w:ascii="Times New Roman" w:hAnsi="Times New Roman" w:eastAsia="Times New Roman" w:cs="Times New Roman"/>
                <w:spacing w:val="-14"/>
                <w:position w:val="1"/>
                <w:sz w:val="19"/>
                <w:szCs w:val="19"/>
              </w:rPr>
              <w:t>9</w:t>
            </w:r>
          </w:p>
        </w:tc>
        <w:tc>
          <w:tcPr>
            <w:tcW w:w="3306" w:type="dxa"/>
            <w:vAlign w:val="top"/>
          </w:tcPr>
          <w:p>
            <w:pPr>
              <w:spacing w:line="454" w:lineRule="auto"/>
              <w:rPr>
                <w:rFonts w:ascii="Arial"/>
                <w:sz w:val="21"/>
              </w:rPr>
            </w:pPr>
          </w:p>
          <w:p>
            <w:pPr>
              <w:pStyle w:val="95"/>
              <w:spacing w:before="61" w:line="283" w:lineRule="auto"/>
              <w:ind w:left="114" w:right="107" w:firstLine="1"/>
              <w:jc w:val="both"/>
              <w:rPr>
                <w:sz w:val="19"/>
                <w:szCs w:val="19"/>
              </w:rPr>
            </w:pPr>
            <w:r>
              <w:rPr>
                <w:spacing w:val="17"/>
                <w:sz w:val="19"/>
                <w:szCs w:val="19"/>
              </w:rPr>
              <w:t>项目经理</w:t>
            </w:r>
            <w:r>
              <w:rPr>
                <w:rFonts w:ascii="Times New Roman" w:hAnsi="Times New Roman" w:eastAsia="Times New Roman" w:cs="Times New Roman"/>
                <w:spacing w:val="17"/>
                <w:sz w:val="19"/>
                <w:szCs w:val="19"/>
              </w:rPr>
              <w:t>1</w:t>
            </w:r>
            <w:r>
              <w:rPr>
                <w:spacing w:val="17"/>
                <w:sz w:val="19"/>
                <w:szCs w:val="19"/>
              </w:rPr>
              <w:t>人、项目技术负责人</w:t>
            </w:r>
            <w:r>
              <w:rPr>
                <w:spacing w:val="66"/>
                <w:sz w:val="19"/>
                <w:szCs w:val="19"/>
              </w:rPr>
              <w:t xml:space="preserve"> </w:t>
            </w:r>
            <w:r>
              <w:rPr>
                <w:rFonts w:ascii="Times New Roman" w:hAnsi="Times New Roman" w:eastAsia="Times New Roman" w:cs="Times New Roman"/>
                <w:spacing w:val="17"/>
                <w:sz w:val="19"/>
                <w:szCs w:val="19"/>
              </w:rPr>
              <w:t>1</w:t>
            </w:r>
            <w:r>
              <w:rPr>
                <w:rFonts w:ascii="Times New Roman" w:hAnsi="Times New Roman" w:eastAsia="Times New Roman" w:cs="Times New Roman"/>
                <w:sz w:val="19"/>
                <w:szCs w:val="19"/>
              </w:rPr>
              <w:t xml:space="preserve"> </w:t>
            </w:r>
            <w:r>
              <w:rPr>
                <w:spacing w:val="8"/>
                <w:sz w:val="19"/>
                <w:szCs w:val="19"/>
              </w:rPr>
              <w:t>人、施工员</w:t>
            </w:r>
            <w:r>
              <w:rPr>
                <w:rFonts w:ascii="Times New Roman" w:hAnsi="Times New Roman" w:eastAsia="Times New Roman" w:cs="Times New Roman"/>
                <w:spacing w:val="8"/>
                <w:sz w:val="19"/>
                <w:szCs w:val="19"/>
              </w:rPr>
              <w:t>2</w:t>
            </w:r>
            <w:r>
              <w:rPr>
                <w:spacing w:val="8"/>
                <w:sz w:val="19"/>
                <w:szCs w:val="19"/>
              </w:rPr>
              <w:t>人、专职安全生产管理</w:t>
            </w:r>
            <w:r>
              <w:rPr>
                <w:spacing w:val="2"/>
                <w:sz w:val="19"/>
                <w:szCs w:val="19"/>
              </w:rPr>
              <w:t xml:space="preserve"> </w:t>
            </w:r>
            <w:r>
              <w:rPr>
                <w:spacing w:val="7"/>
                <w:sz w:val="19"/>
                <w:szCs w:val="19"/>
              </w:rPr>
              <w:t>人员</w:t>
            </w:r>
            <w:r>
              <w:rPr>
                <w:rFonts w:ascii="Times New Roman" w:hAnsi="Times New Roman" w:eastAsia="Times New Roman" w:cs="Times New Roman"/>
                <w:spacing w:val="7"/>
                <w:sz w:val="19"/>
                <w:szCs w:val="19"/>
              </w:rPr>
              <w:t>2</w:t>
            </w:r>
            <w:r>
              <w:rPr>
                <w:spacing w:val="7"/>
                <w:sz w:val="19"/>
                <w:szCs w:val="19"/>
              </w:rPr>
              <w:t>人、质量员</w:t>
            </w:r>
            <w:r>
              <w:rPr>
                <w:rFonts w:ascii="Times New Roman" w:hAnsi="Times New Roman" w:eastAsia="Times New Roman" w:cs="Times New Roman"/>
                <w:spacing w:val="7"/>
                <w:sz w:val="19"/>
                <w:szCs w:val="19"/>
              </w:rPr>
              <w:t>1</w:t>
            </w:r>
            <w:r>
              <w:rPr>
                <w:spacing w:val="7"/>
                <w:sz w:val="19"/>
                <w:szCs w:val="19"/>
              </w:rPr>
              <w:t>人、劳资专管员</w:t>
            </w:r>
            <w:r>
              <w:rPr>
                <w:rFonts w:ascii="Times New Roman" w:hAnsi="Times New Roman" w:eastAsia="Times New Roman" w:cs="Times New Roman"/>
                <w:spacing w:val="7"/>
                <w:sz w:val="19"/>
                <w:szCs w:val="19"/>
              </w:rPr>
              <w:t>1</w:t>
            </w:r>
            <w:r>
              <w:rPr>
                <w:rFonts w:ascii="Times New Roman" w:hAnsi="Times New Roman" w:eastAsia="Times New Roman" w:cs="Times New Roman"/>
                <w:spacing w:val="13"/>
                <w:w w:val="101"/>
                <w:sz w:val="19"/>
                <w:szCs w:val="19"/>
              </w:rPr>
              <w:t xml:space="preserve"> </w:t>
            </w:r>
            <w:r>
              <w:rPr>
                <w:spacing w:val="7"/>
                <w:sz w:val="19"/>
                <w:szCs w:val="19"/>
              </w:rPr>
              <w:t>人、资料员</w:t>
            </w:r>
            <w:r>
              <w:rPr>
                <w:rFonts w:ascii="Times New Roman" w:hAnsi="Times New Roman" w:eastAsia="Times New Roman" w:cs="Times New Roman"/>
                <w:spacing w:val="7"/>
                <w:sz w:val="19"/>
                <w:szCs w:val="19"/>
              </w:rPr>
              <w:t>(</w:t>
            </w:r>
            <w:r>
              <w:rPr>
                <w:spacing w:val="7"/>
                <w:sz w:val="19"/>
                <w:szCs w:val="19"/>
              </w:rPr>
              <w:t>可兼任</w:t>
            </w:r>
            <w:r>
              <w:rPr>
                <w:rFonts w:ascii="Times New Roman" w:hAnsi="Times New Roman" w:eastAsia="Times New Roman" w:cs="Times New Roman"/>
                <w:spacing w:val="7"/>
                <w:sz w:val="19"/>
                <w:szCs w:val="19"/>
              </w:rPr>
              <w:t>)1</w:t>
            </w:r>
            <w:r>
              <w:rPr>
                <w:spacing w:val="7"/>
                <w:sz w:val="19"/>
                <w:szCs w:val="19"/>
              </w:rPr>
              <w:t>人</w:t>
            </w:r>
          </w:p>
        </w:tc>
        <w:tc>
          <w:tcPr>
            <w:tcW w:w="2622"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66" w:hRule="atLeast"/>
        </w:trPr>
        <w:tc>
          <w:tcPr>
            <w:tcW w:w="698" w:type="dxa"/>
            <w:vMerge w:val="continue"/>
            <w:tcBorders>
              <w:top w:val="nil"/>
            </w:tcBorders>
            <w:textDirection w:val="tbRlV"/>
            <w:vAlign w:val="top"/>
          </w:tcPr>
          <w:p>
            <w:pPr>
              <w:rPr>
                <w:rFonts w:ascii="Arial"/>
                <w:sz w:val="21"/>
              </w:rPr>
            </w:pPr>
          </w:p>
        </w:tc>
        <w:tc>
          <w:tcPr>
            <w:tcW w:w="978" w:type="dxa"/>
            <w:gridSpan w:val="2"/>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95"/>
              <w:spacing w:before="62" w:line="278" w:lineRule="auto"/>
              <w:ind w:left="111" w:right="107" w:firstLine="1"/>
              <w:jc w:val="both"/>
              <w:rPr>
                <w:sz w:val="19"/>
                <w:szCs w:val="19"/>
              </w:rPr>
            </w:pPr>
            <w:r>
              <w:rPr>
                <w:spacing w:val="-1"/>
                <w:sz w:val="19"/>
                <w:szCs w:val="19"/>
              </w:rPr>
              <w:t>工</w:t>
            </w:r>
            <w:r>
              <w:rPr>
                <w:spacing w:val="-7"/>
                <w:sz w:val="19"/>
                <w:szCs w:val="19"/>
              </w:rPr>
              <w:t xml:space="preserve"> </w:t>
            </w:r>
            <w:r>
              <w:rPr>
                <w:spacing w:val="-1"/>
                <w:sz w:val="19"/>
                <w:szCs w:val="19"/>
              </w:rPr>
              <w:t>程 合</w:t>
            </w:r>
            <w:r>
              <w:rPr>
                <w:sz w:val="19"/>
                <w:szCs w:val="19"/>
              </w:rPr>
              <w:t xml:space="preserve"> </w:t>
            </w:r>
            <w:r>
              <w:rPr>
                <w:spacing w:val="22"/>
                <w:sz w:val="19"/>
                <w:szCs w:val="19"/>
              </w:rPr>
              <w:t>同价＞</w:t>
            </w:r>
            <w:r>
              <w:rPr>
                <w:rFonts w:ascii="Times New Roman" w:hAnsi="Times New Roman" w:eastAsia="Times New Roman" w:cs="Times New Roman"/>
                <w:spacing w:val="22"/>
                <w:sz w:val="19"/>
                <w:szCs w:val="19"/>
              </w:rPr>
              <w:t>1</w:t>
            </w:r>
            <w:r>
              <w:rPr>
                <w:rFonts w:ascii="Times New Roman" w:hAnsi="Times New Roman" w:eastAsia="Times New Roman" w:cs="Times New Roman"/>
                <w:sz w:val="19"/>
                <w:szCs w:val="19"/>
              </w:rPr>
              <w:t xml:space="preserve"> </w:t>
            </w:r>
            <w:r>
              <w:rPr>
                <w:spacing w:val="4"/>
                <w:sz w:val="19"/>
                <w:szCs w:val="19"/>
              </w:rPr>
              <w:t>亿元</w:t>
            </w:r>
          </w:p>
        </w:tc>
        <w:tc>
          <w:tcPr>
            <w:tcW w:w="698"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pStyle w:val="95"/>
              <w:spacing w:before="61" w:line="255" w:lineRule="exact"/>
              <w:ind w:left="141"/>
              <w:rPr>
                <w:rFonts w:ascii="Times New Roman" w:hAnsi="Times New Roman" w:eastAsia="Times New Roman" w:cs="Times New Roman"/>
                <w:sz w:val="19"/>
                <w:szCs w:val="19"/>
              </w:rPr>
            </w:pPr>
            <w:r>
              <w:rPr>
                <w:spacing w:val="-14"/>
                <w:position w:val="1"/>
                <w:sz w:val="19"/>
                <w:szCs w:val="19"/>
              </w:rPr>
              <w:t>≧</w:t>
            </w:r>
            <w:r>
              <w:rPr>
                <w:spacing w:val="-19"/>
                <w:position w:val="1"/>
                <w:sz w:val="19"/>
                <w:szCs w:val="19"/>
              </w:rPr>
              <w:t xml:space="preserve"> </w:t>
            </w:r>
            <w:r>
              <w:rPr>
                <w:rFonts w:ascii="Times New Roman" w:hAnsi="Times New Roman" w:eastAsia="Times New Roman" w:cs="Times New Roman"/>
                <w:spacing w:val="-14"/>
                <w:position w:val="1"/>
                <w:sz w:val="19"/>
                <w:szCs w:val="19"/>
              </w:rPr>
              <w:t>12</w:t>
            </w:r>
          </w:p>
        </w:tc>
        <w:tc>
          <w:tcPr>
            <w:tcW w:w="3306" w:type="dxa"/>
            <w:vAlign w:val="top"/>
          </w:tcPr>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95"/>
              <w:spacing w:before="62" w:line="285" w:lineRule="auto"/>
              <w:ind w:left="114" w:right="107" w:firstLine="1"/>
              <w:jc w:val="both"/>
              <w:rPr>
                <w:sz w:val="19"/>
                <w:szCs w:val="19"/>
              </w:rPr>
            </w:pPr>
            <w:r>
              <w:rPr>
                <w:spacing w:val="17"/>
                <w:sz w:val="19"/>
                <w:szCs w:val="19"/>
              </w:rPr>
              <w:t>项目经理</w:t>
            </w:r>
            <w:r>
              <w:rPr>
                <w:rFonts w:ascii="Times New Roman" w:hAnsi="Times New Roman" w:eastAsia="Times New Roman" w:cs="Times New Roman"/>
                <w:spacing w:val="17"/>
                <w:sz w:val="19"/>
                <w:szCs w:val="19"/>
              </w:rPr>
              <w:t>1</w:t>
            </w:r>
            <w:r>
              <w:rPr>
                <w:spacing w:val="17"/>
                <w:sz w:val="19"/>
                <w:szCs w:val="19"/>
              </w:rPr>
              <w:t>人、项目技术负责人</w:t>
            </w:r>
            <w:r>
              <w:rPr>
                <w:spacing w:val="66"/>
                <w:sz w:val="19"/>
                <w:szCs w:val="19"/>
              </w:rPr>
              <w:t xml:space="preserve"> </w:t>
            </w:r>
            <w:r>
              <w:rPr>
                <w:rFonts w:ascii="Times New Roman" w:hAnsi="Times New Roman" w:eastAsia="Times New Roman" w:cs="Times New Roman"/>
                <w:spacing w:val="17"/>
                <w:sz w:val="19"/>
                <w:szCs w:val="19"/>
              </w:rPr>
              <w:t>1</w:t>
            </w:r>
            <w:r>
              <w:rPr>
                <w:rFonts w:ascii="Times New Roman" w:hAnsi="Times New Roman" w:eastAsia="Times New Roman" w:cs="Times New Roman"/>
                <w:sz w:val="19"/>
                <w:szCs w:val="19"/>
              </w:rPr>
              <w:t xml:space="preserve"> </w:t>
            </w:r>
            <w:r>
              <w:rPr>
                <w:spacing w:val="8"/>
                <w:sz w:val="19"/>
                <w:szCs w:val="19"/>
              </w:rPr>
              <w:t>人、施工员</w:t>
            </w:r>
            <w:r>
              <w:rPr>
                <w:rFonts w:ascii="Times New Roman" w:hAnsi="Times New Roman" w:eastAsia="Times New Roman" w:cs="Times New Roman"/>
                <w:spacing w:val="8"/>
                <w:sz w:val="19"/>
                <w:szCs w:val="19"/>
              </w:rPr>
              <w:t>3</w:t>
            </w:r>
            <w:r>
              <w:rPr>
                <w:spacing w:val="8"/>
                <w:sz w:val="19"/>
                <w:szCs w:val="19"/>
              </w:rPr>
              <w:t>人、专职安全生产管理</w:t>
            </w:r>
            <w:r>
              <w:rPr>
                <w:spacing w:val="2"/>
                <w:sz w:val="19"/>
                <w:szCs w:val="19"/>
              </w:rPr>
              <w:t xml:space="preserve"> </w:t>
            </w:r>
            <w:r>
              <w:rPr>
                <w:spacing w:val="7"/>
                <w:sz w:val="19"/>
                <w:szCs w:val="19"/>
              </w:rPr>
              <w:t>人员</w:t>
            </w:r>
            <w:r>
              <w:rPr>
                <w:rFonts w:ascii="Times New Roman" w:hAnsi="Times New Roman" w:eastAsia="Times New Roman" w:cs="Times New Roman"/>
                <w:spacing w:val="7"/>
                <w:sz w:val="19"/>
                <w:szCs w:val="19"/>
              </w:rPr>
              <w:t>3</w:t>
            </w:r>
            <w:r>
              <w:rPr>
                <w:spacing w:val="7"/>
                <w:sz w:val="19"/>
                <w:szCs w:val="19"/>
              </w:rPr>
              <w:t>人、质量员</w:t>
            </w:r>
            <w:r>
              <w:rPr>
                <w:rFonts w:ascii="Times New Roman" w:hAnsi="Times New Roman" w:eastAsia="Times New Roman" w:cs="Times New Roman"/>
                <w:spacing w:val="7"/>
                <w:sz w:val="19"/>
                <w:szCs w:val="19"/>
              </w:rPr>
              <w:t>2</w:t>
            </w:r>
            <w:r>
              <w:rPr>
                <w:spacing w:val="7"/>
                <w:sz w:val="19"/>
                <w:szCs w:val="19"/>
              </w:rPr>
              <w:t>人、劳资专管员</w:t>
            </w:r>
            <w:r>
              <w:rPr>
                <w:rFonts w:ascii="Times New Roman" w:hAnsi="Times New Roman" w:eastAsia="Times New Roman" w:cs="Times New Roman"/>
                <w:spacing w:val="7"/>
                <w:sz w:val="19"/>
                <w:szCs w:val="19"/>
              </w:rPr>
              <w:t>1</w:t>
            </w:r>
            <w:r>
              <w:rPr>
                <w:rFonts w:ascii="Times New Roman" w:hAnsi="Times New Roman" w:eastAsia="Times New Roman" w:cs="Times New Roman"/>
                <w:spacing w:val="13"/>
                <w:w w:val="101"/>
                <w:sz w:val="19"/>
                <w:szCs w:val="19"/>
              </w:rPr>
              <w:t xml:space="preserve"> </w:t>
            </w:r>
            <w:r>
              <w:rPr>
                <w:spacing w:val="7"/>
                <w:sz w:val="19"/>
                <w:szCs w:val="19"/>
              </w:rPr>
              <w:t>人、资料员</w:t>
            </w:r>
            <w:r>
              <w:rPr>
                <w:rFonts w:ascii="Times New Roman" w:hAnsi="Times New Roman" w:eastAsia="Times New Roman" w:cs="Times New Roman"/>
                <w:spacing w:val="7"/>
                <w:sz w:val="19"/>
                <w:szCs w:val="19"/>
              </w:rPr>
              <w:t>1</w:t>
            </w:r>
            <w:r>
              <w:rPr>
                <w:spacing w:val="7"/>
                <w:sz w:val="19"/>
                <w:szCs w:val="19"/>
              </w:rPr>
              <w:t>人</w:t>
            </w:r>
          </w:p>
        </w:tc>
        <w:tc>
          <w:tcPr>
            <w:tcW w:w="2622" w:type="dxa"/>
            <w:vAlign w:val="top"/>
          </w:tcPr>
          <w:p>
            <w:pPr>
              <w:pStyle w:val="95"/>
              <w:spacing w:before="63" w:line="297" w:lineRule="auto"/>
              <w:ind w:left="114" w:right="41" w:firstLine="16"/>
              <w:jc w:val="both"/>
              <w:rPr>
                <w:sz w:val="19"/>
                <w:szCs w:val="19"/>
              </w:rPr>
            </w:pPr>
            <w:r>
              <w:rPr>
                <w:rFonts w:ascii="Times New Roman" w:hAnsi="Times New Roman" w:eastAsia="Times New Roman" w:cs="Times New Roman"/>
                <w:spacing w:val="-3"/>
                <w:sz w:val="19"/>
                <w:szCs w:val="19"/>
              </w:rPr>
              <w:t>1</w:t>
            </w:r>
            <w:r>
              <w:rPr>
                <w:spacing w:val="-3"/>
                <w:sz w:val="19"/>
                <w:szCs w:val="19"/>
              </w:rPr>
              <w:t>、工程合同价在</w:t>
            </w:r>
            <w:r>
              <w:rPr>
                <w:spacing w:val="35"/>
                <w:sz w:val="19"/>
                <w:szCs w:val="19"/>
              </w:rPr>
              <w:t xml:space="preserve"> </w:t>
            </w:r>
            <w:r>
              <w:rPr>
                <w:rFonts w:ascii="Times New Roman" w:hAnsi="Times New Roman" w:eastAsia="Times New Roman" w:cs="Times New Roman"/>
                <w:spacing w:val="-3"/>
                <w:sz w:val="19"/>
                <w:szCs w:val="19"/>
              </w:rPr>
              <w:t>1</w:t>
            </w:r>
            <w:r>
              <w:rPr>
                <w:spacing w:val="-3"/>
                <w:sz w:val="19"/>
                <w:szCs w:val="19"/>
              </w:rPr>
              <w:t xml:space="preserve">亿元以上 </w:t>
            </w:r>
            <w:r>
              <w:rPr>
                <w:spacing w:val="-18"/>
                <w:sz w:val="19"/>
                <w:szCs w:val="19"/>
              </w:rPr>
              <w:t>时，</w:t>
            </w:r>
            <w:r>
              <w:rPr>
                <w:spacing w:val="-42"/>
                <w:sz w:val="19"/>
                <w:szCs w:val="19"/>
              </w:rPr>
              <w:t xml:space="preserve"> </w:t>
            </w:r>
            <w:r>
              <w:rPr>
                <w:spacing w:val="-18"/>
                <w:sz w:val="19"/>
                <w:szCs w:val="19"/>
              </w:rPr>
              <w:t>按</w:t>
            </w:r>
            <w:r>
              <w:rPr>
                <w:spacing w:val="29"/>
                <w:sz w:val="19"/>
                <w:szCs w:val="19"/>
              </w:rPr>
              <w:t xml:space="preserve"> </w:t>
            </w:r>
            <w:r>
              <w:rPr>
                <w:rFonts w:ascii="Times New Roman" w:hAnsi="Times New Roman" w:eastAsia="Times New Roman" w:cs="Times New Roman"/>
                <w:spacing w:val="-18"/>
                <w:sz w:val="19"/>
                <w:szCs w:val="19"/>
              </w:rPr>
              <w:t>1.5</w:t>
            </w:r>
            <w:r>
              <w:rPr>
                <w:spacing w:val="-18"/>
                <w:sz w:val="19"/>
                <w:szCs w:val="19"/>
              </w:rPr>
              <w:t>亿、</w:t>
            </w:r>
            <w:r>
              <w:rPr>
                <w:spacing w:val="51"/>
                <w:sz w:val="19"/>
                <w:szCs w:val="19"/>
              </w:rPr>
              <w:t xml:space="preserve"> </w:t>
            </w:r>
            <w:r>
              <w:rPr>
                <w:rFonts w:ascii="Times New Roman" w:hAnsi="Times New Roman" w:eastAsia="Times New Roman" w:cs="Times New Roman"/>
                <w:spacing w:val="-18"/>
                <w:sz w:val="19"/>
                <w:szCs w:val="19"/>
              </w:rPr>
              <w:t>2.5</w:t>
            </w:r>
            <w:r>
              <w:rPr>
                <w:spacing w:val="-18"/>
                <w:sz w:val="19"/>
                <w:szCs w:val="19"/>
              </w:rPr>
              <w:t>亿、</w:t>
            </w:r>
            <w:r>
              <w:rPr>
                <w:rFonts w:ascii="Times New Roman" w:hAnsi="Times New Roman" w:eastAsia="Times New Roman" w:cs="Times New Roman"/>
                <w:spacing w:val="30"/>
                <w:sz w:val="19"/>
                <w:szCs w:val="19"/>
              </w:rPr>
              <w:t>4</w:t>
            </w:r>
            <w:r>
              <w:rPr>
                <w:spacing w:val="30"/>
                <w:sz w:val="19"/>
                <w:szCs w:val="19"/>
              </w:rPr>
              <w:t>亿、</w:t>
            </w:r>
            <w:r>
              <w:rPr>
                <w:sz w:val="19"/>
                <w:szCs w:val="19"/>
              </w:rPr>
              <w:t xml:space="preserve"> </w:t>
            </w:r>
            <w:r>
              <w:rPr>
                <w:rFonts w:ascii="Times New Roman" w:hAnsi="Times New Roman" w:eastAsia="Times New Roman" w:cs="Times New Roman"/>
                <w:spacing w:val="17"/>
                <w:sz w:val="19"/>
                <w:szCs w:val="19"/>
              </w:rPr>
              <w:t>6.5</w:t>
            </w:r>
            <w:r>
              <w:rPr>
                <w:spacing w:val="17"/>
                <w:sz w:val="19"/>
                <w:szCs w:val="19"/>
              </w:rPr>
              <w:t xml:space="preserve">亿等相邻数据相加的类 </w:t>
            </w:r>
            <w:r>
              <w:rPr>
                <w:spacing w:val="8"/>
                <w:sz w:val="19"/>
                <w:szCs w:val="19"/>
              </w:rPr>
              <w:t xml:space="preserve">推方式确定步距计算增加关 </w:t>
            </w:r>
            <w:r>
              <w:rPr>
                <w:spacing w:val="13"/>
                <w:sz w:val="19"/>
                <w:szCs w:val="19"/>
              </w:rPr>
              <w:t>键岗位人员，每</w:t>
            </w:r>
            <w:r>
              <w:rPr>
                <w:spacing w:val="43"/>
                <w:sz w:val="19"/>
                <w:szCs w:val="19"/>
              </w:rPr>
              <w:t xml:space="preserve"> </w:t>
            </w:r>
            <w:r>
              <w:rPr>
                <w:spacing w:val="13"/>
                <w:sz w:val="19"/>
                <w:szCs w:val="19"/>
              </w:rPr>
              <w:t xml:space="preserve">步距施工 </w:t>
            </w:r>
            <w:r>
              <w:rPr>
                <w:spacing w:val="-1"/>
                <w:sz w:val="19"/>
                <w:szCs w:val="19"/>
              </w:rPr>
              <w:t>员、专职安全生产管理人员、</w:t>
            </w:r>
            <w:r>
              <w:rPr>
                <w:spacing w:val="1"/>
                <w:sz w:val="19"/>
                <w:szCs w:val="19"/>
              </w:rPr>
              <w:t xml:space="preserve"> </w:t>
            </w:r>
            <w:r>
              <w:rPr>
                <w:spacing w:val="9"/>
                <w:sz w:val="19"/>
                <w:szCs w:val="19"/>
              </w:rPr>
              <w:t>质量</w:t>
            </w:r>
            <w:r>
              <w:rPr>
                <w:spacing w:val="47"/>
                <w:sz w:val="19"/>
                <w:szCs w:val="19"/>
              </w:rPr>
              <w:t xml:space="preserve"> </w:t>
            </w:r>
            <w:r>
              <w:rPr>
                <w:spacing w:val="9"/>
                <w:sz w:val="19"/>
                <w:szCs w:val="19"/>
              </w:rPr>
              <w:t>员各增加</w:t>
            </w:r>
            <w:r>
              <w:rPr>
                <w:spacing w:val="44"/>
                <w:sz w:val="19"/>
                <w:szCs w:val="19"/>
              </w:rPr>
              <w:t xml:space="preserve"> </w:t>
            </w:r>
            <w:r>
              <w:rPr>
                <w:rFonts w:ascii="Times New Roman" w:hAnsi="Times New Roman" w:eastAsia="Times New Roman" w:cs="Times New Roman"/>
                <w:spacing w:val="9"/>
                <w:sz w:val="19"/>
                <w:szCs w:val="19"/>
              </w:rPr>
              <w:t>1</w:t>
            </w:r>
            <w:r>
              <w:rPr>
                <w:spacing w:val="9"/>
                <w:sz w:val="19"/>
                <w:szCs w:val="19"/>
              </w:rPr>
              <w:t xml:space="preserve">人，超过 </w:t>
            </w:r>
            <w:r>
              <w:rPr>
                <w:rFonts w:ascii="Times New Roman" w:hAnsi="Times New Roman" w:eastAsia="Times New Roman" w:cs="Times New Roman"/>
                <w:spacing w:val="-6"/>
                <w:sz w:val="19"/>
                <w:szCs w:val="19"/>
              </w:rPr>
              <w:t>50%</w:t>
            </w:r>
            <w:r>
              <w:rPr>
                <w:spacing w:val="-6"/>
                <w:sz w:val="19"/>
                <w:szCs w:val="19"/>
              </w:rPr>
              <w:t>按一个步距计算。</w:t>
            </w:r>
            <w:r>
              <w:rPr>
                <w:spacing w:val="28"/>
                <w:w w:val="101"/>
                <w:sz w:val="19"/>
                <w:szCs w:val="19"/>
              </w:rPr>
              <w:t xml:space="preserve"> </w:t>
            </w:r>
            <w:r>
              <w:rPr>
                <w:rFonts w:ascii="Times New Roman" w:hAnsi="Times New Roman" w:eastAsia="Times New Roman" w:cs="Times New Roman"/>
                <w:spacing w:val="-6"/>
                <w:sz w:val="19"/>
                <w:szCs w:val="19"/>
              </w:rPr>
              <w:t>2</w:t>
            </w:r>
            <w:r>
              <w:rPr>
                <w:spacing w:val="-6"/>
                <w:sz w:val="19"/>
                <w:szCs w:val="19"/>
              </w:rPr>
              <w:t>、城</w:t>
            </w:r>
            <w:r>
              <w:rPr>
                <w:sz w:val="19"/>
                <w:szCs w:val="19"/>
              </w:rPr>
              <w:t xml:space="preserve">  </w:t>
            </w:r>
            <w:r>
              <w:rPr>
                <w:spacing w:val="8"/>
                <w:sz w:val="19"/>
                <w:szCs w:val="19"/>
              </w:rPr>
              <w:t xml:space="preserve">市桥梁、地下交通中的隧道 </w:t>
            </w:r>
            <w:r>
              <w:rPr>
                <w:sz w:val="19"/>
                <w:szCs w:val="19"/>
              </w:rPr>
              <w:t xml:space="preserve">工程、轻 轨交通中的桥涵工 </w:t>
            </w:r>
            <w:r>
              <w:rPr>
                <w:spacing w:val="-5"/>
                <w:sz w:val="19"/>
                <w:szCs w:val="19"/>
              </w:rPr>
              <w:t>程，应适当增加施工员、</w:t>
            </w:r>
            <w:r>
              <w:rPr>
                <w:spacing w:val="74"/>
                <w:sz w:val="19"/>
                <w:szCs w:val="19"/>
              </w:rPr>
              <w:t xml:space="preserve"> </w:t>
            </w:r>
            <w:r>
              <w:rPr>
                <w:spacing w:val="-5"/>
                <w:sz w:val="19"/>
                <w:szCs w:val="19"/>
              </w:rPr>
              <w:t xml:space="preserve">质 </w:t>
            </w:r>
            <w:r>
              <w:rPr>
                <w:spacing w:val="8"/>
                <w:sz w:val="19"/>
                <w:szCs w:val="19"/>
              </w:rPr>
              <w:t xml:space="preserve">量员、专职安全生产管理人 </w:t>
            </w:r>
            <w:r>
              <w:rPr>
                <w:spacing w:val="-1"/>
                <w:sz w:val="19"/>
                <w:szCs w:val="19"/>
              </w:rPr>
              <w:t>员人数。</w:t>
            </w:r>
          </w:p>
        </w:tc>
      </w:tr>
    </w:tbl>
    <w:p>
      <w:pPr>
        <w:pStyle w:val="16"/>
        <w:spacing w:line="302" w:lineRule="auto"/>
      </w:pPr>
    </w:p>
    <w:p>
      <w:pPr>
        <w:pStyle w:val="16"/>
        <w:spacing w:line="302" w:lineRule="auto"/>
      </w:pPr>
    </w:p>
    <w:p>
      <w:pPr>
        <w:spacing w:before="68" w:line="256" w:lineRule="auto"/>
        <w:ind w:left="813" w:right="791"/>
        <w:rPr>
          <w:rFonts w:ascii="宋体" w:hAnsi="宋体" w:eastAsia="宋体" w:cs="宋体"/>
          <w:sz w:val="21"/>
          <w:szCs w:val="21"/>
        </w:rPr>
      </w:pPr>
      <w:r>
        <w:rPr>
          <w:rFonts w:ascii="宋体" w:hAnsi="宋体" w:eastAsia="宋体" w:cs="宋体"/>
          <w:spacing w:val="-3"/>
          <w:sz w:val="21"/>
          <w:szCs w:val="21"/>
        </w:rPr>
        <w:t>注：1.工程实施工程总承包的， 在此基础上配备施工项目负责人、设计现场负责人以及其</w:t>
      </w:r>
      <w:r>
        <w:rPr>
          <w:rFonts w:ascii="宋体" w:hAnsi="宋体" w:eastAsia="宋体" w:cs="宋体"/>
          <w:spacing w:val="7"/>
          <w:sz w:val="21"/>
          <w:szCs w:val="21"/>
        </w:rPr>
        <w:t xml:space="preserve">  </w:t>
      </w:r>
      <w:r>
        <w:rPr>
          <w:rFonts w:ascii="宋体" w:hAnsi="宋体" w:eastAsia="宋体" w:cs="宋体"/>
          <w:spacing w:val="-2"/>
          <w:sz w:val="21"/>
          <w:szCs w:val="21"/>
        </w:rPr>
        <w:t>他管理人员，组建工程总承包项目部。工程总承包项</w:t>
      </w:r>
      <w:r>
        <w:rPr>
          <w:rFonts w:ascii="宋体" w:hAnsi="宋体" w:eastAsia="宋体" w:cs="宋体"/>
          <w:spacing w:val="-3"/>
          <w:sz w:val="21"/>
          <w:szCs w:val="21"/>
        </w:rPr>
        <w:t>目经理符合条件的可同时担任施工项目</w:t>
      </w:r>
      <w:r>
        <w:rPr>
          <w:rFonts w:ascii="宋体" w:hAnsi="宋体" w:eastAsia="宋体" w:cs="宋体"/>
          <w:sz w:val="21"/>
          <w:szCs w:val="21"/>
        </w:rPr>
        <w:t xml:space="preserve"> </w:t>
      </w:r>
      <w:r>
        <w:rPr>
          <w:rFonts w:ascii="宋体" w:hAnsi="宋体" w:eastAsia="宋体" w:cs="宋体"/>
          <w:spacing w:val="-2"/>
          <w:sz w:val="21"/>
          <w:szCs w:val="21"/>
        </w:rPr>
        <w:t>负责人。</w:t>
      </w:r>
    </w:p>
    <w:p>
      <w:pPr>
        <w:spacing w:before="60" w:line="221" w:lineRule="auto"/>
        <w:ind w:left="816"/>
        <w:rPr>
          <w:rFonts w:ascii="宋体" w:hAnsi="宋体" w:eastAsia="宋体" w:cs="宋体"/>
          <w:sz w:val="21"/>
          <w:szCs w:val="21"/>
        </w:rPr>
      </w:pPr>
      <w:r>
        <w:rPr>
          <w:rFonts w:ascii="宋体" w:hAnsi="宋体" w:eastAsia="宋体" w:cs="宋体"/>
          <w:sz w:val="21"/>
          <w:szCs w:val="21"/>
        </w:rPr>
        <w:t>2.此标准为关键岗位人员最低配备标准。当专职安全生产管理人员为</w:t>
      </w:r>
      <w:r>
        <w:rPr>
          <w:rFonts w:ascii="宋体" w:hAnsi="宋体" w:eastAsia="宋体" w:cs="宋体"/>
          <w:spacing w:val="-1"/>
          <w:sz w:val="21"/>
          <w:szCs w:val="21"/>
        </w:rPr>
        <w:t xml:space="preserve"> 2人及以上时，其</w:t>
      </w:r>
    </w:p>
    <w:p>
      <w:pPr>
        <w:spacing w:before="61" w:line="247" w:lineRule="auto"/>
        <w:ind w:left="823" w:right="907" w:firstLine="9"/>
        <w:rPr>
          <w:rFonts w:ascii="宋体" w:hAnsi="宋体" w:eastAsia="宋体" w:cs="宋体"/>
          <w:sz w:val="21"/>
          <w:szCs w:val="21"/>
        </w:rPr>
      </w:pPr>
      <w:r>
        <w:rPr>
          <w:rFonts w:ascii="宋体" w:hAnsi="宋体" w:eastAsia="宋体" w:cs="宋体"/>
          <w:spacing w:val="-1"/>
          <w:sz w:val="21"/>
          <w:szCs w:val="21"/>
        </w:rPr>
        <w:t>中一名专职安全生产管理人员参与机械起重设备安全管理；专职安全生产管理人员为 1人</w:t>
      </w:r>
      <w:r>
        <w:rPr>
          <w:rFonts w:ascii="宋体" w:hAnsi="宋体" w:eastAsia="宋体" w:cs="宋体"/>
          <w:spacing w:val="18"/>
          <w:sz w:val="21"/>
          <w:szCs w:val="21"/>
        </w:rPr>
        <w:t xml:space="preserve"> </w:t>
      </w:r>
      <w:r>
        <w:rPr>
          <w:rFonts w:ascii="宋体" w:hAnsi="宋体" w:eastAsia="宋体" w:cs="宋体"/>
          <w:spacing w:val="-1"/>
          <w:sz w:val="21"/>
          <w:szCs w:val="21"/>
        </w:rPr>
        <w:t>时，应配备专职或兼职机械管理人员。</w:t>
      </w:r>
    </w:p>
    <w:p>
      <w:pPr>
        <w:spacing w:before="61" w:line="248" w:lineRule="auto"/>
        <w:ind w:left="814" w:right="1116" w:firstLine="3"/>
        <w:rPr>
          <w:rFonts w:ascii="宋体" w:hAnsi="宋体" w:eastAsia="宋体" w:cs="宋体"/>
          <w:sz w:val="21"/>
          <w:szCs w:val="21"/>
        </w:rPr>
      </w:pPr>
      <w:r>
        <w:rPr>
          <w:rFonts w:ascii="宋体" w:hAnsi="宋体" w:eastAsia="宋体" w:cs="宋体"/>
          <w:spacing w:val="-2"/>
          <w:sz w:val="21"/>
          <w:szCs w:val="21"/>
        </w:rPr>
        <w:t>3.对于复杂的体育场所、综合性工程以及工期较紧、多班施工作业</w:t>
      </w:r>
      <w:r>
        <w:rPr>
          <w:rFonts w:ascii="宋体" w:hAnsi="宋体" w:eastAsia="宋体" w:cs="宋体"/>
          <w:spacing w:val="-3"/>
          <w:sz w:val="21"/>
          <w:szCs w:val="21"/>
        </w:rPr>
        <w:t>的工程，</w:t>
      </w:r>
      <w:r>
        <w:rPr>
          <w:rFonts w:ascii="宋体" w:hAnsi="宋体" w:eastAsia="宋体" w:cs="宋体"/>
          <w:spacing w:val="-24"/>
          <w:sz w:val="21"/>
          <w:szCs w:val="21"/>
        </w:rPr>
        <w:t xml:space="preserve"> </w:t>
      </w:r>
      <w:r>
        <w:rPr>
          <w:rFonts w:ascii="宋体" w:hAnsi="宋体" w:eastAsia="宋体" w:cs="宋体"/>
          <w:spacing w:val="-3"/>
          <w:sz w:val="21"/>
          <w:szCs w:val="21"/>
        </w:rPr>
        <w:t>在以上配备</w:t>
      </w:r>
      <w:r>
        <w:rPr>
          <w:rFonts w:ascii="宋体" w:hAnsi="宋体" w:eastAsia="宋体" w:cs="宋体"/>
          <w:sz w:val="21"/>
          <w:szCs w:val="21"/>
        </w:rPr>
        <w:t xml:space="preserve"> </w:t>
      </w:r>
      <w:r>
        <w:rPr>
          <w:rFonts w:ascii="宋体" w:hAnsi="宋体" w:eastAsia="宋体" w:cs="宋体"/>
          <w:spacing w:val="-1"/>
          <w:sz w:val="21"/>
          <w:szCs w:val="21"/>
        </w:rPr>
        <w:t>标准基础上应适当增加施工员、质量员、专职安全生产管理人员人数。</w:t>
      </w:r>
    </w:p>
    <w:p>
      <w:pPr>
        <w:spacing w:before="62" w:line="247" w:lineRule="auto"/>
        <w:ind w:left="813" w:right="1116" w:hanging="1"/>
        <w:rPr>
          <w:rFonts w:ascii="宋体" w:hAnsi="宋体" w:eastAsia="宋体" w:cs="宋体"/>
          <w:sz w:val="21"/>
          <w:szCs w:val="21"/>
        </w:rPr>
      </w:pPr>
      <w:r>
        <w:rPr>
          <w:rFonts w:ascii="宋体" w:hAnsi="宋体" w:eastAsia="宋体" w:cs="宋体"/>
          <w:sz w:val="21"/>
          <w:szCs w:val="21"/>
        </w:rPr>
        <w:t xml:space="preserve">4.对劳资专管员不适用《海南省建筑工程施工现场关键岗位人员配备和在岗履职管理办 </w:t>
      </w:r>
      <w:r>
        <w:rPr>
          <w:rFonts w:ascii="宋体" w:hAnsi="宋体" w:eastAsia="宋体" w:cs="宋体"/>
          <w:spacing w:val="-3"/>
          <w:sz w:val="21"/>
          <w:szCs w:val="21"/>
        </w:rPr>
        <w:t>法》第九条的规定。</w:t>
      </w:r>
    </w:p>
    <w:p>
      <w:pPr>
        <w:pStyle w:val="16"/>
        <w:spacing w:line="306" w:lineRule="auto"/>
      </w:pPr>
    </w:p>
    <w:p>
      <w:pPr>
        <w:pStyle w:val="16"/>
        <w:spacing w:line="306" w:lineRule="auto"/>
      </w:pPr>
    </w:p>
    <w:p>
      <w:pPr>
        <w:spacing w:before="69" w:line="221" w:lineRule="auto"/>
        <w:ind w:left="820"/>
        <w:rPr>
          <w:rFonts w:ascii="宋体" w:hAnsi="宋体" w:eastAsia="宋体" w:cs="宋体"/>
          <w:sz w:val="21"/>
          <w:szCs w:val="21"/>
        </w:rPr>
      </w:pPr>
      <w:r>
        <w:rPr>
          <w:rFonts w:ascii="宋体" w:hAnsi="宋体" w:eastAsia="宋体" w:cs="宋体"/>
          <w:spacing w:val="-11"/>
          <w:sz w:val="21"/>
          <w:szCs w:val="21"/>
        </w:rPr>
        <w:t>（二）</w:t>
      </w:r>
      <w:r>
        <w:rPr>
          <w:rFonts w:ascii="宋体" w:hAnsi="宋体" w:eastAsia="宋体" w:cs="宋体"/>
          <w:spacing w:val="-23"/>
          <w:sz w:val="21"/>
          <w:szCs w:val="21"/>
        </w:rPr>
        <w:t xml:space="preserve"> </w:t>
      </w:r>
      <w:r>
        <w:rPr>
          <w:rFonts w:ascii="宋体" w:hAnsi="宋体" w:eastAsia="宋体" w:cs="宋体"/>
          <w:spacing w:val="-11"/>
          <w:sz w:val="21"/>
          <w:szCs w:val="21"/>
        </w:rPr>
        <w:t>专业工程承包</w:t>
      </w:r>
    </w:p>
    <w:p>
      <w:pPr>
        <w:spacing w:line="101" w:lineRule="auto"/>
        <w:rPr>
          <w:rFonts w:ascii="Arial"/>
          <w:sz w:val="2"/>
        </w:rPr>
      </w:pPr>
    </w:p>
    <w:tbl>
      <w:tblPr>
        <w:tblStyle w:val="96"/>
        <w:tblW w:w="8302" w:type="dxa"/>
        <w:tblInd w:w="8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93"/>
        <w:gridCol w:w="53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09" w:hRule="atLeast"/>
        </w:trPr>
        <w:tc>
          <w:tcPr>
            <w:tcW w:w="2993" w:type="dxa"/>
            <w:tcBorders>
              <w:tl2br w:val="single" w:color="000000" w:sz="2" w:space="0"/>
            </w:tcBorders>
            <w:vAlign w:val="top"/>
          </w:tcPr>
          <w:p>
            <w:pPr>
              <w:pStyle w:val="95"/>
              <w:spacing w:before="55" w:line="248" w:lineRule="auto"/>
              <w:ind w:left="117" w:right="104" w:firstLine="839"/>
              <w:rPr>
                <w:sz w:val="21"/>
                <w:szCs w:val="21"/>
              </w:rPr>
            </w:pPr>
            <w:r>
              <w:rPr>
                <w:spacing w:val="3"/>
                <w:sz w:val="21"/>
                <w:szCs w:val="21"/>
              </w:rPr>
              <w:t>施工项目部关键岗位</w:t>
            </w:r>
            <w:r>
              <w:rPr>
                <w:spacing w:val="7"/>
                <w:sz w:val="21"/>
                <w:szCs w:val="21"/>
              </w:rPr>
              <w:t xml:space="preserve"> </w:t>
            </w:r>
            <w:r>
              <w:rPr>
                <w:spacing w:val="-2"/>
                <w:sz w:val="21"/>
                <w:szCs w:val="21"/>
              </w:rPr>
              <w:t>人员配备标准</w:t>
            </w:r>
          </w:p>
        </w:tc>
        <w:tc>
          <w:tcPr>
            <w:tcW w:w="5309" w:type="dxa"/>
            <w:vAlign w:val="top"/>
          </w:tcPr>
          <w:p>
            <w:pPr>
              <w:pStyle w:val="95"/>
              <w:spacing w:before="55" w:line="221" w:lineRule="auto"/>
              <w:ind w:left="1082"/>
              <w:rPr>
                <w:sz w:val="21"/>
                <w:szCs w:val="21"/>
              </w:rPr>
            </w:pPr>
            <w:r>
              <w:rPr>
                <w:spacing w:val="-1"/>
                <w:sz w:val="21"/>
                <w:szCs w:val="21"/>
              </w:rPr>
              <w:t>施工项目部关键岗位人员配备标准</w:t>
            </w:r>
          </w:p>
        </w:tc>
      </w:tr>
    </w:tbl>
    <w:p>
      <w:pPr>
        <w:pStyle w:val="16"/>
      </w:pPr>
    </w:p>
    <w:p>
      <w:pPr>
        <w:sectPr>
          <w:footerReference r:id="rId11" w:type="default"/>
          <w:pgSz w:w="11907" w:h="16839"/>
          <w:pgMar w:top="400" w:right="1001" w:bottom="1005" w:left="995" w:header="0" w:footer="642" w:gutter="0"/>
          <w:cols w:space="720" w:num="1"/>
        </w:sectPr>
      </w:pPr>
    </w:p>
    <w:p>
      <w:pPr>
        <w:spacing w:before="19"/>
      </w:pPr>
      <w:r>
        <mc:AlternateContent>
          <mc:Choice Requires="wps">
            <w:drawing>
              <wp:anchor distT="0" distB="0" distL="114300" distR="114300" simplePos="0" relativeHeight="251676672" behindDoc="0" locked="0" layoutInCell="0" allowOverlap="1">
                <wp:simplePos x="0" y="0"/>
                <wp:positionH relativeFrom="page">
                  <wp:posOffset>631825</wp:posOffset>
                </wp:positionH>
                <wp:positionV relativeFrom="page">
                  <wp:posOffset>427355</wp:posOffset>
                </wp:positionV>
                <wp:extent cx="6292850" cy="6350"/>
                <wp:effectExtent l="0" t="0" r="0" b="0"/>
                <wp:wrapNone/>
                <wp:docPr id="25" name="任意多边形 25"/>
                <wp:cNvGraphicFramePr/>
                <a:graphic xmlns:a="http://schemas.openxmlformats.org/drawingml/2006/main">
                  <a:graphicData uri="http://schemas.microsoft.com/office/word/2010/wordprocessingShape">
                    <wps:wsp>
                      <wps:cNvSpPr/>
                      <wps:spPr>
                        <a:xfrm>
                          <a:off x="0" y="0"/>
                          <a:ext cx="6292850" cy="6350"/>
                        </a:xfrm>
                        <a:custGeom>
                          <a:avLst/>
                          <a:gdLst/>
                          <a:ahLst/>
                          <a:cxnLst/>
                          <a:pathLst>
                            <a:path w="9910" h="10">
                              <a:moveTo>
                                <a:pt x="5" y="5"/>
                              </a:moveTo>
                              <a:lnTo>
                                <a:pt x="4955" y="5"/>
                              </a:lnTo>
                              <a:moveTo>
                                <a:pt x="4955" y="5"/>
                              </a:moveTo>
                              <a:lnTo>
                                <a:pt x="9905" y="5"/>
                              </a:lnTo>
                            </a:path>
                          </a:pathLst>
                        </a:custGeom>
                        <a:noFill/>
                        <a:ln w="6350" cap="sq" cmpd="sng">
                          <a:solidFill>
                            <a:srgbClr val="000000"/>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49.75pt;margin-top:33.65pt;height:0.5pt;width:495.5pt;mso-position-horizontal-relative:page;mso-position-vertical-relative:page;z-index:251676672;mso-width-relative:page;mso-height-relative:page;" filled="f" stroked="t" coordsize="9910,10" o:allowincell="f" o:gfxdata="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WAAAAZHJzL1BL&#10;AQIUABQAAAAIAIdO4kBZ9Ui52gAAAAkBAAAPAAAAAAAAAAEAIAAAADgAAABkcnMvZG93bnJldi54&#10;bWxQSwECFAAUAAAACACHTuJAZh087VQCAAD2BAAADgAAAAAAAAABACAAAAA/AQAAZHJzL2Uyb0Rv&#10;Yy54bWxQSwUGAAAAAAYABgBZAQAABQYAAAAA&#10;" path="m5,5l4955,5m4955,5l9905,5e">
                <v:fill on="f" focussize="0,0"/>
                <v:stroke weight="0.5pt" color="#000000" miterlimit="10" joinstyle="miter" endcap="square"/>
                <v:imagedata o:title=""/>
                <o:lock v:ext="edit" aspectratio="f"/>
              </v:shape>
            </w:pict>
          </mc:Fallback>
        </mc:AlternateContent>
      </w:r>
    </w:p>
    <w:p>
      <w:pPr>
        <w:spacing w:before="19"/>
      </w:pPr>
    </w:p>
    <w:p>
      <w:pPr>
        <w:spacing w:before="18"/>
      </w:pPr>
    </w:p>
    <w:p>
      <w:pPr>
        <w:spacing w:before="18"/>
      </w:pPr>
    </w:p>
    <w:tbl>
      <w:tblPr>
        <w:tblStyle w:val="96"/>
        <w:tblW w:w="8302" w:type="dxa"/>
        <w:tblInd w:w="8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3"/>
        <w:gridCol w:w="1941"/>
        <w:gridCol w:w="782"/>
        <w:gridCol w:w="842"/>
        <w:gridCol w:w="882"/>
        <w:gridCol w:w="782"/>
        <w:gridCol w:w="835"/>
        <w:gridCol w:w="590"/>
        <w:gridCol w:w="5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07" w:hRule="atLeast"/>
        </w:trPr>
        <w:tc>
          <w:tcPr>
            <w:tcW w:w="2994" w:type="dxa"/>
            <w:gridSpan w:val="2"/>
            <w:tcBorders>
              <w:tl2br w:val="single" w:color="000000" w:sz="2" w:space="0"/>
            </w:tcBorders>
            <w:vAlign w:val="top"/>
          </w:tcPr>
          <w:p>
            <w:pPr>
              <w:spacing w:line="306" w:lineRule="auto"/>
              <w:rPr>
                <w:rFonts w:ascii="Arial"/>
                <w:sz w:val="21"/>
              </w:rPr>
            </w:pPr>
          </w:p>
          <w:p>
            <w:pPr>
              <w:spacing w:line="306" w:lineRule="auto"/>
              <w:rPr>
                <w:rFonts w:ascii="Arial"/>
                <w:sz w:val="21"/>
              </w:rPr>
            </w:pPr>
          </w:p>
          <w:p>
            <w:pPr>
              <w:spacing w:line="306" w:lineRule="auto"/>
              <w:rPr>
                <w:rFonts w:ascii="Arial"/>
                <w:sz w:val="21"/>
              </w:rPr>
            </w:pPr>
          </w:p>
          <w:p>
            <w:pPr>
              <w:pStyle w:val="95"/>
              <w:spacing w:before="68" w:line="219" w:lineRule="auto"/>
              <w:ind w:right="4"/>
              <w:jc w:val="right"/>
              <w:rPr>
                <w:sz w:val="21"/>
                <w:szCs w:val="21"/>
              </w:rPr>
            </w:pPr>
            <w:r>
              <w:rPr>
                <w:spacing w:val="-10"/>
                <w:sz w:val="21"/>
                <w:szCs w:val="21"/>
              </w:rPr>
              <w:t>工程类别（工程合同价：</w:t>
            </w:r>
            <w:r>
              <w:rPr>
                <w:spacing w:val="-41"/>
                <w:sz w:val="21"/>
                <w:szCs w:val="21"/>
              </w:rPr>
              <w:t xml:space="preserve"> </w:t>
            </w:r>
            <w:r>
              <w:rPr>
                <w:spacing w:val="-10"/>
                <w:sz w:val="21"/>
                <w:szCs w:val="21"/>
              </w:rPr>
              <w:t>万元）</w:t>
            </w:r>
          </w:p>
        </w:tc>
        <w:tc>
          <w:tcPr>
            <w:tcW w:w="782" w:type="dxa"/>
            <w:textDirection w:val="tbRlV"/>
            <w:vAlign w:val="top"/>
          </w:tcPr>
          <w:p>
            <w:pPr>
              <w:pStyle w:val="95"/>
              <w:spacing w:before="283" w:line="207" w:lineRule="auto"/>
              <w:ind w:left="166"/>
              <w:rPr>
                <w:sz w:val="21"/>
                <w:szCs w:val="21"/>
              </w:rPr>
            </w:pPr>
            <w:r>
              <w:rPr>
                <w:spacing w:val="24"/>
                <w:sz w:val="21"/>
                <w:szCs w:val="21"/>
              </w:rPr>
              <w:t>项目负责人</w:t>
            </w:r>
          </w:p>
        </w:tc>
        <w:tc>
          <w:tcPr>
            <w:tcW w:w="842" w:type="dxa"/>
            <w:textDirection w:val="tbRlV"/>
            <w:vAlign w:val="top"/>
          </w:tcPr>
          <w:p>
            <w:pPr>
              <w:pStyle w:val="95"/>
              <w:spacing w:before="314" w:line="208" w:lineRule="auto"/>
              <w:ind w:left="166"/>
              <w:rPr>
                <w:sz w:val="21"/>
                <w:szCs w:val="21"/>
              </w:rPr>
            </w:pPr>
            <w:r>
              <w:rPr>
                <w:spacing w:val="24"/>
                <w:sz w:val="21"/>
                <w:szCs w:val="21"/>
              </w:rPr>
              <w:t>技术负责人</w:t>
            </w:r>
          </w:p>
        </w:tc>
        <w:tc>
          <w:tcPr>
            <w:tcW w:w="882" w:type="dxa"/>
            <w:textDirection w:val="tbRlV"/>
            <w:vAlign w:val="top"/>
          </w:tcPr>
          <w:p>
            <w:pPr>
              <w:spacing w:line="253" w:lineRule="auto"/>
              <w:rPr>
                <w:rFonts w:ascii="Arial"/>
                <w:sz w:val="21"/>
              </w:rPr>
            </w:pPr>
          </w:p>
          <w:p>
            <w:pPr>
              <w:pStyle w:val="95"/>
              <w:spacing w:before="70" w:line="211" w:lineRule="auto"/>
              <w:ind w:left="214"/>
              <w:rPr>
                <w:sz w:val="21"/>
                <w:szCs w:val="21"/>
              </w:rPr>
            </w:pPr>
            <w:r>
              <w:rPr>
                <w:spacing w:val="1"/>
                <w:sz w:val="21"/>
                <w:szCs w:val="21"/>
              </w:rPr>
              <w:t>施</w:t>
            </w:r>
            <w:r>
              <w:rPr>
                <w:spacing w:val="-17"/>
                <w:sz w:val="21"/>
                <w:szCs w:val="21"/>
              </w:rPr>
              <w:t xml:space="preserve"> </w:t>
            </w:r>
            <w:r>
              <w:rPr>
                <w:spacing w:val="1"/>
                <w:sz w:val="21"/>
                <w:szCs w:val="21"/>
              </w:rPr>
              <w:t>工</w:t>
            </w:r>
            <w:r>
              <w:rPr>
                <w:spacing w:val="-16"/>
                <w:sz w:val="21"/>
                <w:szCs w:val="21"/>
              </w:rPr>
              <w:t xml:space="preserve"> </w:t>
            </w:r>
            <w:r>
              <w:rPr>
                <w:spacing w:val="1"/>
                <w:sz w:val="21"/>
                <w:szCs w:val="21"/>
              </w:rPr>
              <w:t>员</w:t>
            </w:r>
          </w:p>
        </w:tc>
        <w:tc>
          <w:tcPr>
            <w:tcW w:w="782" w:type="dxa"/>
            <w:textDirection w:val="tbRlV"/>
            <w:vAlign w:val="top"/>
          </w:tcPr>
          <w:p>
            <w:pPr>
              <w:pStyle w:val="95"/>
              <w:spacing w:before="281" w:line="210" w:lineRule="auto"/>
              <w:ind w:left="363"/>
              <w:rPr>
                <w:sz w:val="21"/>
                <w:szCs w:val="21"/>
              </w:rPr>
            </w:pPr>
            <w:r>
              <w:rPr>
                <w:spacing w:val="1"/>
                <w:sz w:val="21"/>
                <w:szCs w:val="21"/>
              </w:rPr>
              <w:t>安</w:t>
            </w:r>
            <w:r>
              <w:rPr>
                <w:spacing w:val="-17"/>
                <w:sz w:val="21"/>
                <w:szCs w:val="21"/>
              </w:rPr>
              <w:t xml:space="preserve"> </w:t>
            </w:r>
            <w:r>
              <w:rPr>
                <w:spacing w:val="1"/>
                <w:sz w:val="21"/>
                <w:szCs w:val="21"/>
              </w:rPr>
              <w:t>全</w:t>
            </w:r>
            <w:r>
              <w:rPr>
                <w:spacing w:val="-16"/>
                <w:sz w:val="21"/>
                <w:szCs w:val="21"/>
              </w:rPr>
              <w:t xml:space="preserve"> </w:t>
            </w:r>
            <w:r>
              <w:rPr>
                <w:spacing w:val="1"/>
                <w:sz w:val="21"/>
                <w:szCs w:val="21"/>
              </w:rPr>
              <w:t>员</w:t>
            </w:r>
          </w:p>
        </w:tc>
        <w:tc>
          <w:tcPr>
            <w:tcW w:w="835" w:type="dxa"/>
            <w:textDirection w:val="tbRlV"/>
            <w:vAlign w:val="top"/>
          </w:tcPr>
          <w:p>
            <w:pPr>
              <w:pStyle w:val="95"/>
              <w:spacing w:before="307" w:line="209" w:lineRule="auto"/>
              <w:ind w:left="363"/>
              <w:rPr>
                <w:sz w:val="21"/>
                <w:szCs w:val="21"/>
              </w:rPr>
            </w:pPr>
            <w:r>
              <w:rPr>
                <w:spacing w:val="1"/>
                <w:sz w:val="21"/>
                <w:szCs w:val="21"/>
              </w:rPr>
              <w:t>资</w:t>
            </w:r>
            <w:r>
              <w:rPr>
                <w:spacing w:val="-17"/>
                <w:sz w:val="21"/>
                <w:szCs w:val="21"/>
              </w:rPr>
              <w:t xml:space="preserve"> </w:t>
            </w:r>
            <w:r>
              <w:rPr>
                <w:spacing w:val="1"/>
                <w:sz w:val="21"/>
                <w:szCs w:val="21"/>
              </w:rPr>
              <w:t>料</w:t>
            </w:r>
            <w:r>
              <w:rPr>
                <w:spacing w:val="-16"/>
                <w:sz w:val="21"/>
                <w:szCs w:val="21"/>
              </w:rPr>
              <w:t xml:space="preserve"> </w:t>
            </w:r>
            <w:r>
              <w:rPr>
                <w:spacing w:val="1"/>
                <w:sz w:val="21"/>
                <w:szCs w:val="21"/>
              </w:rPr>
              <w:t>员</w:t>
            </w:r>
          </w:p>
        </w:tc>
        <w:tc>
          <w:tcPr>
            <w:tcW w:w="590" w:type="dxa"/>
            <w:textDirection w:val="tbRlV"/>
            <w:vAlign w:val="top"/>
          </w:tcPr>
          <w:p>
            <w:pPr>
              <w:pStyle w:val="95"/>
              <w:spacing w:before="183" w:line="208" w:lineRule="auto"/>
              <w:ind w:left="63"/>
              <w:rPr>
                <w:sz w:val="21"/>
                <w:szCs w:val="21"/>
              </w:rPr>
            </w:pPr>
            <w:r>
              <w:rPr>
                <w:spacing w:val="1"/>
                <w:sz w:val="21"/>
                <w:szCs w:val="21"/>
              </w:rPr>
              <w:t>劳</w:t>
            </w:r>
            <w:r>
              <w:rPr>
                <w:spacing w:val="-17"/>
                <w:sz w:val="21"/>
                <w:szCs w:val="21"/>
              </w:rPr>
              <w:t xml:space="preserve"> </w:t>
            </w:r>
            <w:r>
              <w:rPr>
                <w:spacing w:val="1"/>
                <w:sz w:val="21"/>
                <w:szCs w:val="21"/>
              </w:rPr>
              <w:t>资</w:t>
            </w:r>
            <w:r>
              <w:rPr>
                <w:spacing w:val="-16"/>
                <w:sz w:val="21"/>
                <w:szCs w:val="21"/>
              </w:rPr>
              <w:t xml:space="preserve"> </w:t>
            </w:r>
            <w:r>
              <w:rPr>
                <w:spacing w:val="1"/>
                <w:sz w:val="21"/>
                <w:szCs w:val="21"/>
              </w:rPr>
              <w:t>专</w:t>
            </w:r>
            <w:r>
              <w:rPr>
                <w:spacing w:val="-16"/>
                <w:sz w:val="21"/>
                <w:szCs w:val="21"/>
              </w:rPr>
              <w:t xml:space="preserve"> </w:t>
            </w:r>
            <w:r>
              <w:rPr>
                <w:spacing w:val="1"/>
                <w:sz w:val="21"/>
                <w:szCs w:val="21"/>
              </w:rPr>
              <w:t>管</w:t>
            </w:r>
            <w:r>
              <w:rPr>
                <w:spacing w:val="-16"/>
                <w:sz w:val="21"/>
                <w:szCs w:val="21"/>
              </w:rPr>
              <w:t xml:space="preserve"> </w:t>
            </w:r>
            <w:r>
              <w:rPr>
                <w:spacing w:val="1"/>
                <w:sz w:val="21"/>
                <w:szCs w:val="21"/>
              </w:rPr>
              <w:t>员</w:t>
            </w:r>
          </w:p>
        </w:tc>
        <w:tc>
          <w:tcPr>
            <w:tcW w:w="595" w:type="dxa"/>
            <w:textDirection w:val="tbRlV"/>
            <w:vAlign w:val="top"/>
          </w:tcPr>
          <w:p>
            <w:pPr>
              <w:pStyle w:val="95"/>
              <w:spacing w:before="191" w:line="210" w:lineRule="auto"/>
              <w:ind w:left="363"/>
              <w:rPr>
                <w:sz w:val="21"/>
                <w:szCs w:val="21"/>
              </w:rPr>
            </w:pPr>
            <w:r>
              <w:rPr>
                <w:spacing w:val="1"/>
                <w:sz w:val="21"/>
                <w:szCs w:val="21"/>
              </w:rPr>
              <w:t>小</w:t>
            </w:r>
            <w:r>
              <w:rPr>
                <w:spacing w:val="-17"/>
                <w:sz w:val="21"/>
                <w:szCs w:val="21"/>
              </w:rPr>
              <w:t xml:space="preserve"> </w:t>
            </w:r>
            <w:r>
              <w:rPr>
                <w:spacing w:val="1"/>
                <w:sz w:val="21"/>
                <w:szCs w:val="21"/>
              </w:rPr>
              <w:t>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7" w:hRule="atLeast"/>
        </w:trPr>
        <w:tc>
          <w:tcPr>
            <w:tcW w:w="1053" w:type="dxa"/>
            <w:vMerge w:val="restart"/>
            <w:tcBorders>
              <w:bottom w:val="nil"/>
            </w:tcBorders>
            <w:vAlign w:val="top"/>
          </w:tcPr>
          <w:p>
            <w:pPr>
              <w:spacing w:line="307" w:lineRule="auto"/>
              <w:rPr>
                <w:rFonts w:ascii="Arial"/>
                <w:sz w:val="21"/>
              </w:rPr>
            </w:pPr>
          </w:p>
          <w:p>
            <w:pPr>
              <w:spacing w:line="308" w:lineRule="auto"/>
              <w:rPr>
                <w:rFonts w:ascii="Arial"/>
                <w:sz w:val="21"/>
              </w:rPr>
            </w:pPr>
          </w:p>
          <w:p>
            <w:pPr>
              <w:pStyle w:val="95"/>
              <w:spacing w:before="68" w:line="248" w:lineRule="auto"/>
              <w:ind w:left="216" w:right="205"/>
              <w:rPr>
                <w:sz w:val="21"/>
                <w:szCs w:val="21"/>
              </w:rPr>
            </w:pPr>
            <w:r>
              <w:rPr>
                <w:spacing w:val="-2"/>
                <w:sz w:val="21"/>
                <w:szCs w:val="21"/>
              </w:rPr>
              <w:t>专业承</w:t>
            </w:r>
            <w:r>
              <w:rPr>
                <w:sz w:val="21"/>
                <w:szCs w:val="21"/>
              </w:rPr>
              <w:t xml:space="preserve"> </w:t>
            </w:r>
            <w:r>
              <w:rPr>
                <w:spacing w:val="-2"/>
                <w:sz w:val="21"/>
                <w:szCs w:val="21"/>
              </w:rPr>
              <w:t>包工程</w:t>
            </w:r>
          </w:p>
        </w:tc>
        <w:tc>
          <w:tcPr>
            <w:tcW w:w="1941" w:type="dxa"/>
            <w:vAlign w:val="top"/>
          </w:tcPr>
          <w:p>
            <w:pPr>
              <w:pStyle w:val="95"/>
              <w:spacing w:before="55" w:line="247" w:lineRule="auto"/>
              <w:ind w:left="116" w:right="149" w:hanging="2"/>
              <w:rPr>
                <w:sz w:val="21"/>
                <w:szCs w:val="21"/>
              </w:rPr>
            </w:pPr>
            <w:r>
              <w:rPr>
                <w:spacing w:val="-1"/>
                <w:sz w:val="21"/>
                <w:szCs w:val="21"/>
              </w:rPr>
              <w:t>工程合同价≤1200</w:t>
            </w:r>
            <w:r>
              <w:rPr>
                <w:spacing w:val="1"/>
                <w:sz w:val="21"/>
                <w:szCs w:val="21"/>
              </w:rPr>
              <w:t xml:space="preserve"> </w:t>
            </w:r>
            <w:r>
              <w:rPr>
                <w:spacing w:val="-3"/>
                <w:sz w:val="21"/>
                <w:szCs w:val="21"/>
              </w:rPr>
              <w:t>万元</w:t>
            </w:r>
          </w:p>
        </w:tc>
        <w:tc>
          <w:tcPr>
            <w:tcW w:w="782" w:type="dxa"/>
            <w:vAlign w:val="top"/>
          </w:tcPr>
          <w:p>
            <w:pPr>
              <w:pStyle w:val="95"/>
              <w:spacing w:before="244" w:line="183" w:lineRule="auto"/>
              <w:ind w:left="358"/>
              <w:rPr>
                <w:sz w:val="21"/>
                <w:szCs w:val="21"/>
              </w:rPr>
            </w:pPr>
            <w:r>
              <w:rPr>
                <w:sz w:val="21"/>
                <w:szCs w:val="21"/>
              </w:rPr>
              <w:t>1</w:t>
            </w:r>
          </w:p>
        </w:tc>
        <w:tc>
          <w:tcPr>
            <w:tcW w:w="842" w:type="dxa"/>
            <w:vAlign w:val="top"/>
          </w:tcPr>
          <w:p>
            <w:pPr>
              <w:pStyle w:val="95"/>
              <w:spacing w:before="244" w:line="183" w:lineRule="auto"/>
              <w:ind w:left="388"/>
              <w:rPr>
                <w:sz w:val="21"/>
                <w:szCs w:val="21"/>
              </w:rPr>
            </w:pPr>
            <w:r>
              <w:rPr>
                <w:sz w:val="21"/>
                <w:szCs w:val="21"/>
              </w:rPr>
              <w:t>1</w:t>
            </w:r>
          </w:p>
        </w:tc>
        <w:tc>
          <w:tcPr>
            <w:tcW w:w="882" w:type="dxa"/>
            <w:vAlign w:val="top"/>
          </w:tcPr>
          <w:p>
            <w:pPr>
              <w:pStyle w:val="95"/>
              <w:spacing w:before="244" w:line="183" w:lineRule="auto"/>
              <w:ind w:left="410"/>
              <w:rPr>
                <w:sz w:val="21"/>
                <w:szCs w:val="21"/>
              </w:rPr>
            </w:pPr>
            <w:r>
              <w:rPr>
                <w:sz w:val="21"/>
                <w:szCs w:val="21"/>
              </w:rPr>
              <w:t>1</w:t>
            </w:r>
          </w:p>
        </w:tc>
        <w:tc>
          <w:tcPr>
            <w:tcW w:w="782" w:type="dxa"/>
            <w:vAlign w:val="top"/>
          </w:tcPr>
          <w:p>
            <w:pPr>
              <w:pStyle w:val="95"/>
              <w:spacing w:before="244" w:line="183" w:lineRule="auto"/>
              <w:ind w:left="361"/>
              <w:rPr>
                <w:sz w:val="21"/>
                <w:szCs w:val="21"/>
              </w:rPr>
            </w:pPr>
            <w:r>
              <w:rPr>
                <w:sz w:val="21"/>
                <w:szCs w:val="21"/>
              </w:rPr>
              <w:t>1</w:t>
            </w:r>
          </w:p>
        </w:tc>
        <w:tc>
          <w:tcPr>
            <w:tcW w:w="835" w:type="dxa"/>
            <w:vAlign w:val="top"/>
          </w:tcPr>
          <w:p>
            <w:pPr>
              <w:pStyle w:val="95"/>
              <w:spacing w:before="209" w:line="228" w:lineRule="auto"/>
              <w:ind w:left="282"/>
              <w:rPr>
                <w:sz w:val="21"/>
                <w:szCs w:val="21"/>
              </w:rPr>
            </w:pPr>
            <w:r>
              <w:rPr>
                <w:spacing w:val="-12"/>
                <w:sz w:val="21"/>
                <w:szCs w:val="21"/>
              </w:rPr>
              <w:t>1☆</w:t>
            </w:r>
          </w:p>
        </w:tc>
        <w:tc>
          <w:tcPr>
            <w:tcW w:w="590" w:type="dxa"/>
            <w:vAlign w:val="top"/>
          </w:tcPr>
          <w:p>
            <w:pPr>
              <w:pStyle w:val="95"/>
              <w:spacing w:before="88" w:line="183" w:lineRule="auto"/>
              <w:ind w:left="266"/>
              <w:rPr>
                <w:sz w:val="21"/>
                <w:szCs w:val="21"/>
              </w:rPr>
            </w:pPr>
            <w:r>
              <w:rPr>
                <w:sz w:val="21"/>
                <w:szCs w:val="21"/>
              </w:rPr>
              <w:t>1</w:t>
            </w:r>
          </w:p>
        </w:tc>
        <w:tc>
          <w:tcPr>
            <w:tcW w:w="595" w:type="dxa"/>
            <w:vAlign w:val="top"/>
          </w:tcPr>
          <w:p>
            <w:pPr>
              <w:pStyle w:val="95"/>
              <w:spacing w:before="245" w:line="182" w:lineRule="auto"/>
              <w:ind w:left="250"/>
              <w:rPr>
                <w:sz w:val="21"/>
                <w:szCs w:val="21"/>
              </w:rPr>
            </w:pPr>
            <w:r>
              <w:rPr>
                <w:sz w:val="21"/>
                <w:szCs w:val="21"/>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1053" w:type="dxa"/>
            <w:vMerge w:val="continue"/>
            <w:tcBorders>
              <w:top w:val="nil"/>
              <w:bottom w:val="nil"/>
            </w:tcBorders>
            <w:vAlign w:val="top"/>
          </w:tcPr>
          <w:p>
            <w:pPr>
              <w:rPr>
                <w:rFonts w:ascii="Arial"/>
                <w:sz w:val="21"/>
              </w:rPr>
            </w:pPr>
          </w:p>
        </w:tc>
        <w:tc>
          <w:tcPr>
            <w:tcW w:w="1941" w:type="dxa"/>
            <w:vAlign w:val="top"/>
          </w:tcPr>
          <w:p>
            <w:pPr>
              <w:pStyle w:val="95"/>
              <w:spacing w:before="54" w:line="247" w:lineRule="auto"/>
              <w:ind w:left="132" w:right="149" w:hanging="5"/>
              <w:rPr>
                <w:sz w:val="21"/>
                <w:szCs w:val="21"/>
              </w:rPr>
            </w:pPr>
            <w:r>
              <w:rPr>
                <w:spacing w:val="-3"/>
                <w:sz w:val="21"/>
                <w:szCs w:val="21"/>
              </w:rPr>
              <w:t>1200万元＜工程合</w:t>
            </w:r>
            <w:r>
              <w:rPr>
                <w:spacing w:val="7"/>
                <w:sz w:val="21"/>
                <w:szCs w:val="21"/>
              </w:rPr>
              <w:t xml:space="preserve"> </w:t>
            </w:r>
            <w:r>
              <w:rPr>
                <w:spacing w:val="-3"/>
                <w:sz w:val="21"/>
                <w:szCs w:val="21"/>
              </w:rPr>
              <w:t>同价≤3000万元</w:t>
            </w:r>
          </w:p>
        </w:tc>
        <w:tc>
          <w:tcPr>
            <w:tcW w:w="782" w:type="dxa"/>
            <w:vAlign w:val="top"/>
          </w:tcPr>
          <w:p>
            <w:pPr>
              <w:pStyle w:val="95"/>
              <w:spacing w:before="245" w:line="183" w:lineRule="auto"/>
              <w:ind w:left="358"/>
              <w:rPr>
                <w:sz w:val="21"/>
                <w:szCs w:val="21"/>
              </w:rPr>
            </w:pPr>
            <w:r>
              <w:rPr>
                <w:sz w:val="21"/>
                <w:szCs w:val="21"/>
              </w:rPr>
              <w:t>1</w:t>
            </w:r>
          </w:p>
        </w:tc>
        <w:tc>
          <w:tcPr>
            <w:tcW w:w="842" w:type="dxa"/>
            <w:vAlign w:val="top"/>
          </w:tcPr>
          <w:p>
            <w:pPr>
              <w:pStyle w:val="95"/>
              <w:spacing w:before="245" w:line="183" w:lineRule="auto"/>
              <w:ind w:left="388"/>
              <w:rPr>
                <w:sz w:val="21"/>
                <w:szCs w:val="21"/>
              </w:rPr>
            </w:pPr>
            <w:r>
              <w:rPr>
                <w:sz w:val="21"/>
                <w:szCs w:val="21"/>
              </w:rPr>
              <w:t>1</w:t>
            </w:r>
          </w:p>
        </w:tc>
        <w:tc>
          <w:tcPr>
            <w:tcW w:w="882" w:type="dxa"/>
            <w:vAlign w:val="top"/>
          </w:tcPr>
          <w:p>
            <w:pPr>
              <w:pStyle w:val="95"/>
              <w:spacing w:before="245" w:line="183" w:lineRule="auto"/>
              <w:ind w:left="410"/>
              <w:rPr>
                <w:sz w:val="21"/>
                <w:szCs w:val="21"/>
              </w:rPr>
            </w:pPr>
            <w:r>
              <w:rPr>
                <w:sz w:val="21"/>
                <w:szCs w:val="21"/>
              </w:rPr>
              <w:t>1</w:t>
            </w:r>
          </w:p>
        </w:tc>
        <w:tc>
          <w:tcPr>
            <w:tcW w:w="782" w:type="dxa"/>
            <w:vAlign w:val="top"/>
          </w:tcPr>
          <w:p>
            <w:pPr>
              <w:pStyle w:val="95"/>
              <w:spacing w:before="246" w:line="182" w:lineRule="auto"/>
              <w:ind w:left="348"/>
              <w:rPr>
                <w:sz w:val="21"/>
                <w:szCs w:val="21"/>
              </w:rPr>
            </w:pPr>
            <w:r>
              <w:rPr>
                <w:sz w:val="21"/>
                <w:szCs w:val="21"/>
              </w:rPr>
              <w:t>2</w:t>
            </w:r>
          </w:p>
        </w:tc>
        <w:tc>
          <w:tcPr>
            <w:tcW w:w="835" w:type="dxa"/>
            <w:vAlign w:val="top"/>
          </w:tcPr>
          <w:p>
            <w:pPr>
              <w:pStyle w:val="95"/>
              <w:spacing w:before="211" w:line="228" w:lineRule="auto"/>
              <w:ind w:left="282"/>
              <w:rPr>
                <w:sz w:val="21"/>
                <w:szCs w:val="21"/>
              </w:rPr>
            </w:pPr>
            <w:r>
              <w:rPr>
                <w:spacing w:val="-12"/>
                <w:sz w:val="21"/>
                <w:szCs w:val="21"/>
              </w:rPr>
              <w:t>1☆</w:t>
            </w:r>
          </w:p>
        </w:tc>
        <w:tc>
          <w:tcPr>
            <w:tcW w:w="590" w:type="dxa"/>
            <w:vAlign w:val="top"/>
          </w:tcPr>
          <w:p>
            <w:pPr>
              <w:pStyle w:val="95"/>
              <w:spacing w:before="89" w:line="183" w:lineRule="auto"/>
              <w:ind w:left="266"/>
              <w:rPr>
                <w:sz w:val="21"/>
                <w:szCs w:val="21"/>
              </w:rPr>
            </w:pPr>
            <w:r>
              <w:rPr>
                <w:sz w:val="21"/>
                <w:szCs w:val="21"/>
              </w:rPr>
              <w:t>1</w:t>
            </w:r>
          </w:p>
        </w:tc>
        <w:tc>
          <w:tcPr>
            <w:tcW w:w="595" w:type="dxa"/>
            <w:vAlign w:val="top"/>
          </w:tcPr>
          <w:p>
            <w:pPr>
              <w:pStyle w:val="95"/>
              <w:spacing w:before="248" w:line="181" w:lineRule="auto"/>
              <w:ind w:left="254"/>
              <w:rPr>
                <w:sz w:val="21"/>
                <w:szCs w:val="21"/>
              </w:rPr>
            </w:pPr>
            <w:r>
              <w:rPr>
                <w:sz w:val="21"/>
                <w:szCs w:val="21"/>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5" w:hRule="atLeast"/>
        </w:trPr>
        <w:tc>
          <w:tcPr>
            <w:tcW w:w="1053" w:type="dxa"/>
            <w:vMerge w:val="continue"/>
            <w:tcBorders>
              <w:top w:val="nil"/>
            </w:tcBorders>
            <w:vAlign w:val="top"/>
          </w:tcPr>
          <w:p>
            <w:pPr>
              <w:rPr>
                <w:rFonts w:ascii="Arial"/>
                <w:sz w:val="21"/>
              </w:rPr>
            </w:pPr>
          </w:p>
        </w:tc>
        <w:tc>
          <w:tcPr>
            <w:tcW w:w="1941" w:type="dxa"/>
            <w:vAlign w:val="top"/>
          </w:tcPr>
          <w:p>
            <w:pPr>
              <w:pStyle w:val="95"/>
              <w:spacing w:before="58" w:line="248" w:lineRule="auto"/>
              <w:ind w:left="116" w:right="149" w:hanging="2"/>
              <w:rPr>
                <w:sz w:val="21"/>
                <w:szCs w:val="21"/>
              </w:rPr>
            </w:pPr>
            <w:r>
              <w:rPr>
                <w:spacing w:val="-1"/>
                <w:sz w:val="21"/>
                <w:szCs w:val="21"/>
              </w:rPr>
              <w:t>工程合同价＞3000</w:t>
            </w:r>
            <w:r>
              <w:rPr>
                <w:spacing w:val="1"/>
                <w:sz w:val="21"/>
                <w:szCs w:val="21"/>
              </w:rPr>
              <w:t xml:space="preserve"> </w:t>
            </w:r>
            <w:r>
              <w:rPr>
                <w:spacing w:val="-3"/>
                <w:sz w:val="21"/>
                <w:szCs w:val="21"/>
              </w:rPr>
              <w:t>万元</w:t>
            </w:r>
          </w:p>
        </w:tc>
        <w:tc>
          <w:tcPr>
            <w:tcW w:w="782" w:type="dxa"/>
            <w:vAlign w:val="top"/>
          </w:tcPr>
          <w:p>
            <w:pPr>
              <w:pStyle w:val="95"/>
              <w:spacing w:before="248" w:line="183" w:lineRule="auto"/>
              <w:ind w:left="358"/>
              <w:rPr>
                <w:sz w:val="21"/>
                <w:szCs w:val="21"/>
              </w:rPr>
            </w:pPr>
            <w:r>
              <w:rPr>
                <w:sz w:val="21"/>
                <w:szCs w:val="21"/>
              </w:rPr>
              <w:t>1</w:t>
            </w:r>
          </w:p>
        </w:tc>
        <w:tc>
          <w:tcPr>
            <w:tcW w:w="842" w:type="dxa"/>
            <w:vAlign w:val="top"/>
          </w:tcPr>
          <w:p>
            <w:pPr>
              <w:pStyle w:val="95"/>
              <w:spacing w:before="248" w:line="183" w:lineRule="auto"/>
              <w:ind w:left="388"/>
              <w:rPr>
                <w:sz w:val="21"/>
                <w:szCs w:val="21"/>
              </w:rPr>
            </w:pPr>
            <w:r>
              <w:rPr>
                <w:sz w:val="21"/>
                <w:szCs w:val="21"/>
              </w:rPr>
              <w:t>1</w:t>
            </w:r>
          </w:p>
        </w:tc>
        <w:tc>
          <w:tcPr>
            <w:tcW w:w="882" w:type="dxa"/>
            <w:vAlign w:val="top"/>
          </w:tcPr>
          <w:p>
            <w:pPr>
              <w:pStyle w:val="95"/>
              <w:spacing w:before="249" w:line="182" w:lineRule="auto"/>
              <w:ind w:left="397"/>
              <w:rPr>
                <w:sz w:val="21"/>
                <w:szCs w:val="21"/>
              </w:rPr>
            </w:pPr>
            <w:r>
              <w:rPr>
                <w:sz w:val="21"/>
                <w:szCs w:val="21"/>
              </w:rPr>
              <w:t>2</w:t>
            </w:r>
          </w:p>
        </w:tc>
        <w:tc>
          <w:tcPr>
            <w:tcW w:w="782" w:type="dxa"/>
            <w:vAlign w:val="top"/>
          </w:tcPr>
          <w:p>
            <w:pPr>
              <w:pStyle w:val="95"/>
              <w:spacing w:before="249" w:line="182" w:lineRule="auto"/>
              <w:ind w:left="348"/>
              <w:rPr>
                <w:sz w:val="21"/>
                <w:szCs w:val="21"/>
              </w:rPr>
            </w:pPr>
            <w:r>
              <w:rPr>
                <w:sz w:val="21"/>
                <w:szCs w:val="21"/>
              </w:rPr>
              <w:t>2</w:t>
            </w:r>
          </w:p>
        </w:tc>
        <w:tc>
          <w:tcPr>
            <w:tcW w:w="835" w:type="dxa"/>
            <w:vAlign w:val="top"/>
          </w:tcPr>
          <w:p>
            <w:pPr>
              <w:pStyle w:val="95"/>
              <w:spacing w:before="248" w:line="183" w:lineRule="auto"/>
              <w:ind w:left="388"/>
              <w:rPr>
                <w:sz w:val="21"/>
                <w:szCs w:val="21"/>
              </w:rPr>
            </w:pPr>
            <w:r>
              <w:rPr>
                <w:sz w:val="21"/>
                <w:szCs w:val="21"/>
              </w:rPr>
              <w:t>1</w:t>
            </w:r>
          </w:p>
        </w:tc>
        <w:tc>
          <w:tcPr>
            <w:tcW w:w="590" w:type="dxa"/>
            <w:vAlign w:val="top"/>
          </w:tcPr>
          <w:p>
            <w:pPr>
              <w:pStyle w:val="95"/>
              <w:spacing w:before="92" w:line="183" w:lineRule="auto"/>
              <w:ind w:left="266"/>
              <w:rPr>
                <w:sz w:val="21"/>
                <w:szCs w:val="21"/>
              </w:rPr>
            </w:pPr>
            <w:r>
              <w:rPr>
                <w:sz w:val="21"/>
                <w:szCs w:val="21"/>
              </w:rPr>
              <w:t>1</w:t>
            </w:r>
          </w:p>
        </w:tc>
        <w:tc>
          <w:tcPr>
            <w:tcW w:w="595" w:type="dxa"/>
            <w:vAlign w:val="top"/>
          </w:tcPr>
          <w:p>
            <w:pPr>
              <w:pStyle w:val="95"/>
              <w:spacing w:before="249" w:line="182" w:lineRule="auto"/>
              <w:ind w:left="249"/>
              <w:rPr>
                <w:sz w:val="21"/>
                <w:szCs w:val="21"/>
              </w:rPr>
            </w:pPr>
            <w:r>
              <w:rPr>
                <w:sz w:val="21"/>
                <w:szCs w:val="21"/>
              </w:rPr>
              <w:t>8</w:t>
            </w:r>
          </w:p>
        </w:tc>
      </w:tr>
    </w:tbl>
    <w:p>
      <w:pPr>
        <w:pStyle w:val="16"/>
        <w:spacing w:line="293" w:lineRule="auto"/>
      </w:pPr>
    </w:p>
    <w:p>
      <w:pPr>
        <w:spacing w:before="69" w:line="222" w:lineRule="auto"/>
        <w:ind w:left="816"/>
        <w:rPr>
          <w:rFonts w:ascii="宋体" w:hAnsi="宋体" w:eastAsia="宋体" w:cs="宋体"/>
          <w:sz w:val="21"/>
          <w:szCs w:val="21"/>
        </w:rPr>
      </w:pPr>
      <w:r>
        <w:rPr>
          <w:rFonts w:ascii="宋体" w:hAnsi="宋体" w:eastAsia="宋体" w:cs="宋体"/>
          <w:spacing w:val="10"/>
          <w:sz w:val="21"/>
          <w:szCs w:val="21"/>
        </w:rPr>
        <w:t>备注:</w:t>
      </w:r>
    </w:p>
    <w:p>
      <w:pPr>
        <w:spacing w:before="179" w:line="386" w:lineRule="auto"/>
        <w:ind w:left="817" w:right="791" w:firstLine="431"/>
        <w:rPr>
          <w:rFonts w:ascii="宋体" w:hAnsi="宋体" w:eastAsia="宋体" w:cs="宋体"/>
          <w:sz w:val="21"/>
          <w:szCs w:val="21"/>
        </w:rPr>
      </w:pPr>
      <w:r>
        <w:rPr>
          <w:rFonts w:ascii="宋体" w:hAnsi="宋体" w:eastAsia="宋体" w:cs="宋体"/>
          <w:spacing w:val="-2"/>
          <w:sz w:val="21"/>
          <w:szCs w:val="21"/>
        </w:rPr>
        <w:t>1.3000</w:t>
      </w:r>
      <w:r>
        <w:rPr>
          <w:rFonts w:ascii="宋体" w:hAnsi="宋体" w:eastAsia="宋体" w:cs="宋体"/>
          <w:spacing w:val="-39"/>
          <w:sz w:val="21"/>
          <w:szCs w:val="21"/>
        </w:rPr>
        <w:t xml:space="preserve"> </w:t>
      </w:r>
      <w:r>
        <w:rPr>
          <w:rFonts w:ascii="宋体" w:hAnsi="宋体" w:eastAsia="宋体" w:cs="宋体"/>
          <w:spacing w:val="-2"/>
          <w:sz w:val="21"/>
          <w:szCs w:val="21"/>
        </w:rPr>
        <w:t>万元以上工程，每增加</w:t>
      </w:r>
      <w:r>
        <w:rPr>
          <w:rFonts w:ascii="宋体" w:hAnsi="宋体" w:eastAsia="宋体" w:cs="宋体"/>
          <w:spacing w:val="-42"/>
          <w:sz w:val="21"/>
          <w:szCs w:val="21"/>
        </w:rPr>
        <w:t xml:space="preserve"> </w:t>
      </w:r>
      <w:r>
        <w:rPr>
          <w:rFonts w:ascii="宋体" w:hAnsi="宋体" w:eastAsia="宋体" w:cs="宋体"/>
          <w:spacing w:val="-2"/>
          <w:sz w:val="21"/>
          <w:szCs w:val="21"/>
        </w:rPr>
        <w:t>2000</w:t>
      </w:r>
      <w:r>
        <w:rPr>
          <w:rFonts w:ascii="宋体" w:hAnsi="宋体" w:eastAsia="宋体" w:cs="宋体"/>
          <w:spacing w:val="-41"/>
          <w:sz w:val="21"/>
          <w:szCs w:val="21"/>
        </w:rPr>
        <w:t xml:space="preserve"> </w:t>
      </w:r>
      <w:r>
        <w:rPr>
          <w:rFonts w:ascii="宋体" w:hAnsi="宋体" w:eastAsia="宋体" w:cs="宋体"/>
          <w:spacing w:val="-2"/>
          <w:sz w:val="21"/>
          <w:szCs w:val="21"/>
        </w:rPr>
        <w:t>万元，施工员、安全员、</w:t>
      </w:r>
      <w:r>
        <w:rPr>
          <w:rFonts w:ascii="宋体" w:hAnsi="宋体" w:eastAsia="宋体" w:cs="宋体"/>
          <w:spacing w:val="-3"/>
          <w:sz w:val="21"/>
          <w:szCs w:val="21"/>
        </w:rPr>
        <w:t>质量员各增加1人， 并按</w:t>
      </w:r>
      <w:r>
        <w:rPr>
          <w:rFonts w:ascii="宋体" w:hAnsi="宋体" w:eastAsia="宋体" w:cs="宋体"/>
          <w:sz w:val="21"/>
          <w:szCs w:val="21"/>
        </w:rPr>
        <w:t xml:space="preserve"> </w:t>
      </w:r>
      <w:r>
        <w:rPr>
          <w:rFonts w:ascii="宋体" w:hAnsi="宋体" w:eastAsia="宋体" w:cs="宋体"/>
          <w:spacing w:val="-7"/>
          <w:sz w:val="21"/>
          <w:szCs w:val="21"/>
        </w:rPr>
        <w:t>5000 万、</w:t>
      </w:r>
      <w:r>
        <w:rPr>
          <w:rFonts w:ascii="宋体" w:hAnsi="宋体" w:eastAsia="宋体" w:cs="宋体"/>
          <w:spacing w:val="-36"/>
          <w:sz w:val="21"/>
          <w:szCs w:val="21"/>
        </w:rPr>
        <w:t xml:space="preserve"> </w:t>
      </w:r>
      <w:r>
        <w:rPr>
          <w:rFonts w:ascii="宋体" w:hAnsi="宋体" w:eastAsia="宋体" w:cs="宋体"/>
          <w:spacing w:val="-7"/>
          <w:sz w:val="21"/>
          <w:szCs w:val="21"/>
        </w:rPr>
        <w:t>8000 万、 1.3</w:t>
      </w:r>
      <w:r>
        <w:rPr>
          <w:rFonts w:ascii="宋体" w:hAnsi="宋体" w:eastAsia="宋体" w:cs="宋体"/>
          <w:spacing w:val="-21"/>
          <w:sz w:val="21"/>
          <w:szCs w:val="21"/>
        </w:rPr>
        <w:t xml:space="preserve"> </w:t>
      </w:r>
      <w:r>
        <w:rPr>
          <w:rFonts w:ascii="宋体" w:hAnsi="宋体" w:eastAsia="宋体" w:cs="宋体"/>
          <w:spacing w:val="-7"/>
          <w:sz w:val="21"/>
          <w:szCs w:val="21"/>
        </w:rPr>
        <w:t>亿等相邻数据相加的类推方式确定步距计算增加</w:t>
      </w:r>
      <w:r>
        <w:rPr>
          <w:rFonts w:ascii="宋体" w:hAnsi="宋体" w:eastAsia="宋体" w:cs="宋体"/>
          <w:spacing w:val="-8"/>
          <w:sz w:val="21"/>
          <w:szCs w:val="21"/>
        </w:rPr>
        <w:t>关键岗位人员，</w:t>
      </w:r>
      <w:r>
        <w:rPr>
          <w:rFonts w:ascii="宋体" w:hAnsi="宋体" w:eastAsia="宋体" w:cs="宋体"/>
          <w:spacing w:val="-22"/>
          <w:sz w:val="21"/>
          <w:szCs w:val="21"/>
        </w:rPr>
        <w:t xml:space="preserve"> </w:t>
      </w:r>
      <w:r>
        <w:rPr>
          <w:rFonts w:ascii="宋体" w:hAnsi="宋体" w:eastAsia="宋体" w:cs="宋体"/>
          <w:spacing w:val="-8"/>
          <w:sz w:val="21"/>
          <w:szCs w:val="21"/>
        </w:rPr>
        <w:t>每</w:t>
      </w:r>
    </w:p>
    <w:p>
      <w:pPr>
        <w:spacing w:line="220" w:lineRule="auto"/>
        <w:ind w:left="816"/>
        <w:rPr>
          <w:rFonts w:ascii="宋体" w:hAnsi="宋体" w:eastAsia="宋体" w:cs="宋体"/>
          <w:sz w:val="21"/>
          <w:szCs w:val="21"/>
        </w:rPr>
      </w:pPr>
      <w:r>
        <w:rPr>
          <w:rFonts w:ascii="宋体" w:hAnsi="宋体" w:eastAsia="宋体" w:cs="宋体"/>
          <w:spacing w:val="-4"/>
          <w:sz w:val="21"/>
          <w:szCs w:val="21"/>
        </w:rPr>
        <w:t>步距各增加</w:t>
      </w:r>
      <w:r>
        <w:rPr>
          <w:rFonts w:ascii="宋体" w:hAnsi="宋体" w:eastAsia="宋体" w:cs="宋体"/>
          <w:spacing w:val="-17"/>
          <w:sz w:val="21"/>
          <w:szCs w:val="21"/>
        </w:rPr>
        <w:t xml:space="preserve"> </w:t>
      </w:r>
      <w:r>
        <w:rPr>
          <w:rFonts w:ascii="宋体" w:hAnsi="宋体" w:eastAsia="宋体" w:cs="宋体"/>
          <w:spacing w:val="-4"/>
          <w:sz w:val="21"/>
          <w:szCs w:val="21"/>
        </w:rPr>
        <w:t>1</w:t>
      </w:r>
      <w:r>
        <w:rPr>
          <w:rFonts w:ascii="宋体" w:hAnsi="宋体" w:eastAsia="宋体" w:cs="宋体"/>
          <w:spacing w:val="-42"/>
          <w:sz w:val="21"/>
          <w:szCs w:val="21"/>
        </w:rPr>
        <w:t xml:space="preserve"> </w:t>
      </w:r>
      <w:r>
        <w:rPr>
          <w:rFonts w:ascii="宋体" w:hAnsi="宋体" w:eastAsia="宋体" w:cs="宋体"/>
          <w:spacing w:val="-4"/>
          <w:sz w:val="21"/>
          <w:szCs w:val="21"/>
        </w:rPr>
        <w:t>人，超过</w:t>
      </w:r>
      <w:r>
        <w:rPr>
          <w:rFonts w:ascii="宋体" w:hAnsi="宋体" w:eastAsia="宋体" w:cs="宋体"/>
          <w:spacing w:val="-40"/>
          <w:sz w:val="21"/>
          <w:szCs w:val="21"/>
        </w:rPr>
        <w:t xml:space="preserve"> </w:t>
      </w:r>
      <w:r>
        <w:rPr>
          <w:rFonts w:ascii="宋体" w:hAnsi="宋体" w:eastAsia="宋体" w:cs="宋体"/>
          <w:spacing w:val="-4"/>
          <w:sz w:val="21"/>
          <w:szCs w:val="21"/>
        </w:rPr>
        <w:t>50%按一个步距计算。</w:t>
      </w:r>
    </w:p>
    <w:p>
      <w:pPr>
        <w:spacing w:before="190" w:line="439" w:lineRule="exact"/>
        <w:ind w:left="1236"/>
        <w:rPr>
          <w:rFonts w:ascii="宋体" w:hAnsi="宋体" w:eastAsia="宋体" w:cs="宋体"/>
          <w:sz w:val="21"/>
          <w:szCs w:val="21"/>
        </w:rPr>
      </w:pPr>
      <w:r>
        <w:rPr>
          <w:rFonts w:ascii="宋体" w:hAnsi="宋体" w:eastAsia="宋体" w:cs="宋体"/>
          <w:position w:val="17"/>
          <w:sz w:val="21"/>
          <w:szCs w:val="21"/>
        </w:rPr>
        <w:t>2.小计为项目班子关岗位人员配备数量，表中所列人员配备数量为总承包项目部人员，</w:t>
      </w:r>
    </w:p>
    <w:p>
      <w:pPr>
        <w:spacing w:before="1" w:line="219" w:lineRule="auto"/>
        <w:ind w:left="817"/>
        <w:rPr>
          <w:rFonts w:ascii="宋体" w:hAnsi="宋体" w:eastAsia="宋体" w:cs="宋体"/>
          <w:sz w:val="21"/>
          <w:szCs w:val="21"/>
        </w:rPr>
      </w:pPr>
      <w:r>
        <w:rPr>
          <w:rFonts w:ascii="宋体" w:hAnsi="宋体" w:eastAsia="宋体" w:cs="宋体"/>
          <w:spacing w:val="-1"/>
          <w:sz w:val="21"/>
          <w:szCs w:val="21"/>
        </w:rPr>
        <w:t>兼任的岗位用☆表示，兼职人员应具有兼任岗位的岗位资格证书。</w:t>
      </w:r>
    </w:p>
    <w:p>
      <w:pPr>
        <w:spacing w:before="189" w:line="442" w:lineRule="exact"/>
        <w:ind w:left="1237"/>
        <w:rPr>
          <w:rFonts w:ascii="宋体" w:hAnsi="宋体" w:eastAsia="宋体" w:cs="宋体"/>
          <w:sz w:val="21"/>
          <w:szCs w:val="21"/>
        </w:rPr>
      </w:pPr>
      <w:r>
        <w:rPr>
          <w:rFonts w:ascii="宋体" w:hAnsi="宋体" w:eastAsia="宋体" w:cs="宋体"/>
          <w:spacing w:val="-3"/>
          <w:position w:val="17"/>
          <w:sz w:val="21"/>
          <w:szCs w:val="21"/>
        </w:rPr>
        <w:t>3.此标准为关键岗位人员最低配备标准。当安全员为</w:t>
      </w:r>
      <w:r>
        <w:rPr>
          <w:rFonts w:ascii="宋体" w:hAnsi="宋体" w:eastAsia="宋体" w:cs="宋体"/>
          <w:spacing w:val="-41"/>
          <w:position w:val="17"/>
          <w:sz w:val="21"/>
          <w:szCs w:val="21"/>
        </w:rPr>
        <w:t xml:space="preserve"> </w:t>
      </w:r>
      <w:r>
        <w:rPr>
          <w:rFonts w:ascii="宋体" w:hAnsi="宋体" w:eastAsia="宋体" w:cs="宋体"/>
          <w:spacing w:val="-3"/>
          <w:position w:val="17"/>
          <w:sz w:val="21"/>
          <w:szCs w:val="21"/>
        </w:rPr>
        <w:t>2</w:t>
      </w:r>
      <w:r>
        <w:rPr>
          <w:rFonts w:ascii="宋体" w:hAnsi="宋体" w:eastAsia="宋体" w:cs="宋体"/>
          <w:spacing w:val="-42"/>
          <w:position w:val="17"/>
          <w:sz w:val="21"/>
          <w:szCs w:val="21"/>
        </w:rPr>
        <w:t xml:space="preserve"> </w:t>
      </w:r>
      <w:r>
        <w:rPr>
          <w:rFonts w:ascii="宋体" w:hAnsi="宋体" w:eastAsia="宋体" w:cs="宋体"/>
          <w:spacing w:val="-3"/>
          <w:position w:val="17"/>
          <w:sz w:val="21"/>
          <w:szCs w:val="21"/>
        </w:rPr>
        <w:t>人及以上时，其中</w:t>
      </w:r>
      <w:r>
        <w:rPr>
          <w:rFonts w:ascii="宋体" w:hAnsi="宋体" w:eastAsia="宋体" w:cs="宋体"/>
          <w:spacing w:val="-4"/>
          <w:position w:val="17"/>
          <w:sz w:val="21"/>
          <w:szCs w:val="21"/>
        </w:rPr>
        <w:t>一名安全员参</w:t>
      </w:r>
    </w:p>
    <w:p>
      <w:pPr>
        <w:spacing w:before="1" w:line="219" w:lineRule="auto"/>
        <w:ind w:left="817"/>
        <w:rPr>
          <w:rFonts w:ascii="宋体" w:hAnsi="宋体" w:eastAsia="宋体" w:cs="宋体"/>
          <w:sz w:val="21"/>
          <w:szCs w:val="21"/>
        </w:rPr>
      </w:pPr>
      <w:r>
        <w:rPr>
          <w:rFonts w:ascii="宋体" w:hAnsi="宋体" w:eastAsia="宋体" w:cs="宋体"/>
          <w:spacing w:val="-3"/>
          <w:sz w:val="21"/>
          <w:szCs w:val="21"/>
        </w:rPr>
        <w:t>与机械起重设备安全管理；安全员为</w:t>
      </w:r>
      <w:r>
        <w:rPr>
          <w:rFonts w:ascii="宋体" w:hAnsi="宋体" w:eastAsia="宋体" w:cs="宋体"/>
          <w:spacing w:val="-28"/>
          <w:sz w:val="21"/>
          <w:szCs w:val="21"/>
        </w:rPr>
        <w:t xml:space="preserve"> </w:t>
      </w:r>
      <w:r>
        <w:rPr>
          <w:rFonts w:ascii="宋体" w:hAnsi="宋体" w:eastAsia="宋体" w:cs="宋体"/>
          <w:spacing w:val="-3"/>
          <w:sz w:val="21"/>
          <w:szCs w:val="21"/>
        </w:rPr>
        <w:t>1</w:t>
      </w:r>
      <w:r>
        <w:rPr>
          <w:rFonts w:ascii="宋体" w:hAnsi="宋体" w:eastAsia="宋体" w:cs="宋体"/>
          <w:spacing w:val="-42"/>
          <w:sz w:val="21"/>
          <w:szCs w:val="21"/>
        </w:rPr>
        <w:t xml:space="preserve"> </w:t>
      </w:r>
      <w:r>
        <w:rPr>
          <w:rFonts w:ascii="宋体" w:hAnsi="宋体" w:eastAsia="宋体" w:cs="宋体"/>
          <w:spacing w:val="-3"/>
          <w:sz w:val="21"/>
          <w:szCs w:val="21"/>
        </w:rPr>
        <w:t>人时，</w:t>
      </w:r>
      <w:r>
        <w:rPr>
          <w:rFonts w:ascii="宋体" w:hAnsi="宋体" w:eastAsia="宋体" w:cs="宋体"/>
          <w:spacing w:val="-20"/>
          <w:sz w:val="21"/>
          <w:szCs w:val="21"/>
        </w:rPr>
        <w:t xml:space="preserve"> </w:t>
      </w:r>
      <w:r>
        <w:rPr>
          <w:rFonts w:ascii="宋体" w:hAnsi="宋体" w:eastAsia="宋体" w:cs="宋体"/>
          <w:spacing w:val="-3"/>
          <w:sz w:val="21"/>
          <w:szCs w:val="21"/>
        </w:rPr>
        <w:t>企业</w:t>
      </w:r>
      <w:r>
        <w:rPr>
          <w:rFonts w:ascii="宋体" w:hAnsi="宋体" w:eastAsia="宋体" w:cs="宋体"/>
          <w:spacing w:val="-4"/>
          <w:sz w:val="21"/>
          <w:szCs w:val="21"/>
        </w:rPr>
        <w:t>须配备专职或兼职机械管理人员。</w:t>
      </w:r>
    </w:p>
    <w:p>
      <w:pPr>
        <w:spacing w:before="189" w:line="439" w:lineRule="exact"/>
        <w:ind w:left="1232"/>
        <w:rPr>
          <w:rFonts w:ascii="宋体" w:hAnsi="宋体" w:eastAsia="宋体" w:cs="宋体"/>
          <w:sz w:val="21"/>
          <w:szCs w:val="21"/>
        </w:rPr>
      </w:pPr>
      <w:r>
        <w:rPr>
          <w:rFonts w:ascii="宋体" w:hAnsi="宋体" w:eastAsia="宋体" w:cs="宋体"/>
          <w:spacing w:val="-2"/>
          <w:position w:val="17"/>
          <w:sz w:val="21"/>
          <w:szCs w:val="21"/>
        </w:rPr>
        <w:t>4.对于复杂的综合性工程以及工期较紧、多</w:t>
      </w:r>
      <w:r>
        <w:rPr>
          <w:rFonts w:ascii="宋体" w:hAnsi="宋体" w:eastAsia="宋体" w:cs="宋体"/>
          <w:spacing w:val="-3"/>
          <w:position w:val="17"/>
          <w:sz w:val="21"/>
          <w:szCs w:val="21"/>
        </w:rPr>
        <w:t>班施工作业的工程，在以上配备标准基础上</w:t>
      </w:r>
    </w:p>
    <w:p>
      <w:pPr>
        <w:spacing w:before="1" w:line="220" w:lineRule="auto"/>
        <w:ind w:left="813"/>
        <w:rPr>
          <w:rFonts w:ascii="宋体" w:hAnsi="宋体" w:eastAsia="宋体" w:cs="宋体"/>
          <w:sz w:val="21"/>
          <w:szCs w:val="21"/>
        </w:rPr>
      </w:pPr>
      <w:r>
        <w:rPr>
          <w:rFonts w:ascii="宋体" w:hAnsi="宋体" w:eastAsia="宋体" w:cs="宋体"/>
          <w:spacing w:val="-6"/>
          <w:sz w:val="21"/>
          <w:szCs w:val="21"/>
        </w:rPr>
        <w:t>应适当增加施工员、质量员、</w:t>
      </w:r>
      <w:r>
        <w:rPr>
          <w:rFonts w:ascii="宋体" w:hAnsi="宋体" w:eastAsia="宋体" w:cs="宋体"/>
          <w:spacing w:val="93"/>
          <w:sz w:val="21"/>
          <w:szCs w:val="21"/>
        </w:rPr>
        <w:t xml:space="preserve"> </w:t>
      </w:r>
      <w:r>
        <w:rPr>
          <w:rFonts w:ascii="宋体" w:hAnsi="宋体" w:eastAsia="宋体" w:cs="宋体"/>
          <w:spacing w:val="-6"/>
          <w:sz w:val="21"/>
          <w:szCs w:val="21"/>
        </w:rPr>
        <w:t>安全员人数。</w:t>
      </w:r>
    </w:p>
    <w:p>
      <w:pPr>
        <w:spacing w:before="190" w:line="221" w:lineRule="auto"/>
        <w:ind w:left="1237"/>
        <w:rPr>
          <w:rFonts w:ascii="宋体" w:hAnsi="宋体" w:eastAsia="宋体" w:cs="宋体"/>
          <w:sz w:val="21"/>
          <w:szCs w:val="21"/>
        </w:rPr>
      </w:pPr>
      <w:r>
        <w:rPr>
          <w:rFonts w:ascii="宋体" w:hAnsi="宋体" w:eastAsia="宋体" w:cs="宋体"/>
          <w:spacing w:val="-1"/>
          <w:sz w:val="21"/>
          <w:szCs w:val="21"/>
        </w:rPr>
        <w:t>5.施工项目部其他岗位人员由投标单位自主配备。</w:t>
      </w:r>
    </w:p>
    <w:p>
      <w:pPr>
        <w:spacing w:before="188" w:line="220" w:lineRule="auto"/>
        <w:ind w:left="1235"/>
        <w:rPr>
          <w:rFonts w:ascii="宋体" w:hAnsi="宋体" w:eastAsia="宋体" w:cs="宋体"/>
          <w:sz w:val="21"/>
          <w:szCs w:val="21"/>
        </w:rPr>
      </w:pPr>
      <w:r>
        <w:rPr>
          <w:rFonts w:ascii="宋体" w:hAnsi="宋体" w:eastAsia="宋体" w:cs="宋体"/>
          <w:sz w:val="21"/>
          <w:szCs w:val="21"/>
        </w:rPr>
        <w:t>6.岗位资格证书应当以建设行政主管部门颁发的</w:t>
      </w:r>
      <w:r>
        <w:rPr>
          <w:rFonts w:ascii="宋体" w:hAnsi="宋体" w:eastAsia="宋体" w:cs="宋体"/>
          <w:spacing w:val="-1"/>
          <w:sz w:val="21"/>
          <w:szCs w:val="21"/>
        </w:rPr>
        <w:t>证书为准。</w:t>
      </w:r>
    </w:p>
    <w:p>
      <w:pPr>
        <w:spacing w:before="189" w:line="220" w:lineRule="auto"/>
        <w:ind w:left="1238"/>
        <w:rPr>
          <w:rFonts w:ascii="宋体" w:hAnsi="宋体" w:eastAsia="宋体" w:cs="宋体"/>
          <w:sz w:val="21"/>
          <w:szCs w:val="21"/>
        </w:rPr>
      </w:pPr>
      <w:r>
        <w:rPr>
          <w:rFonts w:ascii="宋体" w:hAnsi="宋体" w:eastAsia="宋体" w:cs="宋体"/>
          <w:spacing w:val="-3"/>
          <w:sz w:val="21"/>
          <w:szCs w:val="21"/>
        </w:rPr>
        <w:t>7.绿化种植工程专业招标时，拟派项目负责人应具有在本省行政区域内承担过招标项目</w:t>
      </w:r>
    </w:p>
    <w:p>
      <w:pPr>
        <w:spacing w:before="191" w:line="221" w:lineRule="auto"/>
        <w:ind w:left="813"/>
        <w:rPr>
          <w:rFonts w:ascii="宋体" w:hAnsi="宋体" w:eastAsia="宋体" w:cs="宋体"/>
          <w:sz w:val="21"/>
          <w:szCs w:val="21"/>
        </w:rPr>
      </w:pPr>
      <w:r>
        <w:rPr>
          <w:rFonts w:ascii="宋体" w:hAnsi="宋体" w:eastAsia="宋体" w:cs="宋体"/>
          <w:spacing w:val="-3"/>
          <w:sz w:val="21"/>
          <w:szCs w:val="21"/>
        </w:rPr>
        <w:t>类似工程业绩。</w:t>
      </w:r>
    </w:p>
    <w:p>
      <w:pPr>
        <w:spacing w:before="69" w:line="220" w:lineRule="auto"/>
        <w:ind w:left="817"/>
        <w:rPr>
          <w:rFonts w:ascii="宋体" w:hAnsi="宋体" w:eastAsia="宋体" w:cs="宋体"/>
          <w:sz w:val="21"/>
          <w:szCs w:val="21"/>
        </w:rPr>
      </w:pPr>
      <w:r>
        <w:rPr>
          <w:rFonts w:ascii="宋体" w:hAnsi="宋体" w:eastAsia="宋体" w:cs="宋体"/>
          <w:spacing w:val="-1"/>
          <w:sz w:val="21"/>
          <w:szCs w:val="21"/>
        </w:rPr>
        <w:t>二、本项目项目管理机构主要人员数量配备标准</w:t>
      </w:r>
    </w:p>
    <w:p>
      <w:pPr>
        <w:spacing w:line="110" w:lineRule="auto"/>
        <w:rPr>
          <w:rFonts w:ascii="Arial"/>
          <w:sz w:val="2"/>
        </w:rPr>
      </w:pPr>
    </w:p>
    <w:tbl>
      <w:tblPr>
        <w:tblStyle w:val="96"/>
        <w:tblW w:w="8302" w:type="dxa"/>
        <w:tblInd w:w="8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7"/>
        <w:gridCol w:w="924"/>
        <w:gridCol w:w="942"/>
        <w:gridCol w:w="775"/>
        <w:gridCol w:w="777"/>
        <w:gridCol w:w="777"/>
        <w:gridCol w:w="679"/>
        <w:gridCol w:w="444"/>
        <w:gridCol w:w="778"/>
        <w:gridCol w:w="77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6" w:hRule="atLeast"/>
        </w:trPr>
        <w:tc>
          <w:tcPr>
            <w:tcW w:w="1427" w:type="dxa"/>
            <w:vAlign w:val="top"/>
          </w:tcPr>
          <w:p>
            <w:pPr>
              <w:rPr>
                <w:rFonts w:ascii="Arial"/>
                <w:sz w:val="21"/>
              </w:rPr>
            </w:pPr>
          </w:p>
        </w:tc>
        <w:tc>
          <w:tcPr>
            <w:tcW w:w="6875" w:type="dxa"/>
            <w:gridSpan w:val="9"/>
            <w:vAlign w:val="top"/>
          </w:tcPr>
          <w:p>
            <w:pPr>
              <w:pStyle w:val="95"/>
              <w:spacing w:before="55" w:line="220" w:lineRule="auto"/>
              <w:ind w:left="1016"/>
              <w:rPr>
                <w:sz w:val="21"/>
                <w:szCs w:val="21"/>
              </w:rPr>
            </w:pPr>
            <w:r>
              <w:rPr>
                <w:b/>
                <w:bCs/>
                <w:spacing w:val="-2"/>
                <w:sz w:val="21"/>
                <w:szCs w:val="21"/>
              </w:rPr>
              <w:t>本项目建筑工程承包单位现场关键岗位人员配备标准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925" w:hRule="atLeast"/>
        </w:trPr>
        <w:tc>
          <w:tcPr>
            <w:tcW w:w="1427" w:type="dxa"/>
            <w:vAlign w:val="top"/>
          </w:tcPr>
          <w:p>
            <w:pPr>
              <w:spacing w:line="314" w:lineRule="auto"/>
              <w:rPr>
                <w:rFonts w:ascii="Arial"/>
                <w:sz w:val="21"/>
              </w:rPr>
            </w:pPr>
          </w:p>
          <w:p>
            <w:pPr>
              <w:spacing w:line="314" w:lineRule="auto"/>
              <w:rPr>
                <w:rFonts w:ascii="Arial"/>
                <w:sz w:val="21"/>
              </w:rPr>
            </w:pPr>
          </w:p>
          <w:p>
            <w:pPr>
              <w:pStyle w:val="95"/>
              <w:spacing w:before="69" w:line="248" w:lineRule="auto"/>
              <w:ind w:left="612" w:right="183" w:hanging="418"/>
              <w:rPr>
                <w:sz w:val="21"/>
                <w:szCs w:val="21"/>
              </w:rPr>
            </w:pPr>
            <w:r>
              <w:rPr>
                <w:spacing w:val="-2"/>
                <w:sz w:val="21"/>
                <w:szCs w:val="21"/>
              </w:rPr>
              <w:t>主要管理岗</w:t>
            </w:r>
            <w:r>
              <w:rPr>
                <w:spacing w:val="2"/>
                <w:sz w:val="21"/>
                <w:szCs w:val="21"/>
              </w:rPr>
              <w:t xml:space="preserve"> </w:t>
            </w:r>
            <w:r>
              <w:rPr>
                <w:sz w:val="21"/>
                <w:szCs w:val="21"/>
              </w:rPr>
              <w:t>位</w:t>
            </w:r>
          </w:p>
        </w:tc>
        <w:tc>
          <w:tcPr>
            <w:tcW w:w="924" w:type="dxa"/>
            <w:textDirection w:val="tbRlV"/>
            <w:vAlign w:val="top"/>
          </w:tcPr>
          <w:p>
            <w:pPr>
              <w:spacing w:line="278" w:lineRule="auto"/>
              <w:rPr>
                <w:rFonts w:ascii="Arial"/>
                <w:sz w:val="21"/>
              </w:rPr>
            </w:pPr>
          </w:p>
          <w:p>
            <w:pPr>
              <w:pStyle w:val="95"/>
              <w:spacing w:before="70" w:line="207" w:lineRule="auto"/>
              <w:ind w:left="59"/>
              <w:rPr>
                <w:sz w:val="21"/>
                <w:szCs w:val="21"/>
              </w:rPr>
            </w:pPr>
            <w:r>
              <w:rPr>
                <w:spacing w:val="1"/>
                <w:sz w:val="21"/>
                <w:szCs w:val="21"/>
              </w:rPr>
              <w:t>项</w:t>
            </w:r>
            <w:r>
              <w:rPr>
                <w:spacing w:val="-16"/>
                <w:sz w:val="21"/>
                <w:szCs w:val="21"/>
              </w:rPr>
              <w:t xml:space="preserve"> </w:t>
            </w:r>
            <w:r>
              <w:rPr>
                <w:spacing w:val="1"/>
                <w:sz w:val="21"/>
                <w:szCs w:val="21"/>
              </w:rPr>
              <w:t>目</w:t>
            </w:r>
            <w:r>
              <w:rPr>
                <w:spacing w:val="-16"/>
                <w:sz w:val="21"/>
                <w:szCs w:val="21"/>
              </w:rPr>
              <w:t xml:space="preserve"> </w:t>
            </w:r>
            <w:r>
              <w:rPr>
                <w:spacing w:val="1"/>
                <w:sz w:val="21"/>
                <w:szCs w:val="21"/>
              </w:rPr>
              <w:t>负</w:t>
            </w:r>
            <w:r>
              <w:rPr>
                <w:spacing w:val="-17"/>
                <w:sz w:val="21"/>
                <w:szCs w:val="21"/>
              </w:rPr>
              <w:t xml:space="preserve"> </w:t>
            </w:r>
            <w:r>
              <w:rPr>
                <w:spacing w:val="1"/>
                <w:sz w:val="21"/>
                <w:szCs w:val="21"/>
              </w:rPr>
              <w:t>责</w:t>
            </w:r>
            <w:r>
              <w:rPr>
                <w:spacing w:val="-16"/>
                <w:sz w:val="21"/>
                <w:szCs w:val="21"/>
              </w:rPr>
              <w:t xml:space="preserve"> </w:t>
            </w:r>
            <w:r>
              <w:rPr>
                <w:spacing w:val="1"/>
                <w:sz w:val="21"/>
                <w:szCs w:val="21"/>
              </w:rPr>
              <w:t>人</w:t>
            </w:r>
          </w:p>
        </w:tc>
        <w:tc>
          <w:tcPr>
            <w:tcW w:w="942" w:type="dxa"/>
            <w:textDirection w:val="tbRlV"/>
            <w:vAlign w:val="top"/>
          </w:tcPr>
          <w:p>
            <w:pPr>
              <w:spacing w:line="285" w:lineRule="auto"/>
              <w:rPr>
                <w:rFonts w:ascii="Arial"/>
                <w:sz w:val="21"/>
              </w:rPr>
            </w:pPr>
          </w:p>
          <w:p>
            <w:pPr>
              <w:pStyle w:val="95"/>
              <w:spacing w:before="70" w:line="208" w:lineRule="auto"/>
              <w:ind w:left="59"/>
              <w:rPr>
                <w:sz w:val="21"/>
                <w:szCs w:val="21"/>
              </w:rPr>
            </w:pPr>
            <w:r>
              <w:rPr>
                <w:spacing w:val="1"/>
                <w:sz w:val="21"/>
                <w:szCs w:val="21"/>
              </w:rPr>
              <w:t>技</w:t>
            </w:r>
            <w:r>
              <w:rPr>
                <w:spacing w:val="-16"/>
                <w:sz w:val="21"/>
                <w:szCs w:val="21"/>
              </w:rPr>
              <w:t xml:space="preserve"> </w:t>
            </w:r>
            <w:r>
              <w:rPr>
                <w:spacing w:val="1"/>
                <w:sz w:val="21"/>
                <w:szCs w:val="21"/>
              </w:rPr>
              <w:t>术</w:t>
            </w:r>
            <w:r>
              <w:rPr>
                <w:spacing w:val="-16"/>
                <w:sz w:val="21"/>
                <w:szCs w:val="21"/>
              </w:rPr>
              <w:t xml:space="preserve"> </w:t>
            </w:r>
            <w:r>
              <w:rPr>
                <w:spacing w:val="1"/>
                <w:sz w:val="21"/>
                <w:szCs w:val="21"/>
              </w:rPr>
              <w:t>负</w:t>
            </w:r>
            <w:r>
              <w:rPr>
                <w:spacing w:val="-17"/>
                <w:sz w:val="21"/>
                <w:szCs w:val="21"/>
              </w:rPr>
              <w:t xml:space="preserve"> </w:t>
            </w:r>
            <w:r>
              <w:rPr>
                <w:spacing w:val="1"/>
                <w:sz w:val="21"/>
                <w:szCs w:val="21"/>
              </w:rPr>
              <w:t>责</w:t>
            </w:r>
            <w:r>
              <w:rPr>
                <w:spacing w:val="-16"/>
                <w:sz w:val="21"/>
                <w:szCs w:val="21"/>
              </w:rPr>
              <w:t xml:space="preserve"> </w:t>
            </w:r>
            <w:r>
              <w:rPr>
                <w:spacing w:val="1"/>
                <w:sz w:val="21"/>
                <w:szCs w:val="21"/>
              </w:rPr>
              <w:t>人</w:t>
            </w:r>
          </w:p>
        </w:tc>
        <w:tc>
          <w:tcPr>
            <w:tcW w:w="775" w:type="dxa"/>
            <w:textDirection w:val="tbRlV"/>
            <w:vAlign w:val="top"/>
          </w:tcPr>
          <w:p>
            <w:pPr>
              <w:pStyle w:val="95"/>
              <w:spacing w:before="280" w:line="211" w:lineRule="auto"/>
              <w:ind w:left="59"/>
              <w:rPr>
                <w:sz w:val="21"/>
                <w:szCs w:val="21"/>
              </w:rPr>
            </w:pPr>
            <w:r>
              <w:rPr>
                <w:spacing w:val="1"/>
                <w:sz w:val="21"/>
                <w:szCs w:val="21"/>
              </w:rPr>
              <w:t>施</w:t>
            </w:r>
            <w:r>
              <w:rPr>
                <w:spacing w:val="-16"/>
                <w:sz w:val="21"/>
                <w:szCs w:val="21"/>
              </w:rPr>
              <w:t xml:space="preserve"> </w:t>
            </w:r>
            <w:r>
              <w:rPr>
                <w:spacing w:val="1"/>
                <w:sz w:val="21"/>
                <w:szCs w:val="21"/>
              </w:rPr>
              <w:t>工</w:t>
            </w:r>
            <w:r>
              <w:rPr>
                <w:spacing w:val="-17"/>
                <w:sz w:val="21"/>
                <w:szCs w:val="21"/>
              </w:rPr>
              <w:t xml:space="preserve"> </w:t>
            </w:r>
            <w:r>
              <w:rPr>
                <w:spacing w:val="1"/>
                <w:sz w:val="21"/>
                <w:szCs w:val="21"/>
              </w:rPr>
              <w:t>员</w:t>
            </w:r>
          </w:p>
        </w:tc>
        <w:tc>
          <w:tcPr>
            <w:tcW w:w="777" w:type="dxa"/>
            <w:textDirection w:val="tbRlV"/>
            <w:vAlign w:val="top"/>
          </w:tcPr>
          <w:p>
            <w:pPr>
              <w:pStyle w:val="95"/>
              <w:spacing w:before="279" w:line="210" w:lineRule="auto"/>
              <w:ind w:left="59"/>
              <w:rPr>
                <w:sz w:val="21"/>
                <w:szCs w:val="21"/>
              </w:rPr>
            </w:pPr>
            <w:r>
              <w:rPr>
                <w:spacing w:val="1"/>
                <w:sz w:val="21"/>
                <w:szCs w:val="21"/>
              </w:rPr>
              <w:t>安</w:t>
            </w:r>
            <w:r>
              <w:rPr>
                <w:spacing w:val="-16"/>
                <w:sz w:val="21"/>
                <w:szCs w:val="21"/>
              </w:rPr>
              <w:t xml:space="preserve"> </w:t>
            </w:r>
            <w:r>
              <w:rPr>
                <w:spacing w:val="1"/>
                <w:sz w:val="21"/>
                <w:szCs w:val="21"/>
              </w:rPr>
              <w:t>全</w:t>
            </w:r>
            <w:r>
              <w:rPr>
                <w:spacing w:val="-17"/>
                <w:sz w:val="21"/>
                <w:szCs w:val="21"/>
              </w:rPr>
              <w:t xml:space="preserve"> </w:t>
            </w:r>
            <w:r>
              <w:rPr>
                <w:spacing w:val="1"/>
                <w:sz w:val="21"/>
                <w:szCs w:val="21"/>
              </w:rPr>
              <w:t>员</w:t>
            </w:r>
          </w:p>
        </w:tc>
        <w:tc>
          <w:tcPr>
            <w:tcW w:w="777" w:type="dxa"/>
            <w:textDirection w:val="tbRlV"/>
            <w:vAlign w:val="top"/>
          </w:tcPr>
          <w:p>
            <w:pPr>
              <w:pStyle w:val="95"/>
              <w:spacing w:before="279" w:line="209" w:lineRule="auto"/>
              <w:ind w:left="59"/>
              <w:rPr>
                <w:sz w:val="21"/>
                <w:szCs w:val="21"/>
              </w:rPr>
            </w:pPr>
            <w:r>
              <w:rPr>
                <w:spacing w:val="1"/>
                <w:sz w:val="21"/>
                <w:szCs w:val="21"/>
              </w:rPr>
              <w:t>质</w:t>
            </w:r>
            <w:r>
              <w:rPr>
                <w:spacing w:val="-16"/>
                <w:sz w:val="21"/>
                <w:szCs w:val="21"/>
              </w:rPr>
              <w:t xml:space="preserve"> </w:t>
            </w:r>
            <w:r>
              <w:rPr>
                <w:spacing w:val="1"/>
                <w:sz w:val="21"/>
                <w:szCs w:val="21"/>
              </w:rPr>
              <w:t>量</w:t>
            </w:r>
            <w:r>
              <w:rPr>
                <w:spacing w:val="-17"/>
                <w:sz w:val="21"/>
                <w:szCs w:val="21"/>
              </w:rPr>
              <w:t xml:space="preserve"> </w:t>
            </w:r>
            <w:r>
              <w:rPr>
                <w:spacing w:val="1"/>
                <w:sz w:val="21"/>
                <w:szCs w:val="21"/>
              </w:rPr>
              <w:t>员</w:t>
            </w:r>
          </w:p>
        </w:tc>
        <w:tc>
          <w:tcPr>
            <w:tcW w:w="679" w:type="dxa"/>
            <w:textDirection w:val="tbRlV"/>
            <w:vAlign w:val="top"/>
          </w:tcPr>
          <w:p>
            <w:pPr>
              <w:pStyle w:val="95"/>
              <w:spacing w:before="231" w:line="209" w:lineRule="auto"/>
              <w:ind w:left="59"/>
              <w:rPr>
                <w:sz w:val="21"/>
                <w:szCs w:val="21"/>
              </w:rPr>
            </w:pPr>
            <w:r>
              <w:rPr>
                <w:spacing w:val="1"/>
                <w:sz w:val="21"/>
                <w:szCs w:val="21"/>
              </w:rPr>
              <w:t>资</w:t>
            </w:r>
            <w:r>
              <w:rPr>
                <w:spacing w:val="-16"/>
                <w:sz w:val="21"/>
                <w:szCs w:val="21"/>
              </w:rPr>
              <w:t xml:space="preserve"> </w:t>
            </w:r>
            <w:r>
              <w:rPr>
                <w:spacing w:val="1"/>
                <w:sz w:val="21"/>
                <w:szCs w:val="21"/>
              </w:rPr>
              <w:t>料</w:t>
            </w:r>
            <w:r>
              <w:rPr>
                <w:spacing w:val="-17"/>
                <w:sz w:val="21"/>
                <w:szCs w:val="21"/>
              </w:rPr>
              <w:t xml:space="preserve"> </w:t>
            </w:r>
            <w:r>
              <w:rPr>
                <w:spacing w:val="1"/>
                <w:sz w:val="21"/>
                <w:szCs w:val="21"/>
              </w:rPr>
              <w:t>员</w:t>
            </w:r>
          </w:p>
        </w:tc>
        <w:tc>
          <w:tcPr>
            <w:tcW w:w="444" w:type="dxa"/>
            <w:textDirection w:val="tbRlV"/>
            <w:vAlign w:val="top"/>
          </w:tcPr>
          <w:p>
            <w:pPr>
              <w:pStyle w:val="95"/>
              <w:spacing w:before="112" w:line="208" w:lineRule="auto"/>
              <w:ind w:left="59"/>
              <w:rPr>
                <w:sz w:val="21"/>
                <w:szCs w:val="21"/>
              </w:rPr>
            </w:pPr>
            <w:r>
              <w:rPr>
                <w:spacing w:val="1"/>
                <w:sz w:val="21"/>
                <w:szCs w:val="21"/>
              </w:rPr>
              <w:t>劳</w:t>
            </w:r>
            <w:r>
              <w:rPr>
                <w:spacing w:val="-16"/>
                <w:sz w:val="21"/>
                <w:szCs w:val="21"/>
              </w:rPr>
              <w:t xml:space="preserve"> </w:t>
            </w:r>
            <w:r>
              <w:rPr>
                <w:spacing w:val="1"/>
                <w:sz w:val="21"/>
                <w:szCs w:val="21"/>
              </w:rPr>
              <w:t>资</w:t>
            </w:r>
            <w:r>
              <w:rPr>
                <w:spacing w:val="-16"/>
                <w:sz w:val="21"/>
                <w:szCs w:val="21"/>
              </w:rPr>
              <w:t xml:space="preserve"> </w:t>
            </w:r>
            <w:r>
              <w:rPr>
                <w:spacing w:val="1"/>
                <w:sz w:val="21"/>
                <w:szCs w:val="21"/>
              </w:rPr>
              <w:t>专</w:t>
            </w:r>
            <w:r>
              <w:rPr>
                <w:spacing w:val="-17"/>
                <w:sz w:val="21"/>
                <w:szCs w:val="21"/>
              </w:rPr>
              <w:t xml:space="preserve"> </w:t>
            </w:r>
            <w:r>
              <w:rPr>
                <w:spacing w:val="1"/>
                <w:sz w:val="21"/>
                <w:szCs w:val="21"/>
              </w:rPr>
              <w:t>管</w:t>
            </w:r>
            <w:r>
              <w:rPr>
                <w:spacing w:val="-16"/>
                <w:sz w:val="21"/>
                <w:szCs w:val="21"/>
              </w:rPr>
              <w:t xml:space="preserve"> </w:t>
            </w:r>
            <w:r>
              <w:rPr>
                <w:spacing w:val="1"/>
                <w:sz w:val="21"/>
                <w:szCs w:val="21"/>
              </w:rPr>
              <w:t>员</w:t>
            </w:r>
          </w:p>
        </w:tc>
        <w:tc>
          <w:tcPr>
            <w:tcW w:w="778" w:type="dxa"/>
            <w:textDirection w:val="tbRlV"/>
            <w:vAlign w:val="top"/>
          </w:tcPr>
          <w:p>
            <w:pPr>
              <w:pStyle w:val="95"/>
              <w:spacing w:before="278" w:line="209" w:lineRule="auto"/>
              <w:ind w:left="59"/>
              <w:rPr>
                <w:sz w:val="21"/>
                <w:szCs w:val="21"/>
              </w:rPr>
            </w:pPr>
            <w:r>
              <w:rPr>
                <w:spacing w:val="1"/>
                <w:sz w:val="21"/>
                <w:szCs w:val="21"/>
              </w:rPr>
              <w:t>机</w:t>
            </w:r>
            <w:r>
              <w:rPr>
                <w:spacing w:val="-16"/>
                <w:sz w:val="21"/>
                <w:szCs w:val="21"/>
              </w:rPr>
              <w:t xml:space="preserve"> </w:t>
            </w:r>
            <w:r>
              <w:rPr>
                <w:spacing w:val="1"/>
                <w:sz w:val="21"/>
                <w:szCs w:val="21"/>
              </w:rPr>
              <w:t>械</w:t>
            </w:r>
            <w:r>
              <w:rPr>
                <w:spacing w:val="-16"/>
                <w:sz w:val="21"/>
                <w:szCs w:val="21"/>
              </w:rPr>
              <w:t xml:space="preserve"> </w:t>
            </w:r>
            <w:r>
              <w:rPr>
                <w:spacing w:val="1"/>
                <w:sz w:val="21"/>
                <w:szCs w:val="21"/>
              </w:rPr>
              <w:t>管</w:t>
            </w:r>
            <w:r>
              <w:rPr>
                <w:spacing w:val="-16"/>
                <w:sz w:val="21"/>
                <w:szCs w:val="21"/>
              </w:rPr>
              <w:t xml:space="preserve"> </w:t>
            </w:r>
            <w:r>
              <w:rPr>
                <w:spacing w:val="1"/>
                <w:sz w:val="21"/>
                <w:szCs w:val="21"/>
              </w:rPr>
              <w:t>理</w:t>
            </w:r>
            <w:r>
              <w:rPr>
                <w:spacing w:val="-17"/>
                <w:sz w:val="21"/>
                <w:szCs w:val="21"/>
              </w:rPr>
              <w:t xml:space="preserve"> </w:t>
            </w:r>
            <w:r>
              <w:rPr>
                <w:spacing w:val="1"/>
                <w:sz w:val="21"/>
                <w:szCs w:val="21"/>
              </w:rPr>
              <w:t>人</w:t>
            </w:r>
            <w:r>
              <w:rPr>
                <w:spacing w:val="-16"/>
                <w:sz w:val="21"/>
                <w:szCs w:val="21"/>
              </w:rPr>
              <w:t xml:space="preserve"> </w:t>
            </w:r>
            <w:r>
              <w:rPr>
                <w:spacing w:val="1"/>
                <w:sz w:val="21"/>
                <w:szCs w:val="21"/>
              </w:rPr>
              <w:t>员</w:t>
            </w:r>
          </w:p>
        </w:tc>
        <w:tc>
          <w:tcPr>
            <w:tcW w:w="779" w:type="dxa"/>
            <w:textDirection w:val="tbRlV"/>
            <w:vAlign w:val="top"/>
          </w:tcPr>
          <w:p>
            <w:pPr>
              <w:pStyle w:val="95"/>
              <w:spacing w:before="282" w:line="210" w:lineRule="auto"/>
              <w:ind w:left="59"/>
              <w:rPr>
                <w:sz w:val="21"/>
                <w:szCs w:val="21"/>
              </w:rPr>
            </w:pPr>
            <w:r>
              <w:rPr>
                <w:spacing w:val="1"/>
                <w:sz w:val="21"/>
                <w:szCs w:val="21"/>
              </w:rPr>
              <w:t>小</w:t>
            </w:r>
            <w:r>
              <w:rPr>
                <w:spacing w:val="-16"/>
                <w:sz w:val="21"/>
                <w:szCs w:val="21"/>
              </w:rPr>
              <w:t xml:space="preserve"> </w:t>
            </w:r>
            <w:r>
              <w:rPr>
                <w:spacing w:val="1"/>
                <w:sz w:val="21"/>
                <w:szCs w:val="21"/>
              </w:rPr>
              <w:t>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50" w:hRule="atLeast"/>
        </w:trPr>
        <w:tc>
          <w:tcPr>
            <w:tcW w:w="1427" w:type="dxa"/>
            <w:vAlign w:val="top"/>
          </w:tcPr>
          <w:p>
            <w:pPr>
              <w:pStyle w:val="95"/>
              <w:spacing w:before="54" w:line="221" w:lineRule="auto"/>
              <w:ind w:left="298"/>
              <w:rPr>
                <w:sz w:val="21"/>
                <w:szCs w:val="21"/>
              </w:rPr>
            </w:pPr>
            <w:r>
              <w:rPr>
                <w:spacing w:val="-2"/>
                <w:sz w:val="21"/>
                <w:szCs w:val="21"/>
              </w:rPr>
              <w:t>配备数量</w:t>
            </w:r>
          </w:p>
        </w:tc>
        <w:tc>
          <w:tcPr>
            <w:tcW w:w="924" w:type="dxa"/>
            <w:vAlign w:val="top"/>
          </w:tcPr>
          <w:p>
            <w:pPr>
              <w:rPr>
                <w:rFonts w:ascii="Arial"/>
                <w:sz w:val="21"/>
              </w:rPr>
            </w:pPr>
          </w:p>
        </w:tc>
        <w:tc>
          <w:tcPr>
            <w:tcW w:w="942" w:type="dxa"/>
            <w:vAlign w:val="top"/>
          </w:tcPr>
          <w:p>
            <w:pPr>
              <w:rPr>
                <w:rFonts w:ascii="Arial"/>
                <w:sz w:val="21"/>
              </w:rPr>
            </w:pPr>
          </w:p>
        </w:tc>
        <w:tc>
          <w:tcPr>
            <w:tcW w:w="775" w:type="dxa"/>
            <w:vAlign w:val="top"/>
          </w:tcPr>
          <w:p>
            <w:pPr>
              <w:rPr>
                <w:rFonts w:ascii="Arial"/>
                <w:sz w:val="21"/>
              </w:rPr>
            </w:pPr>
          </w:p>
        </w:tc>
        <w:tc>
          <w:tcPr>
            <w:tcW w:w="777" w:type="dxa"/>
            <w:vAlign w:val="top"/>
          </w:tcPr>
          <w:p>
            <w:pPr>
              <w:rPr>
                <w:rFonts w:ascii="Arial"/>
                <w:sz w:val="21"/>
              </w:rPr>
            </w:pPr>
          </w:p>
        </w:tc>
        <w:tc>
          <w:tcPr>
            <w:tcW w:w="777" w:type="dxa"/>
            <w:vAlign w:val="top"/>
          </w:tcPr>
          <w:p>
            <w:pPr>
              <w:rPr>
                <w:rFonts w:ascii="Arial"/>
                <w:sz w:val="21"/>
              </w:rPr>
            </w:pPr>
          </w:p>
        </w:tc>
        <w:tc>
          <w:tcPr>
            <w:tcW w:w="679" w:type="dxa"/>
            <w:vAlign w:val="top"/>
          </w:tcPr>
          <w:p>
            <w:pPr>
              <w:rPr>
                <w:rFonts w:ascii="Arial"/>
                <w:sz w:val="21"/>
              </w:rPr>
            </w:pPr>
          </w:p>
        </w:tc>
        <w:tc>
          <w:tcPr>
            <w:tcW w:w="444" w:type="dxa"/>
            <w:vAlign w:val="top"/>
          </w:tcPr>
          <w:p>
            <w:pPr>
              <w:rPr>
                <w:rFonts w:ascii="Arial"/>
                <w:sz w:val="21"/>
              </w:rPr>
            </w:pPr>
          </w:p>
        </w:tc>
        <w:tc>
          <w:tcPr>
            <w:tcW w:w="778" w:type="dxa"/>
            <w:vAlign w:val="top"/>
          </w:tcPr>
          <w:p>
            <w:pPr>
              <w:rPr>
                <w:rFonts w:ascii="Arial"/>
                <w:sz w:val="21"/>
              </w:rPr>
            </w:pPr>
          </w:p>
        </w:tc>
        <w:tc>
          <w:tcPr>
            <w:tcW w:w="779" w:type="dxa"/>
            <w:vAlign w:val="top"/>
          </w:tcPr>
          <w:p>
            <w:pPr>
              <w:rPr>
                <w:rFonts w:ascii="Arial"/>
                <w:sz w:val="21"/>
              </w:rPr>
            </w:pPr>
          </w:p>
        </w:tc>
      </w:tr>
    </w:tbl>
    <w:p>
      <w:pPr>
        <w:sectPr>
          <w:headerReference r:id="rId12" w:type="default"/>
          <w:footerReference r:id="rId13" w:type="default"/>
          <w:pgSz w:w="11907" w:h="16839"/>
          <w:pgMar w:top="683" w:right="1001" w:bottom="1005" w:left="995" w:header="673" w:footer="642" w:gutter="0"/>
          <w:cols w:space="720" w:num="1"/>
        </w:sectPr>
      </w:pPr>
    </w:p>
    <w:p>
      <w:pPr>
        <w:spacing w:line="420" w:lineRule="exact"/>
        <w:ind w:right="527"/>
        <w:outlineLvl w:val="2"/>
        <w:rPr>
          <w:rFonts w:hint="eastAsia" w:ascii="黑体" w:eastAsia="黑体"/>
          <w:color w:val="000000"/>
          <w:sz w:val="24"/>
        </w:rPr>
      </w:pPr>
      <w:r>
        <w:rPr>
          <w:rFonts w:hint="eastAsia" w:ascii="黑体" w:eastAsia="黑体"/>
          <w:color w:val="000000"/>
          <w:sz w:val="24"/>
        </w:rPr>
        <w:t>附表十一：企业信誉承诺书</w:t>
      </w:r>
    </w:p>
    <w:p>
      <w:pPr>
        <w:pStyle w:val="16"/>
        <w:spacing w:line="263" w:lineRule="auto"/>
      </w:pPr>
    </w:p>
    <w:p>
      <w:pPr>
        <w:pStyle w:val="16"/>
        <w:spacing w:line="263" w:lineRule="auto"/>
      </w:pPr>
    </w:p>
    <w:p>
      <w:pPr>
        <w:bidi w:val="0"/>
        <w:jc w:val="center"/>
        <w:rPr>
          <w:b/>
          <w:bCs/>
        </w:rPr>
      </w:pPr>
      <w:r>
        <w:rPr>
          <w:b/>
          <w:bCs/>
        </w:rPr>
        <w:t>企业信誉承诺书</w:t>
      </w:r>
    </w:p>
    <w:p>
      <w:pPr>
        <w:pStyle w:val="16"/>
        <w:spacing w:line="265" w:lineRule="auto"/>
      </w:pPr>
    </w:p>
    <w:p>
      <w:pPr>
        <w:pStyle w:val="16"/>
        <w:spacing w:line="265" w:lineRule="auto"/>
      </w:pPr>
    </w:p>
    <w:p>
      <w:pPr>
        <w:tabs>
          <w:tab w:val="left" w:pos="2488"/>
        </w:tabs>
        <w:spacing w:before="69" w:line="221" w:lineRule="auto"/>
        <w:ind w:left="812"/>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z w:val="21"/>
          <w:szCs w:val="21"/>
        </w:rPr>
        <w:t>（招标人名称</w:t>
      </w:r>
      <w:r>
        <w:rPr>
          <w:rFonts w:ascii="宋体" w:hAnsi="宋体" w:eastAsia="宋体" w:cs="宋体"/>
          <w:spacing w:val="-54"/>
          <w:w w:val="97"/>
          <w:sz w:val="21"/>
          <w:szCs w:val="21"/>
        </w:rPr>
        <w:t>）：</w:t>
      </w:r>
    </w:p>
    <w:p>
      <w:pPr>
        <w:pStyle w:val="16"/>
        <w:spacing w:line="428" w:lineRule="auto"/>
      </w:pPr>
    </w:p>
    <w:p>
      <w:pPr>
        <w:spacing w:before="68" w:line="221" w:lineRule="auto"/>
        <w:ind w:left="1235"/>
        <w:rPr>
          <w:rFonts w:ascii="宋体" w:hAnsi="宋体" w:eastAsia="宋体" w:cs="宋体"/>
          <w:sz w:val="21"/>
          <w:szCs w:val="21"/>
        </w:rPr>
      </w:pPr>
      <w:r>
        <w:rPr>
          <w:rFonts w:ascii="宋体" w:hAnsi="宋体" w:eastAsia="宋体" w:cs="宋体"/>
          <w:spacing w:val="-5"/>
          <w:sz w:val="21"/>
          <w:szCs w:val="21"/>
        </w:rPr>
        <w:t>我方在此声明：</w:t>
      </w:r>
    </w:p>
    <w:p>
      <w:pPr>
        <w:spacing w:before="190" w:line="387" w:lineRule="auto"/>
        <w:ind w:left="815" w:right="791" w:firstLine="433"/>
        <w:rPr>
          <w:rFonts w:ascii="宋体" w:hAnsi="宋体" w:eastAsia="宋体" w:cs="宋体"/>
          <w:sz w:val="21"/>
          <w:szCs w:val="21"/>
        </w:rPr>
      </w:pPr>
      <w:r>
        <w:rPr>
          <w:rFonts w:ascii="宋体" w:hAnsi="宋体" w:eastAsia="宋体" w:cs="宋体"/>
          <w:spacing w:val="-5"/>
          <w:sz w:val="21"/>
          <w:szCs w:val="21"/>
        </w:rPr>
        <w:t>1、</w:t>
      </w:r>
      <w:r>
        <w:rPr>
          <w:rFonts w:ascii="宋体" w:hAnsi="宋体" w:eastAsia="宋体" w:cs="宋体"/>
          <w:spacing w:val="-5"/>
          <w:sz w:val="21"/>
          <w:szCs w:val="21"/>
          <w:u w:val="single" w:color="auto"/>
        </w:rPr>
        <w:t xml:space="preserve">           </w:t>
      </w:r>
      <w:r>
        <w:rPr>
          <w:rFonts w:ascii="宋体" w:hAnsi="宋体" w:eastAsia="宋体" w:cs="宋体"/>
          <w:spacing w:val="-5"/>
          <w:sz w:val="21"/>
          <w:szCs w:val="21"/>
        </w:rPr>
        <w:t xml:space="preserve"> （投标人）未被人民法院列为失信被执行人。（两个以上的自然人、法</w:t>
      </w:r>
      <w:r>
        <w:rPr>
          <w:rFonts w:ascii="宋体" w:hAnsi="宋体" w:eastAsia="宋体" w:cs="宋体"/>
          <w:spacing w:val="4"/>
          <w:sz w:val="21"/>
          <w:szCs w:val="21"/>
        </w:rPr>
        <w:t xml:space="preserve"> </w:t>
      </w:r>
      <w:r>
        <w:rPr>
          <w:rFonts w:ascii="宋体" w:hAnsi="宋体" w:eastAsia="宋体" w:cs="宋体"/>
          <w:spacing w:val="-2"/>
          <w:sz w:val="21"/>
          <w:szCs w:val="21"/>
        </w:rPr>
        <w:t>人或者其他组织组成一个联合体，以一个投标人</w:t>
      </w:r>
      <w:r>
        <w:rPr>
          <w:rFonts w:ascii="宋体" w:hAnsi="宋体" w:eastAsia="宋体" w:cs="宋体"/>
          <w:spacing w:val="-3"/>
          <w:sz w:val="21"/>
          <w:szCs w:val="21"/>
        </w:rPr>
        <w:t>的身份共同参加投标活动的，所有联合体成</w:t>
      </w:r>
      <w:r>
        <w:rPr>
          <w:rFonts w:ascii="宋体" w:hAnsi="宋体" w:eastAsia="宋体" w:cs="宋体"/>
          <w:sz w:val="21"/>
          <w:szCs w:val="21"/>
        </w:rPr>
        <w:t xml:space="preserve"> </w:t>
      </w:r>
      <w:r>
        <w:rPr>
          <w:rFonts w:ascii="宋体" w:hAnsi="宋体" w:eastAsia="宋体" w:cs="宋体"/>
          <w:spacing w:val="-2"/>
          <w:sz w:val="21"/>
          <w:szCs w:val="21"/>
        </w:rPr>
        <w:t>员应均未被列为失信被执行人。联合体中有一个</w:t>
      </w:r>
      <w:r>
        <w:rPr>
          <w:rFonts w:ascii="宋体" w:hAnsi="宋体" w:eastAsia="宋体" w:cs="宋体"/>
          <w:spacing w:val="-3"/>
          <w:sz w:val="21"/>
          <w:szCs w:val="21"/>
        </w:rPr>
        <w:t>或一个以上成员属于失信被执行人的，联合</w:t>
      </w:r>
    </w:p>
    <w:p>
      <w:pPr>
        <w:spacing w:line="220" w:lineRule="auto"/>
        <w:ind w:left="813"/>
        <w:rPr>
          <w:rFonts w:ascii="宋体" w:hAnsi="宋体" w:eastAsia="宋体" w:cs="宋体"/>
          <w:sz w:val="21"/>
          <w:szCs w:val="21"/>
        </w:rPr>
      </w:pPr>
      <w:r>
        <w:rPr>
          <w:rFonts w:ascii="宋体" w:hAnsi="宋体" w:eastAsia="宋体" w:cs="宋体"/>
          <w:spacing w:val="-1"/>
          <w:sz w:val="21"/>
          <w:szCs w:val="21"/>
        </w:rPr>
        <w:t>体视为失信被执行人</w:t>
      </w:r>
    </w:p>
    <w:p>
      <w:pPr>
        <w:spacing w:before="189" w:line="220" w:lineRule="auto"/>
        <w:ind w:left="1236"/>
        <w:rPr>
          <w:rFonts w:ascii="宋体" w:hAnsi="宋体" w:eastAsia="宋体" w:cs="宋体"/>
          <w:sz w:val="21"/>
          <w:szCs w:val="21"/>
        </w:rPr>
      </w:pPr>
      <w:r>
        <w:rPr>
          <w:rFonts w:ascii="宋体" w:hAnsi="宋体" w:eastAsia="宋体" w:cs="宋体"/>
          <w:spacing w:val="-3"/>
          <w:sz w:val="21"/>
          <w:szCs w:val="21"/>
        </w:rPr>
        <w:t>2、</w:t>
      </w:r>
      <w:r>
        <w:rPr>
          <w:rFonts w:ascii="宋体" w:hAnsi="宋体" w:eastAsia="宋体" w:cs="宋体"/>
          <w:spacing w:val="-3"/>
          <w:sz w:val="21"/>
          <w:szCs w:val="21"/>
          <w:u w:val="single" w:color="auto"/>
        </w:rPr>
        <w:t xml:space="preserve">           </w:t>
      </w:r>
      <w:r>
        <w:rPr>
          <w:rFonts w:ascii="宋体" w:hAnsi="宋体" w:eastAsia="宋体" w:cs="宋体"/>
          <w:spacing w:val="-37"/>
          <w:sz w:val="21"/>
          <w:szCs w:val="21"/>
        </w:rPr>
        <w:t xml:space="preserve"> </w:t>
      </w:r>
      <w:r>
        <w:rPr>
          <w:rFonts w:ascii="宋体" w:hAnsi="宋体" w:eastAsia="宋体" w:cs="宋体"/>
          <w:spacing w:val="-3"/>
          <w:sz w:val="21"/>
          <w:szCs w:val="21"/>
        </w:rPr>
        <w:t>（投标人）未被责令停业；</w:t>
      </w:r>
    </w:p>
    <w:p>
      <w:pPr>
        <w:spacing w:before="188" w:line="221" w:lineRule="auto"/>
        <w:ind w:left="1237"/>
        <w:rPr>
          <w:rFonts w:ascii="宋体" w:hAnsi="宋体" w:eastAsia="宋体" w:cs="宋体"/>
          <w:sz w:val="21"/>
          <w:szCs w:val="21"/>
        </w:rPr>
      </w:pPr>
      <w:r>
        <w:rPr>
          <w:rFonts w:ascii="宋体" w:hAnsi="宋体" w:eastAsia="宋体" w:cs="宋体"/>
          <w:spacing w:val="-2"/>
          <w:sz w:val="21"/>
          <w:szCs w:val="21"/>
        </w:rPr>
        <w:t>3、</w:t>
      </w:r>
      <w:r>
        <w:rPr>
          <w:rFonts w:ascii="宋体" w:hAnsi="宋体" w:eastAsia="宋体" w:cs="宋体"/>
          <w:spacing w:val="-2"/>
          <w:sz w:val="21"/>
          <w:szCs w:val="21"/>
          <w:u w:val="single" w:color="auto"/>
        </w:rPr>
        <w:t xml:space="preserve">           </w:t>
      </w:r>
      <w:r>
        <w:rPr>
          <w:rFonts w:ascii="宋体" w:hAnsi="宋体" w:eastAsia="宋体" w:cs="宋体"/>
          <w:spacing w:val="-44"/>
          <w:sz w:val="21"/>
          <w:szCs w:val="21"/>
        </w:rPr>
        <w:t xml:space="preserve"> </w:t>
      </w:r>
      <w:r>
        <w:rPr>
          <w:rFonts w:ascii="宋体" w:hAnsi="宋体" w:eastAsia="宋体" w:cs="宋体"/>
          <w:spacing w:val="-2"/>
          <w:sz w:val="21"/>
          <w:szCs w:val="21"/>
        </w:rPr>
        <w:t>（投标人）投标资格未被暂停或取消投标资格；</w:t>
      </w:r>
    </w:p>
    <w:p>
      <w:pPr>
        <w:spacing w:before="190" w:line="221" w:lineRule="auto"/>
        <w:ind w:left="1232"/>
        <w:rPr>
          <w:rFonts w:ascii="宋体" w:hAnsi="宋体" w:eastAsia="宋体" w:cs="宋体"/>
          <w:sz w:val="21"/>
          <w:szCs w:val="21"/>
        </w:rPr>
      </w:pPr>
      <w:r>
        <w:rPr>
          <w:rFonts w:ascii="宋体" w:hAnsi="宋体" w:eastAsia="宋体" w:cs="宋体"/>
          <w:spacing w:val="-3"/>
          <w:sz w:val="21"/>
          <w:szCs w:val="21"/>
        </w:rPr>
        <w:t>4、</w:t>
      </w:r>
      <w:r>
        <w:rPr>
          <w:rFonts w:ascii="宋体" w:hAnsi="宋体" w:eastAsia="宋体" w:cs="宋体"/>
          <w:spacing w:val="-3"/>
          <w:sz w:val="21"/>
          <w:szCs w:val="21"/>
          <w:u w:val="single" w:color="auto"/>
        </w:rPr>
        <w:t xml:space="preserve">           </w:t>
      </w:r>
      <w:r>
        <w:rPr>
          <w:rFonts w:ascii="宋体" w:hAnsi="宋体" w:eastAsia="宋体" w:cs="宋体"/>
          <w:spacing w:val="-49"/>
          <w:sz w:val="21"/>
          <w:szCs w:val="21"/>
        </w:rPr>
        <w:t xml:space="preserve"> </w:t>
      </w:r>
      <w:r>
        <w:rPr>
          <w:rFonts w:ascii="宋体" w:hAnsi="宋体" w:eastAsia="宋体" w:cs="宋体"/>
          <w:spacing w:val="-3"/>
          <w:sz w:val="21"/>
          <w:szCs w:val="21"/>
        </w:rPr>
        <w:t>（投标人）财产未被接管或冻结；</w:t>
      </w:r>
    </w:p>
    <w:p>
      <w:pPr>
        <w:spacing w:before="189" w:line="386" w:lineRule="auto"/>
        <w:ind w:left="1237"/>
        <w:rPr>
          <w:rFonts w:ascii="宋体" w:hAnsi="宋体" w:eastAsia="宋体" w:cs="宋体"/>
          <w:sz w:val="21"/>
          <w:szCs w:val="21"/>
        </w:rPr>
      </w:pPr>
      <w:r>
        <w:rPr>
          <w:rFonts w:ascii="宋体" w:hAnsi="宋体" w:eastAsia="宋体" w:cs="宋体"/>
          <w:spacing w:val="-2"/>
          <w:sz w:val="21"/>
          <w:szCs w:val="21"/>
        </w:rPr>
        <w:t>5、</w:t>
      </w:r>
      <w:r>
        <w:rPr>
          <w:rFonts w:ascii="宋体" w:hAnsi="宋体" w:eastAsia="宋体" w:cs="宋体"/>
          <w:spacing w:val="-2"/>
          <w:sz w:val="21"/>
          <w:szCs w:val="21"/>
          <w:u w:val="single" w:color="auto"/>
        </w:rPr>
        <w:t xml:space="preserve">            </w:t>
      </w:r>
      <w:r>
        <w:rPr>
          <w:rFonts w:ascii="宋体" w:hAnsi="宋体" w:eastAsia="宋体" w:cs="宋体"/>
          <w:spacing w:val="-2"/>
          <w:sz w:val="21"/>
          <w:szCs w:val="21"/>
        </w:rPr>
        <w:t xml:space="preserve"> （投标人）在最近三年内没有骗取中标或严重</w:t>
      </w:r>
      <w:r>
        <w:rPr>
          <w:rFonts w:ascii="宋体" w:hAnsi="宋体" w:eastAsia="宋体" w:cs="宋体"/>
          <w:spacing w:val="-3"/>
          <w:sz w:val="21"/>
          <w:szCs w:val="21"/>
        </w:rPr>
        <w:t>违约或重大工程质量问</w:t>
      </w:r>
    </w:p>
    <w:p>
      <w:pPr>
        <w:spacing w:before="1" w:line="222" w:lineRule="auto"/>
        <w:ind w:left="813"/>
        <w:rPr>
          <w:rFonts w:ascii="宋体" w:hAnsi="宋体" w:eastAsia="宋体" w:cs="宋体"/>
          <w:sz w:val="21"/>
          <w:szCs w:val="21"/>
        </w:rPr>
      </w:pPr>
      <w:r>
        <w:rPr>
          <w:rFonts w:ascii="宋体" w:hAnsi="宋体" w:eastAsia="宋体" w:cs="宋体"/>
          <w:spacing w:val="-10"/>
          <w:sz w:val="21"/>
          <w:szCs w:val="21"/>
        </w:rPr>
        <w:t>题。</w:t>
      </w:r>
    </w:p>
    <w:p>
      <w:pPr>
        <w:spacing w:before="188" w:line="440" w:lineRule="exact"/>
        <w:ind w:left="1235"/>
        <w:rPr>
          <w:rFonts w:ascii="宋体" w:hAnsi="宋体" w:eastAsia="宋体" w:cs="宋体"/>
          <w:sz w:val="21"/>
          <w:szCs w:val="21"/>
        </w:rPr>
      </w:pPr>
      <w:r>
        <w:rPr>
          <w:rFonts w:ascii="宋体" w:hAnsi="宋体" w:eastAsia="宋体" w:cs="宋体"/>
          <w:spacing w:val="-3"/>
          <w:position w:val="17"/>
          <w:sz w:val="21"/>
          <w:szCs w:val="21"/>
        </w:rPr>
        <w:t>我方保证上述信息的真实和准确，并愿意承担因我方就此弄虚作假所引起的一切法律后</w:t>
      </w:r>
    </w:p>
    <w:p>
      <w:pPr>
        <w:spacing w:line="221" w:lineRule="auto"/>
        <w:ind w:left="817"/>
        <w:rPr>
          <w:rFonts w:ascii="宋体" w:hAnsi="宋体" w:eastAsia="宋体" w:cs="宋体"/>
          <w:sz w:val="21"/>
          <w:szCs w:val="21"/>
        </w:rPr>
      </w:pPr>
      <w:r>
        <w:rPr>
          <w:rFonts w:ascii="宋体" w:hAnsi="宋体" w:eastAsia="宋体" w:cs="宋体"/>
          <w:spacing w:val="-11"/>
          <w:sz w:val="21"/>
          <w:szCs w:val="21"/>
        </w:rPr>
        <w:t>果。</w:t>
      </w:r>
    </w:p>
    <w:p>
      <w:pPr>
        <w:pStyle w:val="16"/>
        <w:spacing w:line="248" w:lineRule="auto"/>
      </w:pPr>
    </w:p>
    <w:p>
      <w:pPr>
        <w:pStyle w:val="16"/>
        <w:spacing w:line="248" w:lineRule="auto"/>
      </w:pPr>
    </w:p>
    <w:p>
      <w:pPr>
        <w:pStyle w:val="16"/>
        <w:spacing w:line="248" w:lineRule="auto"/>
      </w:pPr>
    </w:p>
    <w:p>
      <w:pPr>
        <w:pStyle w:val="16"/>
        <w:spacing w:line="249" w:lineRule="auto"/>
      </w:pPr>
    </w:p>
    <w:p>
      <w:pPr>
        <w:spacing w:before="69" w:line="221" w:lineRule="auto"/>
        <w:ind w:left="1233"/>
        <w:rPr>
          <w:rFonts w:ascii="宋体" w:hAnsi="宋体" w:eastAsia="宋体" w:cs="宋体"/>
          <w:sz w:val="21"/>
          <w:szCs w:val="21"/>
        </w:rPr>
      </w:pPr>
      <w:r>
        <w:rPr>
          <w:rFonts w:ascii="宋体" w:hAnsi="宋体" w:eastAsia="宋体" w:cs="宋体"/>
          <w:spacing w:val="-2"/>
          <w:sz w:val="21"/>
          <w:szCs w:val="21"/>
        </w:rPr>
        <w:t>特此承诺</w:t>
      </w:r>
    </w:p>
    <w:p>
      <w:pPr>
        <w:pStyle w:val="16"/>
        <w:spacing w:line="248" w:lineRule="auto"/>
      </w:pPr>
    </w:p>
    <w:p>
      <w:pPr>
        <w:pStyle w:val="16"/>
        <w:spacing w:line="249" w:lineRule="auto"/>
      </w:pPr>
    </w:p>
    <w:p>
      <w:pPr>
        <w:pStyle w:val="16"/>
        <w:spacing w:line="249" w:lineRule="auto"/>
      </w:pPr>
    </w:p>
    <w:p>
      <w:pPr>
        <w:pStyle w:val="16"/>
        <w:spacing w:line="249" w:lineRule="auto"/>
      </w:pPr>
    </w:p>
    <w:p>
      <w:pPr>
        <w:spacing w:before="68" w:line="220" w:lineRule="auto"/>
        <w:ind w:left="6709"/>
        <w:rPr>
          <w:rFonts w:ascii="宋体" w:hAnsi="宋体" w:eastAsia="宋体" w:cs="宋体"/>
          <w:sz w:val="21"/>
          <w:szCs w:val="21"/>
        </w:rPr>
      </w:pPr>
      <w:r>
        <w:rPr>
          <w:rFonts w:ascii="宋体" w:hAnsi="宋体" w:eastAsia="宋体" w:cs="宋体"/>
          <w:spacing w:val="2"/>
          <w:sz w:val="21"/>
          <w:szCs w:val="21"/>
        </w:rPr>
        <w:t>投标人</w:t>
      </w:r>
      <w:r>
        <w:rPr>
          <w:rFonts w:ascii="宋体" w:hAnsi="宋体" w:eastAsia="宋体" w:cs="宋体"/>
          <w:spacing w:val="-52"/>
          <w:w w:val="93"/>
          <w:sz w:val="21"/>
          <w:szCs w:val="21"/>
        </w:rPr>
        <w:t>：（</w:t>
      </w:r>
      <w:r>
        <w:rPr>
          <w:rFonts w:ascii="宋体" w:hAnsi="宋体" w:eastAsia="宋体" w:cs="宋体"/>
          <w:spacing w:val="2"/>
          <w:sz w:val="21"/>
          <w:szCs w:val="21"/>
        </w:rPr>
        <w:t>盖单位章）</w:t>
      </w:r>
    </w:p>
    <w:p>
      <w:pPr>
        <w:spacing w:before="189" w:line="220" w:lineRule="auto"/>
        <w:ind w:left="5024"/>
        <w:rPr>
          <w:rFonts w:ascii="宋体" w:hAnsi="宋体" w:eastAsia="宋体" w:cs="宋体"/>
          <w:sz w:val="21"/>
          <w:szCs w:val="21"/>
        </w:rPr>
      </w:pPr>
      <w:r>
        <w:rPr>
          <w:rFonts w:ascii="宋体" w:hAnsi="宋体" w:eastAsia="宋体" w:cs="宋体"/>
          <w:spacing w:val="-4"/>
          <w:sz w:val="21"/>
          <w:szCs w:val="21"/>
        </w:rPr>
        <w:t>法定代表人或其委托代理人</w:t>
      </w:r>
      <w:r>
        <w:rPr>
          <w:rFonts w:ascii="宋体" w:hAnsi="宋体" w:eastAsia="宋体" w:cs="宋体"/>
          <w:spacing w:val="-23"/>
          <w:sz w:val="21"/>
          <w:szCs w:val="21"/>
        </w:rPr>
        <w:t>：（</w:t>
      </w:r>
      <w:r>
        <w:rPr>
          <w:rFonts w:ascii="宋体" w:hAnsi="宋体" w:eastAsia="宋体" w:cs="宋体"/>
          <w:spacing w:val="-4"/>
          <w:sz w:val="21"/>
          <w:szCs w:val="21"/>
        </w:rPr>
        <w:t>签字或盖章）</w:t>
      </w:r>
    </w:p>
    <w:p>
      <w:pPr>
        <w:spacing w:before="191" w:line="220" w:lineRule="auto"/>
        <w:ind w:left="6602"/>
        <w:rPr>
          <w:rFonts w:ascii="宋体" w:hAnsi="宋体" w:eastAsia="宋体" w:cs="宋体"/>
          <w:sz w:val="21"/>
          <w:szCs w:val="21"/>
        </w:rPr>
      </w:pPr>
      <w:r>
        <w:rPr>
          <w:rFonts w:ascii="宋体" w:hAnsi="宋体" w:eastAsia="宋体" w:cs="宋体"/>
          <w:spacing w:val="-8"/>
          <w:sz w:val="21"/>
          <w:szCs w:val="21"/>
        </w:rPr>
        <w:t>项目经理</w:t>
      </w:r>
      <w:r>
        <w:rPr>
          <w:rFonts w:ascii="宋体" w:hAnsi="宋体" w:eastAsia="宋体" w:cs="宋体"/>
          <w:spacing w:val="-15"/>
          <w:sz w:val="21"/>
          <w:szCs w:val="21"/>
        </w:rPr>
        <w:t>：</w:t>
      </w:r>
      <w:r>
        <w:rPr>
          <w:rFonts w:ascii="宋体" w:hAnsi="宋体" w:eastAsia="宋体" w:cs="宋体"/>
          <w:spacing w:val="-30"/>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15"/>
          <w:sz w:val="21"/>
          <w:szCs w:val="21"/>
        </w:rPr>
        <w:t>（</w:t>
      </w:r>
      <w:r>
        <w:rPr>
          <w:rFonts w:ascii="宋体" w:hAnsi="宋体" w:eastAsia="宋体" w:cs="宋体"/>
          <w:spacing w:val="-8"/>
          <w:sz w:val="21"/>
          <w:szCs w:val="21"/>
        </w:rPr>
        <w:t>签章）</w:t>
      </w:r>
    </w:p>
    <w:p>
      <w:pPr>
        <w:pStyle w:val="16"/>
        <w:spacing w:line="278" w:lineRule="auto"/>
      </w:pPr>
    </w:p>
    <w:p>
      <w:pPr>
        <w:pStyle w:val="16"/>
        <w:spacing w:line="278" w:lineRule="auto"/>
      </w:pPr>
    </w:p>
    <w:p>
      <w:pPr>
        <w:spacing w:before="69" w:line="221" w:lineRule="auto"/>
        <w:ind w:left="8071"/>
        <w:rPr>
          <w:rFonts w:ascii="宋体" w:hAnsi="宋体" w:eastAsia="宋体" w:cs="宋体"/>
          <w:sz w:val="21"/>
          <w:szCs w:val="21"/>
        </w:rPr>
      </w:pPr>
      <w:r>
        <w:rPr>
          <w:rFonts w:ascii="宋体" w:hAnsi="宋体" w:eastAsia="宋体" w:cs="宋体"/>
          <w:spacing w:val="-7"/>
          <w:sz w:val="21"/>
          <w:szCs w:val="21"/>
        </w:rPr>
        <w:t>年</w:t>
      </w:r>
      <w:r>
        <w:rPr>
          <w:rFonts w:ascii="宋体" w:hAnsi="宋体" w:eastAsia="宋体" w:cs="宋体"/>
          <w:spacing w:val="7"/>
          <w:sz w:val="21"/>
          <w:szCs w:val="21"/>
        </w:rPr>
        <w:t xml:space="preserve">  </w:t>
      </w:r>
      <w:r>
        <w:rPr>
          <w:rFonts w:ascii="宋体" w:hAnsi="宋体" w:eastAsia="宋体" w:cs="宋体"/>
          <w:spacing w:val="-7"/>
          <w:sz w:val="21"/>
          <w:szCs w:val="21"/>
        </w:rPr>
        <w:t>月</w:t>
      </w:r>
      <w:r>
        <w:rPr>
          <w:rFonts w:ascii="宋体" w:hAnsi="宋体" w:eastAsia="宋体" w:cs="宋体"/>
          <w:spacing w:val="21"/>
          <w:sz w:val="21"/>
          <w:szCs w:val="21"/>
        </w:rPr>
        <w:t xml:space="preserve">  </w:t>
      </w:r>
      <w:r>
        <w:rPr>
          <w:rFonts w:ascii="宋体" w:hAnsi="宋体" w:eastAsia="宋体" w:cs="宋体"/>
          <w:spacing w:val="-7"/>
          <w:sz w:val="21"/>
          <w:szCs w:val="21"/>
        </w:rPr>
        <w:t>日</w:t>
      </w:r>
    </w:p>
    <w:p>
      <w:pPr>
        <w:spacing w:line="221" w:lineRule="auto"/>
        <w:rPr>
          <w:rFonts w:ascii="宋体" w:hAnsi="宋体" w:eastAsia="宋体" w:cs="宋体"/>
          <w:sz w:val="21"/>
          <w:szCs w:val="21"/>
        </w:rPr>
        <w:sectPr>
          <w:footerReference r:id="rId14" w:type="default"/>
          <w:pgSz w:w="11907" w:h="16839"/>
          <w:pgMar w:top="683" w:right="1001" w:bottom="1005" w:left="995" w:header="673" w:footer="642" w:gutter="0"/>
          <w:cols w:space="720" w:num="1"/>
        </w:sectPr>
      </w:pPr>
    </w:p>
    <w:p>
      <w:pPr>
        <w:pStyle w:val="16"/>
        <w:spacing w:line="354" w:lineRule="auto"/>
      </w:pPr>
    </w:p>
    <w:p>
      <w:pPr>
        <w:pStyle w:val="16"/>
        <w:spacing w:line="354" w:lineRule="auto"/>
      </w:pPr>
    </w:p>
    <w:p>
      <w:pPr>
        <w:spacing w:line="420" w:lineRule="exact"/>
        <w:ind w:right="527"/>
        <w:outlineLvl w:val="2"/>
        <w:rPr>
          <w:rFonts w:hint="eastAsia" w:ascii="黑体" w:eastAsia="黑体"/>
          <w:color w:val="000000"/>
          <w:sz w:val="24"/>
        </w:rPr>
      </w:pPr>
      <w:r>
        <w:rPr>
          <w:rFonts w:hint="eastAsia" w:ascii="黑体" w:eastAsia="黑体"/>
          <w:color w:val="000000"/>
          <w:sz w:val="24"/>
        </w:rPr>
        <w:t>附表十二：纸质保函真实性承诺函</w:t>
      </w:r>
    </w:p>
    <w:p>
      <w:pPr>
        <w:pStyle w:val="16"/>
        <w:spacing w:line="324" w:lineRule="auto"/>
      </w:pPr>
    </w:p>
    <w:p>
      <w:pPr>
        <w:pStyle w:val="16"/>
        <w:spacing w:line="325" w:lineRule="auto"/>
      </w:pPr>
    </w:p>
    <w:p>
      <w:pPr>
        <w:bidi w:val="0"/>
        <w:jc w:val="center"/>
        <w:rPr>
          <w:b/>
          <w:bCs/>
        </w:rPr>
      </w:pPr>
      <w:r>
        <w:rPr>
          <w:b/>
          <w:bCs/>
        </w:rPr>
        <w:t>纸质保函真实性承诺函</w:t>
      </w:r>
    </w:p>
    <w:p>
      <w:pPr>
        <w:tabs>
          <w:tab w:val="left" w:pos="2488"/>
        </w:tabs>
        <w:spacing w:before="68" w:line="221" w:lineRule="auto"/>
        <w:ind w:left="812"/>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z w:val="21"/>
          <w:szCs w:val="21"/>
        </w:rPr>
        <w:t>（招标人名称</w:t>
      </w:r>
      <w:r>
        <w:rPr>
          <w:rFonts w:ascii="宋体" w:hAnsi="宋体" w:eastAsia="宋体" w:cs="宋体"/>
          <w:spacing w:val="-54"/>
          <w:w w:val="97"/>
          <w:sz w:val="21"/>
          <w:szCs w:val="21"/>
        </w:rPr>
        <w:t>）：</w:t>
      </w:r>
    </w:p>
    <w:p>
      <w:pPr>
        <w:pStyle w:val="16"/>
        <w:spacing w:line="430" w:lineRule="auto"/>
      </w:pPr>
    </w:p>
    <w:p>
      <w:pPr>
        <w:spacing w:before="68" w:line="221" w:lineRule="auto"/>
        <w:ind w:left="1235"/>
        <w:rPr>
          <w:rFonts w:ascii="宋体" w:hAnsi="宋体" w:eastAsia="宋体" w:cs="宋体"/>
          <w:sz w:val="21"/>
          <w:szCs w:val="21"/>
        </w:rPr>
      </w:pPr>
      <w:r>
        <w:rPr>
          <w:rFonts w:ascii="宋体" w:hAnsi="宋体" w:eastAsia="宋体" w:cs="宋体"/>
          <w:spacing w:val="-5"/>
          <w:sz w:val="21"/>
          <w:szCs w:val="21"/>
        </w:rPr>
        <w:t>我方在此声明：</w:t>
      </w:r>
    </w:p>
    <w:p>
      <w:pPr>
        <w:tabs>
          <w:tab w:val="left" w:pos="2381"/>
        </w:tabs>
        <w:spacing w:before="187" w:line="387" w:lineRule="auto"/>
        <w:ind w:left="1225"/>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37"/>
          <w:sz w:val="21"/>
          <w:szCs w:val="21"/>
        </w:rPr>
        <w:t xml:space="preserve"> </w:t>
      </w:r>
      <w:r>
        <w:rPr>
          <w:rFonts w:ascii="宋体" w:hAnsi="宋体" w:eastAsia="宋体" w:cs="宋体"/>
          <w:spacing w:val="-7"/>
          <w:sz w:val="21"/>
          <w:szCs w:val="21"/>
        </w:rPr>
        <w:t>（投标人） 参加你方</w:t>
      </w:r>
      <w:r>
        <w:rPr>
          <w:rFonts w:ascii="宋体" w:hAnsi="宋体" w:eastAsia="宋体" w:cs="宋体"/>
          <w:spacing w:val="-7"/>
          <w:sz w:val="21"/>
          <w:szCs w:val="21"/>
          <w:u w:val="single" w:color="auto"/>
        </w:rPr>
        <w:t>（项目名称）</w:t>
      </w:r>
      <w:r>
        <w:rPr>
          <w:rFonts w:ascii="宋体" w:hAnsi="宋体" w:eastAsia="宋体" w:cs="宋体"/>
          <w:spacing w:val="-36"/>
          <w:sz w:val="21"/>
          <w:szCs w:val="21"/>
          <w:u w:val="single" w:color="auto"/>
        </w:rPr>
        <w:t xml:space="preserve"> </w:t>
      </w:r>
      <w:r>
        <w:rPr>
          <w:rFonts w:ascii="宋体" w:hAnsi="宋体" w:eastAsia="宋体" w:cs="宋体"/>
          <w:spacing w:val="-7"/>
          <w:sz w:val="21"/>
          <w:szCs w:val="21"/>
        </w:rPr>
        <w:t>标段的施工投标递交的纸质保函，保函</w:t>
      </w:r>
    </w:p>
    <w:p>
      <w:pPr>
        <w:spacing w:before="1" w:line="220" w:lineRule="auto"/>
        <w:ind w:left="815"/>
        <w:rPr>
          <w:rFonts w:ascii="宋体" w:hAnsi="宋体" w:eastAsia="宋体" w:cs="宋体"/>
          <w:sz w:val="21"/>
          <w:szCs w:val="21"/>
        </w:rPr>
      </w:pPr>
      <w:r>
        <w:rPr>
          <w:rFonts w:ascii="宋体" w:hAnsi="宋体" w:eastAsia="宋体" w:cs="宋体"/>
          <w:spacing w:val="-6"/>
          <w:sz w:val="21"/>
          <w:szCs w:val="21"/>
        </w:rPr>
        <w:t xml:space="preserve">编号： </w:t>
      </w:r>
      <w:r>
        <w:rPr>
          <w:rFonts w:ascii="宋体" w:hAnsi="宋体" w:eastAsia="宋体" w:cs="宋体"/>
          <w:spacing w:val="-6"/>
          <w:sz w:val="21"/>
          <w:szCs w:val="21"/>
          <w:u w:val="single" w:color="auto"/>
        </w:rPr>
        <w:t xml:space="preserve">           </w:t>
      </w:r>
      <w:r>
        <w:rPr>
          <w:rFonts w:ascii="宋体" w:hAnsi="宋体" w:eastAsia="宋体" w:cs="宋体"/>
          <w:spacing w:val="-76"/>
          <w:sz w:val="21"/>
          <w:szCs w:val="21"/>
        </w:rPr>
        <w:t xml:space="preserve"> </w:t>
      </w:r>
      <w:r>
        <w:rPr>
          <w:rFonts w:ascii="宋体" w:hAnsi="宋体" w:eastAsia="宋体" w:cs="宋体"/>
          <w:spacing w:val="-6"/>
          <w:sz w:val="21"/>
          <w:szCs w:val="21"/>
        </w:rPr>
        <w:t>。在</w:t>
      </w:r>
      <w:r>
        <w:rPr>
          <w:rFonts w:ascii="宋体" w:hAnsi="宋体" w:eastAsia="宋体" w:cs="宋体"/>
          <w:spacing w:val="-6"/>
          <w:sz w:val="21"/>
          <w:szCs w:val="21"/>
          <w:u w:val="single" w:color="auto"/>
        </w:rPr>
        <w:t>（项目名称）</w:t>
      </w:r>
      <w:r>
        <w:rPr>
          <w:rFonts w:ascii="宋体" w:hAnsi="宋体" w:eastAsia="宋体" w:cs="宋体"/>
          <w:spacing w:val="-36"/>
          <w:sz w:val="21"/>
          <w:szCs w:val="21"/>
          <w:u w:val="single" w:color="auto"/>
        </w:rPr>
        <w:t xml:space="preserve"> </w:t>
      </w:r>
      <w:r>
        <w:rPr>
          <w:rFonts w:ascii="宋体" w:hAnsi="宋体" w:eastAsia="宋体" w:cs="宋体"/>
          <w:spacing w:val="-6"/>
          <w:sz w:val="21"/>
          <w:szCs w:val="21"/>
        </w:rPr>
        <w:t>项目投标</w:t>
      </w:r>
      <w:r>
        <w:rPr>
          <w:rFonts w:ascii="宋体" w:hAnsi="宋体" w:eastAsia="宋体" w:cs="宋体"/>
          <w:spacing w:val="-7"/>
          <w:sz w:val="21"/>
          <w:szCs w:val="21"/>
        </w:rPr>
        <w:t>有效期内真实有效。</w:t>
      </w:r>
    </w:p>
    <w:p>
      <w:pPr>
        <w:spacing w:before="191" w:line="439" w:lineRule="exact"/>
        <w:ind w:left="1235"/>
        <w:rPr>
          <w:rFonts w:ascii="宋体" w:hAnsi="宋体" w:eastAsia="宋体" w:cs="宋体"/>
          <w:sz w:val="21"/>
          <w:szCs w:val="21"/>
        </w:rPr>
      </w:pPr>
      <w:r>
        <w:rPr>
          <w:rFonts w:ascii="宋体" w:hAnsi="宋体" w:eastAsia="宋体" w:cs="宋体"/>
          <w:spacing w:val="-3"/>
          <w:position w:val="17"/>
          <w:sz w:val="21"/>
          <w:szCs w:val="21"/>
        </w:rPr>
        <w:t>我方保证上述信息的真实和准确，并愿意承担因我方就此弄虚作假所引起的一切法律后</w:t>
      </w:r>
    </w:p>
    <w:p>
      <w:pPr>
        <w:spacing w:line="221" w:lineRule="auto"/>
        <w:ind w:left="817"/>
        <w:rPr>
          <w:rFonts w:ascii="宋体" w:hAnsi="宋体" w:eastAsia="宋体" w:cs="宋体"/>
          <w:sz w:val="21"/>
          <w:szCs w:val="21"/>
        </w:rPr>
      </w:pPr>
      <w:r>
        <w:rPr>
          <w:rFonts w:ascii="宋体" w:hAnsi="宋体" w:eastAsia="宋体" w:cs="宋体"/>
          <w:spacing w:val="-11"/>
          <w:sz w:val="21"/>
          <w:szCs w:val="21"/>
        </w:rPr>
        <w:t>果。</w:t>
      </w:r>
    </w:p>
    <w:p>
      <w:pPr>
        <w:spacing w:before="188" w:line="220" w:lineRule="auto"/>
        <w:ind w:left="6709"/>
        <w:rPr>
          <w:rFonts w:ascii="宋体" w:hAnsi="宋体" w:eastAsia="宋体" w:cs="宋体"/>
          <w:sz w:val="21"/>
          <w:szCs w:val="21"/>
        </w:rPr>
      </w:pPr>
      <w:r>
        <w:rPr>
          <w:rFonts w:ascii="宋体" w:hAnsi="宋体" w:eastAsia="宋体" w:cs="宋体"/>
          <w:spacing w:val="2"/>
          <w:sz w:val="21"/>
          <w:szCs w:val="21"/>
        </w:rPr>
        <w:t>投标人</w:t>
      </w:r>
      <w:r>
        <w:rPr>
          <w:rFonts w:ascii="宋体" w:hAnsi="宋体" w:eastAsia="宋体" w:cs="宋体"/>
          <w:spacing w:val="-52"/>
          <w:w w:val="93"/>
          <w:sz w:val="21"/>
          <w:szCs w:val="21"/>
        </w:rPr>
        <w:t>：（</w:t>
      </w:r>
      <w:r>
        <w:rPr>
          <w:rFonts w:ascii="宋体" w:hAnsi="宋体" w:eastAsia="宋体" w:cs="宋体"/>
          <w:spacing w:val="2"/>
          <w:sz w:val="21"/>
          <w:szCs w:val="21"/>
        </w:rPr>
        <w:t>盖单位章）</w:t>
      </w:r>
    </w:p>
    <w:p>
      <w:pPr>
        <w:spacing w:before="191" w:line="220" w:lineRule="auto"/>
        <w:ind w:left="5024"/>
        <w:rPr>
          <w:rFonts w:ascii="宋体" w:hAnsi="宋体" w:eastAsia="宋体" w:cs="宋体"/>
          <w:sz w:val="21"/>
          <w:szCs w:val="21"/>
        </w:rPr>
      </w:pPr>
      <w:r>
        <w:rPr>
          <w:rFonts w:ascii="宋体" w:hAnsi="宋体" w:eastAsia="宋体" w:cs="宋体"/>
          <w:spacing w:val="-4"/>
          <w:sz w:val="21"/>
          <w:szCs w:val="21"/>
        </w:rPr>
        <w:t>法定代表人或其委托代理人</w:t>
      </w:r>
      <w:r>
        <w:rPr>
          <w:rFonts w:ascii="宋体" w:hAnsi="宋体" w:eastAsia="宋体" w:cs="宋体"/>
          <w:spacing w:val="-23"/>
          <w:sz w:val="21"/>
          <w:szCs w:val="21"/>
        </w:rPr>
        <w:t>：（</w:t>
      </w:r>
      <w:r>
        <w:rPr>
          <w:rFonts w:ascii="宋体" w:hAnsi="宋体" w:eastAsia="宋体" w:cs="宋体"/>
          <w:spacing w:val="-4"/>
          <w:sz w:val="21"/>
          <w:szCs w:val="21"/>
        </w:rPr>
        <w:t>签字或盖章）</w:t>
      </w:r>
    </w:p>
    <w:p>
      <w:pPr>
        <w:spacing w:before="189" w:line="220" w:lineRule="auto"/>
        <w:ind w:left="6602"/>
        <w:rPr>
          <w:rFonts w:ascii="宋体" w:hAnsi="宋体" w:eastAsia="宋体" w:cs="宋体"/>
          <w:sz w:val="21"/>
          <w:szCs w:val="21"/>
        </w:rPr>
      </w:pPr>
      <w:r>
        <w:rPr>
          <w:rFonts w:ascii="宋体" w:hAnsi="宋体" w:eastAsia="宋体" w:cs="宋体"/>
          <w:spacing w:val="-8"/>
          <w:sz w:val="21"/>
          <w:szCs w:val="21"/>
        </w:rPr>
        <w:t>项目经理</w:t>
      </w:r>
      <w:r>
        <w:rPr>
          <w:rFonts w:ascii="宋体" w:hAnsi="宋体" w:eastAsia="宋体" w:cs="宋体"/>
          <w:spacing w:val="-15"/>
          <w:sz w:val="21"/>
          <w:szCs w:val="21"/>
        </w:rPr>
        <w:t>：</w:t>
      </w:r>
      <w:r>
        <w:rPr>
          <w:rFonts w:ascii="宋体" w:hAnsi="宋体" w:eastAsia="宋体" w:cs="宋体"/>
          <w:spacing w:val="-30"/>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15"/>
          <w:sz w:val="21"/>
          <w:szCs w:val="21"/>
        </w:rPr>
        <w:t>（</w:t>
      </w:r>
      <w:r>
        <w:rPr>
          <w:rFonts w:ascii="宋体" w:hAnsi="宋体" w:eastAsia="宋体" w:cs="宋体"/>
          <w:spacing w:val="-8"/>
          <w:sz w:val="21"/>
          <w:szCs w:val="21"/>
        </w:rPr>
        <w:t>签章）</w:t>
      </w:r>
    </w:p>
    <w:p>
      <w:pPr>
        <w:pStyle w:val="16"/>
        <w:spacing w:line="295" w:lineRule="auto"/>
      </w:pPr>
    </w:p>
    <w:p>
      <w:pPr>
        <w:pStyle w:val="16"/>
        <w:spacing w:line="296" w:lineRule="auto"/>
      </w:pPr>
    </w:p>
    <w:p>
      <w:pPr>
        <w:spacing w:before="69" w:line="221" w:lineRule="auto"/>
        <w:ind w:left="7233"/>
        <w:rPr>
          <w:rFonts w:ascii="宋体" w:hAnsi="宋体"/>
          <w:color w:val="000000"/>
        </w:rPr>
        <w:sectPr>
          <w:footerReference r:id="rId15" w:type="default"/>
          <w:pgSz w:w="11906" w:h="16838"/>
          <w:pgMar w:top="1245" w:right="993" w:bottom="1588" w:left="993" w:header="851" w:footer="851" w:gutter="0"/>
          <w:cols w:space="425" w:num="1"/>
          <w:docGrid w:type="lines" w:linePitch="312" w:charSpace="0"/>
        </w:sectPr>
      </w:pPr>
      <w:r>
        <w:rPr>
          <w:rFonts w:ascii="宋体" w:hAnsi="宋体" w:eastAsia="宋体" w:cs="宋体"/>
          <w:spacing w:val="-7"/>
          <w:sz w:val="21"/>
          <w:szCs w:val="21"/>
        </w:rPr>
        <w:t>年</w:t>
      </w:r>
      <w:r>
        <w:rPr>
          <w:rFonts w:ascii="宋体" w:hAnsi="宋体" w:eastAsia="宋体" w:cs="宋体"/>
          <w:spacing w:val="4"/>
          <w:sz w:val="21"/>
          <w:szCs w:val="21"/>
        </w:rPr>
        <w:t xml:space="preserve">   </w:t>
      </w:r>
      <w:r>
        <w:rPr>
          <w:rFonts w:ascii="宋体" w:hAnsi="宋体" w:eastAsia="宋体" w:cs="宋体"/>
          <w:spacing w:val="-7"/>
          <w:sz w:val="21"/>
          <w:szCs w:val="21"/>
        </w:rPr>
        <w:t>月</w:t>
      </w:r>
      <w:r>
        <w:rPr>
          <w:rFonts w:ascii="宋体" w:hAnsi="宋体" w:eastAsia="宋体" w:cs="宋体"/>
          <w:spacing w:val="15"/>
          <w:sz w:val="21"/>
          <w:szCs w:val="21"/>
        </w:rPr>
        <w:t xml:space="preserve">   </w:t>
      </w:r>
      <w:r>
        <w:rPr>
          <w:rFonts w:ascii="宋体" w:hAnsi="宋体" w:eastAsia="宋体" w:cs="宋体"/>
          <w:spacing w:val="-7"/>
          <w:sz w:val="21"/>
          <w:szCs w:val="21"/>
        </w:rPr>
        <w:t>日</w:t>
      </w:r>
    </w:p>
    <w:p>
      <w:pPr>
        <w:spacing w:line="420" w:lineRule="exact"/>
        <w:jc w:val="both"/>
        <w:rPr>
          <w:rFonts w:ascii="黑体" w:eastAsia="黑体"/>
          <w:color w:val="000000"/>
          <w:sz w:val="32"/>
          <w:szCs w:val="32"/>
        </w:rPr>
      </w:pPr>
      <w:bookmarkStart w:id="257" w:name="_Toc295812194"/>
    </w:p>
    <w:p>
      <w:pPr>
        <w:spacing w:line="420" w:lineRule="exact"/>
        <w:jc w:val="center"/>
        <w:rPr>
          <w:rFonts w:ascii="黑体" w:eastAsia="黑体"/>
          <w:color w:val="000000"/>
          <w:sz w:val="32"/>
          <w:szCs w:val="32"/>
        </w:rPr>
      </w:pPr>
    </w:p>
    <w:p>
      <w:pPr>
        <w:spacing w:line="420" w:lineRule="exact"/>
        <w:jc w:val="center"/>
        <w:rPr>
          <w:rFonts w:ascii="黑体" w:eastAsia="黑体"/>
          <w:color w:val="000000"/>
          <w:sz w:val="32"/>
          <w:szCs w:val="32"/>
        </w:rPr>
      </w:pPr>
    </w:p>
    <w:p>
      <w:pPr>
        <w:spacing w:line="420" w:lineRule="exact"/>
        <w:jc w:val="center"/>
        <w:rPr>
          <w:rFonts w:ascii="黑体" w:eastAsia="黑体"/>
          <w:color w:val="000000"/>
          <w:sz w:val="32"/>
          <w:szCs w:val="32"/>
        </w:rPr>
      </w:pPr>
      <w:r>
        <w:rPr>
          <w:rFonts w:hint="eastAsia" w:ascii="黑体" w:eastAsia="黑体"/>
          <w:color w:val="000000"/>
          <w:sz w:val="32"/>
          <w:szCs w:val="32"/>
        </w:rPr>
        <w:t>第三章  评标办法</w:t>
      </w:r>
      <w:bookmarkEnd w:id="257"/>
    </w:p>
    <w:p>
      <w:pPr>
        <w:bidi w:val="0"/>
      </w:pPr>
      <w:r>
        <w:br w:type="page"/>
      </w:r>
    </w:p>
    <w:p>
      <w:pPr>
        <w:spacing w:before="156" w:beforeLines="50" w:after="156" w:afterLines="50"/>
        <w:jc w:val="center"/>
        <w:outlineLvl w:val="1"/>
        <w:rPr>
          <w:rFonts w:ascii="黑体" w:hAnsi="宋体" w:eastAsia="黑体"/>
          <w:color w:val="000000"/>
          <w:sz w:val="32"/>
          <w:szCs w:val="32"/>
        </w:rPr>
      </w:pPr>
      <w:bookmarkStart w:id="258" w:name="_Toc114222747"/>
      <w:bookmarkStart w:id="259" w:name="_Toc504078117"/>
      <w:r>
        <w:rPr>
          <w:rFonts w:hint="eastAsia" w:ascii="黑体" w:hAnsi="宋体" w:eastAsia="黑体"/>
          <w:color w:val="000000"/>
          <w:sz w:val="32"/>
          <w:szCs w:val="32"/>
        </w:rPr>
        <w:t>第三章  评标办法（经评审的最低投标报价法）</w:t>
      </w:r>
      <w:bookmarkEnd w:id="258"/>
      <w:bookmarkEnd w:id="259"/>
    </w:p>
    <w:p>
      <w:pPr>
        <w:spacing w:after="156" w:afterLines="50"/>
        <w:rPr>
          <w:rFonts w:ascii="黑体" w:hAnsi="宋体" w:eastAsia="黑体"/>
          <w:color w:val="000000"/>
          <w:szCs w:val="21"/>
        </w:rPr>
      </w:pPr>
      <w:r>
        <w:rPr>
          <w:rFonts w:hint="eastAsia" w:ascii="黑体" w:hAnsi="宋体" w:eastAsia="黑体"/>
          <w:color w:val="000000"/>
          <w:szCs w:val="21"/>
        </w:rPr>
        <w:t>评标办法前附表</w:t>
      </w:r>
    </w:p>
    <w:tbl>
      <w:tblPr>
        <w:tblStyle w:val="36"/>
        <w:tblW w:w="861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148"/>
        <w:gridCol w:w="1935"/>
        <w:gridCol w:w="4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8" w:type="dxa"/>
            <w:gridSpan w:val="2"/>
          </w:tcPr>
          <w:p>
            <w:pPr>
              <w:spacing w:line="240" w:lineRule="auto"/>
              <w:jc w:val="center"/>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条款号</w:t>
            </w:r>
          </w:p>
        </w:tc>
        <w:tc>
          <w:tcPr>
            <w:tcW w:w="1935" w:type="dxa"/>
          </w:tcPr>
          <w:p>
            <w:pPr>
              <w:spacing w:line="240" w:lineRule="auto"/>
              <w:jc w:val="center"/>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评审因素</w:t>
            </w:r>
          </w:p>
        </w:tc>
        <w:tc>
          <w:tcPr>
            <w:tcW w:w="4689" w:type="dxa"/>
          </w:tcPr>
          <w:p>
            <w:pPr>
              <w:spacing w:line="240" w:lineRule="auto"/>
              <w:jc w:val="center"/>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0" w:type="dxa"/>
            <w:vMerge w:val="restart"/>
            <w:vAlign w:val="center"/>
          </w:tcPr>
          <w:p>
            <w:pPr>
              <w:spacing w:line="240" w:lineRule="auto"/>
              <w:jc w:val="center"/>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2.1.1</w:t>
            </w:r>
          </w:p>
        </w:tc>
        <w:tc>
          <w:tcPr>
            <w:tcW w:w="1148" w:type="dxa"/>
            <w:vMerge w:val="restart"/>
            <w:vAlign w:val="center"/>
          </w:tcPr>
          <w:p>
            <w:pPr>
              <w:spacing w:line="240" w:lineRule="auto"/>
              <w:jc w:val="center"/>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形式评审</w:t>
            </w:r>
          </w:p>
          <w:p>
            <w:pPr>
              <w:spacing w:line="240" w:lineRule="auto"/>
              <w:jc w:val="center"/>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标准</w:t>
            </w:r>
          </w:p>
        </w:tc>
        <w:tc>
          <w:tcPr>
            <w:tcW w:w="1935" w:type="dxa"/>
          </w:tcPr>
          <w:p>
            <w:pPr>
              <w:spacing w:line="240" w:lineRule="auto"/>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投标人名称</w:t>
            </w:r>
          </w:p>
        </w:tc>
        <w:tc>
          <w:tcPr>
            <w:tcW w:w="4689" w:type="dxa"/>
          </w:tcPr>
          <w:p>
            <w:pPr>
              <w:spacing w:line="240" w:lineRule="auto"/>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与营业执照、资质证书、安全生产许可证一致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0" w:type="dxa"/>
            <w:vMerge w:val="continue"/>
            <w:vAlign w:val="center"/>
          </w:tcPr>
          <w:p>
            <w:pPr>
              <w:spacing w:line="240" w:lineRule="auto"/>
              <w:jc w:val="center"/>
              <w:rPr>
                <w:rFonts w:ascii="宋体" w:hAnsi="宋体"/>
                <w:color w:val="000000"/>
                <w:sz w:val="21"/>
                <w:szCs w:val="21"/>
                <w:highlight w:val="none"/>
                <w:shd w:val="clear" w:color="auto" w:fill="auto"/>
              </w:rPr>
            </w:pPr>
          </w:p>
        </w:tc>
        <w:tc>
          <w:tcPr>
            <w:tcW w:w="1148" w:type="dxa"/>
            <w:vMerge w:val="continue"/>
            <w:vAlign w:val="center"/>
          </w:tcPr>
          <w:p>
            <w:pPr>
              <w:spacing w:line="240" w:lineRule="auto"/>
              <w:jc w:val="center"/>
              <w:rPr>
                <w:rFonts w:ascii="宋体" w:hAnsi="宋体"/>
                <w:color w:val="000000"/>
                <w:sz w:val="21"/>
                <w:szCs w:val="21"/>
                <w:highlight w:val="none"/>
                <w:shd w:val="clear" w:color="auto" w:fill="auto"/>
              </w:rPr>
            </w:pPr>
          </w:p>
        </w:tc>
        <w:tc>
          <w:tcPr>
            <w:tcW w:w="1935" w:type="dxa"/>
          </w:tcPr>
          <w:p>
            <w:pPr>
              <w:spacing w:line="240" w:lineRule="auto"/>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投标函签字盖章</w:t>
            </w:r>
          </w:p>
        </w:tc>
        <w:tc>
          <w:tcPr>
            <w:tcW w:w="4689" w:type="dxa"/>
          </w:tcPr>
          <w:p>
            <w:pPr>
              <w:spacing w:line="240" w:lineRule="auto"/>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有法定代表人或其委托代理人电子签章并加盖单位电子签章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0" w:type="dxa"/>
            <w:vMerge w:val="continue"/>
            <w:vAlign w:val="center"/>
          </w:tcPr>
          <w:p>
            <w:pPr>
              <w:spacing w:line="240" w:lineRule="auto"/>
              <w:jc w:val="center"/>
              <w:rPr>
                <w:rFonts w:ascii="宋体" w:hAnsi="宋体"/>
                <w:color w:val="000000"/>
                <w:sz w:val="21"/>
                <w:szCs w:val="21"/>
                <w:highlight w:val="none"/>
                <w:shd w:val="clear" w:color="auto" w:fill="auto"/>
              </w:rPr>
            </w:pPr>
          </w:p>
        </w:tc>
        <w:tc>
          <w:tcPr>
            <w:tcW w:w="1148" w:type="dxa"/>
            <w:vMerge w:val="continue"/>
            <w:vAlign w:val="center"/>
          </w:tcPr>
          <w:p>
            <w:pPr>
              <w:spacing w:line="240" w:lineRule="auto"/>
              <w:jc w:val="center"/>
              <w:rPr>
                <w:rFonts w:ascii="宋体" w:hAnsi="宋体"/>
                <w:color w:val="000000"/>
                <w:sz w:val="21"/>
                <w:szCs w:val="21"/>
                <w:highlight w:val="none"/>
                <w:shd w:val="clear" w:color="auto" w:fill="auto"/>
              </w:rPr>
            </w:pPr>
          </w:p>
        </w:tc>
        <w:tc>
          <w:tcPr>
            <w:tcW w:w="1935" w:type="dxa"/>
          </w:tcPr>
          <w:p>
            <w:pPr>
              <w:spacing w:line="240" w:lineRule="auto"/>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投标文件格式</w:t>
            </w:r>
          </w:p>
        </w:tc>
        <w:tc>
          <w:tcPr>
            <w:tcW w:w="4689" w:type="dxa"/>
          </w:tcPr>
          <w:p>
            <w:pPr>
              <w:spacing w:line="240" w:lineRule="auto"/>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符合第八章“投标文件格式”的要求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0" w:type="dxa"/>
            <w:vMerge w:val="continue"/>
            <w:vAlign w:val="center"/>
          </w:tcPr>
          <w:p>
            <w:pPr>
              <w:spacing w:line="240" w:lineRule="auto"/>
              <w:jc w:val="center"/>
              <w:rPr>
                <w:rFonts w:ascii="宋体" w:hAnsi="宋体"/>
                <w:color w:val="000000"/>
                <w:sz w:val="21"/>
                <w:szCs w:val="21"/>
                <w:highlight w:val="none"/>
                <w:shd w:val="clear" w:color="auto" w:fill="auto"/>
              </w:rPr>
            </w:pPr>
          </w:p>
        </w:tc>
        <w:tc>
          <w:tcPr>
            <w:tcW w:w="1148" w:type="dxa"/>
            <w:vMerge w:val="continue"/>
            <w:vAlign w:val="center"/>
          </w:tcPr>
          <w:p>
            <w:pPr>
              <w:spacing w:line="240" w:lineRule="auto"/>
              <w:jc w:val="center"/>
              <w:rPr>
                <w:rFonts w:ascii="宋体" w:hAnsi="宋体"/>
                <w:color w:val="000000"/>
                <w:sz w:val="21"/>
                <w:szCs w:val="21"/>
                <w:highlight w:val="none"/>
                <w:shd w:val="clear" w:color="auto" w:fill="auto"/>
              </w:rPr>
            </w:pPr>
          </w:p>
        </w:tc>
        <w:tc>
          <w:tcPr>
            <w:tcW w:w="1935" w:type="dxa"/>
          </w:tcPr>
          <w:p>
            <w:pPr>
              <w:spacing w:line="240" w:lineRule="auto"/>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联合体投标人（如有）</w:t>
            </w:r>
          </w:p>
        </w:tc>
        <w:tc>
          <w:tcPr>
            <w:tcW w:w="4689" w:type="dxa"/>
          </w:tcPr>
          <w:p>
            <w:pPr>
              <w:spacing w:line="240" w:lineRule="auto"/>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提交联合体协议书，并明确联合体牵头人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0" w:type="dxa"/>
            <w:vMerge w:val="continue"/>
            <w:vAlign w:val="center"/>
          </w:tcPr>
          <w:p>
            <w:pPr>
              <w:spacing w:line="240" w:lineRule="auto"/>
              <w:jc w:val="center"/>
              <w:rPr>
                <w:rFonts w:ascii="宋体" w:hAnsi="宋体"/>
                <w:color w:val="000000"/>
                <w:sz w:val="21"/>
                <w:szCs w:val="21"/>
                <w:highlight w:val="none"/>
                <w:shd w:val="clear" w:color="auto" w:fill="auto"/>
              </w:rPr>
            </w:pPr>
          </w:p>
        </w:tc>
        <w:tc>
          <w:tcPr>
            <w:tcW w:w="1148" w:type="dxa"/>
            <w:vMerge w:val="continue"/>
            <w:vAlign w:val="center"/>
          </w:tcPr>
          <w:p>
            <w:pPr>
              <w:spacing w:line="240" w:lineRule="auto"/>
              <w:jc w:val="center"/>
              <w:rPr>
                <w:rFonts w:ascii="宋体" w:hAnsi="宋体"/>
                <w:color w:val="000000"/>
                <w:sz w:val="21"/>
                <w:szCs w:val="21"/>
                <w:highlight w:val="none"/>
                <w:shd w:val="clear" w:color="auto" w:fill="auto"/>
              </w:rPr>
            </w:pPr>
          </w:p>
        </w:tc>
        <w:tc>
          <w:tcPr>
            <w:tcW w:w="1935" w:type="dxa"/>
          </w:tcPr>
          <w:p>
            <w:pPr>
              <w:spacing w:line="240" w:lineRule="auto"/>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报价唯一</w:t>
            </w:r>
          </w:p>
        </w:tc>
        <w:tc>
          <w:tcPr>
            <w:tcW w:w="4689" w:type="dxa"/>
          </w:tcPr>
          <w:p>
            <w:pPr>
              <w:spacing w:line="240" w:lineRule="auto"/>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只能有一个有效报价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0" w:type="dxa"/>
            <w:vMerge w:val="restart"/>
            <w:vAlign w:val="center"/>
          </w:tcPr>
          <w:p>
            <w:pPr>
              <w:spacing w:line="240" w:lineRule="auto"/>
              <w:jc w:val="center"/>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2.1.2</w:t>
            </w:r>
          </w:p>
        </w:tc>
        <w:tc>
          <w:tcPr>
            <w:tcW w:w="1148" w:type="dxa"/>
            <w:vMerge w:val="restart"/>
            <w:vAlign w:val="center"/>
          </w:tcPr>
          <w:p>
            <w:pPr>
              <w:spacing w:line="240" w:lineRule="auto"/>
              <w:jc w:val="center"/>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资格评审标准</w:t>
            </w:r>
          </w:p>
        </w:tc>
        <w:tc>
          <w:tcPr>
            <w:tcW w:w="1935" w:type="dxa"/>
          </w:tcPr>
          <w:p>
            <w:pPr>
              <w:spacing w:line="240" w:lineRule="auto"/>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营业执照</w:t>
            </w:r>
          </w:p>
        </w:tc>
        <w:tc>
          <w:tcPr>
            <w:tcW w:w="4689" w:type="dxa"/>
          </w:tcPr>
          <w:p>
            <w:pPr>
              <w:spacing w:line="240" w:lineRule="auto"/>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具备有效的营业执照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0" w:type="dxa"/>
            <w:vMerge w:val="continue"/>
            <w:vAlign w:val="center"/>
          </w:tcPr>
          <w:p>
            <w:pPr>
              <w:spacing w:line="240" w:lineRule="auto"/>
              <w:jc w:val="center"/>
              <w:rPr>
                <w:rFonts w:ascii="宋体" w:hAnsi="宋体"/>
                <w:color w:val="000000"/>
                <w:sz w:val="21"/>
                <w:szCs w:val="21"/>
                <w:highlight w:val="none"/>
                <w:shd w:val="clear" w:color="auto" w:fill="auto"/>
              </w:rPr>
            </w:pPr>
          </w:p>
        </w:tc>
        <w:tc>
          <w:tcPr>
            <w:tcW w:w="1148" w:type="dxa"/>
            <w:vMerge w:val="continue"/>
            <w:vAlign w:val="center"/>
          </w:tcPr>
          <w:p>
            <w:pPr>
              <w:spacing w:line="240" w:lineRule="auto"/>
              <w:jc w:val="center"/>
              <w:rPr>
                <w:rFonts w:ascii="宋体" w:hAnsi="宋体"/>
                <w:color w:val="000000"/>
                <w:sz w:val="21"/>
                <w:szCs w:val="21"/>
                <w:highlight w:val="none"/>
                <w:shd w:val="clear" w:color="auto" w:fill="auto"/>
              </w:rPr>
            </w:pPr>
          </w:p>
        </w:tc>
        <w:tc>
          <w:tcPr>
            <w:tcW w:w="1935" w:type="dxa"/>
          </w:tcPr>
          <w:p>
            <w:pPr>
              <w:spacing w:line="240" w:lineRule="auto"/>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安全生产许可证</w:t>
            </w:r>
          </w:p>
        </w:tc>
        <w:tc>
          <w:tcPr>
            <w:tcW w:w="4689" w:type="dxa"/>
          </w:tcPr>
          <w:p>
            <w:pPr>
              <w:spacing w:line="240" w:lineRule="auto"/>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具备有效的安全生产许可证（</w:t>
            </w:r>
            <w:r>
              <w:rPr>
                <w:rFonts w:hint="eastAsia"/>
                <w:sz w:val="21"/>
                <w:szCs w:val="21"/>
                <w:highlight w:val="none"/>
                <w:shd w:val="clear" w:color="auto" w:fill="auto"/>
              </w:rPr>
              <w:t>园林类项目的施工单位无需提供</w:t>
            </w:r>
            <w:r>
              <w:rPr>
                <w:rFonts w:hint="eastAsia" w:ascii="宋体" w:hAnsi="宋体"/>
                <w:color w:val="000000"/>
                <w:sz w:val="21"/>
                <w:szCs w:val="21"/>
                <w:highlight w:val="none"/>
                <w:shd w:val="clear" w:color="auto" w:fil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0" w:type="dxa"/>
            <w:vMerge w:val="continue"/>
            <w:vAlign w:val="center"/>
          </w:tcPr>
          <w:p>
            <w:pPr>
              <w:spacing w:line="240" w:lineRule="auto"/>
              <w:jc w:val="center"/>
              <w:rPr>
                <w:rFonts w:ascii="宋体" w:hAnsi="宋体"/>
                <w:color w:val="000000"/>
                <w:sz w:val="21"/>
                <w:szCs w:val="21"/>
                <w:highlight w:val="none"/>
                <w:shd w:val="clear" w:color="auto" w:fill="auto"/>
              </w:rPr>
            </w:pPr>
          </w:p>
        </w:tc>
        <w:tc>
          <w:tcPr>
            <w:tcW w:w="1148" w:type="dxa"/>
            <w:vMerge w:val="continue"/>
            <w:vAlign w:val="center"/>
          </w:tcPr>
          <w:p>
            <w:pPr>
              <w:spacing w:line="240" w:lineRule="auto"/>
              <w:jc w:val="center"/>
              <w:rPr>
                <w:rFonts w:ascii="宋体" w:hAnsi="宋体"/>
                <w:color w:val="000000"/>
                <w:sz w:val="21"/>
                <w:szCs w:val="21"/>
                <w:highlight w:val="none"/>
                <w:shd w:val="clear" w:color="auto" w:fill="auto"/>
              </w:rPr>
            </w:pPr>
          </w:p>
        </w:tc>
        <w:tc>
          <w:tcPr>
            <w:tcW w:w="1935" w:type="dxa"/>
          </w:tcPr>
          <w:p>
            <w:pPr>
              <w:spacing w:line="240" w:lineRule="auto"/>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资质等级</w:t>
            </w:r>
          </w:p>
        </w:tc>
        <w:tc>
          <w:tcPr>
            <w:tcW w:w="4689" w:type="dxa"/>
          </w:tcPr>
          <w:p>
            <w:pPr>
              <w:spacing w:line="240" w:lineRule="auto"/>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0" w:type="dxa"/>
            <w:vMerge w:val="continue"/>
            <w:vAlign w:val="center"/>
          </w:tcPr>
          <w:p>
            <w:pPr>
              <w:spacing w:line="240" w:lineRule="auto"/>
              <w:jc w:val="center"/>
              <w:rPr>
                <w:rFonts w:ascii="宋体" w:hAnsi="宋体"/>
                <w:color w:val="000000"/>
                <w:sz w:val="21"/>
                <w:szCs w:val="21"/>
                <w:highlight w:val="none"/>
                <w:shd w:val="clear" w:color="auto" w:fill="auto"/>
              </w:rPr>
            </w:pPr>
          </w:p>
        </w:tc>
        <w:tc>
          <w:tcPr>
            <w:tcW w:w="1148" w:type="dxa"/>
            <w:vMerge w:val="continue"/>
            <w:vAlign w:val="center"/>
          </w:tcPr>
          <w:p>
            <w:pPr>
              <w:spacing w:line="240" w:lineRule="auto"/>
              <w:jc w:val="center"/>
              <w:rPr>
                <w:rFonts w:ascii="宋体" w:hAnsi="宋体"/>
                <w:color w:val="000000"/>
                <w:sz w:val="21"/>
                <w:szCs w:val="21"/>
                <w:highlight w:val="none"/>
                <w:shd w:val="clear" w:color="auto" w:fill="auto"/>
              </w:rPr>
            </w:pPr>
          </w:p>
        </w:tc>
        <w:tc>
          <w:tcPr>
            <w:tcW w:w="1935" w:type="dxa"/>
          </w:tcPr>
          <w:p>
            <w:pPr>
              <w:spacing w:line="240" w:lineRule="auto"/>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企业诚信</w:t>
            </w:r>
          </w:p>
        </w:tc>
        <w:tc>
          <w:tcPr>
            <w:tcW w:w="4689" w:type="dxa"/>
          </w:tcPr>
          <w:p>
            <w:pPr>
              <w:spacing w:line="240" w:lineRule="auto"/>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0" w:type="dxa"/>
            <w:vMerge w:val="continue"/>
            <w:vAlign w:val="center"/>
          </w:tcPr>
          <w:p>
            <w:pPr>
              <w:spacing w:line="240" w:lineRule="auto"/>
              <w:jc w:val="center"/>
              <w:rPr>
                <w:rFonts w:ascii="宋体" w:hAnsi="宋体"/>
                <w:color w:val="000000"/>
                <w:sz w:val="21"/>
                <w:szCs w:val="21"/>
                <w:highlight w:val="none"/>
                <w:shd w:val="clear" w:color="auto" w:fill="auto"/>
              </w:rPr>
            </w:pPr>
          </w:p>
        </w:tc>
        <w:tc>
          <w:tcPr>
            <w:tcW w:w="1148" w:type="dxa"/>
            <w:vMerge w:val="continue"/>
            <w:vAlign w:val="center"/>
          </w:tcPr>
          <w:p>
            <w:pPr>
              <w:spacing w:line="240" w:lineRule="auto"/>
              <w:jc w:val="center"/>
              <w:rPr>
                <w:rFonts w:ascii="宋体" w:hAnsi="宋体"/>
                <w:color w:val="000000"/>
                <w:sz w:val="21"/>
                <w:szCs w:val="21"/>
                <w:highlight w:val="none"/>
                <w:shd w:val="clear" w:color="auto" w:fill="auto"/>
              </w:rPr>
            </w:pPr>
          </w:p>
        </w:tc>
        <w:tc>
          <w:tcPr>
            <w:tcW w:w="1935" w:type="dxa"/>
          </w:tcPr>
          <w:p>
            <w:pPr>
              <w:spacing w:line="240" w:lineRule="auto"/>
              <w:rPr>
                <w:rFonts w:ascii="宋体" w:hAnsi="宋体"/>
                <w:color w:val="000000"/>
                <w:sz w:val="21"/>
                <w:szCs w:val="21"/>
                <w:highlight w:val="none"/>
                <w:shd w:val="clear" w:color="auto" w:fill="auto"/>
              </w:rPr>
            </w:pPr>
            <w:r>
              <w:rPr>
                <w:rFonts w:hint="eastAsia"/>
                <w:color w:val="000000"/>
                <w:sz w:val="21"/>
                <w:szCs w:val="21"/>
                <w:highlight w:val="none"/>
                <w:shd w:val="clear" w:color="auto" w:fill="auto"/>
              </w:rPr>
              <w:t>项目负责人（项目经理）</w:t>
            </w:r>
          </w:p>
        </w:tc>
        <w:tc>
          <w:tcPr>
            <w:tcW w:w="4689" w:type="dxa"/>
            <w:vAlign w:val="center"/>
          </w:tcPr>
          <w:p>
            <w:pPr>
              <w:spacing w:line="240" w:lineRule="auto"/>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0" w:type="dxa"/>
            <w:vMerge w:val="continue"/>
            <w:vAlign w:val="center"/>
          </w:tcPr>
          <w:p>
            <w:pPr>
              <w:spacing w:line="240" w:lineRule="auto"/>
              <w:jc w:val="center"/>
              <w:rPr>
                <w:rFonts w:ascii="宋体" w:hAnsi="宋体"/>
                <w:color w:val="000000"/>
                <w:sz w:val="21"/>
                <w:szCs w:val="21"/>
                <w:highlight w:val="none"/>
                <w:shd w:val="clear" w:color="auto" w:fill="auto"/>
              </w:rPr>
            </w:pPr>
          </w:p>
        </w:tc>
        <w:tc>
          <w:tcPr>
            <w:tcW w:w="1148" w:type="dxa"/>
            <w:vMerge w:val="continue"/>
            <w:vAlign w:val="center"/>
          </w:tcPr>
          <w:p>
            <w:pPr>
              <w:spacing w:line="240" w:lineRule="auto"/>
              <w:jc w:val="center"/>
              <w:rPr>
                <w:rFonts w:ascii="宋体" w:hAnsi="宋体"/>
                <w:color w:val="000000"/>
                <w:sz w:val="21"/>
                <w:szCs w:val="21"/>
                <w:highlight w:val="none"/>
                <w:shd w:val="clear" w:color="auto" w:fill="auto"/>
              </w:rPr>
            </w:pPr>
          </w:p>
        </w:tc>
        <w:tc>
          <w:tcPr>
            <w:tcW w:w="1935" w:type="dxa"/>
          </w:tcPr>
          <w:p>
            <w:pPr>
              <w:spacing w:line="240" w:lineRule="auto"/>
              <w:rPr>
                <w:rFonts w:ascii="宋体" w:hAnsi="宋体"/>
                <w:strike/>
                <w:color w:val="000000"/>
                <w:sz w:val="21"/>
                <w:szCs w:val="21"/>
                <w:highlight w:val="none"/>
                <w:shd w:val="clear" w:color="auto" w:fill="auto"/>
              </w:rPr>
            </w:pPr>
            <w:r>
              <w:rPr>
                <w:rFonts w:hint="eastAsia" w:ascii="宋体" w:hAnsi="宋体"/>
                <w:color w:val="000000"/>
                <w:sz w:val="21"/>
                <w:szCs w:val="21"/>
                <w:highlight w:val="none"/>
                <w:shd w:val="clear" w:color="auto" w:fill="auto"/>
              </w:rPr>
              <w:t>其他要求</w:t>
            </w:r>
          </w:p>
        </w:tc>
        <w:tc>
          <w:tcPr>
            <w:tcW w:w="4689" w:type="dxa"/>
            <w:vAlign w:val="center"/>
          </w:tcPr>
          <w:p>
            <w:pPr>
              <w:spacing w:line="240" w:lineRule="auto"/>
              <w:rPr>
                <w:rFonts w:ascii="宋体" w:hAnsi="宋体"/>
                <w:strike/>
                <w:color w:val="000000"/>
                <w:sz w:val="21"/>
                <w:szCs w:val="21"/>
                <w:highlight w:val="none"/>
                <w:shd w:val="clear" w:color="auto" w:fill="auto"/>
              </w:rPr>
            </w:pPr>
            <w:r>
              <w:rPr>
                <w:rFonts w:hint="eastAsia" w:ascii="宋体" w:hAnsi="宋体"/>
                <w:color w:val="000000"/>
                <w:sz w:val="21"/>
                <w:szCs w:val="21"/>
                <w:highlight w:val="none"/>
                <w:shd w:val="clear" w:color="auto" w:fill="auto"/>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0" w:type="dxa"/>
            <w:vMerge w:val="continue"/>
            <w:vAlign w:val="center"/>
          </w:tcPr>
          <w:p>
            <w:pPr>
              <w:spacing w:line="240" w:lineRule="auto"/>
              <w:jc w:val="center"/>
              <w:rPr>
                <w:rFonts w:ascii="宋体" w:hAnsi="宋体"/>
                <w:color w:val="000000"/>
                <w:sz w:val="21"/>
                <w:szCs w:val="21"/>
                <w:highlight w:val="none"/>
                <w:shd w:val="clear" w:color="auto" w:fill="auto"/>
              </w:rPr>
            </w:pPr>
          </w:p>
        </w:tc>
        <w:tc>
          <w:tcPr>
            <w:tcW w:w="1148" w:type="dxa"/>
            <w:vMerge w:val="continue"/>
            <w:vAlign w:val="center"/>
          </w:tcPr>
          <w:p>
            <w:pPr>
              <w:spacing w:line="240" w:lineRule="auto"/>
              <w:jc w:val="center"/>
              <w:rPr>
                <w:rFonts w:ascii="宋体" w:hAnsi="宋体"/>
                <w:color w:val="000000"/>
                <w:sz w:val="21"/>
                <w:szCs w:val="21"/>
                <w:highlight w:val="none"/>
                <w:shd w:val="clear" w:color="auto" w:fill="auto"/>
              </w:rPr>
            </w:pPr>
          </w:p>
        </w:tc>
        <w:tc>
          <w:tcPr>
            <w:tcW w:w="1935" w:type="dxa"/>
          </w:tcPr>
          <w:p>
            <w:pPr>
              <w:spacing w:line="240" w:lineRule="auto"/>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联合体投标人（如有）</w:t>
            </w:r>
          </w:p>
        </w:tc>
        <w:tc>
          <w:tcPr>
            <w:tcW w:w="4689" w:type="dxa"/>
            <w:vAlign w:val="center"/>
          </w:tcPr>
          <w:p>
            <w:pPr>
              <w:spacing w:line="240" w:lineRule="auto"/>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符合第二章“投标人须知”第1.4.2项规定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0" w:type="dxa"/>
            <w:vMerge w:val="restart"/>
            <w:vAlign w:val="center"/>
          </w:tcPr>
          <w:p>
            <w:pPr>
              <w:spacing w:line="240" w:lineRule="auto"/>
              <w:jc w:val="center"/>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2.1.3</w:t>
            </w:r>
          </w:p>
        </w:tc>
        <w:tc>
          <w:tcPr>
            <w:tcW w:w="1148" w:type="dxa"/>
            <w:vMerge w:val="restart"/>
            <w:vAlign w:val="center"/>
          </w:tcPr>
          <w:p>
            <w:pPr>
              <w:spacing w:line="240" w:lineRule="auto"/>
              <w:jc w:val="center"/>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响应性</w:t>
            </w:r>
          </w:p>
          <w:p>
            <w:pPr>
              <w:spacing w:line="240" w:lineRule="auto"/>
              <w:jc w:val="center"/>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评审标准</w:t>
            </w:r>
          </w:p>
        </w:tc>
        <w:tc>
          <w:tcPr>
            <w:tcW w:w="1935" w:type="dxa"/>
          </w:tcPr>
          <w:p>
            <w:pPr>
              <w:spacing w:line="240" w:lineRule="auto"/>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投标内容</w:t>
            </w:r>
          </w:p>
        </w:tc>
        <w:tc>
          <w:tcPr>
            <w:tcW w:w="4689" w:type="dxa"/>
          </w:tcPr>
          <w:p>
            <w:pPr>
              <w:spacing w:line="240" w:lineRule="auto"/>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符合第二章“投标人须知”第1.3.1项规定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0" w:type="dxa"/>
            <w:vMerge w:val="continue"/>
          </w:tcPr>
          <w:p>
            <w:pPr>
              <w:spacing w:line="240" w:lineRule="auto"/>
              <w:rPr>
                <w:rFonts w:ascii="宋体" w:hAnsi="宋体"/>
                <w:color w:val="000000"/>
                <w:sz w:val="21"/>
                <w:szCs w:val="21"/>
                <w:highlight w:val="none"/>
                <w:shd w:val="clear" w:color="auto" w:fill="auto"/>
              </w:rPr>
            </w:pPr>
          </w:p>
        </w:tc>
        <w:tc>
          <w:tcPr>
            <w:tcW w:w="1148" w:type="dxa"/>
            <w:vMerge w:val="continue"/>
          </w:tcPr>
          <w:p>
            <w:pPr>
              <w:spacing w:line="240" w:lineRule="auto"/>
              <w:rPr>
                <w:rFonts w:ascii="宋体" w:hAnsi="宋体"/>
                <w:color w:val="000000"/>
                <w:sz w:val="21"/>
                <w:szCs w:val="21"/>
                <w:highlight w:val="none"/>
                <w:shd w:val="clear" w:color="auto" w:fill="auto"/>
              </w:rPr>
            </w:pPr>
          </w:p>
        </w:tc>
        <w:tc>
          <w:tcPr>
            <w:tcW w:w="1935" w:type="dxa"/>
          </w:tcPr>
          <w:p>
            <w:pPr>
              <w:spacing w:line="240" w:lineRule="auto"/>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工期</w:t>
            </w:r>
          </w:p>
        </w:tc>
        <w:tc>
          <w:tcPr>
            <w:tcW w:w="4689" w:type="dxa"/>
          </w:tcPr>
          <w:p>
            <w:pPr>
              <w:spacing w:line="240" w:lineRule="auto"/>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符合第二章“投标人须知”第1.3.2项规定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0" w:type="dxa"/>
            <w:vMerge w:val="continue"/>
          </w:tcPr>
          <w:p>
            <w:pPr>
              <w:spacing w:line="240" w:lineRule="auto"/>
              <w:rPr>
                <w:rFonts w:ascii="宋体" w:hAnsi="宋体"/>
                <w:color w:val="000000"/>
                <w:sz w:val="21"/>
                <w:szCs w:val="21"/>
                <w:highlight w:val="none"/>
                <w:shd w:val="clear" w:color="auto" w:fill="auto"/>
              </w:rPr>
            </w:pPr>
          </w:p>
        </w:tc>
        <w:tc>
          <w:tcPr>
            <w:tcW w:w="1148" w:type="dxa"/>
            <w:vMerge w:val="continue"/>
          </w:tcPr>
          <w:p>
            <w:pPr>
              <w:spacing w:line="240" w:lineRule="auto"/>
              <w:rPr>
                <w:rFonts w:ascii="宋体" w:hAnsi="宋体"/>
                <w:color w:val="000000"/>
                <w:sz w:val="21"/>
                <w:szCs w:val="21"/>
                <w:highlight w:val="none"/>
                <w:shd w:val="clear" w:color="auto" w:fill="auto"/>
              </w:rPr>
            </w:pPr>
          </w:p>
        </w:tc>
        <w:tc>
          <w:tcPr>
            <w:tcW w:w="1935" w:type="dxa"/>
          </w:tcPr>
          <w:p>
            <w:pPr>
              <w:spacing w:line="240" w:lineRule="auto"/>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工程质量</w:t>
            </w:r>
          </w:p>
        </w:tc>
        <w:tc>
          <w:tcPr>
            <w:tcW w:w="4689" w:type="dxa"/>
          </w:tcPr>
          <w:p>
            <w:pPr>
              <w:spacing w:line="240" w:lineRule="auto"/>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符合第二章“投标人须知”第1.3.3项规定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0" w:type="dxa"/>
            <w:vMerge w:val="continue"/>
          </w:tcPr>
          <w:p>
            <w:pPr>
              <w:spacing w:line="240" w:lineRule="auto"/>
              <w:rPr>
                <w:rFonts w:ascii="宋体" w:hAnsi="宋体"/>
                <w:color w:val="000000"/>
                <w:sz w:val="21"/>
                <w:szCs w:val="21"/>
                <w:highlight w:val="none"/>
                <w:shd w:val="clear" w:color="auto" w:fill="auto"/>
              </w:rPr>
            </w:pPr>
          </w:p>
        </w:tc>
        <w:tc>
          <w:tcPr>
            <w:tcW w:w="1148" w:type="dxa"/>
            <w:vMerge w:val="continue"/>
          </w:tcPr>
          <w:p>
            <w:pPr>
              <w:spacing w:line="240" w:lineRule="auto"/>
              <w:rPr>
                <w:rFonts w:ascii="宋体" w:hAnsi="宋体"/>
                <w:color w:val="000000"/>
                <w:sz w:val="21"/>
                <w:szCs w:val="21"/>
                <w:highlight w:val="none"/>
                <w:shd w:val="clear" w:color="auto" w:fill="auto"/>
              </w:rPr>
            </w:pPr>
          </w:p>
        </w:tc>
        <w:tc>
          <w:tcPr>
            <w:tcW w:w="1935" w:type="dxa"/>
          </w:tcPr>
          <w:p>
            <w:pPr>
              <w:spacing w:line="240" w:lineRule="auto"/>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投标有效期</w:t>
            </w:r>
          </w:p>
        </w:tc>
        <w:tc>
          <w:tcPr>
            <w:tcW w:w="4689" w:type="dxa"/>
          </w:tcPr>
          <w:p>
            <w:pPr>
              <w:spacing w:line="240" w:lineRule="auto"/>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符合第二章“投标人须知”第3.3.1项规定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0" w:type="dxa"/>
            <w:vMerge w:val="continue"/>
          </w:tcPr>
          <w:p>
            <w:pPr>
              <w:spacing w:line="240" w:lineRule="auto"/>
              <w:rPr>
                <w:rFonts w:ascii="宋体" w:hAnsi="宋体"/>
                <w:color w:val="000000"/>
                <w:sz w:val="21"/>
                <w:szCs w:val="21"/>
                <w:highlight w:val="none"/>
                <w:shd w:val="clear" w:color="auto" w:fill="auto"/>
              </w:rPr>
            </w:pPr>
          </w:p>
        </w:tc>
        <w:tc>
          <w:tcPr>
            <w:tcW w:w="1148" w:type="dxa"/>
            <w:vMerge w:val="continue"/>
          </w:tcPr>
          <w:p>
            <w:pPr>
              <w:spacing w:line="240" w:lineRule="auto"/>
              <w:rPr>
                <w:rFonts w:ascii="宋体" w:hAnsi="宋体"/>
                <w:color w:val="000000"/>
                <w:sz w:val="21"/>
                <w:szCs w:val="21"/>
                <w:highlight w:val="none"/>
                <w:shd w:val="clear" w:color="auto" w:fill="auto"/>
              </w:rPr>
            </w:pPr>
          </w:p>
        </w:tc>
        <w:tc>
          <w:tcPr>
            <w:tcW w:w="1935" w:type="dxa"/>
          </w:tcPr>
          <w:p>
            <w:pPr>
              <w:spacing w:line="240" w:lineRule="auto"/>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投标保证金</w:t>
            </w:r>
          </w:p>
        </w:tc>
        <w:tc>
          <w:tcPr>
            <w:tcW w:w="4689" w:type="dxa"/>
          </w:tcPr>
          <w:p>
            <w:pPr>
              <w:spacing w:line="240" w:lineRule="auto"/>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符合第二章“投标人须知”第3.4.1项规定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0" w:type="dxa"/>
            <w:vMerge w:val="continue"/>
          </w:tcPr>
          <w:p>
            <w:pPr>
              <w:spacing w:line="240" w:lineRule="auto"/>
              <w:rPr>
                <w:rFonts w:ascii="宋体" w:hAnsi="宋体"/>
                <w:color w:val="000000"/>
                <w:sz w:val="21"/>
                <w:szCs w:val="21"/>
                <w:highlight w:val="none"/>
                <w:shd w:val="clear" w:color="auto" w:fill="auto"/>
              </w:rPr>
            </w:pPr>
          </w:p>
        </w:tc>
        <w:tc>
          <w:tcPr>
            <w:tcW w:w="1148" w:type="dxa"/>
            <w:vMerge w:val="continue"/>
          </w:tcPr>
          <w:p>
            <w:pPr>
              <w:spacing w:line="240" w:lineRule="auto"/>
              <w:rPr>
                <w:rFonts w:ascii="宋体" w:hAnsi="宋体"/>
                <w:color w:val="000000"/>
                <w:sz w:val="21"/>
                <w:szCs w:val="21"/>
                <w:highlight w:val="none"/>
                <w:shd w:val="clear" w:color="auto" w:fill="auto"/>
              </w:rPr>
            </w:pPr>
          </w:p>
        </w:tc>
        <w:tc>
          <w:tcPr>
            <w:tcW w:w="1935" w:type="dxa"/>
          </w:tcPr>
          <w:p>
            <w:pPr>
              <w:spacing w:line="240" w:lineRule="auto"/>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权利义务</w:t>
            </w:r>
          </w:p>
        </w:tc>
        <w:tc>
          <w:tcPr>
            <w:tcW w:w="4689" w:type="dxa"/>
          </w:tcPr>
          <w:p>
            <w:pPr>
              <w:spacing w:line="240" w:lineRule="auto"/>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投标函附录中的相关承诺符合或优于第四章“合同条款及格式”的相关规定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0" w:type="dxa"/>
            <w:vMerge w:val="continue"/>
          </w:tcPr>
          <w:p>
            <w:pPr>
              <w:spacing w:line="240" w:lineRule="auto"/>
              <w:rPr>
                <w:rFonts w:ascii="宋体" w:hAnsi="宋体"/>
                <w:color w:val="000000"/>
                <w:sz w:val="21"/>
                <w:szCs w:val="21"/>
                <w:highlight w:val="none"/>
                <w:shd w:val="clear" w:color="auto" w:fill="auto"/>
              </w:rPr>
            </w:pPr>
          </w:p>
        </w:tc>
        <w:tc>
          <w:tcPr>
            <w:tcW w:w="1148" w:type="dxa"/>
            <w:vMerge w:val="continue"/>
          </w:tcPr>
          <w:p>
            <w:pPr>
              <w:spacing w:line="240" w:lineRule="auto"/>
              <w:rPr>
                <w:rFonts w:ascii="宋体" w:hAnsi="宋体"/>
                <w:color w:val="000000"/>
                <w:sz w:val="21"/>
                <w:szCs w:val="21"/>
                <w:highlight w:val="none"/>
                <w:shd w:val="clear" w:color="auto" w:fill="auto"/>
              </w:rPr>
            </w:pPr>
          </w:p>
        </w:tc>
        <w:tc>
          <w:tcPr>
            <w:tcW w:w="1935" w:type="dxa"/>
          </w:tcPr>
          <w:p>
            <w:pPr>
              <w:spacing w:line="240" w:lineRule="auto"/>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已标价的工程量清单</w:t>
            </w:r>
          </w:p>
        </w:tc>
        <w:tc>
          <w:tcPr>
            <w:tcW w:w="4689" w:type="dxa"/>
          </w:tcPr>
          <w:p>
            <w:pPr>
              <w:spacing w:line="240" w:lineRule="auto"/>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符合第二章“投标人须知”前附表第10.11.1项规定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0" w:type="dxa"/>
            <w:vMerge w:val="continue"/>
          </w:tcPr>
          <w:p>
            <w:pPr>
              <w:spacing w:line="240" w:lineRule="auto"/>
              <w:rPr>
                <w:rFonts w:ascii="宋体" w:hAnsi="宋体"/>
                <w:color w:val="000000"/>
                <w:sz w:val="21"/>
                <w:szCs w:val="21"/>
                <w:highlight w:val="none"/>
                <w:shd w:val="clear" w:color="auto" w:fill="auto"/>
              </w:rPr>
            </w:pPr>
          </w:p>
        </w:tc>
        <w:tc>
          <w:tcPr>
            <w:tcW w:w="1148" w:type="dxa"/>
            <w:vMerge w:val="continue"/>
          </w:tcPr>
          <w:p>
            <w:pPr>
              <w:spacing w:line="240" w:lineRule="auto"/>
              <w:rPr>
                <w:rFonts w:ascii="宋体" w:hAnsi="宋体"/>
                <w:color w:val="000000"/>
                <w:sz w:val="21"/>
                <w:szCs w:val="21"/>
                <w:highlight w:val="none"/>
                <w:shd w:val="clear" w:color="auto" w:fill="auto"/>
              </w:rPr>
            </w:pPr>
          </w:p>
        </w:tc>
        <w:tc>
          <w:tcPr>
            <w:tcW w:w="1935" w:type="dxa"/>
          </w:tcPr>
          <w:p>
            <w:pPr>
              <w:spacing w:line="240" w:lineRule="auto"/>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投标价格</w:t>
            </w:r>
          </w:p>
        </w:tc>
        <w:tc>
          <w:tcPr>
            <w:tcW w:w="4689" w:type="dxa"/>
          </w:tcPr>
          <w:p>
            <w:pPr>
              <w:spacing w:line="240" w:lineRule="auto"/>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不超出（含等于）第二章“投标人须知”前附表第10.1项载明的招标控制价；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0" w:type="dxa"/>
            <w:vMerge w:val="continue"/>
          </w:tcPr>
          <w:p>
            <w:pPr>
              <w:spacing w:line="240" w:lineRule="auto"/>
              <w:rPr>
                <w:rFonts w:ascii="宋体" w:hAnsi="宋体"/>
                <w:color w:val="000000"/>
                <w:sz w:val="21"/>
                <w:szCs w:val="21"/>
                <w:highlight w:val="none"/>
                <w:shd w:val="clear" w:color="auto" w:fill="auto"/>
              </w:rPr>
            </w:pPr>
          </w:p>
        </w:tc>
        <w:tc>
          <w:tcPr>
            <w:tcW w:w="1148" w:type="dxa"/>
            <w:vMerge w:val="continue"/>
          </w:tcPr>
          <w:p>
            <w:pPr>
              <w:spacing w:line="240" w:lineRule="auto"/>
              <w:rPr>
                <w:rFonts w:ascii="宋体" w:hAnsi="宋体"/>
                <w:color w:val="000000"/>
                <w:sz w:val="21"/>
                <w:szCs w:val="21"/>
                <w:highlight w:val="none"/>
                <w:shd w:val="clear" w:color="auto" w:fill="auto"/>
              </w:rPr>
            </w:pPr>
          </w:p>
        </w:tc>
        <w:tc>
          <w:tcPr>
            <w:tcW w:w="1935" w:type="dxa"/>
          </w:tcPr>
          <w:p>
            <w:pPr>
              <w:spacing w:line="240" w:lineRule="auto"/>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分包计划</w:t>
            </w:r>
          </w:p>
        </w:tc>
        <w:tc>
          <w:tcPr>
            <w:tcW w:w="4689" w:type="dxa"/>
          </w:tcPr>
          <w:p>
            <w:pPr>
              <w:spacing w:line="240" w:lineRule="auto"/>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符合第二章“投标人须知”第1.11款规定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8" w:type="dxa"/>
            <w:gridSpan w:val="2"/>
          </w:tcPr>
          <w:p>
            <w:pPr>
              <w:spacing w:line="240" w:lineRule="auto"/>
              <w:jc w:val="center"/>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条款号</w:t>
            </w:r>
          </w:p>
        </w:tc>
        <w:tc>
          <w:tcPr>
            <w:tcW w:w="1935" w:type="dxa"/>
          </w:tcPr>
          <w:p>
            <w:pPr>
              <w:spacing w:line="240" w:lineRule="auto"/>
              <w:jc w:val="center"/>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条款内容</w:t>
            </w:r>
          </w:p>
        </w:tc>
        <w:tc>
          <w:tcPr>
            <w:tcW w:w="4689" w:type="dxa"/>
          </w:tcPr>
          <w:p>
            <w:pPr>
              <w:spacing w:line="240" w:lineRule="auto"/>
              <w:jc w:val="center"/>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50" w:hRule="atLeast"/>
        </w:trPr>
        <w:tc>
          <w:tcPr>
            <w:tcW w:w="1988" w:type="dxa"/>
            <w:gridSpan w:val="2"/>
            <w:vAlign w:val="center"/>
          </w:tcPr>
          <w:p>
            <w:pPr>
              <w:spacing w:line="240" w:lineRule="auto"/>
              <w:jc w:val="center"/>
              <w:rPr>
                <w:rFonts w:ascii="宋体" w:hAnsi="宋体"/>
                <w:color w:val="000000"/>
                <w:sz w:val="21"/>
                <w:szCs w:val="21"/>
                <w:highlight w:val="none"/>
                <w:shd w:val="clear" w:color="auto" w:fill="auto"/>
              </w:rPr>
            </w:pPr>
            <w:bookmarkStart w:id="260" w:name="_Hlk114168209"/>
            <w:r>
              <w:rPr>
                <w:rFonts w:hint="eastAsia" w:ascii="宋体" w:hAnsi="宋体"/>
                <w:color w:val="000000"/>
                <w:sz w:val="21"/>
                <w:szCs w:val="21"/>
                <w:highlight w:val="none"/>
                <w:shd w:val="clear" w:color="auto" w:fill="auto"/>
              </w:rPr>
              <w:t>2.2.1</w:t>
            </w:r>
          </w:p>
        </w:tc>
        <w:tc>
          <w:tcPr>
            <w:tcW w:w="1935" w:type="dxa"/>
            <w:vAlign w:val="center"/>
          </w:tcPr>
          <w:p>
            <w:pPr>
              <w:spacing w:line="240" w:lineRule="auto"/>
              <w:jc w:val="center"/>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分值构成</w:t>
            </w:r>
          </w:p>
          <w:p>
            <w:pPr>
              <w:spacing w:line="240" w:lineRule="auto"/>
              <w:jc w:val="center"/>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（总分100分）</w:t>
            </w:r>
          </w:p>
        </w:tc>
        <w:tc>
          <w:tcPr>
            <w:tcW w:w="4689" w:type="dxa"/>
          </w:tcPr>
          <w:p>
            <w:pPr>
              <w:spacing w:line="240" w:lineRule="auto"/>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投标报价（A）权重：</w:t>
            </w:r>
            <w:r>
              <w:rPr>
                <w:rFonts w:hint="eastAsia" w:ascii="宋体" w:hAnsi="宋体"/>
                <w:color w:val="000000"/>
                <w:sz w:val="21"/>
                <w:szCs w:val="21"/>
                <w:highlight w:val="none"/>
                <w:u w:val="single"/>
                <w:shd w:val="clear" w:color="auto" w:fill="auto"/>
              </w:rPr>
              <w:t xml:space="preserve">   </w:t>
            </w:r>
            <w:r>
              <w:rPr>
                <w:rFonts w:hint="eastAsia" w:ascii="宋体" w:hAnsi="宋体"/>
                <w:color w:val="000000"/>
                <w:sz w:val="21"/>
                <w:szCs w:val="21"/>
                <w:highlight w:val="none"/>
                <w:shd w:val="clear" w:color="auto" w:fill="auto"/>
              </w:rPr>
              <w:t>%（82%</w:t>
            </w:r>
            <w:r>
              <w:rPr>
                <w:rFonts w:hint="eastAsia" w:ascii="宋体" w:hAnsi="宋体"/>
                <w:color w:val="000000"/>
                <w:sz w:val="21"/>
                <w:szCs w:val="21"/>
                <w:highlight w:val="none"/>
                <w:shd w:val="clear" w:color="auto" w:fill="auto"/>
                <w:lang w:eastAsia="zh-CN"/>
              </w:rPr>
              <w:t>—</w:t>
            </w:r>
            <w:r>
              <w:rPr>
                <w:rFonts w:hint="eastAsia" w:ascii="宋体" w:hAnsi="宋体"/>
                <w:color w:val="000000"/>
                <w:sz w:val="21"/>
                <w:szCs w:val="21"/>
                <w:highlight w:val="none"/>
                <w:shd w:val="clear" w:color="auto" w:fill="auto"/>
              </w:rPr>
              <w:t>90%）</w:t>
            </w:r>
          </w:p>
          <w:p>
            <w:pPr>
              <w:spacing w:line="240" w:lineRule="auto"/>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其中：</w:t>
            </w:r>
            <w:r>
              <w:rPr>
                <w:rFonts w:hint="eastAsia" w:ascii="宋体" w:hAnsi="宋体" w:cs="宋体"/>
                <w:kern w:val="0"/>
                <w:sz w:val="21"/>
                <w:szCs w:val="21"/>
                <w:highlight w:val="none"/>
                <w:shd w:val="clear" w:color="auto" w:fill="auto"/>
              </w:rPr>
              <w:t>总报价得分（</w:t>
            </w:r>
            <w:r>
              <w:rPr>
                <w:rFonts w:ascii="宋体" w:hAnsi="宋体" w:cs="宋体"/>
                <w:kern w:val="0"/>
                <w:sz w:val="21"/>
                <w:szCs w:val="21"/>
                <w:highlight w:val="none"/>
                <w:shd w:val="clear" w:color="auto" w:fill="auto"/>
              </w:rPr>
              <w:t>A1）</w:t>
            </w:r>
            <w:r>
              <w:rPr>
                <w:rFonts w:hint="eastAsia" w:ascii="宋体" w:hAnsi="宋体" w:cs="宋体"/>
                <w:kern w:val="0"/>
                <w:sz w:val="21"/>
                <w:szCs w:val="21"/>
                <w:highlight w:val="none"/>
                <w:shd w:val="clear" w:color="auto" w:fill="auto"/>
              </w:rPr>
              <w:t>权重：（</w:t>
            </w:r>
            <w:r>
              <w:rPr>
                <w:rFonts w:hint="eastAsia" w:ascii="宋体" w:hAnsi="宋体"/>
                <w:color w:val="000000"/>
                <w:sz w:val="21"/>
                <w:szCs w:val="21"/>
                <w:highlight w:val="none"/>
                <w:shd w:val="clear" w:color="auto" w:fill="auto"/>
              </w:rPr>
              <w:t>60%）</w:t>
            </w:r>
          </w:p>
          <w:p>
            <w:pPr>
              <w:spacing w:line="240" w:lineRule="auto"/>
              <w:rPr>
                <w:rFonts w:ascii="宋体" w:hAnsi="宋体" w:cs="宋体"/>
                <w:kern w:val="0"/>
                <w:sz w:val="21"/>
                <w:szCs w:val="21"/>
                <w:highlight w:val="none"/>
                <w:shd w:val="clear" w:color="auto" w:fill="auto"/>
              </w:rPr>
            </w:pPr>
            <w:r>
              <w:rPr>
                <w:rFonts w:hint="eastAsia" w:ascii="宋体" w:hAnsi="宋体"/>
                <w:kern w:val="0"/>
                <w:sz w:val="21"/>
                <w:szCs w:val="21"/>
                <w:highlight w:val="none"/>
                <w:shd w:val="clear" w:color="auto" w:fill="auto"/>
              </w:rPr>
              <w:t>分部分项工程量清单报价得分（</w:t>
            </w:r>
            <w:r>
              <w:rPr>
                <w:rFonts w:ascii="宋体" w:hAnsi="宋体" w:cs="宋体"/>
                <w:kern w:val="0"/>
                <w:sz w:val="21"/>
                <w:szCs w:val="21"/>
                <w:highlight w:val="none"/>
                <w:shd w:val="clear" w:color="auto" w:fill="auto"/>
              </w:rPr>
              <w:t>A2</w:t>
            </w:r>
            <w:r>
              <w:rPr>
                <w:rFonts w:hint="eastAsia" w:ascii="宋体" w:hAnsi="宋体"/>
                <w:kern w:val="0"/>
                <w:sz w:val="21"/>
                <w:szCs w:val="21"/>
                <w:highlight w:val="none"/>
                <w:shd w:val="clear" w:color="auto" w:fill="auto"/>
              </w:rPr>
              <w:t>）</w:t>
            </w:r>
            <w:r>
              <w:rPr>
                <w:rFonts w:hint="eastAsia" w:ascii="宋体" w:hAnsi="宋体" w:cs="宋体"/>
                <w:kern w:val="0"/>
                <w:sz w:val="21"/>
                <w:szCs w:val="21"/>
                <w:highlight w:val="none"/>
                <w:shd w:val="clear" w:color="auto" w:fill="auto"/>
              </w:rPr>
              <w:t>权重：（40</w:t>
            </w:r>
            <w:r>
              <w:rPr>
                <w:rFonts w:hint="eastAsia" w:ascii="宋体" w:hAnsi="宋体"/>
                <w:color w:val="000000"/>
                <w:sz w:val="21"/>
                <w:szCs w:val="21"/>
                <w:highlight w:val="none"/>
                <w:shd w:val="clear" w:color="auto" w:fill="auto"/>
              </w:rPr>
              <w:t>%）</w:t>
            </w:r>
          </w:p>
          <w:p>
            <w:pPr>
              <w:spacing w:line="240" w:lineRule="auto"/>
              <w:rPr>
                <w:rFonts w:ascii="宋体" w:hAnsi="宋体"/>
                <w:color w:val="000000"/>
                <w:sz w:val="21"/>
                <w:szCs w:val="21"/>
                <w:highlight w:val="none"/>
                <w:shd w:val="clear" w:color="auto" w:fill="auto"/>
              </w:rPr>
            </w:pPr>
            <w:r>
              <w:rPr>
                <w:rFonts w:hint="eastAsia" w:ascii="宋体" w:hAnsi="宋体" w:cs="宋体"/>
                <w:kern w:val="0"/>
                <w:sz w:val="21"/>
                <w:szCs w:val="21"/>
                <w:highlight w:val="none"/>
                <w:shd w:val="clear" w:color="auto" w:fill="auto"/>
              </w:rPr>
              <w:t>企业诚信评价得分（</w:t>
            </w:r>
            <w:r>
              <w:rPr>
                <w:rFonts w:ascii="宋体" w:hAnsi="宋体" w:cs="宋体"/>
                <w:kern w:val="0"/>
                <w:sz w:val="21"/>
                <w:szCs w:val="21"/>
                <w:highlight w:val="none"/>
                <w:shd w:val="clear" w:color="auto" w:fill="auto"/>
              </w:rPr>
              <w:t>B）</w:t>
            </w:r>
            <w:r>
              <w:rPr>
                <w:rFonts w:hint="eastAsia" w:ascii="宋体" w:hAnsi="宋体" w:cs="宋体"/>
                <w:kern w:val="0"/>
                <w:sz w:val="21"/>
                <w:szCs w:val="21"/>
                <w:highlight w:val="none"/>
                <w:shd w:val="clear" w:color="auto" w:fill="auto"/>
              </w:rPr>
              <w:t>权重：</w:t>
            </w:r>
            <w:r>
              <w:rPr>
                <w:rFonts w:hint="eastAsia" w:ascii="宋体" w:hAnsi="宋体"/>
                <w:color w:val="000000"/>
                <w:sz w:val="21"/>
                <w:szCs w:val="21"/>
                <w:highlight w:val="none"/>
                <w:u w:val="single"/>
                <w:shd w:val="clear" w:color="auto" w:fill="auto"/>
              </w:rPr>
              <w:t xml:space="preserve">   </w:t>
            </w:r>
            <w:r>
              <w:rPr>
                <w:rFonts w:hint="eastAsia" w:ascii="宋体" w:hAnsi="宋体"/>
                <w:color w:val="000000"/>
                <w:sz w:val="21"/>
                <w:szCs w:val="21"/>
                <w:highlight w:val="none"/>
                <w:shd w:val="clear" w:color="auto" w:fill="auto"/>
              </w:rPr>
              <w:t>%（5%</w:t>
            </w:r>
            <w:r>
              <w:rPr>
                <w:rFonts w:hint="eastAsia" w:ascii="宋体" w:hAnsi="宋体"/>
                <w:color w:val="000000"/>
                <w:sz w:val="21"/>
                <w:szCs w:val="21"/>
                <w:highlight w:val="none"/>
                <w:shd w:val="clear" w:color="auto" w:fill="auto"/>
                <w:lang w:eastAsia="zh-CN"/>
              </w:rPr>
              <w:t>—</w:t>
            </w:r>
            <w:r>
              <w:rPr>
                <w:rFonts w:hint="eastAsia" w:ascii="宋体" w:hAnsi="宋体"/>
                <w:color w:val="000000"/>
                <w:sz w:val="21"/>
                <w:szCs w:val="21"/>
                <w:highlight w:val="none"/>
                <w:shd w:val="clear" w:color="auto" w:fill="auto"/>
              </w:rPr>
              <w:t>8%）</w:t>
            </w:r>
          </w:p>
          <w:p>
            <w:pPr>
              <w:spacing w:line="240" w:lineRule="auto"/>
              <w:rPr>
                <w:rFonts w:ascii="宋体" w:hAnsi="宋体"/>
                <w:color w:val="000000"/>
                <w:sz w:val="21"/>
                <w:szCs w:val="21"/>
                <w:highlight w:val="none"/>
                <w:shd w:val="clear" w:color="auto" w:fill="auto"/>
              </w:rPr>
            </w:pPr>
            <w:r>
              <w:rPr>
                <w:rFonts w:hint="eastAsia" w:ascii="宋体" w:hAnsi="宋体" w:cs="宋体"/>
                <w:kern w:val="0"/>
                <w:sz w:val="21"/>
                <w:szCs w:val="21"/>
                <w:highlight w:val="none"/>
                <w:shd w:val="clear" w:color="auto" w:fill="auto"/>
              </w:rPr>
              <w:t>拟派项目负责人诚信评价得分（</w:t>
            </w:r>
            <w:r>
              <w:rPr>
                <w:rFonts w:ascii="宋体" w:hAnsi="宋体" w:cs="宋体"/>
                <w:kern w:val="0"/>
                <w:sz w:val="21"/>
                <w:szCs w:val="21"/>
                <w:highlight w:val="none"/>
                <w:shd w:val="clear" w:color="auto" w:fill="auto"/>
                <w:lang w:val="en"/>
              </w:rPr>
              <w:t>C</w:t>
            </w:r>
            <w:r>
              <w:rPr>
                <w:rFonts w:hint="eastAsia" w:ascii="宋体" w:hAnsi="宋体" w:cs="宋体"/>
                <w:kern w:val="0"/>
                <w:sz w:val="21"/>
                <w:szCs w:val="21"/>
                <w:highlight w:val="none"/>
                <w:shd w:val="clear" w:color="auto" w:fill="auto"/>
              </w:rPr>
              <w:t>）权重：</w:t>
            </w:r>
            <w:r>
              <w:rPr>
                <w:rFonts w:hint="eastAsia" w:ascii="宋体" w:hAnsi="宋体"/>
                <w:color w:val="000000"/>
                <w:sz w:val="21"/>
                <w:szCs w:val="21"/>
                <w:highlight w:val="none"/>
                <w:u w:val="single"/>
                <w:shd w:val="clear" w:color="auto" w:fill="auto"/>
              </w:rPr>
              <w:t xml:space="preserve">   </w:t>
            </w:r>
            <w:r>
              <w:rPr>
                <w:rFonts w:hint="eastAsia" w:ascii="宋体" w:hAnsi="宋体"/>
                <w:color w:val="000000"/>
                <w:sz w:val="21"/>
                <w:szCs w:val="21"/>
                <w:highlight w:val="none"/>
                <w:shd w:val="clear" w:color="auto" w:fill="auto"/>
              </w:rPr>
              <w:t>%（5%</w:t>
            </w:r>
            <w:r>
              <w:rPr>
                <w:rFonts w:hint="eastAsia" w:ascii="宋体" w:hAnsi="宋体"/>
                <w:color w:val="000000"/>
                <w:sz w:val="21"/>
                <w:szCs w:val="21"/>
                <w:highlight w:val="none"/>
                <w:shd w:val="clear" w:color="auto" w:fill="auto"/>
                <w:lang w:eastAsia="zh-CN"/>
              </w:rPr>
              <w:t>—</w:t>
            </w:r>
            <w:r>
              <w:rPr>
                <w:rFonts w:hint="eastAsia" w:ascii="宋体" w:hAnsi="宋体"/>
                <w:color w:val="000000"/>
                <w:sz w:val="21"/>
                <w:szCs w:val="21"/>
                <w:highlight w:val="none"/>
                <w:shd w:val="clear" w:color="auto" w:fil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50" w:hRule="atLeast"/>
        </w:trPr>
        <w:tc>
          <w:tcPr>
            <w:tcW w:w="1988" w:type="dxa"/>
            <w:gridSpan w:val="2"/>
            <w:vAlign w:val="center"/>
          </w:tcPr>
          <w:p>
            <w:pPr>
              <w:spacing w:line="240" w:lineRule="auto"/>
              <w:jc w:val="center"/>
              <w:rPr>
                <w:rFonts w:hint="eastAsia"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2.2.1</w:t>
            </w:r>
          </w:p>
        </w:tc>
        <w:tc>
          <w:tcPr>
            <w:tcW w:w="1935" w:type="dxa"/>
            <w:vAlign w:val="center"/>
          </w:tcPr>
          <w:p>
            <w:pPr>
              <w:spacing w:line="240" w:lineRule="auto"/>
              <w:jc w:val="center"/>
              <w:rPr>
                <w:rFonts w:hint="eastAsia" w:ascii="宋体" w:hAnsi="宋体"/>
                <w:color w:val="000000"/>
                <w:sz w:val="21"/>
                <w:szCs w:val="21"/>
                <w:highlight w:val="none"/>
                <w:shd w:val="clear" w:color="auto" w:fill="auto"/>
              </w:rPr>
            </w:pPr>
            <w:r>
              <w:rPr>
                <w:rFonts w:ascii="宋体" w:hAnsi="宋体" w:eastAsia="宋体" w:cs="宋体"/>
                <w:spacing w:val="-1"/>
                <w:sz w:val="21"/>
                <w:szCs w:val="21"/>
                <w:highlight w:val="none"/>
                <w:shd w:val="clear" w:color="auto" w:fill="auto"/>
              </w:rPr>
              <w:t>确定入围投标</w:t>
            </w:r>
            <w:r>
              <w:rPr>
                <w:rFonts w:ascii="宋体" w:hAnsi="宋体" w:eastAsia="宋体" w:cs="宋体"/>
                <w:sz w:val="21"/>
                <w:szCs w:val="21"/>
                <w:highlight w:val="none"/>
                <w:shd w:val="clear" w:color="auto" w:fill="auto"/>
              </w:rPr>
              <w:t>人</w:t>
            </w:r>
          </w:p>
        </w:tc>
        <w:tc>
          <w:tcPr>
            <w:tcW w:w="4689" w:type="dxa"/>
          </w:tcPr>
          <w:p>
            <w:pPr>
              <w:pStyle w:val="95"/>
              <w:spacing w:before="217" w:line="240" w:lineRule="auto"/>
              <w:ind w:left="114" w:right="102" w:firstLine="364"/>
              <w:rPr>
                <w:sz w:val="21"/>
                <w:szCs w:val="21"/>
                <w:highlight w:val="none"/>
                <w:shd w:val="clear" w:color="auto" w:fill="auto"/>
              </w:rPr>
            </w:pPr>
            <w:r>
              <w:rPr>
                <w:spacing w:val="-4"/>
                <w:sz w:val="21"/>
                <w:szCs w:val="21"/>
                <w:highlight w:val="none"/>
                <w:shd w:val="clear" w:color="auto" w:fill="auto"/>
                <w14:textOutline w14:w="3835" w14:cap="flat" w14:cmpd="sng">
                  <w14:solidFill>
                    <w14:srgbClr w14:val="000000"/>
                  </w14:solidFill>
                  <w14:prstDash w14:val="solid"/>
                  <w14:miter w14:val="0"/>
                </w14:textOutline>
              </w:rPr>
              <w:t>（一）计算平均值Pp：</w:t>
            </w:r>
            <w:r>
              <w:rPr>
                <w:spacing w:val="-4"/>
                <w:sz w:val="21"/>
                <w:szCs w:val="21"/>
                <w:highlight w:val="none"/>
                <w:shd w:val="clear" w:color="auto" w:fill="auto"/>
              </w:rPr>
              <w:t>先剔除投标报价最高的20%（有小数</w:t>
            </w:r>
            <w:r>
              <w:rPr>
                <w:spacing w:val="-5"/>
                <w:sz w:val="21"/>
                <w:szCs w:val="21"/>
                <w:highlight w:val="none"/>
                <w:shd w:val="clear" w:color="auto" w:fill="auto"/>
              </w:rPr>
              <w:t>时按上限取整数以X表示）和最低的10%家（有小数时按上限取整</w:t>
            </w:r>
            <w:r>
              <w:rPr>
                <w:spacing w:val="-1"/>
                <w:sz w:val="21"/>
                <w:szCs w:val="21"/>
                <w:highlight w:val="none"/>
                <w:shd w:val="clear" w:color="auto" w:fill="auto"/>
              </w:rPr>
              <w:t>数以Y表示</w:t>
            </w:r>
            <w:r>
              <w:rPr>
                <w:spacing w:val="-37"/>
                <w:sz w:val="21"/>
                <w:szCs w:val="21"/>
                <w:highlight w:val="none"/>
                <w:shd w:val="clear" w:color="auto" w:fill="auto"/>
              </w:rPr>
              <w:t>），</w:t>
            </w:r>
            <w:r>
              <w:rPr>
                <w:spacing w:val="-1"/>
                <w:sz w:val="21"/>
                <w:szCs w:val="21"/>
                <w:highlight w:val="none"/>
                <w:shd w:val="clear" w:color="auto" w:fill="auto"/>
              </w:rPr>
              <w:t>然后进行算术平均（剔除投标报价后的数量应等</w:t>
            </w:r>
            <w:r>
              <w:rPr>
                <w:spacing w:val="-3"/>
                <w:sz w:val="21"/>
                <w:szCs w:val="21"/>
                <w:highlight w:val="none"/>
                <w:shd w:val="clear" w:color="auto" w:fill="auto"/>
              </w:rPr>
              <w:t>于计算算术平均的数量</w:t>
            </w:r>
            <w:r>
              <w:rPr>
                <w:spacing w:val="-6"/>
                <w:sz w:val="21"/>
                <w:szCs w:val="21"/>
                <w:highlight w:val="none"/>
                <w:shd w:val="clear" w:color="auto" w:fill="auto"/>
              </w:rPr>
              <w:t>），</w:t>
            </w:r>
            <w:r>
              <w:rPr>
                <w:spacing w:val="-3"/>
                <w:sz w:val="21"/>
                <w:szCs w:val="21"/>
                <w:highlight w:val="none"/>
                <w:shd w:val="clear" w:color="auto" w:fill="auto"/>
              </w:rPr>
              <w:t>计算得出投标人投标报价的平均值。</w:t>
            </w:r>
          </w:p>
          <w:p>
            <w:pPr>
              <w:spacing w:line="240" w:lineRule="auto"/>
              <w:rPr>
                <w:spacing w:val="-5"/>
                <w:sz w:val="21"/>
                <w:szCs w:val="21"/>
                <w:highlight w:val="none"/>
                <w:shd w:val="clear" w:color="auto" w:fill="auto"/>
              </w:rPr>
            </w:pPr>
            <w:r>
              <w:rPr>
                <w:spacing w:val="-5"/>
                <w:sz w:val="21"/>
                <w:szCs w:val="21"/>
                <w:highlight w:val="none"/>
                <w:shd w:val="clear" w:color="auto" w:fill="auto"/>
              </w:rPr>
              <w:t>当n≤10时，Pp=∑Pi/n</w:t>
            </w:r>
          </w:p>
          <w:p>
            <w:pPr>
              <w:pStyle w:val="95"/>
              <w:spacing w:before="187" w:line="240" w:lineRule="auto"/>
              <w:rPr>
                <w:sz w:val="21"/>
                <w:szCs w:val="21"/>
                <w:highlight w:val="none"/>
                <w:shd w:val="clear" w:color="auto" w:fill="auto"/>
              </w:rPr>
            </w:pPr>
            <w:r>
              <w:rPr>
                <w:spacing w:val="5"/>
                <w:position w:val="1"/>
                <w:sz w:val="21"/>
                <w:szCs w:val="21"/>
                <w:highlight w:val="none"/>
                <w:shd w:val="clear" w:color="auto" w:fill="auto"/>
              </w:rPr>
              <w:t>当n＞10时，</w:t>
            </w:r>
            <w:r>
              <w:rPr>
                <w:position w:val="1"/>
                <w:sz w:val="21"/>
                <w:szCs w:val="21"/>
                <w:highlight w:val="none"/>
                <w:shd w:val="clear" w:color="auto" w:fill="auto"/>
              </w:rPr>
              <w:t>Pp</w:t>
            </w:r>
            <w:r>
              <w:rPr>
                <w:spacing w:val="5"/>
                <w:position w:val="1"/>
                <w:sz w:val="21"/>
                <w:szCs w:val="21"/>
                <w:highlight w:val="none"/>
                <w:shd w:val="clear" w:color="auto" w:fill="auto"/>
              </w:rPr>
              <w:t>=(∑</w:t>
            </w:r>
            <w:r>
              <w:rPr>
                <w:position w:val="1"/>
                <w:sz w:val="21"/>
                <w:szCs w:val="21"/>
                <w:highlight w:val="none"/>
                <w:shd w:val="clear" w:color="auto" w:fill="auto"/>
              </w:rPr>
              <w:t>Pi</w:t>
            </w:r>
            <w:r>
              <w:rPr>
                <w:spacing w:val="5"/>
                <w:position w:val="1"/>
                <w:sz w:val="21"/>
                <w:szCs w:val="21"/>
                <w:highlight w:val="none"/>
                <w:shd w:val="clear" w:color="auto" w:fill="auto"/>
              </w:rPr>
              <w:t>-</w:t>
            </w:r>
            <w:r>
              <w:rPr>
                <w:position w:val="-21"/>
                <w:sz w:val="21"/>
                <w:szCs w:val="21"/>
                <w:highlight w:val="none"/>
                <w:shd w:val="clear" w:color="auto" w:fill="auto"/>
              </w:rPr>
              <w:drawing>
                <wp:inline distT="0" distB="0" distL="0" distR="0">
                  <wp:extent cx="157480" cy="374015"/>
                  <wp:effectExtent l="0" t="0" r="13970" b="6985"/>
                  <wp:docPr id="5" name="IM 22"/>
                  <wp:cNvGraphicFramePr/>
                  <a:graphic xmlns:a="http://schemas.openxmlformats.org/drawingml/2006/main">
                    <a:graphicData uri="http://schemas.openxmlformats.org/drawingml/2006/picture">
                      <pic:pic xmlns:pic="http://schemas.openxmlformats.org/drawingml/2006/picture">
                        <pic:nvPicPr>
                          <pic:cNvPr id="5" name="IM 22"/>
                          <pic:cNvPicPr/>
                        </pic:nvPicPr>
                        <pic:blipFill>
                          <a:blip r:embed="rId41"/>
                          <a:stretch>
                            <a:fillRect/>
                          </a:stretch>
                        </pic:blipFill>
                        <pic:spPr>
                          <a:xfrm>
                            <a:off x="0" y="0"/>
                            <a:ext cx="158019" cy="374080"/>
                          </a:xfrm>
                          <a:prstGeom prst="rect">
                            <a:avLst/>
                          </a:prstGeom>
                        </pic:spPr>
                      </pic:pic>
                    </a:graphicData>
                  </a:graphic>
                </wp:inline>
              </w:drawing>
            </w:r>
            <w:r>
              <w:rPr>
                <w:rFonts w:ascii="Times New Roman" w:hAnsi="Times New Roman" w:eastAsia="Times New Roman" w:cs="Times New Roman"/>
                <w:position w:val="1"/>
                <w:sz w:val="21"/>
                <w:szCs w:val="21"/>
                <w:highlight w:val="none"/>
                <w:shd w:val="clear" w:color="auto" w:fill="auto"/>
              </w:rPr>
              <w:t>Pmax</w:t>
            </w:r>
            <w:r>
              <w:rPr>
                <w:spacing w:val="5"/>
                <w:position w:val="1"/>
                <w:sz w:val="21"/>
                <w:szCs w:val="21"/>
                <w:highlight w:val="none"/>
                <w:shd w:val="clear" w:color="auto" w:fill="auto"/>
              </w:rPr>
              <w:t>-</w:t>
            </w:r>
            <w:r>
              <w:rPr>
                <w:position w:val="-21"/>
                <w:sz w:val="21"/>
                <w:szCs w:val="21"/>
                <w:highlight w:val="none"/>
                <w:shd w:val="clear" w:color="auto" w:fill="auto"/>
              </w:rPr>
              <w:drawing>
                <wp:inline distT="0" distB="0" distL="0" distR="0">
                  <wp:extent cx="157480" cy="374015"/>
                  <wp:effectExtent l="0" t="0" r="13970" b="6985"/>
                  <wp:docPr id="6" name="IM 24"/>
                  <wp:cNvGraphicFramePr/>
                  <a:graphic xmlns:a="http://schemas.openxmlformats.org/drawingml/2006/main">
                    <a:graphicData uri="http://schemas.openxmlformats.org/drawingml/2006/picture">
                      <pic:pic xmlns:pic="http://schemas.openxmlformats.org/drawingml/2006/picture">
                        <pic:nvPicPr>
                          <pic:cNvPr id="6" name="IM 24"/>
                          <pic:cNvPicPr/>
                        </pic:nvPicPr>
                        <pic:blipFill>
                          <a:blip r:embed="rId42"/>
                          <a:stretch>
                            <a:fillRect/>
                          </a:stretch>
                        </pic:blipFill>
                        <pic:spPr>
                          <a:xfrm>
                            <a:off x="0" y="0"/>
                            <a:ext cx="158011" cy="374079"/>
                          </a:xfrm>
                          <a:prstGeom prst="rect">
                            <a:avLst/>
                          </a:prstGeom>
                        </pic:spPr>
                      </pic:pic>
                    </a:graphicData>
                  </a:graphic>
                </wp:inline>
              </w:drawing>
            </w:r>
            <w:r>
              <w:rPr>
                <w:rFonts w:ascii="Times New Roman" w:hAnsi="Times New Roman" w:eastAsia="Times New Roman" w:cs="Times New Roman"/>
                <w:position w:val="1"/>
                <w:sz w:val="21"/>
                <w:szCs w:val="21"/>
                <w:highlight w:val="none"/>
                <w:shd w:val="clear" w:color="auto" w:fill="auto"/>
              </w:rPr>
              <w:t>Pmin</w:t>
            </w:r>
            <w:r>
              <w:rPr>
                <w:spacing w:val="5"/>
                <w:position w:val="1"/>
                <w:sz w:val="21"/>
                <w:szCs w:val="21"/>
                <w:highlight w:val="none"/>
                <w:shd w:val="clear" w:color="auto" w:fill="auto"/>
              </w:rPr>
              <w:t>）/(n-X-Y)</w:t>
            </w:r>
          </w:p>
          <w:p>
            <w:pPr>
              <w:pStyle w:val="95"/>
              <w:spacing w:before="68" w:line="240" w:lineRule="auto"/>
              <w:ind w:left="467"/>
              <w:rPr>
                <w:sz w:val="21"/>
                <w:szCs w:val="21"/>
                <w:highlight w:val="none"/>
                <w:shd w:val="clear" w:color="auto" w:fill="auto"/>
              </w:rPr>
            </w:pPr>
            <w:r>
              <w:rPr>
                <w:sz w:val="21"/>
                <w:szCs w:val="21"/>
                <w:highlight w:val="none"/>
                <w:shd w:val="clear" w:color="auto" w:fill="auto"/>
              </w:rPr>
              <w:drawing>
                <wp:inline distT="0" distB="0" distL="0" distR="0">
                  <wp:extent cx="1270" cy="635"/>
                  <wp:effectExtent l="0" t="0" r="0" b="0"/>
                  <wp:docPr id="28" name="IM 26"/>
                  <wp:cNvGraphicFramePr/>
                  <a:graphic xmlns:a="http://schemas.openxmlformats.org/drawingml/2006/main">
                    <a:graphicData uri="http://schemas.openxmlformats.org/drawingml/2006/picture">
                      <pic:pic xmlns:pic="http://schemas.openxmlformats.org/drawingml/2006/picture">
                        <pic:nvPicPr>
                          <pic:cNvPr id="28" name="IM 26"/>
                          <pic:cNvPicPr/>
                        </pic:nvPicPr>
                        <pic:blipFill>
                          <a:blip r:embed="rId43"/>
                          <a:stretch>
                            <a:fillRect/>
                          </a:stretch>
                        </pic:blipFill>
                        <pic:spPr>
                          <a:xfrm>
                            <a:off x="0" y="0"/>
                            <a:ext cx="1270" cy="1269"/>
                          </a:xfrm>
                          <a:prstGeom prst="rect">
                            <a:avLst/>
                          </a:prstGeom>
                        </pic:spPr>
                      </pic:pic>
                    </a:graphicData>
                  </a:graphic>
                </wp:inline>
              </w:drawing>
            </w:r>
            <w:r>
              <w:rPr>
                <w:spacing w:val="-10"/>
                <w:sz w:val="21"/>
                <w:szCs w:val="21"/>
                <w:highlight w:val="none"/>
                <w:shd w:val="clear" w:color="auto" w:fill="auto"/>
                <w14:textOutline w14:w="3835" w14:cap="flat" w14:cmpd="sng">
                  <w14:solidFill>
                    <w14:srgbClr w14:val="000000"/>
                  </w14:solidFill>
                  <w14:prstDash w14:val="solid"/>
                  <w14:miter w14:val="0"/>
                </w14:textOutline>
              </w:rPr>
              <w:t>（二）计算评标基准价Pg</w:t>
            </w:r>
          </w:p>
          <w:p>
            <w:pPr>
              <w:pStyle w:val="95"/>
              <w:spacing w:before="300" w:line="240" w:lineRule="auto"/>
              <w:ind w:left="469"/>
              <w:rPr>
                <w:sz w:val="21"/>
                <w:szCs w:val="21"/>
                <w:highlight w:val="none"/>
                <w:shd w:val="clear" w:color="auto" w:fill="auto"/>
              </w:rPr>
            </w:pPr>
            <w:r>
              <w:rPr>
                <w:spacing w:val="-1"/>
                <w:sz w:val="21"/>
                <w:szCs w:val="21"/>
                <w:highlight w:val="none"/>
                <w:shd w:val="clear" w:color="auto" w:fill="auto"/>
              </w:rPr>
              <w:t>Pg=Pp×(1-Fg)</w:t>
            </w:r>
          </w:p>
          <w:p>
            <w:pPr>
              <w:pStyle w:val="95"/>
              <w:spacing w:before="223" w:line="240" w:lineRule="auto"/>
              <w:ind w:firstLine="416" w:firstLineChars="200"/>
              <w:rPr>
                <w:sz w:val="21"/>
                <w:szCs w:val="21"/>
                <w:highlight w:val="none"/>
                <w:shd w:val="clear" w:color="auto" w:fill="auto"/>
              </w:rPr>
            </w:pPr>
            <w:r>
              <w:rPr>
                <w:spacing w:val="-1"/>
                <w:sz w:val="21"/>
                <w:szCs w:val="21"/>
                <w:highlight w:val="none"/>
                <w:shd w:val="clear" w:color="auto" w:fill="auto"/>
              </w:rPr>
              <w:t>Fg为投标竞争率。投标竞争率由招标人在招标文件中确</w:t>
            </w:r>
            <w:r>
              <w:rPr>
                <w:spacing w:val="-2"/>
                <w:sz w:val="21"/>
                <w:szCs w:val="21"/>
                <w:highlight w:val="none"/>
                <w:shd w:val="clear" w:color="auto" w:fill="auto"/>
              </w:rPr>
              <w:t>定。</w:t>
            </w:r>
            <w:r>
              <w:rPr>
                <w:spacing w:val="-4"/>
                <w:sz w:val="21"/>
                <w:szCs w:val="21"/>
                <w:highlight w:val="none"/>
                <w:shd w:val="clear" w:color="auto" w:fill="auto"/>
              </w:rPr>
              <w:t>投标竞争率可参照以下计取：房屋建筑工程为1.80%；市政工程取</w:t>
            </w:r>
            <w:r>
              <w:rPr>
                <w:spacing w:val="-5"/>
                <w:sz w:val="21"/>
                <w:szCs w:val="21"/>
                <w:highlight w:val="none"/>
                <w:shd w:val="clear" w:color="auto" w:fill="auto"/>
              </w:rPr>
              <w:t>值为3.20%；专业工程取值为3.50%；绿化种植工程取值</w:t>
            </w:r>
            <w:r>
              <w:rPr>
                <w:spacing w:val="-6"/>
                <w:sz w:val="21"/>
                <w:szCs w:val="21"/>
                <w:highlight w:val="none"/>
                <w:shd w:val="clear" w:color="auto" w:fill="auto"/>
              </w:rPr>
              <w:t>为5.00%；</w:t>
            </w:r>
            <w:r>
              <w:rPr>
                <w:spacing w:val="-3"/>
                <w:sz w:val="21"/>
                <w:szCs w:val="21"/>
                <w:highlight w:val="none"/>
                <w:shd w:val="clear" w:color="auto" w:fill="auto"/>
              </w:rPr>
              <w:t>园建工程或综合园林工程取值为1.50%。</w:t>
            </w:r>
          </w:p>
          <w:p>
            <w:pPr>
              <w:pStyle w:val="95"/>
              <w:spacing w:before="218" w:line="240" w:lineRule="auto"/>
              <w:ind w:left="479"/>
              <w:rPr>
                <w:sz w:val="21"/>
                <w:szCs w:val="21"/>
                <w:highlight w:val="none"/>
                <w:shd w:val="clear" w:color="auto" w:fill="auto"/>
              </w:rPr>
            </w:pPr>
            <w:r>
              <w:rPr>
                <w:spacing w:val="-3"/>
                <w:sz w:val="21"/>
                <w:szCs w:val="21"/>
                <w:highlight w:val="none"/>
                <w:shd w:val="clear" w:color="auto" w:fill="auto"/>
                <w14:textOutline w14:w="3835" w14:cap="flat" w14:cmpd="sng">
                  <w14:solidFill>
                    <w14:srgbClr w14:val="000000"/>
                  </w14:solidFill>
                  <w14:prstDash w14:val="solid"/>
                  <w14:miter w14:val="0"/>
                </w14:textOutline>
              </w:rPr>
              <w:t>（三）确定20家入围投标人</w:t>
            </w:r>
          </w:p>
          <w:p>
            <w:pPr>
              <w:pStyle w:val="95"/>
              <w:spacing w:before="217" w:line="240" w:lineRule="auto"/>
              <w:ind w:left="112" w:right="123" w:firstLine="384"/>
              <w:jc w:val="both"/>
              <w:rPr>
                <w:sz w:val="21"/>
                <w:szCs w:val="21"/>
                <w:highlight w:val="none"/>
                <w:shd w:val="clear" w:color="auto" w:fill="auto"/>
              </w:rPr>
            </w:pPr>
            <w:r>
              <w:rPr>
                <w:spacing w:val="-3"/>
                <w:sz w:val="21"/>
                <w:szCs w:val="21"/>
                <w:highlight w:val="none"/>
                <w:shd w:val="clear" w:color="auto" w:fill="auto"/>
              </w:rPr>
              <w:t>以评标基准价Pg比较所有投标人的投标报价，将投标报价和</w:t>
            </w:r>
            <w:r>
              <w:rPr>
                <w:spacing w:val="-2"/>
                <w:sz w:val="21"/>
                <w:szCs w:val="21"/>
                <w:highlight w:val="none"/>
                <w:shd w:val="clear" w:color="auto" w:fill="auto"/>
              </w:rPr>
              <w:t>评标基准价Pg差的绝对值从低至高进行排列，取前20家（不20家时全部计算）进行评审。</w:t>
            </w:r>
          </w:p>
          <w:p>
            <w:pPr>
              <w:spacing w:line="240" w:lineRule="auto"/>
              <w:rPr>
                <w:rFonts w:hint="eastAsia"/>
                <w:spacing w:val="-5"/>
                <w:sz w:val="21"/>
                <w:szCs w:val="21"/>
                <w:highlight w:val="none"/>
                <w:shd w:val="clear" w:color="auto" w:fill="auto"/>
              </w:rPr>
            </w:pPr>
          </w:p>
        </w:tc>
      </w:tr>
      <w:bookmarkEnd w:id="26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8" w:type="dxa"/>
            <w:gridSpan w:val="2"/>
            <w:shd w:val="clear" w:color="auto" w:fill="auto"/>
            <w:vAlign w:val="center"/>
          </w:tcPr>
          <w:p>
            <w:pPr>
              <w:spacing w:line="240" w:lineRule="auto"/>
              <w:jc w:val="center"/>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2.2.</w:t>
            </w:r>
            <w:r>
              <w:rPr>
                <w:rFonts w:ascii="宋体" w:hAnsi="宋体"/>
                <w:color w:val="000000"/>
                <w:sz w:val="21"/>
                <w:szCs w:val="21"/>
                <w:highlight w:val="none"/>
                <w:shd w:val="clear" w:color="auto" w:fill="auto"/>
              </w:rPr>
              <w:t>3</w:t>
            </w:r>
          </w:p>
        </w:tc>
        <w:tc>
          <w:tcPr>
            <w:tcW w:w="1935" w:type="dxa"/>
            <w:shd w:val="clear" w:color="auto" w:fill="auto"/>
            <w:vAlign w:val="center"/>
          </w:tcPr>
          <w:p>
            <w:pPr>
              <w:spacing w:line="240" w:lineRule="auto"/>
              <w:jc w:val="center"/>
              <w:rPr>
                <w:rFonts w:ascii="宋体" w:hAnsi="宋体"/>
                <w:color w:val="000000"/>
                <w:sz w:val="21"/>
                <w:szCs w:val="21"/>
                <w:highlight w:val="none"/>
                <w:shd w:val="clear" w:color="auto" w:fill="auto"/>
              </w:rPr>
            </w:pPr>
            <w:r>
              <w:rPr>
                <w:rFonts w:hint="eastAsia" w:ascii="宋体" w:hAnsi="宋体" w:cs="Tahoma"/>
                <w:color w:val="000000"/>
                <w:kern w:val="0"/>
                <w:sz w:val="21"/>
                <w:szCs w:val="21"/>
                <w:highlight w:val="none"/>
                <w:shd w:val="clear" w:color="auto" w:fill="auto"/>
                <w:lang w:val="zh-CN"/>
              </w:rPr>
              <w:t>投标报价得分计算方法（A）</w:t>
            </w:r>
          </w:p>
        </w:tc>
        <w:tc>
          <w:tcPr>
            <w:tcW w:w="4689" w:type="dxa"/>
            <w:shd w:val="clear" w:color="auto" w:fill="auto"/>
          </w:tcPr>
          <w:p>
            <w:pPr>
              <w:shd w:val="clear"/>
              <w:spacing w:line="240" w:lineRule="auto"/>
              <w:rPr>
                <w:rFonts w:ascii="宋体" w:hAnsi="宋体" w:cs="Tahoma"/>
                <w:color w:val="000000"/>
                <w:kern w:val="0"/>
                <w:sz w:val="21"/>
                <w:szCs w:val="21"/>
                <w:highlight w:val="none"/>
                <w:shd w:val="clear" w:color="auto" w:fill="auto"/>
                <w:lang w:val="zh-CN"/>
              </w:rPr>
            </w:pPr>
            <w:r>
              <w:rPr>
                <w:rFonts w:hint="eastAsia" w:ascii="宋体" w:hAnsi="宋体" w:cs="Tahoma"/>
                <w:color w:val="000000"/>
                <w:kern w:val="0"/>
                <w:sz w:val="21"/>
                <w:szCs w:val="21"/>
                <w:highlight w:val="none"/>
                <w:shd w:val="clear" w:color="auto" w:fill="auto"/>
                <w:lang w:val="zh-CN"/>
              </w:rPr>
              <w:t>（一）总报价得分（A1）（占报价A权重的60%）</w:t>
            </w:r>
          </w:p>
          <w:p>
            <w:pPr>
              <w:shd w:val="clear"/>
              <w:spacing w:line="240" w:lineRule="auto"/>
              <w:rPr>
                <w:rFonts w:ascii="宋体" w:hAnsi="宋体" w:cs="Tahoma"/>
                <w:color w:val="000000"/>
                <w:kern w:val="0"/>
                <w:sz w:val="21"/>
                <w:szCs w:val="21"/>
                <w:highlight w:val="none"/>
                <w:shd w:val="clear" w:color="auto" w:fill="auto"/>
                <w:lang w:val="zh-CN"/>
              </w:rPr>
            </w:pPr>
            <w:r>
              <w:rPr>
                <w:rFonts w:hint="eastAsia" w:ascii="宋体" w:hAnsi="宋体" w:cs="Tahoma"/>
                <w:color w:val="000000"/>
                <w:kern w:val="0"/>
                <w:sz w:val="21"/>
                <w:szCs w:val="21"/>
                <w:highlight w:val="none"/>
                <w:shd w:val="clear" w:color="auto" w:fill="auto"/>
                <w:lang w:val="zh-CN"/>
              </w:rPr>
              <w:t>以评标基准价Pg与入围的20家投标人的投标报价Pi进行对比，计算总报价（A1）得分。</w:t>
            </w:r>
          </w:p>
          <w:p>
            <w:pPr>
              <w:shd w:val="clear"/>
              <w:spacing w:line="240" w:lineRule="auto"/>
              <w:rPr>
                <w:rFonts w:ascii="宋体" w:hAnsi="宋体" w:cs="Tahoma"/>
                <w:color w:val="000000"/>
                <w:kern w:val="0"/>
                <w:sz w:val="21"/>
                <w:szCs w:val="21"/>
                <w:highlight w:val="none"/>
                <w:shd w:val="clear" w:color="auto" w:fill="auto"/>
                <w:lang w:val="zh-CN"/>
              </w:rPr>
            </w:pPr>
            <w:r>
              <w:rPr>
                <w:rFonts w:hint="eastAsia" w:ascii="宋体" w:hAnsi="宋体" w:cs="Tahoma"/>
                <w:color w:val="000000"/>
                <w:kern w:val="0"/>
                <w:sz w:val="21"/>
                <w:szCs w:val="21"/>
                <w:highlight w:val="none"/>
                <w:shd w:val="clear" w:color="auto" w:fill="auto"/>
                <w:lang w:val="zh-CN"/>
              </w:rPr>
              <w:t>1.投标报价Pi每高于评标基准价Pg的1%（含1%）扣2分。以满分50分为例，总报价（A1）得分的计算公式为：</w:t>
            </w:r>
          </w:p>
          <w:p>
            <w:pPr>
              <w:shd w:val="clear"/>
              <w:spacing w:line="240" w:lineRule="auto"/>
              <w:rPr>
                <w:rFonts w:ascii="宋体" w:hAnsi="宋体" w:cs="Tahoma"/>
                <w:color w:val="000000"/>
                <w:kern w:val="0"/>
                <w:sz w:val="21"/>
                <w:szCs w:val="21"/>
                <w:highlight w:val="none"/>
                <w:shd w:val="clear" w:color="auto" w:fill="auto"/>
              </w:rPr>
            </w:pPr>
            <w:r>
              <w:rPr>
                <w:rFonts w:hint="eastAsia" w:ascii="宋体" w:hAnsi="宋体" w:cs="Tahoma"/>
                <w:color w:val="000000"/>
                <w:kern w:val="0"/>
                <w:sz w:val="21"/>
                <w:szCs w:val="21"/>
                <w:highlight w:val="none"/>
                <w:shd w:val="clear" w:color="auto" w:fill="auto"/>
              </w:rPr>
              <w:t>A1＝50－[（Pi-Pg）/Pg]×100×2</w:t>
            </w:r>
          </w:p>
          <w:p>
            <w:pPr>
              <w:shd w:val="clear"/>
              <w:spacing w:line="240" w:lineRule="auto"/>
              <w:rPr>
                <w:rFonts w:ascii="宋体" w:hAnsi="宋体" w:cs="Tahoma"/>
                <w:color w:val="000000"/>
                <w:kern w:val="0"/>
                <w:sz w:val="21"/>
                <w:szCs w:val="21"/>
                <w:highlight w:val="none"/>
                <w:shd w:val="clear" w:color="auto" w:fill="auto"/>
                <w:lang w:val="zh-CN"/>
              </w:rPr>
            </w:pPr>
            <w:r>
              <w:rPr>
                <w:rFonts w:hint="eastAsia" w:ascii="宋体" w:hAnsi="宋体" w:cs="Tahoma"/>
                <w:color w:val="000000"/>
                <w:kern w:val="0"/>
                <w:sz w:val="21"/>
                <w:szCs w:val="21"/>
                <w:highlight w:val="none"/>
                <w:shd w:val="clear" w:color="auto" w:fill="auto"/>
                <w:lang w:val="zh-CN"/>
              </w:rPr>
              <w:t>2.投标报价Pi每低于评标基准价Pg的1%（含1%）扣1分。以满分50分为例，总报价（A1）得分的计算公式为：</w:t>
            </w:r>
          </w:p>
          <w:p>
            <w:pPr>
              <w:shd w:val="clear"/>
              <w:spacing w:line="240" w:lineRule="auto"/>
              <w:rPr>
                <w:rFonts w:ascii="宋体" w:hAnsi="宋体" w:cs="Tahoma"/>
                <w:color w:val="000000"/>
                <w:kern w:val="0"/>
                <w:sz w:val="21"/>
                <w:szCs w:val="21"/>
                <w:highlight w:val="none"/>
                <w:shd w:val="clear" w:color="auto" w:fill="auto"/>
              </w:rPr>
            </w:pPr>
            <w:r>
              <w:rPr>
                <w:rFonts w:hint="eastAsia" w:ascii="宋体" w:hAnsi="宋体" w:cs="Tahoma"/>
                <w:color w:val="000000"/>
                <w:kern w:val="0"/>
                <w:sz w:val="21"/>
                <w:szCs w:val="21"/>
                <w:highlight w:val="none"/>
                <w:shd w:val="clear" w:color="auto" w:fill="auto"/>
              </w:rPr>
              <w:t>A1＝50－[（Pg-Pi）/Pg]×100×1</w:t>
            </w:r>
          </w:p>
          <w:p>
            <w:pPr>
              <w:shd w:val="clear"/>
              <w:spacing w:line="240" w:lineRule="auto"/>
              <w:rPr>
                <w:rFonts w:ascii="宋体" w:hAnsi="宋体" w:cs="Tahoma"/>
                <w:color w:val="000000"/>
                <w:kern w:val="0"/>
                <w:sz w:val="21"/>
                <w:szCs w:val="21"/>
                <w:highlight w:val="none"/>
                <w:shd w:val="clear" w:color="auto" w:fill="auto"/>
                <w:lang w:val="zh-CN"/>
              </w:rPr>
            </w:pPr>
            <w:r>
              <w:rPr>
                <w:rFonts w:hint="eastAsia" w:ascii="宋体" w:hAnsi="宋体" w:cs="Tahoma"/>
                <w:color w:val="000000"/>
                <w:kern w:val="0"/>
                <w:sz w:val="21"/>
                <w:szCs w:val="21"/>
                <w:highlight w:val="none"/>
                <w:shd w:val="clear" w:color="auto" w:fill="auto"/>
                <w:lang w:val="zh-CN"/>
              </w:rPr>
              <w:t>（二）分部分项工程量清单报价得分（A2）（投标报价权重的40%）</w:t>
            </w:r>
          </w:p>
          <w:p>
            <w:pPr>
              <w:pStyle w:val="95"/>
              <w:spacing w:before="216" w:line="240" w:lineRule="auto"/>
              <w:ind w:left="113" w:right="167" w:firstLine="364"/>
              <w:rPr>
                <w:spacing w:val="-1"/>
                <w:sz w:val="21"/>
                <w:szCs w:val="21"/>
                <w:highlight w:val="none"/>
                <w:shd w:val="clear" w:color="auto" w:fill="auto"/>
              </w:rPr>
            </w:pPr>
            <w:r>
              <w:rPr>
                <w:spacing w:val="-1"/>
                <w:sz w:val="21"/>
                <w:szCs w:val="21"/>
                <w:highlight w:val="none"/>
                <w:shd w:val="clear" w:color="auto" w:fill="auto"/>
              </w:rPr>
              <w:t>先按照各分部工程造价占招标控制价的比重从高至低确定5个分部工程，再从5个分部工程中抽取分部分项工程量清单综合合价占该分部工程造价的比重从高至低分别取6、5、4、3、2共20项工程量清单作为评审内容。5个确定的分部工程工程量清单不足以上规定数量的，按实际工程量清单列计。</w:t>
            </w:r>
          </w:p>
          <w:p>
            <w:pPr>
              <w:pStyle w:val="95"/>
              <w:spacing w:before="135" w:line="240" w:lineRule="auto"/>
              <w:ind w:left="114" w:right="78" w:firstLine="417"/>
              <w:rPr>
                <w:sz w:val="21"/>
                <w:szCs w:val="21"/>
                <w:highlight w:val="none"/>
                <w:shd w:val="clear" w:color="auto" w:fill="auto"/>
              </w:rPr>
            </w:pPr>
            <w:r>
              <w:rPr>
                <w:spacing w:val="-5"/>
                <w:sz w:val="21"/>
                <w:szCs w:val="21"/>
                <w:highlight w:val="none"/>
                <w:shd w:val="clear" w:color="auto" w:fill="auto"/>
              </w:rPr>
              <w:t>评审标准以评标基准价Pg与招标控制价对比计算下浮率，再</w:t>
            </w:r>
            <w:r>
              <w:rPr>
                <w:spacing w:val="-1"/>
                <w:sz w:val="21"/>
                <w:szCs w:val="21"/>
                <w:highlight w:val="none"/>
                <w:shd w:val="clear" w:color="auto" w:fill="auto"/>
              </w:rPr>
              <w:t>以计算出来的下浮率修正招标控制价中对应的20项工程量清</w:t>
            </w:r>
            <w:r>
              <w:rPr>
                <w:spacing w:val="-2"/>
                <w:sz w:val="21"/>
                <w:szCs w:val="21"/>
                <w:highlight w:val="none"/>
                <w:shd w:val="clear" w:color="auto" w:fill="auto"/>
              </w:rPr>
              <w:t>单的</w:t>
            </w:r>
            <w:r>
              <w:rPr>
                <w:spacing w:val="-6"/>
                <w:sz w:val="21"/>
                <w:szCs w:val="21"/>
                <w:highlight w:val="none"/>
                <w:shd w:val="clear" w:color="auto" w:fill="auto"/>
              </w:rPr>
              <w:t>综合单价，作为修正后综合单价Qx，同时以Qx的+10%（含10%）</w:t>
            </w:r>
            <w:r>
              <w:rPr>
                <w:spacing w:val="2"/>
                <w:sz w:val="21"/>
                <w:szCs w:val="21"/>
                <w:highlight w:val="none"/>
                <w:shd w:val="clear" w:color="auto" w:fill="auto"/>
              </w:rPr>
              <w:t>作为分部分项工程工程量清单最高投标限价（其中综合单价中的人工工资单价不得低于相应时期省住房和城乡建设厅发布的人工</w:t>
            </w:r>
            <w:r>
              <w:rPr>
                <w:spacing w:val="-7"/>
                <w:sz w:val="21"/>
                <w:szCs w:val="21"/>
                <w:highlight w:val="none"/>
                <w:shd w:val="clear" w:color="auto" w:fill="auto"/>
              </w:rPr>
              <w:t>工资单价</w:t>
            </w:r>
            <w:r>
              <w:rPr>
                <w:spacing w:val="-1"/>
                <w:sz w:val="21"/>
                <w:szCs w:val="21"/>
                <w:highlight w:val="none"/>
                <w:shd w:val="clear" w:color="auto" w:fill="auto"/>
              </w:rPr>
              <w:t>），</w:t>
            </w:r>
            <w:r>
              <w:rPr>
                <w:spacing w:val="-7"/>
                <w:sz w:val="21"/>
                <w:szCs w:val="21"/>
                <w:highlight w:val="none"/>
                <w:shd w:val="clear" w:color="auto" w:fill="auto"/>
              </w:rPr>
              <w:t>超过+10%的综合单价得0分，该分部分项工程工程</w:t>
            </w:r>
            <w:r>
              <w:rPr>
                <w:spacing w:val="-1"/>
                <w:sz w:val="21"/>
                <w:szCs w:val="21"/>
                <w:highlight w:val="none"/>
                <w:shd w:val="clear" w:color="auto" w:fill="auto"/>
              </w:rPr>
              <w:t>量清单综合单价不得参与算术平均值的计算。</w:t>
            </w:r>
          </w:p>
          <w:p>
            <w:pPr>
              <w:pStyle w:val="95"/>
              <w:spacing w:before="222" w:line="240" w:lineRule="auto"/>
              <w:ind w:left="112" w:right="56" w:firstLine="420"/>
              <w:rPr>
                <w:sz w:val="21"/>
                <w:szCs w:val="21"/>
                <w:highlight w:val="none"/>
                <w:shd w:val="clear" w:color="auto" w:fill="auto"/>
              </w:rPr>
            </w:pPr>
            <w:r>
              <w:rPr>
                <w:spacing w:val="-2"/>
                <w:sz w:val="21"/>
                <w:szCs w:val="21"/>
                <w:highlight w:val="none"/>
                <w:shd w:val="clear" w:color="auto" w:fill="auto"/>
              </w:rPr>
              <w:t>评审时先将20项工程量清单分部工程投标报价去掉2家最高</w:t>
            </w:r>
            <w:r>
              <w:rPr>
                <w:spacing w:val="-3"/>
                <w:sz w:val="21"/>
                <w:szCs w:val="21"/>
                <w:highlight w:val="none"/>
                <w:shd w:val="clear" w:color="auto" w:fill="auto"/>
              </w:rPr>
              <w:t>报价和2家最低报价后，计算出20项工程量清单分部工程投标报</w:t>
            </w:r>
            <w:r>
              <w:rPr>
                <w:spacing w:val="-6"/>
                <w:sz w:val="21"/>
                <w:szCs w:val="21"/>
                <w:highlight w:val="none"/>
                <w:shd w:val="clear" w:color="auto" w:fill="auto"/>
              </w:rPr>
              <w:t>价的算术平均值（当≤7家符合要求时，不去掉最高和最低报价，</w:t>
            </w:r>
            <w:r>
              <w:rPr>
                <w:spacing w:val="-2"/>
                <w:sz w:val="21"/>
                <w:szCs w:val="21"/>
                <w:highlight w:val="none"/>
                <w:shd w:val="clear" w:color="auto" w:fill="auto"/>
              </w:rPr>
              <w:t>直接计算算术平均值</w:t>
            </w:r>
            <w:r>
              <w:rPr>
                <w:spacing w:val="-8"/>
                <w:sz w:val="21"/>
                <w:szCs w:val="21"/>
                <w:highlight w:val="none"/>
                <w:shd w:val="clear" w:color="auto" w:fill="auto"/>
              </w:rPr>
              <w:t>），</w:t>
            </w:r>
            <w:r>
              <w:rPr>
                <w:spacing w:val="-2"/>
                <w:sz w:val="21"/>
                <w:szCs w:val="21"/>
                <w:highlight w:val="none"/>
                <w:shd w:val="clear" w:color="auto" w:fill="auto"/>
              </w:rPr>
              <w:t>再以算术平均值与20项工程量清单分部工程招标控制价对比计算下浮率，然后用下浮率修正招标控制价</w:t>
            </w:r>
            <w:r>
              <w:rPr>
                <w:spacing w:val="-6"/>
                <w:sz w:val="21"/>
                <w:szCs w:val="21"/>
                <w:highlight w:val="none"/>
                <w:shd w:val="clear" w:color="auto" w:fill="auto"/>
              </w:rPr>
              <w:t>中对应的20项工程量清单的综合单价，作为修正后综合单价Qb，</w:t>
            </w:r>
            <w:r>
              <w:rPr>
                <w:spacing w:val="-1"/>
                <w:sz w:val="21"/>
                <w:szCs w:val="21"/>
                <w:highlight w:val="none"/>
                <w:shd w:val="clear" w:color="auto" w:fill="auto"/>
              </w:rPr>
              <w:t>再将Qx和Qb进行算术平均，计算出工程量清单综合单价的</w:t>
            </w:r>
            <w:r>
              <w:rPr>
                <w:spacing w:val="-2"/>
                <w:sz w:val="21"/>
                <w:szCs w:val="21"/>
                <w:highlight w:val="none"/>
                <w:shd w:val="clear" w:color="auto" w:fill="auto"/>
              </w:rPr>
              <w:t>评标基准价Pq。</w:t>
            </w:r>
          </w:p>
          <w:p>
            <w:pPr>
              <w:pStyle w:val="95"/>
              <w:spacing w:before="224" w:line="240" w:lineRule="auto"/>
              <w:ind w:left="113" w:right="103" w:firstLine="422"/>
              <w:rPr>
                <w:sz w:val="21"/>
                <w:szCs w:val="21"/>
                <w:highlight w:val="none"/>
                <w:shd w:val="clear" w:color="auto" w:fill="auto"/>
              </w:rPr>
            </w:pPr>
            <w:r>
              <w:rPr>
                <w:spacing w:val="2"/>
                <w:sz w:val="21"/>
                <w:szCs w:val="21"/>
                <w:highlight w:val="none"/>
                <w:shd w:val="clear" w:color="auto" w:fill="auto"/>
              </w:rPr>
              <w:t>投标人分部分项工程量清单综合单价每高于或低于该评标基</w:t>
            </w:r>
            <w:r>
              <w:rPr>
                <w:spacing w:val="-2"/>
                <w:sz w:val="21"/>
                <w:szCs w:val="21"/>
                <w:highlight w:val="none"/>
                <w:shd w:val="clear" w:color="auto" w:fill="auto"/>
              </w:rPr>
              <w:t>准价Pq一定幅度扣相应分数，直到扣完所占分值为</w:t>
            </w:r>
            <w:r>
              <w:rPr>
                <w:spacing w:val="-3"/>
                <w:sz w:val="21"/>
                <w:szCs w:val="21"/>
                <w:highlight w:val="none"/>
                <w:shd w:val="clear" w:color="auto" w:fill="auto"/>
              </w:rPr>
              <w:t>止（综合单价</w:t>
            </w:r>
            <w:r>
              <w:rPr>
                <w:spacing w:val="-5"/>
                <w:sz w:val="21"/>
                <w:szCs w:val="21"/>
                <w:highlight w:val="none"/>
                <w:shd w:val="clear" w:color="auto" w:fill="auto"/>
              </w:rPr>
              <w:t>每高于评标基准价1%（含1%）扣0.2分，综合单价每低于评标基</w:t>
            </w:r>
            <w:r>
              <w:rPr>
                <w:spacing w:val="-8"/>
                <w:sz w:val="21"/>
                <w:szCs w:val="21"/>
                <w:highlight w:val="none"/>
                <w:shd w:val="clear" w:color="auto" w:fill="auto"/>
              </w:rPr>
              <w:t>准价1%（含1%）扣0.1分）。以每项工程量清单满分2分为例，</w:t>
            </w:r>
          </w:p>
          <w:p>
            <w:pPr>
              <w:pStyle w:val="95"/>
              <w:spacing w:line="240" w:lineRule="auto"/>
              <w:ind w:left="113"/>
              <w:rPr>
                <w:sz w:val="21"/>
                <w:szCs w:val="21"/>
                <w:highlight w:val="none"/>
                <w:shd w:val="clear" w:color="auto" w:fill="auto"/>
              </w:rPr>
            </w:pPr>
            <w:r>
              <w:rPr>
                <w:spacing w:val="-3"/>
                <w:sz w:val="21"/>
                <w:szCs w:val="21"/>
                <w:highlight w:val="none"/>
                <w:shd w:val="clear" w:color="auto" w:fill="auto"/>
              </w:rPr>
              <w:t>计算工程量清单综合单价得分a2公式为：</w:t>
            </w:r>
          </w:p>
          <w:p>
            <w:pPr>
              <w:spacing w:line="240" w:lineRule="auto"/>
              <w:ind w:firstLine="420" w:firstLineChars="200"/>
              <w:rPr>
                <w:rFonts w:ascii="宋体" w:hAnsi="宋体" w:cs="Tahoma"/>
                <w:color w:val="000000"/>
                <w:kern w:val="0"/>
                <w:sz w:val="21"/>
                <w:szCs w:val="21"/>
                <w:highlight w:val="none"/>
                <w:shd w:val="clear" w:color="auto" w:fill="auto"/>
                <w:lang w:val="zh-CN"/>
              </w:rPr>
            </w:pPr>
            <w:r>
              <w:rPr>
                <w:rFonts w:hint="eastAsia" w:ascii="宋体" w:hAnsi="宋体" w:cs="Tahoma"/>
                <w:color w:val="000000"/>
                <w:kern w:val="0"/>
                <w:sz w:val="21"/>
                <w:szCs w:val="21"/>
                <w:highlight w:val="none"/>
                <w:shd w:val="clear" w:color="auto" w:fill="auto"/>
                <w:lang w:val="zh-CN"/>
              </w:rPr>
              <w:t>当投标人报价&gt;评标基准价时：</w:t>
            </w:r>
          </w:p>
          <w:p>
            <w:pPr>
              <w:spacing w:line="240" w:lineRule="auto"/>
              <w:rPr>
                <w:rFonts w:ascii="宋体" w:hAnsi="宋体" w:cs="Tahoma"/>
                <w:color w:val="000000"/>
                <w:kern w:val="0"/>
                <w:sz w:val="21"/>
                <w:szCs w:val="21"/>
                <w:highlight w:val="none"/>
                <w:shd w:val="clear" w:color="auto" w:fill="auto"/>
                <w:lang w:val="zh-CN"/>
              </w:rPr>
            </w:pPr>
            <w:r>
              <w:rPr>
                <w:rFonts w:hint="eastAsia" w:ascii="宋体" w:hAnsi="宋体" w:cs="Tahoma"/>
                <w:color w:val="000000"/>
                <w:kern w:val="0"/>
                <w:sz w:val="21"/>
                <w:szCs w:val="21"/>
                <w:highlight w:val="none"/>
                <w:shd w:val="clear" w:color="auto" w:fill="auto"/>
                <w:lang w:val="zh-CN"/>
              </w:rPr>
              <w:t>a2＝2－[（报价－评标基准价）/评标基准价]×100×0.</w:t>
            </w:r>
            <w:r>
              <w:rPr>
                <w:rFonts w:hint="eastAsia" w:ascii="宋体" w:hAnsi="宋体" w:cs="Tahoma"/>
                <w:color w:val="000000"/>
                <w:kern w:val="0"/>
                <w:sz w:val="21"/>
                <w:szCs w:val="21"/>
                <w:highlight w:val="none"/>
                <w:shd w:val="clear" w:color="auto" w:fill="auto"/>
                <w:lang w:val="en-US" w:eastAsia="zh-CN"/>
              </w:rPr>
              <w:t>2</w:t>
            </w:r>
            <w:r>
              <w:rPr>
                <w:rFonts w:hint="eastAsia" w:ascii="宋体" w:hAnsi="宋体" w:cs="Tahoma"/>
                <w:color w:val="000000"/>
                <w:kern w:val="0"/>
                <w:sz w:val="21"/>
                <w:szCs w:val="21"/>
                <w:highlight w:val="none"/>
                <w:shd w:val="clear" w:color="auto" w:fill="auto"/>
                <w:lang w:val="zh-CN"/>
              </w:rPr>
              <w:t>。</w:t>
            </w:r>
          </w:p>
          <w:p>
            <w:pPr>
              <w:spacing w:line="240" w:lineRule="auto"/>
              <w:ind w:firstLine="420" w:firstLineChars="200"/>
              <w:rPr>
                <w:rFonts w:ascii="宋体" w:hAnsi="宋体" w:cs="Tahoma"/>
                <w:color w:val="000000"/>
                <w:kern w:val="0"/>
                <w:sz w:val="21"/>
                <w:szCs w:val="21"/>
                <w:highlight w:val="none"/>
                <w:shd w:val="clear" w:color="auto" w:fill="auto"/>
                <w:lang w:val="zh-CN"/>
              </w:rPr>
            </w:pPr>
            <w:r>
              <w:rPr>
                <w:rFonts w:hint="eastAsia" w:ascii="宋体" w:hAnsi="宋体" w:cs="Tahoma"/>
                <w:color w:val="000000"/>
                <w:kern w:val="0"/>
                <w:sz w:val="21"/>
                <w:szCs w:val="21"/>
                <w:highlight w:val="none"/>
                <w:shd w:val="clear" w:color="auto" w:fill="auto"/>
                <w:lang w:val="zh-CN"/>
              </w:rPr>
              <w:t>当投标人报价&lt;评标基准价时：</w:t>
            </w:r>
          </w:p>
          <w:p>
            <w:pPr>
              <w:spacing w:line="240" w:lineRule="auto"/>
              <w:rPr>
                <w:rFonts w:ascii="宋体" w:hAnsi="宋体" w:cs="Tahoma"/>
                <w:color w:val="000000"/>
                <w:kern w:val="0"/>
                <w:sz w:val="21"/>
                <w:szCs w:val="21"/>
                <w:highlight w:val="none"/>
                <w:shd w:val="clear" w:color="auto" w:fill="auto"/>
                <w:lang w:val="zh-CN"/>
              </w:rPr>
            </w:pPr>
            <w:r>
              <w:rPr>
                <w:rFonts w:hint="eastAsia" w:ascii="宋体" w:hAnsi="宋体" w:cs="Tahoma"/>
                <w:color w:val="000000"/>
                <w:kern w:val="0"/>
                <w:sz w:val="21"/>
                <w:szCs w:val="21"/>
                <w:highlight w:val="none"/>
                <w:shd w:val="clear" w:color="auto" w:fill="auto"/>
                <w:lang w:val="zh-CN"/>
              </w:rPr>
              <w:t>a2＝2－[（评标基准价－报价）/评标基准价]×100×0.</w:t>
            </w:r>
            <w:r>
              <w:rPr>
                <w:rFonts w:hint="eastAsia" w:ascii="宋体" w:hAnsi="宋体" w:cs="Tahoma"/>
                <w:color w:val="000000"/>
                <w:kern w:val="0"/>
                <w:sz w:val="21"/>
                <w:szCs w:val="21"/>
                <w:highlight w:val="none"/>
                <w:shd w:val="clear" w:color="auto" w:fill="auto"/>
                <w:lang w:val="en-US" w:eastAsia="zh-CN"/>
              </w:rPr>
              <w:t>1</w:t>
            </w:r>
            <w:r>
              <w:rPr>
                <w:rFonts w:hint="eastAsia" w:ascii="宋体" w:hAnsi="宋体" w:cs="Tahoma"/>
                <w:color w:val="000000"/>
                <w:kern w:val="0"/>
                <w:sz w:val="21"/>
                <w:szCs w:val="21"/>
                <w:highlight w:val="none"/>
                <w:shd w:val="clear" w:color="auto" w:fill="auto"/>
                <w:lang w:val="zh-CN"/>
              </w:rPr>
              <w:t>。</w:t>
            </w:r>
          </w:p>
          <w:p>
            <w:pPr>
              <w:spacing w:line="240" w:lineRule="auto"/>
              <w:rPr>
                <w:rFonts w:ascii="宋体" w:hAnsi="宋体" w:cs="Tahoma"/>
                <w:color w:val="000000"/>
                <w:kern w:val="0"/>
                <w:sz w:val="21"/>
                <w:szCs w:val="21"/>
                <w:highlight w:val="none"/>
                <w:shd w:val="clear" w:color="auto" w:fill="auto"/>
                <w:lang w:val="zh-CN"/>
              </w:rPr>
            </w:pPr>
            <w:r>
              <w:rPr>
                <w:rFonts w:hint="eastAsia" w:ascii="宋体" w:hAnsi="宋体" w:cs="Tahoma"/>
                <w:color w:val="000000"/>
                <w:kern w:val="0"/>
                <w:sz w:val="21"/>
                <w:szCs w:val="21"/>
                <w:highlight w:val="none"/>
                <w:shd w:val="clear" w:color="auto" w:fill="auto"/>
                <w:lang w:val="zh-CN"/>
              </w:rPr>
              <w:t>分部分项工程量清单报价（A2）得分：</w:t>
            </w:r>
          </w:p>
          <w:p>
            <w:pPr>
              <w:spacing w:line="240" w:lineRule="auto"/>
              <w:rPr>
                <w:rFonts w:ascii="宋体" w:hAnsi="宋体" w:cs="Tahoma"/>
                <w:color w:val="000000"/>
                <w:kern w:val="0"/>
                <w:sz w:val="21"/>
                <w:szCs w:val="21"/>
                <w:highlight w:val="none"/>
                <w:shd w:val="clear" w:color="auto" w:fill="auto"/>
                <w:lang w:val="zh-CN"/>
              </w:rPr>
            </w:pPr>
            <w:r>
              <w:rPr>
                <w:rFonts w:hint="eastAsia" w:ascii="宋体" w:hAnsi="宋体" w:cs="Tahoma"/>
                <w:color w:val="000000"/>
                <w:kern w:val="0"/>
                <w:sz w:val="21"/>
                <w:szCs w:val="21"/>
                <w:highlight w:val="none"/>
                <w:shd w:val="clear" w:color="auto" w:fill="auto"/>
                <w:lang w:val="zh-CN"/>
              </w:rPr>
              <w:t>A2=∑a2</w:t>
            </w:r>
          </w:p>
          <w:p>
            <w:pPr>
              <w:spacing w:line="240" w:lineRule="auto"/>
              <w:rPr>
                <w:rFonts w:ascii="宋体" w:hAnsi="宋体"/>
                <w:color w:val="000000"/>
                <w:sz w:val="21"/>
                <w:szCs w:val="21"/>
                <w:highlight w:val="none"/>
                <w:shd w:val="clear" w:color="auto" w:fill="auto"/>
              </w:rPr>
            </w:pPr>
            <w:r>
              <w:rPr>
                <w:rFonts w:hint="eastAsia" w:ascii="宋体" w:hAnsi="宋体" w:cs="Tahoma"/>
                <w:color w:val="000000"/>
                <w:kern w:val="0"/>
                <w:sz w:val="21"/>
                <w:szCs w:val="21"/>
                <w:highlight w:val="none"/>
                <w:shd w:val="clear" w:color="auto" w:fill="auto"/>
                <w:lang w:val="zh-CN"/>
              </w:rPr>
              <w:t>（三）计算投标人投标报价得分（A），A=A1+A2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8" w:type="dxa"/>
            <w:gridSpan w:val="2"/>
            <w:vAlign w:val="center"/>
          </w:tcPr>
          <w:p>
            <w:pPr>
              <w:spacing w:line="240" w:lineRule="auto"/>
              <w:jc w:val="center"/>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2.2.</w:t>
            </w:r>
            <w:r>
              <w:rPr>
                <w:rFonts w:ascii="宋体" w:hAnsi="宋体"/>
                <w:color w:val="000000"/>
                <w:sz w:val="21"/>
                <w:szCs w:val="21"/>
                <w:highlight w:val="none"/>
                <w:shd w:val="clear" w:color="auto" w:fill="auto"/>
              </w:rPr>
              <w:t>4</w:t>
            </w:r>
          </w:p>
        </w:tc>
        <w:tc>
          <w:tcPr>
            <w:tcW w:w="1935" w:type="dxa"/>
            <w:vAlign w:val="center"/>
          </w:tcPr>
          <w:p>
            <w:pPr>
              <w:spacing w:line="240" w:lineRule="auto"/>
              <w:jc w:val="center"/>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企业诚信评价得分</w:t>
            </w:r>
          </w:p>
          <w:p>
            <w:pPr>
              <w:spacing w:line="240" w:lineRule="auto"/>
              <w:jc w:val="center"/>
              <w:rPr>
                <w:rFonts w:ascii="宋体" w:hAnsi="宋体" w:cs="宋体"/>
                <w:kern w:val="0"/>
                <w:sz w:val="21"/>
                <w:szCs w:val="21"/>
                <w:highlight w:val="none"/>
                <w:shd w:val="clear" w:color="auto" w:fill="auto"/>
              </w:rPr>
            </w:pPr>
            <w:r>
              <w:rPr>
                <w:rFonts w:hint="eastAsia" w:ascii="宋体" w:hAnsi="宋体"/>
                <w:color w:val="000000"/>
                <w:sz w:val="21"/>
                <w:szCs w:val="21"/>
                <w:highlight w:val="none"/>
                <w:shd w:val="clear" w:color="auto" w:fill="auto"/>
              </w:rPr>
              <w:t>计算方法（B）</w:t>
            </w:r>
          </w:p>
        </w:tc>
        <w:tc>
          <w:tcPr>
            <w:tcW w:w="4689" w:type="dxa"/>
          </w:tcPr>
          <w:p>
            <w:pPr>
              <w:widowControl/>
              <w:jc w:val="left"/>
              <w:rPr>
                <w:rFonts w:ascii="宋体" w:hAnsi="宋体" w:cs="Tahoma"/>
                <w:color w:val="000000"/>
                <w:kern w:val="0"/>
                <w:szCs w:val="21"/>
                <w:lang w:val="zh-CN"/>
              </w:rPr>
            </w:pPr>
            <w:r>
              <w:rPr>
                <w:rFonts w:hint="eastAsia" w:ascii="宋体" w:hAnsi="宋体" w:cs="Tahoma"/>
                <w:color w:val="000000"/>
                <w:kern w:val="0"/>
                <w:szCs w:val="21"/>
                <w:lang w:val="zh-CN"/>
              </w:rPr>
              <w:t>（一）计算拟派项目负责人诚信评价等级为“四星”得分（按权重的80%—100%，不含80%）：拟派项目负责人排名最高的得该权重计算得分的最高分，相同评价等级中排名最低的投标人得该权重计算得分的最低分，其他相同企业诚信评价等级的投标人得分按直线内插法计算得分，计算C1；</w:t>
            </w:r>
          </w:p>
          <w:p>
            <w:pPr>
              <w:widowControl/>
              <w:jc w:val="left"/>
              <w:rPr>
                <w:rFonts w:ascii="宋体" w:hAnsi="宋体" w:cs="Tahoma"/>
                <w:color w:val="000000"/>
                <w:kern w:val="0"/>
                <w:szCs w:val="21"/>
                <w:lang w:val="zh-CN"/>
              </w:rPr>
            </w:pPr>
            <w:r>
              <w:rPr>
                <w:rFonts w:hint="eastAsia" w:ascii="宋体" w:hAnsi="宋体" w:cs="Tahoma"/>
                <w:color w:val="000000"/>
                <w:kern w:val="0"/>
                <w:szCs w:val="21"/>
                <w:lang w:val="zh-CN"/>
              </w:rPr>
              <w:t>（二）计算拟派项目负责人诚信评价等级为“三星”得分（按权重的60%—80%，含60%）：拟派项目负责人排名最高的得该权重计算得分的最高分，相同评价等级中排名最低的投标人得该权重计算得分的最低分，其他相同企业诚信评价等级的投标人得分按直线内插法计算得分，计算C2；</w:t>
            </w:r>
          </w:p>
          <w:p>
            <w:pPr>
              <w:widowControl/>
              <w:jc w:val="left"/>
              <w:rPr>
                <w:rFonts w:ascii="宋体" w:hAnsi="宋体" w:cs="Tahoma"/>
                <w:color w:val="000000"/>
                <w:kern w:val="0"/>
                <w:szCs w:val="21"/>
                <w:lang w:val="zh-CN"/>
              </w:rPr>
            </w:pPr>
            <w:r>
              <w:rPr>
                <w:rFonts w:hint="eastAsia" w:ascii="宋体" w:hAnsi="宋体" w:cs="Tahoma"/>
                <w:color w:val="000000"/>
                <w:kern w:val="0"/>
                <w:szCs w:val="21"/>
                <w:lang w:val="zh-CN"/>
              </w:rPr>
              <w:t>（三）拟派项目负责人诚信评价等级为“二星”得分（按权重的40%—60%，含40%）：拟派项目负责人排名最高的得该权重计算得分的最高分，相同评价等级中排名最低的投标人得该权重计算得分的最低分，其他相同企业诚信评价等级的投标人得分按直线内插法计算得分，计算C3；</w:t>
            </w:r>
          </w:p>
          <w:p>
            <w:pPr>
              <w:widowControl/>
              <w:jc w:val="left"/>
              <w:rPr>
                <w:rFonts w:ascii="宋体" w:hAnsi="宋体" w:cs="Tahoma"/>
                <w:color w:val="000000"/>
                <w:kern w:val="0"/>
                <w:szCs w:val="21"/>
                <w:lang w:val="zh-CN"/>
              </w:rPr>
            </w:pPr>
            <w:r>
              <w:rPr>
                <w:rFonts w:hint="eastAsia" w:ascii="宋体" w:hAnsi="宋体" w:cs="Tahoma"/>
                <w:color w:val="000000"/>
                <w:kern w:val="0"/>
                <w:szCs w:val="21"/>
                <w:lang w:val="zh-CN"/>
              </w:rPr>
              <w:t>（四）拟派项目负责人诚信评价等级为“一星”的得0分；</w:t>
            </w:r>
          </w:p>
          <w:p>
            <w:pPr>
              <w:widowControl/>
              <w:spacing w:line="240" w:lineRule="auto"/>
              <w:jc w:val="left"/>
              <w:rPr>
                <w:rFonts w:hint="eastAsia" w:ascii="宋体" w:hAnsi="宋体" w:cs="Tahoma"/>
                <w:color w:val="000000"/>
                <w:kern w:val="0"/>
                <w:szCs w:val="21"/>
                <w:lang w:val="zh-CN"/>
              </w:rPr>
            </w:pPr>
            <w:r>
              <w:rPr>
                <w:rFonts w:hint="eastAsia" w:ascii="宋体" w:hAnsi="宋体" w:cs="Tahoma"/>
                <w:color w:val="000000"/>
                <w:kern w:val="0"/>
                <w:szCs w:val="21"/>
                <w:lang w:val="zh-CN"/>
              </w:rPr>
              <w:t>（五）招标人可根据招标项目的实际情况，要求拟派项目负责人在近3年内获得过国家级奖项或省级奖项或具有类似工程经验的，可适当提高该项的分权重。</w:t>
            </w:r>
          </w:p>
          <w:p>
            <w:pPr>
              <w:widowControl/>
              <w:spacing w:line="240" w:lineRule="auto"/>
              <w:jc w:val="left"/>
              <w:rPr>
                <w:rFonts w:ascii="宋体" w:hAnsi="宋体" w:cs="宋体"/>
                <w:color w:val="000000"/>
                <w:kern w:val="0"/>
                <w:sz w:val="21"/>
                <w:szCs w:val="21"/>
                <w:highlight w:val="none"/>
                <w:shd w:val="clear" w:color="auto" w:fill="auto"/>
              </w:rPr>
            </w:pPr>
            <w:r>
              <w:rPr>
                <w:rFonts w:hint="eastAsia" w:ascii="宋体" w:hAnsi="宋体" w:cs="宋体"/>
                <w:color w:val="000000"/>
                <w:kern w:val="0"/>
                <w:sz w:val="21"/>
                <w:szCs w:val="21"/>
                <w:highlight w:val="none"/>
                <w:shd w:val="clear" w:color="auto" w:fill="auto"/>
              </w:rPr>
              <w:t>（六）联合体的诚信得分按各联合体成员诚信得分的算术平均值计算。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8" w:type="dxa"/>
            <w:gridSpan w:val="2"/>
            <w:vAlign w:val="center"/>
          </w:tcPr>
          <w:p>
            <w:pPr>
              <w:spacing w:line="240" w:lineRule="auto"/>
              <w:jc w:val="center"/>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2.2.</w:t>
            </w:r>
            <w:r>
              <w:rPr>
                <w:rFonts w:ascii="宋体" w:hAnsi="宋体"/>
                <w:color w:val="000000"/>
                <w:sz w:val="21"/>
                <w:szCs w:val="21"/>
                <w:highlight w:val="none"/>
                <w:shd w:val="clear" w:color="auto" w:fill="auto"/>
              </w:rPr>
              <w:t>5</w:t>
            </w:r>
          </w:p>
        </w:tc>
        <w:tc>
          <w:tcPr>
            <w:tcW w:w="1935" w:type="dxa"/>
            <w:vAlign w:val="center"/>
          </w:tcPr>
          <w:p>
            <w:pPr>
              <w:spacing w:line="240" w:lineRule="auto"/>
              <w:jc w:val="center"/>
              <w:rPr>
                <w:rFonts w:ascii="宋体" w:hAnsi="宋体" w:cs="宋体"/>
                <w:kern w:val="0"/>
                <w:sz w:val="21"/>
                <w:szCs w:val="21"/>
                <w:highlight w:val="none"/>
                <w:shd w:val="clear" w:color="auto" w:fill="auto"/>
              </w:rPr>
            </w:pPr>
            <w:r>
              <w:rPr>
                <w:rFonts w:hint="eastAsia" w:ascii="宋体" w:hAnsi="宋体"/>
                <w:color w:val="000000"/>
                <w:sz w:val="21"/>
                <w:szCs w:val="21"/>
                <w:highlight w:val="none"/>
                <w:shd w:val="clear" w:color="auto" w:fill="auto"/>
              </w:rPr>
              <w:t>拟派项目负责人（项目经理）诚信评价得分计算方法（C）</w:t>
            </w:r>
          </w:p>
        </w:tc>
        <w:tc>
          <w:tcPr>
            <w:tcW w:w="4689" w:type="dxa"/>
          </w:tcPr>
          <w:p>
            <w:pPr>
              <w:widowControl/>
              <w:spacing w:line="240" w:lineRule="auto"/>
              <w:jc w:val="left"/>
              <w:rPr>
                <w:rFonts w:hint="eastAsia" w:ascii="宋体" w:hAnsi="宋体" w:cs="Tahoma"/>
                <w:color w:val="000000"/>
                <w:kern w:val="0"/>
                <w:sz w:val="21"/>
                <w:szCs w:val="21"/>
                <w:highlight w:val="none"/>
                <w:shd w:val="clear" w:color="auto" w:fill="auto"/>
                <w:lang w:val="zh-CN"/>
              </w:rPr>
            </w:pPr>
            <w:r>
              <w:rPr>
                <w:rFonts w:hint="eastAsia" w:ascii="宋体" w:hAnsi="宋体" w:cs="Tahoma"/>
                <w:color w:val="000000"/>
                <w:kern w:val="0"/>
                <w:sz w:val="21"/>
                <w:szCs w:val="21"/>
                <w:highlight w:val="none"/>
                <w:shd w:val="clear" w:color="auto" w:fill="auto"/>
                <w:lang w:val="zh-CN"/>
              </w:rPr>
              <w:t>（一）计算拟派项目负责人诚信评价等级为A级得分（按权重的80%-100%，不含80%）：拟派项目负责人排名最高的得该权重计算得分的最高分，相同评价等级中排名最低的投标人得该权重计算得分的最低分，其他相同企业诚信评价等级的投标人得分按</w:t>
            </w:r>
          </w:p>
          <w:p>
            <w:pPr>
              <w:widowControl/>
              <w:spacing w:line="240" w:lineRule="auto"/>
              <w:jc w:val="left"/>
              <w:rPr>
                <w:rFonts w:hint="eastAsia" w:ascii="宋体" w:hAnsi="宋体" w:cs="Tahoma"/>
                <w:color w:val="000000"/>
                <w:kern w:val="0"/>
                <w:sz w:val="21"/>
                <w:szCs w:val="21"/>
                <w:highlight w:val="none"/>
                <w:shd w:val="clear" w:color="auto" w:fill="auto"/>
                <w:lang w:val="zh-CN"/>
              </w:rPr>
            </w:pPr>
            <w:r>
              <w:rPr>
                <w:rFonts w:hint="eastAsia" w:ascii="宋体" w:hAnsi="宋体" w:cs="Tahoma"/>
                <w:color w:val="000000"/>
                <w:kern w:val="0"/>
                <w:sz w:val="21"/>
                <w:szCs w:val="21"/>
                <w:highlight w:val="none"/>
                <w:shd w:val="clear" w:color="auto" w:fill="auto"/>
                <w:lang w:val="zh-CN"/>
              </w:rPr>
              <w:t>直线内插法计算得分，计算C1；</w:t>
            </w:r>
          </w:p>
          <w:p>
            <w:pPr>
              <w:widowControl/>
              <w:spacing w:line="240" w:lineRule="auto"/>
              <w:jc w:val="left"/>
              <w:rPr>
                <w:rFonts w:hint="eastAsia" w:ascii="宋体" w:hAnsi="宋体" w:cs="Tahoma"/>
                <w:color w:val="000000"/>
                <w:kern w:val="0"/>
                <w:sz w:val="21"/>
                <w:szCs w:val="21"/>
                <w:highlight w:val="none"/>
                <w:shd w:val="clear" w:color="auto" w:fill="auto"/>
                <w:lang w:val="zh-CN"/>
              </w:rPr>
            </w:pPr>
            <w:r>
              <w:rPr>
                <w:rFonts w:hint="eastAsia" w:ascii="宋体" w:hAnsi="宋体" w:cs="Tahoma"/>
                <w:color w:val="000000"/>
                <w:kern w:val="0"/>
                <w:sz w:val="21"/>
                <w:szCs w:val="21"/>
                <w:highlight w:val="none"/>
                <w:shd w:val="clear" w:color="auto" w:fill="auto"/>
                <w:lang w:val="zh-CN"/>
              </w:rPr>
              <w:t>（二）计算拟派项目负责人诚信评价等级为B级得分（按权重的60%-80%，不含60%）:拟派项目负责人排名最高的得该权重计算得分的最高分，相同评价等级中排名最低的投标人得该权重计算得分的最低分，其他相同企业诚信评价等级的投标人得分按直</w:t>
            </w:r>
          </w:p>
          <w:p>
            <w:pPr>
              <w:widowControl/>
              <w:spacing w:line="240" w:lineRule="auto"/>
              <w:jc w:val="left"/>
              <w:rPr>
                <w:rFonts w:hint="eastAsia" w:ascii="宋体" w:hAnsi="宋体" w:cs="Tahoma"/>
                <w:color w:val="000000"/>
                <w:kern w:val="0"/>
                <w:sz w:val="21"/>
                <w:szCs w:val="21"/>
                <w:highlight w:val="none"/>
                <w:shd w:val="clear" w:color="auto" w:fill="auto"/>
                <w:lang w:val="zh-CN"/>
              </w:rPr>
            </w:pPr>
            <w:r>
              <w:rPr>
                <w:rFonts w:hint="eastAsia" w:ascii="宋体" w:hAnsi="宋体" w:cs="Tahoma"/>
                <w:color w:val="000000"/>
                <w:kern w:val="0"/>
                <w:sz w:val="21"/>
                <w:szCs w:val="21"/>
                <w:highlight w:val="none"/>
                <w:shd w:val="clear" w:color="auto" w:fill="auto"/>
                <w:lang w:val="zh-CN"/>
              </w:rPr>
              <w:t>线内插法计算得分，计算C2；</w:t>
            </w:r>
          </w:p>
          <w:p>
            <w:pPr>
              <w:widowControl/>
              <w:spacing w:line="240" w:lineRule="auto"/>
              <w:jc w:val="left"/>
              <w:rPr>
                <w:rFonts w:hint="eastAsia" w:ascii="宋体" w:hAnsi="宋体" w:cs="Tahoma"/>
                <w:color w:val="000000"/>
                <w:kern w:val="0"/>
                <w:sz w:val="21"/>
                <w:szCs w:val="21"/>
                <w:highlight w:val="none"/>
                <w:shd w:val="clear" w:color="auto" w:fill="auto"/>
                <w:lang w:val="zh-CN"/>
              </w:rPr>
            </w:pPr>
            <w:r>
              <w:rPr>
                <w:rFonts w:hint="eastAsia" w:ascii="宋体" w:hAnsi="宋体" w:cs="Tahoma"/>
                <w:color w:val="000000"/>
                <w:kern w:val="0"/>
                <w:sz w:val="21"/>
                <w:szCs w:val="21"/>
                <w:highlight w:val="none"/>
                <w:shd w:val="clear" w:color="auto" w:fill="auto"/>
                <w:lang w:val="zh-CN"/>
              </w:rPr>
              <w:t>（三）拟派项目负责人诚信评价等级为C级得分（按权重的40%-60%，不含40%）:拟派项目负责人排名最高的得该权重计算得分的最高分，相同评价等级中排名最低的投标人得该权重计算得分的最低分，其他相同企业诚信评价等级的投标人得分按直线内</w:t>
            </w:r>
          </w:p>
          <w:p>
            <w:pPr>
              <w:widowControl/>
              <w:spacing w:line="240" w:lineRule="auto"/>
              <w:jc w:val="left"/>
              <w:rPr>
                <w:rFonts w:hint="eastAsia" w:ascii="宋体" w:hAnsi="宋体" w:cs="Tahoma"/>
                <w:color w:val="000000"/>
                <w:kern w:val="0"/>
                <w:sz w:val="21"/>
                <w:szCs w:val="21"/>
                <w:highlight w:val="none"/>
                <w:shd w:val="clear" w:color="auto" w:fill="auto"/>
                <w:lang w:val="zh-CN"/>
              </w:rPr>
            </w:pPr>
            <w:r>
              <w:rPr>
                <w:rFonts w:hint="eastAsia" w:ascii="宋体" w:hAnsi="宋体" w:cs="Tahoma"/>
                <w:color w:val="000000"/>
                <w:kern w:val="0"/>
                <w:sz w:val="21"/>
                <w:szCs w:val="21"/>
                <w:highlight w:val="none"/>
                <w:shd w:val="clear" w:color="auto" w:fill="auto"/>
                <w:lang w:val="zh-CN"/>
              </w:rPr>
              <w:t>插法计算得分，计算C3；</w:t>
            </w:r>
          </w:p>
          <w:p>
            <w:pPr>
              <w:widowControl/>
              <w:spacing w:line="240" w:lineRule="auto"/>
              <w:jc w:val="left"/>
              <w:rPr>
                <w:rFonts w:hint="eastAsia" w:ascii="宋体" w:hAnsi="宋体" w:cs="Tahoma"/>
                <w:color w:val="000000"/>
                <w:kern w:val="0"/>
                <w:sz w:val="21"/>
                <w:szCs w:val="21"/>
                <w:highlight w:val="none"/>
                <w:shd w:val="clear" w:color="auto" w:fill="auto"/>
                <w:lang w:val="zh-CN"/>
              </w:rPr>
            </w:pPr>
            <w:r>
              <w:rPr>
                <w:rFonts w:hint="eastAsia" w:ascii="宋体" w:hAnsi="宋体" w:cs="Tahoma"/>
                <w:color w:val="000000"/>
                <w:kern w:val="0"/>
                <w:sz w:val="21"/>
                <w:szCs w:val="21"/>
                <w:highlight w:val="none"/>
                <w:shd w:val="clear" w:color="auto" w:fill="auto"/>
                <w:lang w:val="zh-CN"/>
              </w:rPr>
              <w:t>（四）拟派项目负责人诚信评价等级为其他等级的均得0分；</w:t>
            </w:r>
          </w:p>
          <w:p>
            <w:pPr>
              <w:widowControl/>
              <w:spacing w:line="240" w:lineRule="auto"/>
              <w:jc w:val="left"/>
              <w:rPr>
                <w:rFonts w:hint="eastAsia" w:ascii="宋体" w:hAnsi="宋体" w:cs="Tahoma"/>
                <w:color w:val="000000"/>
                <w:kern w:val="0"/>
                <w:sz w:val="21"/>
                <w:szCs w:val="21"/>
                <w:highlight w:val="none"/>
                <w:shd w:val="clear" w:color="auto" w:fill="auto"/>
                <w:lang w:val="zh-CN"/>
              </w:rPr>
            </w:pPr>
            <w:r>
              <w:rPr>
                <w:rFonts w:hint="eastAsia" w:ascii="宋体" w:hAnsi="宋体" w:cs="Tahoma"/>
                <w:color w:val="000000"/>
                <w:kern w:val="0"/>
                <w:sz w:val="21"/>
                <w:szCs w:val="21"/>
                <w:highlight w:val="none"/>
                <w:shd w:val="clear" w:color="auto" w:fill="auto"/>
                <w:lang w:val="zh-CN"/>
              </w:rPr>
              <w:t>（五）招标人可根据招标项目的实际情况，要求拟派项目负责人在近3年内获得过国家级奖项或省级奖项或具有类似工程经验</w:t>
            </w:r>
          </w:p>
          <w:p>
            <w:pPr>
              <w:widowControl/>
              <w:spacing w:line="240" w:lineRule="auto"/>
              <w:jc w:val="left"/>
              <w:rPr>
                <w:rFonts w:ascii="宋体" w:hAnsi="宋体" w:cs="Tahoma"/>
                <w:color w:val="000000"/>
                <w:kern w:val="0"/>
                <w:sz w:val="21"/>
                <w:szCs w:val="21"/>
                <w:highlight w:val="none"/>
                <w:shd w:val="clear" w:color="auto" w:fill="auto"/>
                <w:lang w:val="zh-CN"/>
              </w:rPr>
            </w:pPr>
            <w:r>
              <w:rPr>
                <w:rFonts w:hint="eastAsia" w:ascii="宋体" w:hAnsi="宋体" w:cs="Tahoma"/>
                <w:color w:val="000000"/>
                <w:kern w:val="0"/>
                <w:sz w:val="21"/>
                <w:szCs w:val="21"/>
                <w:highlight w:val="none"/>
                <w:shd w:val="clear" w:color="auto" w:fill="auto"/>
                <w:lang w:val="zh-CN"/>
              </w:rPr>
              <w:t>的，可适当提高该项得分权重。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1" w:hRule="atLeast"/>
        </w:trPr>
        <w:tc>
          <w:tcPr>
            <w:tcW w:w="1988" w:type="dxa"/>
            <w:gridSpan w:val="2"/>
            <w:vAlign w:val="center"/>
          </w:tcPr>
          <w:p>
            <w:pPr>
              <w:spacing w:line="240" w:lineRule="auto"/>
              <w:jc w:val="center"/>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2.2.</w:t>
            </w:r>
            <w:r>
              <w:rPr>
                <w:rFonts w:ascii="宋体" w:hAnsi="宋体"/>
                <w:color w:val="000000"/>
                <w:sz w:val="21"/>
                <w:szCs w:val="21"/>
                <w:highlight w:val="none"/>
                <w:shd w:val="clear" w:color="auto" w:fill="auto"/>
              </w:rPr>
              <w:t>6</w:t>
            </w:r>
          </w:p>
        </w:tc>
        <w:tc>
          <w:tcPr>
            <w:tcW w:w="1935" w:type="dxa"/>
            <w:vAlign w:val="center"/>
          </w:tcPr>
          <w:p>
            <w:pPr>
              <w:spacing w:line="240" w:lineRule="auto"/>
              <w:jc w:val="center"/>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投标人得分</w:t>
            </w:r>
          </w:p>
          <w:p>
            <w:pPr>
              <w:spacing w:line="240" w:lineRule="auto"/>
              <w:jc w:val="center"/>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（满分100分）</w:t>
            </w:r>
          </w:p>
        </w:tc>
        <w:tc>
          <w:tcPr>
            <w:tcW w:w="4689" w:type="dxa"/>
          </w:tcPr>
          <w:p>
            <w:pPr>
              <w:widowControl/>
              <w:spacing w:line="240" w:lineRule="auto"/>
              <w:jc w:val="left"/>
              <w:rPr>
                <w:rFonts w:hint="eastAsia" w:ascii="宋体" w:hAnsi="宋体" w:cs="Tahoma"/>
                <w:color w:val="000000"/>
                <w:kern w:val="0"/>
                <w:sz w:val="21"/>
                <w:szCs w:val="21"/>
                <w:highlight w:val="none"/>
                <w:shd w:val="clear" w:color="auto" w:fill="auto"/>
                <w:lang w:val="zh-CN"/>
              </w:rPr>
            </w:pPr>
            <w:r>
              <w:rPr>
                <w:rFonts w:hint="eastAsia" w:ascii="宋体" w:hAnsi="宋体" w:cs="Tahoma"/>
                <w:color w:val="000000"/>
                <w:kern w:val="0"/>
                <w:sz w:val="21"/>
                <w:szCs w:val="21"/>
                <w:highlight w:val="none"/>
                <w:shd w:val="clear" w:color="auto" w:fill="auto"/>
                <w:lang w:val="zh-CN"/>
              </w:rPr>
              <w:t>投标人得分=A+B+C</w:t>
            </w:r>
          </w:p>
          <w:p>
            <w:pPr>
              <w:widowControl/>
              <w:spacing w:line="240" w:lineRule="auto"/>
              <w:jc w:val="left"/>
              <w:rPr>
                <w:rFonts w:hint="default" w:ascii="宋体" w:hAnsi="宋体" w:eastAsia="宋体" w:cs="Tahoma"/>
                <w:color w:val="000000"/>
                <w:kern w:val="0"/>
                <w:sz w:val="21"/>
                <w:szCs w:val="21"/>
                <w:highlight w:val="none"/>
                <w:shd w:val="clear" w:color="auto" w:fill="auto"/>
                <w:lang w:val="en-US" w:eastAsia="zh-CN"/>
              </w:rPr>
            </w:pPr>
            <w:r>
              <w:rPr>
                <w:rFonts w:hint="eastAsia" w:ascii="宋体" w:hAnsi="宋体" w:cs="Tahoma"/>
                <w:color w:val="000000"/>
                <w:kern w:val="0"/>
                <w:sz w:val="21"/>
                <w:szCs w:val="21"/>
                <w:highlight w:val="none"/>
                <w:shd w:val="clear" w:color="auto" w:fill="auto"/>
                <w:lang w:val="zh-CN"/>
              </w:rPr>
              <w:t>注：各项计算、评分结果均按四舍五入方法精确到小数点后</w:t>
            </w:r>
            <w:r>
              <w:rPr>
                <w:rFonts w:hint="eastAsia" w:ascii="宋体" w:hAnsi="宋体" w:cs="Tahoma"/>
                <w:color w:val="000000"/>
                <w:kern w:val="0"/>
                <w:sz w:val="21"/>
                <w:szCs w:val="21"/>
                <w:highlight w:val="none"/>
                <w:shd w:val="clear" w:color="auto" w:fill="auto"/>
                <w:lang w:val="en-US" w:eastAsia="zh-CN"/>
              </w:rPr>
              <w:t>2位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988" w:type="dxa"/>
            <w:gridSpan w:val="2"/>
          </w:tcPr>
          <w:p>
            <w:pPr>
              <w:spacing w:line="240" w:lineRule="auto"/>
              <w:jc w:val="center"/>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条款号</w:t>
            </w:r>
          </w:p>
        </w:tc>
        <w:tc>
          <w:tcPr>
            <w:tcW w:w="6624" w:type="dxa"/>
            <w:gridSpan w:val="2"/>
          </w:tcPr>
          <w:p>
            <w:pPr>
              <w:spacing w:line="240" w:lineRule="auto"/>
              <w:jc w:val="center"/>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0" w:type="dxa"/>
            <w:vAlign w:val="center"/>
          </w:tcPr>
          <w:p>
            <w:pPr>
              <w:spacing w:line="240" w:lineRule="auto"/>
              <w:jc w:val="center"/>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3.1.1</w:t>
            </w:r>
          </w:p>
        </w:tc>
        <w:tc>
          <w:tcPr>
            <w:tcW w:w="1148" w:type="dxa"/>
            <w:vAlign w:val="center"/>
          </w:tcPr>
          <w:p>
            <w:pPr>
              <w:spacing w:line="240" w:lineRule="auto"/>
              <w:jc w:val="center"/>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评标</w:t>
            </w:r>
          </w:p>
          <w:p>
            <w:pPr>
              <w:spacing w:line="240" w:lineRule="auto"/>
              <w:jc w:val="center"/>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程序</w:t>
            </w:r>
          </w:p>
        </w:tc>
        <w:tc>
          <w:tcPr>
            <w:tcW w:w="6624" w:type="dxa"/>
            <w:gridSpan w:val="2"/>
            <w:vAlign w:val="center"/>
          </w:tcPr>
          <w:p>
            <w:pPr>
              <w:spacing w:line="240" w:lineRule="auto"/>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详见本章附件A：评标详细程序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0" w:type="dxa"/>
            <w:vAlign w:val="center"/>
          </w:tcPr>
          <w:p>
            <w:pPr>
              <w:spacing w:line="240" w:lineRule="auto"/>
              <w:jc w:val="center"/>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3.1.2</w:t>
            </w:r>
          </w:p>
        </w:tc>
        <w:tc>
          <w:tcPr>
            <w:tcW w:w="1148" w:type="dxa"/>
            <w:vAlign w:val="center"/>
          </w:tcPr>
          <w:p>
            <w:pPr>
              <w:spacing w:line="240" w:lineRule="auto"/>
              <w:jc w:val="center"/>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否决投标的条件</w:t>
            </w:r>
          </w:p>
        </w:tc>
        <w:tc>
          <w:tcPr>
            <w:tcW w:w="6624" w:type="dxa"/>
            <w:gridSpan w:val="2"/>
            <w:vAlign w:val="center"/>
          </w:tcPr>
          <w:p>
            <w:pPr>
              <w:spacing w:line="240" w:lineRule="auto"/>
              <w:rPr>
                <w:rFonts w:ascii="宋体" w:hAnsi="宋体"/>
                <w:color w:val="000000"/>
                <w:sz w:val="21"/>
                <w:szCs w:val="21"/>
                <w:highlight w:val="none"/>
                <w:shd w:val="clear" w:color="auto" w:fill="auto"/>
              </w:rPr>
            </w:pPr>
            <w:r>
              <w:rPr>
                <w:rFonts w:hint="eastAsia" w:ascii="宋体" w:hAnsi="宋体"/>
                <w:color w:val="000000"/>
                <w:sz w:val="21"/>
                <w:szCs w:val="21"/>
                <w:highlight w:val="none"/>
                <w:shd w:val="clear" w:color="auto" w:fill="auto"/>
              </w:rPr>
              <w:t>详见本章附件B：否决投标的条件</w:t>
            </w:r>
          </w:p>
        </w:tc>
      </w:tr>
    </w:tbl>
    <w:p>
      <w:pPr>
        <w:rPr>
          <w:rFonts w:ascii="宋体" w:hAnsi="宋体"/>
          <w:color w:val="000000"/>
          <w:szCs w:val="21"/>
        </w:rPr>
      </w:pPr>
    </w:p>
    <w:p>
      <w:pPr>
        <w:spacing w:after="312" w:afterLines="100"/>
        <w:rPr>
          <w:rFonts w:ascii="黑体" w:hAnsi="宋体" w:eastAsia="黑体"/>
          <w:color w:val="000000"/>
          <w:sz w:val="24"/>
        </w:rPr>
      </w:pPr>
      <w:r>
        <w:rPr>
          <w:rFonts w:hint="eastAsia" w:ascii="黑体" w:hAnsi="宋体" w:eastAsia="黑体"/>
          <w:color w:val="000000"/>
          <w:sz w:val="24"/>
        </w:rPr>
        <w:t>评标办法</w:t>
      </w:r>
      <w:r>
        <w:rPr>
          <w:rFonts w:hint="eastAsia" w:ascii="黑体" w:hAnsi="宋体" w:eastAsia="黑体"/>
          <w:color w:val="000000"/>
          <w:sz w:val="24"/>
          <w:lang w:eastAsia="zh-CN"/>
        </w:rPr>
        <w:t>（</w:t>
      </w:r>
      <w:r>
        <w:rPr>
          <w:rFonts w:hint="eastAsia" w:ascii="黑体" w:hAnsi="宋体" w:eastAsia="黑体"/>
          <w:color w:val="000000"/>
          <w:sz w:val="24"/>
        </w:rPr>
        <w:t>经评审的最低投标报价法</w:t>
      </w:r>
      <w:r>
        <w:rPr>
          <w:rFonts w:hint="eastAsia" w:ascii="黑体" w:hAnsi="宋体" w:eastAsia="黑体"/>
          <w:color w:val="000000"/>
          <w:sz w:val="24"/>
          <w:lang w:eastAsia="zh-CN"/>
        </w:rPr>
        <w:t>）</w:t>
      </w:r>
    </w:p>
    <w:p>
      <w:pPr>
        <w:spacing w:before="312" w:beforeLines="100" w:after="249" w:afterLines="80" w:line="380" w:lineRule="exact"/>
        <w:outlineLvl w:val="2"/>
        <w:rPr>
          <w:rFonts w:ascii="黑体" w:hAnsi="宋体" w:eastAsia="黑体"/>
          <w:color w:val="000000"/>
          <w:sz w:val="24"/>
        </w:rPr>
      </w:pPr>
      <w:bookmarkStart w:id="261" w:name="_Toc504078118"/>
      <w:bookmarkStart w:id="262" w:name="_Toc114222748"/>
      <w:r>
        <w:rPr>
          <w:rFonts w:hint="eastAsia" w:ascii="黑体" w:hAnsi="宋体" w:eastAsia="黑体"/>
          <w:color w:val="000000"/>
          <w:sz w:val="24"/>
        </w:rPr>
        <w:t>1.评标方法</w:t>
      </w:r>
      <w:bookmarkEnd w:id="261"/>
      <w:bookmarkEnd w:id="262"/>
    </w:p>
    <w:p>
      <w:pPr>
        <w:spacing w:line="400" w:lineRule="exact"/>
        <w:ind w:firstLine="420" w:firstLineChars="200"/>
        <w:rPr>
          <w:color w:val="000000"/>
        </w:rPr>
      </w:pPr>
      <w:r>
        <w:rPr>
          <w:rFonts w:hint="eastAsia"/>
          <w:color w:val="000000"/>
        </w:rPr>
        <w:t>本次评标采用《海南省房建筑和市政工程工程量清单招标投标评标办法》中的经评审的最低投标报价法。评标委员会对满足招标文件实质性要求的投标文件，按照本章第2.2款规定的评分标准进行打分，并按得分由高到低顺序推荐中标候选人，或根据招标人授权直接确定中标人。综合评分相等时，以商务标得分高的优先，如果商务标得分也相等，以投标总价得分高的优先；如果投标总得分也相等，采取现场随机抽取的方法确定。</w:t>
      </w:r>
    </w:p>
    <w:p>
      <w:pPr>
        <w:spacing w:before="312" w:beforeLines="100" w:after="249" w:afterLines="80" w:line="380" w:lineRule="exact"/>
        <w:outlineLvl w:val="2"/>
        <w:rPr>
          <w:rFonts w:ascii="黑体" w:hAnsi="宋体" w:eastAsia="黑体"/>
          <w:color w:val="000000"/>
          <w:sz w:val="24"/>
        </w:rPr>
      </w:pPr>
      <w:bookmarkStart w:id="263" w:name="_Toc114222749"/>
      <w:bookmarkStart w:id="264" w:name="_Toc504078119"/>
      <w:r>
        <w:rPr>
          <w:rFonts w:hint="eastAsia" w:ascii="黑体" w:hAnsi="宋体" w:eastAsia="黑体"/>
          <w:color w:val="000000"/>
          <w:sz w:val="24"/>
        </w:rPr>
        <w:t>2.评审标准</w:t>
      </w:r>
      <w:bookmarkEnd w:id="263"/>
      <w:bookmarkEnd w:id="264"/>
    </w:p>
    <w:p>
      <w:pPr>
        <w:rPr>
          <w:rFonts w:ascii="黑体" w:eastAsia="黑体"/>
          <w:color w:val="000000"/>
          <w:sz w:val="24"/>
        </w:rPr>
      </w:pPr>
      <w:r>
        <w:rPr>
          <w:rFonts w:hint="eastAsia" w:ascii="黑体" w:eastAsia="黑体"/>
          <w:color w:val="000000"/>
          <w:sz w:val="24"/>
        </w:rPr>
        <w:t>2.1初步评审标准</w:t>
      </w:r>
    </w:p>
    <w:p>
      <w:pPr>
        <w:spacing w:line="400" w:lineRule="exact"/>
        <w:ind w:firstLine="420" w:firstLineChars="200"/>
        <w:rPr>
          <w:color w:val="000000"/>
        </w:rPr>
      </w:pPr>
      <w:r>
        <w:rPr>
          <w:rFonts w:hint="eastAsia"/>
          <w:color w:val="000000"/>
        </w:rPr>
        <w:t>2.1.1形式评审标准：见评标办法前附表。</w:t>
      </w:r>
    </w:p>
    <w:p>
      <w:pPr>
        <w:spacing w:line="400" w:lineRule="exact"/>
        <w:ind w:firstLine="420" w:firstLineChars="200"/>
        <w:rPr>
          <w:color w:val="000000"/>
        </w:rPr>
      </w:pPr>
      <w:r>
        <w:rPr>
          <w:rFonts w:hint="eastAsia"/>
          <w:color w:val="000000"/>
        </w:rPr>
        <w:t>2.1.2资格评审标准：见评标办法前附表。</w:t>
      </w:r>
    </w:p>
    <w:p>
      <w:pPr>
        <w:spacing w:line="400" w:lineRule="exact"/>
        <w:ind w:firstLine="420" w:firstLineChars="200"/>
        <w:rPr>
          <w:color w:val="000000"/>
        </w:rPr>
      </w:pPr>
      <w:r>
        <w:rPr>
          <w:rFonts w:hint="eastAsia"/>
          <w:color w:val="000000"/>
        </w:rPr>
        <w:t>2.1.3响应性评审标准：见评标办法前附表。</w:t>
      </w:r>
    </w:p>
    <w:p>
      <w:pPr>
        <w:rPr>
          <w:rFonts w:ascii="黑体" w:eastAsia="黑体"/>
          <w:color w:val="000000"/>
          <w:sz w:val="24"/>
        </w:rPr>
      </w:pPr>
      <w:r>
        <w:rPr>
          <w:rFonts w:hint="eastAsia" w:ascii="黑体" w:eastAsia="黑体"/>
          <w:color w:val="000000"/>
          <w:sz w:val="24"/>
        </w:rPr>
        <w:t>2.2分值构成与评分标准</w:t>
      </w:r>
    </w:p>
    <w:p>
      <w:pPr>
        <w:spacing w:line="400" w:lineRule="exact"/>
        <w:ind w:firstLine="420" w:firstLineChars="200"/>
        <w:rPr>
          <w:color w:val="000000"/>
        </w:rPr>
      </w:pPr>
      <w:r>
        <w:rPr>
          <w:rFonts w:hint="eastAsia"/>
          <w:color w:val="000000"/>
        </w:rPr>
        <w:t>2.2.1</w:t>
      </w:r>
      <w:r>
        <w:rPr>
          <w:rFonts w:hint="eastAsia" w:ascii="黑体" w:eastAsia="黑体"/>
          <w:color w:val="000000"/>
        </w:rPr>
        <w:t>分值构成</w:t>
      </w:r>
    </w:p>
    <w:p>
      <w:pPr>
        <w:spacing w:line="400" w:lineRule="exact"/>
        <w:ind w:firstLine="718" w:firstLineChars="342"/>
        <w:rPr>
          <w:rFonts w:ascii="宋体" w:hAnsi="宋体"/>
          <w:color w:val="000000"/>
          <w:szCs w:val="21"/>
        </w:rPr>
      </w:pPr>
      <w:r>
        <w:rPr>
          <w:rFonts w:hint="eastAsia" w:ascii="宋体" w:hAnsi="宋体"/>
          <w:color w:val="000000"/>
          <w:szCs w:val="21"/>
        </w:rPr>
        <w:t>（1）工程量清单总报价：见评标办法前附表；</w:t>
      </w:r>
    </w:p>
    <w:p>
      <w:pPr>
        <w:spacing w:line="400" w:lineRule="exact"/>
        <w:ind w:firstLine="718" w:firstLineChars="342"/>
        <w:rPr>
          <w:rFonts w:ascii="宋体" w:hAnsi="宋体"/>
          <w:color w:val="000000"/>
          <w:szCs w:val="21"/>
        </w:rPr>
      </w:pPr>
      <w:r>
        <w:rPr>
          <w:rFonts w:hint="eastAsia" w:ascii="宋体" w:hAnsi="宋体"/>
          <w:color w:val="000000"/>
          <w:szCs w:val="21"/>
        </w:rPr>
        <w:t>（2）分部分项清单报价：见评标办法前附表；</w:t>
      </w:r>
    </w:p>
    <w:p>
      <w:pPr>
        <w:spacing w:line="400" w:lineRule="exact"/>
        <w:ind w:firstLine="718" w:firstLineChars="342"/>
        <w:rPr>
          <w:rFonts w:ascii="宋体" w:hAnsi="宋体"/>
          <w:color w:val="000000"/>
          <w:szCs w:val="21"/>
        </w:rPr>
      </w:pPr>
      <w:r>
        <w:rPr>
          <w:rFonts w:hint="eastAsia" w:ascii="宋体" w:hAnsi="宋体"/>
          <w:color w:val="000000"/>
          <w:szCs w:val="21"/>
        </w:rPr>
        <w:t>（3）企业诚信评价：见评标办法前附表。</w:t>
      </w:r>
    </w:p>
    <w:p>
      <w:pPr>
        <w:spacing w:line="400" w:lineRule="exact"/>
        <w:ind w:firstLine="718" w:firstLineChars="342"/>
        <w:rPr>
          <w:rFonts w:ascii="宋体" w:hAnsi="宋体"/>
          <w:color w:val="000000"/>
          <w:szCs w:val="21"/>
        </w:rPr>
      </w:pPr>
      <w:r>
        <w:rPr>
          <w:rFonts w:hint="eastAsia" w:ascii="宋体" w:hAnsi="宋体"/>
          <w:color w:val="000000"/>
          <w:szCs w:val="21"/>
        </w:rPr>
        <w:t>（4）拟派项目负责人诚信评价：见评标办法前附表。</w:t>
      </w:r>
    </w:p>
    <w:p>
      <w:pPr>
        <w:spacing w:line="400" w:lineRule="exact"/>
        <w:ind w:firstLine="420" w:firstLineChars="200"/>
        <w:rPr>
          <w:rFonts w:ascii="黑体" w:hAnsi="黑体" w:eastAsia="黑体"/>
          <w:color w:val="000000"/>
        </w:rPr>
      </w:pPr>
      <w:r>
        <w:rPr>
          <w:rFonts w:hint="eastAsia"/>
          <w:color w:val="000000"/>
        </w:rPr>
        <w:t>2.2.2</w:t>
      </w:r>
      <w:r>
        <w:rPr>
          <w:rFonts w:hint="eastAsia" w:ascii="黑体" w:hAnsi="黑体" w:eastAsia="黑体"/>
          <w:color w:val="000000"/>
        </w:rPr>
        <w:t>评标价计算方法</w:t>
      </w:r>
    </w:p>
    <w:p>
      <w:pPr>
        <w:spacing w:line="400" w:lineRule="exact"/>
        <w:ind w:firstLine="735" w:firstLineChars="350"/>
        <w:rPr>
          <w:rFonts w:ascii="宋体" w:hAnsi="宋体"/>
          <w:color w:val="000000"/>
          <w:szCs w:val="21"/>
        </w:rPr>
      </w:pPr>
      <w:r>
        <w:rPr>
          <w:rFonts w:hint="eastAsia" w:ascii="宋体" w:hAnsi="宋体"/>
          <w:color w:val="000000"/>
          <w:szCs w:val="21"/>
        </w:rPr>
        <w:t>（1）评标价计算方法：见评标办法前附表。</w:t>
      </w:r>
    </w:p>
    <w:p>
      <w:pPr>
        <w:spacing w:line="400" w:lineRule="exact"/>
        <w:ind w:firstLine="420" w:firstLineChars="200"/>
        <w:rPr>
          <w:color w:val="000000"/>
        </w:rPr>
      </w:pPr>
      <w:r>
        <w:rPr>
          <w:rFonts w:hint="eastAsia"/>
          <w:color w:val="000000"/>
        </w:rPr>
        <w:t>2.2.3</w:t>
      </w:r>
      <w:r>
        <w:rPr>
          <w:rFonts w:hint="eastAsia" w:ascii="黑体" w:eastAsia="黑体"/>
          <w:color w:val="000000"/>
        </w:rPr>
        <w:t>评分标准</w:t>
      </w:r>
    </w:p>
    <w:p>
      <w:pPr>
        <w:spacing w:line="400" w:lineRule="exact"/>
        <w:ind w:firstLine="707" w:firstLineChars="337"/>
        <w:rPr>
          <w:rFonts w:ascii="宋体" w:hAnsi="宋体"/>
          <w:color w:val="000000"/>
          <w:szCs w:val="21"/>
        </w:rPr>
      </w:pPr>
      <w:r>
        <w:rPr>
          <w:rFonts w:hint="eastAsia" w:ascii="宋体" w:hAnsi="宋体"/>
          <w:color w:val="000000"/>
          <w:szCs w:val="21"/>
        </w:rPr>
        <w:t>（1）工程量清单总报价：见评标办法前附表；</w:t>
      </w:r>
    </w:p>
    <w:p>
      <w:pPr>
        <w:spacing w:line="400" w:lineRule="exact"/>
        <w:ind w:firstLine="707" w:firstLineChars="337"/>
        <w:rPr>
          <w:rFonts w:ascii="宋体" w:hAnsi="宋体"/>
          <w:color w:val="000000"/>
          <w:szCs w:val="21"/>
        </w:rPr>
      </w:pPr>
      <w:r>
        <w:rPr>
          <w:rFonts w:hint="eastAsia" w:ascii="宋体" w:hAnsi="宋体"/>
          <w:color w:val="000000"/>
          <w:szCs w:val="21"/>
        </w:rPr>
        <w:t>（2）分部分项清单报价：见评标办法前附表；</w:t>
      </w:r>
    </w:p>
    <w:p>
      <w:pPr>
        <w:spacing w:line="400" w:lineRule="exact"/>
        <w:ind w:firstLine="718" w:firstLineChars="342"/>
        <w:rPr>
          <w:rFonts w:ascii="宋体" w:hAnsi="宋体"/>
          <w:color w:val="000000"/>
          <w:szCs w:val="21"/>
        </w:rPr>
      </w:pPr>
      <w:r>
        <w:rPr>
          <w:rFonts w:hint="eastAsia" w:ascii="宋体" w:hAnsi="宋体"/>
          <w:color w:val="000000"/>
          <w:szCs w:val="21"/>
        </w:rPr>
        <w:t>（3）企业诚信评价：见评标办法前附表。</w:t>
      </w:r>
    </w:p>
    <w:p>
      <w:pPr>
        <w:spacing w:line="400" w:lineRule="exact"/>
        <w:ind w:firstLine="718" w:firstLineChars="342"/>
        <w:rPr>
          <w:rFonts w:ascii="宋体" w:hAnsi="宋体"/>
          <w:color w:val="000000"/>
          <w:szCs w:val="21"/>
        </w:rPr>
      </w:pPr>
      <w:r>
        <w:rPr>
          <w:rFonts w:hint="eastAsia" w:ascii="宋体" w:hAnsi="宋体"/>
          <w:color w:val="000000"/>
          <w:szCs w:val="21"/>
        </w:rPr>
        <w:t>（4）拟派项目负责人诚信评价：见评标办法前附表。</w:t>
      </w:r>
    </w:p>
    <w:p>
      <w:pPr>
        <w:spacing w:before="312" w:beforeLines="100" w:after="249" w:afterLines="80" w:line="380" w:lineRule="exact"/>
        <w:outlineLvl w:val="2"/>
        <w:rPr>
          <w:rFonts w:ascii="黑体" w:hAnsi="宋体" w:eastAsia="黑体"/>
          <w:color w:val="000000"/>
          <w:sz w:val="24"/>
        </w:rPr>
      </w:pPr>
      <w:bookmarkStart w:id="265" w:name="_Toc114222750"/>
      <w:bookmarkStart w:id="266" w:name="_Toc504078120"/>
      <w:r>
        <w:rPr>
          <w:rFonts w:hint="eastAsia" w:ascii="黑体" w:hAnsi="宋体" w:eastAsia="黑体"/>
          <w:color w:val="000000"/>
          <w:sz w:val="24"/>
        </w:rPr>
        <w:t>3.评标程序</w:t>
      </w:r>
      <w:bookmarkEnd w:id="265"/>
      <w:bookmarkEnd w:id="266"/>
    </w:p>
    <w:p>
      <w:pPr>
        <w:rPr>
          <w:rFonts w:ascii="黑体" w:hAnsi="宋体" w:eastAsia="黑体"/>
          <w:color w:val="000000"/>
          <w:sz w:val="24"/>
        </w:rPr>
      </w:pPr>
      <w:r>
        <w:rPr>
          <w:rFonts w:hint="eastAsia" w:ascii="黑体" w:hAnsi="宋体" w:eastAsia="黑体"/>
          <w:color w:val="000000"/>
          <w:sz w:val="24"/>
        </w:rPr>
        <w:t>3.1初步评审</w:t>
      </w:r>
    </w:p>
    <w:p>
      <w:pPr>
        <w:spacing w:line="400" w:lineRule="exact"/>
        <w:ind w:firstLine="420" w:firstLineChars="200"/>
        <w:rPr>
          <w:color w:val="000000"/>
        </w:rPr>
      </w:pPr>
      <w:r>
        <w:rPr>
          <w:rFonts w:hint="eastAsia"/>
          <w:color w:val="000000"/>
        </w:rPr>
        <w:t>3.1.1评标委员会依据本章第2.1款规定的标准对投标文件进行初步评审。有一项不符合评审标准的，否决其投标。</w:t>
      </w:r>
    </w:p>
    <w:p>
      <w:pPr>
        <w:spacing w:line="400" w:lineRule="exact"/>
        <w:ind w:firstLine="420" w:firstLineChars="200"/>
        <w:rPr>
          <w:color w:val="000000"/>
        </w:rPr>
      </w:pPr>
      <w:r>
        <w:rPr>
          <w:rFonts w:hint="eastAsia"/>
          <w:color w:val="000000"/>
        </w:rPr>
        <w:t>3.1.2投标人有以下情形之一的，否决其投标：</w:t>
      </w:r>
    </w:p>
    <w:p>
      <w:pPr>
        <w:spacing w:line="400" w:lineRule="exact"/>
        <w:ind w:firstLine="718" w:firstLineChars="342"/>
        <w:rPr>
          <w:color w:val="000000"/>
        </w:rPr>
      </w:pPr>
      <w:r>
        <w:rPr>
          <w:rFonts w:hint="eastAsia"/>
          <w:color w:val="000000"/>
        </w:rPr>
        <w:t>（</w:t>
      </w:r>
      <w:r>
        <w:rPr>
          <w:color w:val="000000"/>
        </w:rPr>
        <w:t>1</w:t>
      </w:r>
      <w:r>
        <w:rPr>
          <w:rFonts w:hint="eastAsia"/>
          <w:color w:val="000000"/>
        </w:rPr>
        <w:t>）串通投标或弄虚作假或有其他违法行为的；</w:t>
      </w:r>
    </w:p>
    <w:p>
      <w:pPr>
        <w:spacing w:line="400" w:lineRule="exact"/>
        <w:ind w:firstLine="718" w:firstLineChars="342"/>
        <w:rPr>
          <w:color w:val="000000"/>
        </w:rPr>
      </w:pPr>
      <w:r>
        <w:rPr>
          <w:rFonts w:hint="eastAsia"/>
          <w:color w:val="000000"/>
        </w:rPr>
        <w:t>（</w:t>
      </w:r>
      <w:r>
        <w:rPr>
          <w:color w:val="000000"/>
        </w:rPr>
        <w:t>2</w:t>
      </w:r>
      <w:r>
        <w:rPr>
          <w:rFonts w:hint="eastAsia"/>
          <w:color w:val="000000"/>
        </w:rPr>
        <w:t>）不按评标委员会要求澄清、说明或补正的</w:t>
      </w:r>
      <w:r>
        <w:rPr>
          <w:rFonts w:hint="eastAsia"/>
          <w:color w:val="000000"/>
          <w:lang w:eastAsia="zh-CN"/>
        </w:rPr>
        <w:t>；</w:t>
      </w:r>
    </w:p>
    <w:p>
      <w:pPr>
        <w:spacing w:line="400" w:lineRule="exact"/>
        <w:ind w:firstLine="718" w:firstLineChars="342"/>
        <w:rPr>
          <w:color w:val="000000"/>
        </w:rPr>
      </w:pPr>
      <w:r>
        <w:rPr>
          <w:rFonts w:hint="eastAsia"/>
          <w:color w:val="000000"/>
        </w:rPr>
        <w:t>（</w:t>
      </w:r>
      <w:r>
        <w:rPr>
          <w:color w:val="000000"/>
        </w:rPr>
        <w:t>3</w:t>
      </w:r>
      <w:r>
        <w:rPr>
          <w:rFonts w:hint="eastAsia"/>
          <w:color w:val="000000"/>
        </w:rPr>
        <w:t>）经评标委员会复核，发现“机器”推荐的中标候选人存在违法违规行为或重大偏差情形的。</w:t>
      </w:r>
    </w:p>
    <w:p>
      <w:pPr>
        <w:spacing w:line="400" w:lineRule="exact"/>
        <w:ind w:firstLine="420" w:firstLineChars="200"/>
        <w:rPr>
          <w:color w:val="000000"/>
        </w:rPr>
      </w:pPr>
      <w:r>
        <w:rPr>
          <w:rFonts w:hint="eastAsia"/>
          <w:color w:val="000000"/>
        </w:rPr>
        <w:t>3.1.3投标报价有算术错误的，评标委员会按以下原则对投标报价进行修正，修正的价格经投标人书面确认后具有约束力。投标人不接受修正价格的，否决其投标。</w:t>
      </w:r>
    </w:p>
    <w:p>
      <w:pPr>
        <w:spacing w:line="400" w:lineRule="exact"/>
        <w:ind w:firstLine="718" w:firstLineChars="342"/>
        <w:rPr>
          <w:color w:val="000000"/>
        </w:rPr>
      </w:pPr>
      <w:r>
        <w:rPr>
          <w:rFonts w:hint="eastAsia"/>
          <w:color w:val="000000"/>
        </w:rPr>
        <w:t>（1）用数字表示的数额与用文字表示的数额不一致时，以文字数额为准；</w:t>
      </w:r>
    </w:p>
    <w:p>
      <w:pPr>
        <w:spacing w:line="400" w:lineRule="exact"/>
        <w:ind w:firstLine="718" w:firstLineChars="342"/>
        <w:rPr>
          <w:color w:val="000000"/>
        </w:rPr>
      </w:pPr>
      <w:r>
        <w:rPr>
          <w:rFonts w:hint="eastAsia"/>
          <w:color w:val="000000"/>
        </w:rPr>
        <w:t>（2）单价与工程量的乘积与合价不一致时，以单价为准；</w:t>
      </w:r>
    </w:p>
    <w:p>
      <w:pPr>
        <w:spacing w:line="400" w:lineRule="exact"/>
        <w:ind w:firstLine="718" w:firstLineChars="342"/>
        <w:rPr>
          <w:color w:val="000000"/>
        </w:rPr>
      </w:pPr>
      <w:r>
        <w:rPr>
          <w:rFonts w:hint="eastAsia"/>
          <w:color w:val="000000"/>
        </w:rPr>
        <w:t>（3）单价有明显的小数点错位，应以合价为准，并修正单价；</w:t>
      </w:r>
    </w:p>
    <w:p>
      <w:pPr>
        <w:spacing w:line="400" w:lineRule="exact"/>
        <w:ind w:firstLine="718" w:firstLineChars="342"/>
        <w:rPr>
          <w:color w:val="000000"/>
        </w:rPr>
      </w:pPr>
      <w:r>
        <w:rPr>
          <w:rFonts w:hint="eastAsia"/>
          <w:color w:val="000000"/>
        </w:rPr>
        <w:t>（4）当各单项合价相加与其合计金额或总价不一致时，以各单项合价为准，并修正合计金额或总价；</w:t>
      </w:r>
    </w:p>
    <w:p>
      <w:pPr>
        <w:spacing w:line="400" w:lineRule="exact"/>
        <w:ind w:firstLine="718" w:firstLineChars="342"/>
        <w:rPr>
          <w:color w:val="000000"/>
        </w:rPr>
      </w:pPr>
      <w:r>
        <w:rPr>
          <w:rFonts w:hint="eastAsia"/>
          <w:color w:val="000000"/>
        </w:rPr>
        <w:t>（5）招标文件中提供的工程量清单项目，投标人未填报单价或价格的，视为此项费用不计取或已分摊在工程量清单中其他已标价的相关清单的单价或价格之中。</w:t>
      </w:r>
    </w:p>
    <w:p>
      <w:pPr>
        <w:rPr>
          <w:rFonts w:ascii="黑体" w:eastAsia="黑体"/>
          <w:color w:val="000000"/>
          <w:sz w:val="24"/>
        </w:rPr>
      </w:pPr>
      <w:r>
        <w:rPr>
          <w:rFonts w:hint="eastAsia" w:ascii="黑体" w:eastAsia="黑体"/>
          <w:color w:val="000000"/>
          <w:sz w:val="24"/>
        </w:rPr>
        <w:t>3.2确定合格的有效投标人名单</w:t>
      </w:r>
    </w:p>
    <w:p>
      <w:pPr>
        <w:spacing w:line="400" w:lineRule="exact"/>
        <w:ind w:firstLine="718" w:firstLineChars="342"/>
        <w:rPr>
          <w:color w:val="000000"/>
        </w:rPr>
      </w:pPr>
      <w:r>
        <w:rPr>
          <w:rFonts w:hint="eastAsia"/>
          <w:color w:val="000000"/>
        </w:rPr>
        <w:t>3.2.1通过初步评审的有效投标人，以评标基准价比较所有投标人的投标报价，将投标报价和评标基准价差的绝对值从低至高进行排列，抽取前20名的有效投标人的投标文件（评审文件）视为合格的有效投标人进行详细评审，如有效投标人不足20名，则全部视为合格的有效投标人参与详细评审。</w:t>
      </w:r>
    </w:p>
    <w:p>
      <w:pPr>
        <w:rPr>
          <w:rFonts w:ascii="黑体" w:eastAsia="黑体"/>
          <w:color w:val="000000"/>
          <w:sz w:val="24"/>
        </w:rPr>
      </w:pPr>
      <w:r>
        <w:rPr>
          <w:rFonts w:hint="eastAsia" w:ascii="黑体" w:eastAsia="黑体"/>
          <w:color w:val="000000"/>
          <w:sz w:val="24"/>
        </w:rPr>
        <w:t>3.3详细评审</w:t>
      </w:r>
    </w:p>
    <w:p>
      <w:pPr>
        <w:spacing w:line="400" w:lineRule="exact"/>
        <w:ind w:firstLine="420" w:firstLineChars="200"/>
        <w:rPr>
          <w:color w:val="000000"/>
        </w:rPr>
      </w:pPr>
      <w:r>
        <w:rPr>
          <w:rFonts w:hint="eastAsia"/>
          <w:color w:val="000000"/>
        </w:rPr>
        <w:t>3.3.1评标委员会按本章第2.2款规定的量化因素和分值进行打分，并计算出综合评估得分。评分分值计算保留小数点后两位，小数点后第三位“四舍五入”</w:t>
      </w:r>
    </w:p>
    <w:p>
      <w:pPr>
        <w:spacing w:line="400" w:lineRule="exact"/>
        <w:ind w:firstLine="718" w:firstLineChars="342"/>
        <w:rPr>
          <w:color w:val="000000"/>
        </w:rPr>
      </w:pPr>
      <w:r>
        <w:rPr>
          <w:rFonts w:hint="eastAsia"/>
          <w:color w:val="000000"/>
        </w:rPr>
        <w:t>（</w:t>
      </w:r>
      <w:r>
        <w:rPr>
          <w:color w:val="000000"/>
        </w:rPr>
        <w:t>1</w:t>
      </w:r>
      <w:r>
        <w:rPr>
          <w:rFonts w:hint="eastAsia"/>
          <w:color w:val="000000"/>
        </w:rPr>
        <w:t>）按本章第2.2.3目规定的评审因素和分值对</w:t>
      </w:r>
      <w:r>
        <w:rPr>
          <w:rFonts w:hint="eastAsia" w:ascii="宋体" w:hAnsi="宋体"/>
          <w:color w:val="000000"/>
          <w:szCs w:val="21"/>
        </w:rPr>
        <w:t>投标人报价</w:t>
      </w:r>
      <w:r>
        <w:rPr>
          <w:rFonts w:hint="eastAsia"/>
          <w:color w:val="000000"/>
        </w:rPr>
        <w:t>计算出得分A。</w:t>
      </w:r>
    </w:p>
    <w:p>
      <w:pPr>
        <w:spacing w:line="400" w:lineRule="exact"/>
        <w:ind w:firstLine="718" w:firstLineChars="342"/>
        <w:rPr>
          <w:color w:val="000000"/>
        </w:rPr>
      </w:pPr>
      <w:r>
        <w:rPr>
          <w:rFonts w:hint="eastAsia"/>
          <w:color w:val="000000"/>
        </w:rPr>
        <w:t>（</w:t>
      </w:r>
      <w:r>
        <w:rPr>
          <w:color w:val="000000"/>
        </w:rPr>
        <w:t>2</w:t>
      </w:r>
      <w:r>
        <w:rPr>
          <w:rFonts w:hint="eastAsia"/>
          <w:color w:val="000000"/>
        </w:rPr>
        <w:t>）按本章第2.2.</w:t>
      </w:r>
      <w:r>
        <w:rPr>
          <w:color w:val="000000"/>
        </w:rPr>
        <w:t>4</w:t>
      </w:r>
      <w:r>
        <w:rPr>
          <w:rFonts w:hint="eastAsia"/>
          <w:color w:val="000000"/>
        </w:rPr>
        <w:t>目规定的评审因素和分值对企业诚信评价计算出得分B。</w:t>
      </w:r>
    </w:p>
    <w:p>
      <w:pPr>
        <w:spacing w:line="400" w:lineRule="exact"/>
        <w:ind w:firstLine="718" w:firstLineChars="342"/>
        <w:rPr>
          <w:color w:val="000000"/>
        </w:rPr>
      </w:pPr>
      <w:r>
        <w:rPr>
          <w:rFonts w:hint="eastAsia"/>
          <w:color w:val="000000"/>
        </w:rPr>
        <w:t>（</w:t>
      </w:r>
      <w:r>
        <w:rPr>
          <w:color w:val="000000"/>
        </w:rPr>
        <w:t>3</w:t>
      </w:r>
      <w:r>
        <w:rPr>
          <w:rFonts w:hint="eastAsia"/>
          <w:color w:val="000000"/>
        </w:rPr>
        <w:t>）按本章第2.2.</w:t>
      </w:r>
      <w:r>
        <w:rPr>
          <w:color w:val="000000"/>
        </w:rPr>
        <w:t>5</w:t>
      </w:r>
      <w:r>
        <w:rPr>
          <w:rFonts w:hint="eastAsia"/>
          <w:color w:val="000000"/>
        </w:rPr>
        <w:t>目规定的评审因素和分值对拟派项目负责人诚信评价计算出得分C。</w:t>
      </w:r>
    </w:p>
    <w:p>
      <w:pPr>
        <w:spacing w:line="400" w:lineRule="exact"/>
        <w:ind w:firstLine="420" w:firstLineChars="200"/>
        <w:rPr>
          <w:color w:val="000000"/>
        </w:rPr>
      </w:pPr>
      <w:r>
        <w:rPr>
          <w:rFonts w:hint="eastAsia"/>
          <w:color w:val="000000"/>
        </w:rPr>
        <w:t>投标人得分=A+B+C</w:t>
      </w:r>
    </w:p>
    <w:p>
      <w:pPr>
        <w:spacing w:line="400" w:lineRule="exact"/>
        <w:ind w:firstLine="420" w:firstLineChars="200"/>
        <w:rPr>
          <w:color w:val="000000"/>
        </w:rPr>
      </w:pPr>
      <w:r>
        <w:rPr>
          <w:rFonts w:hint="eastAsia"/>
          <w:color w:val="000000"/>
        </w:rPr>
        <w:t>3.3.2评标委员会发现投标人的报价低于工程成本，由评标委员会认定该投标人以低于成本报价竞标，否决其投标。</w:t>
      </w:r>
    </w:p>
    <w:p>
      <w:pPr>
        <w:rPr>
          <w:rFonts w:ascii="黑体" w:eastAsia="黑体"/>
          <w:color w:val="000000"/>
          <w:sz w:val="24"/>
        </w:rPr>
      </w:pPr>
      <w:r>
        <w:rPr>
          <w:rFonts w:hint="eastAsia" w:ascii="黑体" w:eastAsia="黑体"/>
          <w:color w:val="000000"/>
          <w:sz w:val="24"/>
        </w:rPr>
        <w:t>3.4投标文件的澄清和补正</w:t>
      </w:r>
    </w:p>
    <w:p>
      <w:pPr>
        <w:spacing w:line="400" w:lineRule="exact"/>
        <w:ind w:firstLine="420" w:firstLineChars="200"/>
        <w:rPr>
          <w:color w:val="000000"/>
        </w:rPr>
      </w:pPr>
      <w:r>
        <w:rPr>
          <w:rFonts w:hint="eastAsia"/>
          <w:color w:val="000000"/>
        </w:rPr>
        <w:t>3.4.1在评标过程中，评标委员会可以书面形式要求投标人对所提交投标文件中不明确的内容进行书面澄清或说明，或者对细微偏差进行补正。评标委员会不接受投标人主动提出的澄清、说明或补正。</w:t>
      </w:r>
    </w:p>
    <w:p>
      <w:pPr>
        <w:spacing w:line="400" w:lineRule="exact"/>
        <w:ind w:firstLine="420" w:firstLineChars="200"/>
        <w:rPr>
          <w:color w:val="000000"/>
        </w:rPr>
      </w:pPr>
      <w:r>
        <w:rPr>
          <w:rFonts w:hint="eastAsia"/>
          <w:color w:val="000000"/>
        </w:rPr>
        <w:t>3.4.2澄清、说明和补正不得改变投标文件的实质性内容（算术性错误修正的除外）。投标人的书面澄清、说明和补正属于投标文件的组成部分。</w:t>
      </w:r>
    </w:p>
    <w:p>
      <w:pPr>
        <w:spacing w:line="400" w:lineRule="exact"/>
        <w:ind w:firstLine="420" w:firstLineChars="200"/>
        <w:rPr>
          <w:color w:val="000000"/>
        </w:rPr>
      </w:pPr>
      <w:r>
        <w:rPr>
          <w:rFonts w:hint="eastAsia"/>
          <w:color w:val="000000"/>
        </w:rPr>
        <w:t>3.4.3评标委员会对投标人提交的澄清、说明或补正有疑问的，可以要求投标人进一步澄清、说明或补正，直至满足评标委员会的要求。</w:t>
      </w:r>
    </w:p>
    <w:p>
      <w:pPr>
        <w:rPr>
          <w:rFonts w:ascii="黑体" w:eastAsia="黑体"/>
          <w:color w:val="000000"/>
          <w:sz w:val="24"/>
        </w:rPr>
      </w:pPr>
      <w:r>
        <w:rPr>
          <w:rFonts w:hint="eastAsia" w:ascii="黑体" w:eastAsia="黑体"/>
          <w:color w:val="000000"/>
          <w:sz w:val="24"/>
        </w:rPr>
        <w:t>3.5评标结果</w:t>
      </w:r>
    </w:p>
    <w:p>
      <w:pPr>
        <w:spacing w:line="400" w:lineRule="exact"/>
        <w:ind w:firstLine="420" w:firstLineChars="200"/>
        <w:rPr>
          <w:color w:val="000000"/>
        </w:rPr>
      </w:pPr>
      <w:r>
        <w:rPr>
          <w:rFonts w:hint="eastAsia"/>
          <w:color w:val="000000"/>
        </w:rPr>
        <w:t>3.5.1除第二章“投标人须知”前附表授权直接确定中标人或采用评定分离定标方式外，评标委员会按照得分由高到低的顺序推荐中标候选人。</w:t>
      </w:r>
    </w:p>
    <w:p>
      <w:pPr>
        <w:ind w:firstLine="420" w:firstLineChars="200"/>
        <w:rPr>
          <w:color w:val="000000"/>
        </w:rPr>
      </w:pPr>
      <w:r>
        <w:rPr>
          <w:rFonts w:hint="eastAsia"/>
          <w:color w:val="000000"/>
        </w:rPr>
        <w:t>3.5.2评标委员会完成评标后，应当向招标人提交书面评标报告。</w:t>
      </w:r>
    </w:p>
    <w:p>
      <w:pPr>
        <w:ind w:firstLine="420" w:firstLineChars="200"/>
        <w:rPr>
          <w:rFonts w:ascii="宋体" w:hAnsi="宋体"/>
          <w:color w:val="000000"/>
          <w:szCs w:val="21"/>
        </w:rPr>
      </w:pPr>
    </w:p>
    <w:p>
      <w:pPr>
        <w:rPr>
          <w:rFonts w:ascii="宋体" w:hAnsi="宋体"/>
          <w:color w:val="000000"/>
          <w:szCs w:val="21"/>
        </w:rPr>
        <w:sectPr>
          <w:headerReference r:id="rId18" w:type="first"/>
          <w:headerReference r:id="rId16" w:type="default"/>
          <w:footerReference r:id="rId19" w:type="default"/>
          <w:headerReference r:id="rId17" w:type="even"/>
          <w:footerReference r:id="rId20" w:type="even"/>
          <w:pgSz w:w="11906" w:h="16838"/>
          <w:pgMar w:top="1588" w:right="1701" w:bottom="1418" w:left="1701" w:header="851" w:footer="851" w:gutter="0"/>
          <w:cols w:space="425" w:num="1"/>
          <w:docGrid w:type="lines" w:linePitch="312" w:charSpace="0"/>
        </w:sectPr>
      </w:pPr>
    </w:p>
    <w:p>
      <w:pPr>
        <w:spacing w:before="312" w:beforeLines="100" w:after="249" w:afterLines="80" w:line="380" w:lineRule="exact"/>
        <w:outlineLvl w:val="2"/>
        <w:rPr>
          <w:rFonts w:ascii="黑体" w:hAnsi="宋体" w:eastAsia="黑体"/>
          <w:color w:val="000000"/>
          <w:sz w:val="24"/>
        </w:rPr>
      </w:pPr>
      <w:bookmarkStart w:id="267" w:name="_Toc114222751"/>
      <w:bookmarkStart w:id="268" w:name="_Toc504078121"/>
      <w:r>
        <w:rPr>
          <w:rFonts w:hint="eastAsia" w:ascii="黑体" w:hAnsi="宋体" w:eastAsia="黑体"/>
          <w:color w:val="000000"/>
          <w:sz w:val="24"/>
        </w:rPr>
        <w:t>附件A：评标详细程序</w:t>
      </w:r>
      <w:bookmarkEnd w:id="267"/>
      <w:bookmarkEnd w:id="268"/>
    </w:p>
    <w:p>
      <w:pPr>
        <w:spacing w:before="218" w:beforeLines="70" w:after="218" w:afterLines="70" w:line="420" w:lineRule="exact"/>
        <w:jc w:val="center"/>
        <w:rPr>
          <w:rFonts w:ascii="黑体" w:hAnsi="宋体" w:eastAsia="黑体"/>
          <w:color w:val="000000"/>
          <w:sz w:val="28"/>
          <w:szCs w:val="28"/>
        </w:rPr>
      </w:pPr>
      <w:r>
        <w:rPr>
          <w:rFonts w:hint="eastAsia" w:ascii="黑体" w:hAnsi="宋体" w:eastAsia="黑体"/>
          <w:color w:val="000000"/>
          <w:sz w:val="28"/>
          <w:szCs w:val="28"/>
        </w:rPr>
        <w:t>评标详细程序</w:t>
      </w:r>
    </w:p>
    <w:p>
      <w:pPr>
        <w:spacing w:line="420" w:lineRule="exact"/>
        <w:rPr>
          <w:rFonts w:ascii="宋体" w:hAnsi="宋体"/>
          <w:b/>
          <w:color w:val="000000"/>
          <w:szCs w:val="21"/>
        </w:rPr>
      </w:pPr>
      <w:r>
        <w:rPr>
          <w:rFonts w:hint="eastAsia" w:ascii="宋体" w:hAnsi="宋体"/>
          <w:b/>
          <w:color w:val="000000"/>
          <w:szCs w:val="21"/>
        </w:rPr>
        <w:t>A0.总则</w:t>
      </w:r>
    </w:p>
    <w:p>
      <w:pPr>
        <w:spacing w:line="420" w:lineRule="exact"/>
        <w:ind w:firstLine="420" w:firstLineChars="200"/>
        <w:rPr>
          <w:rFonts w:ascii="宋体" w:hAnsi="宋体"/>
          <w:color w:val="000000"/>
          <w:szCs w:val="21"/>
        </w:rPr>
      </w:pPr>
      <w:r>
        <w:rPr>
          <w:rFonts w:hint="eastAsia" w:ascii="宋体" w:hAnsi="宋体"/>
          <w:color w:val="000000"/>
          <w:szCs w:val="21"/>
        </w:rPr>
        <w:t>本附件是本章“评标办法”的组成部分，是对本章第3条所规定的评标程序的</w:t>
      </w:r>
      <w:r>
        <w:rPr>
          <w:rFonts w:hint="eastAsia" w:ascii="宋体" w:hAnsi="宋体"/>
          <w:color w:val="000000"/>
          <w:szCs w:val="21"/>
          <w:lang w:eastAsia="zh-CN"/>
        </w:rPr>
        <w:t>进一步</w:t>
      </w:r>
    </w:p>
    <w:p>
      <w:pPr>
        <w:spacing w:line="420" w:lineRule="exact"/>
        <w:rPr>
          <w:rFonts w:ascii="宋体" w:hAnsi="宋体"/>
          <w:color w:val="000000"/>
          <w:szCs w:val="21"/>
        </w:rPr>
      </w:pPr>
      <w:r>
        <w:rPr>
          <w:rFonts w:hint="eastAsia" w:ascii="宋体" w:hAnsi="宋体"/>
          <w:color w:val="000000"/>
          <w:szCs w:val="21"/>
        </w:rPr>
        <w:t>细化，交易系统应当按照本附件所规定的详细程序开展并完成评标工作，评标专家应当按照本附件所规定的详细程序开展评标结果复核工作。</w:t>
      </w:r>
    </w:p>
    <w:p>
      <w:pPr>
        <w:spacing w:before="62" w:beforeLines="20" w:after="62" w:afterLines="20" w:line="420" w:lineRule="exact"/>
        <w:rPr>
          <w:rFonts w:ascii="宋体" w:hAnsi="宋体"/>
          <w:b/>
          <w:color w:val="000000"/>
          <w:szCs w:val="21"/>
        </w:rPr>
      </w:pPr>
      <w:r>
        <w:rPr>
          <w:rFonts w:hint="eastAsia" w:ascii="宋体" w:hAnsi="宋体"/>
          <w:b/>
          <w:color w:val="000000"/>
          <w:szCs w:val="21"/>
        </w:rPr>
        <w:t>A1.基本程序</w:t>
      </w:r>
    </w:p>
    <w:p>
      <w:pPr>
        <w:spacing w:line="420" w:lineRule="exact"/>
        <w:ind w:firstLine="420" w:firstLineChars="200"/>
        <w:rPr>
          <w:rFonts w:ascii="宋体" w:hAnsi="宋体"/>
          <w:color w:val="000000"/>
          <w:szCs w:val="21"/>
        </w:rPr>
      </w:pPr>
      <w:r>
        <w:rPr>
          <w:rFonts w:hint="eastAsia" w:ascii="宋体" w:hAnsi="宋体"/>
          <w:color w:val="000000"/>
          <w:szCs w:val="21"/>
        </w:rPr>
        <w:t>评标活动将按以下六个步骤进行：</w:t>
      </w:r>
    </w:p>
    <w:p>
      <w:pPr>
        <w:spacing w:before="93" w:beforeLines="30" w:line="420" w:lineRule="exact"/>
        <w:ind w:firstLine="420" w:firstLineChars="200"/>
        <w:rPr>
          <w:rFonts w:ascii="宋体" w:hAns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）初步评审；</w:t>
      </w:r>
    </w:p>
    <w:p>
      <w:pPr>
        <w:spacing w:before="93" w:beforeLines="30" w:line="420" w:lineRule="exact"/>
        <w:ind w:firstLine="420" w:firstLineChars="200"/>
        <w:rPr>
          <w:color w:val="000000"/>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w:t>
      </w:r>
      <w:r>
        <w:rPr>
          <w:rFonts w:hint="eastAsia"/>
          <w:color w:val="000000"/>
        </w:rPr>
        <w:t>确定入围投标人；</w:t>
      </w:r>
    </w:p>
    <w:p>
      <w:pPr>
        <w:spacing w:before="93" w:beforeLines="30" w:line="420" w:lineRule="exact"/>
        <w:ind w:firstLine="420" w:firstLineChars="200"/>
        <w:rPr>
          <w:rFonts w:ascii="宋体" w:hAnsi="宋体"/>
          <w:color w:val="000000"/>
          <w:szCs w:val="21"/>
        </w:rPr>
      </w:pPr>
      <w:r>
        <w:rPr>
          <w:rFonts w:hint="eastAsia" w:ascii="宋体" w:hAnsi="宋体"/>
          <w:color w:val="000000"/>
          <w:szCs w:val="21"/>
        </w:rPr>
        <w:t>（3）计算投标人投标报价得分</w:t>
      </w:r>
      <w:r>
        <w:rPr>
          <w:rFonts w:hint="eastAsia"/>
          <w:color w:val="000000"/>
        </w:rPr>
        <w:t>；</w:t>
      </w:r>
    </w:p>
    <w:p>
      <w:pPr>
        <w:spacing w:before="93" w:beforeLines="30" w:line="420" w:lineRule="exact"/>
        <w:ind w:firstLine="525" w:firstLineChars="250"/>
        <w:rPr>
          <w:rFonts w:ascii="宋体" w:hAnsi="宋体"/>
          <w:color w:val="000000"/>
          <w:szCs w:val="21"/>
        </w:rPr>
      </w:pPr>
      <w:r>
        <w:rPr>
          <w:rFonts w:hint="eastAsia" w:ascii="宋体" w:hAnsi="宋体"/>
          <w:color w:val="000000"/>
          <w:szCs w:val="21"/>
          <w:lang w:eastAsia="zh-CN"/>
        </w:rPr>
        <w:t>（</w:t>
      </w:r>
      <w:r>
        <w:rPr>
          <w:rFonts w:ascii="宋体" w:hAnsi="宋体"/>
          <w:color w:val="000000"/>
          <w:szCs w:val="21"/>
        </w:rPr>
        <w:t>4</w:t>
      </w:r>
      <w:r>
        <w:rPr>
          <w:rFonts w:hint="eastAsia" w:ascii="宋体" w:hAnsi="宋体"/>
          <w:color w:val="000000"/>
          <w:szCs w:val="21"/>
          <w:lang w:eastAsia="zh-CN"/>
        </w:rPr>
        <w:t>）</w:t>
      </w:r>
      <w:r>
        <w:rPr>
          <w:rFonts w:hint="eastAsia" w:ascii="宋体" w:hAnsi="宋体"/>
          <w:color w:val="000000"/>
          <w:szCs w:val="21"/>
        </w:rPr>
        <w:t>计算企业诚信评价得分；</w:t>
      </w:r>
    </w:p>
    <w:p>
      <w:pPr>
        <w:spacing w:before="93" w:beforeLines="30" w:line="420" w:lineRule="exact"/>
        <w:ind w:firstLine="525" w:firstLineChars="250"/>
        <w:rPr>
          <w:rFonts w:ascii="宋体" w:hAnsi="宋体"/>
          <w:color w:val="000000"/>
          <w:szCs w:val="21"/>
        </w:rPr>
      </w:pPr>
      <w:r>
        <w:rPr>
          <w:rFonts w:hint="eastAsia" w:ascii="宋体" w:hAnsi="宋体"/>
          <w:color w:val="000000"/>
          <w:szCs w:val="21"/>
          <w:lang w:eastAsia="zh-CN"/>
        </w:rPr>
        <w:t>（</w:t>
      </w:r>
      <w:r>
        <w:rPr>
          <w:rFonts w:ascii="宋体" w:hAnsi="宋体"/>
          <w:color w:val="000000"/>
          <w:szCs w:val="21"/>
        </w:rPr>
        <w:t>5</w:t>
      </w:r>
      <w:r>
        <w:rPr>
          <w:rFonts w:hint="eastAsia" w:ascii="宋体" w:hAnsi="宋体"/>
          <w:color w:val="000000"/>
          <w:szCs w:val="21"/>
          <w:lang w:eastAsia="zh-CN"/>
        </w:rPr>
        <w:t>）</w:t>
      </w:r>
      <w:r>
        <w:rPr>
          <w:rFonts w:hint="eastAsia" w:ascii="宋体" w:hAnsi="宋体"/>
          <w:color w:val="000000"/>
          <w:szCs w:val="21"/>
        </w:rPr>
        <w:t>计算拟派项目负责人诚信评价得分；</w:t>
      </w:r>
    </w:p>
    <w:p>
      <w:pPr>
        <w:spacing w:before="93" w:beforeLines="30" w:line="420" w:lineRule="exact"/>
        <w:ind w:firstLine="420" w:firstLineChars="200"/>
        <w:rPr>
          <w:rFonts w:ascii="宋体" w:hAnsi="宋体"/>
          <w:color w:val="000000"/>
          <w:szCs w:val="21"/>
        </w:rPr>
      </w:pPr>
      <w:r>
        <w:rPr>
          <w:rFonts w:hint="eastAsia" w:ascii="宋体" w:hAnsi="宋体"/>
          <w:color w:val="000000"/>
          <w:szCs w:val="21"/>
        </w:rPr>
        <w:t>（</w:t>
      </w:r>
      <w:r>
        <w:rPr>
          <w:rFonts w:ascii="宋体" w:hAnsi="宋体"/>
          <w:color w:val="000000"/>
          <w:szCs w:val="21"/>
        </w:rPr>
        <w:t>6</w:t>
      </w:r>
      <w:r>
        <w:rPr>
          <w:rFonts w:hint="eastAsia" w:ascii="宋体" w:hAnsi="宋体"/>
          <w:color w:val="000000"/>
          <w:szCs w:val="21"/>
        </w:rPr>
        <w:t>）计算投标人总得分；</w:t>
      </w:r>
    </w:p>
    <w:p>
      <w:pPr>
        <w:spacing w:before="93" w:beforeLines="30" w:line="420" w:lineRule="exact"/>
        <w:ind w:firstLine="420" w:firstLineChars="200"/>
        <w:rPr>
          <w:rFonts w:ascii="宋体" w:hAnsi="宋体"/>
          <w:color w:val="000000"/>
          <w:szCs w:val="21"/>
        </w:rPr>
      </w:pPr>
      <w:r>
        <w:rPr>
          <w:rFonts w:hint="eastAsia" w:ascii="宋体" w:hAnsi="宋体"/>
          <w:color w:val="000000"/>
          <w:szCs w:val="21"/>
        </w:rPr>
        <w:t>（</w:t>
      </w:r>
      <w:r>
        <w:rPr>
          <w:rFonts w:ascii="宋体" w:hAnsi="宋体"/>
          <w:color w:val="000000"/>
          <w:szCs w:val="21"/>
        </w:rPr>
        <w:t>7</w:t>
      </w:r>
      <w:r>
        <w:rPr>
          <w:rFonts w:hint="eastAsia" w:ascii="宋体" w:hAnsi="宋体"/>
          <w:color w:val="000000"/>
          <w:szCs w:val="21"/>
        </w:rPr>
        <w:t>）系统推荐中标候选人或者直接确定中标人或者按评定分离定标方式要求推送中标候选人。</w:t>
      </w:r>
    </w:p>
    <w:p>
      <w:pPr>
        <w:spacing w:before="93" w:beforeLines="30" w:line="420" w:lineRule="exact"/>
        <w:ind w:firstLine="420" w:firstLineChars="200"/>
        <w:rPr>
          <w:rFonts w:ascii="宋体" w:hAnsi="宋体"/>
          <w:color w:val="000000"/>
          <w:szCs w:val="21"/>
        </w:rPr>
      </w:pPr>
      <w:r>
        <w:rPr>
          <w:rFonts w:hint="eastAsia" w:ascii="宋体" w:hAnsi="宋体"/>
          <w:color w:val="000000"/>
          <w:szCs w:val="21"/>
        </w:rPr>
        <w:t>（</w:t>
      </w:r>
      <w:r>
        <w:rPr>
          <w:rFonts w:ascii="宋体" w:hAnsi="宋体"/>
          <w:color w:val="000000"/>
          <w:szCs w:val="21"/>
        </w:rPr>
        <w:t>8</w:t>
      </w:r>
      <w:r>
        <w:rPr>
          <w:rFonts w:hint="eastAsia" w:ascii="宋体" w:hAnsi="宋体"/>
          <w:color w:val="000000"/>
          <w:szCs w:val="21"/>
        </w:rPr>
        <w:t>）评标专家复核评标；</w:t>
      </w:r>
    </w:p>
    <w:p>
      <w:pPr>
        <w:spacing w:before="93" w:beforeLines="30" w:after="93" w:afterLines="30" w:line="420" w:lineRule="exact"/>
        <w:ind w:firstLine="420" w:firstLineChars="200"/>
        <w:rPr>
          <w:rFonts w:ascii="宋体" w:hAnsi="宋体"/>
          <w:color w:val="000000"/>
          <w:szCs w:val="21"/>
        </w:rPr>
      </w:pPr>
      <w:r>
        <w:rPr>
          <w:rFonts w:hint="eastAsia" w:ascii="宋体" w:hAnsi="宋体"/>
          <w:color w:val="000000"/>
          <w:szCs w:val="21"/>
        </w:rPr>
        <w:t>（</w:t>
      </w:r>
      <w:r>
        <w:rPr>
          <w:rFonts w:ascii="宋体" w:hAnsi="宋体"/>
          <w:color w:val="000000"/>
          <w:szCs w:val="21"/>
        </w:rPr>
        <w:t>9</w:t>
      </w:r>
      <w:r>
        <w:rPr>
          <w:rFonts w:hint="eastAsia" w:ascii="宋体" w:hAnsi="宋体"/>
          <w:color w:val="000000"/>
          <w:szCs w:val="21"/>
        </w:rPr>
        <w:t>）推送评标报告。</w:t>
      </w:r>
    </w:p>
    <w:p>
      <w:pPr>
        <w:adjustRightInd w:val="0"/>
        <w:snapToGrid w:val="0"/>
        <w:spacing w:before="62" w:beforeLines="20" w:line="402" w:lineRule="atLeast"/>
        <w:rPr>
          <w:rFonts w:ascii="宋体" w:hAnsi="宋体"/>
          <w:b/>
          <w:color w:val="000000"/>
          <w:szCs w:val="21"/>
        </w:rPr>
      </w:pPr>
      <w:r>
        <w:rPr>
          <w:rFonts w:hint="eastAsia" w:ascii="宋体" w:hAnsi="宋体"/>
          <w:b/>
          <w:color w:val="000000"/>
          <w:szCs w:val="21"/>
        </w:rPr>
        <w:t>A</w:t>
      </w:r>
      <w:r>
        <w:rPr>
          <w:rFonts w:ascii="宋体" w:hAnsi="宋体"/>
          <w:b/>
          <w:color w:val="000000"/>
          <w:szCs w:val="21"/>
        </w:rPr>
        <w:t>2</w:t>
      </w:r>
      <w:r>
        <w:rPr>
          <w:rFonts w:hint="eastAsia" w:ascii="宋体" w:hAnsi="宋体"/>
          <w:b/>
          <w:color w:val="000000"/>
          <w:szCs w:val="21"/>
        </w:rPr>
        <w:t>初步评审</w:t>
      </w:r>
    </w:p>
    <w:p>
      <w:pPr>
        <w:adjustRightInd w:val="0"/>
        <w:snapToGrid w:val="0"/>
        <w:spacing w:line="402" w:lineRule="atLeast"/>
        <w:rPr>
          <w:rFonts w:ascii="宋体" w:hAnsi="宋体"/>
          <w:b/>
          <w:color w:val="000000"/>
          <w:szCs w:val="21"/>
        </w:rPr>
      </w:pPr>
      <w:r>
        <w:rPr>
          <w:rFonts w:hint="eastAsia" w:ascii="宋体" w:hAnsi="宋体"/>
          <w:b/>
          <w:color w:val="000000"/>
          <w:szCs w:val="21"/>
        </w:rPr>
        <w:t>A</w:t>
      </w:r>
      <w:r>
        <w:rPr>
          <w:rFonts w:ascii="宋体" w:hAnsi="宋体"/>
          <w:b/>
          <w:color w:val="000000"/>
          <w:szCs w:val="21"/>
        </w:rPr>
        <w:t>2</w:t>
      </w:r>
      <w:r>
        <w:rPr>
          <w:rFonts w:hint="eastAsia" w:ascii="宋体" w:hAnsi="宋体"/>
          <w:b/>
          <w:color w:val="000000"/>
          <w:szCs w:val="21"/>
        </w:rPr>
        <w:t>.1形式评审</w:t>
      </w:r>
    </w:p>
    <w:p>
      <w:pPr>
        <w:adjustRightInd w:val="0"/>
        <w:snapToGrid w:val="0"/>
        <w:spacing w:line="402" w:lineRule="atLeast"/>
        <w:ind w:firstLine="420" w:firstLineChars="200"/>
        <w:rPr>
          <w:rFonts w:ascii="宋体" w:hAnsi="宋体"/>
          <w:color w:val="000000"/>
          <w:szCs w:val="21"/>
        </w:rPr>
      </w:pPr>
      <w:r>
        <w:rPr>
          <w:rFonts w:hint="eastAsia" w:ascii="宋体" w:hAnsi="宋体"/>
          <w:color w:val="000000"/>
          <w:szCs w:val="21"/>
        </w:rPr>
        <w:t>交易平台根据评标办法前附表中规定的评审因素和评审标准，对投标人的投标文件进行形式评审，并使用</w:t>
      </w:r>
      <w:r>
        <w:rPr>
          <w:rFonts w:hint="eastAsia" w:ascii="宋体" w:hAnsi="宋体"/>
          <w:b/>
          <w:color w:val="000000"/>
          <w:szCs w:val="21"/>
        </w:rPr>
        <w:t>附表A-2</w:t>
      </w:r>
      <w:r>
        <w:rPr>
          <w:rFonts w:hint="eastAsia" w:ascii="宋体" w:hAnsi="宋体"/>
          <w:color w:val="000000"/>
          <w:szCs w:val="21"/>
        </w:rPr>
        <w:t>记录评审结果。</w:t>
      </w:r>
    </w:p>
    <w:p>
      <w:pPr>
        <w:adjustRightInd w:val="0"/>
        <w:snapToGrid w:val="0"/>
        <w:spacing w:before="62" w:beforeLines="20" w:after="62" w:afterLines="20" w:line="402" w:lineRule="atLeast"/>
        <w:rPr>
          <w:rFonts w:ascii="宋体" w:hAnsi="宋体"/>
          <w:b/>
          <w:color w:val="000000"/>
          <w:szCs w:val="21"/>
        </w:rPr>
      </w:pPr>
      <w:r>
        <w:rPr>
          <w:rFonts w:hint="eastAsia" w:ascii="宋体" w:hAnsi="宋体"/>
          <w:b/>
          <w:color w:val="000000"/>
          <w:szCs w:val="21"/>
        </w:rPr>
        <w:t>A</w:t>
      </w:r>
      <w:r>
        <w:rPr>
          <w:rFonts w:ascii="宋体" w:hAnsi="宋体"/>
          <w:b/>
          <w:color w:val="000000"/>
          <w:szCs w:val="21"/>
        </w:rPr>
        <w:t>2</w:t>
      </w:r>
      <w:r>
        <w:rPr>
          <w:rFonts w:hint="eastAsia" w:ascii="宋体" w:hAnsi="宋体"/>
          <w:b/>
          <w:color w:val="000000"/>
          <w:szCs w:val="21"/>
        </w:rPr>
        <w:t>.2资格评审</w:t>
      </w:r>
    </w:p>
    <w:p>
      <w:pPr>
        <w:adjustRightInd w:val="0"/>
        <w:snapToGrid w:val="0"/>
        <w:spacing w:line="402" w:lineRule="atLeast"/>
        <w:ind w:firstLine="420" w:firstLineChars="200"/>
        <w:rPr>
          <w:rFonts w:ascii="宋体" w:hAnsi="宋体"/>
          <w:color w:val="000000"/>
          <w:szCs w:val="21"/>
        </w:rPr>
      </w:pPr>
      <w:r>
        <w:rPr>
          <w:rFonts w:hint="eastAsia" w:ascii="黑体" w:hAnsi="宋体" w:eastAsia="黑体"/>
          <w:color w:val="000000"/>
          <w:szCs w:val="21"/>
        </w:rPr>
        <w:t>A</w:t>
      </w:r>
      <w:r>
        <w:rPr>
          <w:rFonts w:ascii="黑体" w:hAnsi="宋体" w:eastAsia="黑体"/>
          <w:color w:val="000000"/>
          <w:szCs w:val="21"/>
        </w:rPr>
        <w:t>2</w:t>
      </w:r>
      <w:r>
        <w:rPr>
          <w:rFonts w:hint="eastAsia" w:ascii="黑体" w:hAnsi="宋体" w:eastAsia="黑体"/>
          <w:color w:val="000000"/>
          <w:szCs w:val="21"/>
        </w:rPr>
        <w:t>.2.1</w:t>
      </w:r>
      <w:r>
        <w:rPr>
          <w:rFonts w:hint="eastAsia" w:ascii="宋体" w:hAnsi="宋体"/>
          <w:color w:val="000000"/>
          <w:szCs w:val="21"/>
        </w:rPr>
        <w:t>交易平台根据评标办法前附表中规定的评审因素和评审标准，对投标人的投标文件进行资格评审，并使用</w:t>
      </w:r>
      <w:r>
        <w:rPr>
          <w:rFonts w:hint="eastAsia" w:ascii="宋体" w:hAnsi="宋体"/>
          <w:b/>
          <w:color w:val="000000"/>
          <w:szCs w:val="21"/>
        </w:rPr>
        <w:t>附表A-3</w:t>
      </w:r>
      <w:r>
        <w:rPr>
          <w:rFonts w:hint="eastAsia" w:ascii="宋体" w:hAnsi="宋体"/>
          <w:color w:val="000000"/>
          <w:szCs w:val="21"/>
        </w:rPr>
        <w:t>记录评审结果。</w:t>
      </w:r>
    </w:p>
    <w:p>
      <w:pPr>
        <w:adjustRightInd w:val="0"/>
        <w:snapToGrid w:val="0"/>
        <w:spacing w:before="62" w:beforeLines="20" w:after="62" w:afterLines="20" w:line="430" w:lineRule="exact"/>
        <w:rPr>
          <w:rFonts w:ascii="宋体" w:hAnsi="宋体"/>
          <w:b/>
          <w:color w:val="000000"/>
          <w:szCs w:val="21"/>
        </w:rPr>
      </w:pPr>
      <w:r>
        <w:rPr>
          <w:rFonts w:hint="eastAsia" w:ascii="黑体" w:hAnsi="宋体" w:eastAsia="黑体"/>
          <w:b/>
          <w:color w:val="000000"/>
          <w:szCs w:val="21"/>
        </w:rPr>
        <w:t>A</w:t>
      </w:r>
      <w:r>
        <w:rPr>
          <w:rFonts w:ascii="黑体" w:hAnsi="宋体" w:eastAsia="黑体"/>
          <w:b/>
          <w:color w:val="000000"/>
          <w:szCs w:val="21"/>
        </w:rPr>
        <w:t>2</w:t>
      </w:r>
      <w:r>
        <w:rPr>
          <w:rFonts w:hint="eastAsia" w:ascii="黑体" w:hAnsi="宋体" w:eastAsia="黑体"/>
          <w:b/>
          <w:color w:val="000000"/>
          <w:szCs w:val="21"/>
        </w:rPr>
        <w:t>．3</w:t>
      </w:r>
      <w:r>
        <w:rPr>
          <w:rFonts w:hint="eastAsia" w:ascii="宋体" w:hAnsi="宋体"/>
          <w:b/>
          <w:color w:val="000000"/>
          <w:szCs w:val="21"/>
        </w:rPr>
        <w:t>响应性评审</w:t>
      </w:r>
    </w:p>
    <w:p>
      <w:pPr>
        <w:adjustRightInd w:val="0"/>
        <w:snapToGrid w:val="0"/>
        <w:spacing w:line="430" w:lineRule="exact"/>
        <w:ind w:firstLine="420" w:firstLineChars="200"/>
        <w:rPr>
          <w:rFonts w:ascii="宋体" w:hAnsi="宋体"/>
          <w:color w:val="000000"/>
          <w:szCs w:val="21"/>
        </w:rPr>
      </w:pPr>
      <w:r>
        <w:rPr>
          <w:rFonts w:hint="eastAsia" w:ascii="黑体" w:hAnsi="宋体" w:eastAsia="黑体"/>
          <w:color w:val="000000"/>
          <w:szCs w:val="21"/>
        </w:rPr>
        <w:t>A</w:t>
      </w:r>
      <w:r>
        <w:rPr>
          <w:rFonts w:ascii="黑体" w:hAnsi="宋体" w:eastAsia="黑体"/>
          <w:color w:val="000000"/>
          <w:szCs w:val="21"/>
        </w:rPr>
        <w:t>2</w:t>
      </w:r>
      <w:r>
        <w:rPr>
          <w:rFonts w:hint="eastAsia" w:ascii="黑体" w:hAnsi="宋体" w:eastAsia="黑体"/>
          <w:color w:val="000000"/>
          <w:szCs w:val="21"/>
        </w:rPr>
        <w:t>.3.1</w:t>
      </w:r>
      <w:r>
        <w:rPr>
          <w:rFonts w:hint="eastAsia" w:ascii="宋体" w:hAnsi="宋体"/>
          <w:color w:val="000000"/>
          <w:szCs w:val="21"/>
        </w:rPr>
        <w:t>评标委员会根据评标办法前附表中规定的评审因素和评审标准，对投标人的投标文件进行响应性评审，并使用</w:t>
      </w:r>
      <w:r>
        <w:rPr>
          <w:rFonts w:hint="eastAsia" w:ascii="宋体" w:hAnsi="宋体"/>
          <w:b/>
          <w:color w:val="000000"/>
          <w:szCs w:val="21"/>
        </w:rPr>
        <w:t>附表A-4</w:t>
      </w:r>
      <w:r>
        <w:rPr>
          <w:rFonts w:hint="eastAsia" w:ascii="宋体" w:hAnsi="宋体"/>
          <w:color w:val="000000"/>
          <w:szCs w:val="21"/>
        </w:rPr>
        <w:t>记录评审结果。</w:t>
      </w:r>
    </w:p>
    <w:p>
      <w:pPr>
        <w:adjustRightInd w:val="0"/>
        <w:snapToGrid w:val="0"/>
        <w:spacing w:line="430" w:lineRule="exact"/>
        <w:ind w:firstLine="420" w:firstLineChars="200"/>
        <w:rPr>
          <w:rFonts w:ascii="宋体" w:hAnsi="宋体"/>
          <w:color w:val="000000"/>
          <w:szCs w:val="21"/>
        </w:rPr>
      </w:pPr>
      <w:r>
        <w:rPr>
          <w:rFonts w:hint="eastAsia" w:ascii="黑体" w:hAnsi="宋体" w:eastAsia="黑体"/>
          <w:color w:val="000000"/>
          <w:szCs w:val="21"/>
        </w:rPr>
        <w:t>A</w:t>
      </w:r>
      <w:r>
        <w:rPr>
          <w:rFonts w:ascii="黑体" w:hAnsi="宋体" w:eastAsia="黑体"/>
          <w:color w:val="000000"/>
          <w:szCs w:val="21"/>
        </w:rPr>
        <w:t>2</w:t>
      </w:r>
      <w:r>
        <w:rPr>
          <w:rFonts w:hint="eastAsia" w:ascii="黑体" w:hAnsi="宋体" w:eastAsia="黑体"/>
          <w:color w:val="000000"/>
          <w:szCs w:val="21"/>
        </w:rPr>
        <w:t>.3.</w:t>
      </w:r>
      <w:r>
        <w:rPr>
          <w:rFonts w:ascii="黑体" w:hAnsi="宋体" w:eastAsia="黑体"/>
          <w:color w:val="000000"/>
          <w:szCs w:val="21"/>
        </w:rPr>
        <w:t>2</w:t>
      </w:r>
      <w:r>
        <w:rPr>
          <w:rFonts w:hint="eastAsia" w:ascii="宋体" w:hAnsi="宋体"/>
          <w:color w:val="000000"/>
          <w:szCs w:val="21"/>
        </w:rPr>
        <w:t>投标人投标价格不得超出</w:t>
      </w:r>
      <w:r>
        <w:rPr>
          <w:rFonts w:hint="eastAsia" w:ascii="宋体" w:hAnsi="宋体"/>
          <w:color w:val="000000"/>
          <w:szCs w:val="21"/>
          <w:lang w:eastAsia="zh-CN"/>
        </w:rPr>
        <w:t>（</w:t>
      </w:r>
      <w:r>
        <w:rPr>
          <w:rFonts w:hint="eastAsia" w:ascii="宋体" w:hAnsi="宋体"/>
          <w:color w:val="000000"/>
          <w:szCs w:val="21"/>
        </w:rPr>
        <w:t>不含等于</w:t>
      </w:r>
      <w:r>
        <w:rPr>
          <w:rFonts w:hint="eastAsia" w:ascii="宋体" w:hAnsi="宋体"/>
          <w:color w:val="000000"/>
          <w:szCs w:val="21"/>
          <w:lang w:eastAsia="zh-CN"/>
        </w:rPr>
        <w:t>）</w:t>
      </w:r>
      <w:r>
        <w:rPr>
          <w:rFonts w:hint="eastAsia" w:ascii="宋体" w:hAnsi="宋体"/>
          <w:color w:val="000000"/>
          <w:szCs w:val="21"/>
        </w:rPr>
        <w:t>按照第二章“投标人须知”前附表第10．</w:t>
      </w:r>
      <w:r>
        <w:rPr>
          <w:rFonts w:ascii="宋体" w:hAnsi="宋体"/>
          <w:color w:val="000000"/>
          <w:szCs w:val="21"/>
        </w:rPr>
        <w:t>1</w:t>
      </w:r>
      <w:r>
        <w:rPr>
          <w:rFonts w:hint="eastAsia" w:ascii="宋体" w:hAnsi="宋体"/>
          <w:color w:val="000000"/>
          <w:szCs w:val="21"/>
        </w:rPr>
        <w:t>款载明的招标控制价，凡投标人的投标价格超出招标控制价，该投标人的投标文件不能通过响应性评审。</w:t>
      </w:r>
    </w:p>
    <w:p>
      <w:pPr>
        <w:adjustRightInd w:val="0"/>
        <w:snapToGrid w:val="0"/>
        <w:spacing w:line="430" w:lineRule="exact"/>
        <w:rPr>
          <w:rFonts w:ascii="宋体" w:hAnsi="宋体"/>
          <w:b/>
          <w:color w:val="000000"/>
          <w:szCs w:val="21"/>
        </w:rPr>
      </w:pPr>
      <w:r>
        <w:rPr>
          <w:rFonts w:hint="eastAsia" w:ascii="黑体" w:hAnsi="宋体" w:eastAsia="黑体"/>
          <w:b/>
          <w:color w:val="000000"/>
          <w:szCs w:val="21"/>
        </w:rPr>
        <w:t>A</w:t>
      </w:r>
      <w:r>
        <w:rPr>
          <w:rFonts w:ascii="黑体" w:hAnsi="宋体" w:eastAsia="黑体"/>
          <w:b/>
          <w:color w:val="000000"/>
          <w:szCs w:val="21"/>
        </w:rPr>
        <w:t>2</w:t>
      </w:r>
      <w:r>
        <w:rPr>
          <w:rFonts w:hint="eastAsia" w:ascii="黑体" w:hAnsi="宋体" w:eastAsia="黑体"/>
          <w:b/>
          <w:color w:val="000000"/>
          <w:szCs w:val="21"/>
        </w:rPr>
        <w:t>.4</w:t>
      </w:r>
      <w:r>
        <w:rPr>
          <w:rFonts w:hint="eastAsia" w:ascii="宋体" w:hAnsi="宋体"/>
          <w:b/>
          <w:color w:val="000000"/>
          <w:szCs w:val="21"/>
        </w:rPr>
        <w:t>判断投标是否被否决</w:t>
      </w:r>
    </w:p>
    <w:p>
      <w:pPr>
        <w:adjustRightInd w:val="0"/>
        <w:snapToGrid w:val="0"/>
        <w:spacing w:line="430" w:lineRule="exact"/>
        <w:ind w:firstLine="420" w:firstLineChars="200"/>
        <w:rPr>
          <w:rFonts w:ascii="宋体" w:hAnsi="宋体"/>
          <w:color w:val="000000"/>
          <w:szCs w:val="21"/>
        </w:rPr>
      </w:pPr>
      <w:r>
        <w:rPr>
          <w:rFonts w:hint="eastAsia" w:ascii="黑体" w:hAnsi="宋体" w:eastAsia="黑体"/>
          <w:color w:val="000000"/>
          <w:szCs w:val="21"/>
        </w:rPr>
        <w:t>A</w:t>
      </w:r>
      <w:r>
        <w:rPr>
          <w:rFonts w:ascii="黑体" w:hAnsi="宋体" w:eastAsia="黑体"/>
          <w:color w:val="000000"/>
          <w:szCs w:val="21"/>
        </w:rPr>
        <w:t>2</w:t>
      </w:r>
      <w:r>
        <w:rPr>
          <w:rFonts w:hint="eastAsia" w:ascii="黑体" w:hAnsi="宋体" w:eastAsia="黑体"/>
          <w:color w:val="000000"/>
          <w:szCs w:val="21"/>
        </w:rPr>
        <w:t>.4.1</w:t>
      </w:r>
      <w:r>
        <w:rPr>
          <w:rFonts w:hint="eastAsia" w:ascii="宋体" w:hAnsi="宋体"/>
          <w:color w:val="000000"/>
          <w:szCs w:val="21"/>
        </w:rPr>
        <w:t>判断投标人的投标是否被否决的全部条件</w:t>
      </w:r>
      <w:r>
        <w:rPr>
          <w:rFonts w:hint="eastAsia" w:ascii="宋体" w:hAnsi="宋体"/>
          <w:color w:val="000000"/>
          <w:szCs w:val="21"/>
          <w:lang w:eastAsia="zh-CN"/>
        </w:rPr>
        <w:t>（</w:t>
      </w:r>
      <w:r>
        <w:rPr>
          <w:rFonts w:hint="eastAsia" w:ascii="宋体" w:hAnsi="宋体"/>
          <w:color w:val="000000"/>
          <w:szCs w:val="21"/>
        </w:rPr>
        <w:t>包括本章第3．1．2项中规定的条件</w:t>
      </w:r>
      <w:r>
        <w:rPr>
          <w:rFonts w:hint="eastAsia" w:ascii="宋体" w:hAnsi="宋体"/>
          <w:color w:val="000000"/>
          <w:szCs w:val="21"/>
          <w:lang w:eastAsia="zh-CN"/>
        </w:rPr>
        <w:t>）</w:t>
      </w:r>
      <w:r>
        <w:rPr>
          <w:rFonts w:hint="eastAsia" w:ascii="宋体" w:hAnsi="宋体"/>
          <w:color w:val="000000"/>
          <w:szCs w:val="21"/>
        </w:rPr>
        <w:t>，在本章附件B中集中列示。</w:t>
      </w:r>
    </w:p>
    <w:p>
      <w:pPr>
        <w:adjustRightInd w:val="0"/>
        <w:snapToGrid w:val="0"/>
        <w:spacing w:line="430" w:lineRule="exact"/>
        <w:ind w:firstLine="420" w:firstLineChars="200"/>
        <w:rPr>
          <w:rFonts w:ascii="宋体" w:hAnsi="宋体"/>
          <w:color w:val="000000"/>
          <w:szCs w:val="21"/>
        </w:rPr>
      </w:pPr>
      <w:r>
        <w:rPr>
          <w:rFonts w:hint="eastAsia" w:ascii="黑体" w:hAnsi="宋体" w:eastAsia="黑体"/>
          <w:color w:val="000000"/>
          <w:szCs w:val="21"/>
        </w:rPr>
        <w:t>A</w:t>
      </w:r>
      <w:r>
        <w:rPr>
          <w:rFonts w:ascii="黑体" w:hAnsi="宋体" w:eastAsia="黑体"/>
          <w:color w:val="000000"/>
          <w:szCs w:val="21"/>
        </w:rPr>
        <w:t>2</w:t>
      </w:r>
      <w:r>
        <w:rPr>
          <w:rFonts w:hint="eastAsia" w:ascii="黑体" w:hAnsi="宋体" w:eastAsia="黑体"/>
          <w:color w:val="000000"/>
          <w:szCs w:val="21"/>
        </w:rPr>
        <w:t>.4.2</w:t>
      </w:r>
      <w:r>
        <w:rPr>
          <w:rFonts w:hint="eastAsia" w:ascii="宋体" w:hAnsi="宋体"/>
          <w:color w:val="000000"/>
          <w:szCs w:val="21"/>
        </w:rPr>
        <w:t>本章附件</w:t>
      </w:r>
      <w:r>
        <w:rPr>
          <w:rFonts w:hint="eastAsia" w:ascii="宋体" w:hAnsi="宋体"/>
          <w:b/>
          <w:color w:val="000000"/>
          <w:szCs w:val="21"/>
        </w:rPr>
        <w:t>B集</w:t>
      </w:r>
      <w:r>
        <w:rPr>
          <w:rFonts w:hint="eastAsia" w:ascii="宋体" w:hAnsi="宋体"/>
          <w:color w:val="000000"/>
          <w:szCs w:val="21"/>
        </w:rPr>
        <w:t>中列示的否决投标条件不应与第二章“投标人须知”和本章正文部分包括的否决投标条件抵触，如果出现相互矛盾的情况，以第二章“投标人须知”和本章正文部分的规定为准。</w:t>
      </w:r>
    </w:p>
    <w:p>
      <w:pPr>
        <w:adjustRightInd w:val="0"/>
        <w:snapToGrid w:val="0"/>
        <w:spacing w:line="430" w:lineRule="exact"/>
        <w:ind w:firstLine="420" w:firstLineChars="200"/>
        <w:rPr>
          <w:rFonts w:ascii="宋体" w:hAnsi="宋体"/>
          <w:color w:val="000000"/>
          <w:szCs w:val="21"/>
        </w:rPr>
      </w:pPr>
      <w:r>
        <w:rPr>
          <w:rFonts w:hint="eastAsia" w:ascii="黑体" w:hAnsi="宋体" w:eastAsia="黑体"/>
          <w:color w:val="000000"/>
          <w:szCs w:val="21"/>
        </w:rPr>
        <w:t>A</w:t>
      </w:r>
      <w:r>
        <w:rPr>
          <w:rFonts w:ascii="黑体" w:hAnsi="宋体" w:eastAsia="黑体"/>
          <w:color w:val="000000"/>
          <w:szCs w:val="21"/>
        </w:rPr>
        <w:t>2</w:t>
      </w:r>
      <w:r>
        <w:rPr>
          <w:rFonts w:hint="eastAsia" w:ascii="黑体" w:hAnsi="宋体" w:eastAsia="黑体"/>
          <w:color w:val="000000"/>
          <w:szCs w:val="21"/>
        </w:rPr>
        <w:t>.4.3</w:t>
      </w:r>
      <w:r>
        <w:rPr>
          <w:rFonts w:hint="eastAsia" w:ascii="宋体" w:hAnsi="宋体"/>
          <w:color w:val="000000"/>
          <w:szCs w:val="21"/>
        </w:rPr>
        <w:t>交易平台在评标</w:t>
      </w:r>
      <w:r>
        <w:rPr>
          <w:rFonts w:hint="eastAsia" w:ascii="宋体" w:hAnsi="宋体"/>
          <w:color w:val="000000"/>
          <w:szCs w:val="21"/>
          <w:lang w:eastAsia="zh-CN"/>
        </w:rPr>
        <w:t>（</w:t>
      </w:r>
      <w:r>
        <w:rPr>
          <w:rFonts w:hint="eastAsia" w:ascii="宋体" w:hAnsi="宋体"/>
          <w:color w:val="000000"/>
          <w:szCs w:val="21"/>
        </w:rPr>
        <w:t>包括初步评审和详细评审</w:t>
      </w:r>
      <w:r>
        <w:rPr>
          <w:rFonts w:hint="eastAsia" w:ascii="宋体" w:hAnsi="宋体"/>
          <w:color w:val="000000"/>
          <w:szCs w:val="21"/>
          <w:lang w:eastAsia="zh-CN"/>
        </w:rPr>
        <w:t>）</w:t>
      </w:r>
      <w:r>
        <w:rPr>
          <w:rFonts w:hint="eastAsia" w:ascii="宋体" w:hAnsi="宋体"/>
          <w:color w:val="000000"/>
          <w:szCs w:val="21"/>
        </w:rPr>
        <w:t>过程中，依据本章</w:t>
      </w:r>
      <w:r>
        <w:rPr>
          <w:rFonts w:hint="eastAsia" w:ascii="宋体" w:hAnsi="宋体"/>
          <w:b/>
          <w:color w:val="000000"/>
          <w:szCs w:val="21"/>
        </w:rPr>
        <w:t>附件B</w:t>
      </w:r>
      <w:r>
        <w:rPr>
          <w:rFonts w:hint="eastAsia" w:ascii="宋体" w:hAnsi="宋体"/>
          <w:color w:val="000000"/>
          <w:szCs w:val="21"/>
        </w:rPr>
        <w:t>中规定的否决投标条件判断投标人的投标是否被否决。</w:t>
      </w:r>
    </w:p>
    <w:p>
      <w:pPr>
        <w:spacing w:line="420" w:lineRule="exact"/>
        <w:rPr>
          <w:rFonts w:ascii="宋体" w:hAnsi="宋体"/>
          <w:b/>
          <w:color w:val="000000"/>
        </w:rPr>
      </w:pPr>
      <w:r>
        <w:rPr>
          <w:rFonts w:hint="eastAsia" w:ascii="宋体" w:hAnsi="宋体"/>
          <w:b/>
          <w:color w:val="000000"/>
        </w:rPr>
        <w:t>A</w:t>
      </w:r>
      <w:r>
        <w:rPr>
          <w:rFonts w:ascii="宋体" w:hAnsi="宋体"/>
          <w:b/>
          <w:color w:val="000000"/>
        </w:rPr>
        <w:t>3</w:t>
      </w:r>
      <w:r>
        <w:rPr>
          <w:rFonts w:hint="eastAsia" w:ascii="宋体" w:hAnsi="宋体"/>
          <w:b/>
          <w:color w:val="000000"/>
        </w:rPr>
        <w:t>确定入围投标人</w:t>
      </w:r>
    </w:p>
    <w:p>
      <w:pPr>
        <w:adjustRightInd w:val="0"/>
        <w:snapToGrid w:val="0"/>
        <w:spacing w:before="62" w:beforeLines="20" w:after="62" w:afterLines="20" w:line="430" w:lineRule="exact"/>
        <w:ind w:firstLine="420" w:firstLineChars="200"/>
        <w:rPr>
          <w:rFonts w:ascii="宋体" w:hAnsi="宋体"/>
          <w:color w:val="000000"/>
          <w:szCs w:val="21"/>
        </w:rPr>
      </w:pPr>
      <w:r>
        <w:rPr>
          <w:rFonts w:hint="eastAsia" w:ascii="宋体" w:hAnsi="宋体"/>
          <w:color w:val="000000"/>
          <w:szCs w:val="21"/>
        </w:rPr>
        <w:t>（一）计算平均值Pp：</w:t>
      </w:r>
    </w:p>
    <w:p>
      <w:pPr>
        <w:adjustRightInd w:val="0"/>
        <w:snapToGrid w:val="0"/>
        <w:spacing w:before="62" w:beforeLines="20" w:after="62" w:afterLines="20" w:line="430" w:lineRule="exact"/>
        <w:ind w:firstLine="420" w:firstLineChars="200"/>
        <w:rPr>
          <w:rFonts w:ascii="宋体" w:hAnsi="宋体"/>
          <w:color w:val="000000"/>
          <w:szCs w:val="21"/>
        </w:rPr>
      </w:pPr>
      <w:r>
        <w:rPr>
          <w:rFonts w:hint="eastAsia" w:ascii="宋体" w:hAnsi="宋体"/>
          <w:color w:val="000000"/>
          <w:szCs w:val="21"/>
        </w:rPr>
        <w:t>先剔除投标报价最高的20%家（有小数时按上限取整数以X表示）和最低的10%家（有小数时按上限取整数以Y表示），然后进行算术平均（剔除投标报价后的数量应等于计算算术平均的数量），计算得出投标人投标报价的平均值。</w:t>
      </w:r>
    </w:p>
    <w:p>
      <w:pPr>
        <w:adjustRightInd w:val="0"/>
        <w:snapToGrid w:val="0"/>
        <w:spacing w:before="62" w:beforeLines="20" w:after="62" w:afterLines="20" w:line="430" w:lineRule="exact"/>
        <w:ind w:firstLine="420"/>
        <w:rPr>
          <w:rFonts w:hint="eastAsia" w:ascii="宋体" w:hAnsi="宋体"/>
          <w:color w:val="000000"/>
          <w:szCs w:val="21"/>
        </w:rPr>
      </w:pPr>
      <w:r>
        <w:rPr>
          <w:rFonts w:hint="eastAsia" w:ascii="宋体" w:hAnsi="宋体"/>
          <w:color w:val="000000"/>
          <w:szCs w:val="21"/>
        </w:rPr>
        <w:t>当n≤10时，Pp＝∑Pi/n</w:t>
      </w:r>
    </w:p>
    <w:p>
      <w:pPr>
        <w:pStyle w:val="95"/>
        <w:spacing w:before="187"/>
      </w:pPr>
      <w:r>
        <w:rPr>
          <w:spacing w:val="5"/>
          <w:position w:val="1"/>
        </w:rPr>
        <w:t>当n＞10时，</w:t>
      </w:r>
      <w:r>
        <w:rPr>
          <w:position w:val="1"/>
        </w:rPr>
        <w:t>Pp</w:t>
      </w:r>
      <w:r>
        <w:rPr>
          <w:spacing w:val="5"/>
          <w:position w:val="1"/>
        </w:rPr>
        <w:t>=(∑</w:t>
      </w:r>
      <w:r>
        <w:rPr>
          <w:position w:val="1"/>
        </w:rPr>
        <w:t>Pi</w:t>
      </w:r>
      <w:r>
        <w:rPr>
          <w:spacing w:val="5"/>
          <w:position w:val="1"/>
        </w:rPr>
        <w:t>-</w:t>
      </w:r>
      <w:r>
        <w:rPr>
          <w:position w:val="-21"/>
        </w:rPr>
        <w:drawing>
          <wp:inline distT="0" distB="0" distL="0" distR="0">
            <wp:extent cx="157480" cy="374015"/>
            <wp:effectExtent l="0" t="0" r="13970" b="6985"/>
            <wp:docPr id="31" name="IM 22"/>
            <wp:cNvGraphicFramePr/>
            <a:graphic xmlns:a="http://schemas.openxmlformats.org/drawingml/2006/main">
              <a:graphicData uri="http://schemas.openxmlformats.org/drawingml/2006/picture">
                <pic:pic xmlns:pic="http://schemas.openxmlformats.org/drawingml/2006/picture">
                  <pic:nvPicPr>
                    <pic:cNvPr id="31" name="IM 22"/>
                    <pic:cNvPicPr/>
                  </pic:nvPicPr>
                  <pic:blipFill>
                    <a:blip r:embed="rId41"/>
                    <a:stretch>
                      <a:fillRect/>
                    </a:stretch>
                  </pic:blipFill>
                  <pic:spPr>
                    <a:xfrm>
                      <a:off x="0" y="0"/>
                      <a:ext cx="158019" cy="374080"/>
                    </a:xfrm>
                    <a:prstGeom prst="rect">
                      <a:avLst/>
                    </a:prstGeom>
                  </pic:spPr>
                </pic:pic>
              </a:graphicData>
            </a:graphic>
          </wp:inline>
        </w:drawing>
      </w:r>
      <w:r>
        <w:rPr>
          <w:rFonts w:ascii="Times New Roman" w:hAnsi="Times New Roman" w:eastAsia="Times New Roman" w:cs="Times New Roman"/>
          <w:position w:val="1"/>
          <w:sz w:val="24"/>
          <w:szCs w:val="24"/>
        </w:rPr>
        <w:t>Pmax</w:t>
      </w:r>
      <w:r>
        <w:rPr>
          <w:spacing w:val="5"/>
          <w:position w:val="1"/>
        </w:rPr>
        <w:t>-</w:t>
      </w:r>
      <w:r>
        <w:rPr>
          <w:position w:val="-21"/>
        </w:rPr>
        <w:drawing>
          <wp:inline distT="0" distB="0" distL="0" distR="0">
            <wp:extent cx="157480" cy="374015"/>
            <wp:effectExtent l="0" t="0" r="13970" b="6985"/>
            <wp:docPr id="32" name="IM 24"/>
            <wp:cNvGraphicFramePr/>
            <a:graphic xmlns:a="http://schemas.openxmlformats.org/drawingml/2006/main">
              <a:graphicData uri="http://schemas.openxmlformats.org/drawingml/2006/picture">
                <pic:pic xmlns:pic="http://schemas.openxmlformats.org/drawingml/2006/picture">
                  <pic:nvPicPr>
                    <pic:cNvPr id="32" name="IM 24"/>
                    <pic:cNvPicPr/>
                  </pic:nvPicPr>
                  <pic:blipFill>
                    <a:blip r:embed="rId42"/>
                    <a:stretch>
                      <a:fillRect/>
                    </a:stretch>
                  </pic:blipFill>
                  <pic:spPr>
                    <a:xfrm>
                      <a:off x="0" y="0"/>
                      <a:ext cx="158011" cy="374079"/>
                    </a:xfrm>
                    <a:prstGeom prst="rect">
                      <a:avLst/>
                    </a:prstGeom>
                  </pic:spPr>
                </pic:pic>
              </a:graphicData>
            </a:graphic>
          </wp:inline>
        </w:drawing>
      </w:r>
      <w:r>
        <w:rPr>
          <w:rFonts w:ascii="Times New Roman" w:hAnsi="Times New Roman" w:eastAsia="Times New Roman" w:cs="Times New Roman"/>
          <w:position w:val="1"/>
          <w:sz w:val="24"/>
          <w:szCs w:val="24"/>
        </w:rPr>
        <w:t>Pmin</w:t>
      </w:r>
      <w:r>
        <w:rPr>
          <w:spacing w:val="5"/>
          <w:position w:val="1"/>
        </w:rPr>
        <w:t>）/(n-X-Y)</w:t>
      </w:r>
    </w:p>
    <w:p>
      <w:pPr>
        <w:adjustRightInd w:val="0"/>
        <w:snapToGrid w:val="0"/>
        <w:spacing w:before="62" w:beforeLines="20" w:after="62" w:afterLines="20" w:line="430" w:lineRule="exact"/>
        <w:ind w:firstLine="420"/>
        <w:rPr>
          <w:rFonts w:ascii="宋体" w:hAnsi="宋体"/>
          <w:color w:val="000000"/>
          <w:szCs w:val="21"/>
        </w:rPr>
      </w:pPr>
      <w:r>
        <w:rPr>
          <w:rFonts w:hint="eastAsia" w:ascii="宋体" w:hAnsi="宋体"/>
          <w:color w:val="000000"/>
          <w:szCs w:val="21"/>
        </w:rPr>
        <w:t>（二）计算评标基准价Pg</w:t>
      </w:r>
    </w:p>
    <w:p>
      <w:pPr>
        <w:adjustRightInd w:val="0"/>
        <w:snapToGrid w:val="0"/>
        <w:spacing w:before="62" w:beforeLines="20" w:after="62" w:afterLines="20" w:line="430" w:lineRule="exact"/>
        <w:ind w:firstLine="420"/>
        <w:rPr>
          <w:rFonts w:ascii="宋体" w:hAnsi="宋体"/>
          <w:color w:val="000000"/>
          <w:szCs w:val="21"/>
        </w:rPr>
      </w:pPr>
      <w:r>
        <w:rPr>
          <w:rFonts w:hint="eastAsia" w:ascii="宋体" w:hAnsi="宋体"/>
          <w:color w:val="000000"/>
          <w:szCs w:val="21"/>
        </w:rPr>
        <w:t>Pg=Pp×(1-Fg％)</w:t>
      </w:r>
    </w:p>
    <w:p>
      <w:pPr>
        <w:adjustRightInd w:val="0"/>
        <w:snapToGrid w:val="0"/>
        <w:spacing w:before="62" w:beforeLines="20" w:after="62" w:afterLines="20" w:line="430" w:lineRule="exact"/>
        <w:ind w:firstLine="420"/>
        <w:rPr>
          <w:rFonts w:ascii="宋体" w:hAnsi="宋体"/>
          <w:color w:val="000000"/>
          <w:szCs w:val="21"/>
        </w:rPr>
      </w:pPr>
      <w:r>
        <w:rPr>
          <w:rFonts w:hint="eastAsia" w:ascii="宋体" w:hAnsi="宋体"/>
          <w:color w:val="000000"/>
          <w:szCs w:val="21"/>
        </w:rPr>
        <w:t>Fg为投标竞争率。投标竞争率由招标人在招标文件中确定。投标竞争率可参照以下计取：房屋建筑工程为（1.50～2.80）；市政工程取值为（2.20～3.80）；专业工程取值为（2.00～3.50）；绿化种植工程取值为（3.00～4.50）；园建工程或综合园林工程取值为（1.50～2.50）。</w:t>
      </w:r>
    </w:p>
    <w:p>
      <w:pPr>
        <w:adjustRightInd w:val="0"/>
        <w:snapToGrid w:val="0"/>
        <w:spacing w:before="62" w:beforeLines="20" w:after="62" w:afterLines="20" w:line="430" w:lineRule="exact"/>
        <w:ind w:firstLine="420"/>
        <w:rPr>
          <w:rFonts w:ascii="宋体" w:hAnsi="宋体"/>
          <w:color w:val="000000"/>
          <w:szCs w:val="21"/>
        </w:rPr>
      </w:pPr>
      <w:r>
        <w:rPr>
          <w:rFonts w:hint="eastAsia" w:ascii="宋体" w:hAnsi="宋体"/>
          <w:color w:val="000000"/>
          <w:szCs w:val="21"/>
        </w:rPr>
        <w:t>（三）确定20家入围投标人</w:t>
      </w:r>
    </w:p>
    <w:p>
      <w:pPr>
        <w:adjustRightInd w:val="0"/>
        <w:snapToGrid w:val="0"/>
        <w:spacing w:before="62" w:beforeLines="20" w:after="62" w:afterLines="20" w:line="430" w:lineRule="exact"/>
        <w:ind w:firstLine="420"/>
        <w:rPr>
          <w:rFonts w:ascii="宋体" w:hAnsi="宋体"/>
          <w:color w:val="000000"/>
          <w:szCs w:val="21"/>
        </w:rPr>
      </w:pPr>
      <w:r>
        <w:rPr>
          <w:rFonts w:hint="eastAsia" w:ascii="宋体" w:hAnsi="宋体"/>
          <w:color w:val="000000"/>
          <w:szCs w:val="21"/>
        </w:rPr>
        <w:t>以评标基准价Pg比较所有投标人的投标报价，将投标报价和评标基准价Pg差的绝对值从低至高进行排列，取前20家（不足20家时全部计算）进行评审。</w:t>
      </w:r>
    </w:p>
    <w:p>
      <w:pPr>
        <w:adjustRightInd w:val="0"/>
        <w:snapToGrid w:val="0"/>
        <w:spacing w:before="62" w:beforeLines="20" w:after="62" w:afterLines="20" w:line="430" w:lineRule="exact"/>
        <w:ind w:firstLine="420"/>
        <w:rPr>
          <w:rFonts w:ascii="宋体" w:hAnsi="宋体"/>
          <w:color w:val="000000"/>
          <w:szCs w:val="21"/>
        </w:rPr>
      </w:pPr>
      <w:r>
        <w:rPr>
          <w:rFonts w:hint="eastAsia" w:ascii="宋体" w:hAnsi="宋体"/>
          <w:color w:val="000000"/>
          <w:szCs w:val="21"/>
        </w:rPr>
        <w:t>将结果记录至附表A-5及附表A-</w:t>
      </w:r>
      <w:r>
        <w:rPr>
          <w:rFonts w:ascii="宋体" w:hAnsi="宋体"/>
          <w:color w:val="000000"/>
          <w:szCs w:val="21"/>
        </w:rPr>
        <w:t>6</w:t>
      </w:r>
    </w:p>
    <w:p>
      <w:pPr>
        <w:adjustRightInd w:val="0"/>
        <w:snapToGrid w:val="0"/>
        <w:spacing w:before="62" w:beforeLines="20" w:after="62" w:afterLines="20" w:line="430" w:lineRule="exact"/>
        <w:rPr>
          <w:rFonts w:ascii="宋体" w:hAnsi="宋体"/>
          <w:b/>
          <w:color w:val="000000"/>
          <w:szCs w:val="21"/>
          <w:highlight w:val="yellow"/>
        </w:rPr>
      </w:pPr>
      <w:r>
        <w:rPr>
          <w:rFonts w:hint="eastAsia" w:ascii="黑体" w:hAnsi="宋体" w:eastAsia="黑体"/>
          <w:b/>
          <w:color w:val="000000"/>
          <w:szCs w:val="21"/>
        </w:rPr>
        <w:t>A</w:t>
      </w:r>
      <w:r>
        <w:rPr>
          <w:rFonts w:ascii="黑体" w:hAnsi="宋体" w:eastAsia="黑体"/>
          <w:b/>
          <w:color w:val="000000"/>
          <w:szCs w:val="21"/>
          <w:highlight w:val="none"/>
        </w:rPr>
        <w:t>4</w:t>
      </w:r>
      <w:r>
        <w:rPr>
          <w:rFonts w:hint="eastAsia" w:ascii="宋体" w:hAnsi="宋体"/>
          <w:b/>
          <w:color w:val="000000"/>
          <w:szCs w:val="21"/>
          <w:highlight w:val="none"/>
        </w:rPr>
        <w:t>．计算投标人投标报价得分</w:t>
      </w:r>
    </w:p>
    <w:p>
      <w:pPr>
        <w:adjustRightInd w:val="0"/>
        <w:snapToGrid w:val="0"/>
        <w:spacing w:before="62" w:beforeLines="20" w:after="62" w:afterLines="20" w:line="430" w:lineRule="exact"/>
        <w:ind w:firstLine="420"/>
        <w:rPr>
          <w:rFonts w:hint="eastAsia" w:ascii="宋体" w:hAnsi="宋体"/>
          <w:color w:val="000000"/>
          <w:szCs w:val="21"/>
          <w:lang w:val="zh-CN"/>
        </w:rPr>
      </w:pPr>
      <w:r>
        <w:rPr>
          <w:rFonts w:hint="eastAsia" w:ascii="宋体" w:hAnsi="宋体"/>
          <w:color w:val="000000"/>
          <w:szCs w:val="21"/>
          <w:lang w:val="zh-CN"/>
        </w:rPr>
        <w:t>（一）总报价得分（A1）（占报价A权重的60%）</w:t>
      </w:r>
    </w:p>
    <w:p>
      <w:pPr>
        <w:adjustRightInd w:val="0"/>
        <w:snapToGrid w:val="0"/>
        <w:spacing w:before="62" w:beforeLines="20" w:after="62" w:afterLines="20" w:line="430" w:lineRule="exact"/>
        <w:ind w:firstLine="420"/>
        <w:rPr>
          <w:rFonts w:hint="eastAsia" w:ascii="宋体" w:hAnsi="宋体"/>
          <w:color w:val="000000"/>
          <w:szCs w:val="21"/>
          <w:lang w:val="zh-CN"/>
        </w:rPr>
      </w:pPr>
      <w:r>
        <w:rPr>
          <w:rFonts w:hint="eastAsia" w:ascii="宋体" w:hAnsi="宋体"/>
          <w:color w:val="000000"/>
          <w:szCs w:val="21"/>
          <w:lang w:val="zh-CN"/>
        </w:rPr>
        <w:t>以评标基准价Pg与入围的20家投标人的投标报价Pi进行对比，计算总报价（A1）得分。</w:t>
      </w:r>
    </w:p>
    <w:p>
      <w:pPr>
        <w:adjustRightInd w:val="0"/>
        <w:snapToGrid w:val="0"/>
        <w:spacing w:before="62" w:beforeLines="20" w:after="62" w:afterLines="20" w:line="430" w:lineRule="exact"/>
        <w:ind w:firstLine="420"/>
        <w:rPr>
          <w:rFonts w:hint="eastAsia" w:ascii="宋体" w:hAnsi="宋体"/>
          <w:color w:val="000000"/>
          <w:szCs w:val="21"/>
          <w:lang w:val="zh-CN"/>
        </w:rPr>
      </w:pPr>
      <w:r>
        <w:rPr>
          <w:rFonts w:hint="eastAsia" w:ascii="宋体" w:hAnsi="宋体"/>
          <w:color w:val="000000"/>
          <w:szCs w:val="21"/>
          <w:lang w:val="zh-CN"/>
        </w:rPr>
        <w:t>1.投标报价Pi每高于评标基准价Pg的1%（含1%）扣2分。以满分50分为例，总报价（A1）得分的计算公式为：</w:t>
      </w:r>
    </w:p>
    <w:p>
      <w:pPr>
        <w:adjustRightInd w:val="0"/>
        <w:snapToGrid w:val="0"/>
        <w:spacing w:before="62" w:beforeLines="20" w:after="62" w:afterLines="20" w:line="430" w:lineRule="exact"/>
        <w:ind w:firstLine="420"/>
        <w:rPr>
          <w:rFonts w:hint="eastAsia" w:ascii="宋体" w:hAnsi="宋体"/>
          <w:color w:val="000000"/>
          <w:szCs w:val="21"/>
          <w:lang w:val="zh-CN"/>
        </w:rPr>
      </w:pPr>
      <w:r>
        <w:rPr>
          <w:rFonts w:hint="eastAsia" w:ascii="宋体" w:hAnsi="宋体"/>
          <w:color w:val="000000"/>
          <w:szCs w:val="21"/>
          <w:lang w:val="zh-CN"/>
        </w:rPr>
        <w:t>A1＝50－[（Pi-Pg）/Pg]×100×2</w:t>
      </w:r>
    </w:p>
    <w:p>
      <w:pPr>
        <w:adjustRightInd w:val="0"/>
        <w:snapToGrid w:val="0"/>
        <w:spacing w:before="62" w:beforeLines="20" w:after="62" w:afterLines="20" w:line="430" w:lineRule="exact"/>
        <w:ind w:firstLine="420"/>
        <w:rPr>
          <w:rFonts w:hint="eastAsia" w:ascii="宋体" w:hAnsi="宋体"/>
          <w:color w:val="000000"/>
          <w:szCs w:val="21"/>
          <w:lang w:val="zh-CN"/>
        </w:rPr>
      </w:pPr>
      <w:r>
        <w:rPr>
          <w:rFonts w:hint="eastAsia" w:ascii="宋体" w:hAnsi="宋体"/>
          <w:color w:val="000000"/>
          <w:szCs w:val="21"/>
          <w:lang w:val="zh-CN"/>
        </w:rPr>
        <w:t>2.投标报价Pi每低于评标基准价Pg的1%（含1%）扣1分。以满分50分为例，总报价（A1）得分的计算公式为：</w:t>
      </w:r>
    </w:p>
    <w:p>
      <w:pPr>
        <w:adjustRightInd w:val="0"/>
        <w:snapToGrid w:val="0"/>
        <w:spacing w:before="62" w:beforeLines="20" w:after="62" w:afterLines="20" w:line="430" w:lineRule="exact"/>
        <w:ind w:firstLine="420"/>
        <w:rPr>
          <w:rFonts w:hint="eastAsia" w:ascii="宋体" w:hAnsi="宋体"/>
          <w:color w:val="000000"/>
          <w:szCs w:val="21"/>
          <w:lang w:val="zh-CN"/>
        </w:rPr>
      </w:pPr>
      <w:r>
        <w:rPr>
          <w:rFonts w:hint="eastAsia" w:ascii="宋体" w:hAnsi="宋体"/>
          <w:color w:val="000000"/>
          <w:szCs w:val="21"/>
          <w:lang w:val="zh-CN"/>
        </w:rPr>
        <w:t>A1＝50－[（Pg-Pi）/Pg]×100×1</w:t>
      </w:r>
    </w:p>
    <w:p>
      <w:pPr>
        <w:adjustRightInd w:val="0"/>
        <w:snapToGrid w:val="0"/>
        <w:spacing w:before="62" w:beforeLines="20" w:after="62" w:afterLines="20" w:line="430" w:lineRule="exact"/>
        <w:ind w:firstLine="420"/>
        <w:rPr>
          <w:rFonts w:hint="eastAsia" w:ascii="宋体" w:hAnsi="宋体"/>
          <w:color w:val="000000"/>
          <w:szCs w:val="21"/>
          <w:lang w:val="zh-CN"/>
        </w:rPr>
      </w:pPr>
      <w:r>
        <w:rPr>
          <w:rFonts w:hint="eastAsia" w:ascii="宋体" w:hAnsi="宋体"/>
          <w:color w:val="000000"/>
          <w:szCs w:val="21"/>
          <w:lang w:val="zh-CN"/>
        </w:rPr>
        <w:t>（二）分部分项工程量清单报价得分（A2）（投标报价权重的40%）</w:t>
      </w:r>
    </w:p>
    <w:p>
      <w:pPr>
        <w:adjustRightInd w:val="0"/>
        <w:snapToGrid w:val="0"/>
        <w:spacing w:before="62" w:beforeLines="20" w:after="62" w:afterLines="20" w:line="430" w:lineRule="exact"/>
        <w:ind w:firstLine="420"/>
        <w:rPr>
          <w:rFonts w:hint="eastAsia" w:ascii="宋体" w:hAnsi="宋体"/>
          <w:color w:val="000000"/>
          <w:szCs w:val="21"/>
          <w:lang w:val="zh-CN"/>
        </w:rPr>
      </w:pPr>
      <w:r>
        <w:rPr>
          <w:rFonts w:hint="eastAsia" w:ascii="宋体" w:hAnsi="宋体"/>
          <w:color w:val="000000"/>
          <w:szCs w:val="21"/>
          <w:lang w:val="zh-CN"/>
        </w:rPr>
        <w:t>先按照各分部工程造价占招标控制价的比重从高至低确定5个分部工程，再从5个分部工程中抽取分部分项工程量清单综合合价占该分部工程造价的比重从高至低分别取6、5、4、3、2共20项工程量清单作为评审内容。5个确定的分部工程工程量清单不足以上规定数量的，按实际工程量清单列计。</w:t>
      </w:r>
    </w:p>
    <w:p>
      <w:pPr>
        <w:adjustRightInd w:val="0"/>
        <w:snapToGrid w:val="0"/>
        <w:spacing w:before="62" w:beforeLines="20" w:after="62" w:afterLines="20" w:line="430" w:lineRule="exact"/>
        <w:ind w:firstLine="420"/>
        <w:rPr>
          <w:rFonts w:hint="eastAsia" w:ascii="宋体" w:hAnsi="宋体"/>
          <w:color w:val="000000"/>
          <w:szCs w:val="21"/>
          <w:lang w:val="zh-CN"/>
        </w:rPr>
      </w:pPr>
      <w:r>
        <w:rPr>
          <w:rFonts w:hint="eastAsia" w:ascii="宋体" w:hAnsi="宋体"/>
          <w:color w:val="000000"/>
          <w:szCs w:val="21"/>
          <w:lang w:val="zh-CN"/>
        </w:rPr>
        <w:t>评审标准以评标基准价Pg与招标控制价对比计算下浮率，再以计算出来的下浮率修正招标控制价中对应的20项工程量清单的综合单价，作为修正后综合单价Qx，同时以Qx的+10%（含10%）作为分部分项工程工程量清单最高投标限价（其中综合单价中的人工工资单价不得低于相应时期省住房和城乡建设厅发布的人工工资单价），超过+10%的综合单价得0分，该分部分项工程工程量清单综合单价不得参与算术平均值的计算。</w:t>
      </w:r>
    </w:p>
    <w:p>
      <w:pPr>
        <w:adjustRightInd w:val="0"/>
        <w:snapToGrid w:val="0"/>
        <w:spacing w:before="62" w:beforeLines="20" w:after="62" w:afterLines="20" w:line="430" w:lineRule="exact"/>
        <w:ind w:firstLine="420"/>
        <w:rPr>
          <w:rFonts w:hint="eastAsia" w:ascii="宋体" w:hAnsi="宋体"/>
          <w:color w:val="000000"/>
          <w:szCs w:val="21"/>
          <w:lang w:val="zh-CN"/>
        </w:rPr>
      </w:pPr>
      <w:r>
        <w:rPr>
          <w:rFonts w:hint="eastAsia" w:ascii="宋体" w:hAnsi="宋体"/>
          <w:color w:val="000000"/>
          <w:szCs w:val="21"/>
          <w:lang w:val="zh-CN"/>
        </w:rPr>
        <w:t>评审时先将20项工程量清单分部工程投标报价去掉2家最高报价和2家最低报价后，计算出20项工程量清单分部工程投标报价的算术平均值（当≤7家符合要求时，不去掉最高和最低报价，直接计算算术平均值），再以算术平均值与20项工程量清单分部工程招标控制价对比计算下浮率，然后用下浮率修正招标控制价中对应的20项工程量清单的综合单价，作为修正后综合单价Qb，再将Qx和Qb进行算术平均，计算出工程量清单综合单价的评标基准价Pq。</w:t>
      </w:r>
    </w:p>
    <w:p>
      <w:pPr>
        <w:adjustRightInd w:val="0"/>
        <w:snapToGrid w:val="0"/>
        <w:spacing w:before="62" w:beforeLines="20" w:after="62" w:afterLines="20" w:line="430" w:lineRule="exact"/>
        <w:ind w:firstLine="420"/>
        <w:rPr>
          <w:rFonts w:hint="eastAsia" w:ascii="宋体" w:hAnsi="宋体"/>
          <w:color w:val="000000"/>
          <w:szCs w:val="21"/>
          <w:lang w:val="zh-CN"/>
        </w:rPr>
      </w:pPr>
      <w:r>
        <w:rPr>
          <w:rFonts w:hint="eastAsia" w:ascii="宋体" w:hAnsi="宋体"/>
          <w:color w:val="000000"/>
          <w:szCs w:val="21"/>
          <w:lang w:val="zh-CN"/>
        </w:rPr>
        <w:t>投标人分部分项工程量清单综合单价每高于或低于该评标基准价Pq一定幅度扣相应分数，直到扣完所占分值为止（综合单价每高于评标基准价1%（含1%）扣0.2分，综合单价每低于评标基准价1%（含1%）扣0.1分）。以每项工程量清单满分2分为例，</w:t>
      </w:r>
    </w:p>
    <w:p>
      <w:pPr>
        <w:adjustRightInd w:val="0"/>
        <w:snapToGrid w:val="0"/>
        <w:spacing w:before="62" w:beforeLines="20" w:after="62" w:afterLines="20" w:line="430" w:lineRule="exact"/>
        <w:ind w:firstLine="420"/>
        <w:rPr>
          <w:rFonts w:hint="eastAsia" w:ascii="宋体" w:hAnsi="宋体"/>
          <w:color w:val="000000"/>
          <w:szCs w:val="21"/>
          <w:lang w:val="zh-CN"/>
        </w:rPr>
      </w:pPr>
      <w:r>
        <w:rPr>
          <w:rFonts w:hint="eastAsia" w:ascii="宋体" w:hAnsi="宋体"/>
          <w:color w:val="000000"/>
          <w:szCs w:val="21"/>
          <w:lang w:val="zh-CN"/>
        </w:rPr>
        <w:t>计算工程量清单综合单价得分a2公式为：</w:t>
      </w:r>
    </w:p>
    <w:p>
      <w:pPr>
        <w:adjustRightInd w:val="0"/>
        <w:snapToGrid w:val="0"/>
        <w:spacing w:before="62" w:beforeLines="20" w:after="62" w:afterLines="20" w:line="430" w:lineRule="exact"/>
        <w:ind w:firstLine="420"/>
        <w:rPr>
          <w:rFonts w:hint="eastAsia" w:ascii="宋体" w:hAnsi="宋体"/>
          <w:color w:val="000000"/>
          <w:szCs w:val="21"/>
          <w:lang w:val="zh-CN"/>
        </w:rPr>
      </w:pPr>
      <w:r>
        <w:rPr>
          <w:rFonts w:hint="eastAsia" w:ascii="宋体" w:hAnsi="宋体"/>
          <w:color w:val="000000"/>
          <w:szCs w:val="21"/>
          <w:lang w:val="zh-CN"/>
        </w:rPr>
        <w:t>当投标人报价&gt;评标基准价时：</w:t>
      </w:r>
    </w:p>
    <w:p>
      <w:pPr>
        <w:adjustRightInd w:val="0"/>
        <w:snapToGrid w:val="0"/>
        <w:spacing w:before="62" w:beforeLines="20" w:after="62" w:afterLines="20" w:line="430" w:lineRule="exact"/>
        <w:ind w:firstLine="420"/>
        <w:rPr>
          <w:rFonts w:hint="eastAsia" w:ascii="宋体" w:hAnsi="宋体"/>
          <w:color w:val="000000"/>
          <w:szCs w:val="21"/>
          <w:lang w:val="zh-CN"/>
        </w:rPr>
      </w:pPr>
      <w:r>
        <w:rPr>
          <w:rFonts w:hint="eastAsia" w:ascii="宋体" w:hAnsi="宋体"/>
          <w:color w:val="000000"/>
          <w:szCs w:val="21"/>
          <w:lang w:val="zh-CN"/>
        </w:rPr>
        <w:t>a2＝2－[（报价－评标基准价）/评标基准价]×100×0.</w:t>
      </w:r>
      <w:r>
        <w:rPr>
          <w:rFonts w:hint="eastAsia" w:ascii="宋体" w:hAnsi="宋体"/>
          <w:color w:val="000000"/>
          <w:szCs w:val="21"/>
          <w:lang w:val="en-US" w:eastAsia="zh-CN"/>
        </w:rPr>
        <w:t>2</w:t>
      </w:r>
      <w:r>
        <w:rPr>
          <w:rFonts w:hint="eastAsia" w:ascii="宋体" w:hAnsi="宋体"/>
          <w:color w:val="000000"/>
          <w:szCs w:val="21"/>
          <w:lang w:val="zh-CN"/>
        </w:rPr>
        <w:t>。</w:t>
      </w:r>
    </w:p>
    <w:p>
      <w:pPr>
        <w:adjustRightInd w:val="0"/>
        <w:snapToGrid w:val="0"/>
        <w:spacing w:before="62" w:beforeLines="20" w:after="62" w:afterLines="20" w:line="430" w:lineRule="exact"/>
        <w:ind w:firstLine="420"/>
        <w:rPr>
          <w:rFonts w:hint="eastAsia" w:ascii="宋体" w:hAnsi="宋体"/>
          <w:color w:val="000000"/>
          <w:szCs w:val="21"/>
          <w:lang w:val="zh-CN"/>
        </w:rPr>
      </w:pPr>
      <w:r>
        <w:rPr>
          <w:rFonts w:hint="eastAsia" w:ascii="宋体" w:hAnsi="宋体"/>
          <w:color w:val="000000"/>
          <w:szCs w:val="21"/>
          <w:lang w:val="zh-CN"/>
        </w:rPr>
        <w:t>当投标人报价&lt;评标基准价时：</w:t>
      </w:r>
    </w:p>
    <w:p>
      <w:pPr>
        <w:adjustRightInd w:val="0"/>
        <w:snapToGrid w:val="0"/>
        <w:spacing w:before="62" w:beforeLines="20" w:after="62" w:afterLines="20" w:line="430" w:lineRule="exact"/>
        <w:ind w:firstLine="420"/>
        <w:rPr>
          <w:rFonts w:hint="eastAsia" w:ascii="宋体" w:hAnsi="宋体"/>
          <w:color w:val="000000"/>
          <w:szCs w:val="21"/>
          <w:lang w:val="zh-CN"/>
        </w:rPr>
      </w:pPr>
      <w:r>
        <w:rPr>
          <w:rFonts w:hint="eastAsia" w:ascii="宋体" w:hAnsi="宋体"/>
          <w:color w:val="000000"/>
          <w:szCs w:val="21"/>
          <w:lang w:val="zh-CN"/>
        </w:rPr>
        <w:t>a2＝2－[（评标基准价－报价）/评标基准价]×100×0.</w:t>
      </w:r>
      <w:r>
        <w:rPr>
          <w:rFonts w:hint="eastAsia" w:ascii="宋体" w:hAnsi="宋体"/>
          <w:color w:val="000000"/>
          <w:szCs w:val="21"/>
          <w:lang w:val="en-US" w:eastAsia="zh-CN"/>
        </w:rPr>
        <w:t>1</w:t>
      </w:r>
      <w:r>
        <w:rPr>
          <w:rFonts w:hint="eastAsia" w:ascii="宋体" w:hAnsi="宋体"/>
          <w:color w:val="000000"/>
          <w:szCs w:val="21"/>
          <w:lang w:val="zh-CN"/>
        </w:rPr>
        <w:t>。</w:t>
      </w:r>
    </w:p>
    <w:p>
      <w:pPr>
        <w:adjustRightInd w:val="0"/>
        <w:snapToGrid w:val="0"/>
        <w:spacing w:before="62" w:beforeLines="20" w:after="62" w:afterLines="20" w:line="430" w:lineRule="exact"/>
        <w:ind w:firstLine="420"/>
        <w:rPr>
          <w:rFonts w:hint="eastAsia" w:ascii="宋体" w:hAnsi="宋体"/>
          <w:color w:val="000000"/>
          <w:szCs w:val="21"/>
          <w:lang w:val="zh-CN"/>
        </w:rPr>
      </w:pPr>
      <w:r>
        <w:rPr>
          <w:rFonts w:hint="eastAsia" w:ascii="宋体" w:hAnsi="宋体"/>
          <w:color w:val="000000"/>
          <w:szCs w:val="21"/>
          <w:lang w:val="zh-CN"/>
        </w:rPr>
        <w:t>分部分项工程量清单报价（A2）得分：</w:t>
      </w:r>
    </w:p>
    <w:p>
      <w:pPr>
        <w:adjustRightInd w:val="0"/>
        <w:snapToGrid w:val="0"/>
        <w:spacing w:before="62" w:beforeLines="20" w:after="62" w:afterLines="20" w:line="430" w:lineRule="exact"/>
        <w:ind w:firstLine="420"/>
        <w:rPr>
          <w:rFonts w:hint="eastAsia" w:ascii="宋体" w:hAnsi="宋体"/>
          <w:color w:val="000000"/>
          <w:szCs w:val="21"/>
          <w:lang w:val="zh-CN"/>
        </w:rPr>
      </w:pPr>
      <w:r>
        <w:rPr>
          <w:rFonts w:hint="eastAsia" w:ascii="宋体" w:hAnsi="宋体"/>
          <w:color w:val="000000"/>
          <w:szCs w:val="21"/>
          <w:lang w:val="zh-CN"/>
        </w:rPr>
        <w:t>A2=∑a2</w:t>
      </w:r>
    </w:p>
    <w:p>
      <w:pPr>
        <w:adjustRightInd w:val="0"/>
        <w:snapToGrid w:val="0"/>
        <w:spacing w:before="62" w:beforeLines="20" w:after="62" w:afterLines="20" w:line="430" w:lineRule="exact"/>
        <w:ind w:firstLine="420"/>
        <w:rPr>
          <w:rFonts w:hint="eastAsia" w:ascii="宋体" w:hAnsi="宋体"/>
          <w:color w:val="000000"/>
          <w:szCs w:val="21"/>
          <w:lang w:val="zh-CN"/>
        </w:rPr>
      </w:pPr>
      <w:r>
        <w:rPr>
          <w:rFonts w:hint="eastAsia" w:ascii="宋体" w:hAnsi="宋体"/>
          <w:color w:val="000000"/>
          <w:szCs w:val="21"/>
          <w:lang w:val="zh-CN"/>
        </w:rPr>
        <w:t>（三）计算投标人投标报价得分（A），A=A1+A2</w:t>
      </w:r>
    </w:p>
    <w:p>
      <w:pPr>
        <w:adjustRightInd w:val="0"/>
        <w:snapToGrid w:val="0"/>
        <w:spacing w:before="62" w:beforeLines="20" w:after="62" w:afterLines="20" w:line="430" w:lineRule="exact"/>
        <w:ind w:firstLine="420"/>
        <w:rPr>
          <w:rFonts w:hint="eastAsia" w:ascii="宋体" w:hAnsi="宋体"/>
          <w:color w:val="000000"/>
          <w:szCs w:val="21"/>
          <w:lang w:val="zh-CN"/>
        </w:rPr>
      </w:pPr>
      <w:r>
        <w:rPr>
          <w:rFonts w:hint="eastAsia" w:ascii="宋体" w:hAnsi="宋体"/>
          <w:color w:val="000000"/>
          <w:szCs w:val="21"/>
          <w:lang w:val="zh-CN"/>
        </w:rPr>
        <w:t>将结果汇总记录至附表A-9</w:t>
      </w:r>
    </w:p>
    <w:p>
      <w:pPr>
        <w:adjustRightInd w:val="0"/>
        <w:snapToGrid w:val="0"/>
        <w:spacing w:before="62" w:beforeLines="20" w:after="62" w:afterLines="20" w:line="430" w:lineRule="exact"/>
        <w:rPr>
          <w:rFonts w:ascii="黑体" w:hAnsi="宋体" w:eastAsia="黑体"/>
          <w:b/>
          <w:color w:val="000000"/>
          <w:szCs w:val="21"/>
        </w:rPr>
      </w:pPr>
      <w:r>
        <w:rPr>
          <w:rFonts w:hint="eastAsia" w:ascii="黑体" w:hAnsi="宋体" w:eastAsia="黑体"/>
          <w:b/>
          <w:color w:val="000000"/>
          <w:szCs w:val="21"/>
        </w:rPr>
        <w:t>A</w:t>
      </w:r>
      <w:r>
        <w:rPr>
          <w:rFonts w:ascii="黑体" w:hAnsi="宋体" w:eastAsia="黑体"/>
          <w:b/>
          <w:color w:val="000000"/>
          <w:szCs w:val="21"/>
        </w:rPr>
        <w:t>5.</w:t>
      </w:r>
      <w:r>
        <w:rPr>
          <w:rFonts w:hint="eastAsia" w:ascii="黑体" w:hAnsi="宋体" w:eastAsia="黑体"/>
          <w:b/>
          <w:color w:val="000000"/>
          <w:szCs w:val="21"/>
        </w:rPr>
        <w:t>计算企业诚信评价得分（B）（权重为</w:t>
      </w:r>
      <w:r>
        <w:rPr>
          <w:rFonts w:hint="eastAsia" w:ascii="黑体" w:hAnsi="宋体" w:eastAsia="黑体"/>
          <w:b/>
          <w:color w:val="000000"/>
          <w:szCs w:val="21"/>
          <w:lang w:eastAsia="zh-CN"/>
        </w:rPr>
        <w:t>5%-8%</w:t>
      </w:r>
      <w:r>
        <w:rPr>
          <w:rFonts w:hint="eastAsia" w:ascii="黑体" w:hAnsi="宋体" w:eastAsia="黑体"/>
          <w:b/>
          <w:color w:val="000000"/>
          <w:szCs w:val="21"/>
        </w:rPr>
        <w:t>）</w:t>
      </w:r>
    </w:p>
    <w:p>
      <w:pPr>
        <w:adjustRightInd w:val="0"/>
        <w:snapToGrid w:val="0"/>
        <w:spacing w:before="62" w:beforeLines="20" w:after="62" w:afterLines="20" w:line="430" w:lineRule="exact"/>
        <w:ind w:firstLine="420" w:firstLineChars="200"/>
        <w:rPr>
          <w:rFonts w:hint="eastAsia" w:ascii="宋体" w:hAnsi="宋体"/>
          <w:color w:val="000000"/>
          <w:szCs w:val="21"/>
          <w:lang w:val="zh-CN"/>
        </w:rPr>
      </w:pPr>
      <w:r>
        <w:rPr>
          <w:rFonts w:hint="eastAsia" w:ascii="宋体" w:hAnsi="宋体"/>
          <w:color w:val="000000"/>
          <w:szCs w:val="21"/>
          <w:lang w:eastAsia="zh-CN"/>
        </w:rPr>
        <w:t>（</w:t>
      </w:r>
      <w:r>
        <w:rPr>
          <w:rFonts w:hint="eastAsia" w:ascii="宋体" w:hAnsi="宋体"/>
          <w:color w:val="000000"/>
          <w:szCs w:val="21"/>
          <w:lang w:val="en-US" w:eastAsia="zh-CN"/>
        </w:rPr>
        <w:t>1</w:t>
      </w:r>
      <w:r>
        <w:rPr>
          <w:rFonts w:hint="eastAsia" w:ascii="宋体" w:hAnsi="宋体"/>
          <w:color w:val="000000"/>
          <w:szCs w:val="21"/>
          <w:lang w:eastAsia="zh-CN"/>
        </w:rPr>
        <w:t>）</w:t>
      </w:r>
      <w:r>
        <w:rPr>
          <w:rFonts w:hint="eastAsia" w:ascii="宋体" w:hAnsi="宋体"/>
          <w:color w:val="000000"/>
          <w:szCs w:val="21"/>
        </w:rPr>
        <w:t>计算企业诚信评价等级为A级的投标人得分（按权重的85%-100%，不含85%）：投标人排名最高的得该权重计算得分的最高分，相同评价等级中排名最低的投标人得该权重计算得分的最低分，其他相同企业诚信评价等级的投标人得分按直线内插法计算得分，计算B1;</w:t>
      </w:r>
    </w:p>
    <w:p>
      <w:pPr>
        <w:adjustRightInd w:val="0"/>
        <w:snapToGrid w:val="0"/>
        <w:spacing w:before="62" w:beforeLines="20" w:after="62" w:afterLines="20" w:line="430" w:lineRule="exact"/>
        <w:ind w:firstLine="420" w:firstLineChars="200"/>
        <w:rPr>
          <w:rFonts w:hint="eastAsia" w:ascii="宋体" w:hAnsi="宋体"/>
          <w:color w:val="000000"/>
          <w:szCs w:val="21"/>
        </w:rPr>
      </w:pPr>
      <w:r>
        <w:rPr>
          <w:rFonts w:hint="eastAsia" w:ascii="宋体" w:hAnsi="宋体"/>
          <w:color w:val="000000"/>
          <w:szCs w:val="21"/>
        </w:rPr>
        <w:t>（二）计算企业诚信评价等级为B级的投标人得分（按权重的70%-85%，不含70%）:投标人排名最高的得该权重计算得分的最高分，相同评价等级中排名最低的投标人得该权重计算得分的最低分，其他相同企业诚信评价等级的投标人得分按直线内插法计算得分，计算B2;</w:t>
      </w:r>
    </w:p>
    <w:p>
      <w:pPr>
        <w:adjustRightInd w:val="0"/>
        <w:snapToGrid w:val="0"/>
        <w:spacing w:before="62" w:beforeLines="20" w:after="62" w:afterLines="20" w:line="430" w:lineRule="exact"/>
        <w:ind w:firstLine="420" w:firstLineChars="200"/>
        <w:rPr>
          <w:rFonts w:hint="eastAsia" w:ascii="宋体" w:hAnsi="宋体"/>
          <w:color w:val="000000"/>
          <w:szCs w:val="21"/>
        </w:rPr>
      </w:pPr>
      <w:r>
        <w:rPr>
          <w:rFonts w:hint="eastAsia" w:ascii="宋体" w:hAnsi="宋体"/>
          <w:color w:val="000000"/>
          <w:szCs w:val="21"/>
        </w:rPr>
        <w:t>（三）计算企业诚信评价等级为C级的投标人得分（按权重的60%-70%，不含60%）:投标人排名最高的得该权重计算得分的最高分，相同评价等级中排名最低的投标人得该权重计算得分的最低分，其他相同企业诚信评价等级的投标人得分按直线内插法计算得分，计算B3。</w:t>
      </w:r>
    </w:p>
    <w:p>
      <w:pPr>
        <w:adjustRightInd w:val="0"/>
        <w:snapToGrid w:val="0"/>
        <w:spacing w:before="62" w:beforeLines="20" w:after="62" w:afterLines="20" w:line="430" w:lineRule="exact"/>
        <w:ind w:firstLine="420" w:firstLineChars="200"/>
        <w:rPr>
          <w:rFonts w:hint="eastAsia" w:ascii="宋体" w:hAnsi="宋体"/>
          <w:color w:val="000000"/>
          <w:szCs w:val="21"/>
        </w:rPr>
      </w:pPr>
      <w:r>
        <w:rPr>
          <w:rFonts w:hint="eastAsia" w:ascii="宋体" w:hAnsi="宋体"/>
          <w:color w:val="000000"/>
          <w:szCs w:val="21"/>
        </w:rPr>
        <w:t>（四）计算企业诚信评价等级为D级的投标人得分（按权重的40%-60%，不含40%）:投标人排名最高的得该权重计算得分的最高分，相同评价等级中排名最低的投标人得该权重计算得分的最低分，其他相同企业诚信评价等级的投标人得分按直线内插法计算得分，计算B4。</w:t>
      </w:r>
    </w:p>
    <w:p>
      <w:pPr>
        <w:adjustRightInd w:val="0"/>
        <w:snapToGrid w:val="0"/>
        <w:spacing w:before="62" w:beforeLines="20" w:after="62" w:afterLines="20" w:line="430" w:lineRule="exact"/>
        <w:ind w:firstLine="420" w:firstLineChars="200"/>
        <w:rPr>
          <w:rFonts w:hint="eastAsia" w:ascii="宋体" w:hAnsi="宋体"/>
          <w:color w:val="000000"/>
          <w:szCs w:val="21"/>
        </w:rPr>
      </w:pPr>
      <w:r>
        <w:rPr>
          <w:rFonts w:hint="eastAsia" w:ascii="宋体" w:hAnsi="宋体"/>
          <w:color w:val="000000"/>
          <w:szCs w:val="21"/>
        </w:rPr>
        <w:t>（五）企业诚信评价等级为其他等级的均得0分。</w:t>
      </w:r>
    </w:p>
    <w:p>
      <w:pPr>
        <w:adjustRightInd w:val="0"/>
        <w:snapToGrid w:val="0"/>
        <w:spacing w:before="62" w:beforeLines="20" w:after="62" w:afterLines="20" w:line="430" w:lineRule="exact"/>
        <w:ind w:firstLine="420" w:firstLineChars="200"/>
        <w:rPr>
          <w:rFonts w:hint="eastAsia" w:ascii="宋体" w:hAnsi="宋体"/>
          <w:color w:val="000000"/>
          <w:szCs w:val="21"/>
        </w:rPr>
      </w:pPr>
      <w:r>
        <w:rPr>
          <w:rFonts w:hint="eastAsia" w:ascii="宋体" w:hAnsi="宋体"/>
          <w:color w:val="000000"/>
          <w:szCs w:val="21"/>
        </w:rPr>
        <w:t>（六）联合体的诚信得分按各联合体成员诚信得分的算术平均值计算。</w:t>
      </w:r>
    </w:p>
    <w:p>
      <w:pPr>
        <w:adjustRightInd w:val="0"/>
        <w:snapToGrid w:val="0"/>
        <w:spacing w:before="62" w:beforeLines="20" w:after="62" w:afterLines="20" w:line="430" w:lineRule="exact"/>
        <w:ind w:firstLine="420"/>
        <w:rPr>
          <w:rFonts w:ascii="宋体" w:hAnsi="宋体"/>
          <w:color w:val="000000"/>
          <w:szCs w:val="21"/>
        </w:rPr>
      </w:pPr>
      <w:r>
        <w:rPr>
          <w:rFonts w:hint="eastAsia" w:ascii="宋体" w:hAnsi="宋体"/>
          <w:color w:val="000000"/>
          <w:szCs w:val="21"/>
        </w:rPr>
        <w:t>将结果汇总记录至附表A-</w:t>
      </w:r>
      <w:r>
        <w:rPr>
          <w:rFonts w:ascii="宋体" w:hAnsi="宋体"/>
          <w:color w:val="000000"/>
          <w:szCs w:val="21"/>
        </w:rPr>
        <w:t>10</w:t>
      </w:r>
    </w:p>
    <w:p>
      <w:pPr>
        <w:adjustRightInd w:val="0"/>
        <w:snapToGrid w:val="0"/>
        <w:spacing w:before="62" w:beforeLines="20" w:after="62" w:afterLines="20" w:line="430" w:lineRule="exact"/>
        <w:rPr>
          <w:rFonts w:ascii="黑体" w:hAnsi="宋体" w:eastAsia="黑体"/>
          <w:b/>
          <w:color w:val="000000"/>
          <w:szCs w:val="21"/>
        </w:rPr>
      </w:pPr>
      <w:r>
        <w:rPr>
          <w:rFonts w:hint="eastAsia" w:ascii="黑体" w:hAnsi="宋体" w:eastAsia="黑体"/>
          <w:b/>
          <w:color w:val="000000"/>
          <w:szCs w:val="21"/>
        </w:rPr>
        <w:t>A</w:t>
      </w:r>
      <w:r>
        <w:rPr>
          <w:rFonts w:ascii="黑体" w:hAnsi="宋体" w:eastAsia="黑体"/>
          <w:b/>
          <w:color w:val="000000"/>
          <w:szCs w:val="21"/>
        </w:rPr>
        <w:t>6.</w:t>
      </w:r>
      <w:r>
        <w:rPr>
          <w:rFonts w:hint="eastAsia" w:ascii="黑体" w:hAnsi="宋体" w:eastAsia="黑体"/>
          <w:b/>
          <w:color w:val="000000"/>
          <w:szCs w:val="21"/>
        </w:rPr>
        <w:t>计算拟派项目负责人诚信评价得分（C）（权重为</w:t>
      </w:r>
      <w:r>
        <w:rPr>
          <w:rFonts w:hint="eastAsia" w:ascii="黑体" w:hAnsi="宋体" w:eastAsia="黑体"/>
          <w:b/>
          <w:color w:val="000000"/>
          <w:szCs w:val="21"/>
          <w:lang w:eastAsia="zh-CN"/>
        </w:rPr>
        <w:t>5%-10%</w:t>
      </w:r>
      <w:r>
        <w:rPr>
          <w:rFonts w:hint="eastAsia" w:ascii="黑体" w:hAnsi="宋体" w:eastAsia="黑体"/>
          <w:b/>
          <w:color w:val="000000"/>
          <w:szCs w:val="21"/>
        </w:rPr>
        <w:t>）</w:t>
      </w:r>
    </w:p>
    <w:p>
      <w:pPr>
        <w:adjustRightInd w:val="0"/>
        <w:snapToGrid w:val="0"/>
        <w:spacing w:before="62" w:beforeLines="20" w:after="62" w:afterLines="20" w:line="430" w:lineRule="exact"/>
        <w:ind w:firstLine="420" w:firstLineChars="200"/>
        <w:rPr>
          <w:rFonts w:ascii="宋体" w:hAnsi="宋体"/>
          <w:color w:val="000000"/>
          <w:szCs w:val="21"/>
          <w:highlight w:val="none"/>
        </w:rPr>
      </w:pPr>
      <w:r>
        <w:rPr>
          <w:rFonts w:hint="eastAsia" w:ascii="宋体" w:hAnsi="宋体"/>
          <w:color w:val="000000"/>
          <w:szCs w:val="21"/>
          <w:highlight w:val="none"/>
        </w:rPr>
        <w:t>（一）计算拟派项目负责人诚信评价等级为“四星”得分（按权重的80%</w:t>
      </w:r>
      <w:r>
        <w:rPr>
          <w:rFonts w:hint="eastAsia" w:ascii="宋体" w:hAnsi="宋体"/>
          <w:color w:val="000000"/>
          <w:szCs w:val="21"/>
          <w:highlight w:val="none"/>
          <w:lang w:eastAsia="zh-CN"/>
        </w:rPr>
        <w:t>—</w:t>
      </w:r>
      <w:r>
        <w:rPr>
          <w:rFonts w:hint="eastAsia" w:ascii="宋体" w:hAnsi="宋体"/>
          <w:color w:val="000000"/>
          <w:szCs w:val="21"/>
          <w:highlight w:val="none"/>
        </w:rPr>
        <w:t>100%，不含80%）</w:t>
      </w:r>
      <w:r>
        <w:rPr>
          <w:rFonts w:hint="eastAsia" w:ascii="宋体" w:hAnsi="宋体"/>
          <w:color w:val="000000"/>
          <w:szCs w:val="21"/>
          <w:highlight w:val="none"/>
          <w:lang w:eastAsia="zh-CN"/>
        </w:rPr>
        <w:t>：</w:t>
      </w:r>
    </w:p>
    <w:p>
      <w:pPr>
        <w:adjustRightInd w:val="0"/>
        <w:snapToGrid w:val="0"/>
        <w:spacing w:before="62" w:beforeLines="20" w:after="62" w:afterLines="20" w:line="430" w:lineRule="exact"/>
        <w:ind w:firstLine="420" w:firstLineChars="200"/>
        <w:rPr>
          <w:rFonts w:ascii="宋体" w:hAnsi="宋体"/>
          <w:color w:val="000000"/>
          <w:szCs w:val="21"/>
          <w:highlight w:val="none"/>
        </w:rPr>
      </w:pPr>
      <w:r>
        <w:rPr>
          <w:rFonts w:hint="eastAsia" w:ascii="宋体" w:hAnsi="宋体"/>
          <w:color w:val="000000"/>
          <w:szCs w:val="21"/>
          <w:highlight w:val="none"/>
        </w:rPr>
        <w:t>拟派项目负责人排名最高的得该权重计算得分的最高分，相同评价等级中排名最低的投标人得该权重计算得分的最低分，其他相同企业诚信评价等级的投标人得分按直线内插法计算得分，计算C1；</w:t>
      </w:r>
    </w:p>
    <w:p>
      <w:pPr>
        <w:adjustRightInd w:val="0"/>
        <w:snapToGrid w:val="0"/>
        <w:spacing w:before="62" w:beforeLines="20" w:after="62" w:afterLines="20" w:line="430" w:lineRule="exact"/>
        <w:ind w:firstLine="420" w:firstLineChars="200"/>
        <w:rPr>
          <w:rFonts w:ascii="宋体" w:hAnsi="宋体"/>
          <w:color w:val="000000"/>
          <w:szCs w:val="21"/>
          <w:highlight w:val="none"/>
        </w:rPr>
      </w:pPr>
      <w:r>
        <w:rPr>
          <w:rFonts w:hint="eastAsia" w:ascii="宋体" w:hAnsi="宋体"/>
          <w:color w:val="000000"/>
          <w:szCs w:val="21"/>
          <w:highlight w:val="none"/>
        </w:rPr>
        <w:t>（二）计算拟派项目负责人诚信评价等级为“三星”得分（按权重的60%</w:t>
      </w:r>
      <w:r>
        <w:rPr>
          <w:rFonts w:hint="eastAsia" w:ascii="宋体" w:hAnsi="宋体"/>
          <w:color w:val="000000"/>
          <w:szCs w:val="21"/>
          <w:highlight w:val="none"/>
          <w:lang w:eastAsia="zh-CN"/>
        </w:rPr>
        <w:t>—</w:t>
      </w:r>
      <w:r>
        <w:rPr>
          <w:rFonts w:hint="eastAsia" w:ascii="宋体" w:hAnsi="宋体"/>
          <w:color w:val="000000"/>
          <w:szCs w:val="21"/>
          <w:highlight w:val="none"/>
        </w:rPr>
        <w:t>80%，含60%）</w:t>
      </w:r>
      <w:r>
        <w:rPr>
          <w:rFonts w:hint="eastAsia" w:ascii="宋体" w:hAnsi="宋体"/>
          <w:color w:val="000000"/>
          <w:szCs w:val="21"/>
          <w:highlight w:val="none"/>
          <w:lang w:eastAsia="zh-CN"/>
        </w:rPr>
        <w:t>：</w:t>
      </w:r>
    </w:p>
    <w:p>
      <w:pPr>
        <w:adjustRightInd w:val="0"/>
        <w:snapToGrid w:val="0"/>
        <w:spacing w:before="62" w:beforeLines="20" w:after="62" w:afterLines="20" w:line="430" w:lineRule="exact"/>
        <w:ind w:firstLine="420" w:firstLineChars="200"/>
        <w:rPr>
          <w:rFonts w:ascii="宋体" w:hAnsi="宋体"/>
          <w:color w:val="000000"/>
          <w:szCs w:val="21"/>
          <w:highlight w:val="none"/>
        </w:rPr>
      </w:pPr>
      <w:r>
        <w:rPr>
          <w:rFonts w:hint="eastAsia" w:ascii="宋体" w:hAnsi="宋体"/>
          <w:color w:val="000000"/>
          <w:szCs w:val="21"/>
          <w:highlight w:val="none"/>
        </w:rPr>
        <w:t>拟派项目负责人排名最高的得该权重计算得分的最高分，相同评价等级中排名最低的投标人得该权重计算得分的最低分，其他相同企业诚信评价等级的投标人得分按直线内插法计算得分，计算C2；</w:t>
      </w:r>
    </w:p>
    <w:p>
      <w:pPr>
        <w:adjustRightInd w:val="0"/>
        <w:snapToGrid w:val="0"/>
        <w:spacing w:before="62" w:beforeLines="20" w:after="62" w:afterLines="20" w:line="430" w:lineRule="exact"/>
        <w:ind w:firstLine="420" w:firstLineChars="200"/>
        <w:rPr>
          <w:rFonts w:ascii="宋体" w:hAnsi="宋体"/>
          <w:color w:val="000000"/>
          <w:szCs w:val="21"/>
          <w:highlight w:val="none"/>
        </w:rPr>
      </w:pPr>
      <w:r>
        <w:rPr>
          <w:rFonts w:hint="eastAsia" w:ascii="宋体" w:hAnsi="宋体"/>
          <w:color w:val="000000"/>
          <w:szCs w:val="21"/>
          <w:highlight w:val="none"/>
        </w:rPr>
        <w:t>（三）拟派项目负责人诚信评价等级为“二星”得分（按权重的40%</w:t>
      </w:r>
      <w:r>
        <w:rPr>
          <w:rFonts w:hint="eastAsia" w:ascii="宋体" w:hAnsi="宋体"/>
          <w:color w:val="000000"/>
          <w:szCs w:val="21"/>
          <w:highlight w:val="none"/>
          <w:lang w:eastAsia="zh-CN"/>
        </w:rPr>
        <w:t>—</w:t>
      </w:r>
      <w:r>
        <w:rPr>
          <w:rFonts w:hint="eastAsia" w:ascii="宋体" w:hAnsi="宋体"/>
          <w:color w:val="000000"/>
          <w:szCs w:val="21"/>
          <w:highlight w:val="none"/>
        </w:rPr>
        <w:t>60%，含40%）</w:t>
      </w:r>
      <w:r>
        <w:rPr>
          <w:rFonts w:hint="eastAsia" w:ascii="宋体" w:hAnsi="宋体"/>
          <w:color w:val="000000"/>
          <w:szCs w:val="21"/>
          <w:highlight w:val="none"/>
          <w:lang w:eastAsia="zh-CN"/>
        </w:rPr>
        <w:t>：</w:t>
      </w:r>
    </w:p>
    <w:p>
      <w:pPr>
        <w:adjustRightInd w:val="0"/>
        <w:snapToGrid w:val="0"/>
        <w:spacing w:before="62" w:beforeLines="20" w:after="62" w:afterLines="20" w:line="430" w:lineRule="exact"/>
        <w:ind w:firstLine="420" w:firstLineChars="200"/>
        <w:rPr>
          <w:rFonts w:ascii="宋体" w:hAnsi="宋体"/>
          <w:color w:val="000000"/>
          <w:szCs w:val="21"/>
          <w:highlight w:val="none"/>
        </w:rPr>
      </w:pPr>
      <w:r>
        <w:rPr>
          <w:rFonts w:hint="eastAsia" w:ascii="宋体" w:hAnsi="宋体"/>
          <w:color w:val="000000"/>
          <w:szCs w:val="21"/>
          <w:highlight w:val="none"/>
        </w:rPr>
        <w:t>拟派项目负责人排名最高的得该权重计算得分的最高分，相同评价等级中排名最低的投标人得该权重计算得分的最低分，其他相同企业诚信评价等级的投标人得分按直线内插法计算得分，计算C3；</w:t>
      </w:r>
    </w:p>
    <w:p>
      <w:pPr>
        <w:adjustRightInd w:val="0"/>
        <w:snapToGrid w:val="0"/>
        <w:spacing w:before="62" w:beforeLines="20" w:after="62" w:afterLines="20" w:line="430" w:lineRule="exact"/>
        <w:ind w:firstLine="420" w:firstLineChars="200"/>
        <w:rPr>
          <w:rFonts w:ascii="宋体" w:hAnsi="宋体"/>
          <w:color w:val="000000"/>
          <w:szCs w:val="21"/>
          <w:highlight w:val="none"/>
        </w:rPr>
      </w:pPr>
      <w:r>
        <w:rPr>
          <w:rFonts w:hint="eastAsia" w:ascii="宋体" w:hAnsi="宋体"/>
          <w:color w:val="000000"/>
          <w:szCs w:val="21"/>
          <w:highlight w:val="none"/>
        </w:rPr>
        <w:t>（四）拟派项目负责人诚信评价等级为“一星”的得0分；</w:t>
      </w:r>
    </w:p>
    <w:p>
      <w:pPr>
        <w:adjustRightInd w:val="0"/>
        <w:snapToGrid w:val="0"/>
        <w:spacing w:before="62" w:beforeLines="20" w:after="62" w:afterLines="20" w:line="430" w:lineRule="exact"/>
        <w:ind w:firstLine="420" w:firstLineChars="200"/>
        <w:rPr>
          <w:rFonts w:ascii="宋体" w:hAnsi="宋体"/>
          <w:color w:val="000000"/>
          <w:szCs w:val="21"/>
        </w:rPr>
      </w:pPr>
      <w:r>
        <w:rPr>
          <w:rFonts w:hint="eastAsia" w:ascii="宋体" w:hAnsi="宋体"/>
          <w:color w:val="000000"/>
          <w:szCs w:val="21"/>
        </w:rPr>
        <w:t>（五）招标人可根据招标项目的实际情况，要求拟派项目负责人在近3年内获得过国家级奖项或省级奖项或具有类似工程经验的，可适当提高该项</w:t>
      </w:r>
      <w:r>
        <w:rPr>
          <w:rFonts w:hint="eastAsia" w:ascii="宋体" w:hAnsi="宋体"/>
          <w:color w:val="000000"/>
          <w:szCs w:val="21"/>
          <w:lang w:eastAsia="zh-CN"/>
        </w:rPr>
        <w:t>的</w:t>
      </w:r>
      <w:r>
        <w:rPr>
          <w:rFonts w:hint="eastAsia" w:ascii="宋体" w:hAnsi="宋体"/>
          <w:color w:val="000000"/>
          <w:szCs w:val="21"/>
        </w:rPr>
        <w:t>分权重。</w:t>
      </w:r>
    </w:p>
    <w:p>
      <w:pPr>
        <w:adjustRightInd w:val="0"/>
        <w:snapToGrid w:val="0"/>
        <w:spacing w:before="62" w:beforeLines="20" w:after="62" w:afterLines="20" w:line="430" w:lineRule="exact"/>
        <w:ind w:firstLine="420"/>
        <w:rPr>
          <w:rFonts w:ascii="宋体" w:hAnsi="宋体"/>
          <w:color w:val="000000"/>
          <w:szCs w:val="21"/>
        </w:rPr>
      </w:pPr>
      <w:r>
        <w:rPr>
          <w:rFonts w:hint="eastAsia" w:ascii="宋体" w:hAnsi="宋体"/>
          <w:color w:val="000000"/>
          <w:szCs w:val="21"/>
        </w:rPr>
        <w:t>将结果汇总记录至附表A-</w:t>
      </w:r>
      <w:r>
        <w:rPr>
          <w:rFonts w:ascii="宋体" w:hAnsi="宋体"/>
          <w:color w:val="000000"/>
          <w:szCs w:val="21"/>
        </w:rPr>
        <w:t>10</w:t>
      </w:r>
    </w:p>
    <w:p>
      <w:pPr>
        <w:adjustRightInd w:val="0"/>
        <w:snapToGrid w:val="0"/>
        <w:spacing w:before="62" w:beforeLines="20" w:after="62" w:afterLines="20" w:line="430" w:lineRule="exact"/>
        <w:rPr>
          <w:rFonts w:ascii="黑体" w:hAnsi="宋体" w:eastAsia="黑体"/>
          <w:b/>
          <w:color w:val="000000"/>
          <w:szCs w:val="21"/>
        </w:rPr>
      </w:pPr>
      <w:r>
        <w:rPr>
          <w:rFonts w:hint="eastAsia" w:ascii="黑体" w:hAnsi="宋体" w:eastAsia="黑体"/>
          <w:b/>
          <w:color w:val="000000"/>
          <w:szCs w:val="21"/>
        </w:rPr>
        <w:t>A</w:t>
      </w:r>
      <w:r>
        <w:rPr>
          <w:rFonts w:ascii="黑体" w:hAnsi="宋体" w:eastAsia="黑体"/>
          <w:b/>
          <w:color w:val="000000"/>
          <w:szCs w:val="21"/>
        </w:rPr>
        <w:t>7.</w:t>
      </w:r>
      <w:r>
        <w:rPr>
          <w:rFonts w:hint="eastAsia" w:ascii="黑体" w:hAnsi="宋体" w:eastAsia="黑体"/>
          <w:b/>
          <w:color w:val="000000"/>
          <w:szCs w:val="21"/>
        </w:rPr>
        <w:t>计算投标人总得分</w:t>
      </w:r>
    </w:p>
    <w:p>
      <w:pPr>
        <w:adjustRightInd w:val="0"/>
        <w:snapToGrid w:val="0"/>
        <w:spacing w:before="62" w:beforeLines="20" w:after="62" w:afterLines="20" w:line="430" w:lineRule="exact"/>
        <w:ind w:firstLine="420" w:firstLineChars="200"/>
        <w:rPr>
          <w:rFonts w:ascii="宋体" w:hAnsi="宋体"/>
          <w:color w:val="000000"/>
          <w:szCs w:val="21"/>
        </w:rPr>
      </w:pPr>
      <w:r>
        <w:rPr>
          <w:rFonts w:hint="eastAsia" w:ascii="宋体" w:hAnsi="宋体"/>
          <w:color w:val="000000"/>
          <w:szCs w:val="21"/>
        </w:rPr>
        <w:t>投标人总得分=A+B+C</w:t>
      </w:r>
    </w:p>
    <w:p>
      <w:pPr>
        <w:adjustRightInd w:val="0"/>
        <w:snapToGrid w:val="0"/>
        <w:spacing w:before="62" w:beforeLines="20" w:after="62" w:afterLines="20" w:line="430" w:lineRule="exact"/>
        <w:ind w:firstLine="420" w:firstLineChars="200"/>
        <w:rPr>
          <w:rFonts w:ascii="宋体" w:hAnsi="宋体"/>
          <w:color w:val="000000"/>
          <w:szCs w:val="21"/>
        </w:rPr>
      </w:pPr>
      <w:r>
        <w:rPr>
          <w:rFonts w:hint="eastAsia" w:ascii="宋体" w:hAnsi="宋体"/>
          <w:color w:val="000000"/>
          <w:szCs w:val="21"/>
        </w:rPr>
        <w:t>注：各项计算、评分结果均按四舍五入方法精确到小数点后2位。</w:t>
      </w:r>
    </w:p>
    <w:p>
      <w:pPr>
        <w:adjustRightInd w:val="0"/>
        <w:snapToGrid w:val="0"/>
        <w:spacing w:before="62" w:beforeLines="20" w:after="62" w:afterLines="20" w:line="430" w:lineRule="exact"/>
        <w:ind w:firstLine="420"/>
        <w:rPr>
          <w:rFonts w:ascii="宋体" w:hAnsi="宋体"/>
          <w:color w:val="000000"/>
          <w:szCs w:val="21"/>
        </w:rPr>
      </w:pPr>
      <w:r>
        <w:rPr>
          <w:rFonts w:hint="eastAsia" w:ascii="宋体" w:hAnsi="宋体"/>
          <w:color w:val="000000"/>
          <w:szCs w:val="21"/>
        </w:rPr>
        <w:t>将结果汇总记录至附表A-</w:t>
      </w:r>
      <w:r>
        <w:rPr>
          <w:rFonts w:ascii="宋体" w:hAnsi="宋体"/>
          <w:color w:val="000000"/>
          <w:szCs w:val="21"/>
        </w:rPr>
        <w:t>10</w:t>
      </w:r>
    </w:p>
    <w:p>
      <w:pPr>
        <w:adjustRightInd w:val="0"/>
        <w:snapToGrid w:val="0"/>
        <w:spacing w:before="62" w:beforeLines="20" w:line="440" w:lineRule="exact"/>
        <w:rPr>
          <w:rFonts w:ascii="宋体" w:hAnsi="宋体"/>
          <w:b/>
          <w:color w:val="000000"/>
          <w:szCs w:val="21"/>
        </w:rPr>
      </w:pPr>
      <w:r>
        <w:rPr>
          <w:rFonts w:hint="eastAsia" w:ascii="黑体" w:hAnsi="宋体" w:eastAsia="黑体"/>
          <w:b/>
          <w:color w:val="000000"/>
          <w:szCs w:val="21"/>
        </w:rPr>
        <w:t>A</w:t>
      </w:r>
      <w:r>
        <w:rPr>
          <w:rFonts w:ascii="黑体" w:hAnsi="宋体" w:eastAsia="黑体"/>
          <w:b/>
          <w:color w:val="000000"/>
          <w:szCs w:val="21"/>
        </w:rPr>
        <w:t>8</w:t>
      </w:r>
      <w:r>
        <w:rPr>
          <w:rFonts w:hint="eastAsia" w:ascii="黑体" w:hAnsi="宋体" w:eastAsia="黑体"/>
          <w:b/>
          <w:color w:val="000000"/>
          <w:szCs w:val="21"/>
        </w:rPr>
        <w:t>.</w:t>
      </w:r>
      <w:r>
        <w:rPr>
          <w:rFonts w:hint="eastAsia" w:ascii="宋体" w:hAnsi="宋体"/>
          <w:b/>
          <w:color w:val="000000"/>
          <w:szCs w:val="21"/>
        </w:rPr>
        <w:t>系统推荐中标候选人或者直接确定中标人或者按评定分离定标方式要求推送中标候选人。</w:t>
      </w:r>
    </w:p>
    <w:p>
      <w:pPr>
        <w:adjustRightInd w:val="0"/>
        <w:snapToGrid w:val="0"/>
        <w:spacing w:before="62" w:beforeLines="20" w:line="440" w:lineRule="exact"/>
        <w:rPr>
          <w:rFonts w:ascii="宋体" w:hAnsi="宋体"/>
          <w:b/>
          <w:color w:val="000000"/>
          <w:szCs w:val="21"/>
        </w:rPr>
      </w:pPr>
      <w:r>
        <w:rPr>
          <w:rFonts w:hint="eastAsia" w:ascii="黑体" w:hAnsi="宋体" w:eastAsia="黑体"/>
          <w:b/>
          <w:color w:val="000000"/>
          <w:szCs w:val="21"/>
        </w:rPr>
        <w:t>A</w:t>
      </w:r>
      <w:r>
        <w:rPr>
          <w:rFonts w:ascii="黑体" w:hAnsi="宋体" w:eastAsia="黑体"/>
          <w:b/>
          <w:color w:val="000000"/>
          <w:szCs w:val="21"/>
        </w:rPr>
        <w:t>8</w:t>
      </w:r>
      <w:r>
        <w:rPr>
          <w:rFonts w:hint="eastAsia" w:ascii="黑体" w:hAnsi="宋体" w:eastAsia="黑体"/>
          <w:b/>
          <w:color w:val="000000"/>
          <w:szCs w:val="21"/>
        </w:rPr>
        <w:t>.1</w:t>
      </w:r>
      <w:r>
        <w:rPr>
          <w:rFonts w:hint="eastAsia" w:ascii="宋体" w:hAnsi="宋体"/>
          <w:b/>
          <w:color w:val="000000"/>
          <w:szCs w:val="21"/>
        </w:rPr>
        <w:t>推荐中标候选人</w:t>
      </w:r>
    </w:p>
    <w:p>
      <w:pPr>
        <w:adjustRightInd w:val="0"/>
        <w:snapToGrid w:val="0"/>
        <w:spacing w:line="440" w:lineRule="exact"/>
        <w:ind w:firstLine="420" w:firstLineChars="200"/>
        <w:rPr>
          <w:rFonts w:ascii="宋体" w:hAnsi="宋体"/>
          <w:color w:val="000000"/>
          <w:szCs w:val="21"/>
        </w:rPr>
      </w:pPr>
      <w:r>
        <w:rPr>
          <w:rFonts w:hint="eastAsia" w:ascii="黑体" w:hAnsi="宋体" w:eastAsia="黑体"/>
          <w:color w:val="000000"/>
          <w:szCs w:val="21"/>
        </w:rPr>
        <w:t>A</w:t>
      </w:r>
      <w:r>
        <w:rPr>
          <w:rFonts w:ascii="黑体" w:hAnsi="宋体" w:eastAsia="黑体"/>
          <w:color w:val="000000"/>
          <w:szCs w:val="21"/>
        </w:rPr>
        <w:t>8</w:t>
      </w:r>
      <w:r>
        <w:rPr>
          <w:rFonts w:hint="eastAsia" w:ascii="黑体" w:hAnsi="宋体" w:eastAsia="黑体"/>
          <w:color w:val="000000"/>
          <w:szCs w:val="21"/>
        </w:rPr>
        <w:t>.1.1</w:t>
      </w:r>
      <w:r>
        <w:rPr>
          <w:rFonts w:hint="eastAsia" w:ascii="宋体" w:hAnsi="宋体"/>
          <w:color w:val="000000"/>
          <w:szCs w:val="21"/>
        </w:rPr>
        <w:t>除第二章“投标人须知”前附表第7．1款授权直接确定中标人外，在推荐中标候选人时，应遵照以下原则</w:t>
      </w:r>
      <w:r>
        <w:rPr>
          <w:rFonts w:hint="eastAsia" w:ascii="宋体" w:hAnsi="宋体"/>
          <w:color w:val="000000"/>
          <w:szCs w:val="21"/>
          <w:lang w:eastAsia="zh-CN"/>
        </w:rPr>
        <w:t>：</w:t>
      </w:r>
    </w:p>
    <w:p>
      <w:pPr>
        <w:adjustRightInd w:val="0"/>
        <w:snapToGrid w:val="0"/>
        <w:spacing w:line="441" w:lineRule="exact"/>
        <w:ind w:left="2" w:firstLine="392" w:firstLineChars="187"/>
        <w:rPr>
          <w:rFonts w:ascii="宋体" w:hAnsi="宋体"/>
          <w:color w:val="000000"/>
          <w:szCs w:val="21"/>
        </w:rPr>
      </w:pPr>
      <w:r>
        <w:rPr>
          <w:rFonts w:hint="eastAsia" w:ascii="宋体" w:hAnsi="宋体"/>
          <w:color w:val="000000"/>
          <w:szCs w:val="21"/>
        </w:rPr>
        <w:t>（1）按照最终得分由高至低的次序排列，并根据第二章“投标人须知”前附表第7.1款规定的中标候选人数量，将排序在前的投标人推荐为中标候选人。</w:t>
      </w:r>
    </w:p>
    <w:p>
      <w:pPr>
        <w:adjustRightInd w:val="0"/>
        <w:snapToGrid w:val="0"/>
        <w:spacing w:line="441" w:lineRule="exact"/>
        <w:ind w:left="2" w:firstLine="392" w:firstLineChars="187"/>
        <w:rPr>
          <w:rFonts w:ascii="宋体" w:hAnsi="宋体"/>
          <w:color w:val="000000"/>
          <w:szCs w:val="21"/>
        </w:rPr>
      </w:pPr>
      <w:r>
        <w:rPr>
          <w:rFonts w:hint="eastAsia" w:ascii="宋体" w:hAnsi="宋体"/>
          <w:color w:val="000000"/>
          <w:szCs w:val="21"/>
        </w:rPr>
        <w:t>（2）采用评定分离的项目推荐的中标候选人不标明排列顺序。</w:t>
      </w:r>
    </w:p>
    <w:p>
      <w:pPr>
        <w:adjustRightInd w:val="0"/>
        <w:snapToGrid w:val="0"/>
        <w:spacing w:line="441" w:lineRule="exact"/>
        <w:ind w:firstLine="420" w:firstLineChars="200"/>
        <w:rPr>
          <w:rFonts w:ascii="宋体" w:hAns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）通过初步评审的有效投标人数量少于三个或者所有投标被否决的，招标人应当依法重新招标。</w:t>
      </w:r>
    </w:p>
    <w:p>
      <w:pPr>
        <w:adjustRightInd w:val="0"/>
        <w:snapToGrid w:val="0"/>
        <w:spacing w:before="62" w:beforeLines="20" w:after="62" w:afterLines="20" w:line="441" w:lineRule="exact"/>
        <w:rPr>
          <w:rFonts w:ascii="黑体" w:hAnsi="宋体" w:eastAsia="黑体"/>
          <w:b/>
          <w:color w:val="000000"/>
          <w:szCs w:val="21"/>
        </w:rPr>
      </w:pPr>
      <w:r>
        <w:rPr>
          <w:rFonts w:hint="eastAsia" w:ascii="黑体" w:hAnsi="宋体" w:eastAsia="黑体"/>
          <w:b/>
          <w:color w:val="000000"/>
          <w:szCs w:val="21"/>
        </w:rPr>
        <w:t>A</w:t>
      </w:r>
      <w:r>
        <w:rPr>
          <w:rFonts w:ascii="黑体" w:hAnsi="宋体" w:eastAsia="黑体"/>
          <w:b/>
          <w:color w:val="000000"/>
          <w:szCs w:val="21"/>
        </w:rPr>
        <w:t>9.</w:t>
      </w:r>
      <w:r>
        <w:rPr>
          <w:rFonts w:hint="eastAsia" w:ascii="黑体" w:hAnsi="宋体" w:eastAsia="黑体"/>
          <w:b/>
          <w:color w:val="000000"/>
          <w:szCs w:val="21"/>
        </w:rPr>
        <w:t>评标专家复核评标</w:t>
      </w:r>
    </w:p>
    <w:p>
      <w:pPr>
        <w:adjustRightInd w:val="0"/>
        <w:snapToGrid w:val="0"/>
        <w:spacing w:before="62" w:beforeLines="20" w:after="62" w:afterLines="20" w:line="441" w:lineRule="exact"/>
        <w:rPr>
          <w:rFonts w:ascii="宋体" w:hAnsi="宋体"/>
          <w:b/>
          <w:color w:val="000000"/>
          <w:szCs w:val="21"/>
        </w:rPr>
      </w:pPr>
      <w:r>
        <w:rPr>
          <w:rFonts w:hint="eastAsia" w:ascii="黑体" w:hAnsi="宋体" w:eastAsia="黑体"/>
          <w:b/>
          <w:color w:val="000000"/>
          <w:szCs w:val="21"/>
        </w:rPr>
        <w:t>A</w:t>
      </w:r>
      <w:r>
        <w:rPr>
          <w:rFonts w:ascii="黑体" w:hAnsi="宋体" w:eastAsia="黑体"/>
          <w:b/>
          <w:color w:val="000000"/>
          <w:szCs w:val="21"/>
        </w:rPr>
        <w:t>9.1</w:t>
      </w:r>
      <w:r>
        <w:rPr>
          <w:rFonts w:hint="eastAsia" w:ascii="宋体" w:hAnsi="宋体"/>
          <w:b/>
          <w:color w:val="000000"/>
          <w:szCs w:val="21"/>
        </w:rPr>
        <w:t>评标委员会成员签到</w:t>
      </w:r>
    </w:p>
    <w:p>
      <w:pPr>
        <w:spacing w:line="420" w:lineRule="exact"/>
        <w:ind w:firstLine="420" w:firstLineChars="200"/>
        <w:rPr>
          <w:rFonts w:ascii="宋体" w:hAnsi="宋体"/>
          <w:color w:val="000000"/>
          <w:szCs w:val="21"/>
        </w:rPr>
      </w:pPr>
      <w:r>
        <w:rPr>
          <w:rFonts w:hint="eastAsia" w:ascii="宋体" w:hAnsi="宋体"/>
          <w:color w:val="000000"/>
          <w:szCs w:val="21"/>
        </w:rPr>
        <w:t>评标委员会成员到达评标现场时应在签到表上签到以证明其出席。评标委员会签到表见</w:t>
      </w:r>
    </w:p>
    <w:p>
      <w:pPr>
        <w:spacing w:line="420" w:lineRule="exact"/>
        <w:rPr>
          <w:rFonts w:ascii="宋体" w:hAnsi="宋体"/>
          <w:color w:val="000000"/>
          <w:szCs w:val="21"/>
        </w:rPr>
      </w:pPr>
      <w:r>
        <w:rPr>
          <w:rFonts w:hint="eastAsia" w:ascii="宋体" w:hAnsi="宋体"/>
          <w:color w:val="000000"/>
          <w:szCs w:val="21"/>
        </w:rPr>
        <w:t>附表A-1。</w:t>
      </w:r>
    </w:p>
    <w:p>
      <w:pPr>
        <w:spacing w:before="62" w:beforeLines="20" w:after="62" w:afterLines="20" w:line="420" w:lineRule="exact"/>
        <w:rPr>
          <w:rFonts w:ascii="宋体" w:hAnsi="宋体"/>
          <w:b/>
          <w:color w:val="000000"/>
          <w:szCs w:val="21"/>
        </w:rPr>
      </w:pPr>
      <w:r>
        <w:rPr>
          <w:rFonts w:hint="eastAsia" w:ascii="宋体" w:hAnsi="宋体"/>
          <w:b/>
          <w:color w:val="000000"/>
          <w:szCs w:val="21"/>
        </w:rPr>
        <w:t>A</w:t>
      </w:r>
      <w:r>
        <w:rPr>
          <w:rFonts w:ascii="宋体" w:hAnsi="宋体"/>
          <w:b/>
          <w:color w:val="000000"/>
          <w:szCs w:val="21"/>
        </w:rPr>
        <w:t>9</w:t>
      </w:r>
      <w:r>
        <w:rPr>
          <w:rFonts w:hint="eastAsia" w:ascii="宋体" w:hAnsi="宋体"/>
          <w:b/>
          <w:color w:val="000000"/>
          <w:szCs w:val="21"/>
        </w:rPr>
        <w:t>.2评标委员会的分工</w:t>
      </w:r>
    </w:p>
    <w:p>
      <w:pPr>
        <w:spacing w:line="420" w:lineRule="exact"/>
        <w:ind w:firstLine="420" w:firstLineChars="200"/>
        <w:rPr>
          <w:rFonts w:ascii="宋体" w:hAnsi="宋体"/>
          <w:color w:val="000000"/>
          <w:szCs w:val="21"/>
        </w:rPr>
      </w:pPr>
      <w:r>
        <w:rPr>
          <w:rFonts w:hint="eastAsia" w:ascii="宋体" w:hAnsi="宋体"/>
          <w:color w:val="000000"/>
          <w:szCs w:val="21"/>
        </w:rPr>
        <w:t>评标委员会首先推选一名评标委员会主任。评标委员会主任负责评标活动的组织领导工作。</w:t>
      </w:r>
    </w:p>
    <w:p>
      <w:pPr>
        <w:spacing w:before="62" w:beforeLines="20" w:after="62" w:afterLines="20" w:line="420" w:lineRule="exact"/>
        <w:rPr>
          <w:rFonts w:ascii="宋体" w:hAnsi="宋体"/>
          <w:b/>
          <w:color w:val="000000"/>
          <w:szCs w:val="21"/>
        </w:rPr>
      </w:pPr>
      <w:r>
        <w:rPr>
          <w:rFonts w:hint="eastAsia" w:ascii="宋体" w:hAnsi="宋体"/>
          <w:b/>
          <w:color w:val="000000"/>
          <w:szCs w:val="21"/>
        </w:rPr>
        <w:t>A</w:t>
      </w:r>
      <w:r>
        <w:rPr>
          <w:rFonts w:ascii="宋体" w:hAnsi="宋体"/>
          <w:b/>
          <w:color w:val="000000"/>
          <w:szCs w:val="21"/>
        </w:rPr>
        <w:t>9</w:t>
      </w:r>
      <w:r>
        <w:rPr>
          <w:rFonts w:hint="eastAsia" w:ascii="宋体" w:hAnsi="宋体"/>
          <w:b/>
          <w:color w:val="000000"/>
          <w:szCs w:val="21"/>
        </w:rPr>
        <w:t>.3熟悉文件资料</w:t>
      </w:r>
    </w:p>
    <w:p>
      <w:pPr>
        <w:spacing w:line="420" w:lineRule="exact"/>
        <w:ind w:firstLine="420" w:firstLineChars="200"/>
        <w:rPr>
          <w:rFonts w:ascii="宋体" w:hAnsi="宋体"/>
          <w:color w:val="000000"/>
          <w:szCs w:val="21"/>
        </w:rPr>
      </w:pPr>
      <w:r>
        <w:rPr>
          <w:rFonts w:hint="eastAsia" w:ascii="宋体" w:hAnsi="宋体"/>
          <w:color w:val="000000"/>
          <w:szCs w:val="21"/>
        </w:rPr>
        <w:t>评标委员会主任应组织评标委员会成员认真研究招标文件，了解和熟悉招标目的、招标范围、主要合同条件、质量标准和工期要求，掌握评标标准和方法，熟悉本章及附件中包括的评标表格的使用。未在招标文件中规定的标准和方法不得作为评标的依据。</w:t>
      </w:r>
    </w:p>
    <w:p>
      <w:pPr>
        <w:spacing w:before="62" w:beforeLines="20" w:after="62" w:afterLines="20" w:line="420" w:lineRule="exact"/>
        <w:rPr>
          <w:rFonts w:ascii="宋体" w:hAnsi="宋体"/>
          <w:b/>
          <w:color w:val="000000"/>
          <w:szCs w:val="21"/>
        </w:rPr>
      </w:pPr>
      <w:r>
        <w:rPr>
          <w:rFonts w:hint="eastAsia" w:ascii="宋体" w:hAnsi="宋体"/>
          <w:b/>
          <w:color w:val="000000"/>
          <w:szCs w:val="21"/>
        </w:rPr>
        <w:t>A</w:t>
      </w:r>
      <w:r>
        <w:rPr>
          <w:rFonts w:ascii="宋体" w:hAnsi="宋体"/>
          <w:b/>
          <w:color w:val="000000"/>
          <w:szCs w:val="21"/>
        </w:rPr>
        <w:t>9</w:t>
      </w:r>
      <w:r>
        <w:rPr>
          <w:rFonts w:hint="eastAsia" w:ascii="宋体" w:hAnsi="宋体"/>
          <w:b/>
          <w:color w:val="000000"/>
          <w:szCs w:val="21"/>
        </w:rPr>
        <w:t>.</w:t>
      </w:r>
      <w:r>
        <w:rPr>
          <w:rFonts w:ascii="宋体" w:hAnsi="宋体"/>
          <w:b/>
          <w:color w:val="000000"/>
          <w:szCs w:val="21"/>
        </w:rPr>
        <w:t>4</w:t>
      </w:r>
      <w:r>
        <w:rPr>
          <w:rFonts w:hint="eastAsia" w:ascii="宋体" w:hAnsi="宋体"/>
          <w:b/>
          <w:color w:val="000000"/>
          <w:szCs w:val="21"/>
        </w:rPr>
        <w:t>复核重大偏差</w:t>
      </w:r>
    </w:p>
    <w:p>
      <w:pPr>
        <w:adjustRightInd w:val="0"/>
        <w:snapToGrid w:val="0"/>
        <w:spacing w:line="420" w:lineRule="exact"/>
        <w:ind w:firstLine="420" w:firstLineChars="200"/>
        <w:rPr>
          <w:rFonts w:ascii="宋体" w:hAnsi="宋体"/>
          <w:color w:val="000000"/>
          <w:szCs w:val="21"/>
        </w:rPr>
      </w:pPr>
      <w:r>
        <w:rPr>
          <w:rFonts w:hint="eastAsia" w:ascii="黑体" w:hAnsi="宋体" w:eastAsia="黑体"/>
          <w:color w:val="000000"/>
          <w:szCs w:val="21"/>
        </w:rPr>
        <w:t>A</w:t>
      </w:r>
      <w:r>
        <w:rPr>
          <w:rFonts w:ascii="黑体" w:hAnsi="宋体" w:eastAsia="黑体"/>
          <w:color w:val="000000"/>
          <w:szCs w:val="21"/>
        </w:rPr>
        <w:t>9</w:t>
      </w:r>
      <w:r>
        <w:rPr>
          <w:rFonts w:hint="eastAsia" w:ascii="黑体" w:hAnsi="宋体" w:eastAsia="黑体"/>
          <w:color w:val="000000"/>
          <w:szCs w:val="21"/>
        </w:rPr>
        <w:t>.</w:t>
      </w:r>
      <w:r>
        <w:rPr>
          <w:rFonts w:ascii="黑体" w:hAnsi="宋体" w:eastAsia="黑体"/>
          <w:color w:val="000000"/>
          <w:szCs w:val="21"/>
        </w:rPr>
        <w:t>4</w:t>
      </w:r>
      <w:r>
        <w:rPr>
          <w:rFonts w:hint="eastAsia" w:ascii="黑体" w:hAnsi="宋体" w:eastAsia="黑体"/>
          <w:color w:val="000000"/>
          <w:szCs w:val="21"/>
        </w:rPr>
        <w:t>.1</w:t>
      </w:r>
      <w:r>
        <w:rPr>
          <w:rFonts w:hint="eastAsia" w:ascii="宋体" w:hAnsi="宋体"/>
          <w:color w:val="000000"/>
          <w:szCs w:val="21"/>
        </w:rPr>
        <w:t>评标委员会对“机器”评推荐的评标结果进行复核，并将意见按照附表A</w:t>
      </w:r>
      <w:r>
        <w:rPr>
          <w:rFonts w:ascii="宋体" w:hAnsi="宋体"/>
          <w:color w:val="000000"/>
          <w:szCs w:val="21"/>
        </w:rPr>
        <w:t>-12</w:t>
      </w:r>
      <w:r>
        <w:rPr>
          <w:rFonts w:hint="eastAsia" w:ascii="宋体" w:hAnsi="宋体"/>
          <w:color w:val="000000"/>
          <w:szCs w:val="21"/>
        </w:rPr>
        <w:t>格式记录。</w:t>
      </w:r>
    </w:p>
    <w:p>
      <w:pPr>
        <w:adjustRightInd w:val="0"/>
        <w:snapToGrid w:val="0"/>
        <w:spacing w:line="420" w:lineRule="exact"/>
        <w:ind w:firstLine="420" w:firstLineChars="200"/>
        <w:rPr>
          <w:rFonts w:ascii="宋体" w:hAnsi="宋体"/>
          <w:color w:val="000000"/>
          <w:szCs w:val="21"/>
        </w:rPr>
      </w:pPr>
      <w:r>
        <w:rPr>
          <w:rFonts w:hint="eastAsia" w:ascii="黑体" w:hAnsi="宋体" w:eastAsia="黑体"/>
          <w:color w:val="000000"/>
          <w:szCs w:val="21"/>
        </w:rPr>
        <w:t>A</w:t>
      </w:r>
      <w:r>
        <w:rPr>
          <w:rFonts w:ascii="黑体" w:hAnsi="宋体" w:eastAsia="黑体"/>
          <w:color w:val="000000"/>
          <w:szCs w:val="21"/>
        </w:rPr>
        <w:t>9</w:t>
      </w:r>
      <w:r>
        <w:rPr>
          <w:rFonts w:hint="eastAsia" w:ascii="黑体" w:hAnsi="宋体" w:eastAsia="黑体"/>
          <w:color w:val="000000"/>
          <w:szCs w:val="21"/>
        </w:rPr>
        <w:t>.</w:t>
      </w:r>
      <w:r>
        <w:rPr>
          <w:rFonts w:ascii="黑体" w:hAnsi="宋体" w:eastAsia="黑体"/>
          <w:color w:val="000000"/>
          <w:szCs w:val="21"/>
        </w:rPr>
        <w:t>4</w:t>
      </w:r>
      <w:r>
        <w:rPr>
          <w:rFonts w:hint="eastAsia" w:ascii="黑体" w:hAnsi="宋体" w:eastAsia="黑体"/>
          <w:color w:val="000000"/>
          <w:szCs w:val="21"/>
        </w:rPr>
        <w:t>.</w:t>
      </w:r>
      <w:r>
        <w:rPr>
          <w:rFonts w:ascii="黑体" w:hAnsi="宋体" w:eastAsia="黑体"/>
          <w:color w:val="000000"/>
          <w:szCs w:val="21"/>
        </w:rPr>
        <w:t>2</w:t>
      </w:r>
      <w:r>
        <w:rPr>
          <w:rFonts w:hint="eastAsia" w:ascii="宋体" w:hAnsi="宋体"/>
          <w:color w:val="000000"/>
          <w:szCs w:val="21"/>
        </w:rPr>
        <w:t>如发现“机器”推荐的中标候选人存在违法违规行为或重大偏差情形的，评标委员会应按照“机器”评标结果名单排序依次确定中标候选人并将否决投标原因按照附表A</w:t>
      </w:r>
      <w:r>
        <w:rPr>
          <w:rFonts w:ascii="宋体" w:hAnsi="宋体"/>
          <w:color w:val="000000"/>
          <w:szCs w:val="21"/>
        </w:rPr>
        <w:t>-13</w:t>
      </w:r>
      <w:r>
        <w:rPr>
          <w:rFonts w:hint="eastAsia" w:ascii="宋体" w:hAnsi="宋体"/>
          <w:color w:val="000000"/>
          <w:szCs w:val="21"/>
        </w:rPr>
        <w:t>格式记录在案。</w:t>
      </w:r>
    </w:p>
    <w:p>
      <w:pPr>
        <w:adjustRightInd w:val="0"/>
        <w:snapToGrid w:val="0"/>
        <w:spacing w:line="420" w:lineRule="exact"/>
        <w:ind w:firstLine="420" w:firstLineChars="200"/>
        <w:rPr>
          <w:rFonts w:ascii="宋体" w:hAnsi="宋体"/>
          <w:color w:val="000000"/>
          <w:szCs w:val="21"/>
        </w:rPr>
      </w:pPr>
      <w:r>
        <w:rPr>
          <w:rFonts w:hint="eastAsia" w:ascii="宋体" w:hAnsi="宋体"/>
          <w:color w:val="000000"/>
          <w:szCs w:val="21"/>
        </w:rPr>
        <w:t>评标委员会可以从交易平台发布问题澄清通知，要求投标单位在</w:t>
      </w:r>
      <w:r>
        <w:rPr>
          <w:rFonts w:hint="eastAsia" w:ascii="宋体" w:hAnsi="宋体"/>
          <w:color w:val="000000"/>
          <w:szCs w:val="21"/>
          <w:lang w:eastAsia="zh-CN"/>
        </w:rPr>
        <w:t>限定</w:t>
      </w:r>
      <w:r>
        <w:rPr>
          <w:rFonts w:hint="eastAsia" w:ascii="宋体" w:hAnsi="宋体"/>
          <w:color w:val="000000"/>
          <w:szCs w:val="21"/>
        </w:rPr>
        <w:t>时间内答复，不答复或超出时间不响应视为</w:t>
      </w:r>
      <w:r>
        <w:rPr>
          <w:rFonts w:hint="eastAsia"/>
          <w:color w:val="000000"/>
        </w:rPr>
        <w:t>按评标委员会理解内容进行评审。</w:t>
      </w:r>
    </w:p>
    <w:p>
      <w:pPr>
        <w:adjustRightInd w:val="0"/>
        <w:snapToGrid w:val="0"/>
        <w:spacing w:before="62" w:beforeLines="20" w:after="62" w:afterLines="20" w:line="441" w:lineRule="exact"/>
        <w:rPr>
          <w:rFonts w:ascii="宋体" w:hAnsi="宋体"/>
          <w:b/>
          <w:color w:val="000000"/>
          <w:szCs w:val="21"/>
        </w:rPr>
      </w:pPr>
      <w:r>
        <w:rPr>
          <w:rFonts w:hint="eastAsia" w:ascii="黑体" w:hAnsi="宋体" w:eastAsia="黑体"/>
          <w:b/>
          <w:color w:val="000000"/>
          <w:szCs w:val="21"/>
        </w:rPr>
        <w:t>A</w:t>
      </w:r>
      <w:r>
        <w:rPr>
          <w:rFonts w:ascii="黑体" w:hAnsi="宋体" w:eastAsia="黑体"/>
          <w:b/>
          <w:color w:val="000000"/>
          <w:szCs w:val="21"/>
        </w:rPr>
        <w:t>10</w:t>
      </w:r>
      <w:r>
        <w:rPr>
          <w:rFonts w:hint="eastAsia" w:ascii="黑体" w:hAnsi="宋体" w:eastAsia="黑体"/>
          <w:b/>
          <w:color w:val="000000"/>
          <w:szCs w:val="21"/>
        </w:rPr>
        <w:t>．</w:t>
      </w:r>
      <w:r>
        <w:rPr>
          <w:rFonts w:hint="eastAsia" w:ascii="宋体" w:hAnsi="宋体"/>
          <w:b/>
          <w:color w:val="000000"/>
          <w:szCs w:val="21"/>
        </w:rPr>
        <w:t>推送评标报告</w:t>
      </w:r>
    </w:p>
    <w:p>
      <w:pPr>
        <w:adjustRightInd w:val="0"/>
        <w:snapToGrid w:val="0"/>
        <w:spacing w:line="441" w:lineRule="exact"/>
        <w:ind w:firstLine="420" w:firstLineChars="200"/>
        <w:rPr>
          <w:rFonts w:ascii="宋体" w:hAnsi="宋体"/>
          <w:color w:val="000000"/>
          <w:szCs w:val="21"/>
        </w:rPr>
      </w:pPr>
      <w:r>
        <w:rPr>
          <w:rFonts w:hint="eastAsia" w:ascii="宋体" w:hAnsi="宋体"/>
          <w:color w:val="000000"/>
          <w:szCs w:val="21"/>
        </w:rPr>
        <w:t>交易平台根据本章第3.5.2项的规定向招标人推送评标报告。评标报告应当由交易平台自动生成，并经全体评标委员会成员签字，于评标结束时抄送有关行政监督部门。评标报告应当包括以下内容：</w:t>
      </w:r>
    </w:p>
    <w:p>
      <w:pPr>
        <w:adjustRightInd w:val="0"/>
        <w:snapToGrid w:val="0"/>
        <w:spacing w:before="93" w:beforeLines="30" w:line="441" w:lineRule="exact"/>
        <w:ind w:firstLine="420" w:firstLineChars="200"/>
        <w:rPr>
          <w:rFonts w:ascii="宋体" w:hAnsi="宋体"/>
          <w:color w:val="000000"/>
          <w:szCs w:val="21"/>
        </w:rPr>
      </w:pPr>
      <w:r>
        <w:rPr>
          <w:rFonts w:hint="eastAsia" w:ascii="宋体" w:hAnsi="宋体"/>
          <w:color w:val="000000"/>
          <w:szCs w:val="21"/>
        </w:rPr>
        <w:t>（</w:t>
      </w:r>
      <w:r>
        <w:rPr>
          <w:rFonts w:hint="eastAsia" w:ascii="黑体" w:hAnsi="宋体" w:eastAsia="黑体"/>
          <w:color w:val="000000"/>
          <w:szCs w:val="21"/>
        </w:rPr>
        <w:t>1</w:t>
      </w:r>
      <w:r>
        <w:rPr>
          <w:rFonts w:hint="eastAsia" w:ascii="宋体" w:hAnsi="宋体"/>
          <w:color w:val="000000"/>
          <w:szCs w:val="21"/>
        </w:rPr>
        <w:t>）基本情况和数据表；</w:t>
      </w:r>
    </w:p>
    <w:p>
      <w:pPr>
        <w:adjustRightInd w:val="0"/>
        <w:snapToGrid w:val="0"/>
        <w:spacing w:before="93" w:beforeLines="30" w:line="441" w:lineRule="exact"/>
        <w:ind w:firstLine="420" w:firstLineChars="200"/>
        <w:rPr>
          <w:rFonts w:ascii="宋体" w:hAnsi="宋体"/>
          <w:color w:val="000000"/>
          <w:szCs w:val="21"/>
        </w:rPr>
      </w:pPr>
      <w:r>
        <w:rPr>
          <w:rFonts w:hint="eastAsia" w:ascii="宋体" w:hAnsi="宋体"/>
          <w:color w:val="000000"/>
          <w:szCs w:val="21"/>
        </w:rPr>
        <w:t>（</w:t>
      </w:r>
      <w:r>
        <w:rPr>
          <w:rFonts w:hint="eastAsia" w:ascii="黑体" w:hAnsi="宋体" w:eastAsia="黑体"/>
          <w:color w:val="000000"/>
          <w:szCs w:val="21"/>
        </w:rPr>
        <w:t>2</w:t>
      </w:r>
      <w:r>
        <w:rPr>
          <w:rFonts w:hint="eastAsia" w:ascii="宋体" w:hAnsi="宋体"/>
          <w:color w:val="000000"/>
          <w:szCs w:val="21"/>
        </w:rPr>
        <w:t>）评标委员会成员名单；</w:t>
      </w:r>
    </w:p>
    <w:p>
      <w:pPr>
        <w:adjustRightInd w:val="0"/>
        <w:snapToGrid w:val="0"/>
        <w:spacing w:before="93" w:beforeLines="30" w:line="441" w:lineRule="exact"/>
        <w:ind w:firstLine="420" w:firstLineChars="200"/>
        <w:rPr>
          <w:rFonts w:ascii="宋体" w:hAnsi="宋体"/>
          <w:color w:val="000000"/>
          <w:szCs w:val="21"/>
        </w:rPr>
      </w:pPr>
      <w:r>
        <w:rPr>
          <w:rFonts w:hint="eastAsia" w:ascii="宋体" w:hAnsi="宋体"/>
          <w:color w:val="000000"/>
          <w:szCs w:val="21"/>
        </w:rPr>
        <w:t>（</w:t>
      </w:r>
      <w:r>
        <w:rPr>
          <w:rFonts w:hint="eastAsia" w:ascii="黑体" w:hAnsi="宋体" w:eastAsia="黑体"/>
          <w:color w:val="000000"/>
          <w:szCs w:val="21"/>
        </w:rPr>
        <w:t>3</w:t>
      </w:r>
      <w:r>
        <w:rPr>
          <w:rFonts w:hint="eastAsia" w:ascii="宋体" w:hAnsi="宋体"/>
          <w:color w:val="000000"/>
          <w:szCs w:val="21"/>
        </w:rPr>
        <w:t>）开标记录；</w:t>
      </w:r>
    </w:p>
    <w:p>
      <w:pPr>
        <w:adjustRightInd w:val="0"/>
        <w:snapToGrid w:val="0"/>
        <w:spacing w:before="93" w:beforeLines="30" w:line="441" w:lineRule="exact"/>
        <w:ind w:firstLine="420" w:firstLineChars="200"/>
        <w:rPr>
          <w:rFonts w:ascii="宋体" w:hAnsi="宋体"/>
          <w:color w:val="000000"/>
          <w:szCs w:val="21"/>
        </w:rPr>
      </w:pPr>
      <w:r>
        <w:rPr>
          <w:rFonts w:hint="eastAsia" w:ascii="宋体" w:hAnsi="宋体"/>
          <w:color w:val="000000"/>
          <w:szCs w:val="21"/>
        </w:rPr>
        <w:t>（</w:t>
      </w:r>
      <w:r>
        <w:rPr>
          <w:rFonts w:hint="eastAsia" w:ascii="黑体" w:hAnsi="宋体" w:eastAsia="黑体"/>
          <w:color w:val="000000"/>
          <w:szCs w:val="21"/>
        </w:rPr>
        <w:t>4</w:t>
      </w:r>
      <w:r>
        <w:rPr>
          <w:rFonts w:hint="eastAsia" w:ascii="宋体" w:hAnsi="宋体"/>
          <w:color w:val="000000"/>
          <w:szCs w:val="21"/>
        </w:rPr>
        <w:t>）符合要求的投标一览表；</w:t>
      </w:r>
    </w:p>
    <w:p>
      <w:pPr>
        <w:adjustRightInd w:val="0"/>
        <w:snapToGrid w:val="0"/>
        <w:spacing w:before="93" w:beforeLines="30" w:line="441" w:lineRule="exact"/>
        <w:ind w:firstLine="420" w:firstLineChars="200"/>
        <w:rPr>
          <w:rFonts w:ascii="宋体" w:hAnsi="宋体"/>
          <w:color w:val="000000"/>
          <w:szCs w:val="21"/>
        </w:rPr>
      </w:pPr>
      <w:r>
        <w:rPr>
          <w:rFonts w:hint="eastAsia" w:ascii="宋体" w:hAnsi="宋体"/>
          <w:color w:val="000000"/>
          <w:szCs w:val="21"/>
        </w:rPr>
        <w:t>（</w:t>
      </w:r>
      <w:r>
        <w:rPr>
          <w:rFonts w:hint="eastAsia" w:ascii="黑体" w:hAnsi="宋体" w:eastAsia="黑体"/>
          <w:color w:val="000000"/>
          <w:szCs w:val="21"/>
        </w:rPr>
        <w:t>5</w:t>
      </w:r>
      <w:r>
        <w:rPr>
          <w:rFonts w:hint="eastAsia" w:ascii="宋体" w:hAnsi="宋体"/>
          <w:color w:val="000000"/>
          <w:szCs w:val="21"/>
        </w:rPr>
        <w:t>）否决投标情况说明；</w:t>
      </w:r>
    </w:p>
    <w:p>
      <w:pPr>
        <w:adjustRightInd w:val="0"/>
        <w:snapToGrid w:val="0"/>
        <w:spacing w:before="93" w:beforeLines="30" w:line="441" w:lineRule="exact"/>
        <w:ind w:firstLine="420" w:firstLineChars="200"/>
        <w:rPr>
          <w:rFonts w:ascii="宋体" w:hAnsi="宋体"/>
          <w:color w:val="000000"/>
          <w:szCs w:val="21"/>
        </w:rPr>
      </w:pPr>
      <w:r>
        <w:rPr>
          <w:rFonts w:hint="eastAsia" w:ascii="宋体" w:hAnsi="宋体"/>
          <w:color w:val="000000"/>
          <w:szCs w:val="21"/>
        </w:rPr>
        <w:t>（</w:t>
      </w:r>
      <w:r>
        <w:rPr>
          <w:rFonts w:hint="eastAsia" w:ascii="黑体" w:hAnsi="宋体" w:eastAsia="黑体"/>
          <w:color w:val="000000"/>
          <w:szCs w:val="21"/>
        </w:rPr>
        <w:t>6</w:t>
      </w:r>
      <w:r>
        <w:rPr>
          <w:rFonts w:hint="eastAsia" w:ascii="宋体" w:hAnsi="宋体"/>
          <w:color w:val="000000"/>
          <w:szCs w:val="21"/>
        </w:rPr>
        <w:t>）评标标准、评标方法或者评标因素一览表；</w:t>
      </w:r>
    </w:p>
    <w:p>
      <w:pPr>
        <w:adjustRightInd w:val="0"/>
        <w:snapToGrid w:val="0"/>
        <w:spacing w:before="93" w:beforeLines="30" w:line="441" w:lineRule="exact"/>
        <w:ind w:firstLine="420" w:firstLineChars="200"/>
        <w:rPr>
          <w:rFonts w:ascii="宋体" w:hAnsi="宋体"/>
          <w:color w:val="000000"/>
          <w:szCs w:val="21"/>
        </w:rPr>
      </w:pPr>
      <w:r>
        <w:rPr>
          <w:rFonts w:hint="eastAsia" w:ascii="宋体" w:hAnsi="宋体"/>
          <w:color w:val="000000"/>
          <w:szCs w:val="21"/>
        </w:rPr>
        <w:t>（</w:t>
      </w:r>
      <w:r>
        <w:rPr>
          <w:rFonts w:hint="eastAsia" w:ascii="黑体" w:hAnsi="宋体" w:eastAsia="黑体"/>
          <w:color w:val="000000"/>
          <w:szCs w:val="21"/>
        </w:rPr>
        <w:t>7</w:t>
      </w:r>
      <w:r>
        <w:rPr>
          <w:rFonts w:hint="eastAsia" w:ascii="宋体" w:hAnsi="宋体"/>
          <w:color w:val="000000"/>
          <w:szCs w:val="21"/>
        </w:rPr>
        <w:t>）经评审的价格一览表</w:t>
      </w:r>
      <w:r>
        <w:rPr>
          <w:rFonts w:hint="eastAsia" w:ascii="宋体" w:hAnsi="宋体"/>
          <w:color w:val="000000"/>
          <w:szCs w:val="21"/>
          <w:lang w:eastAsia="zh-CN"/>
        </w:rPr>
        <w:t>（</w:t>
      </w:r>
      <w:r>
        <w:rPr>
          <w:rFonts w:hint="eastAsia" w:ascii="宋体" w:hAnsi="宋体"/>
          <w:color w:val="000000"/>
          <w:szCs w:val="21"/>
        </w:rPr>
        <w:t>包括评标委员会在评标过程中所形成的所有记载评标结果、结论的表格、说明、记录等文件</w:t>
      </w:r>
      <w:r>
        <w:rPr>
          <w:rFonts w:hint="eastAsia" w:ascii="宋体" w:hAnsi="宋体"/>
          <w:color w:val="000000"/>
          <w:szCs w:val="21"/>
          <w:lang w:eastAsia="zh-CN"/>
        </w:rPr>
        <w:t>）</w:t>
      </w:r>
      <w:r>
        <w:rPr>
          <w:rFonts w:hint="eastAsia" w:ascii="宋体" w:hAnsi="宋体"/>
          <w:color w:val="000000"/>
          <w:szCs w:val="21"/>
        </w:rPr>
        <w:t>；</w:t>
      </w:r>
    </w:p>
    <w:p>
      <w:pPr>
        <w:adjustRightInd w:val="0"/>
        <w:snapToGrid w:val="0"/>
        <w:spacing w:before="93" w:beforeLines="30" w:line="441" w:lineRule="exact"/>
        <w:ind w:firstLine="420" w:firstLineChars="200"/>
        <w:rPr>
          <w:rFonts w:ascii="宋体" w:hAnsi="宋体"/>
          <w:color w:val="000000"/>
          <w:szCs w:val="21"/>
        </w:rPr>
      </w:pPr>
      <w:r>
        <w:rPr>
          <w:rFonts w:hint="eastAsia" w:ascii="宋体" w:hAnsi="宋体"/>
          <w:color w:val="000000"/>
          <w:szCs w:val="21"/>
        </w:rPr>
        <w:t>（</w:t>
      </w:r>
      <w:r>
        <w:rPr>
          <w:rFonts w:hint="eastAsia" w:ascii="黑体" w:hAnsi="宋体" w:eastAsia="黑体"/>
          <w:color w:val="000000"/>
          <w:szCs w:val="21"/>
        </w:rPr>
        <w:t>8</w:t>
      </w:r>
      <w:r>
        <w:rPr>
          <w:rFonts w:hint="eastAsia" w:ascii="宋体" w:hAnsi="宋体"/>
          <w:color w:val="000000"/>
          <w:szCs w:val="21"/>
        </w:rPr>
        <w:t>）经评审的投标人排序；</w:t>
      </w:r>
    </w:p>
    <w:p>
      <w:pPr>
        <w:adjustRightInd w:val="0"/>
        <w:snapToGrid w:val="0"/>
        <w:spacing w:before="93" w:beforeLines="30" w:line="441" w:lineRule="exact"/>
        <w:ind w:firstLine="420" w:firstLineChars="200"/>
        <w:rPr>
          <w:rFonts w:ascii="宋体" w:hAnsi="宋体"/>
          <w:color w:val="000000"/>
          <w:szCs w:val="21"/>
        </w:rPr>
      </w:pPr>
      <w:r>
        <w:rPr>
          <w:rFonts w:hint="eastAsia" w:ascii="宋体" w:hAnsi="宋体"/>
          <w:color w:val="000000"/>
          <w:szCs w:val="21"/>
        </w:rPr>
        <w:t>（</w:t>
      </w:r>
      <w:r>
        <w:rPr>
          <w:rFonts w:hint="eastAsia" w:ascii="黑体" w:hAnsi="宋体" w:eastAsia="黑体"/>
          <w:color w:val="000000"/>
          <w:szCs w:val="21"/>
        </w:rPr>
        <w:t>9</w:t>
      </w:r>
      <w:r>
        <w:rPr>
          <w:rFonts w:hint="eastAsia" w:ascii="宋体" w:hAnsi="宋体"/>
          <w:color w:val="000000"/>
          <w:szCs w:val="21"/>
        </w:rPr>
        <w:t>）推荐的中标候选人名单</w:t>
      </w:r>
      <w:r>
        <w:rPr>
          <w:rFonts w:hint="eastAsia" w:ascii="宋体" w:hAnsi="宋体"/>
          <w:color w:val="000000"/>
          <w:szCs w:val="21"/>
          <w:lang w:eastAsia="zh-CN"/>
        </w:rPr>
        <w:t>（</w:t>
      </w:r>
      <w:r>
        <w:rPr>
          <w:rFonts w:hint="eastAsia" w:ascii="宋体" w:hAnsi="宋体"/>
          <w:color w:val="000000"/>
          <w:szCs w:val="21"/>
        </w:rPr>
        <w:t>如果第二章“投标人须知”前附表授权评标委员会直接确定中标人，则为“确定的中标人”</w:t>
      </w:r>
      <w:r>
        <w:rPr>
          <w:rFonts w:hint="eastAsia" w:ascii="宋体" w:hAnsi="宋体"/>
          <w:color w:val="000000"/>
          <w:szCs w:val="21"/>
          <w:lang w:eastAsia="zh-CN"/>
        </w:rPr>
        <w:t>）</w:t>
      </w:r>
      <w:r>
        <w:rPr>
          <w:rFonts w:hint="eastAsia" w:ascii="宋体" w:hAnsi="宋体"/>
          <w:color w:val="000000"/>
          <w:szCs w:val="21"/>
        </w:rPr>
        <w:t>与签订合同前要处理的事宜；</w:t>
      </w:r>
    </w:p>
    <w:p>
      <w:pPr>
        <w:adjustRightInd w:val="0"/>
        <w:snapToGrid w:val="0"/>
        <w:spacing w:before="93" w:beforeLines="30" w:line="441" w:lineRule="exact"/>
        <w:ind w:firstLine="420" w:firstLineChars="200"/>
        <w:rPr>
          <w:rFonts w:ascii="宋体" w:hAnsi="宋体"/>
          <w:color w:val="000000"/>
          <w:szCs w:val="21"/>
        </w:rPr>
      </w:pPr>
      <w:r>
        <w:rPr>
          <w:rFonts w:hint="eastAsia" w:ascii="宋体" w:hAnsi="宋体"/>
          <w:color w:val="000000"/>
          <w:szCs w:val="21"/>
        </w:rPr>
        <w:t>（</w:t>
      </w:r>
      <w:r>
        <w:rPr>
          <w:rFonts w:hint="eastAsia" w:ascii="黑体" w:hAnsi="宋体" w:eastAsia="黑体"/>
          <w:color w:val="000000"/>
          <w:szCs w:val="21"/>
        </w:rPr>
        <w:t>10</w:t>
      </w:r>
      <w:r>
        <w:rPr>
          <w:rFonts w:hint="eastAsia" w:ascii="宋体" w:hAnsi="宋体"/>
          <w:color w:val="000000"/>
          <w:szCs w:val="21"/>
        </w:rPr>
        <w:t>）澄清、说明、补正事项纪要</w:t>
      </w:r>
      <w:r>
        <w:rPr>
          <w:rFonts w:hint="eastAsia" w:ascii="宋体" w:hAnsi="宋体"/>
          <w:color w:val="000000"/>
          <w:szCs w:val="21"/>
          <w:lang w:eastAsia="zh-CN"/>
        </w:rPr>
        <w:t>；</w:t>
      </w:r>
    </w:p>
    <w:p>
      <w:pPr>
        <w:adjustRightInd w:val="0"/>
        <w:snapToGrid w:val="0"/>
        <w:spacing w:before="93" w:beforeLines="30" w:line="441" w:lineRule="exact"/>
        <w:ind w:firstLine="420" w:firstLineChars="200"/>
        <w:rPr>
          <w:rFonts w:hint="eastAsia" w:ascii="宋体" w:hAnsi="宋体" w:eastAsia="宋体"/>
          <w:color w:val="000000"/>
          <w:szCs w:val="21"/>
          <w:lang w:eastAsia="zh-CN"/>
        </w:rPr>
      </w:pPr>
      <w:r>
        <w:rPr>
          <w:rFonts w:hint="eastAsia" w:ascii="宋体" w:hAnsi="宋体"/>
          <w:color w:val="000000"/>
          <w:szCs w:val="21"/>
        </w:rPr>
        <w:t>（1</w:t>
      </w:r>
      <w:r>
        <w:rPr>
          <w:rFonts w:ascii="宋体" w:hAnsi="宋体"/>
          <w:color w:val="000000"/>
          <w:szCs w:val="21"/>
        </w:rPr>
        <w:t>1</w:t>
      </w:r>
      <w:r>
        <w:rPr>
          <w:rFonts w:hint="eastAsia" w:ascii="宋体" w:hAnsi="宋体"/>
          <w:color w:val="000000"/>
          <w:szCs w:val="21"/>
        </w:rPr>
        <w:t>）评标委员会复核意见表</w:t>
      </w:r>
      <w:r>
        <w:rPr>
          <w:rFonts w:hint="eastAsia" w:ascii="宋体" w:hAnsi="宋体"/>
          <w:color w:val="000000"/>
          <w:szCs w:val="21"/>
          <w:lang w:eastAsia="zh-CN"/>
        </w:rPr>
        <w:t>；</w:t>
      </w:r>
    </w:p>
    <w:p>
      <w:pPr>
        <w:adjustRightInd w:val="0"/>
        <w:snapToGrid w:val="0"/>
        <w:spacing w:before="93" w:beforeLines="30" w:line="441" w:lineRule="exact"/>
        <w:ind w:firstLine="525" w:firstLineChars="250"/>
        <w:rPr>
          <w:rFonts w:ascii="宋体" w:hAnsi="宋体"/>
          <w:color w:val="000000"/>
          <w:szCs w:val="21"/>
        </w:rPr>
      </w:pPr>
      <w:r>
        <w:rPr>
          <w:rFonts w:hint="eastAsia" w:ascii="宋体" w:hAnsi="宋体"/>
          <w:color w:val="000000"/>
          <w:szCs w:val="21"/>
        </w:rPr>
        <w:t>(</w:t>
      </w:r>
      <w:r>
        <w:rPr>
          <w:rFonts w:ascii="宋体" w:hAnsi="宋体"/>
          <w:color w:val="000000"/>
          <w:szCs w:val="21"/>
        </w:rPr>
        <w:t>12)</w:t>
      </w:r>
      <w:r>
        <w:rPr>
          <w:rFonts w:hint="eastAsia" w:ascii="宋体" w:hAnsi="宋体"/>
          <w:color w:val="000000"/>
          <w:szCs w:val="21"/>
        </w:rPr>
        <w:t>评标委员会复核否决投标情况说明。</w:t>
      </w:r>
    </w:p>
    <w:p>
      <w:pPr>
        <w:widowControl/>
        <w:spacing w:line="360" w:lineRule="auto"/>
        <w:ind w:firstLine="640"/>
        <w:rPr>
          <w:rFonts w:ascii="宋体" w:hAnsi="宋体"/>
          <w:color w:val="000000"/>
          <w:szCs w:val="21"/>
        </w:rPr>
      </w:pPr>
      <w:r>
        <w:rPr>
          <w:rFonts w:hint="eastAsia" w:ascii="宋体" w:hAnsi="宋体"/>
          <w:color w:val="000000"/>
          <w:szCs w:val="21"/>
        </w:rPr>
        <w:t>评标报告由评标委员会全体成员签字。对评标结论有异议的，评标委员会成员可以书面方式阐述其不同意见和理由。评标委员会成员拒绝在评标报告上签字且不书面阐述其不同意见和理由的，视为同意评标结论。评标委员会应当对此作出书面说明并记录在案。</w:t>
      </w:r>
    </w:p>
    <w:p>
      <w:pPr>
        <w:adjustRightInd w:val="0"/>
        <w:snapToGrid w:val="0"/>
        <w:spacing w:before="62" w:beforeLines="20" w:after="62" w:afterLines="20" w:line="441" w:lineRule="exact"/>
        <w:rPr>
          <w:rFonts w:ascii="宋体" w:hAnsi="宋体"/>
          <w:b/>
          <w:color w:val="000000"/>
          <w:szCs w:val="21"/>
        </w:rPr>
      </w:pPr>
      <w:r>
        <w:rPr>
          <w:rFonts w:hint="eastAsia" w:ascii="黑体" w:hAnsi="宋体" w:eastAsia="黑体"/>
          <w:b/>
          <w:color w:val="000000"/>
          <w:szCs w:val="21"/>
        </w:rPr>
        <w:t>A</w:t>
      </w:r>
      <w:r>
        <w:rPr>
          <w:rFonts w:ascii="黑体" w:hAnsi="宋体" w:eastAsia="黑体"/>
          <w:b/>
          <w:color w:val="000000"/>
          <w:szCs w:val="21"/>
        </w:rPr>
        <w:t>10</w:t>
      </w:r>
      <w:r>
        <w:rPr>
          <w:rFonts w:hint="eastAsia" w:ascii="黑体" w:hAnsi="宋体" w:eastAsia="黑体"/>
          <w:b/>
          <w:color w:val="000000"/>
          <w:szCs w:val="21"/>
        </w:rPr>
        <w:t>．</w:t>
      </w:r>
      <w:r>
        <w:rPr>
          <w:rFonts w:hint="eastAsia" w:ascii="宋体" w:hAnsi="宋体"/>
          <w:b/>
          <w:color w:val="000000"/>
          <w:szCs w:val="21"/>
        </w:rPr>
        <w:t>特殊情况的处置程序</w:t>
      </w:r>
    </w:p>
    <w:p>
      <w:pPr>
        <w:adjustRightInd w:val="0"/>
        <w:snapToGrid w:val="0"/>
        <w:spacing w:before="62" w:beforeLines="20" w:after="62" w:afterLines="20" w:line="440" w:lineRule="exact"/>
        <w:rPr>
          <w:rFonts w:ascii="宋体" w:hAnsi="宋体"/>
          <w:b/>
          <w:color w:val="000000"/>
          <w:szCs w:val="21"/>
        </w:rPr>
      </w:pPr>
      <w:r>
        <w:rPr>
          <w:rFonts w:hint="eastAsia" w:ascii="黑体" w:hAnsi="宋体" w:eastAsia="黑体"/>
          <w:b/>
          <w:color w:val="000000"/>
          <w:szCs w:val="21"/>
        </w:rPr>
        <w:t>A</w:t>
      </w:r>
      <w:r>
        <w:rPr>
          <w:rFonts w:ascii="黑体" w:hAnsi="宋体" w:eastAsia="黑体"/>
          <w:b/>
          <w:color w:val="000000"/>
          <w:szCs w:val="21"/>
        </w:rPr>
        <w:t>11</w:t>
      </w:r>
      <w:r>
        <w:rPr>
          <w:rFonts w:hint="eastAsia" w:ascii="黑体" w:hAnsi="宋体" w:eastAsia="黑体"/>
          <w:b/>
          <w:color w:val="000000"/>
          <w:szCs w:val="21"/>
        </w:rPr>
        <w:t>.</w:t>
      </w:r>
      <w:r>
        <w:rPr>
          <w:rFonts w:ascii="黑体" w:hAnsi="宋体" w:eastAsia="黑体"/>
          <w:b/>
          <w:color w:val="000000"/>
          <w:szCs w:val="21"/>
        </w:rPr>
        <w:t>1</w:t>
      </w:r>
      <w:r>
        <w:rPr>
          <w:rFonts w:hint="eastAsia" w:ascii="宋体" w:hAnsi="宋体"/>
          <w:b/>
          <w:color w:val="000000"/>
          <w:szCs w:val="21"/>
        </w:rPr>
        <w:t>关于评标活动暂停</w:t>
      </w:r>
    </w:p>
    <w:p>
      <w:pPr>
        <w:adjustRightInd w:val="0"/>
        <w:snapToGrid w:val="0"/>
        <w:spacing w:line="440" w:lineRule="exact"/>
        <w:ind w:firstLine="420" w:firstLineChars="200"/>
        <w:rPr>
          <w:rFonts w:ascii="宋体" w:hAnsi="宋体"/>
          <w:color w:val="000000"/>
          <w:szCs w:val="21"/>
        </w:rPr>
      </w:pPr>
      <w:r>
        <w:rPr>
          <w:rFonts w:hint="eastAsia" w:ascii="黑体" w:hAnsi="宋体" w:eastAsia="黑体"/>
          <w:color w:val="000000"/>
          <w:szCs w:val="21"/>
        </w:rPr>
        <w:t>A7.</w:t>
      </w:r>
      <w:r>
        <w:rPr>
          <w:rFonts w:ascii="黑体" w:hAnsi="宋体" w:eastAsia="黑体"/>
          <w:color w:val="000000"/>
          <w:szCs w:val="21"/>
        </w:rPr>
        <w:t>1</w:t>
      </w:r>
      <w:r>
        <w:rPr>
          <w:rFonts w:hint="eastAsia" w:ascii="黑体" w:hAnsi="宋体" w:eastAsia="黑体"/>
          <w:color w:val="000000"/>
          <w:szCs w:val="21"/>
        </w:rPr>
        <w:t>.1</w:t>
      </w:r>
      <w:r>
        <w:rPr>
          <w:rFonts w:hint="eastAsia" w:ascii="宋体" w:hAnsi="宋体"/>
          <w:color w:val="000000"/>
          <w:szCs w:val="21"/>
        </w:rPr>
        <w:t>只有发生不可抗力导致评标工作无法继续时，评标活动方可暂停。</w:t>
      </w:r>
    </w:p>
    <w:p>
      <w:pPr>
        <w:adjustRightInd w:val="0"/>
        <w:snapToGrid w:val="0"/>
        <w:spacing w:before="62" w:beforeLines="20" w:line="440" w:lineRule="exact"/>
        <w:ind w:firstLine="420" w:firstLineChars="200"/>
        <w:rPr>
          <w:rFonts w:ascii="宋体" w:hAnsi="宋体"/>
          <w:color w:val="000000"/>
          <w:szCs w:val="21"/>
        </w:rPr>
      </w:pPr>
      <w:r>
        <w:rPr>
          <w:rFonts w:hint="eastAsia" w:ascii="黑体" w:hAnsi="宋体" w:eastAsia="黑体"/>
          <w:color w:val="000000"/>
          <w:szCs w:val="21"/>
        </w:rPr>
        <w:t>A7.</w:t>
      </w:r>
      <w:r>
        <w:rPr>
          <w:rFonts w:ascii="黑体" w:hAnsi="宋体" w:eastAsia="黑体"/>
          <w:color w:val="000000"/>
          <w:szCs w:val="21"/>
        </w:rPr>
        <w:t>1</w:t>
      </w:r>
      <w:r>
        <w:rPr>
          <w:rFonts w:hint="eastAsia" w:ascii="黑体" w:hAnsi="宋体" w:eastAsia="黑体"/>
          <w:color w:val="000000"/>
          <w:szCs w:val="21"/>
        </w:rPr>
        <w:t>.2</w:t>
      </w:r>
      <w:r>
        <w:rPr>
          <w:rFonts w:hint="eastAsia" w:ascii="宋体" w:hAnsi="宋体"/>
          <w:color w:val="000000"/>
          <w:szCs w:val="21"/>
        </w:rPr>
        <w:t>发生评标暂停情况时，交易平台或评标委员会应当封存全部投标文件和评标记录，待不可抗力的影响结束且具备继续评标的条件时，由交易平台或原评标委员会继续评标。</w:t>
      </w:r>
    </w:p>
    <w:p>
      <w:pPr>
        <w:adjustRightInd w:val="0"/>
        <w:snapToGrid w:val="0"/>
        <w:spacing w:line="440" w:lineRule="exact"/>
        <w:rPr>
          <w:rFonts w:ascii="宋体" w:hAnsi="宋体"/>
          <w:b/>
          <w:color w:val="000000"/>
          <w:szCs w:val="21"/>
        </w:rPr>
      </w:pPr>
      <w:r>
        <w:rPr>
          <w:rFonts w:hint="eastAsia" w:ascii="黑体" w:hAnsi="宋体" w:eastAsia="黑体"/>
          <w:b/>
          <w:color w:val="000000"/>
          <w:szCs w:val="21"/>
        </w:rPr>
        <w:t>A</w:t>
      </w:r>
      <w:r>
        <w:rPr>
          <w:rFonts w:ascii="黑体" w:hAnsi="宋体" w:eastAsia="黑体"/>
          <w:b/>
          <w:color w:val="000000"/>
          <w:szCs w:val="21"/>
        </w:rPr>
        <w:t>11</w:t>
      </w:r>
      <w:r>
        <w:rPr>
          <w:rFonts w:hint="eastAsia" w:ascii="黑体" w:hAnsi="宋体" w:eastAsia="黑体"/>
          <w:b/>
          <w:color w:val="000000"/>
          <w:szCs w:val="21"/>
        </w:rPr>
        <w:t>.</w:t>
      </w:r>
      <w:r>
        <w:rPr>
          <w:rFonts w:ascii="黑体" w:hAnsi="宋体" w:eastAsia="黑体"/>
          <w:b/>
          <w:color w:val="000000"/>
          <w:szCs w:val="21"/>
        </w:rPr>
        <w:t>2</w:t>
      </w:r>
      <w:r>
        <w:rPr>
          <w:rFonts w:hint="eastAsia" w:ascii="宋体" w:hAnsi="宋体"/>
          <w:b/>
          <w:color w:val="000000"/>
          <w:szCs w:val="21"/>
        </w:rPr>
        <w:t>关于评标中途更换评委</w:t>
      </w:r>
    </w:p>
    <w:p>
      <w:pPr>
        <w:adjustRightInd w:val="0"/>
        <w:snapToGrid w:val="0"/>
        <w:spacing w:line="440" w:lineRule="exact"/>
        <w:ind w:firstLine="420" w:firstLineChars="200"/>
        <w:rPr>
          <w:rFonts w:ascii="宋体" w:hAnsi="宋体"/>
          <w:color w:val="000000"/>
          <w:szCs w:val="21"/>
        </w:rPr>
      </w:pPr>
      <w:r>
        <w:rPr>
          <w:rFonts w:hint="eastAsia" w:ascii="黑体" w:hAnsi="宋体" w:eastAsia="黑体"/>
          <w:color w:val="000000"/>
          <w:szCs w:val="21"/>
        </w:rPr>
        <w:t>A7.</w:t>
      </w:r>
      <w:r>
        <w:rPr>
          <w:rFonts w:ascii="黑体" w:hAnsi="宋体" w:eastAsia="黑体"/>
          <w:color w:val="000000"/>
          <w:szCs w:val="21"/>
        </w:rPr>
        <w:t>2</w:t>
      </w:r>
      <w:r>
        <w:rPr>
          <w:rFonts w:hint="eastAsia" w:ascii="黑体" w:hAnsi="宋体" w:eastAsia="黑体"/>
          <w:color w:val="000000"/>
          <w:szCs w:val="21"/>
        </w:rPr>
        <w:t>.1</w:t>
      </w:r>
      <w:r>
        <w:rPr>
          <w:rFonts w:hint="eastAsia" w:ascii="宋体" w:hAnsi="宋体"/>
          <w:color w:val="000000"/>
          <w:szCs w:val="21"/>
        </w:rPr>
        <w:t>除非发生下列情况之一，评标委员会成员不得在评标中途更换：</w:t>
      </w:r>
    </w:p>
    <w:p>
      <w:pPr>
        <w:adjustRightInd w:val="0"/>
        <w:snapToGrid w:val="0"/>
        <w:spacing w:line="440" w:lineRule="exact"/>
        <w:ind w:firstLine="420" w:firstLineChars="200"/>
        <w:rPr>
          <w:rFonts w:ascii="宋体" w:hAnsi="宋体"/>
          <w:color w:val="000000"/>
          <w:szCs w:val="21"/>
        </w:rPr>
      </w:pPr>
      <w:r>
        <w:rPr>
          <w:rFonts w:hint="eastAsia" w:ascii="宋体" w:hAnsi="宋体"/>
          <w:color w:val="000000"/>
          <w:szCs w:val="21"/>
        </w:rPr>
        <w:t>(1)因不可抗拒的客观原因，不能到场或需在评标中途退出评标活动。</w:t>
      </w:r>
    </w:p>
    <w:p>
      <w:pPr>
        <w:adjustRightInd w:val="0"/>
        <w:snapToGrid w:val="0"/>
        <w:spacing w:line="440" w:lineRule="exact"/>
        <w:ind w:firstLine="420" w:firstLineChars="200"/>
        <w:rPr>
          <w:rFonts w:ascii="宋体" w:hAnsi="宋体"/>
          <w:color w:val="000000"/>
          <w:szCs w:val="21"/>
        </w:rPr>
      </w:pPr>
      <w:r>
        <w:rPr>
          <w:rFonts w:hint="eastAsia" w:ascii="宋体" w:hAnsi="宋体"/>
          <w:color w:val="000000"/>
          <w:szCs w:val="21"/>
        </w:rPr>
        <w:t>(2)根据法律法规规定，某个或某几个评标委员会成员需要回避。</w:t>
      </w:r>
    </w:p>
    <w:p>
      <w:pPr>
        <w:adjustRightInd w:val="0"/>
        <w:snapToGrid w:val="0"/>
        <w:spacing w:line="440" w:lineRule="exact"/>
        <w:ind w:firstLine="420" w:firstLineChars="200"/>
        <w:rPr>
          <w:rFonts w:ascii="宋体" w:hAnsi="宋体"/>
          <w:color w:val="000000"/>
          <w:szCs w:val="21"/>
        </w:rPr>
      </w:pPr>
      <w:r>
        <w:rPr>
          <w:rFonts w:hint="eastAsia" w:ascii="黑体" w:hAnsi="宋体" w:eastAsia="黑体"/>
          <w:color w:val="000000"/>
          <w:szCs w:val="21"/>
        </w:rPr>
        <w:t>A7.</w:t>
      </w:r>
      <w:r>
        <w:rPr>
          <w:rFonts w:ascii="黑体" w:hAnsi="宋体" w:eastAsia="黑体"/>
          <w:color w:val="000000"/>
          <w:szCs w:val="21"/>
        </w:rPr>
        <w:t>2</w:t>
      </w:r>
      <w:r>
        <w:rPr>
          <w:rFonts w:hint="eastAsia" w:ascii="黑体" w:hAnsi="宋体" w:eastAsia="黑体"/>
          <w:color w:val="000000"/>
          <w:szCs w:val="21"/>
        </w:rPr>
        <w:t>.2</w:t>
      </w:r>
      <w:r>
        <w:rPr>
          <w:rFonts w:hint="eastAsia" w:ascii="宋体" w:hAnsi="宋体"/>
          <w:color w:val="000000"/>
          <w:szCs w:val="21"/>
        </w:rPr>
        <w:t>退出评标的评标委员会成员，其已完成的评标行为无效。由招标人根据本招标文件规定的评标委员会成员生产方式另行确定替代者进行评标。</w:t>
      </w:r>
    </w:p>
    <w:p>
      <w:pPr>
        <w:adjustRightInd w:val="0"/>
        <w:snapToGrid w:val="0"/>
        <w:spacing w:before="62" w:beforeLines="20" w:after="62" w:afterLines="20" w:line="440" w:lineRule="exact"/>
        <w:rPr>
          <w:rFonts w:ascii="宋体" w:hAnsi="宋体"/>
          <w:b/>
          <w:color w:val="000000"/>
          <w:szCs w:val="21"/>
        </w:rPr>
      </w:pPr>
      <w:r>
        <w:rPr>
          <w:rFonts w:hint="eastAsia" w:ascii="黑体" w:hAnsi="宋体" w:eastAsia="黑体"/>
          <w:b/>
          <w:color w:val="000000"/>
          <w:szCs w:val="21"/>
        </w:rPr>
        <w:t>A</w:t>
      </w:r>
      <w:r>
        <w:rPr>
          <w:rFonts w:ascii="黑体" w:hAnsi="宋体" w:eastAsia="黑体"/>
          <w:b/>
          <w:color w:val="000000"/>
          <w:szCs w:val="21"/>
        </w:rPr>
        <w:t>11</w:t>
      </w:r>
      <w:r>
        <w:rPr>
          <w:rFonts w:hint="eastAsia" w:ascii="黑体" w:hAnsi="宋体" w:eastAsia="黑体"/>
          <w:b/>
          <w:color w:val="000000"/>
          <w:szCs w:val="21"/>
        </w:rPr>
        <w:t>.</w:t>
      </w:r>
      <w:r>
        <w:rPr>
          <w:rFonts w:ascii="宋体" w:hAnsi="宋体"/>
          <w:b/>
          <w:color w:val="000000"/>
          <w:szCs w:val="21"/>
        </w:rPr>
        <w:t>3</w:t>
      </w:r>
      <w:r>
        <w:rPr>
          <w:rFonts w:hint="eastAsia" w:ascii="宋体" w:hAnsi="宋体"/>
          <w:b/>
          <w:color w:val="000000"/>
          <w:szCs w:val="21"/>
        </w:rPr>
        <w:t>记名投票</w:t>
      </w:r>
    </w:p>
    <w:p>
      <w:pPr>
        <w:adjustRightInd w:val="0"/>
        <w:snapToGrid w:val="0"/>
        <w:spacing w:line="440" w:lineRule="exact"/>
        <w:ind w:firstLine="420" w:firstLineChars="200"/>
        <w:rPr>
          <w:rFonts w:ascii="宋体" w:hAnsi="宋体"/>
          <w:color w:val="000000"/>
          <w:szCs w:val="21"/>
        </w:rPr>
      </w:pPr>
      <w:r>
        <w:rPr>
          <w:rFonts w:hint="eastAsia" w:ascii="宋体" w:hAnsi="宋体"/>
          <w:color w:val="000000"/>
          <w:szCs w:val="21"/>
        </w:rPr>
        <w:t>在任何评标环节中，需评标委员会就某项定性的评审结论做出表决的，由评标委员会全体成员按照少数服从多数的原则，以记名投票方式表决。</w:t>
      </w:r>
    </w:p>
    <w:p>
      <w:pPr>
        <w:adjustRightInd w:val="0"/>
        <w:snapToGrid w:val="0"/>
        <w:spacing w:line="440" w:lineRule="exact"/>
        <w:ind w:firstLine="420" w:firstLineChars="200"/>
        <w:rPr>
          <w:rFonts w:ascii="宋体" w:hAnsi="宋体"/>
          <w:color w:val="000000"/>
          <w:szCs w:val="21"/>
        </w:rPr>
      </w:pPr>
    </w:p>
    <w:p>
      <w:pPr>
        <w:adjustRightInd w:val="0"/>
        <w:snapToGrid w:val="0"/>
        <w:spacing w:line="440" w:lineRule="exact"/>
        <w:ind w:firstLine="420" w:firstLineChars="200"/>
        <w:rPr>
          <w:rFonts w:ascii="宋体" w:hAnsi="宋体"/>
          <w:color w:val="000000"/>
          <w:szCs w:val="21"/>
        </w:rPr>
      </w:pPr>
    </w:p>
    <w:p>
      <w:pPr>
        <w:adjustRightInd w:val="0"/>
        <w:snapToGrid w:val="0"/>
        <w:spacing w:line="440" w:lineRule="exact"/>
        <w:ind w:firstLine="420" w:firstLineChars="200"/>
        <w:rPr>
          <w:rFonts w:ascii="宋体" w:hAnsi="宋体"/>
          <w:color w:val="000000"/>
          <w:szCs w:val="21"/>
        </w:rPr>
      </w:pPr>
    </w:p>
    <w:p>
      <w:pPr>
        <w:adjustRightInd w:val="0"/>
        <w:snapToGrid w:val="0"/>
        <w:spacing w:line="440" w:lineRule="exact"/>
        <w:ind w:firstLine="420" w:firstLineChars="200"/>
        <w:rPr>
          <w:rFonts w:ascii="宋体" w:hAnsi="宋体"/>
          <w:color w:val="000000"/>
          <w:szCs w:val="21"/>
        </w:rPr>
      </w:pPr>
    </w:p>
    <w:p>
      <w:pPr>
        <w:adjustRightInd w:val="0"/>
        <w:snapToGrid w:val="0"/>
        <w:spacing w:line="440" w:lineRule="exact"/>
        <w:ind w:firstLine="420" w:firstLineChars="200"/>
        <w:rPr>
          <w:rFonts w:ascii="宋体" w:hAnsi="宋体"/>
          <w:color w:val="000000"/>
          <w:szCs w:val="21"/>
        </w:rPr>
      </w:pPr>
    </w:p>
    <w:p>
      <w:pPr>
        <w:adjustRightInd w:val="0"/>
        <w:snapToGrid w:val="0"/>
        <w:spacing w:line="440" w:lineRule="exact"/>
        <w:ind w:firstLine="420" w:firstLineChars="200"/>
        <w:rPr>
          <w:rFonts w:ascii="宋体" w:hAnsi="宋体"/>
          <w:color w:val="000000"/>
          <w:szCs w:val="21"/>
        </w:rPr>
      </w:pPr>
    </w:p>
    <w:p>
      <w:pPr>
        <w:adjustRightInd w:val="0"/>
        <w:snapToGrid w:val="0"/>
        <w:spacing w:line="440" w:lineRule="exact"/>
        <w:ind w:firstLine="420" w:firstLineChars="200"/>
        <w:rPr>
          <w:rFonts w:ascii="宋体" w:hAnsi="宋体"/>
          <w:color w:val="000000"/>
          <w:szCs w:val="21"/>
        </w:rPr>
      </w:pPr>
    </w:p>
    <w:p>
      <w:pPr>
        <w:adjustRightInd w:val="0"/>
        <w:snapToGrid w:val="0"/>
        <w:spacing w:line="440" w:lineRule="exact"/>
        <w:rPr>
          <w:rFonts w:ascii="宋体" w:hAnsi="宋体"/>
          <w:color w:val="000000"/>
          <w:szCs w:val="21"/>
        </w:rPr>
      </w:pPr>
    </w:p>
    <w:p>
      <w:pPr>
        <w:adjustRightInd w:val="0"/>
        <w:snapToGrid w:val="0"/>
        <w:spacing w:line="440" w:lineRule="exact"/>
        <w:rPr>
          <w:rFonts w:ascii="宋体" w:hAnsi="宋体"/>
          <w:color w:val="000000"/>
          <w:szCs w:val="21"/>
        </w:rPr>
      </w:pPr>
    </w:p>
    <w:p>
      <w:pPr>
        <w:adjustRightInd w:val="0"/>
        <w:snapToGrid w:val="0"/>
        <w:spacing w:line="440" w:lineRule="exact"/>
        <w:rPr>
          <w:rFonts w:ascii="宋体" w:hAnsi="宋体"/>
          <w:color w:val="000000"/>
          <w:szCs w:val="21"/>
        </w:rPr>
      </w:pPr>
    </w:p>
    <w:p>
      <w:pPr>
        <w:adjustRightInd w:val="0"/>
        <w:snapToGrid w:val="0"/>
        <w:spacing w:line="440" w:lineRule="exact"/>
        <w:rPr>
          <w:rFonts w:ascii="宋体" w:hAnsi="宋体"/>
          <w:color w:val="000000"/>
          <w:szCs w:val="21"/>
        </w:rPr>
      </w:pPr>
    </w:p>
    <w:p>
      <w:pPr>
        <w:adjustRightInd w:val="0"/>
        <w:snapToGrid w:val="0"/>
        <w:spacing w:line="440" w:lineRule="exact"/>
        <w:rPr>
          <w:rFonts w:ascii="宋体" w:hAnsi="宋体"/>
          <w:color w:val="000000"/>
          <w:szCs w:val="21"/>
        </w:rPr>
      </w:pPr>
    </w:p>
    <w:p>
      <w:pPr>
        <w:widowControl/>
        <w:jc w:val="left"/>
        <w:rPr>
          <w:rFonts w:ascii="黑体" w:hAnsi="宋体" w:eastAsia="黑体"/>
          <w:color w:val="000000"/>
          <w:sz w:val="24"/>
        </w:rPr>
      </w:pPr>
      <w:bookmarkStart w:id="269" w:name="_Toc114222752"/>
      <w:bookmarkStart w:id="270" w:name="_Toc504078122"/>
      <w:r>
        <w:rPr>
          <w:rFonts w:ascii="黑体" w:hAnsi="宋体" w:eastAsia="黑体"/>
          <w:color w:val="000000"/>
          <w:sz w:val="24"/>
        </w:rPr>
        <w:br w:type="page"/>
      </w:r>
    </w:p>
    <w:p>
      <w:pPr>
        <w:spacing w:before="312" w:beforeLines="100" w:after="249" w:afterLines="80" w:line="380" w:lineRule="exact"/>
        <w:outlineLvl w:val="2"/>
        <w:rPr>
          <w:rFonts w:ascii="黑体" w:hAnsi="宋体" w:eastAsia="黑体"/>
          <w:color w:val="000000"/>
          <w:sz w:val="24"/>
        </w:rPr>
      </w:pPr>
      <w:r>
        <w:rPr>
          <w:rFonts w:hint="eastAsia" w:ascii="黑体" w:hAnsi="宋体" w:eastAsia="黑体"/>
          <w:color w:val="000000"/>
          <w:sz w:val="24"/>
        </w:rPr>
        <w:t>附件B：否决投标的条件</w:t>
      </w:r>
      <w:bookmarkEnd w:id="269"/>
      <w:bookmarkEnd w:id="270"/>
    </w:p>
    <w:p>
      <w:pPr>
        <w:adjustRightInd w:val="0"/>
        <w:snapToGrid w:val="0"/>
        <w:spacing w:before="312" w:beforeLines="100" w:after="312" w:afterLines="100" w:line="440" w:lineRule="exact"/>
        <w:ind w:firstLine="560" w:firstLineChars="200"/>
        <w:jc w:val="center"/>
        <w:rPr>
          <w:rFonts w:ascii="黑体" w:hAnsi="宋体" w:eastAsia="黑体"/>
          <w:color w:val="000000"/>
          <w:sz w:val="28"/>
          <w:szCs w:val="28"/>
        </w:rPr>
      </w:pPr>
      <w:r>
        <w:rPr>
          <w:rFonts w:hint="eastAsia" w:ascii="黑体" w:hAnsi="宋体" w:eastAsia="黑体"/>
          <w:color w:val="000000"/>
          <w:sz w:val="28"/>
          <w:szCs w:val="28"/>
        </w:rPr>
        <w:t>否决投标的条件</w:t>
      </w:r>
    </w:p>
    <w:p>
      <w:pPr>
        <w:adjustRightInd w:val="0"/>
        <w:snapToGrid w:val="0"/>
        <w:spacing w:line="440" w:lineRule="exact"/>
        <w:rPr>
          <w:rFonts w:ascii="宋体" w:hAnsi="宋体"/>
          <w:b/>
          <w:color w:val="000000"/>
          <w:szCs w:val="21"/>
        </w:rPr>
      </w:pPr>
      <w:r>
        <w:rPr>
          <w:b/>
          <w:color w:val="000000"/>
          <w:szCs w:val="21"/>
        </w:rPr>
        <w:t>B0</w:t>
      </w:r>
      <w:r>
        <w:rPr>
          <w:rFonts w:hint="eastAsia" w:ascii="宋体" w:hAnsi="宋体"/>
          <w:b/>
          <w:color w:val="000000"/>
          <w:szCs w:val="21"/>
        </w:rPr>
        <w:t>.总则</w:t>
      </w:r>
    </w:p>
    <w:p>
      <w:pPr>
        <w:adjustRightInd w:val="0"/>
        <w:snapToGrid w:val="0"/>
        <w:spacing w:line="440" w:lineRule="exact"/>
        <w:ind w:firstLine="420" w:firstLineChars="200"/>
        <w:rPr>
          <w:rFonts w:ascii="宋体" w:hAnsi="宋体"/>
          <w:color w:val="000000"/>
          <w:szCs w:val="21"/>
        </w:rPr>
      </w:pPr>
      <w:r>
        <w:rPr>
          <w:rFonts w:hint="eastAsia" w:ascii="宋体" w:hAnsi="宋体"/>
          <w:color w:val="000000"/>
          <w:szCs w:val="21"/>
        </w:rPr>
        <w:t>本附件所集中列示的否决投标条件，是本章“评标办法”的组成部分，是对第二章“投标人须知”和本章正文部分所规定的否决投标条件的总结和补充，如果出现相互矛盾的情况，以第二章“投标人须知”和本章正文部分的规定为准。</w:t>
      </w:r>
    </w:p>
    <w:p>
      <w:pPr>
        <w:adjustRightInd w:val="0"/>
        <w:snapToGrid w:val="0"/>
        <w:spacing w:line="440" w:lineRule="exact"/>
        <w:rPr>
          <w:b/>
          <w:color w:val="000000"/>
          <w:szCs w:val="21"/>
        </w:rPr>
      </w:pPr>
      <w:r>
        <w:rPr>
          <w:b/>
          <w:color w:val="000000"/>
          <w:szCs w:val="21"/>
        </w:rPr>
        <w:t>B</w:t>
      </w:r>
      <w:r>
        <w:rPr>
          <w:rFonts w:hint="eastAsia"/>
          <w:b/>
          <w:color w:val="000000"/>
          <w:szCs w:val="21"/>
        </w:rPr>
        <w:t>1</w:t>
      </w:r>
      <w:r>
        <w:rPr>
          <w:rFonts w:hAnsi="宋体"/>
          <w:b/>
          <w:color w:val="000000"/>
          <w:szCs w:val="21"/>
        </w:rPr>
        <w:t>．</w:t>
      </w:r>
      <w:r>
        <w:rPr>
          <w:rFonts w:hint="eastAsia" w:hAnsi="宋体"/>
          <w:b/>
          <w:color w:val="000000"/>
          <w:szCs w:val="21"/>
        </w:rPr>
        <w:t>否决投标</w:t>
      </w:r>
      <w:r>
        <w:rPr>
          <w:rFonts w:hAnsi="宋体"/>
          <w:b/>
          <w:color w:val="000000"/>
          <w:szCs w:val="21"/>
        </w:rPr>
        <w:t>条件</w:t>
      </w:r>
    </w:p>
    <w:p>
      <w:pPr>
        <w:adjustRightInd w:val="0"/>
        <w:snapToGrid w:val="0"/>
        <w:spacing w:line="440" w:lineRule="exact"/>
        <w:ind w:firstLine="420" w:firstLineChars="200"/>
        <w:rPr>
          <w:rFonts w:ascii="宋体" w:hAnsi="宋体"/>
          <w:color w:val="000000"/>
          <w:szCs w:val="21"/>
        </w:rPr>
      </w:pPr>
      <w:r>
        <w:rPr>
          <w:rFonts w:hint="eastAsia" w:ascii="宋体" w:hAnsi="宋体"/>
          <w:color w:val="000000"/>
          <w:szCs w:val="21"/>
        </w:rPr>
        <w:t>投标人或其投标文件有下列情形之一的，否决其投标：</w:t>
      </w:r>
    </w:p>
    <w:p>
      <w:pPr>
        <w:adjustRightInd w:val="0"/>
        <w:snapToGrid w:val="0"/>
        <w:spacing w:line="440" w:lineRule="exact"/>
        <w:ind w:firstLine="420" w:firstLineChars="200"/>
        <w:rPr>
          <w:rFonts w:ascii="宋体" w:hAnsi="宋体"/>
          <w:color w:val="000000"/>
          <w:szCs w:val="21"/>
        </w:rPr>
      </w:pPr>
      <w:r>
        <w:rPr>
          <w:rFonts w:hint="eastAsia" w:ascii="宋体" w:hAnsi="宋体"/>
          <w:b/>
          <w:color w:val="000000"/>
          <w:szCs w:val="21"/>
        </w:rPr>
        <w:t>B1.</w:t>
      </w:r>
      <w:r>
        <w:rPr>
          <w:rFonts w:ascii="宋体" w:hAnsi="宋体"/>
          <w:b/>
          <w:color w:val="000000"/>
          <w:szCs w:val="21"/>
        </w:rPr>
        <w:t>1</w:t>
      </w:r>
      <w:r>
        <w:rPr>
          <w:rFonts w:hint="eastAsia" w:ascii="宋体" w:hAnsi="宋体"/>
          <w:color w:val="000000"/>
          <w:szCs w:val="21"/>
        </w:rPr>
        <w:t>有串通投标或弄虚作假或有其他违法行为的。</w:t>
      </w:r>
    </w:p>
    <w:p>
      <w:pPr>
        <w:adjustRightInd w:val="0"/>
        <w:snapToGrid w:val="0"/>
        <w:spacing w:line="440" w:lineRule="exact"/>
        <w:ind w:firstLine="420" w:firstLineChars="200"/>
        <w:rPr>
          <w:rFonts w:ascii="宋体" w:hAnsi="宋体"/>
          <w:color w:val="000000"/>
          <w:szCs w:val="21"/>
        </w:rPr>
      </w:pPr>
      <w:r>
        <w:rPr>
          <w:rFonts w:hint="eastAsia" w:ascii="宋体" w:hAnsi="宋体"/>
          <w:b/>
          <w:color w:val="000000"/>
          <w:szCs w:val="21"/>
        </w:rPr>
        <w:t>B1.</w:t>
      </w:r>
      <w:r>
        <w:rPr>
          <w:rFonts w:ascii="宋体" w:hAnsi="宋体"/>
          <w:b/>
          <w:color w:val="000000"/>
          <w:szCs w:val="21"/>
        </w:rPr>
        <w:t>2</w:t>
      </w:r>
      <w:r>
        <w:rPr>
          <w:rFonts w:hint="eastAsia" w:ascii="宋体" w:hAnsi="宋体"/>
          <w:color w:val="000000"/>
          <w:szCs w:val="21"/>
        </w:rPr>
        <w:t>不按评标委员会要求澄清、说明或补正的。</w:t>
      </w:r>
    </w:p>
    <w:p>
      <w:pPr>
        <w:adjustRightInd w:val="0"/>
        <w:snapToGrid w:val="0"/>
        <w:spacing w:line="440" w:lineRule="exact"/>
        <w:ind w:firstLine="420" w:firstLineChars="200"/>
        <w:rPr>
          <w:rFonts w:ascii="宋体" w:hAnsi="宋体"/>
          <w:color w:val="000000"/>
          <w:szCs w:val="21"/>
        </w:rPr>
      </w:pPr>
      <w:r>
        <w:rPr>
          <w:rFonts w:hint="eastAsia" w:ascii="宋体" w:hAnsi="宋体"/>
          <w:b/>
          <w:color w:val="000000"/>
          <w:szCs w:val="21"/>
        </w:rPr>
        <w:t>B1.</w:t>
      </w:r>
      <w:r>
        <w:rPr>
          <w:rFonts w:ascii="宋体" w:hAnsi="宋体"/>
          <w:b/>
          <w:color w:val="000000"/>
          <w:szCs w:val="21"/>
        </w:rPr>
        <w:t>3</w:t>
      </w:r>
      <w:r>
        <w:rPr>
          <w:rFonts w:hint="eastAsia" w:ascii="宋体" w:hAnsi="宋体"/>
          <w:color w:val="000000"/>
          <w:szCs w:val="21"/>
        </w:rPr>
        <w:t>在形式评审、资格评审</w:t>
      </w:r>
      <w:r>
        <w:rPr>
          <w:rFonts w:hint="eastAsia" w:ascii="宋体" w:hAnsi="宋体"/>
          <w:color w:val="000000"/>
          <w:szCs w:val="21"/>
          <w:lang w:eastAsia="zh-CN"/>
        </w:rPr>
        <w:t>（</w:t>
      </w:r>
      <w:r>
        <w:rPr>
          <w:rFonts w:hint="eastAsia" w:ascii="宋体" w:hAnsi="宋体"/>
          <w:color w:val="000000"/>
          <w:szCs w:val="21"/>
        </w:rPr>
        <w:t>适用于未进行资格预审的</w:t>
      </w:r>
      <w:r>
        <w:rPr>
          <w:rFonts w:hint="eastAsia" w:ascii="宋体" w:hAnsi="宋体"/>
          <w:color w:val="000000"/>
          <w:szCs w:val="21"/>
          <w:lang w:eastAsia="zh-CN"/>
        </w:rPr>
        <w:t>）</w:t>
      </w:r>
      <w:r>
        <w:rPr>
          <w:rFonts w:hint="eastAsia" w:ascii="宋体" w:hAnsi="宋体"/>
          <w:color w:val="000000"/>
          <w:szCs w:val="21"/>
        </w:rPr>
        <w:t>、响应性评审中，交易平台或评标委员会认定投标人的投标不符合评标办法前附表中规定的任何一项评审标准的。</w:t>
      </w:r>
    </w:p>
    <w:p>
      <w:pPr>
        <w:ind w:firstLine="426"/>
        <w:rPr>
          <w:rFonts w:ascii="宋体" w:hAnsi="宋体"/>
          <w:color w:val="000000"/>
          <w:szCs w:val="21"/>
        </w:rPr>
      </w:pPr>
      <w:r>
        <w:rPr>
          <w:rFonts w:hint="eastAsia" w:ascii="宋体" w:hAnsi="宋体"/>
          <w:b/>
          <w:color w:val="000000"/>
          <w:szCs w:val="21"/>
        </w:rPr>
        <w:t>B1.</w:t>
      </w:r>
      <w:r>
        <w:rPr>
          <w:rFonts w:ascii="宋体" w:hAnsi="宋体"/>
          <w:b/>
          <w:color w:val="000000"/>
          <w:szCs w:val="21"/>
        </w:rPr>
        <w:t>4</w:t>
      </w:r>
      <w:r>
        <w:rPr>
          <w:rFonts w:hint="eastAsia" w:ascii="宋体" w:hAnsi="宋体"/>
          <w:color w:val="000000"/>
          <w:szCs w:val="21"/>
        </w:rPr>
        <w:t>投标报价文件由投标人自行编制的，应当由注册在本企业的造价人员（造价师或造价员）签字并加盖执业专用章；投标人委托他人编制投标报价文件的，应当委托具有相应资质的工程造价咨询单位编制并在投标文件中附有委托合同，其投标报价文件应当注明委托人和被委托人并加盖各自的法人公章，同时应由被委托人的注册造价工程师签字并加盖执业专用章。</w:t>
      </w:r>
    </w:p>
    <w:p>
      <w:pPr>
        <w:ind w:firstLine="426"/>
        <w:rPr>
          <w:rFonts w:ascii="宋体" w:hAnsi="宋体"/>
          <w:color w:val="000000"/>
          <w:szCs w:val="21"/>
        </w:rPr>
      </w:pPr>
      <w:r>
        <w:rPr>
          <w:rFonts w:hint="eastAsia" w:ascii="宋体" w:hAnsi="宋体"/>
          <w:color w:val="000000"/>
          <w:szCs w:val="21"/>
        </w:rPr>
        <w:t>工程造价咨询机构在同一招标项目中，只可以接受招标人或一个投标人的委托并编制招标控制价或投标报价，不得为同一招标项目的两个或者两个以上投标人编制投标报价，亦不得既为招标人编制招标控制价同时又为投标人编制投标报价，否则其编制的招标控制价和投标报价无效并视为存在相互串通投标行为。</w:t>
      </w:r>
    </w:p>
    <w:p>
      <w:pPr>
        <w:adjustRightInd w:val="0"/>
        <w:snapToGrid w:val="0"/>
        <w:spacing w:line="440" w:lineRule="exact"/>
        <w:ind w:firstLine="420" w:firstLineChars="200"/>
        <w:rPr>
          <w:rFonts w:ascii="宋体" w:hAnsi="宋体"/>
          <w:color w:val="000000"/>
          <w:szCs w:val="21"/>
        </w:rPr>
      </w:pPr>
      <w:r>
        <w:rPr>
          <w:rFonts w:hint="eastAsia" w:ascii="宋体" w:hAnsi="宋体"/>
          <w:b/>
          <w:color w:val="000000"/>
          <w:szCs w:val="21"/>
        </w:rPr>
        <w:t>B1.</w:t>
      </w:r>
      <w:r>
        <w:rPr>
          <w:rFonts w:ascii="宋体" w:hAnsi="宋体"/>
          <w:b/>
          <w:color w:val="000000"/>
          <w:szCs w:val="21"/>
        </w:rPr>
        <w:t>5</w:t>
      </w:r>
      <w:r>
        <w:rPr>
          <w:rFonts w:hint="eastAsia" w:ascii="宋体" w:hAnsi="宋体"/>
          <w:color w:val="000000"/>
          <w:szCs w:val="21"/>
        </w:rPr>
        <w:t>投标文件中的投标函未加盖投标人的公章及法定代表人印章</w:t>
      </w:r>
      <w:r>
        <w:rPr>
          <w:rFonts w:hint="eastAsia" w:ascii="宋体" w:hAnsi="宋体"/>
          <w:color w:val="000000"/>
          <w:szCs w:val="21"/>
          <w:lang w:eastAsia="zh-CN"/>
        </w:rPr>
        <w:t>（</w:t>
      </w:r>
      <w:r>
        <w:rPr>
          <w:rFonts w:hint="eastAsia" w:ascii="宋体" w:hAnsi="宋体"/>
          <w:color w:val="000000"/>
          <w:szCs w:val="21"/>
        </w:rPr>
        <w:t>签字</w:t>
      </w:r>
      <w:r>
        <w:rPr>
          <w:rFonts w:hint="eastAsia" w:ascii="宋体" w:hAnsi="宋体"/>
          <w:color w:val="000000"/>
          <w:szCs w:val="21"/>
          <w:lang w:eastAsia="zh-CN"/>
        </w:rPr>
        <w:t>）</w:t>
      </w:r>
      <w:r>
        <w:rPr>
          <w:rFonts w:hint="eastAsia" w:ascii="宋体" w:hAnsi="宋体"/>
          <w:color w:val="000000"/>
          <w:szCs w:val="21"/>
        </w:rPr>
        <w:t>或企业法定代表人的委托代理人没有合法、有效的委托书原件及委托代理人印章</w:t>
      </w:r>
      <w:r>
        <w:rPr>
          <w:rFonts w:hint="eastAsia" w:ascii="宋体" w:hAnsi="宋体"/>
          <w:color w:val="000000"/>
          <w:szCs w:val="21"/>
          <w:lang w:eastAsia="zh-CN"/>
        </w:rPr>
        <w:t>（</w:t>
      </w:r>
      <w:r>
        <w:rPr>
          <w:rFonts w:hint="eastAsia" w:ascii="宋体" w:hAnsi="宋体"/>
          <w:color w:val="000000"/>
          <w:szCs w:val="21"/>
        </w:rPr>
        <w:t>签字</w:t>
      </w:r>
      <w:r>
        <w:rPr>
          <w:rFonts w:hint="eastAsia" w:ascii="宋体" w:hAnsi="宋体"/>
          <w:color w:val="000000"/>
          <w:szCs w:val="21"/>
          <w:lang w:eastAsia="zh-CN"/>
        </w:rPr>
        <w:t>）</w:t>
      </w:r>
      <w:r>
        <w:rPr>
          <w:rFonts w:hint="eastAsia" w:ascii="宋体" w:hAnsi="宋体"/>
          <w:color w:val="000000"/>
          <w:szCs w:val="21"/>
        </w:rPr>
        <w:t>的；</w:t>
      </w:r>
    </w:p>
    <w:p>
      <w:pPr>
        <w:adjustRightInd w:val="0"/>
        <w:snapToGrid w:val="0"/>
        <w:spacing w:line="440" w:lineRule="exact"/>
        <w:ind w:firstLine="420" w:firstLineChars="200"/>
        <w:rPr>
          <w:rFonts w:ascii="宋体" w:hAnsi="宋体"/>
          <w:color w:val="000000"/>
          <w:szCs w:val="21"/>
        </w:rPr>
      </w:pPr>
      <w:r>
        <w:rPr>
          <w:rFonts w:hint="eastAsia" w:ascii="宋体" w:hAnsi="宋体"/>
          <w:b/>
          <w:color w:val="000000"/>
          <w:szCs w:val="21"/>
        </w:rPr>
        <w:t>B1.</w:t>
      </w:r>
      <w:r>
        <w:rPr>
          <w:rFonts w:ascii="宋体" w:hAnsi="宋体"/>
          <w:b/>
          <w:color w:val="000000"/>
          <w:szCs w:val="21"/>
        </w:rPr>
        <w:t>6</w:t>
      </w:r>
      <w:r>
        <w:rPr>
          <w:rFonts w:hint="eastAsia" w:ascii="宋体" w:hAnsi="宋体"/>
          <w:color w:val="000000"/>
          <w:szCs w:val="21"/>
        </w:rPr>
        <w:t>成联合体投标的，投标文件未附联合体协议或联合体协议不符合有关规定的；</w:t>
      </w:r>
    </w:p>
    <w:p>
      <w:pPr>
        <w:adjustRightInd w:val="0"/>
        <w:snapToGrid w:val="0"/>
        <w:spacing w:line="440" w:lineRule="exact"/>
        <w:ind w:firstLine="420" w:firstLineChars="200"/>
        <w:rPr>
          <w:rFonts w:ascii="宋体" w:hAnsi="宋体"/>
          <w:color w:val="000000"/>
          <w:szCs w:val="21"/>
        </w:rPr>
      </w:pPr>
      <w:r>
        <w:rPr>
          <w:rFonts w:hint="eastAsia" w:ascii="宋体" w:hAnsi="宋体"/>
          <w:b/>
          <w:color w:val="000000"/>
          <w:szCs w:val="21"/>
        </w:rPr>
        <w:t>B1.</w:t>
      </w:r>
      <w:r>
        <w:rPr>
          <w:rFonts w:ascii="宋体" w:hAnsi="宋体"/>
          <w:b/>
          <w:color w:val="000000"/>
          <w:szCs w:val="21"/>
        </w:rPr>
        <w:t>7</w:t>
      </w:r>
      <w:r>
        <w:rPr>
          <w:rFonts w:hint="eastAsia" w:ascii="宋体" w:hAnsi="宋体"/>
          <w:color w:val="000000"/>
          <w:szCs w:val="21"/>
        </w:rPr>
        <w:t>投标人资格条件不符合国家有关规定或招标文件要求的；</w:t>
      </w:r>
    </w:p>
    <w:p>
      <w:pPr>
        <w:adjustRightInd w:val="0"/>
        <w:snapToGrid w:val="0"/>
        <w:spacing w:line="440" w:lineRule="exact"/>
        <w:ind w:firstLine="420" w:firstLineChars="200"/>
        <w:rPr>
          <w:rFonts w:ascii="宋体" w:hAnsi="宋体"/>
          <w:color w:val="000000"/>
          <w:szCs w:val="21"/>
        </w:rPr>
      </w:pPr>
      <w:r>
        <w:rPr>
          <w:rFonts w:hint="eastAsia" w:ascii="宋体" w:hAnsi="宋体"/>
          <w:b/>
          <w:color w:val="000000"/>
          <w:szCs w:val="21"/>
        </w:rPr>
        <w:t>B1.</w:t>
      </w:r>
      <w:r>
        <w:rPr>
          <w:rFonts w:ascii="宋体" w:hAnsi="宋体"/>
          <w:b/>
          <w:color w:val="000000"/>
          <w:szCs w:val="21"/>
        </w:rPr>
        <w:t>8</w:t>
      </w:r>
      <w:r>
        <w:rPr>
          <w:rFonts w:hint="eastAsia" w:ascii="宋体" w:hAnsi="宋体"/>
          <w:color w:val="000000"/>
          <w:szCs w:val="21"/>
        </w:rPr>
        <w:t>投标报价高于招标控制价</w:t>
      </w:r>
      <w:r>
        <w:rPr>
          <w:rFonts w:hint="eastAsia" w:ascii="宋体" w:hAnsi="宋体"/>
          <w:color w:val="000000"/>
          <w:szCs w:val="21"/>
          <w:lang w:eastAsia="zh-CN"/>
        </w:rPr>
        <w:t>的</w:t>
      </w:r>
      <w:r>
        <w:rPr>
          <w:rFonts w:hint="eastAsia" w:ascii="宋体" w:hAnsi="宋体"/>
          <w:color w:val="000000"/>
          <w:szCs w:val="21"/>
        </w:rPr>
        <w:t>；</w:t>
      </w:r>
    </w:p>
    <w:p>
      <w:pPr>
        <w:adjustRightInd w:val="0"/>
        <w:snapToGrid w:val="0"/>
        <w:spacing w:line="440" w:lineRule="exact"/>
        <w:ind w:firstLine="420" w:firstLineChars="200"/>
        <w:rPr>
          <w:rFonts w:ascii="宋体" w:hAnsi="宋体"/>
          <w:color w:val="000000"/>
          <w:szCs w:val="21"/>
        </w:rPr>
      </w:pPr>
      <w:r>
        <w:rPr>
          <w:rFonts w:hint="eastAsia" w:ascii="宋体" w:hAnsi="宋体"/>
          <w:b/>
          <w:color w:val="000000"/>
          <w:szCs w:val="21"/>
        </w:rPr>
        <w:t>B1.</w:t>
      </w:r>
      <w:r>
        <w:rPr>
          <w:rFonts w:ascii="宋体" w:hAnsi="宋体"/>
          <w:b/>
          <w:color w:val="000000"/>
          <w:szCs w:val="21"/>
        </w:rPr>
        <w:t>9</w:t>
      </w:r>
      <w:r>
        <w:rPr>
          <w:rFonts w:hint="eastAsia" w:ascii="宋体" w:hAnsi="宋体"/>
          <w:color w:val="000000"/>
          <w:szCs w:val="21"/>
        </w:rPr>
        <w:t>投标报价中暂估价、暂列金额及专业工程造价与招标文件规定不一致的；</w:t>
      </w:r>
    </w:p>
    <w:p>
      <w:pPr>
        <w:adjustRightInd w:val="0"/>
        <w:snapToGrid w:val="0"/>
        <w:spacing w:line="440" w:lineRule="exact"/>
        <w:ind w:firstLine="420" w:firstLineChars="200"/>
        <w:rPr>
          <w:rFonts w:ascii="宋体" w:hAnsi="宋体"/>
          <w:color w:val="000000"/>
          <w:szCs w:val="21"/>
        </w:rPr>
      </w:pPr>
      <w:r>
        <w:rPr>
          <w:rFonts w:hint="eastAsia" w:ascii="宋体" w:hAnsi="宋体"/>
          <w:b/>
          <w:color w:val="000000"/>
          <w:szCs w:val="21"/>
        </w:rPr>
        <w:t>B1.1</w:t>
      </w:r>
      <w:r>
        <w:rPr>
          <w:rFonts w:ascii="宋体" w:hAnsi="宋体"/>
          <w:b/>
          <w:color w:val="000000"/>
          <w:szCs w:val="21"/>
        </w:rPr>
        <w:t>0</w:t>
      </w:r>
      <w:r>
        <w:rPr>
          <w:rFonts w:hint="eastAsia" w:ascii="宋体" w:hAnsi="宋体"/>
          <w:color w:val="000000"/>
          <w:szCs w:val="21"/>
        </w:rPr>
        <w:t>投标报价中不可竞争费用项目或费率计算或计算基础与招标文件不一致的；</w:t>
      </w:r>
    </w:p>
    <w:p>
      <w:pPr>
        <w:adjustRightInd w:val="0"/>
        <w:snapToGrid w:val="0"/>
        <w:spacing w:line="440" w:lineRule="exact"/>
        <w:ind w:firstLine="420" w:firstLineChars="200"/>
        <w:rPr>
          <w:rFonts w:ascii="宋体" w:hAnsi="宋体"/>
          <w:color w:val="000000"/>
          <w:szCs w:val="21"/>
        </w:rPr>
      </w:pPr>
      <w:r>
        <w:rPr>
          <w:rFonts w:hint="eastAsia" w:ascii="宋体" w:hAnsi="宋体"/>
          <w:b/>
          <w:color w:val="000000"/>
          <w:szCs w:val="21"/>
        </w:rPr>
        <w:t>B1.1</w:t>
      </w:r>
      <w:r>
        <w:rPr>
          <w:rFonts w:ascii="宋体" w:hAnsi="宋体"/>
          <w:b/>
          <w:color w:val="000000"/>
          <w:szCs w:val="21"/>
        </w:rPr>
        <w:t>1</w:t>
      </w:r>
      <w:r>
        <w:rPr>
          <w:rFonts w:hint="eastAsia" w:ascii="宋体" w:hAnsi="宋体"/>
          <w:color w:val="000000"/>
          <w:szCs w:val="21"/>
        </w:rPr>
        <w:t>投标报价中最终体现的人工工资单价低于省住房和城乡建设厅发布的人工工资单价的；</w:t>
      </w:r>
    </w:p>
    <w:p>
      <w:pPr>
        <w:adjustRightInd w:val="0"/>
        <w:snapToGrid w:val="0"/>
        <w:spacing w:line="440" w:lineRule="exact"/>
        <w:ind w:firstLine="420" w:firstLineChars="200"/>
        <w:rPr>
          <w:rFonts w:ascii="宋体" w:hAnsi="宋体"/>
          <w:color w:val="000000"/>
          <w:szCs w:val="21"/>
        </w:rPr>
      </w:pPr>
      <w:r>
        <w:rPr>
          <w:rFonts w:hint="eastAsia" w:ascii="宋体" w:hAnsi="宋体"/>
          <w:b/>
          <w:color w:val="000000"/>
          <w:szCs w:val="21"/>
        </w:rPr>
        <w:t>B1.</w:t>
      </w:r>
      <w:r>
        <w:rPr>
          <w:rFonts w:ascii="宋体" w:hAnsi="宋体"/>
          <w:b/>
          <w:color w:val="000000"/>
          <w:szCs w:val="21"/>
        </w:rPr>
        <w:t>12</w:t>
      </w:r>
      <w:r>
        <w:rPr>
          <w:rFonts w:hint="eastAsia" w:ascii="宋体" w:hAnsi="宋体"/>
          <w:color w:val="000000"/>
          <w:szCs w:val="21"/>
        </w:rPr>
        <w:t>工程量清单中项目编码、项目名称、项目特征、计量单位、工程数量与招标文件提供的不一致的；</w:t>
      </w:r>
    </w:p>
    <w:p>
      <w:pPr>
        <w:adjustRightInd w:val="0"/>
        <w:snapToGrid w:val="0"/>
        <w:spacing w:line="440" w:lineRule="exact"/>
        <w:ind w:firstLine="420" w:firstLineChars="200"/>
        <w:rPr>
          <w:rFonts w:ascii="宋体" w:hAnsi="宋体"/>
          <w:color w:val="000000"/>
          <w:szCs w:val="21"/>
        </w:rPr>
      </w:pPr>
      <w:r>
        <w:rPr>
          <w:rFonts w:hint="eastAsia" w:ascii="宋体" w:hAnsi="宋体"/>
          <w:b/>
          <w:color w:val="000000"/>
          <w:szCs w:val="21"/>
        </w:rPr>
        <w:t>B1.1</w:t>
      </w:r>
      <w:r>
        <w:rPr>
          <w:rFonts w:ascii="宋体" w:hAnsi="宋体"/>
          <w:b/>
          <w:color w:val="000000"/>
          <w:szCs w:val="21"/>
        </w:rPr>
        <w:t>3</w:t>
      </w:r>
      <w:r>
        <w:rPr>
          <w:rFonts w:hint="eastAsia" w:ascii="宋体" w:hAnsi="宋体"/>
          <w:color w:val="000000"/>
          <w:szCs w:val="21"/>
        </w:rPr>
        <w:t>没有按照招标文件要求提供投标保证金或提供的投标保证金不符合有关规定的；</w:t>
      </w:r>
    </w:p>
    <w:p>
      <w:pPr>
        <w:adjustRightInd w:val="0"/>
        <w:snapToGrid w:val="0"/>
        <w:spacing w:line="440" w:lineRule="exact"/>
        <w:ind w:firstLine="420" w:firstLineChars="200"/>
        <w:rPr>
          <w:rFonts w:ascii="宋体" w:hAnsi="宋体"/>
          <w:color w:val="000000"/>
          <w:szCs w:val="21"/>
        </w:rPr>
      </w:pPr>
      <w:r>
        <w:rPr>
          <w:rFonts w:hint="eastAsia" w:ascii="宋体" w:hAnsi="宋体"/>
          <w:b/>
          <w:color w:val="000000"/>
          <w:szCs w:val="21"/>
        </w:rPr>
        <w:t>B1.</w:t>
      </w:r>
      <w:r>
        <w:rPr>
          <w:rFonts w:ascii="宋体" w:hAnsi="宋体"/>
          <w:b/>
          <w:color w:val="000000"/>
          <w:szCs w:val="21"/>
        </w:rPr>
        <w:t>14</w:t>
      </w:r>
      <w:r>
        <w:rPr>
          <w:rFonts w:hint="eastAsia" w:ascii="宋体" w:hAnsi="宋体"/>
          <w:color w:val="000000"/>
          <w:szCs w:val="21"/>
        </w:rPr>
        <w:t>投标文件载明的招标项目完成期限超过招标文件规定的期限的；</w:t>
      </w:r>
    </w:p>
    <w:p>
      <w:pPr>
        <w:adjustRightInd w:val="0"/>
        <w:snapToGrid w:val="0"/>
        <w:spacing w:line="440" w:lineRule="exact"/>
        <w:ind w:firstLine="420" w:firstLineChars="200"/>
        <w:rPr>
          <w:rFonts w:ascii="宋体" w:hAnsi="宋体"/>
          <w:color w:val="000000"/>
          <w:szCs w:val="21"/>
        </w:rPr>
      </w:pPr>
      <w:r>
        <w:rPr>
          <w:rFonts w:hint="eastAsia" w:ascii="宋体" w:hAnsi="宋体"/>
          <w:b/>
          <w:color w:val="000000"/>
          <w:szCs w:val="21"/>
        </w:rPr>
        <w:t>B1.</w:t>
      </w:r>
      <w:r>
        <w:rPr>
          <w:rFonts w:ascii="宋体" w:hAnsi="宋体"/>
          <w:b/>
          <w:color w:val="000000"/>
          <w:szCs w:val="21"/>
        </w:rPr>
        <w:t>15</w:t>
      </w:r>
      <w:r>
        <w:rPr>
          <w:rFonts w:ascii="宋体" w:hAnsi="宋体"/>
          <w:b/>
          <w:color w:val="000000"/>
          <w:szCs w:val="21"/>
        </w:rPr>
        <w:tab/>
      </w:r>
      <w:r>
        <w:rPr>
          <w:rFonts w:hint="eastAsia" w:ascii="宋体" w:hAnsi="宋体"/>
          <w:color w:val="000000"/>
          <w:szCs w:val="21"/>
        </w:rPr>
        <w:t>未按招标文件要求提供电子投标文件，或投标文件未能解密且按照招标文件明确的投标文件解密失败的补救方案补救不成功的；</w:t>
      </w:r>
    </w:p>
    <w:p>
      <w:pPr>
        <w:adjustRightInd w:val="0"/>
        <w:snapToGrid w:val="0"/>
        <w:spacing w:line="440" w:lineRule="exact"/>
        <w:ind w:firstLine="420" w:firstLineChars="200"/>
        <w:rPr>
          <w:rFonts w:hint="eastAsia" w:ascii="宋体" w:hAnsi="宋体" w:eastAsia="宋体"/>
          <w:color w:val="000000"/>
          <w:szCs w:val="21"/>
          <w:lang w:eastAsia="zh-CN"/>
        </w:rPr>
      </w:pPr>
      <w:r>
        <w:rPr>
          <w:rFonts w:hint="eastAsia" w:ascii="宋体" w:hAnsi="宋体"/>
          <w:b/>
          <w:color w:val="000000"/>
          <w:szCs w:val="21"/>
        </w:rPr>
        <w:t>B1.</w:t>
      </w:r>
      <w:r>
        <w:rPr>
          <w:rFonts w:ascii="宋体" w:hAnsi="宋体"/>
          <w:b/>
          <w:color w:val="000000"/>
          <w:szCs w:val="21"/>
        </w:rPr>
        <w:t>16</w:t>
      </w:r>
      <w:r>
        <w:rPr>
          <w:rFonts w:hint="eastAsia" w:ascii="宋体" w:hAnsi="宋体"/>
          <w:color w:val="000000"/>
          <w:szCs w:val="21"/>
        </w:rPr>
        <w:t>不同的投标文件以及投标文件制作过程出现了评标委员会认为不应当雷同的情况的；</w:t>
      </w:r>
    </w:p>
    <w:p>
      <w:pPr>
        <w:adjustRightInd w:val="0"/>
        <w:snapToGrid w:val="0"/>
        <w:spacing w:line="440" w:lineRule="exact"/>
        <w:ind w:firstLine="420" w:firstLineChars="200"/>
        <w:rPr>
          <w:rFonts w:ascii="宋体" w:hAnsi="宋体"/>
          <w:color w:val="000000"/>
          <w:szCs w:val="21"/>
        </w:rPr>
      </w:pPr>
      <w:r>
        <w:rPr>
          <w:rFonts w:hint="eastAsia" w:ascii="宋体" w:hAnsi="宋体"/>
          <w:b/>
          <w:color w:val="000000"/>
          <w:szCs w:val="21"/>
        </w:rPr>
        <w:t>B1.</w:t>
      </w:r>
      <w:r>
        <w:rPr>
          <w:rFonts w:ascii="宋体" w:hAnsi="宋体"/>
          <w:b/>
          <w:color w:val="000000"/>
          <w:szCs w:val="21"/>
        </w:rPr>
        <w:t>17</w:t>
      </w:r>
      <w:r>
        <w:rPr>
          <w:rFonts w:ascii="宋体" w:hAnsi="宋体"/>
          <w:color w:val="000000"/>
          <w:szCs w:val="21"/>
        </w:rPr>
        <w:tab/>
      </w:r>
      <w:r>
        <w:rPr>
          <w:rFonts w:hint="eastAsia" w:ascii="宋体" w:hAnsi="宋体"/>
          <w:color w:val="000000"/>
          <w:szCs w:val="21"/>
        </w:rPr>
        <w:t>以他人的名义投标、串通投标、以行贿手段谋取中标或以其他弄虚作假方式投标的；</w:t>
      </w:r>
    </w:p>
    <w:p>
      <w:pPr>
        <w:adjustRightInd w:val="0"/>
        <w:snapToGrid w:val="0"/>
        <w:spacing w:line="440" w:lineRule="exact"/>
        <w:ind w:firstLine="420" w:firstLineChars="200"/>
        <w:rPr>
          <w:rFonts w:ascii="宋体" w:hAnsi="宋体"/>
          <w:color w:val="000000"/>
          <w:szCs w:val="21"/>
        </w:rPr>
      </w:pPr>
      <w:r>
        <w:rPr>
          <w:rFonts w:hint="eastAsia" w:ascii="宋体" w:hAnsi="宋体"/>
          <w:b/>
          <w:color w:val="000000"/>
          <w:szCs w:val="21"/>
        </w:rPr>
        <w:t>B1.</w:t>
      </w:r>
      <w:r>
        <w:rPr>
          <w:rFonts w:ascii="宋体" w:hAnsi="宋体"/>
          <w:b/>
          <w:color w:val="000000"/>
          <w:szCs w:val="21"/>
        </w:rPr>
        <w:t>18</w:t>
      </w:r>
      <w:r>
        <w:rPr>
          <w:rFonts w:ascii="宋体" w:hAnsi="宋体"/>
          <w:color w:val="000000"/>
          <w:szCs w:val="21"/>
        </w:rPr>
        <w:tab/>
      </w:r>
      <w:r>
        <w:rPr>
          <w:rFonts w:hint="eastAsia" w:ascii="宋体" w:hAnsi="宋体"/>
          <w:color w:val="000000"/>
          <w:szCs w:val="21"/>
        </w:rPr>
        <w:t>投标前未在省住房和城乡建设厅网站（</w:t>
      </w:r>
      <w:r>
        <w:rPr>
          <w:rFonts w:hint="eastAsia" w:ascii="宋体" w:hAnsi="宋体"/>
          <w:color w:val="000000"/>
          <w:szCs w:val="21"/>
          <w:lang w:eastAsia="zh-CN"/>
        </w:rPr>
        <w:t>http://zjt.hainan.gov.cn/</w:t>
      </w:r>
      <w:r>
        <w:rPr>
          <w:rFonts w:hint="eastAsia" w:ascii="宋体" w:hAnsi="宋体"/>
          <w:color w:val="000000"/>
          <w:szCs w:val="21"/>
        </w:rPr>
        <w:t>）申请</w:t>
      </w:r>
      <w:r>
        <w:rPr>
          <w:rFonts w:ascii="宋体" w:hAnsi="宋体"/>
          <w:color w:val="000000"/>
          <w:szCs w:val="21"/>
        </w:rPr>
        <w:t>《海南省建筑企业诚信档案手册》</w:t>
      </w:r>
      <w:r>
        <w:rPr>
          <w:rFonts w:hint="eastAsia" w:ascii="宋体" w:hAnsi="宋体"/>
          <w:color w:val="000000"/>
          <w:szCs w:val="21"/>
        </w:rPr>
        <w:t>的</w:t>
      </w:r>
    </w:p>
    <w:p>
      <w:pPr>
        <w:adjustRightInd w:val="0"/>
        <w:snapToGrid w:val="0"/>
        <w:spacing w:line="440" w:lineRule="exact"/>
        <w:ind w:firstLine="420" w:firstLineChars="200"/>
        <w:rPr>
          <w:rFonts w:ascii="宋体" w:hAnsi="宋体"/>
          <w:color w:val="000000"/>
          <w:szCs w:val="21"/>
        </w:rPr>
      </w:pPr>
      <w:r>
        <w:rPr>
          <w:rFonts w:hint="eastAsia" w:ascii="宋体" w:hAnsi="宋体"/>
          <w:b/>
          <w:color w:val="000000"/>
          <w:szCs w:val="21"/>
        </w:rPr>
        <w:t>B1.</w:t>
      </w:r>
      <w:r>
        <w:rPr>
          <w:rFonts w:ascii="宋体" w:hAnsi="宋体"/>
          <w:b/>
          <w:color w:val="000000"/>
          <w:szCs w:val="21"/>
        </w:rPr>
        <w:t>19</w:t>
      </w:r>
      <w:r>
        <w:rPr>
          <w:rFonts w:hint="eastAsia" w:ascii="宋体" w:hAnsi="宋体"/>
          <w:color w:val="000000"/>
          <w:szCs w:val="21"/>
        </w:rPr>
        <w:t>被有关行政监督部门依法取消参加依法必须进行招标的项目的投标资格的或失信被列入限制投标资格的；</w:t>
      </w:r>
    </w:p>
    <w:p>
      <w:pPr>
        <w:spacing w:line="430" w:lineRule="exact"/>
        <w:ind w:firstLine="420" w:firstLineChars="200"/>
        <w:rPr>
          <w:rFonts w:ascii="宋体" w:hAnsi="宋体" w:cs="宋体"/>
          <w:color w:val="000000"/>
          <w:kern w:val="0"/>
          <w:szCs w:val="21"/>
        </w:rPr>
      </w:pPr>
      <w:r>
        <w:rPr>
          <w:rFonts w:hint="eastAsia" w:ascii="宋体" w:hAnsi="宋体"/>
          <w:b/>
          <w:color w:val="000000"/>
          <w:szCs w:val="21"/>
        </w:rPr>
        <w:t>B1.2</w:t>
      </w:r>
      <w:r>
        <w:rPr>
          <w:rFonts w:ascii="宋体" w:hAnsi="宋体"/>
          <w:b/>
          <w:color w:val="000000"/>
          <w:szCs w:val="21"/>
        </w:rPr>
        <w:t>0</w:t>
      </w:r>
      <w:r>
        <w:rPr>
          <w:rFonts w:ascii="宋体" w:hAnsi="宋体"/>
          <w:color w:val="000000"/>
          <w:szCs w:val="21"/>
        </w:rPr>
        <w:tab/>
      </w:r>
      <w:r>
        <w:rPr>
          <w:rFonts w:hint="eastAsia" w:ascii="宋体" w:hAnsi="宋体"/>
          <w:color w:val="000000"/>
          <w:szCs w:val="21"/>
        </w:rPr>
        <w:t>法律、法规规定的其他应当否决其投标情形。</w:t>
      </w:r>
    </w:p>
    <w:p>
      <w:pPr>
        <w:adjustRightInd w:val="0"/>
        <w:snapToGrid w:val="0"/>
        <w:spacing w:line="440" w:lineRule="exact"/>
        <w:ind w:firstLine="420" w:firstLineChars="200"/>
        <w:rPr>
          <w:rFonts w:ascii="宋体" w:hAnsi="宋体"/>
          <w:color w:val="000000"/>
          <w:szCs w:val="21"/>
        </w:rPr>
      </w:pPr>
    </w:p>
    <w:p>
      <w:pPr>
        <w:adjustRightInd w:val="0"/>
        <w:snapToGrid w:val="0"/>
        <w:spacing w:line="440" w:lineRule="exact"/>
        <w:ind w:firstLine="420" w:firstLineChars="200"/>
        <w:rPr>
          <w:rFonts w:ascii="宋体" w:hAnsi="宋体"/>
          <w:color w:val="000000"/>
          <w:szCs w:val="21"/>
        </w:rPr>
      </w:pPr>
    </w:p>
    <w:p>
      <w:pPr>
        <w:adjustRightInd w:val="0"/>
        <w:snapToGrid w:val="0"/>
        <w:spacing w:line="440" w:lineRule="exact"/>
        <w:ind w:firstLine="420" w:firstLineChars="200"/>
        <w:rPr>
          <w:rFonts w:ascii="宋体" w:hAnsi="宋体"/>
          <w:color w:val="000000"/>
          <w:szCs w:val="21"/>
        </w:rPr>
      </w:pPr>
    </w:p>
    <w:p>
      <w:pPr>
        <w:adjustRightInd w:val="0"/>
        <w:snapToGrid w:val="0"/>
        <w:spacing w:line="440" w:lineRule="exact"/>
        <w:ind w:firstLine="420" w:firstLineChars="200"/>
        <w:rPr>
          <w:rFonts w:ascii="宋体" w:hAnsi="宋体"/>
          <w:color w:val="000000"/>
          <w:szCs w:val="21"/>
        </w:rPr>
      </w:pPr>
    </w:p>
    <w:p>
      <w:pPr>
        <w:adjustRightInd w:val="0"/>
        <w:snapToGrid w:val="0"/>
        <w:spacing w:line="440" w:lineRule="exact"/>
        <w:ind w:firstLine="420" w:firstLineChars="200"/>
        <w:rPr>
          <w:rFonts w:ascii="宋体" w:hAnsi="宋体"/>
          <w:color w:val="000000"/>
          <w:szCs w:val="21"/>
        </w:rPr>
      </w:pPr>
    </w:p>
    <w:p>
      <w:pPr>
        <w:adjustRightInd w:val="0"/>
        <w:snapToGrid w:val="0"/>
        <w:spacing w:line="440" w:lineRule="exact"/>
        <w:ind w:firstLine="420" w:firstLineChars="200"/>
        <w:rPr>
          <w:rFonts w:ascii="宋体" w:hAnsi="宋体"/>
          <w:color w:val="000000"/>
          <w:szCs w:val="21"/>
        </w:rPr>
      </w:pPr>
    </w:p>
    <w:p>
      <w:pPr>
        <w:adjustRightInd w:val="0"/>
        <w:snapToGrid w:val="0"/>
        <w:spacing w:line="440" w:lineRule="exact"/>
        <w:ind w:firstLine="420" w:firstLineChars="200"/>
        <w:rPr>
          <w:rFonts w:ascii="宋体" w:hAnsi="宋体"/>
          <w:color w:val="000000"/>
          <w:szCs w:val="21"/>
        </w:rPr>
      </w:pPr>
    </w:p>
    <w:p>
      <w:pPr>
        <w:adjustRightInd w:val="0"/>
        <w:snapToGrid w:val="0"/>
        <w:spacing w:line="440" w:lineRule="exact"/>
        <w:ind w:firstLine="420" w:firstLineChars="200"/>
        <w:rPr>
          <w:rFonts w:ascii="宋体" w:hAnsi="宋体"/>
          <w:color w:val="000000"/>
          <w:szCs w:val="21"/>
        </w:rPr>
      </w:pPr>
    </w:p>
    <w:p>
      <w:pPr>
        <w:adjustRightInd w:val="0"/>
        <w:snapToGrid w:val="0"/>
        <w:spacing w:line="440" w:lineRule="exact"/>
        <w:ind w:firstLine="420" w:firstLineChars="200"/>
        <w:rPr>
          <w:rFonts w:ascii="宋体" w:hAnsi="宋体"/>
          <w:color w:val="000000"/>
          <w:szCs w:val="21"/>
        </w:rPr>
      </w:pPr>
    </w:p>
    <w:p>
      <w:pPr>
        <w:adjustRightInd w:val="0"/>
        <w:snapToGrid w:val="0"/>
        <w:spacing w:line="440" w:lineRule="exact"/>
        <w:ind w:firstLine="420" w:firstLineChars="200"/>
        <w:rPr>
          <w:rFonts w:ascii="宋体" w:hAnsi="宋体"/>
          <w:color w:val="000000"/>
          <w:szCs w:val="21"/>
        </w:rPr>
      </w:pPr>
    </w:p>
    <w:p>
      <w:pPr>
        <w:adjustRightInd w:val="0"/>
        <w:snapToGrid w:val="0"/>
        <w:spacing w:line="440" w:lineRule="exact"/>
        <w:ind w:firstLine="420" w:firstLineChars="200"/>
        <w:rPr>
          <w:rFonts w:ascii="宋体" w:hAnsi="宋体"/>
          <w:color w:val="000000"/>
          <w:szCs w:val="21"/>
        </w:rPr>
      </w:pPr>
    </w:p>
    <w:p>
      <w:pPr>
        <w:adjustRightInd w:val="0"/>
        <w:snapToGrid w:val="0"/>
        <w:spacing w:line="440" w:lineRule="exact"/>
        <w:ind w:firstLine="420" w:firstLineChars="200"/>
        <w:rPr>
          <w:rFonts w:ascii="宋体" w:hAnsi="宋体"/>
          <w:color w:val="000000"/>
          <w:szCs w:val="21"/>
        </w:rPr>
      </w:pPr>
    </w:p>
    <w:p>
      <w:pPr>
        <w:adjustRightInd w:val="0"/>
        <w:snapToGrid w:val="0"/>
        <w:spacing w:line="440" w:lineRule="exact"/>
        <w:ind w:firstLine="420" w:firstLineChars="200"/>
        <w:rPr>
          <w:rFonts w:ascii="宋体" w:hAnsi="宋体"/>
          <w:color w:val="000000"/>
          <w:szCs w:val="21"/>
        </w:rPr>
      </w:pPr>
    </w:p>
    <w:p>
      <w:pPr>
        <w:adjustRightInd w:val="0"/>
        <w:snapToGrid w:val="0"/>
        <w:spacing w:line="440" w:lineRule="exact"/>
        <w:ind w:firstLine="420" w:firstLineChars="200"/>
        <w:rPr>
          <w:rFonts w:ascii="宋体" w:hAnsi="宋体"/>
          <w:color w:val="000000"/>
          <w:szCs w:val="21"/>
        </w:rPr>
      </w:pPr>
    </w:p>
    <w:p>
      <w:pPr>
        <w:adjustRightInd w:val="0"/>
        <w:snapToGrid w:val="0"/>
        <w:spacing w:line="440" w:lineRule="exact"/>
        <w:ind w:firstLine="420" w:firstLineChars="200"/>
        <w:rPr>
          <w:rFonts w:ascii="宋体" w:hAnsi="宋体"/>
          <w:color w:val="000000"/>
          <w:szCs w:val="21"/>
        </w:rPr>
      </w:pPr>
    </w:p>
    <w:p>
      <w:pPr>
        <w:adjustRightInd w:val="0"/>
        <w:snapToGrid w:val="0"/>
        <w:spacing w:line="440" w:lineRule="exact"/>
        <w:ind w:firstLine="420" w:firstLineChars="200"/>
        <w:rPr>
          <w:rFonts w:ascii="宋体" w:hAnsi="宋体"/>
          <w:color w:val="000000"/>
          <w:szCs w:val="21"/>
        </w:rPr>
      </w:pPr>
    </w:p>
    <w:p>
      <w:pPr>
        <w:adjustRightInd w:val="0"/>
        <w:snapToGrid w:val="0"/>
        <w:spacing w:line="440" w:lineRule="exact"/>
        <w:ind w:firstLine="420" w:firstLineChars="200"/>
        <w:rPr>
          <w:rFonts w:ascii="宋体" w:hAnsi="宋体"/>
          <w:color w:val="000000"/>
          <w:szCs w:val="21"/>
        </w:rPr>
      </w:pPr>
    </w:p>
    <w:p>
      <w:pPr>
        <w:adjustRightInd w:val="0"/>
        <w:snapToGrid w:val="0"/>
        <w:spacing w:line="440" w:lineRule="exact"/>
        <w:ind w:firstLine="420" w:firstLineChars="200"/>
        <w:rPr>
          <w:rFonts w:ascii="宋体" w:hAnsi="宋体"/>
          <w:color w:val="000000"/>
          <w:szCs w:val="21"/>
        </w:rPr>
      </w:pPr>
    </w:p>
    <w:p>
      <w:pPr>
        <w:adjustRightInd w:val="0"/>
        <w:snapToGrid w:val="0"/>
        <w:spacing w:line="440" w:lineRule="exact"/>
        <w:ind w:firstLine="420" w:firstLineChars="200"/>
        <w:rPr>
          <w:rFonts w:ascii="宋体" w:hAnsi="宋体"/>
          <w:color w:val="000000"/>
          <w:szCs w:val="21"/>
        </w:rPr>
      </w:pPr>
    </w:p>
    <w:p>
      <w:pPr>
        <w:adjustRightInd w:val="0"/>
        <w:snapToGrid w:val="0"/>
        <w:spacing w:line="440" w:lineRule="exact"/>
        <w:ind w:firstLine="420" w:firstLineChars="200"/>
        <w:rPr>
          <w:rFonts w:ascii="宋体" w:hAnsi="宋体"/>
          <w:color w:val="000000"/>
          <w:szCs w:val="21"/>
        </w:rPr>
      </w:pPr>
    </w:p>
    <w:p>
      <w:pPr>
        <w:adjustRightInd w:val="0"/>
        <w:snapToGrid w:val="0"/>
        <w:spacing w:line="440" w:lineRule="exact"/>
        <w:ind w:firstLine="420" w:firstLineChars="200"/>
        <w:rPr>
          <w:rFonts w:ascii="宋体" w:hAnsi="宋体"/>
          <w:color w:val="000000"/>
          <w:szCs w:val="21"/>
        </w:rPr>
      </w:pPr>
    </w:p>
    <w:p>
      <w:pPr>
        <w:spacing w:before="312" w:beforeLines="100" w:after="249" w:afterLines="80" w:line="380" w:lineRule="exact"/>
        <w:outlineLvl w:val="2"/>
        <w:rPr>
          <w:rFonts w:ascii="黑体" w:hAnsi="宋体" w:eastAsia="黑体"/>
          <w:color w:val="000000"/>
          <w:sz w:val="24"/>
        </w:rPr>
      </w:pPr>
      <w:bookmarkStart w:id="271" w:name="_Toc114222753"/>
      <w:bookmarkStart w:id="272" w:name="_Toc504078125"/>
      <w:r>
        <w:rPr>
          <w:rFonts w:hint="eastAsia" w:ascii="黑体" w:hAnsi="宋体" w:eastAsia="黑体"/>
          <w:color w:val="000000"/>
          <w:sz w:val="24"/>
        </w:rPr>
        <w:t>附表A-1：评标委员会签到表</w:t>
      </w:r>
      <w:bookmarkEnd w:id="271"/>
      <w:bookmarkEnd w:id="272"/>
    </w:p>
    <w:p>
      <w:pPr>
        <w:adjustRightInd w:val="0"/>
        <w:snapToGrid w:val="0"/>
        <w:spacing w:line="440" w:lineRule="exact"/>
        <w:jc w:val="center"/>
        <w:rPr>
          <w:color w:val="000000"/>
          <w:szCs w:val="44"/>
        </w:rPr>
      </w:pPr>
      <w:r>
        <w:rPr>
          <w:rFonts w:hint="eastAsia" w:ascii="黑体" w:hAnsi="宋体" w:eastAsia="黑体"/>
          <w:color w:val="000000"/>
          <w:sz w:val="28"/>
          <w:szCs w:val="28"/>
        </w:rPr>
        <w:t>评标委员会签到表</w:t>
      </w:r>
    </w:p>
    <w:p>
      <w:pPr>
        <w:adjustRightInd w:val="0"/>
        <w:snapToGrid w:val="0"/>
        <w:spacing w:line="440" w:lineRule="exact"/>
        <w:rPr>
          <w:color w:val="000000"/>
          <w:szCs w:val="44"/>
        </w:rPr>
      </w:pPr>
      <w:r>
        <w:rPr>
          <w:rFonts w:hint="eastAsia"/>
          <w:color w:val="000000"/>
          <w:szCs w:val="44"/>
        </w:rPr>
        <w:t>项目名称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项目编号</w:t>
      </w:r>
    </w:p>
    <w:p>
      <w:pPr>
        <w:adjustRightInd w:val="0"/>
        <w:snapToGrid w:val="0"/>
        <w:spacing w:line="440" w:lineRule="exact"/>
        <w:rPr>
          <w:color w:val="000000"/>
          <w:szCs w:val="44"/>
        </w:rPr>
      </w:pPr>
      <w:r>
        <w:rPr>
          <w:rFonts w:hint="eastAsia"/>
          <w:color w:val="000000"/>
          <w:szCs w:val="44"/>
        </w:rPr>
        <w:t>标段名称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标段编号</w:t>
      </w:r>
    </w:p>
    <w:tbl>
      <w:tblPr>
        <w:tblStyle w:val="36"/>
        <w:tblpPr w:leftFromText="180" w:rightFromText="180" w:vertAnchor="text" w:horzAnchor="margin" w:tblpXSpec="center" w:tblpY="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2162"/>
        <w:gridCol w:w="1510"/>
        <w:gridCol w:w="1487"/>
        <w:gridCol w:w="1510"/>
        <w:gridCol w:w="1510"/>
      </w:tblGrid>
      <w:tr>
        <w:trPr>
          <w:trHeight w:val="567" w:hRule="atLeast"/>
        </w:trPr>
        <w:tc>
          <w:tcPr>
            <w:tcW w:w="959" w:type="dxa"/>
            <w:shd w:val="clear" w:color="auto" w:fill="E0E0E0"/>
            <w:vAlign w:val="center"/>
          </w:tcPr>
          <w:p>
            <w:pPr>
              <w:jc w:val="center"/>
              <w:rPr>
                <w:color w:val="000000"/>
                <w:szCs w:val="44"/>
              </w:rPr>
            </w:pPr>
            <w:r>
              <w:rPr>
                <w:rFonts w:hint="eastAsia"/>
                <w:color w:val="000000"/>
                <w:szCs w:val="44"/>
              </w:rPr>
              <w:t>序号</w:t>
            </w:r>
          </w:p>
        </w:tc>
        <w:tc>
          <w:tcPr>
            <w:tcW w:w="2573" w:type="dxa"/>
            <w:shd w:val="clear" w:color="auto" w:fill="E0E0E0"/>
            <w:vAlign w:val="center"/>
          </w:tcPr>
          <w:p>
            <w:pPr>
              <w:jc w:val="center"/>
              <w:rPr>
                <w:color w:val="000000"/>
                <w:szCs w:val="44"/>
              </w:rPr>
            </w:pPr>
            <w:r>
              <w:rPr>
                <w:rFonts w:hint="eastAsia"/>
                <w:color w:val="000000"/>
                <w:szCs w:val="44"/>
              </w:rPr>
              <w:t>姓名</w:t>
            </w:r>
          </w:p>
        </w:tc>
        <w:tc>
          <w:tcPr>
            <w:tcW w:w="1766" w:type="dxa"/>
            <w:shd w:val="clear" w:color="auto" w:fill="E0E0E0"/>
            <w:vAlign w:val="center"/>
          </w:tcPr>
          <w:p>
            <w:pPr>
              <w:jc w:val="center"/>
              <w:rPr>
                <w:color w:val="000000"/>
                <w:szCs w:val="44"/>
              </w:rPr>
            </w:pPr>
            <w:r>
              <w:rPr>
                <w:rFonts w:hint="eastAsia"/>
                <w:color w:val="000000"/>
                <w:szCs w:val="44"/>
              </w:rPr>
              <w:t>职称</w:t>
            </w:r>
          </w:p>
        </w:tc>
        <w:tc>
          <w:tcPr>
            <w:tcW w:w="1738" w:type="dxa"/>
            <w:shd w:val="clear" w:color="auto" w:fill="E0E0E0"/>
            <w:vAlign w:val="center"/>
          </w:tcPr>
          <w:p>
            <w:pPr>
              <w:jc w:val="center"/>
              <w:rPr>
                <w:color w:val="000000"/>
                <w:szCs w:val="44"/>
              </w:rPr>
            </w:pPr>
            <w:r>
              <w:rPr>
                <w:rFonts w:hint="eastAsia"/>
                <w:color w:val="000000"/>
                <w:szCs w:val="44"/>
              </w:rPr>
              <w:t>从事专业</w:t>
            </w:r>
          </w:p>
        </w:tc>
        <w:tc>
          <w:tcPr>
            <w:tcW w:w="1767" w:type="dxa"/>
            <w:shd w:val="clear" w:color="auto" w:fill="E0E0E0"/>
            <w:vAlign w:val="center"/>
          </w:tcPr>
          <w:p>
            <w:pPr>
              <w:jc w:val="center"/>
              <w:rPr>
                <w:color w:val="000000"/>
                <w:szCs w:val="44"/>
              </w:rPr>
            </w:pPr>
            <w:r>
              <w:rPr>
                <w:rFonts w:hint="eastAsia"/>
                <w:color w:val="000000"/>
                <w:szCs w:val="44"/>
              </w:rPr>
              <w:t>专家证号码</w:t>
            </w:r>
          </w:p>
        </w:tc>
        <w:tc>
          <w:tcPr>
            <w:tcW w:w="1767" w:type="dxa"/>
            <w:shd w:val="clear" w:color="auto" w:fill="E0E0E0"/>
            <w:vAlign w:val="center"/>
          </w:tcPr>
          <w:p>
            <w:pPr>
              <w:jc w:val="center"/>
              <w:rPr>
                <w:color w:val="000000"/>
                <w:szCs w:val="44"/>
              </w:rPr>
            </w:pPr>
            <w:r>
              <w:rPr>
                <w:rFonts w:hint="eastAsia"/>
                <w:color w:val="000000"/>
                <w:szCs w:val="44"/>
              </w:rPr>
              <w:t>签到时间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959" w:type="dxa"/>
            <w:shd w:val="clear" w:color="auto" w:fill="auto"/>
            <w:vAlign w:val="center"/>
          </w:tcPr>
          <w:p>
            <w:pPr>
              <w:jc w:val="center"/>
              <w:rPr>
                <w:rFonts w:ascii="黑体" w:eastAsia="黑体"/>
                <w:color w:val="000000"/>
                <w:szCs w:val="44"/>
              </w:rPr>
            </w:pPr>
            <w:r>
              <w:rPr>
                <w:rFonts w:hint="eastAsia" w:ascii="黑体" w:eastAsia="黑体"/>
                <w:color w:val="000000"/>
                <w:szCs w:val="44"/>
              </w:rPr>
              <w:t>1</w:t>
            </w:r>
          </w:p>
        </w:tc>
        <w:tc>
          <w:tcPr>
            <w:tcW w:w="2573" w:type="dxa"/>
            <w:shd w:val="clear" w:color="auto" w:fill="auto"/>
            <w:vAlign w:val="center"/>
          </w:tcPr>
          <w:p>
            <w:pPr>
              <w:jc w:val="center"/>
              <w:rPr>
                <w:rFonts w:ascii="黑体" w:eastAsia="黑体"/>
                <w:color w:val="000000"/>
                <w:szCs w:val="44"/>
              </w:rPr>
            </w:pPr>
          </w:p>
        </w:tc>
        <w:tc>
          <w:tcPr>
            <w:tcW w:w="1766" w:type="dxa"/>
            <w:shd w:val="clear" w:color="auto" w:fill="auto"/>
            <w:vAlign w:val="center"/>
          </w:tcPr>
          <w:p>
            <w:pPr>
              <w:jc w:val="center"/>
              <w:rPr>
                <w:rFonts w:ascii="黑体" w:eastAsia="黑体"/>
                <w:color w:val="000000"/>
                <w:szCs w:val="44"/>
              </w:rPr>
            </w:pPr>
          </w:p>
        </w:tc>
        <w:tc>
          <w:tcPr>
            <w:tcW w:w="1738" w:type="dxa"/>
            <w:shd w:val="clear" w:color="auto" w:fill="auto"/>
          </w:tcPr>
          <w:p>
            <w:pPr>
              <w:jc w:val="center"/>
              <w:rPr>
                <w:rFonts w:ascii="黑体" w:eastAsia="黑体"/>
                <w:color w:val="000000"/>
                <w:szCs w:val="44"/>
              </w:rPr>
            </w:pPr>
          </w:p>
        </w:tc>
        <w:tc>
          <w:tcPr>
            <w:tcW w:w="1767" w:type="dxa"/>
            <w:shd w:val="clear" w:color="auto" w:fill="auto"/>
            <w:vAlign w:val="center"/>
          </w:tcPr>
          <w:p>
            <w:pPr>
              <w:jc w:val="center"/>
              <w:rPr>
                <w:rFonts w:ascii="黑体" w:eastAsia="黑体"/>
                <w:color w:val="000000"/>
                <w:szCs w:val="44"/>
              </w:rPr>
            </w:pPr>
          </w:p>
        </w:tc>
        <w:tc>
          <w:tcPr>
            <w:tcW w:w="1767" w:type="dxa"/>
            <w:shd w:val="clear" w:color="auto" w:fill="auto"/>
            <w:vAlign w:val="center"/>
          </w:tcPr>
          <w:p>
            <w:pPr>
              <w:jc w:val="center"/>
              <w:rPr>
                <w:rFonts w:ascii="黑体" w:eastAsia="黑体"/>
                <w:color w:val="000000"/>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959" w:type="dxa"/>
            <w:shd w:val="clear" w:color="auto" w:fill="auto"/>
            <w:vAlign w:val="center"/>
          </w:tcPr>
          <w:p>
            <w:pPr>
              <w:jc w:val="center"/>
              <w:rPr>
                <w:rFonts w:ascii="黑体" w:eastAsia="黑体"/>
                <w:color w:val="000000"/>
                <w:szCs w:val="44"/>
              </w:rPr>
            </w:pPr>
            <w:r>
              <w:rPr>
                <w:rFonts w:hint="eastAsia" w:ascii="黑体" w:eastAsia="黑体"/>
                <w:color w:val="000000"/>
                <w:szCs w:val="44"/>
              </w:rPr>
              <w:t>2</w:t>
            </w:r>
          </w:p>
        </w:tc>
        <w:tc>
          <w:tcPr>
            <w:tcW w:w="2573" w:type="dxa"/>
            <w:shd w:val="clear" w:color="auto" w:fill="auto"/>
            <w:vAlign w:val="center"/>
          </w:tcPr>
          <w:p>
            <w:pPr>
              <w:jc w:val="center"/>
              <w:rPr>
                <w:rFonts w:ascii="黑体" w:eastAsia="黑体"/>
                <w:color w:val="000000"/>
                <w:szCs w:val="44"/>
              </w:rPr>
            </w:pPr>
          </w:p>
        </w:tc>
        <w:tc>
          <w:tcPr>
            <w:tcW w:w="1766" w:type="dxa"/>
            <w:shd w:val="clear" w:color="auto" w:fill="auto"/>
            <w:vAlign w:val="center"/>
          </w:tcPr>
          <w:p>
            <w:pPr>
              <w:jc w:val="center"/>
              <w:rPr>
                <w:rFonts w:ascii="黑体" w:eastAsia="黑体"/>
                <w:color w:val="000000"/>
                <w:szCs w:val="44"/>
              </w:rPr>
            </w:pPr>
          </w:p>
        </w:tc>
        <w:tc>
          <w:tcPr>
            <w:tcW w:w="1738" w:type="dxa"/>
            <w:shd w:val="clear" w:color="auto" w:fill="auto"/>
          </w:tcPr>
          <w:p>
            <w:pPr>
              <w:jc w:val="center"/>
              <w:rPr>
                <w:rFonts w:ascii="黑体" w:eastAsia="黑体"/>
                <w:color w:val="000000"/>
                <w:szCs w:val="44"/>
              </w:rPr>
            </w:pPr>
          </w:p>
        </w:tc>
        <w:tc>
          <w:tcPr>
            <w:tcW w:w="1767" w:type="dxa"/>
            <w:shd w:val="clear" w:color="auto" w:fill="auto"/>
            <w:vAlign w:val="center"/>
          </w:tcPr>
          <w:p>
            <w:pPr>
              <w:jc w:val="center"/>
              <w:rPr>
                <w:rFonts w:ascii="黑体" w:eastAsia="黑体"/>
                <w:color w:val="000000"/>
                <w:szCs w:val="44"/>
              </w:rPr>
            </w:pPr>
          </w:p>
        </w:tc>
        <w:tc>
          <w:tcPr>
            <w:tcW w:w="1767" w:type="dxa"/>
            <w:shd w:val="clear" w:color="auto" w:fill="auto"/>
            <w:vAlign w:val="center"/>
          </w:tcPr>
          <w:p>
            <w:pPr>
              <w:jc w:val="center"/>
              <w:rPr>
                <w:rFonts w:ascii="黑体" w:eastAsia="黑体"/>
                <w:color w:val="000000"/>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959" w:type="dxa"/>
            <w:shd w:val="clear" w:color="auto" w:fill="auto"/>
            <w:vAlign w:val="center"/>
          </w:tcPr>
          <w:p>
            <w:pPr>
              <w:jc w:val="center"/>
              <w:rPr>
                <w:rFonts w:ascii="黑体" w:eastAsia="黑体"/>
                <w:color w:val="000000"/>
                <w:szCs w:val="44"/>
              </w:rPr>
            </w:pPr>
            <w:r>
              <w:rPr>
                <w:rFonts w:hint="eastAsia" w:ascii="黑体" w:eastAsia="黑体"/>
                <w:color w:val="000000"/>
                <w:szCs w:val="44"/>
              </w:rPr>
              <w:t>3</w:t>
            </w:r>
          </w:p>
        </w:tc>
        <w:tc>
          <w:tcPr>
            <w:tcW w:w="2573" w:type="dxa"/>
            <w:shd w:val="clear" w:color="auto" w:fill="auto"/>
            <w:vAlign w:val="center"/>
          </w:tcPr>
          <w:p>
            <w:pPr>
              <w:jc w:val="center"/>
              <w:rPr>
                <w:rFonts w:ascii="黑体" w:eastAsia="黑体"/>
                <w:color w:val="000000"/>
                <w:szCs w:val="44"/>
              </w:rPr>
            </w:pPr>
          </w:p>
        </w:tc>
        <w:tc>
          <w:tcPr>
            <w:tcW w:w="1766" w:type="dxa"/>
            <w:shd w:val="clear" w:color="auto" w:fill="auto"/>
            <w:vAlign w:val="center"/>
          </w:tcPr>
          <w:p>
            <w:pPr>
              <w:jc w:val="center"/>
              <w:rPr>
                <w:rFonts w:ascii="黑体" w:eastAsia="黑体"/>
                <w:color w:val="000000"/>
                <w:szCs w:val="44"/>
              </w:rPr>
            </w:pPr>
          </w:p>
        </w:tc>
        <w:tc>
          <w:tcPr>
            <w:tcW w:w="1738" w:type="dxa"/>
            <w:shd w:val="clear" w:color="auto" w:fill="auto"/>
          </w:tcPr>
          <w:p>
            <w:pPr>
              <w:jc w:val="center"/>
              <w:rPr>
                <w:rFonts w:ascii="黑体" w:eastAsia="黑体"/>
                <w:color w:val="000000"/>
                <w:szCs w:val="44"/>
              </w:rPr>
            </w:pPr>
          </w:p>
        </w:tc>
        <w:tc>
          <w:tcPr>
            <w:tcW w:w="1767" w:type="dxa"/>
            <w:shd w:val="clear" w:color="auto" w:fill="auto"/>
            <w:vAlign w:val="center"/>
          </w:tcPr>
          <w:p>
            <w:pPr>
              <w:jc w:val="center"/>
              <w:rPr>
                <w:rFonts w:ascii="黑体" w:eastAsia="黑体"/>
                <w:color w:val="000000"/>
                <w:szCs w:val="44"/>
              </w:rPr>
            </w:pPr>
          </w:p>
        </w:tc>
        <w:tc>
          <w:tcPr>
            <w:tcW w:w="1767" w:type="dxa"/>
            <w:shd w:val="clear" w:color="auto" w:fill="auto"/>
            <w:vAlign w:val="center"/>
          </w:tcPr>
          <w:p>
            <w:pPr>
              <w:jc w:val="center"/>
              <w:rPr>
                <w:rFonts w:ascii="黑体" w:eastAsia="黑体"/>
                <w:color w:val="000000"/>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959" w:type="dxa"/>
            <w:shd w:val="clear" w:color="auto" w:fill="auto"/>
            <w:vAlign w:val="center"/>
          </w:tcPr>
          <w:p>
            <w:pPr>
              <w:jc w:val="center"/>
              <w:rPr>
                <w:rFonts w:ascii="黑体" w:eastAsia="黑体"/>
                <w:color w:val="000000"/>
                <w:szCs w:val="44"/>
              </w:rPr>
            </w:pPr>
            <w:r>
              <w:rPr>
                <w:rFonts w:hint="eastAsia" w:ascii="黑体" w:eastAsia="黑体"/>
                <w:color w:val="000000"/>
                <w:szCs w:val="44"/>
              </w:rPr>
              <w:t>4</w:t>
            </w:r>
          </w:p>
        </w:tc>
        <w:tc>
          <w:tcPr>
            <w:tcW w:w="2573" w:type="dxa"/>
            <w:shd w:val="clear" w:color="auto" w:fill="auto"/>
            <w:vAlign w:val="center"/>
          </w:tcPr>
          <w:p>
            <w:pPr>
              <w:jc w:val="center"/>
              <w:rPr>
                <w:rFonts w:ascii="黑体" w:eastAsia="黑体"/>
                <w:color w:val="000000"/>
                <w:szCs w:val="44"/>
              </w:rPr>
            </w:pPr>
          </w:p>
        </w:tc>
        <w:tc>
          <w:tcPr>
            <w:tcW w:w="1766" w:type="dxa"/>
            <w:shd w:val="clear" w:color="auto" w:fill="auto"/>
            <w:vAlign w:val="center"/>
          </w:tcPr>
          <w:p>
            <w:pPr>
              <w:jc w:val="center"/>
              <w:rPr>
                <w:rFonts w:ascii="黑体" w:eastAsia="黑体"/>
                <w:color w:val="000000"/>
                <w:szCs w:val="44"/>
              </w:rPr>
            </w:pPr>
          </w:p>
        </w:tc>
        <w:tc>
          <w:tcPr>
            <w:tcW w:w="1738" w:type="dxa"/>
            <w:shd w:val="clear" w:color="auto" w:fill="auto"/>
          </w:tcPr>
          <w:p>
            <w:pPr>
              <w:jc w:val="center"/>
              <w:rPr>
                <w:rFonts w:ascii="黑体" w:eastAsia="黑体"/>
                <w:color w:val="000000"/>
                <w:szCs w:val="44"/>
              </w:rPr>
            </w:pPr>
          </w:p>
        </w:tc>
        <w:tc>
          <w:tcPr>
            <w:tcW w:w="1767" w:type="dxa"/>
            <w:shd w:val="clear" w:color="auto" w:fill="auto"/>
            <w:vAlign w:val="center"/>
          </w:tcPr>
          <w:p>
            <w:pPr>
              <w:jc w:val="center"/>
              <w:rPr>
                <w:rFonts w:ascii="黑体" w:eastAsia="黑体"/>
                <w:color w:val="000000"/>
                <w:szCs w:val="44"/>
              </w:rPr>
            </w:pPr>
          </w:p>
        </w:tc>
        <w:tc>
          <w:tcPr>
            <w:tcW w:w="1767" w:type="dxa"/>
            <w:shd w:val="clear" w:color="auto" w:fill="auto"/>
            <w:vAlign w:val="center"/>
          </w:tcPr>
          <w:p>
            <w:pPr>
              <w:jc w:val="center"/>
              <w:rPr>
                <w:rFonts w:ascii="黑体" w:eastAsia="黑体"/>
                <w:color w:val="000000"/>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959" w:type="dxa"/>
            <w:shd w:val="clear" w:color="auto" w:fill="auto"/>
            <w:vAlign w:val="center"/>
          </w:tcPr>
          <w:p>
            <w:pPr>
              <w:jc w:val="center"/>
              <w:rPr>
                <w:rFonts w:ascii="黑体" w:eastAsia="黑体"/>
                <w:color w:val="000000"/>
                <w:szCs w:val="44"/>
              </w:rPr>
            </w:pPr>
            <w:r>
              <w:rPr>
                <w:rFonts w:hint="eastAsia" w:ascii="黑体" w:eastAsia="黑体"/>
                <w:color w:val="000000"/>
                <w:szCs w:val="44"/>
              </w:rPr>
              <w:t>5</w:t>
            </w:r>
          </w:p>
        </w:tc>
        <w:tc>
          <w:tcPr>
            <w:tcW w:w="2573" w:type="dxa"/>
            <w:shd w:val="clear" w:color="auto" w:fill="auto"/>
            <w:vAlign w:val="center"/>
          </w:tcPr>
          <w:p>
            <w:pPr>
              <w:jc w:val="center"/>
              <w:rPr>
                <w:rFonts w:ascii="黑体" w:eastAsia="黑体"/>
                <w:color w:val="000000"/>
                <w:szCs w:val="44"/>
              </w:rPr>
            </w:pPr>
          </w:p>
        </w:tc>
        <w:tc>
          <w:tcPr>
            <w:tcW w:w="1766" w:type="dxa"/>
            <w:shd w:val="clear" w:color="auto" w:fill="auto"/>
            <w:vAlign w:val="center"/>
          </w:tcPr>
          <w:p>
            <w:pPr>
              <w:jc w:val="center"/>
              <w:rPr>
                <w:rFonts w:ascii="黑体" w:eastAsia="黑体"/>
                <w:color w:val="000000"/>
                <w:szCs w:val="44"/>
              </w:rPr>
            </w:pPr>
          </w:p>
        </w:tc>
        <w:tc>
          <w:tcPr>
            <w:tcW w:w="1738" w:type="dxa"/>
            <w:shd w:val="clear" w:color="auto" w:fill="auto"/>
          </w:tcPr>
          <w:p>
            <w:pPr>
              <w:jc w:val="center"/>
              <w:rPr>
                <w:rFonts w:ascii="黑体" w:eastAsia="黑体"/>
                <w:color w:val="000000"/>
                <w:szCs w:val="44"/>
              </w:rPr>
            </w:pPr>
          </w:p>
        </w:tc>
        <w:tc>
          <w:tcPr>
            <w:tcW w:w="1767" w:type="dxa"/>
            <w:shd w:val="clear" w:color="auto" w:fill="auto"/>
            <w:vAlign w:val="center"/>
          </w:tcPr>
          <w:p>
            <w:pPr>
              <w:jc w:val="center"/>
              <w:rPr>
                <w:rFonts w:ascii="黑体" w:eastAsia="黑体"/>
                <w:color w:val="000000"/>
                <w:szCs w:val="44"/>
              </w:rPr>
            </w:pPr>
          </w:p>
        </w:tc>
        <w:tc>
          <w:tcPr>
            <w:tcW w:w="1767" w:type="dxa"/>
            <w:shd w:val="clear" w:color="auto" w:fill="auto"/>
            <w:vAlign w:val="center"/>
          </w:tcPr>
          <w:p>
            <w:pPr>
              <w:jc w:val="center"/>
              <w:rPr>
                <w:rFonts w:ascii="黑体" w:eastAsia="黑体"/>
                <w:color w:val="000000"/>
                <w:szCs w:val="44"/>
              </w:rPr>
            </w:pPr>
          </w:p>
        </w:tc>
      </w:tr>
    </w:tbl>
    <w:p>
      <w:pPr>
        <w:spacing w:after="312" w:afterLines="100"/>
        <w:rPr>
          <w:color w:val="000000"/>
          <w:szCs w:val="44"/>
        </w:rPr>
      </w:pPr>
    </w:p>
    <w:p>
      <w:pPr>
        <w:spacing w:after="312" w:afterLines="100"/>
        <w:rPr>
          <w:color w:val="000000"/>
          <w:szCs w:val="44"/>
        </w:rPr>
      </w:pPr>
    </w:p>
    <w:p>
      <w:pPr>
        <w:spacing w:after="312" w:afterLines="100"/>
        <w:rPr>
          <w:color w:val="000000"/>
          <w:szCs w:val="44"/>
        </w:rPr>
      </w:pPr>
    </w:p>
    <w:p>
      <w:pPr>
        <w:spacing w:after="312" w:afterLines="100"/>
        <w:rPr>
          <w:color w:val="000000"/>
          <w:szCs w:val="44"/>
        </w:rPr>
      </w:pPr>
    </w:p>
    <w:p>
      <w:pPr>
        <w:spacing w:after="312" w:afterLines="100"/>
        <w:ind w:firstLine="6510" w:firstLineChars="3100"/>
        <w:rPr>
          <w:color w:val="000000"/>
          <w:szCs w:val="44"/>
        </w:rPr>
      </w:pPr>
      <w:r>
        <w:rPr>
          <w:rFonts w:hint="eastAsia"/>
          <w:color w:val="000000"/>
          <w:szCs w:val="44"/>
        </w:rPr>
        <w:t>全体评委签字：</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年  月   日</w:t>
      </w:r>
    </w:p>
    <w:p>
      <w:pPr>
        <w:ind w:firstLine="525" w:firstLineChars="250"/>
        <w:jc w:val="left"/>
        <w:rPr>
          <w:rFonts w:ascii="宋体" w:hAnsi="宋体"/>
          <w:color w:val="000000"/>
          <w:szCs w:val="44"/>
        </w:rPr>
      </w:pPr>
    </w:p>
    <w:p>
      <w:pPr>
        <w:widowControl/>
        <w:jc w:val="left"/>
        <w:rPr>
          <w:color w:val="000000"/>
        </w:rPr>
      </w:pPr>
      <w:r>
        <w:rPr>
          <w:color w:val="000000"/>
        </w:rPr>
        <w:br w:type="page"/>
      </w:r>
    </w:p>
    <w:p>
      <w:pPr>
        <w:spacing w:before="312" w:beforeLines="100" w:after="249" w:afterLines="80" w:line="380" w:lineRule="exact"/>
        <w:outlineLvl w:val="2"/>
        <w:rPr>
          <w:rFonts w:ascii="黑体" w:hAnsi="宋体" w:eastAsia="黑体"/>
          <w:color w:val="000000"/>
          <w:sz w:val="24"/>
        </w:rPr>
      </w:pPr>
      <w:bookmarkStart w:id="273" w:name="_Toc114222754"/>
      <w:r>
        <w:rPr>
          <w:rFonts w:hint="eastAsia" w:ascii="黑体" w:hAnsi="宋体" w:eastAsia="黑体"/>
          <w:color w:val="000000"/>
          <w:sz w:val="24"/>
        </w:rPr>
        <w:t>附表A-2：形式评审记录表（系统自动生成）</w:t>
      </w:r>
      <w:bookmarkEnd w:id="273"/>
    </w:p>
    <w:p>
      <w:pPr>
        <w:jc w:val="center"/>
        <w:rPr>
          <w:rFonts w:ascii="黑体" w:eastAsia="黑体"/>
          <w:color w:val="000000"/>
          <w:sz w:val="28"/>
          <w:szCs w:val="28"/>
        </w:rPr>
      </w:pPr>
      <w:r>
        <w:rPr>
          <w:rFonts w:hint="eastAsia" w:ascii="黑体" w:eastAsia="黑体"/>
          <w:color w:val="000000"/>
          <w:sz w:val="28"/>
          <w:szCs w:val="28"/>
        </w:rPr>
        <w:t>形式评审记录表</w:t>
      </w:r>
    </w:p>
    <w:p>
      <w:pPr>
        <w:adjustRightInd w:val="0"/>
        <w:snapToGrid w:val="0"/>
        <w:spacing w:line="440" w:lineRule="exact"/>
        <w:rPr>
          <w:color w:val="000000"/>
          <w:szCs w:val="44"/>
        </w:rPr>
      </w:pPr>
      <w:r>
        <w:rPr>
          <w:rFonts w:hint="eastAsia"/>
          <w:color w:val="000000"/>
          <w:szCs w:val="44"/>
        </w:rPr>
        <w:t>项目名称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项目编号</w:t>
      </w:r>
    </w:p>
    <w:p>
      <w:pPr>
        <w:adjustRightInd w:val="0"/>
        <w:snapToGrid w:val="0"/>
        <w:spacing w:line="440" w:lineRule="exact"/>
        <w:rPr>
          <w:color w:val="000000"/>
          <w:szCs w:val="44"/>
        </w:rPr>
      </w:pPr>
      <w:r>
        <w:rPr>
          <w:rFonts w:hint="eastAsia"/>
          <w:color w:val="000000"/>
          <w:szCs w:val="44"/>
        </w:rPr>
        <w:t>标段名称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标段编号</w:t>
      </w:r>
    </w:p>
    <w:tbl>
      <w:tblPr>
        <w:tblStyle w:val="36"/>
        <w:tblW w:w="490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3"/>
        <w:gridCol w:w="1153"/>
        <w:gridCol w:w="729"/>
        <w:gridCol w:w="608"/>
        <w:gridCol w:w="787"/>
        <w:gridCol w:w="787"/>
        <w:gridCol w:w="787"/>
        <w:gridCol w:w="788"/>
        <w:gridCol w:w="788"/>
        <w:gridCol w:w="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0" w:hRule="atLeast"/>
        </w:trPr>
        <w:tc>
          <w:tcPr>
            <w:tcW w:w="932" w:type="pct"/>
            <w:shd w:val="clear" w:color="auto" w:fill="E0E0E0"/>
            <w:vAlign w:val="center"/>
          </w:tcPr>
          <w:p>
            <w:pPr>
              <w:jc w:val="center"/>
              <w:rPr>
                <w:rFonts w:ascii="宋体" w:hAnsi="宋体"/>
                <w:color w:val="000000"/>
                <w:szCs w:val="44"/>
              </w:rPr>
            </w:pPr>
            <w:r>
              <w:rPr>
                <w:rFonts w:hint="eastAsia" w:ascii="宋体" w:hAnsi="宋体"/>
                <w:color w:val="000000"/>
                <w:szCs w:val="44"/>
              </w:rPr>
              <w:t>评审项目</w:t>
            </w:r>
          </w:p>
        </w:tc>
        <w:tc>
          <w:tcPr>
            <w:tcW w:w="650" w:type="pct"/>
            <w:shd w:val="clear" w:color="auto" w:fill="E0E0E0"/>
            <w:vAlign w:val="center"/>
          </w:tcPr>
          <w:p>
            <w:pPr>
              <w:jc w:val="center"/>
              <w:rPr>
                <w:rFonts w:ascii="宋体" w:hAnsi="宋体"/>
                <w:color w:val="000000"/>
                <w:szCs w:val="44"/>
              </w:rPr>
            </w:pPr>
            <w:r>
              <w:rPr>
                <w:rFonts w:hint="eastAsia" w:ascii="宋体" w:hAnsi="宋体"/>
                <w:color w:val="000000"/>
                <w:szCs w:val="44"/>
              </w:rPr>
              <w:t>评审标准</w:t>
            </w:r>
          </w:p>
        </w:tc>
        <w:tc>
          <w:tcPr>
            <w:tcW w:w="411" w:type="pct"/>
            <w:shd w:val="clear" w:color="auto" w:fill="E0E0E0"/>
            <w:vAlign w:val="center"/>
          </w:tcPr>
          <w:p>
            <w:pPr>
              <w:jc w:val="center"/>
              <w:rPr>
                <w:rFonts w:ascii="宋体" w:hAnsi="宋体"/>
                <w:color w:val="000000"/>
                <w:szCs w:val="44"/>
              </w:rPr>
            </w:pPr>
          </w:p>
        </w:tc>
        <w:tc>
          <w:tcPr>
            <w:tcW w:w="343" w:type="pct"/>
            <w:shd w:val="clear" w:color="auto" w:fill="E0E0E0"/>
            <w:vAlign w:val="center"/>
          </w:tcPr>
          <w:p>
            <w:pPr>
              <w:jc w:val="center"/>
              <w:rPr>
                <w:rFonts w:ascii="宋体" w:hAnsi="宋体"/>
                <w:color w:val="000000"/>
                <w:szCs w:val="44"/>
              </w:rPr>
            </w:pPr>
          </w:p>
        </w:tc>
        <w:tc>
          <w:tcPr>
            <w:tcW w:w="444" w:type="pct"/>
            <w:shd w:val="clear" w:color="auto" w:fill="E0E0E0"/>
            <w:vAlign w:val="center"/>
          </w:tcPr>
          <w:p>
            <w:pPr>
              <w:jc w:val="center"/>
              <w:rPr>
                <w:rFonts w:ascii="宋体" w:hAnsi="宋体"/>
                <w:color w:val="000000"/>
                <w:szCs w:val="44"/>
              </w:rPr>
            </w:pPr>
          </w:p>
        </w:tc>
        <w:tc>
          <w:tcPr>
            <w:tcW w:w="444" w:type="pct"/>
            <w:shd w:val="clear" w:color="auto" w:fill="E0E0E0"/>
            <w:vAlign w:val="center"/>
          </w:tcPr>
          <w:p>
            <w:pPr>
              <w:jc w:val="center"/>
              <w:rPr>
                <w:rFonts w:ascii="宋体" w:hAnsi="宋体"/>
                <w:color w:val="000000"/>
                <w:szCs w:val="44"/>
              </w:rPr>
            </w:pPr>
          </w:p>
        </w:tc>
        <w:tc>
          <w:tcPr>
            <w:tcW w:w="444" w:type="pct"/>
            <w:shd w:val="clear" w:color="auto" w:fill="E0E0E0"/>
            <w:vAlign w:val="center"/>
          </w:tcPr>
          <w:p>
            <w:pPr>
              <w:jc w:val="center"/>
              <w:rPr>
                <w:rFonts w:ascii="宋体" w:hAnsi="宋体"/>
                <w:color w:val="000000"/>
                <w:szCs w:val="44"/>
              </w:rPr>
            </w:pPr>
          </w:p>
        </w:tc>
        <w:tc>
          <w:tcPr>
            <w:tcW w:w="444" w:type="pct"/>
            <w:shd w:val="clear" w:color="auto" w:fill="E0E0E0"/>
            <w:vAlign w:val="center"/>
          </w:tcPr>
          <w:p>
            <w:pPr>
              <w:jc w:val="center"/>
              <w:rPr>
                <w:rFonts w:ascii="宋体" w:hAnsi="宋体"/>
                <w:color w:val="000000"/>
                <w:szCs w:val="44"/>
              </w:rPr>
            </w:pPr>
          </w:p>
        </w:tc>
        <w:tc>
          <w:tcPr>
            <w:tcW w:w="444" w:type="pct"/>
            <w:shd w:val="clear" w:color="auto" w:fill="E0E0E0"/>
            <w:vAlign w:val="center"/>
          </w:tcPr>
          <w:p>
            <w:pPr>
              <w:jc w:val="center"/>
              <w:rPr>
                <w:rFonts w:ascii="宋体" w:hAnsi="宋体"/>
                <w:color w:val="000000"/>
                <w:szCs w:val="44"/>
              </w:rPr>
            </w:pPr>
          </w:p>
        </w:tc>
        <w:tc>
          <w:tcPr>
            <w:tcW w:w="444" w:type="pct"/>
            <w:shd w:val="clear" w:color="auto" w:fill="E0E0E0"/>
            <w:vAlign w:val="center"/>
          </w:tcPr>
          <w:p>
            <w:pPr>
              <w:jc w:val="center"/>
              <w:rPr>
                <w:rFonts w:ascii="宋体" w:hAnsi="宋体"/>
                <w:color w:val="000000"/>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932" w:type="pct"/>
            <w:shd w:val="clear" w:color="auto" w:fill="auto"/>
            <w:vAlign w:val="center"/>
          </w:tcPr>
          <w:p>
            <w:pPr>
              <w:jc w:val="center"/>
              <w:rPr>
                <w:rFonts w:ascii="宋体" w:hAnsi="宋体"/>
                <w:color w:val="000000"/>
                <w:szCs w:val="44"/>
              </w:rPr>
            </w:pPr>
            <w:permStart w:id="135" w:edGrp="everyone" w:colFirst="0" w:colLast="0"/>
            <w:permStart w:id="136" w:edGrp="everyone" w:colFirst="1" w:colLast="1"/>
            <w:r>
              <w:rPr>
                <w:rFonts w:hint="eastAsia" w:ascii="宋体" w:hAnsi="宋体"/>
                <w:color w:val="000000"/>
                <w:szCs w:val="44"/>
              </w:rPr>
              <w:t>投标人名称</w:t>
            </w:r>
          </w:p>
        </w:tc>
        <w:tc>
          <w:tcPr>
            <w:tcW w:w="650" w:type="pct"/>
            <w:shd w:val="clear" w:color="auto" w:fill="auto"/>
            <w:vAlign w:val="center"/>
          </w:tcPr>
          <w:p>
            <w:pPr>
              <w:jc w:val="center"/>
              <w:rPr>
                <w:rFonts w:ascii="宋体" w:hAnsi="宋体"/>
                <w:color w:val="000000"/>
                <w:szCs w:val="44"/>
              </w:rPr>
            </w:pPr>
            <w:r>
              <w:rPr>
                <w:rFonts w:hint="eastAsia" w:ascii="宋体" w:hAnsi="宋体"/>
                <w:color w:val="000000"/>
                <w:szCs w:val="44"/>
              </w:rPr>
              <w:t>与营业执照、资质证书、安全生产许可证一致</w:t>
            </w:r>
          </w:p>
        </w:tc>
        <w:tc>
          <w:tcPr>
            <w:tcW w:w="411" w:type="pct"/>
            <w:shd w:val="clear" w:color="auto" w:fill="auto"/>
            <w:vAlign w:val="center"/>
          </w:tcPr>
          <w:p>
            <w:pPr>
              <w:jc w:val="center"/>
              <w:rPr>
                <w:rFonts w:ascii="宋体" w:hAnsi="宋体"/>
                <w:color w:val="000000"/>
                <w:szCs w:val="44"/>
              </w:rPr>
            </w:pPr>
          </w:p>
        </w:tc>
        <w:tc>
          <w:tcPr>
            <w:tcW w:w="343"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r>
      <w:permEnd w:id="135"/>
      <w:permEnd w:id="13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932" w:type="pct"/>
            <w:shd w:val="clear" w:color="auto" w:fill="auto"/>
            <w:vAlign w:val="center"/>
          </w:tcPr>
          <w:p>
            <w:pPr>
              <w:jc w:val="center"/>
              <w:rPr>
                <w:rFonts w:ascii="宋体" w:hAnsi="宋体"/>
                <w:color w:val="000000"/>
                <w:szCs w:val="44"/>
              </w:rPr>
            </w:pPr>
            <w:permStart w:id="137" w:edGrp="everyone" w:colFirst="0" w:colLast="0"/>
            <w:permStart w:id="138" w:edGrp="everyone" w:colFirst="1" w:colLast="1"/>
            <w:r>
              <w:rPr>
                <w:rFonts w:hint="eastAsia" w:ascii="宋体" w:hAnsi="宋体"/>
                <w:color w:val="000000"/>
                <w:szCs w:val="44"/>
              </w:rPr>
              <w:t>投标函签字盖章</w:t>
            </w:r>
          </w:p>
        </w:tc>
        <w:tc>
          <w:tcPr>
            <w:tcW w:w="650" w:type="pct"/>
            <w:shd w:val="clear" w:color="auto" w:fill="auto"/>
            <w:vAlign w:val="center"/>
          </w:tcPr>
          <w:p>
            <w:pPr>
              <w:jc w:val="center"/>
              <w:rPr>
                <w:rFonts w:ascii="宋体" w:hAnsi="宋体"/>
                <w:color w:val="000000"/>
                <w:szCs w:val="44"/>
              </w:rPr>
            </w:pPr>
            <w:r>
              <w:rPr>
                <w:rFonts w:hint="eastAsia" w:ascii="宋体" w:hAnsi="宋体"/>
                <w:color w:val="000000"/>
                <w:szCs w:val="44"/>
              </w:rPr>
              <w:t>有法定代表人或其委托代理人签字并加盖单位章</w:t>
            </w:r>
          </w:p>
        </w:tc>
        <w:tc>
          <w:tcPr>
            <w:tcW w:w="411" w:type="pct"/>
            <w:shd w:val="clear" w:color="auto" w:fill="auto"/>
            <w:vAlign w:val="center"/>
          </w:tcPr>
          <w:p>
            <w:pPr>
              <w:jc w:val="center"/>
              <w:rPr>
                <w:rFonts w:ascii="宋体" w:hAnsi="宋体"/>
                <w:color w:val="000000"/>
                <w:szCs w:val="44"/>
              </w:rPr>
            </w:pPr>
          </w:p>
        </w:tc>
        <w:tc>
          <w:tcPr>
            <w:tcW w:w="343"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r>
      <w:permEnd w:id="137"/>
      <w:permEnd w:id="13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932" w:type="pct"/>
            <w:shd w:val="clear" w:color="auto" w:fill="auto"/>
            <w:vAlign w:val="center"/>
          </w:tcPr>
          <w:p>
            <w:pPr>
              <w:jc w:val="center"/>
              <w:rPr>
                <w:rFonts w:ascii="宋体" w:hAnsi="宋体"/>
                <w:color w:val="000000"/>
                <w:szCs w:val="44"/>
              </w:rPr>
            </w:pPr>
            <w:permStart w:id="139" w:edGrp="everyone" w:colFirst="0" w:colLast="0"/>
            <w:permStart w:id="140" w:edGrp="everyone" w:colFirst="1" w:colLast="1"/>
            <w:r>
              <w:rPr>
                <w:rFonts w:hint="eastAsia" w:ascii="宋体" w:hAnsi="宋体"/>
                <w:color w:val="000000"/>
                <w:szCs w:val="44"/>
              </w:rPr>
              <w:t>投标文件格式</w:t>
            </w:r>
          </w:p>
        </w:tc>
        <w:tc>
          <w:tcPr>
            <w:tcW w:w="650" w:type="pct"/>
            <w:shd w:val="clear" w:color="auto" w:fill="auto"/>
            <w:vAlign w:val="center"/>
          </w:tcPr>
          <w:p>
            <w:pPr>
              <w:jc w:val="center"/>
              <w:rPr>
                <w:rFonts w:ascii="宋体" w:hAnsi="宋体"/>
                <w:color w:val="000000"/>
                <w:szCs w:val="44"/>
              </w:rPr>
            </w:pPr>
            <w:r>
              <w:rPr>
                <w:rFonts w:hint="eastAsia" w:ascii="宋体" w:hAnsi="宋体"/>
                <w:color w:val="000000"/>
                <w:szCs w:val="44"/>
              </w:rPr>
              <w:t>符合第八章“投标文件格式”的要求</w:t>
            </w:r>
          </w:p>
        </w:tc>
        <w:tc>
          <w:tcPr>
            <w:tcW w:w="411" w:type="pct"/>
            <w:shd w:val="clear" w:color="auto" w:fill="auto"/>
            <w:vAlign w:val="center"/>
          </w:tcPr>
          <w:p>
            <w:pPr>
              <w:jc w:val="center"/>
              <w:rPr>
                <w:rFonts w:ascii="宋体" w:hAnsi="宋体"/>
                <w:color w:val="000000"/>
                <w:szCs w:val="44"/>
              </w:rPr>
            </w:pPr>
          </w:p>
        </w:tc>
        <w:tc>
          <w:tcPr>
            <w:tcW w:w="343"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r>
      <w:permEnd w:id="139"/>
      <w:permEnd w:id="14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932" w:type="pct"/>
            <w:shd w:val="clear" w:color="auto" w:fill="auto"/>
            <w:vAlign w:val="center"/>
          </w:tcPr>
          <w:p>
            <w:pPr>
              <w:jc w:val="center"/>
              <w:rPr>
                <w:rFonts w:ascii="宋体" w:hAnsi="宋体"/>
                <w:color w:val="000000"/>
                <w:szCs w:val="44"/>
              </w:rPr>
            </w:pPr>
            <w:permStart w:id="141" w:edGrp="everyone" w:colFirst="0" w:colLast="0"/>
            <w:permStart w:id="142" w:edGrp="everyone" w:colFirst="1" w:colLast="1"/>
            <w:r>
              <w:rPr>
                <w:rFonts w:hint="eastAsia" w:ascii="宋体" w:hAnsi="宋体"/>
                <w:color w:val="000000"/>
                <w:szCs w:val="44"/>
              </w:rPr>
              <w:t>联合体投标人（如有）</w:t>
            </w:r>
          </w:p>
        </w:tc>
        <w:tc>
          <w:tcPr>
            <w:tcW w:w="650" w:type="pct"/>
            <w:shd w:val="clear" w:color="auto" w:fill="auto"/>
            <w:vAlign w:val="center"/>
          </w:tcPr>
          <w:p>
            <w:pPr>
              <w:jc w:val="center"/>
              <w:rPr>
                <w:rFonts w:ascii="宋体" w:hAnsi="宋体"/>
                <w:color w:val="000000"/>
                <w:szCs w:val="44"/>
              </w:rPr>
            </w:pPr>
            <w:r>
              <w:rPr>
                <w:rFonts w:hint="eastAsia" w:ascii="宋体" w:hAnsi="宋体"/>
                <w:color w:val="000000"/>
                <w:szCs w:val="44"/>
              </w:rPr>
              <w:t>提交联合体协议书，并明确联合体牵头人</w:t>
            </w:r>
          </w:p>
        </w:tc>
        <w:tc>
          <w:tcPr>
            <w:tcW w:w="411" w:type="pct"/>
            <w:shd w:val="clear" w:color="auto" w:fill="auto"/>
            <w:vAlign w:val="center"/>
          </w:tcPr>
          <w:p>
            <w:pPr>
              <w:jc w:val="center"/>
              <w:rPr>
                <w:rFonts w:ascii="宋体" w:hAnsi="宋体"/>
                <w:color w:val="000000"/>
                <w:szCs w:val="44"/>
              </w:rPr>
            </w:pPr>
          </w:p>
        </w:tc>
        <w:tc>
          <w:tcPr>
            <w:tcW w:w="343"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r>
      <w:permEnd w:id="141"/>
      <w:permEnd w:id="14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932" w:type="pct"/>
            <w:shd w:val="clear" w:color="auto" w:fill="auto"/>
            <w:vAlign w:val="center"/>
          </w:tcPr>
          <w:p>
            <w:pPr>
              <w:jc w:val="center"/>
              <w:rPr>
                <w:rFonts w:ascii="宋体" w:hAnsi="宋体"/>
                <w:color w:val="000000"/>
                <w:szCs w:val="44"/>
              </w:rPr>
            </w:pPr>
            <w:permStart w:id="143" w:edGrp="everyone" w:colFirst="0" w:colLast="0"/>
            <w:permStart w:id="144" w:edGrp="everyone" w:colFirst="1" w:colLast="1"/>
            <w:r>
              <w:rPr>
                <w:rFonts w:hint="eastAsia" w:ascii="宋体" w:hAnsi="宋体"/>
                <w:color w:val="000000"/>
                <w:szCs w:val="44"/>
              </w:rPr>
              <w:t>报价唯一</w:t>
            </w:r>
          </w:p>
        </w:tc>
        <w:tc>
          <w:tcPr>
            <w:tcW w:w="650" w:type="pct"/>
            <w:shd w:val="clear" w:color="auto" w:fill="auto"/>
            <w:vAlign w:val="center"/>
          </w:tcPr>
          <w:p>
            <w:pPr>
              <w:jc w:val="center"/>
              <w:rPr>
                <w:rFonts w:ascii="宋体" w:hAnsi="宋体"/>
                <w:color w:val="000000"/>
                <w:szCs w:val="44"/>
              </w:rPr>
            </w:pPr>
            <w:r>
              <w:rPr>
                <w:rFonts w:hint="eastAsia" w:ascii="宋体" w:hAnsi="宋体"/>
                <w:color w:val="000000"/>
                <w:szCs w:val="44"/>
              </w:rPr>
              <w:t>只能有一个有效报价</w:t>
            </w:r>
          </w:p>
        </w:tc>
        <w:tc>
          <w:tcPr>
            <w:tcW w:w="411" w:type="pct"/>
            <w:shd w:val="clear" w:color="auto" w:fill="auto"/>
            <w:vAlign w:val="center"/>
          </w:tcPr>
          <w:p>
            <w:pPr>
              <w:jc w:val="center"/>
              <w:rPr>
                <w:rFonts w:ascii="宋体" w:hAnsi="宋体"/>
                <w:color w:val="000000"/>
                <w:szCs w:val="44"/>
              </w:rPr>
            </w:pPr>
          </w:p>
        </w:tc>
        <w:tc>
          <w:tcPr>
            <w:tcW w:w="343"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r>
      <w:permEnd w:id="143"/>
      <w:permEnd w:id="144"/>
    </w:tbl>
    <w:p>
      <w:pPr>
        <w:ind w:firstLine="5460" w:firstLineChars="2600"/>
        <w:rPr>
          <w:rFonts w:ascii="宋体" w:hAnsi="宋体"/>
          <w:color w:val="000000"/>
          <w:szCs w:val="44"/>
        </w:rPr>
      </w:pPr>
      <w:r>
        <w:rPr>
          <w:rFonts w:hint="eastAsia" w:ascii="宋体" w:hAnsi="宋体"/>
          <w:color w:val="000000"/>
          <w:szCs w:val="44"/>
        </w:rPr>
        <w:t xml:space="preserve">评标委员会全体成员签名：      </w:t>
      </w:r>
      <w:r>
        <w:rPr>
          <w:rFonts w:ascii="宋体" w:hAnsi="宋体"/>
          <w:color w:val="000000"/>
          <w:szCs w:val="44"/>
        </w:rPr>
        <w:tab/>
      </w:r>
      <w:r>
        <w:rPr>
          <w:rFonts w:ascii="宋体" w:hAnsi="宋体"/>
          <w:color w:val="000000"/>
          <w:szCs w:val="44"/>
        </w:rPr>
        <w:tab/>
      </w:r>
      <w:r>
        <w:rPr>
          <w:rFonts w:ascii="宋体" w:hAnsi="宋体"/>
          <w:color w:val="000000"/>
          <w:szCs w:val="44"/>
        </w:rPr>
        <w:tab/>
      </w:r>
      <w:r>
        <w:rPr>
          <w:rFonts w:ascii="宋体" w:hAnsi="宋体"/>
          <w:color w:val="000000"/>
          <w:szCs w:val="44"/>
        </w:rPr>
        <w:tab/>
      </w:r>
      <w:r>
        <w:rPr>
          <w:rFonts w:ascii="宋体" w:hAnsi="宋体"/>
          <w:color w:val="000000"/>
          <w:szCs w:val="44"/>
        </w:rPr>
        <w:tab/>
      </w:r>
      <w:r>
        <w:rPr>
          <w:rFonts w:ascii="宋体" w:hAnsi="宋体"/>
          <w:color w:val="000000"/>
          <w:szCs w:val="44"/>
        </w:rPr>
        <w:tab/>
      </w:r>
      <w:r>
        <w:rPr>
          <w:rFonts w:ascii="宋体" w:hAnsi="宋体"/>
          <w:color w:val="000000"/>
          <w:szCs w:val="44"/>
        </w:rPr>
        <w:tab/>
      </w:r>
      <w:r>
        <w:rPr>
          <w:rFonts w:ascii="宋体" w:hAnsi="宋体"/>
          <w:color w:val="000000"/>
          <w:szCs w:val="44"/>
        </w:rPr>
        <w:tab/>
      </w:r>
      <w:r>
        <w:rPr>
          <w:rFonts w:ascii="宋体" w:hAnsi="宋体"/>
          <w:color w:val="000000"/>
          <w:szCs w:val="44"/>
        </w:rPr>
        <w:tab/>
      </w:r>
      <w:r>
        <w:rPr>
          <w:rFonts w:ascii="宋体" w:hAnsi="宋体"/>
          <w:color w:val="000000"/>
          <w:szCs w:val="44"/>
        </w:rPr>
        <w:tab/>
      </w:r>
      <w:r>
        <w:rPr>
          <w:rFonts w:ascii="宋体" w:hAnsi="宋体"/>
          <w:color w:val="000000"/>
          <w:szCs w:val="44"/>
        </w:rPr>
        <w:tab/>
      </w:r>
      <w:r>
        <w:rPr>
          <w:rFonts w:ascii="宋体" w:hAnsi="宋体"/>
          <w:color w:val="000000"/>
          <w:szCs w:val="44"/>
        </w:rPr>
        <w:tab/>
      </w:r>
      <w:r>
        <w:rPr>
          <w:rFonts w:ascii="宋体" w:hAnsi="宋体"/>
          <w:color w:val="000000"/>
          <w:szCs w:val="44"/>
        </w:rPr>
        <w:tab/>
      </w:r>
      <w:r>
        <w:rPr>
          <w:rFonts w:ascii="宋体" w:hAnsi="宋体"/>
          <w:color w:val="000000"/>
          <w:szCs w:val="44"/>
        </w:rPr>
        <w:tab/>
      </w:r>
      <w:r>
        <w:rPr>
          <w:rFonts w:ascii="宋体" w:hAnsi="宋体"/>
          <w:color w:val="000000"/>
          <w:szCs w:val="44"/>
        </w:rPr>
        <w:tab/>
      </w:r>
      <w:r>
        <w:rPr>
          <w:rFonts w:ascii="宋体" w:hAnsi="宋体"/>
          <w:color w:val="000000"/>
          <w:szCs w:val="44"/>
        </w:rPr>
        <w:tab/>
      </w:r>
      <w:r>
        <w:rPr>
          <w:rFonts w:hint="eastAsia" w:ascii="宋体" w:hAnsi="宋体"/>
          <w:color w:val="000000"/>
          <w:szCs w:val="44"/>
        </w:rPr>
        <w:t>日期：  年 月  日</w:t>
      </w:r>
    </w:p>
    <w:p>
      <w:pPr>
        <w:spacing w:before="312" w:beforeLines="100" w:after="249" w:afterLines="80" w:line="380" w:lineRule="exact"/>
        <w:outlineLvl w:val="2"/>
        <w:rPr>
          <w:rFonts w:ascii="黑体" w:hAnsi="宋体" w:eastAsia="黑体"/>
          <w:color w:val="000000"/>
          <w:sz w:val="24"/>
        </w:rPr>
      </w:pPr>
      <w:r>
        <w:rPr>
          <w:rFonts w:ascii="黑体" w:hAnsi="宋体" w:eastAsia="黑体"/>
          <w:color w:val="000000"/>
          <w:sz w:val="24"/>
        </w:rPr>
        <w:br w:type="page"/>
      </w:r>
      <w:bookmarkStart w:id="274" w:name="_Toc114222755"/>
      <w:r>
        <w:rPr>
          <w:rFonts w:hint="eastAsia" w:ascii="黑体" w:hAnsi="宋体" w:eastAsia="黑体"/>
          <w:color w:val="000000"/>
          <w:sz w:val="24"/>
        </w:rPr>
        <w:t>附表A-3：资格评审记录表（系统自动生成）</w:t>
      </w:r>
      <w:bookmarkEnd w:id="274"/>
    </w:p>
    <w:p>
      <w:pPr>
        <w:jc w:val="center"/>
        <w:rPr>
          <w:rFonts w:ascii="黑体" w:hAnsi="宋体" w:eastAsia="黑体"/>
          <w:color w:val="000000"/>
          <w:sz w:val="28"/>
          <w:szCs w:val="28"/>
        </w:rPr>
      </w:pPr>
      <w:r>
        <w:rPr>
          <w:rFonts w:hint="eastAsia" w:ascii="黑体" w:hAnsi="宋体" w:eastAsia="黑体"/>
          <w:color w:val="000000"/>
          <w:sz w:val="28"/>
          <w:szCs w:val="28"/>
        </w:rPr>
        <w:t>资格评审记录表</w:t>
      </w:r>
    </w:p>
    <w:p>
      <w:pPr>
        <w:adjustRightInd w:val="0"/>
        <w:snapToGrid w:val="0"/>
        <w:spacing w:line="440" w:lineRule="exact"/>
        <w:rPr>
          <w:color w:val="000000"/>
          <w:szCs w:val="44"/>
        </w:rPr>
      </w:pPr>
      <w:r>
        <w:rPr>
          <w:rFonts w:hint="eastAsia"/>
          <w:color w:val="000000"/>
          <w:szCs w:val="44"/>
        </w:rPr>
        <w:t>项目名称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项目编号</w:t>
      </w:r>
    </w:p>
    <w:p>
      <w:pPr>
        <w:rPr>
          <w:rFonts w:ascii="宋体" w:hAnsi="宋体"/>
          <w:color w:val="000000"/>
          <w:szCs w:val="44"/>
        </w:rPr>
      </w:pPr>
      <w:r>
        <w:rPr>
          <w:rFonts w:hint="eastAsia"/>
          <w:color w:val="000000"/>
          <w:szCs w:val="44"/>
        </w:rPr>
        <w:t>标段名称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标段编号</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74"/>
        <w:gridCol w:w="1492"/>
        <w:gridCol w:w="885"/>
        <w:gridCol w:w="886"/>
        <w:gridCol w:w="885"/>
        <w:gridCol w:w="886"/>
        <w:gridCol w:w="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2574" w:type="dxa"/>
            <w:shd w:val="clear" w:color="auto" w:fill="E0E0E0"/>
            <w:vAlign w:val="center"/>
          </w:tcPr>
          <w:p>
            <w:pPr>
              <w:jc w:val="center"/>
              <w:rPr>
                <w:rFonts w:ascii="宋体" w:hAnsi="宋体"/>
                <w:color w:val="000000"/>
                <w:szCs w:val="44"/>
              </w:rPr>
            </w:pPr>
            <w:r>
              <w:rPr>
                <w:rFonts w:hint="eastAsia" w:ascii="宋体" w:hAnsi="宋体"/>
                <w:color w:val="000000"/>
                <w:szCs w:val="44"/>
              </w:rPr>
              <w:t>评审项目</w:t>
            </w:r>
          </w:p>
        </w:tc>
        <w:tc>
          <w:tcPr>
            <w:tcW w:w="1492" w:type="dxa"/>
            <w:shd w:val="clear" w:color="auto" w:fill="E0E0E0"/>
            <w:vAlign w:val="center"/>
          </w:tcPr>
          <w:p>
            <w:pPr>
              <w:jc w:val="center"/>
              <w:rPr>
                <w:rFonts w:ascii="宋体" w:hAnsi="宋体"/>
                <w:color w:val="000000"/>
                <w:szCs w:val="44"/>
              </w:rPr>
            </w:pPr>
            <w:r>
              <w:rPr>
                <w:rFonts w:hint="eastAsia" w:ascii="宋体" w:hAnsi="宋体"/>
                <w:color w:val="000000"/>
                <w:szCs w:val="44"/>
              </w:rPr>
              <w:t>评审标准</w:t>
            </w:r>
          </w:p>
        </w:tc>
        <w:tc>
          <w:tcPr>
            <w:tcW w:w="885" w:type="dxa"/>
            <w:shd w:val="clear" w:color="auto" w:fill="E0E0E0"/>
            <w:vAlign w:val="center"/>
          </w:tcPr>
          <w:p>
            <w:pPr>
              <w:jc w:val="center"/>
              <w:rPr>
                <w:rFonts w:ascii="宋体" w:hAnsi="宋体"/>
                <w:color w:val="000000"/>
                <w:szCs w:val="44"/>
              </w:rPr>
            </w:pPr>
          </w:p>
        </w:tc>
        <w:tc>
          <w:tcPr>
            <w:tcW w:w="886" w:type="dxa"/>
            <w:shd w:val="clear" w:color="auto" w:fill="E0E0E0"/>
            <w:vAlign w:val="center"/>
          </w:tcPr>
          <w:p>
            <w:pPr>
              <w:jc w:val="center"/>
              <w:rPr>
                <w:rFonts w:ascii="宋体" w:hAnsi="宋体"/>
                <w:color w:val="000000"/>
                <w:szCs w:val="44"/>
              </w:rPr>
            </w:pPr>
          </w:p>
        </w:tc>
        <w:tc>
          <w:tcPr>
            <w:tcW w:w="885" w:type="dxa"/>
            <w:shd w:val="clear" w:color="auto" w:fill="E0E0E0"/>
            <w:vAlign w:val="center"/>
          </w:tcPr>
          <w:p>
            <w:pPr>
              <w:jc w:val="center"/>
              <w:rPr>
                <w:rFonts w:ascii="宋体" w:hAnsi="宋体"/>
                <w:color w:val="000000"/>
                <w:szCs w:val="44"/>
              </w:rPr>
            </w:pPr>
          </w:p>
        </w:tc>
        <w:tc>
          <w:tcPr>
            <w:tcW w:w="886" w:type="dxa"/>
            <w:shd w:val="clear" w:color="auto" w:fill="E0E0E0"/>
            <w:vAlign w:val="center"/>
          </w:tcPr>
          <w:p>
            <w:pPr>
              <w:jc w:val="center"/>
              <w:rPr>
                <w:rFonts w:ascii="宋体" w:hAnsi="宋体"/>
                <w:color w:val="000000"/>
                <w:szCs w:val="44"/>
              </w:rPr>
            </w:pPr>
          </w:p>
        </w:tc>
        <w:tc>
          <w:tcPr>
            <w:tcW w:w="886" w:type="dxa"/>
            <w:shd w:val="clear" w:color="auto" w:fill="E0E0E0"/>
            <w:vAlign w:val="center"/>
          </w:tcPr>
          <w:p>
            <w:pPr>
              <w:jc w:val="center"/>
              <w:rPr>
                <w:rFonts w:ascii="宋体" w:hAnsi="宋体"/>
                <w:color w:val="000000"/>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574" w:type="dxa"/>
            <w:vAlign w:val="center"/>
          </w:tcPr>
          <w:p>
            <w:pPr>
              <w:jc w:val="center"/>
              <w:rPr>
                <w:rFonts w:ascii="宋体" w:hAnsi="宋体"/>
                <w:color w:val="000000"/>
                <w:szCs w:val="44"/>
              </w:rPr>
            </w:pPr>
            <w:permStart w:id="145" w:edGrp="everyone"/>
            <w:permStart w:id="146" w:edGrp="everyone" w:colFirst="1" w:colLast="1"/>
            <w:r>
              <w:rPr>
                <w:rFonts w:hint="eastAsia" w:ascii="宋体" w:hAnsi="宋体"/>
                <w:color w:val="000000"/>
                <w:szCs w:val="44"/>
              </w:rPr>
              <w:t>营业执照</w:t>
            </w:r>
            <w:permEnd w:id="145"/>
          </w:p>
        </w:tc>
        <w:tc>
          <w:tcPr>
            <w:tcW w:w="1492" w:type="dxa"/>
            <w:vAlign w:val="center"/>
          </w:tcPr>
          <w:p>
            <w:pPr>
              <w:jc w:val="center"/>
              <w:rPr>
                <w:color w:val="000000"/>
              </w:rPr>
            </w:pPr>
            <w:r>
              <w:rPr>
                <w:rFonts w:hint="eastAsia" w:ascii="宋体" w:hAnsi="宋体"/>
                <w:color w:val="000000"/>
                <w:szCs w:val="44"/>
              </w:rPr>
              <w:t>具备有效的营业执照</w:t>
            </w:r>
          </w:p>
        </w:tc>
        <w:tc>
          <w:tcPr>
            <w:tcW w:w="885" w:type="dxa"/>
            <w:vAlign w:val="center"/>
          </w:tcPr>
          <w:p>
            <w:pPr>
              <w:jc w:val="center"/>
              <w:rPr>
                <w:rFonts w:ascii="宋体" w:hAnsi="宋体"/>
                <w:color w:val="000000"/>
                <w:szCs w:val="44"/>
              </w:rPr>
            </w:pPr>
          </w:p>
        </w:tc>
        <w:tc>
          <w:tcPr>
            <w:tcW w:w="886" w:type="dxa"/>
            <w:vAlign w:val="center"/>
          </w:tcPr>
          <w:p>
            <w:pPr>
              <w:jc w:val="center"/>
              <w:rPr>
                <w:rFonts w:ascii="宋体" w:hAnsi="宋体"/>
                <w:color w:val="000000"/>
                <w:szCs w:val="44"/>
              </w:rPr>
            </w:pPr>
          </w:p>
        </w:tc>
        <w:tc>
          <w:tcPr>
            <w:tcW w:w="885" w:type="dxa"/>
            <w:vAlign w:val="center"/>
          </w:tcPr>
          <w:p>
            <w:pPr>
              <w:jc w:val="center"/>
              <w:rPr>
                <w:rFonts w:ascii="宋体" w:hAnsi="宋体"/>
                <w:color w:val="000000"/>
                <w:szCs w:val="44"/>
              </w:rPr>
            </w:pPr>
          </w:p>
        </w:tc>
        <w:tc>
          <w:tcPr>
            <w:tcW w:w="886" w:type="dxa"/>
            <w:vAlign w:val="center"/>
          </w:tcPr>
          <w:p>
            <w:pPr>
              <w:jc w:val="center"/>
              <w:rPr>
                <w:rFonts w:ascii="宋体" w:hAnsi="宋体"/>
                <w:color w:val="000000"/>
                <w:szCs w:val="44"/>
              </w:rPr>
            </w:pPr>
          </w:p>
        </w:tc>
        <w:tc>
          <w:tcPr>
            <w:tcW w:w="886" w:type="dxa"/>
            <w:vAlign w:val="center"/>
          </w:tcPr>
          <w:p>
            <w:pPr>
              <w:jc w:val="center"/>
              <w:rPr>
                <w:rFonts w:ascii="宋体" w:hAnsi="宋体"/>
                <w:color w:val="000000"/>
                <w:szCs w:val="44"/>
              </w:rPr>
            </w:pPr>
          </w:p>
        </w:tc>
      </w:tr>
      <w:permEnd w:id="14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574" w:type="dxa"/>
            <w:vAlign w:val="center"/>
          </w:tcPr>
          <w:p>
            <w:pPr>
              <w:jc w:val="center"/>
              <w:rPr>
                <w:rFonts w:ascii="宋体" w:hAnsi="宋体"/>
                <w:color w:val="000000"/>
                <w:szCs w:val="44"/>
              </w:rPr>
            </w:pPr>
            <w:permStart w:id="147" w:edGrp="everyone" w:colFirst="0" w:colLast="0"/>
            <w:permStart w:id="148" w:edGrp="everyone" w:colFirst="1" w:colLast="1"/>
            <w:r>
              <w:rPr>
                <w:rFonts w:hint="eastAsia" w:ascii="宋体" w:hAnsi="宋体"/>
                <w:color w:val="000000"/>
                <w:szCs w:val="44"/>
              </w:rPr>
              <w:t>安全生产许可证</w:t>
            </w:r>
          </w:p>
        </w:tc>
        <w:tc>
          <w:tcPr>
            <w:tcW w:w="1492" w:type="dxa"/>
            <w:vAlign w:val="center"/>
          </w:tcPr>
          <w:p>
            <w:pPr>
              <w:jc w:val="center"/>
              <w:rPr>
                <w:color w:val="000000"/>
              </w:rPr>
            </w:pPr>
            <w:r>
              <w:rPr>
                <w:rFonts w:hint="eastAsia" w:ascii="宋体" w:hAnsi="宋体"/>
                <w:color w:val="000000"/>
                <w:szCs w:val="44"/>
              </w:rPr>
              <w:t>具备有效的安全生产许可证（园林类项目的施工单位无需提供）</w:t>
            </w:r>
          </w:p>
        </w:tc>
        <w:tc>
          <w:tcPr>
            <w:tcW w:w="885" w:type="dxa"/>
            <w:vAlign w:val="center"/>
          </w:tcPr>
          <w:p>
            <w:pPr>
              <w:jc w:val="center"/>
              <w:rPr>
                <w:rFonts w:ascii="宋体" w:hAnsi="宋体"/>
                <w:color w:val="000000"/>
                <w:szCs w:val="44"/>
              </w:rPr>
            </w:pPr>
          </w:p>
        </w:tc>
        <w:tc>
          <w:tcPr>
            <w:tcW w:w="886" w:type="dxa"/>
            <w:vAlign w:val="center"/>
          </w:tcPr>
          <w:p>
            <w:pPr>
              <w:jc w:val="center"/>
              <w:rPr>
                <w:rFonts w:ascii="宋体" w:hAnsi="宋体"/>
                <w:color w:val="000000"/>
                <w:szCs w:val="44"/>
              </w:rPr>
            </w:pPr>
          </w:p>
        </w:tc>
        <w:tc>
          <w:tcPr>
            <w:tcW w:w="885" w:type="dxa"/>
            <w:vAlign w:val="center"/>
          </w:tcPr>
          <w:p>
            <w:pPr>
              <w:jc w:val="center"/>
              <w:rPr>
                <w:rFonts w:ascii="宋体" w:hAnsi="宋体"/>
                <w:color w:val="000000"/>
                <w:szCs w:val="44"/>
              </w:rPr>
            </w:pPr>
          </w:p>
        </w:tc>
        <w:tc>
          <w:tcPr>
            <w:tcW w:w="886" w:type="dxa"/>
            <w:vAlign w:val="center"/>
          </w:tcPr>
          <w:p>
            <w:pPr>
              <w:jc w:val="center"/>
              <w:rPr>
                <w:rFonts w:ascii="宋体" w:hAnsi="宋体"/>
                <w:color w:val="000000"/>
                <w:szCs w:val="44"/>
              </w:rPr>
            </w:pPr>
          </w:p>
        </w:tc>
        <w:tc>
          <w:tcPr>
            <w:tcW w:w="886" w:type="dxa"/>
            <w:vAlign w:val="center"/>
          </w:tcPr>
          <w:p>
            <w:pPr>
              <w:jc w:val="center"/>
              <w:rPr>
                <w:rFonts w:ascii="宋体" w:hAnsi="宋体"/>
                <w:color w:val="000000"/>
                <w:szCs w:val="44"/>
              </w:rPr>
            </w:pPr>
          </w:p>
        </w:tc>
      </w:tr>
      <w:permEnd w:id="147"/>
      <w:permEnd w:id="14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574" w:type="dxa"/>
            <w:vAlign w:val="center"/>
          </w:tcPr>
          <w:p>
            <w:pPr>
              <w:jc w:val="center"/>
              <w:rPr>
                <w:rFonts w:ascii="宋体" w:hAnsi="宋体"/>
                <w:color w:val="000000"/>
                <w:szCs w:val="44"/>
              </w:rPr>
            </w:pPr>
            <w:permStart w:id="149" w:edGrp="everyone" w:colFirst="0" w:colLast="0"/>
            <w:permStart w:id="150" w:edGrp="everyone" w:colFirst="1" w:colLast="1"/>
            <w:r>
              <w:rPr>
                <w:rFonts w:hint="eastAsia" w:ascii="宋体" w:hAnsi="宋体"/>
                <w:color w:val="000000"/>
                <w:szCs w:val="44"/>
              </w:rPr>
              <w:t>资质等级</w:t>
            </w:r>
          </w:p>
        </w:tc>
        <w:tc>
          <w:tcPr>
            <w:tcW w:w="1492" w:type="dxa"/>
            <w:vAlign w:val="center"/>
          </w:tcPr>
          <w:p>
            <w:pPr>
              <w:jc w:val="center"/>
              <w:rPr>
                <w:color w:val="000000"/>
              </w:rPr>
            </w:pPr>
            <w:r>
              <w:rPr>
                <w:rFonts w:hint="eastAsia" w:ascii="宋体" w:hAnsi="宋体"/>
                <w:color w:val="000000"/>
                <w:szCs w:val="44"/>
              </w:rPr>
              <w:t>符合第二章“投标人须知”第1.4.1项规定</w:t>
            </w:r>
          </w:p>
        </w:tc>
        <w:tc>
          <w:tcPr>
            <w:tcW w:w="885" w:type="dxa"/>
            <w:vAlign w:val="center"/>
          </w:tcPr>
          <w:p>
            <w:pPr>
              <w:jc w:val="center"/>
              <w:rPr>
                <w:rFonts w:ascii="宋体" w:hAnsi="宋体"/>
                <w:color w:val="000000"/>
                <w:szCs w:val="44"/>
              </w:rPr>
            </w:pPr>
          </w:p>
        </w:tc>
        <w:tc>
          <w:tcPr>
            <w:tcW w:w="886" w:type="dxa"/>
            <w:vAlign w:val="center"/>
          </w:tcPr>
          <w:p>
            <w:pPr>
              <w:jc w:val="center"/>
              <w:rPr>
                <w:rFonts w:ascii="宋体" w:hAnsi="宋体"/>
                <w:color w:val="000000"/>
                <w:szCs w:val="44"/>
              </w:rPr>
            </w:pPr>
          </w:p>
        </w:tc>
        <w:tc>
          <w:tcPr>
            <w:tcW w:w="885" w:type="dxa"/>
            <w:vAlign w:val="center"/>
          </w:tcPr>
          <w:p>
            <w:pPr>
              <w:jc w:val="center"/>
              <w:rPr>
                <w:rFonts w:ascii="宋体" w:hAnsi="宋体"/>
                <w:color w:val="000000"/>
                <w:szCs w:val="44"/>
              </w:rPr>
            </w:pPr>
          </w:p>
        </w:tc>
        <w:tc>
          <w:tcPr>
            <w:tcW w:w="886" w:type="dxa"/>
            <w:vAlign w:val="center"/>
          </w:tcPr>
          <w:p>
            <w:pPr>
              <w:jc w:val="center"/>
              <w:rPr>
                <w:rFonts w:ascii="宋体" w:hAnsi="宋体"/>
                <w:color w:val="000000"/>
                <w:szCs w:val="44"/>
              </w:rPr>
            </w:pPr>
          </w:p>
        </w:tc>
        <w:tc>
          <w:tcPr>
            <w:tcW w:w="886" w:type="dxa"/>
            <w:vAlign w:val="center"/>
          </w:tcPr>
          <w:p>
            <w:pPr>
              <w:jc w:val="center"/>
              <w:rPr>
                <w:rFonts w:ascii="宋体" w:hAnsi="宋体"/>
                <w:color w:val="000000"/>
                <w:szCs w:val="44"/>
              </w:rPr>
            </w:pPr>
          </w:p>
        </w:tc>
      </w:tr>
      <w:permEnd w:id="149"/>
      <w:permEnd w:id="15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574" w:type="dxa"/>
            <w:vAlign w:val="center"/>
          </w:tcPr>
          <w:p>
            <w:pPr>
              <w:jc w:val="center"/>
              <w:rPr>
                <w:rFonts w:ascii="宋体" w:hAnsi="宋体"/>
                <w:color w:val="000000"/>
                <w:szCs w:val="44"/>
              </w:rPr>
            </w:pPr>
            <w:permStart w:id="151" w:edGrp="everyone" w:colFirst="0" w:colLast="0"/>
            <w:permStart w:id="152" w:edGrp="everyone" w:colFirst="1" w:colLast="1"/>
            <w:r>
              <w:rPr>
                <w:rFonts w:hint="eastAsia" w:ascii="宋体" w:hAnsi="宋体"/>
                <w:color w:val="000000"/>
                <w:szCs w:val="44"/>
              </w:rPr>
              <w:t>企业诚信</w:t>
            </w:r>
          </w:p>
        </w:tc>
        <w:tc>
          <w:tcPr>
            <w:tcW w:w="1492" w:type="dxa"/>
            <w:vAlign w:val="center"/>
          </w:tcPr>
          <w:p>
            <w:pPr>
              <w:jc w:val="center"/>
              <w:rPr>
                <w:color w:val="000000"/>
              </w:rPr>
            </w:pPr>
            <w:r>
              <w:rPr>
                <w:rFonts w:hint="eastAsia" w:ascii="宋体" w:hAnsi="宋体"/>
                <w:color w:val="000000"/>
                <w:szCs w:val="44"/>
              </w:rPr>
              <w:t>符合第二章“投标人须知”第1.4.1项规定</w:t>
            </w:r>
          </w:p>
        </w:tc>
        <w:tc>
          <w:tcPr>
            <w:tcW w:w="885" w:type="dxa"/>
            <w:vAlign w:val="center"/>
          </w:tcPr>
          <w:p>
            <w:pPr>
              <w:jc w:val="center"/>
              <w:rPr>
                <w:rFonts w:ascii="宋体" w:hAnsi="宋体"/>
                <w:color w:val="000000"/>
                <w:szCs w:val="44"/>
              </w:rPr>
            </w:pPr>
          </w:p>
        </w:tc>
        <w:tc>
          <w:tcPr>
            <w:tcW w:w="886" w:type="dxa"/>
            <w:vAlign w:val="center"/>
          </w:tcPr>
          <w:p>
            <w:pPr>
              <w:jc w:val="center"/>
              <w:rPr>
                <w:rFonts w:ascii="宋体" w:hAnsi="宋体"/>
                <w:color w:val="000000"/>
                <w:szCs w:val="44"/>
              </w:rPr>
            </w:pPr>
          </w:p>
        </w:tc>
        <w:tc>
          <w:tcPr>
            <w:tcW w:w="885" w:type="dxa"/>
            <w:vAlign w:val="center"/>
          </w:tcPr>
          <w:p>
            <w:pPr>
              <w:jc w:val="center"/>
              <w:rPr>
                <w:rFonts w:ascii="宋体" w:hAnsi="宋体"/>
                <w:color w:val="000000"/>
                <w:szCs w:val="44"/>
              </w:rPr>
            </w:pPr>
          </w:p>
        </w:tc>
        <w:tc>
          <w:tcPr>
            <w:tcW w:w="886" w:type="dxa"/>
            <w:vAlign w:val="center"/>
          </w:tcPr>
          <w:p>
            <w:pPr>
              <w:jc w:val="center"/>
              <w:rPr>
                <w:rFonts w:ascii="宋体" w:hAnsi="宋体"/>
                <w:color w:val="000000"/>
                <w:szCs w:val="44"/>
              </w:rPr>
            </w:pPr>
          </w:p>
        </w:tc>
        <w:tc>
          <w:tcPr>
            <w:tcW w:w="886" w:type="dxa"/>
            <w:vAlign w:val="center"/>
          </w:tcPr>
          <w:p>
            <w:pPr>
              <w:jc w:val="center"/>
              <w:rPr>
                <w:rFonts w:ascii="宋体" w:hAnsi="宋体"/>
                <w:color w:val="000000"/>
                <w:szCs w:val="44"/>
              </w:rPr>
            </w:pPr>
          </w:p>
        </w:tc>
      </w:tr>
      <w:permEnd w:id="151"/>
      <w:permEnd w:id="15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574" w:type="dxa"/>
            <w:vAlign w:val="center"/>
          </w:tcPr>
          <w:p>
            <w:pPr>
              <w:jc w:val="center"/>
              <w:rPr>
                <w:rFonts w:ascii="宋体" w:hAnsi="宋体"/>
                <w:color w:val="000000"/>
                <w:szCs w:val="44"/>
              </w:rPr>
            </w:pPr>
            <w:permStart w:id="153" w:edGrp="everyone" w:colFirst="0" w:colLast="0"/>
            <w:permStart w:id="154" w:edGrp="everyone" w:colFirst="1" w:colLast="1"/>
            <w:r>
              <w:rPr>
                <w:rFonts w:hint="eastAsia"/>
                <w:color w:val="000000"/>
              </w:rPr>
              <w:t>项目负责人（项目经理）</w:t>
            </w:r>
          </w:p>
        </w:tc>
        <w:tc>
          <w:tcPr>
            <w:tcW w:w="1492" w:type="dxa"/>
            <w:vAlign w:val="center"/>
          </w:tcPr>
          <w:p>
            <w:pPr>
              <w:jc w:val="center"/>
              <w:rPr>
                <w:color w:val="000000"/>
              </w:rPr>
            </w:pPr>
            <w:r>
              <w:rPr>
                <w:rFonts w:hint="eastAsia" w:ascii="宋体" w:hAnsi="宋体"/>
                <w:color w:val="000000"/>
                <w:szCs w:val="44"/>
              </w:rPr>
              <w:t>符合第二章“投标人须知”第1.4.1项规定</w:t>
            </w:r>
          </w:p>
        </w:tc>
        <w:tc>
          <w:tcPr>
            <w:tcW w:w="885" w:type="dxa"/>
            <w:vAlign w:val="center"/>
          </w:tcPr>
          <w:p>
            <w:pPr>
              <w:jc w:val="center"/>
              <w:rPr>
                <w:rFonts w:ascii="宋体" w:hAnsi="宋体"/>
                <w:color w:val="000000"/>
                <w:szCs w:val="44"/>
              </w:rPr>
            </w:pPr>
          </w:p>
        </w:tc>
        <w:tc>
          <w:tcPr>
            <w:tcW w:w="886" w:type="dxa"/>
            <w:vAlign w:val="center"/>
          </w:tcPr>
          <w:p>
            <w:pPr>
              <w:jc w:val="center"/>
              <w:rPr>
                <w:rFonts w:ascii="宋体" w:hAnsi="宋体"/>
                <w:color w:val="000000"/>
                <w:szCs w:val="44"/>
              </w:rPr>
            </w:pPr>
          </w:p>
        </w:tc>
        <w:tc>
          <w:tcPr>
            <w:tcW w:w="885" w:type="dxa"/>
            <w:vAlign w:val="center"/>
          </w:tcPr>
          <w:p>
            <w:pPr>
              <w:jc w:val="center"/>
              <w:rPr>
                <w:rFonts w:ascii="宋体" w:hAnsi="宋体"/>
                <w:color w:val="000000"/>
                <w:szCs w:val="44"/>
              </w:rPr>
            </w:pPr>
          </w:p>
        </w:tc>
        <w:tc>
          <w:tcPr>
            <w:tcW w:w="886" w:type="dxa"/>
            <w:vAlign w:val="center"/>
          </w:tcPr>
          <w:p>
            <w:pPr>
              <w:jc w:val="center"/>
              <w:rPr>
                <w:rFonts w:ascii="宋体" w:hAnsi="宋体"/>
                <w:color w:val="000000"/>
                <w:szCs w:val="44"/>
              </w:rPr>
            </w:pPr>
          </w:p>
        </w:tc>
        <w:tc>
          <w:tcPr>
            <w:tcW w:w="886" w:type="dxa"/>
            <w:vAlign w:val="center"/>
          </w:tcPr>
          <w:p>
            <w:pPr>
              <w:jc w:val="center"/>
              <w:rPr>
                <w:rFonts w:ascii="宋体" w:hAnsi="宋体"/>
                <w:color w:val="000000"/>
                <w:szCs w:val="44"/>
              </w:rPr>
            </w:pPr>
          </w:p>
        </w:tc>
      </w:tr>
      <w:permEnd w:id="153"/>
      <w:permEnd w:id="15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574" w:type="dxa"/>
            <w:vAlign w:val="center"/>
          </w:tcPr>
          <w:p>
            <w:pPr>
              <w:jc w:val="center"/>
              <w:rPr>
                <w:rFonts w:ascii="宋体" w:hAnsi="宋体"/>
                <w:color w:val="000000"/>
                <w:szCs w:val="44"/>
              </w:rPr>
            </w:pPr>
            <w:permStart w:id="155" w:edGrp="everyone" w:colFirst="0" w:colLast="0"/>
            <w:permStart w:id="156" w:edGrp="everyone" w:colFirst="1" w:colLast="1"/>
            <w:r>
              <w:rPr>
                <w:rFonts w:hint="eastAsia" w:ascii="宋体" w:hAnsi="宋体"/>
                <w:color w:val="000000"/>
                <w:szCs w:val="44"/>
              </w:rPr>
              <w:t>联合体投标人（如有）</w:t>
            </w:r>
          </w:p>
        </w:tc>
        <w:tc>
          <w:tcPr>
            <w:tcW w:w="1492" w:type="dxa"/>
            <w:vAlign w:val="center"/>
          </w:tcPr>
          <w:p>
            <w:pPr>
              <w:jc w:val="center"/>
              <w:rPr>
                <w:color w:val="000000"/>
              </w:rPr>
            </w:pPr>
            <w:r>
              <w:rPr>
                <w:rFonts w:hint="eastAsia" w:ascii="宋体" w:hAnsi="宋体"/>
                <w:color w:val="000000"/>
                <w:szCs w:val="44"/>
              </w:rPr>
              <w:t>符合第二章“投标人须知”第1.4.</w:t>
            </w:r>
            <w:r>
              <w:rPr>
                <w:rFonts w:ascii="宋体" w:hAnsi="宋体"/>
                <w:color w:val="000000"/>
                <w:szCs w:val="44"/>
              </w:rPr>
              <w:t>2</w:t>
            </w:r>
            <w:r>
              <w:rPr>
                <w:rFonts w:hint="eastAsia" w:ascii="宋体" w:hAnsi="宋体"/>
                <w:color w:val="000000"/>
                <w:szCs w:val="44"/>
              </w:rPr>
              <w:t>项规定</w:t>
            </w:r>
          </w:p>
        </w:tc>
        <w:tc>
          <w:tcPr>
            <w:tcW w:w="885" w:type="dxa"/>
            <w:vAlign w:val="center"/>
          </w:tcPr>
          <w:p>
            <w:pPr>
              <w:jc w:val="center"/>
              <w:rPr>
                <w:rFonts w:ascii="宋体" w:hAnsi="宋体"/>
                <w:color w:val="000000"/>
                <w:szCs w:val="44"/>
              </w:rPr>
            </w:pPr>
          </w:p>
        </w:tc>
        <w:tc>
          <w:tcPr>
            <w:tcW w:w="886" w:type="dxa"/>
            <w:vAlign w:val="center"/>
          </w:tcPr>
          <w:p>
            <w:pPr>
              <w:jc w:val="center"/>
              <w:rPr>
                <w:rFonts w:ascii="宋体" w:hAnsi="宋体"/>
                <w:color w:val="000000"/>
                <w:szCs w:val="44"/>
              </w:rPr>
            </w:pPr>
          </w:p>
        </w:tc>
        <w:tc>
          <w:tcPr>
            <w:tcW w:w="885" w:type="dxa"/>
            <w:vAlign w:val="center"/>
          </w:tcPr>
          <w:p>
            <w:pPr>
              <w:jc w:val="center"/>
              <w:rPr>
                <w:rFonts w:ascii="宋体" w:hAnsi="宋体"/>
                <w:color w:val="000000"/>
                <w:szCs w:val="44"/>
              </w:rPr>
            </w:pPr>
          </w:p>
        </w:tc>
        <w:tc>
          <w:tcPr>
            <w:tcW w:w="886" w:type="dxa"/>
            <w:vAlign w:val="center"/>
          </w:tcPr>
          <w:p>
            <w:pPr>
              <w:jc w:val="center"/>
              <w:rPr>
                <w:rFonts w:ascii="宋体" w:hAnsi="宋体"/>
                <w:color w:val="000000"/>
                <w:szCs w:val="44"/>
              </w:rPr>
            </w:pPr>
          </w:p>
        </w:tc>
        <w:tc>
          <w:tcPr>
            <w:tcW w:w="886" w:type="dxa"/>
            <w:vAlign w:val="center"/>
          </w:tcPr>
          <w:p>
            <w:pPr>
              <w:jc w:val="center"/>
              <w:rPr>
                <w:rFonts w:ascii="宋体" w:hAnsi="宋体"/>
                <w:color w:val="000000"/>
                <w:szCs w:val="44"/>
              </w:rPr>
            </w:pPr>
          </w:p>
        </w:tc>
      </w:tr>
      <w:permEnd w:id="155"/>
      <w:permEnd w:id="156"/>
    </w:tbl>
    <w:p>
      <w:pPr>
        <w:ind w:left="5670" w:leftChars="2600" w:hanging="210" w:hangingChars="100"/>
        <w:jc w:val="right"/>
        <w:rPr>
          <w:rFonts w:ascii="宋体" w:hAnsi="宋体"/>
          <w:color w:val="000000"/>
          <w:szCs w:val="44"/>
        </w:rPr>
      </w:pPr>
      <w:r>
        <w:rPr>
          <w:rFonts w:hint="eastAsia" w:ascii="宋体" w:hAnsi="宋体"/>
          <w:color w:val="000000"/>
          <w:szCs w:val="44"/>
        </w:rPr>
        <w:t>评标委员会全体成员签名：                                                       日期：  年 月  日</w:t>
      </w:r>
    </w:p>
    <w:p>
      <w:pPr>
        <w:spacing w:before="312" w:beforeLines="100" w:after="249" w:afterLines="80" w:line="380" w:lineRule="exact"/>
        <w:outlineLvl w:val="2"/>
        <w:rPr>
          <w:rFonts w:ascii="黑体" w:hAnsi="宋体" w:eastAsia="黑体"/>
          <w:color w:val="000000"/>
          <w:sz w:val="24"/>
        </w:rPr>
      </w:pPr>
      <w:r>
        <w:rPr>
          <w:rFonts w:ascii="黑体" w:hAnsi="宋体" w:eastAsia="黑体"/>
          <w:color w:val="000000"/>
          <w:sz w:val="24"/>
        </w:rPr>
        <w:br w:type="page"/>
      </w:r>
      <w:bookmarkStart w:id="275" w:name="_Toc114222756"/>
      <w:r>
        <w:rPr>
          <w:rFonts w:hint="eastAsia" w:ascii="黑体" w:hAnsi="宋体" w:eastAsia="黑体"/>
          <w:color w:val="000000"/>
          <w:sz w:val="24"/>
        </w:rPr>
        <w:t>附表A-4：响应性评审记录表（系统自动生成）</w:t>
      </w:r>
      <w:bookmarkEnd w:id="275"/>
    </w:p>
    <w:p>
      <w:pPr>
        <w:jc w:val="center"/>
        <w:rPr>
          <w:rFonts w:ascii="黑体" w:hAnsi="宋体" w:eastAsia="黑体"/>
          <w:color w:val="000000"/>
          <w:sz w:val="28"/>
          <w:szCs w:val="28"/>
        </w:rPr>
      </w:pPr>
      <w:r>
        <w:rPr>
          <w:rFonts w:hint="eastAsia" w:ascii="黑体" w:hAnsi="宋体" w:eastAsia="黑体"/>
          <w:color w:val="000000"/>
          <w:sz w:val="28"/>
          <w:szCs w:val="28"/>
        </w:rPr>
        <w:t>响应性评审记录表</w:t>
      </w:r>
    </w:p>
    <w:p>
      <w:pPr>
        <w:adjustRightInd w:val="0"/>
        <w:snapToGrid w:val="0"/>
        <w:spacing w:line="440" w:lineRule="exact"/>
        <w:rPr>
          <w:color w:val="000000"/>
          <w:szCs w:val="44"/>
        </w:rPr>
      </w:pPr>
      <w:r>
        <w:rPr>
          <w:rFonts w:hint="eastAsia"/>
          <w:color w:val="000000"/>
          <w:szCs w:val="44"/>
        </w:rPr>
        <w:t>项目名称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项目编号</w:t>
      </w:r>
    </w:p>
    <w:p>
      <w:pPr>
        <w:rPr>
          <w:rFonts w:ascii="宋体" w:hAnsi="宋体"/>
          <w:color w:val="000000"/>
          <w:szCs w:val="44"/>
        </w:rPr>
      </w:pPr>
      <w:r>
        <w:rPr>
          <w:rFonts w:hint="eastAsia"/>
          <w:color w:val="000000"/>
          <w:szCs w:val="44"/>
        </w:rPr>
        <w:t>标段名称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标段编号</w:t>
      </w:r>
    </w:p>
    <w:p>
      <w:pPr>
        <w:rPr>
          <w:rFonts w:ascii="宋体" w:hAnsi="宋体"/>
          <w:color w:val="000000"/>
          <w:szCs w:val="44"/>
        </w:rPr>
      </w:pPr>
    </w:p>
    <w:tbl>
      <w:tblPr>
        <w:tblStyle w:val="36"/>
        <w:tblW w:w="89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7"/>
        <w:gridCol w:w="3691"/>
        <w:gridCol w:w="325"/>
        <w:gridCol w:w="479"/>
        <w:gridCol w:w="373"/>
        <w:gridCol w:w="562"/>
        <w:gridCol w:w="373"/>
        <w:gridCol w:w="561"/>
        <w:gridCol w:w="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37" w:hRule="atLeast"/>
        </w:trPr>
        <w:tc>
          <w:tcPr>
            <w:tcW w:w="1867" w:type="dxa"/>
            <w:shd w:val="clear" w:color="auto" w:fill="E0E0E0"/>
            <w:vAlign w:val="center"/>
          </w:tcPr>
          <w:p>
            <w:pPr>
              <w:jc w:val="center"/>
              <w:rPr>
                <w:rFonts w:ascii="宋体" w:hAnsi="宋体"/>
                <w:color w:val="000000"/>
                <w:szCs w:val="44"/>
              </w:rPr>
            </w:pPr>
            <w:r>
              <w:rPr>
                <w:rFonts w:hint="eastAsia" w:ascii="宋体" w:hAnsi="宋体"/>
                <w:color w:val="000000"/>
                <w:szCs w:val="44"/>
              </w:rPr>
              <w:t>评审项目</w:t>
            </w:r>
          </w:p>
        </w:tc>
        <w:tc>
          <w:tcPr>
            <w:tcW w:w="3691" w:type="dxa"/>
            <w:shd w:val="clear" w:color="auto" w:fill="E0E0E0"/>
            <w:vAlign w:val="center"/>
          </w:tcPr>
          <w:p>
            <w:pPr>
              <w:jc w:val="center"/>
              <w:rPr>
                <w:rFonts w:ascii="宋体" w:hAnsi="宋体"/>
                <w:color w:val="000000"/>
                <w:szCs w:val="44"/>
              </w:rPr>
            </w:pPr>
            <w:r>
              <w:rPr>
                <w:rFonts w:hint="eastAsia" w:ascii="宋体" w:hAnsi="宋体"/>
                <w:color w:val="000000"/>
                <w:szCs w:val="44"/>
              </w:rPr>
              <w:t>评审标准</w:t>
            </w:r>
          </w:p>
        </w:tc>
        <w:tc>
          <w:tcPr>
            <w:tcW w:w="325" w:type="dxa"/>
            <w:shd w:val="clear" w:color="auto" w:fill="E0E0E0"/>
            <w:vAlign w:val="center"/>
          </w:tcPr>
          <w:p>
            <w:pPr>
              <w:jc w:val="center"/>
              <w:rPr>
                <w:rFonts w:ascii="宋体" w:hAnsi="宋体"/>
                <w:b/>
                <w:bCs/>
                <w:color w:val="000000"/>
                <w:szCs w:val="44"/>
              </w:rPr>
            </w:pPr>
          </w:p>
        </w:tc>
        <w:tc>
          <w:tcPr>
            <w:tcW w:w="479" w:type="dxa"/>
            <w:shd w:val="clear" w:color="auto" w:fill="E0E0E0"/>
            <w:vAlign w:val="center"/>
          </w:tcPr>
          <w:p>
            <w:pPr>
              <w:jc w:val="center"/>
              <w:rPr>
                <w:rFonts w:ascii="宋体" w:hAnsi="宋体"/>
                <w:color w:val="000000"/>
                <w:szCs w:val="44"/>
              </w:rPr>
            </w:pPr>
          </w:p>
        </w:tc>
        <w:tc>
          <w:tcPr>
            <w:tcW w:w="373" w:type="dxa"/>
            <w:shd w:val="clear" w:color="auto" w:fill="E0E0E0"/>
            <w:vAlign w:val="center"/>
          </w:tcPr>
          <w:p>
            <w:pPr>
              <w:jc w:val="center"/>
              <w:rPr>
                <w:rFonts w:ascii="宋体" w:hAnsi="宋体"/>
                <w:color w:val="000000"/>
                <w:szCs w:val="44"/>
              </w:rPr>
            </w:pPr>
          </w:p>
        </w:tc>
        <w:tc>
          <w:tcPr>
            <w:tcW w:w="562" w:type="dxa"/>
            <w:shd w:val="clear" w:color="auto" w:fill="E0E0E0"/>
            <w:vAlign w:val="center"/>
          </w:tcPr>
          <w:p>
            <w:pPr>
              <w:jc w:val="center"/>
              <w:rPr>
                <w:rFonts w:ascii="宋体" w:hAnsi="宋体"/>
                <w:color w:val="000000"/>
                <w:szCs w:val="44"/>
              </w:rPr>
            </w:pPr>
          </w:p>
        </w:tc>
        <w:tc>
          <w:tcPr>
            <w:tcW w:w="373" w:type="dxa"/>
            <w:shd w:val="clear" w:color="auto" w:fill="E0E0E0"/>
            <w:vAlign w:val="center"/>
          </w:tcPr>
          <w:p>
            <w:pPr>
              <w:jc w:val="center"/>
              <w:rPr>
                <w:rFonts w:ascii="宋体" w:hAnsi="宋体"/>
                <w:color w:val="000000"/>
                <w:szCs w:val="44"/>
              </w:rPr>
            </w:pPr>
          </w:p>
        </w:tc>
        <w:tc>
          <w:tcPr>
            <w:tcW w:w="561" w:type="dxa"/>
            <w:shd w:val="clear" w:color="auto" w:fill="E0E0E0"/>
            <w:vAlign w:val="center"/>
          </w:tcPr>
          <w:p>
            <w:pPr>
              <w:jc w:val="center"/>
              <w:rPr>
                <w:rFonts w:ascii="宋体" w:hAnsi="宋体"/>
                <w:color w:val="000000"/>
                <w:szCs w:val="44"/>
              </w:rPr>
            </w:pPr>
          </w:p>
        </w:tc>
        <w:tc>
          <w:tcPr>
            <w:tcW w:w="749" w:type="dxa"/>
            <w:shd w:val="clear" w:color="auto" w:fill="E0E0E0"/>
            <w:vAlign w:val="center"/>
          </w:tcPr>
          <w:p>
            <w:pPr>
              <w:jc w:val="center"/>
              <w:rPr>
                <w:rFonts w:ascii="宋体" w:hAnsi="宋体"/>
                <w:color w:val="000000"/>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2" w:hRule="atLeast"/>
        </w:trPr>
        <w:tc>
          <w:tcPr>
            <w:tcW w:w="1867" w:type="dxa"/>
            <w:vAlign w:val="center"/>
          </w:tcPr>
          <w:p>
            <w:pPr>
              <w:jc w:val="center"/>
              <w:rPr>
                <w:rFonts w:ascii="宋体" w:hAnsi="宋体"/>
                <w:color w:val="000000"/>
                <w:szCs w:val="44"/>
              </w:rPr>
            </w:pPr>
            <w:permStart w:id="157" w:edGrp="everyone" w:colFirst="0" w:colLast="0"/>
            <w:permStart w:id="158" w:edGrp="everyone" w:colFirst="1" w:colLast="1"/>
            <w:r>
              <w:rPr>
                <w:rFonts w:hint="eastAsia" w:ascii="宋体" w:hAnsi="宋体"/>
                <w:color w:val="000000"/>
                <w:szCs w:val="44"/>
              </w:rPr>
              <w:t>投标内容</w:t>
            </w:r>
          </w:p>
        </w:tc>
        <w:tc>
          <w:tcPr>
            <w:tcW w:w="3691" w:type="dxa"/>
          </w:tcPr>
          <w:p>
            <w:pPr>
              <w:jc w:val="center"/>
              <w:rPr>
                <w:color w:val="000000"/>
              </w:rPr>
            </w:pPr>
            <w:r>
              <w:rPr>
                <w:rFonts w:hint="eastAsia" w:ascii="宋体" w:hAnsi="宋体"/>
                <w:color w:val="000000"/>
                <w:szCs w:val="44"/>
              </w:rPr>
              <w:t>符合第二章“投标人须知”第1.3.1项规定</w:t>
            </w:r>
          </w:p>
        </w:tc>
        <w:tc>
          <w:tcPr>
            <w:tcW w:w="325" w:type="dxa"/>
            <w:vAlign w:val="center"/>
          </w:tcPr>
          <w:p>
            <w:pPr>
              <w:jc w:val="center"/>
              <w:rPr>
                <w:rFonts w:ascii="宋体" w:hAnsi="宋体"/>
                <w:color w:val="000000"/>
                <w:szCs w:val="44"/>
              </w:rPr>
            </w:pPr>
          </w:p>
        </w:tc>
        <w:tc>
          <w:tcPr>
            <w:tcW w:w="479" w:type="dxa"/>
            <w:vAlign w:val="center"/>
          </w:tcPr>
          <w:p>
            <w:pPr>
              <w:jc w:val="center"/>
              <w:rPr>
                <w:rFonts w:ascii="宋体" w:hAnsi="宋体"/>
                <w:color w:val="000000"/>
                <w:szCs w:val="44"/>
              </w:rPr>
            </w:pPr>
          </w:p>
        </w:tc>
        <w:tc>
          <w:tcPr>
            <w:tcW w:w="373" w:type="dxa"/>
            <w:vAlign w:val="center"/>
          </w:tcPr>
          <w:p>
            <w:pPr>
              <w:jc w:val="center"/>
              <w:rPr>
                <w:rFonts w:ascii="宋体" w:hAnsi="宋体"/>
                <w:color w:val="000000"/>
                <w:szCs w:val="44"/>
              </w:rPr>
            </w:pPr>
          </w:p>
        </w:tc>
        <w:tc>
          <w:tcPr>
            <w:tcW w:w="562" w:type="dxa"/>
            <w:vAlign w:val="center"/>
          </w:tcPr>
          <w:p>
            <w:pPr>
              <w:jc w:val="center"/>
              <w:rPr>
                <w:rFonts w:ascii="宋体" w:hAnsi="宋体"/>
                <w:color w:val="000000"/>
                <w:szCs w:val="44"/>
              </w:rPr>
            </w:pPr>
          </w:p>
        </w:tc>
        <w:tc>
          <w:tcPr>
            <w:tcW w:w="373" w:type="dxa"/>
            <w:vAlign w:val="center"/>
          </w:tcPr>
          <w:p>
            <w:pPr>
              <w:jc w:val="center"/>
              <w:rPr>
                <w:rFonts w:ascii="宋体" w:hAnsi="宋体"/>
                <w:color w:val="000000"/>
                <w:szCs w:val="44"/>
              </w:rPr>
            </w:pPr>
          </w:p>
        </w:tc>
        <w:tc>
          <w:tcPr>
            <w:tcW w:w="561" w:type="dxa"/>
            <w:vAlign w:val="center"/>
          </w:tcPr>
          <w:p>
            <w:pPr>
              <w:jc w:val="center"/>
              <w:rPr>
                <w:rFonts w:ascii="宋体" w:hAnsi="宋体"/>
                <w:color w:val="000000"/>
                <w:szCs w:val="44"/>
              </w:rPr>
            </w:pPr>
          </w:p>
        </w:tc>
        <w:tc>
          <w:tcPr>
            <w:tcW w:w="749" w:type="dxa"/>
            <w:vAlign w:val="center"/>
          </w:tcPr>
          <w:p>
            <w:pPr>
              <w:jc w:val="center"/>
              <w:rPr>
                <w:rFonts w:ascii="宋体" w:hAnsi="宋体"/>
                <w:color w:val="000000"/>
                <w:szCs w:val="44"/>
              </w:rPr>
            </w:pPr>
          </w:p>
        </w:tc>
      </w:tr>
      <w:permEnd w:id="157"/>
      <w:permEnd w:id="15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2" w:hRule="atLeast"/>
        </w:trPr>
        <w:tc>
          <w:tcPr>
            <w:tcW w:w="1867" w:type="dxa"/>
            <w:vAlign w:val="center"/>
          </w:tcPr>
          <w:p>
            <w:pPr>
              <w:jc w:val="center"/>
              <w:rPr>
                <w:rFonts w:ascii="宋体" w:hAnsi="宋体"/>
                <w:color w:val="000000"/>
                <w:szCs w:val="44"/>
              </w:rPr>
            </w:pPr>
            <w:permStart w:id="159" w:edGrp="everyone" w:colFirst="0" w:colLast="0"/>
            <w:permStart w:id="160" w:edGrp="everyone" w:colFirst="1" w:colLast="1"/>
            <w:r>
              <w:rPr>
                <w:rFonts w:hint="eastAsia" w:ascii="宋体" w:hAnsi="宋体"/>
                <w:color w:val="000000"/>
                <w:szCs w:val="44"/>
              </w:rPr>
              <w:t>工期</w:t>
            </w:r>
          </w:p>
        </w:tc>
        <w:tc>
          <w:tcPr>
            <w:tcW w:w="3691" w:type="dxa"/>
          </w:tcPr>
          <w:p>
            <w:pPr>
              <w:jc w:val="center"/>
              <w:rPr>
                <w:color w:val="000000"/>
              </w:rPr>
            </w:pPr>
            <w:r>
              <w:rPr>
                <w:rFonts w:hint="eastAsia" w:ascii="宋体" w:hAnsi="宋体"/>
                <w:color w:val="000000"/>
                <w:szCs w:val="44"/>
              </w:rPr>
              <w:t>符合第二章“投标人须知”第1.3.2项规定</w:t>
            </w:r>
          </w:p>
        </w:tc>
        <w:tc>
          <w:tcPr>
            <w:tcW w:w="325" w:type="dxa"/>
            <w:vAlign w:val="center"/>
          </w:tcPr>
          <w:p>
            <w:pPr>
              <w:jc w:val="center"/>
              <w:rPr>
                <w:rFonts w:ascii="宋体" w:hAnsi="宋体"/>
                <w:color w:val="000000"/>
                <w:szCs w:val="44"/>
              </w:rPr>
            </w:pPr>
          </w:p>
        </w:tc>
        <w:tc>
          <w:tcPr>
            <w:tcW w:w="479" w:type="dxa"/>
            <w:vAlign w:val="center"/>
          </w:tcPr>
          <w:p>
            <w:pPr>
              <w:jc w:val="center"/>
              <w:rPr>
                <w:rFonts w:ascii="宋体" w:hAnsi="宋体"/>
                <w:color w:val="000000"/>
                <w:szCs w:val="44"/>
              </w:rPr>
            </w:pPr>
          </w:p>
        </w:tc>
        <w:tc>
          <w:tcPr>
            <w:tcW w:w="373" w:type="dxa"/>
            <w:vAlign w:val="center"/>
          </w:tcPr>
          <w:p>
            <w:pPr>
              <w:jc w:val="center"/>
              <w:rPr>
                <w:rFonts w:ascii="宋体" w:hAnsi="宋体"/>
                <w:color w:val="000000"/>
                <w:szCs w:val="44"/>
              </w:rPr>
            </w:pPr>
          </w:p>
        </w:tc>
        <w:tc>
          <w:tcPr>
            <w:tcW w:w="562" w:type="dxa"/>
            <w:vAlign w:val="center"/>
          </w:tcPr>
          <w:p>
            <w:pPr>
              <w:jc w:val="center"/>
              <w:rPr>
                <w:rFonts w:ascii="宋体" w:hAnsi="宋体"/>
                <w:color w:val="000000"/>
                <w:szCs w:val="44"/>
              </w:rPr>
            </w:pPr>
          </w:p>
        </w:tc>
        <w:tc>
          <w:tcPr>
            <w:tcW w:w="373" w:type="dxa"/>
            <w:vAlign w:val="center"/>
          </w:tcPr>
          <w:p>
            <w:pPr>
              <w:jc w:val="center"/>
              <w:rPr>
                <w:rFonts w:ascii="宋体" w:hAnsi="宋体"/>
                <w:color w:val="000000"/>
                <w:szCs w:val="44"/>
              </w:rPr>
            </w:pPr>
          </w:p>
        </w:tc>
        <w:tc>
          <w:tcPr>
            <w:tcW w:w="561" w:type="dxa"/>
            <w:vAlign w:val="center"/>
          </w:tcPr>
          <w:p>
            <w:pPr>
              <w:jc w:val="center"/>
              <w:rPr>
                <w:rFonts w:ascii="宋体" w:hAnsi="宋体"/>
                <w:color w:val="000000"/>
                <w:szCs w:val="44"/>
              </w:rPr>
            </w:pPr>
          </w:p>
        </w:tc>
        <w:tc>
          <w:tcPr>
            <w:tcW w:w="749" w:type="dxa"/>
            <w:vAlign w:val="center"/>
          </w:tcPr>
          <w:p>
            <w:pPr>
              <w:jc w:val="center"/>
              <w:rPr>
                <w:rFonts w:ascii="宋体" w:hAnsi="宋体"/>
                <w:color w:val="000000"/>
                <w:szCs w:val="44"/>
              </w:rPr>
            </w:pPr>
          </w:p>
        </w:tc>
      </w:tr>
      <w:permEnd w:id="159"/>
      <w:permEnd w:id="16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2" w:hRule="atLeast"/>
        </w:trPr>
        <w:tc>
          <w:tcPr>
            <w:tcW w:w="1867" w:type="dxa"/>
            <w:vAlign w:val="center"/>
          </w:tcPr>
          <w:p>
            <w:pPr>
              <w:jc w:val="center"/>
              <w:rPr>
                <w:rFonts w:ascii="宋体" w:hAnsi="宋体"/>
                <w:color w:val="000000"/>
                <w:szCs w:val="44"/>
              </w:rPr>
            </w:pPr>
            <w:permStart w:id="161" w:edGrp="everyone" w:colFirst="0" w:colLast="0"/>
            <w:permStart w:id="162" w:edGrp="everyone" w:colFirst="1" w:colLast="1"/>
            <w:r>
              <w:rPr>
                <w:rFonts w:hint="eastAsia" w:ascii="宋体" w:hAnsi="宋体"/>
                <w:color w:val="000000"/>
                <w:szCs w:val="44"/>
              </w:rPr>
              <w:t>工程质量</w:t>
            </w:r>
          </w:p>
        </w:tc>
        <w:tc>
          <w:tcPr>
            <w:tcW w:w="3691" w:type="dxa"/>
          </w:tcPr>
          <w:p>
            <w:pPr>
              <w:jc w:val="center"/>
              <w:rPr>
                <w:color w:val="000000"/>
              </w:rPr>
            </w:pPr>
            <w:r>
              <w:rPr>
                <w:rFonts w:hint="eastAsia" w:ascii="宋体" w:hAnsi="宋体"/>
                <w:color w:val="000000"/>
                <w:szCs w:val="44"/>
              </w:rPr>
              <w:t>符合第二章“投标人须知”第1.3.3项规定</w:t>
            </w:r>
          </w:p>
        </w:tc>
        <w:tc>
          <w:tcPr>
            <w:tcW w:w="325" w:type="dxa"/>
            <w:vAlign w:val="center"/>
          </w:tcPr>
          <w:p>
            <w:pPr>
              <w:jc w:val="center"/>
              <w:rPr>
                <w:rFonts w:ascii="宋体" w:hAnsi="宋体"/>
                <w:color w:val="000000"/>
                <w:szCs w:val="44"/>
              </w:rPr>
            </w:pPr>
          </w:p>
        </w:tc>
        <w:tc>
          <w:tcPr>
            <w:tcW w:w="479" w:type="dxa"/>
            <w:vAlign w:val="center"/>
          </w:tcPr>
          <w:p>
            <w:pPr>
              <w:jc w:val="center"/>
              <w:rPr>
                <w:rFonts w:ascii="宋体" w:hAnsi="宋体"/>
                <w:color w:val="000000"/>
                <w:szCs w:val="44"/>
              </w:rPr>
            </w:pPr>
          </w:p>
        </w:tc>
        <w:tc>
          <w:tcPr>
            <w:tcW w:w="373" w:type="dxa"/>
            <w:vAlign w:val="center"/>
          </w:tcPr>
          <w:p>
            <w:pPr>
              <w:jc w:val="center"/>
              <w:rPr>
                <w:rFonts w:ascii="宋体" w:hAnsi="宋体"/>
                <w:color w:val="000000"/>
                <w:szCs w:val="44"/>
              </w:rPr>
            </w:pPr>
          </w:p>
        </w:tc>
        <w:tc>
          <w:tcPr>
            <w:tcW w:w="562" w:type="dxa"/>
            <w:vAlign w:val="center"/>
          </w:tcPr>
          <w:p>
            <w:pPr>
              <w:jc w:val="center"/>
              <w:rPr>
                <w:rFonts w:ascii="宋体" w:hAnsi="宋体"/>
                <w:color w:val="000000"/>
                <w:szCs w:val="44"/>
              </w:rPr>
            </w:pPr>
          </w:p>
        </w:tc>
        <w:tc>
          <w:tcPr>
            <w:tcW w:w="373" w:type="dxa"/>
            <w:vAlign w:val="center"/>
          </w:tcPr>
          <w:p>
            <w:pPr>
              <w:jc w:val="center"/>
              <w:rPr>
                <w:rFonts w:ascii="宋体" w:hAnsi="宋体"/>
                <w:color w:val="000000"/>
                <w:szCs w:val="44"/>
              </w:rPr>
            </w:pPr>
          </w:p>
        </w:tc>
        <w:tc>
          <w:tcPr>
            <w:tcW w:w="561" w:type="dxa"/>
            <w:vAlign w:val="center"/>
          </w:tcPr>
          <w:p>
            <w:pPr>
              <w:jc w:val="center"/>
              <w:rPr>
                <w:rFonts w:ascii="宋体" w:hAnsi="宋体"/>
                <w:color w:val="000000"/>
                <w:szCs w:val="44"/>
              </w:rPr>
            </w:pPr>
          </w:p>
        </w:tc>
        <w:tc>
          <w:tcPr>
            <w:tcW w:w="749" w:type="dxa"/>
            <w:vAlign w:val="center"/>
          </w:tcPr>
          <w:p>
            <w:pPr>
              <w:jc w:val="center"/>
              <w:rPr>
                <w:rFonts w:ascii="宋体" w:hAnsi="宋体"/>
                <w:color w:val="000000"/>
                <w:szCs w:val="44"/>
              </w:rPr>
            </w:pPr>
          </w:p>
        </w:tc>
      </w:tr>
      <w:permEnd w:id="161"/>
      <w:permEnd w:id="16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2" w:hRule="atLeast"/>
        </w:trPr>
        <w:tc>
          <w:tcPr>
            <w:tcW w:w="1867" w:type="dxa"/>
            <w:vAlign w:val="center"/>
          </w:tcPr>
          <w:p>
            <w:pPr>
              <w:jc w:val="center"/>
              <w:rPr>
                <w:rFonts w:ascii="宋体" w:hAnsi="宋体"/>
                <w:color w:val="000000"/>
                <w:szCs w:val="44"/>
              </w:rPr>
            </w:pPr>
            <w:permStart w:id="163" w:edGrp="everyone" w:colFirst="0" w:colLast="0"/>
            <w:permStart w:id="164" w:edGrp="everyone" w:colFirst="1" w:colLast="1"/>
            <w:r>
              <w:rPr>
                <w:rFonts w:hint="eastAsia" w:ascii="宋体" w:hAnsi="宋体"/>
                <w:color w:val="000000"/>
                <w:szCs w:val="44"/>
              </w:rPr>
              <w:t>投标有效期</w:t>
            </w:r>
          </w:p>
        </w:tc>
        <w:tc>
          <w:tcPr>
            <w:tcW w:w="3691" w:type="dxa"/>
          </w:tcPr>
          <w:p>
            <w:pPr>
              <w:jc w:val="center"/>
              <w:rPr>
                <w:color w:val="000000"/>
              </w:rPr>
            </w:pPr>
            <w:r>
              <w:rPr>
                <w:rFonts w:hint="eastAsia" w:ascii="宋体" w:hAnsi="宋体"/>
                <w:color w:val="000000"/>
                <w:szCs w:val="44"/>
              </w:rPr>
              <w:t>符合第二章“投标人须知”第3.3.1项规定</w:t>
            </w:r>
          </w:p>
        </w:tc>
        <w:tc>
          <w:tcPr>
            <w:tcW w:w="325" w:type="dxa"/>
            <w:vAlign w:val="center"/>
          </w:tcPr>
          <w:p>
            <w:pPr>
              <w:jc w:val="center"/>
              <w:rPr>
                <w:rFonts w:ascii="宋体" w:hAnsi="宋体"/>
                <w:color w:val="000000"/>
                <w:szCs w:val="44"/>
              </w:rPr>
            </w:pPr>
          </w:p>
        </w:tc>
        <w:tc>
          <w:tcPr>
            <w:tcW w:w="479" w:type="dxa"/>
            <w:vAlign w:val="center"/>
          </w:tcPr>
          <w:p>
            <w:pPr>
              <w:jc w:val="center"/>
              <w:rPr>
                <w:rFonts w:ascii="宋体" w:hAnsi="宋体"/>
                <w:color w:val="000000"/>
                <w:szCs w:val="44"/>
              </w:rPr>
            </w:pPr>
          </w:p>
        </w:tc>
        <w:tc>
          <w:tcPr>
            <w:tcW w:w="373" w:type="dxa"/>
            <w:vAlign w:val="center"/>
          </w:tcPr>
          <w:p>
            <w:pPr>
              <w:jc w:val="center"/>
              <w:rPr>
                <w:rFonts w:ascii="宋体" w:hAnsi="宋体"/>
                <w:color w:val="000000"/>
                <w:szCs w:val="44"/>
              </w:rPr>
            </w:pPr>
          </w:p>
        </w:tc>
        <w:tc>
          <w:tcPr>
            <w:tcW w:w="562" w:type="dxa"/>
            <w:vAlign w:val="center"/>
          </w:tcPr>
          <w:p>
            <w:pPr>
              <w:jc w:val="center"/>
              <w:rPr>
                <w:rFonts w:ascii="宋体" w:hAnsi="宋体"/>
                <w:color w:val="000000"/>
                <w:szCs w:val="44"/>
              </w:rPr>
            </w:pPr>
          </w:p>
        </w:tc>
        <w:tc>
          <w:tcPr>
            <w:tcW w:w="373" w:type="dxa"/>
            <w:vAlign w:val="center"/>
          </w:tcPr>
          <w:p>
            <w:pPr>
              <w:jc w:val="center"/>
              <w:rPr>
                <w:rFonts w:ascii="宋体" w:hAnsi="宋体"/>
                <w:color w:val="000000"/>
                <w:szCs w:val="44"/>
              </w:rPr>
            </w:pPr>
          </w:p>
        </w:tc>
        <w:tc>
          <w:tcPr>
            <w:tcW w:w="561" w:type="dxa"/>
            <w:vAlign w:val="center"/>
          </w:tcPr>
          <w:p>
            <w:pPr>
              <w:jc w:val="center"/>
              <w:rPr>
                <w:rFonts w:ascii="宋体" w:hAnsi="宋体"/>
                <w:color w:val="000000"/>
                <w:szCs w:val="44"/>
              </w:rPr>
            </w:pPr>
          </w:p>
        </w:tc>
        <w:tc>
          <w:tcPr>
            <w:tcW w:w="749" w:type="dxa"/>
            <w:vAlign w:val="center"/>
          </w:tcPr>
          <w:p>
            <w:pPr>
              <w:jc w:val="center"/>
              <w:rPr>
                <w:rFonts w:ascii="宋体" w:hAnsi="宋体"/>
                <w:color w:val="000000"/>
                <w:szCs w:val="44"/>
              </w:rPr>
            </w:pPr>
          </w:p>
        </w:tc>
      </w:tr>
      <w:permEnd w:id="163"/>
      <w:permEnd w:id="16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2" w:hRule="atLeast"/>
        </w:trPr>
        <w:tc>
          <w:tcPr>
            <w:tcW w:w="1867" w:type="dxa"/>
            <w:vAlign w:val="center"/>
          </w:tcPr>
          <w:p>
            <w:pPr>
              <w:jc w:val="center"/>
              <w:rPr>
                <w:rFonts w:ascii="宋体" w:hAnsi="宋体"/>
                <w:color w:val="000000"/>
                <w:szCs w:val="44"/>
              </w:rPr>
            </w:pPr>
            <w:permStart w:id="165" w:edGrp="everyone" w:colFirst="0" w:colLast="0"/>
            <w:permStart w:id="166" w:edGrp="everyone" w:colFirst="1" w:colLast="1"/>
            <w:r>
              <w:rPr>
                <w:rFonts w:hint="eastAsia" w:ascii="宋体" w:hAnsi="宋体"/>
                <w:color w:val="000000"/>
                <w:szCs w:val="44"/>
              </w:rPr>
              <w:t>投标保证金</w:t>
            </w:r>
          </w:p>
        </w:tc>
        <w:tc>
          <w:tcPr>
            <w:tcW w:w="3691" w:type="dxa"/>
          </w:tcPr>
          <w:p>
            <w:pPr>
              <w:jc w:val="center"/>
              <w:rPr>
                <w:color w:val="000000"/>
              </w:rPr>
            </w:pPr>
            <w:r>
              <w:rPr>
                <w:rFonts w:hint="eastAsia" w:ascii="宋体" w:hAnsi="宋体"/>
                <w:color w:val="000000"/>
                <w:szCs w:val="44"/>
              </w:rPr>
              <w:t>符合第二章“投标人须知”第3.4.1项规定</w:t>
            </w:r>
          </w:p>
        </w:tc>
        <w:tc>
          <w:tcPr>
            <w:tcW w:w="325" w:type="dxa"/>
            <w:vAlign w:val="center"/>
          </w:tcPr>
          <w:p>
            <w:pPr>
              <w:jc w:val="center"/>
              <w:rPr>
                <w:rFonts w:ascii="宋体" w:hAnsi="宋体"/>
                <w:color w:val="000000"/>
                <w:szCs w:val="44"/>
              </w:rPr>
            </w:pPr>
          </w:p>
        </w:tc>
        <w:tc>
          <w:tcPr>
            <w:tcW w:w="479" w:type="dxa"/>
            <w:vAlign w:val="center"/>
          </w:tcPr>
          <w:p>
            <w:pPr>
              <w:jc w:val="center"/>
              <w:rPr>
                <w:rFonts w:ascii="宋体" w:hAnsi="宋体"/>
                <w:color w:val="000000"/>
                <w:szCs w:val="44"/>
              </w:rPr>
            </w:pPr>
          </w:p>
        </w:tc>
        <w:tc>
          <w:tcPr>
            <w:tcW w:w="373" w:type="dxa"/>
            <w:vAlign w:val="center"/>
          </w:tcPr>
          <w:p>
            <w:pPr>
              <w:jc w:val="center"/>
              <w:rPr>
                <w:rFonts w:ascii="宋体" w:hAnsi="宋体"/>
                <w:color w:val="000000"/>
                <w:szCs w:val="44"/>
              </w:rPr>
            </w:pPr>
          </w:p>
        </w:tc>
        <w:tc>
          <w:tcPr>
            <w:tcW w:w="562" w:type="dxa"/>
            <w:vAlign w:val="center"/>
          </w:tcPr>
          <w:p>
            <w:pPr>
              <w:jc w:val="center"/>
              <w:rPr>
                <w:rFonts w:ascii="宋体" w:hAnsi="宋体"/>
                <w:color w:val="000000"/>
                <w:szCs w:val="44"/>
              </w:rPr>
            </w:pPr>
          </w:p>
        </w:tc>
        <w:tc>
          <w:tcPr>
            <w:tcW w:w="373" w:type="dxa"/>
            <w:vAlign w:val="center"/>
          </w:tcPr>
          <w:p>
            <w:pPr>
              <w:jc w:val="center"/>
              <w:rPr>
                <w:rFonts w:ascii="宋体" w:hAnsi="宋体"/>
                <w:color w:val="000000"/>
                <w:szCs w:val="44"/>
              </w:rPr>
            </w:pPr>
          </w:p>
        </w:tc>
        <w:tc>
          <w:tcPr>
            <w:tcW w:w="561" w:type="dxa"/>
            <w:vAlign w:val="center"/>
          </w:tcPr>
          <w:p>
            <w:pPr>
              <w:jc w:val="center"/>
              <w:rPr>
                <w:rFonts w:ascii="宋体" w:hAnsi="宋体"/>
                <w:color w:val="000000"/>
                <w:szCs w:val="44"/>
              </w:rPr>
            </w:pPr>
          </w:p>
        </w:tc>
        <w:tc>
          <w:tcPr>
            <w:tcW w:w="749" w:type="dxa"/>
            <w:vAlign w:val="center"/>
          </w:tcPr>
          <w:p>
            <w:pPr>
              <w:jc w:val="center"/>
              <w:rPr>
                <w:rFonts w:ascii="宋体" w:hAnsi="宋体"/>
                <w:color w:val="000000"/>
                <w:szCs w:val="44"/>
              </w:rPr>
            </w:pPr>
          </w:p>
        </w:tc>
      </w:tr>
      <w:permEnd w:id="165"/>
      <w:permEnd w:id="16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2" w:hRule="atLeast"/>
        </w:trPr>
        <w:tc>
          <w:tcPr>
            <w:tcW w:w="1867" w:type="dxa"/>
            <w:vAlign w:val="center"/>
          </w:tcPr>
          <w:p>
            <w:pPr>
              <w:jc w:val="center"/>
              <w:rPr>
                <w:rFonts w:ascii="宋体" w:hAnsi="宋体"/>
                <w:color w:val="000000"/>
                <w:szCs w:val="44"/>
              </w:rPr>
            </w:pPr>
            <w:permStart w:id="167" w:edGrp="everyone" w:colFirst="0" w:colLast="0"/>
            <w:permStart w:id="168" w:edGrp="everyone" w:colFirst="1" w:colLast="1"/>
            <w:r>
              <w:rPr>
                <w:rFonts w:hint="eastAsia" w:ascii="宋体" w:hAnsi="宋体"/>
                <w:color w:val="000000"/>
                <w:szCs w:val="44"/>
              </w:rPr>
              <w:t>权利义务</w:t>
            </w:r>
          </w:p>
        </w:tc>
        <w:tc>
          <w:tcPr>
            <w:tcW w:w="3691" w:type="dxa"/>
          </w:tcPr>
          <w:p>
            <w:pPr>
              <w:jc w:val="center"/>
              <w:rPr>
                <w:color w:val="000000"/>
              </w:rPr>
            </w:pPr>
            <w:r>
              <w:rPr>
                <w:rFonts w:hint="eastAsia" w:ascii="宋体" w:hAnsi="宋体"/>
                <w:color w:val="000000"/>
                <w:szCs w:val="44"/>
              </w:rPr>
              <w:t>投标函附录中的相关承诺符合或优于第四章“合同条款及格式”的相关规定</w:t>
            </w:r>
          </w:p>
        </w:tc>
        <w:tc>
          <w:tcPr>
            <w:tcW w:w="325" w:type="dxa"/>
            <w:vAlign w:val="center"/>
          </w:tcPr>
          <w:p>
            <w:pPr>
              <w:jc w:val="center"/>
              <w:rPr>
                <w:rFonts w:ascii="宋体" w:hAnsi="宋体"/>
                <w:color w:val="000000"/>
                <w:szCs w:val="44"/>
              </w:rPr>
            </w:pPr>
          </w:p>
        </w:tc>
        <w:tc>
          <w:tcPr>
            <w:tcW w:w="479" w:type="dxa"/>
            <w:vAlign w:val="center"/>
          </w:tcPr>
          <w:p>
            <w:pPr>
              <w:jc w:val="center"/>
              <w:rPr>
                <w:rFonts w:ascii="宋体" w:hAnsi="宋体"/>
                <w:color w:val="000000"/>
                <w:szCs w:val="44"/>
              </w:rPr>
            </w:pPr>
          </w:p>
        </w:tc>
        <w:tc>
          <w:tcPr>
            <w:tcW w:w="373" w:type="dxa"/>
            <w:vAlign w:val="center"/>
          </w:tcPr>
          <w:p>
            <w:pPr>
              <w:jc w:val="center"/>
              <w:rPr>
                <w:rFonts w:ascii="宋体" w:hAnsi="宋体"/>
                <w:color w:val="000000"/>
                <w:szCs w:val="44"/>
              </w:rPr>
            </w:pPr>
          </w:p>
        </w:tc>
        <w:tc>
          <w:tcPr>
            <w:tcW w:w="562" w:type="dxa"/>
            <w:vAlign w:val="center"/>
          </w:tcPr>
          <w:p>
            <w:pPr>
              <w:jc w:val="center"/>
              <w:rPr>
                <w:rFonts w:ascii="宋体" w:hAnsi="宋体"/>
                <w:color w:val="000000"/>
                <w:szCs w:val="44"/>
              </w:rPr>
            </w:pPr>
          </w:p>
        </w:tc>
        <w:tc>
          <w:tcPr>
            <w:tcW w:w="373" w:type="dxa"/>
            <w:vAlign w:val="center"/>
          </w:tcPr>
          <w:p>
            <w:pPr>
              <w:jc w:val="center"/>
              <w:rPr>
                <w:rFonts w:ascii="宋体" w:hAnsi="宋体"/>
                <w:color w:val="000000"/>
                <w:szCs w:val="44"/>
              </w:rPr>
            </w:pPr>
          </w:p>
        </w:tc>
        <w:tc>
          <w:tcPr>
            <w:tcW w:w="561" w:type="dxa"/>
            <w:vAlign w:val="center"/>
          </w:tcPr>
          <w:p>
            <w:pPr>
              <w:jc w:val="center"/>
              <w:rPr>
                <w:rFonts w:ascii="宋体" w:hAnsi="宋体"/>
                <w:color w:val="000000"/>
                <w:szCs w:val="44"/>
              </w:rPr>
            </w:pPr>
          </w:p>
        </w:tc>
        <w:tc>
          <w:tcPr>
            <w:tcW w:w="749" w:type="dxa"/>
            <w:vAlign w:val="center"/>
          </w:tcPr>
          <w:p>
            <w:pPr>
              <w:jc w:val="center"/>
              <w:rPr>
                <w:rFonts w:ascii="宋体" w:hAnsi="宋体"/>
                <w:color w:val="000000"/>
                <w:szCs w:val="44"/>
              </w:rPr>
            </w:pPr>
          </w:p>
        </w:tc>
      </w:tr>
      <w:permEnd w:id="167"/>
      <w:permEnd w:id="16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2" w:hRule="atLeast"/>
        </w:trPr>
        <w:tc>
          <w:tcPr>
            <w:tcW w:w="1867" w:type="dxa"/>
            <w:vAlign w:val="center"/>
          </w:tcPr>
          <w:p>
            <w:pPr>
              <w:jc w:val="center"/>
              <w:rPr>
                <w:rFonts w:ascii="宋体" w:hAnsi="宋体"/>
                <w:color w:val="000000"/>
                <w:szCs w:val="44"/>
              </w:rPr>
            </w:pPr>
            <w:permStart w:id="169" w:edGrp="everyone" w:colFirst="0" w:colLast="0"/>
            <w:permStart w:id="170" w:edGrp="everyone" w:colFirst="1" w:colLast="1"/>
            <w:r>
              <w:rPr>
                <w:rFonts w:hint="eastAsia" w:ascii="宋体" w:hAnsi="宋体"/>
                <w:color w:val="000000"/>
                <w:szCs w:val="44"/>
              </w:rPr>
              <w:t>已标价工程量清单</w:t>
            </w:r>
          </w:p>
        </w:tc>
        <w:tc>
          <w:tcPr>
            <w:tcW w:w="3691" w:type="dxa"/>
          </w:tcPr>
          <w:p>
            <w:pPr>
              <w:jc w:val="center"/>
              <w:rPr>
                <w:color w:val="000000"/>
              </w:rPr>
            </w:pPr>
            <w:r>
              <w:rPr>
                <w:rFonts w:hint="eastAsia" w:ascii="宋体" w:hAnsi="宋体"/>
                <w:color w:val="000000"/>
                <w:szCs w:val="44"/>
              </w:rPr>
              <w:t>符合第二章“投标人须知”前附表第10.12.1项规定</w:t>
            </w:r>
          </w:p>
        </w:tc>
        <w:tc>
          <w:tcPr>
            <w:tcW w:w="325" w:type="dxa"/>
            <w:vAlign w:val="center"/>
          </w:tcPr>
          <w:p>
            <w:pPr>
              <w:jc w:val="center"/>
              <w:rPr>
                <w:rFonts w:ascii="宋体" w:hAnsi="宋体"/>
                <w:color w:val="000000"/>
                <w:szCs w:val="44"/>
              </w:rPr>
            </w:pPr>
          </w:p>
        </w:tc>
        <w:tc>
          <w:tcPr>
            <w:tcW w:w="479" w:type="dxa"/>
            <w:vAlign w:val="center"/>
          </w:tcPr>
          <w:p>
            <w:pPr>
              <w:jc w:val="center"/>
              <w:rPr>
                <w:rFonts w:ascii="宋体" w:hAnsi="宋体"/>
                <w:color w:val="000000"/>
                <w:szCs w:val="44"/>
              </w:rPr>
            </w:pPr>
          </w:p>
        </w:tc>
        <w:tc>
          <w:tcPr>
            <w:tcW w:w="373" w:type="dxa"/>
            <w:vAlign w:val="center"/>
          </w:tcPr>
          <w:p>
            <w:pPr>
              <w:jc w:val="center"/>
              <w:rPr>
                <w:rFonts w:ascii="宋体" w:hAnsi="宋体"/>
                <w:color w:val="000000"/>
                <w:szCs w:val="44"/>
              </w:rPr>
            </w:pPr>
          </w:p>
        </w:tc>
        <w:tc>
          <w:tcPr>
            <w:tcW w:w="562" w:type="dxa"/>
            <w:vAlign w:val="center"/>
          </w:tcPr>
          <w:p>
            <w:pPr>
              <w:jc w:val="center"/>
              <w:rPr>
                <w:rFonts w:ascii="宋体" w:hAnsi="宋体"/>
                <w:color w:val="000000"/>
                <w:szCs w:val="44"/>
              </w:rPr>
            </w:pPr>
          </w:p>
        </w:tc>
        <w:tc>
          <w:tcPr>
            <w:tcW w:w="373" w:type="dxa"/>
            <w:vAlign w:val="center"/>
          </w:tcPr>
          <w:p>
            <w:pPr>
              <w:jc w:val="center"/>
              <w:rPr>
                <w:rFonts w:ascii="宋体" w:hAnsi="宋体"/>
                <w:color w:val="000000"/>
                <w:szCs w:val="44"/>
              </w:rPr>
            </w:pPr>
          </w:p>
        </w:tc>
        <w:tc>
          <w:tcPr>
            <w:tcW w:w="561" w:type="dxa"/>
            <w:vAlign w:val="center"/>
          </w:tcPr>
          <w:p>
            <w:pPr>
              <w:jc w:val="center"/>
              <w:rPr>
                <w:rFonts w:ascii="宋体" w:hAnsi="宋体"/>
                <w:color w:val="000000"/>
                <w:szCs w:val="44"/>
              </w:rPr>
            </w:pPr>
          </w:p>
        </w:tc>
        <w:tc>
          <w:tcPr>
            <w:tcW w:w="749" w:type="dxa"/>
            <w:vAlign w:val="center"/>
          </w:tcPr>
          <w:p>
            <w:pPr>
              <w:jc w:val="center"/>
              <w:rPr>
                <w:rFonts w:ascii="宋体" w:hAnsi="宋体"/>
                <w:color w:val="000000"/>
                <w:szCs w:val="44"/>
              </w:rPr>
            </w:pPr>
          </w:p>
        </w:tc>
      </w:tr>
      <w:permEnd w:id="169"/>
      <w:permEnd w:id="17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2" w:hRule="atLeast"/>
        </w:trPr>
        <w:tc>
          <w:tcPr>
            <w:tcW w:w="1867" w:type="dxa"/>
            <w:vAlign w:val="center"/>
          </w:tcPr>
          <w:p>
            <w:pPr>
              <w:jc w:val="center"/>
              <w:rPr>
                <w:rFonts w:ascii="宋体" w:hAnsi="宋体"/>
                <w:color w:val="000000"/>
                <w:szCs w:val="44"/>
              </w:rPr>
            </w:pPr>
            <w:permStart w:id="171" w:edGrp="everyone" w:colFirst="0" w:colLast="0"/>
            <w:permStart w:id="172" w:edGrp="everyone" w:colFirst="1" w:colLast="1"/>
            <w:r>
              <w:rPr>
                <w:rFonts w:hint="eastAsia" w:ascii="宋体" w:hAnsi="宋体"/>
                <w:color w:val="000000"/>
                <w:szCs w:val="44"/>
              </w:rPr>
              <w:t>投标价格</w:t>
            </w:r>
          </w:p>
        </w:tc>
        <w:tc>
          <w:tcPr>
            <w:tcW w:w="3691" w:type="dxa"/>
          </w:tcPr>
          <w:p>
            <w:pPr>
              <w:jc w:val="center"/>
              <w:rPr>
                <w:rFonts w:ascii="宋体" w:hAnsi="宋体"/>
                <w:color w:val="000000"/>
                <w:szCs w:val="44"/>
              </w:rPr>
            </w:pPr>
            <w:r>
              <w:rPr>
                <w:rFonts w:hint="eastAsia" w:ascii="宋体" w:hAnsi="宋体"/>
                <w:color w:val="000000"/>
                <w:szCs w:val="44"/>
              </w:rPr>
              <w:t>（1）不超出（含等于）第二章“投标人须知”前附表第10.1项载明的招标控制价；</w:t>
            </w:r>
          </w:p>
          <w:p>
            <w:pPr>
              <w:jc w:val="center"/>
              <w:rPr>
                <w:color w:val="000000"/>
              </w:rPr>
            </w:pPr>
            <w:r>
              <w:rPr>
                <w:rFonts w:hint="eastAsia" w:ascii="宋体" w:hAnsi="宋体"/>
                <w:color w:val="000000"/>
                <w:szCs w:val="44"/>
              </w:rPr>
              <w:t>（2）如有工程成本价，则不低于招标人确定的工程成本价格。</w:t>
            </w:r>
          </w:p>
        </w:tc>
        <w:tc>
          <w:tcPr>
            <w:tcW w:w="325" w:type="dxa"/>
            <w:vAlign w:val="center"/>
          </w:tcPr>
          <w:p>
            <w:pPr>
              <w:jc w:val="center"/>
              <w:rPr>
                <w:rFonts w:ascii="宋体" w:hAnsi="宋体"/>
                <w:color w:val="000000"/>
                <w:szCs w:val="44"/>
              </w:rPr>
            </w:pPr>
          </w:p>
        </w:tc>
        <w:tc>
          <w:tcPr>
            <w:tcW w:w="479" w:type="dxa"/>
            <w:vAlign w:val="center"/>
          </w:tcPr>
          <w:p>
            <w:pPr>
              <w:jc w:val="center"/>
              <w:rPr>
                <w:rFonts w:ascii="宋体" w:hAnsi="宋体"/>
                <w:color w:val="000000"/>
                <w:szCs w:val="44"/>
              </w:rPr>
            </w:pPr>
          </w:p>
        </w:tc>
        <w:tc>
          <w:tcPr>
            <w:tcW w:w="373" w:type="dxa"/>
            <w:vAlign w:val="center"/>
          </w:tcPr>
          <w:p>
            <w:pPr>
              <w:jc w:val="center"/>
              <w:rPr>
                <w:rFonts w:ascii="宋体" w:hAnsi="宋体"/>
                <w:color w:val="000000"/>
                <w:szCs w:val="44"/>
              </w:rPr>
            </w:pPr>
          </w:p>
        </w:tc>
        <w:tc>
          <w:tcPr>
            <w:tcW w:w="562" w:type="dxa"/>
            <w:vAlign w:val="center"/>
          </w:tcPr>
          <w:p>
            <w:pPr>
              <w:jc w:val="center"/>
              <w:rPr>
                <w:rFonts w:ascii="宋体" w:hAnsi="宋体"/>
                <w:color w:val="000000"/>
                <w:szCs w:val="44"/>
              </w:rPr>
            </w:pPr>
          </w:p>
        </w:tc>
        <w:tc>
          <w:tcPr>
            <w:tcW w:w="373" w:type="dxa"/>
            <w:vAlign w:val="center"/>
          </w:tcPr>
          <w:p>
            <w:pPr>
              <w:jc w:val="center"/>
              <w:rPr>
                <w:rFonts w:ascii="宋体" w:hAnsi="宋体"/>
                <w:color w:val="000000"/>
                <w:szCs w:val="44"/>
              </w:rPr>
            </w:pPr>
          </w:p>
        </w:tc>
        <w:tc>
          <w:tcPr>
            <w:tcW w:w="561" w:type="dxa"/>
            <w:vAlign w:val="center"/>
          </w:tcPr>
          <w:p>
            <w:pPr>
              <w:jc w:val="center"/>
              <w:rPr>
                <w:rFonts w:ascii="宋体" w:hAnsi="宋体"/>
                <w:color w:val="000000"/>
                <w:szCs w:val="44"/>
              </w:rPr>
            </w:pPr>
          </w:p>
        </w:tc>
        <w:tc>
          <w:tcPr>
            <w:tcW w:w="749" w:type="dxa"/>
            <w:vAlign w:val="center"/>
          </w:tcPr>
          <w:p>
            <w:pPr>
              <w:jc w:val="center"/>
              <w:rPr>
                <w:rFonts w:ascii="宋体" w:hAnsi="宋体"/>
                <w:color w:val="000000"/>
                <w:szCs w:val="44"/>
              </w:rPr>
            </w:pPr>
          </w:p>
        </w:tc>
      </w:tr>
      <w:permEnd w:id="171"/>
      <w:permEnd w:id="17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2" w:hRule="atLeast"/>
        </w:trPr>
        <w:tc>
          <w:tcPr>
            <w:tcW w:w="1867" w:type="dxa"/>
            <w:vAlign w:val="center"/>
          </w:tcPr>
          <w:p>
            <w:pPr>
              <w:jc w:val="center"/>
              <w:rPr>
                <w:rFonts w:ascii="宋体" w:hAnsi="宋体"/>
                <w:color w:val="000000"/>
                <w:szCs w:val="44"/>
              </w:rPr>
            </w:pPr>
            <w:permStart w:id="173" w:edGrp="everyone"/>
            <w:r>
              <w:rPr>
                <w:rFonts w:hint="eastAsia" w:ascii="宋体" w:hAnsi="宋体"/>
                <w:color w:val="000000"/>
                <w:szCs w:val="44"/>
              </w:rPr>
              <w:t>分包计划</w:t>
            </w:r>
          </w:p>
        </w:tc>
        <w:tc>
          <w:tcPr>
            <w:tcW w:w="3691" w:type="dxa"/>
          </w:tcPr>
          <w:p>
            <w:pPr>
              <w:jc w:val="center"/>
              <w:rPr>
                <w:color w:val="000000"/>
              </w:rPr>
            </w:pPr>
            <w:r>
              <w:rPr>
                <w:rFonts w:hint="eastAsia" w:ascii="宋体" w:hAnsi="宋体"/>
                <w:color w:val="000000"/>
                <w:szCs w:val="44"/>
              </w:rPr>
              <w:t>符合第二章“投标人须知”第1.11款规定</w:t>
            </w:r>
          </w:p>
        </w:tc>
        <w:tc>
          <w:tcPr>
            <w:tcW w:w="325" w:type="dxa"/>
            <w:vAlign w:val="center"/>
          </w:tcPr>
          <w:p>
            <w:pPr>
              <w:jc w:val="center"/>
              <w:rPr>
                <w:rFonts w:ascii="宋体" w:hAnsi="宋体"/>
                <w:color w:val="000000"/>
                <w:szCs w:val="44"/>
              </w:rPr>
            </w:pPr>
          </w:p>
        </w:tc>
        <w:tc>
          <w:tcPr>
            <w:tcW w:w="479" w:type="dxa"/>
            <w:vAlign w:val="center"/>
          </w:tcPr>
          <w:p>
            <w:pPr>
              <w:jc w:val="center"/>
              <w:rPr>
                <w:rFonts w:ascii="宋体" w:hAnsi="宋体"/>
                <w:color w:val="000000"/>
                <w:szCs w:val="44"/>
              </w:rPr>
            </w:pPr>
          </w:p>
        </w:tc>
        <w:tc>
          <w:tcPr>
            <w:tcW w:w="373" w:type="dxa"/>
            <w:vAlign w:val="center"/>
          </w:tcPr>
          <w:p>
            <w:pPr>
              <w:jc w:val="center"/>
              <w:rPr>
                <w:rFonts w:ascii="宋体" w:hAnsi="宋体"/>
                <w:color w:val="000000"/>
                <w:szCs w:val="44"/>
              </w:rPr>
            </w:pPr>
          </w:p>
        </w:tc>
        <w:tc>
          <w:tcPr>
            <w:tcW w:w="562" w:type="dxa"/>
            <w:vAlign w:val="center"/>
          </w:tcPr>
          <w:p>
            <w:pPr>
              <w:jc w:val="center"/>
              <w:rPr>
                <w:rFonts w:ascii="宋体" w:hAnsi="宋体"/>
                <w:color w:val="000000"/>
                <w:szCs w:val="44"/>
              </w:rPr>
            </w:pPr>
          </w:p>
        </w:tc>
        <w:tc>
          <w:tcPr>
            <w:tcW w:w="373" w:type="dxa"/>
            <w:vAlign w:val="center"/>
          </w:tcPr>
          <w:p>
            <w:pPr>
              <w:jc w:val="center"/>
              <w:rPr>
                <w:rFonts w:ascii="宋体" w:hAnsi="宋体"/>
                <w:color w:val="000000"/>
                <w:szCs w:val="44"/>
              </w:rPr>
            </w:pPr>
          </w:p>
        </w:tc>
        <w:tc>
          <w:tcPr>
            <w:tcW w:w="561" w:type="dxa"/>
            <w:vAlign w:val="center"/>
          </w:tcPr>
          <w:p>
            <w:pPr>
              <w:jc w:val="center"/>
              <w:rPr>
                <w:rFonts w:ascii="宋体" w:hAnsi="宋体"/>
                <w:color w:val="000000"/>
                <w:szCs w:val="44"/>
              </w:rPr>
            </w:pPr>
          </w:p>
        </w:tc>
        <w:tc>
          <w:tcPr>
            <w:tcW w:w="749" w:type="dxa"/>
            <w:vAlign w:val="center"/>
          </w:tcPr>
          <w:p>
            <w:pPr>
              <w:jc w:val="center"/>
              <w:rPr>
                <w:rFonts w:ascii="宋体" w:hAnsi="宋体"/>
                <w:color w:val="000000"/>
                <w:szCs w:val="44"/>
              </w:rPr>
            </w:pPr>
          </w:p>
        </w:tc>
      </w:tr>
      <w:permEnd w:id="173"/>
    </w:tbl>
    <w:p>
      <w:pPr>
        <w:jc w:val="right"/>
        <w:rPr>
          <w:rFonts w:ascii="宋体" w:hAnsi="宋体"/>
          <w:color w:val="000000"/>
          <w:szCs w:val="44"/>
        </w:rPr>
      </w:pPr>
      <w:r>
        <w:rPr>
          <w:rFonts w:hint="eastAsia" w:ascii="宋体" w:hAnsi="宋体"/>
          <w:color w:val="000000"/>
          <w:szCs w:val="44"/>
        </w:rPr>
        <w:t>评标委员会全体成员签名：                                                                      日期：  年 月  日</w:t>
      </w:r>
    </w:p>
    <w:p>
      <w:pPr>
        <w:widowControl/>
        <w:jc w:val="left"/>
        <w:rPr>
          <w:rFonts w:ascii="黑体" w:hAnsi="宋体" w:eastAsia="黑体"/>
          <w:color w:val="000000"/>
          <w:sz w:val="24"/>
        </w:rPr>
      </w:pPr>
      <w:r>
        <w:rPr>
          <w:rFonts w:ascii="黑体" w:hAnsi="宋体" w:eastAsia="黑体"/>
          <w:color w:val="000000"/>
          <w:sz w:val="24"/>
        </w:rPr>
        <w:br w:type="page"/>
      </w:r>
    </w:p>
    <w:p>
      <w:pPr>
        <w:spacing w:before="312" w:beforeLines="100" w:after="249" w:afterLines="80" w:line="380" w:lineRule="exact"/>
        <w:outlineLvl w:val="2"/>
        <w:rPr>
          <w:rFonts w:ascii="黑体" w:hAnsi="宋体" w:eastAsia="黑体"/>
          <w:color w:val="000000"/>
          <w:sz w:val="24"/>
        </w:rPr>
      </w:pPr>
      <w:bookmarkStart w:id="276" w:name="_Toc504078130"/>
      <w:bookmarkStart w:id="277" w:name="_Toc114222757"/>
      <w:r>
        <w:rPr>
          <w:rFonts w:hint="eastAsia" w:ascii="黑体" w:hAnsi="宋体" w:eastAsia="黑体"/>
          <w:color w:val="000000"/>
          <w:sz w:val="24"/>
        </w:rPr>
        <w:t>附表A-</w:t>
      </w:r>
      <w:r>
        <w:rPr>
          <w:rFonts w:ascii="黑体" w:hAnsi="宋体" w:eastAsia="黑体"/>
          <w:color w:val="000000"/>
          <w:sz w:val="24"/>
        </w:rPr>
        <w:t>5</w:t>
      </w:r>
      <w:r>
        <w:rPr>
          <w:rFonts w:hint="eastAsia" w:ascii="黑体" w:hAnsi="宋体" w:eastAsia="黑体"/>
          <w:color w:val="000000"/>
          <w:sz w:val="24"/>
        </w:rPr>
        <w:t>：入围投标人名单</w:t>
      </w:r>
      <w:bookmarkEnd w:id="276"/>
      <w:r>
        <w:rPr>
          <w:rFonts w:hint="eastAsia" w:ascii="黑体" w:hAnsi="宋体" w:eastAsia="黑体"/>
          <w:color w:val="000000"/>
          <w:sz w:val="24"/>
        </w:rPr>
        <w:t>（系统自动生成）</w:t>
      </w:r>
      <w:bookmarkEnd w:id="277"/>
    </w:p>
    <w:p>
      <w:pPr>
        <w:jc w:val="center"/>
        <w:rPr>
          <w:rFonts w:ascii="宋体" w:hAnsi="宋体"/>
          <w:color w:val="000000"/>
          <w:sz w:val="28"/>
          <w:szCs w:val="28"/>
        </w:rPr>
      </w:pPr>
      <w:r>
        <w:rPr>
          <w:rFonts w:hint="eastAsia" w:ascii="黑体" w:hAnsi="宋体" w:eastAsia="黑体"/>
          <w:color w:val="000000"/>
          <w:sz w:val="24"/>
        </w:rPr>
        <w:t>入围投标人</w:t>
      </w:r>
      <w:r>
        <w:rPr>
          <w:rFonts w:hint="eastAsia" w:ascii="宋体" w:hAnsi="宋体"/>
          <w:color w:val="000000"/>
          <w:sz w:val="28"/>
          <w:szCs w:val="28"/>
        </w:rPr>
        <w:t>投标人名单</w:t>
      </w:r>
    </w:p>
    <w:p>
      <w:pPr>
        <w:adjustRightInd w:val="0"/>
        <w:snapToGrid w:val="0"/>
        <w:spacing w:line="440" w:lineRule="exact"/>
        <w:rPr>
          <w:color w:val="000000"/>
          <w:szCs w:val="44"/>
        </w:rPr>
      </w:pPr>
      <w:r>
        <w:rPr>
          <w:rFonts w:hint="eastAsia"/>
          <w:color w:val="000000"/>
          <w:szCs w:val="44"/>
        </w:rPr>
        <w:t>项目名称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项目编号</w:t>
      </w:r>
    </w:p>
    <w:p>
      <w:pPr>
        <w:rPr>
          <w:color w:val="000000"/>
          <w:szCs w:val="44"/>
        </w:rPr>
      </w:pPr>
      <w:r>
        <w:rPr>
          <w:rFonts w:hint="eastAsia"/>
          <w:color w:val="000000"/>
          <w:szCs w:val="44"/>
        </w:rPr>
        <w:t>标段名称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标段编号</w:t>
      </w:r>
    </w:p>
    <w:p>
      <w:pPr>
        <w:rPr>
          <w:color w:val="000000"/>
          <w:szCs w:val="44"/>
        </w:rPr>
      </w:pPr>
      <w:r>
        <w:rPr>
          <w:rFonts w:hint="eastAsia"/>
          <w:color w:val="000000"/>
          <w:szCs w:val="44"/>
        </w:rPr>
        <w:t>投标竞争率Fg</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 xml:space="preserve">    </w:t>
      </w:r>
      <w:r>
        <w:rPr>
          <w:rFonts w:hint="eastAsia"/>
          <w:color w:val="000000"/>
          <w:szCs w:val="44"/>
        </w:rPr>
        <w:t>评标基准价Pg：</w:t>
      </w:r>
    </w:p>
    <w:p>
      <w:pPr>
        <w:rPr>
          <w:rFonts w:ascii="宋体" w:hAnsi="宋体"/>
          <w:color w:val="000000"/>
          <w:sz w:val="28"/>
          <w:szCs w:val="28"/>
        </w:rPr>
      </w:pPr>
      <w:r>
        <w:rPr>
          <w:rFonts w:hint="eastAsia"/>
          <w:color w:val="000000"/>
        </w:rPr>
        <w:t>单位：人民币元</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2759"/>
        <w:gridCol w:w="2517"/>
        <w:gridCol w:w="2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auto"/>
          </w:tcPr>
          <w:p>
            <w:pPr>
              <w:jc w:val="center"/>
              <w:rPr>
                <w:rFonts w:ascii="宋体" w:hAnsi="宋体"/>
                <w:color w:val="000000"/>
                <w:sz w:val="28"/>
                <w:szCs w:val="28"/>
              </w:rPr>
            </w:pPr>
            <w:r>
              <w:rPr>
                <w:rFonts w:hint="eastAsia" w:ascii="宋体" w:hAnsi="宋体"/>
                <w:color w:val="000000"/>
                <w:sz w:val="28"/>
                <w:szCs w:val="28"/>
              </w:rPr>
              <w:t>序号</w:t>
            </w:r>
          </w:p>
        </w:tc>
        <w:tc>
          <w:tcPr>
            <w:tcW w:w="3451" w:type="dxa"/>
            <w:shd w:val="clear" w:color="auto" w:fill="auto"/>
          </w:tcPr>
          <w:p>
            <w:pPr>
              <w:jc w:val="center"/>
              <w:rPr>
                <w:rFonts w:ascii="宋体" w:hAnsi="宋体"/>
                <w:color w:val="000000"/>
                <w:sz w:val="28"/>
                <w:szCs w:val="28"/>
              </w:rPr>
            </w:pPr>
            <w:r>
              <w:rPr>
                <w:rFonts w:hint="eastAsia" w:ascii="宋体" w:hAnsi="宋体"/>
                <w:color w:val="000000"/>
                <w:sz w:val="28"/>
                <w:szCs w:val="28"/>
              </w:rPr>
              <w:t>单位名称</w:t>
            </w:r>
          </w:p>
        </w:tc>
        <w:tc>
          <w:tcPr>
            <w:tcW w:w="3121" w:type="dxa"/>
            <w:shd w:val="clear" w:color="auto" w:fill="auto"/>
          </w:tcPr>
          <w:p>
            <w:pPr>
              <w:jc w:val="center"/>
              <w:rPr>
                <w:rFonts w:ascii="宋体" w:hAnsi="宋体"/>
                <w:color w:val="000000"/>
                <w:sz w:val="28"/>
                <w:szCs w:val="28"/>
              </w:rPr>
            </w:pPr>
            <w:r>
              <w:rPr>
                <w:rFonts w:hint="eastAsia" w:ascii="宋体" w:hAnsi="宋体"/>
                <w:color w:val="000000"/>
                <w:sz w:val="28"/>
                <w:szCs w:val="28"/>
              </w:rPr>
              <w:t>投标总报价</w:t>
            </w:r>
          </w:p>
        </w:tc>
        <w:tc>
          <w:tcPr>
            <w:tcW w:w="3744" w:type="dxa"/>
            <w:shd w:val="clear" w:color="auto" w:fill="auto"/>
          </w:tcPr>
          <w:p>
            <w:pPr>
              <w:jc w:val="center"/>
              <w:rPr>
                <w:rFonts w:ascii="宋体" w:hAnsi="宋体"/>
                <w:color w:val="000000"/>
                <w:sz w:val="28"/>
                <w:szCs w:val="28"/>
              </w:rPr>
            </w:pPr>
            <w:r>
              <w:rPr>
                <w:rFonts w:hint="eastAsia" w:ascii="宋体" w:hAnsi="宋体"/>
                <w:color w:val="000000"/>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auto"/>
          </w:tcPr>
          <w:p>
            <w:pPr>
              <w:jc w:val="center"/>
              <w:rPr>
                <w:rFonts w:ascii="宋体" w:hAnsi="宋体"/>
                <w:color w:val="000000"/>
                <w:sz w:val="28"/>
                <w:szCs w:val="28"/>
              </w:rPr>
            </w:pPr>
            <w:r>
              <w:rPr>
                <w:rFonts w:hint="eastAsia" w:ascii="宋体" w:hAnsi="宋体"/>
                <w:color w:val="000000"/>
                <w:sz w:val="28"/>
                <w:szCs w:val="28"/>
              </w:rPr>
              <w:t>1</w:t>
            </w:r>
          </w:p>
        </w:tc>
        <w:tc>
          <w:tcPr>
            <w:tcW w:w="0" w:type="auto"/>
            <w:shd w:val="clear" w:color="auto" w:fill="auto"/>
          </w:tcPr>
          <w:p>
            <w:pPr>
              <w:jc w:val="center"/>
              <w:rPr>
                <w:rFonts w:ascii="宋体" w:hAnsi="宋体"/>
                <w:color w:val="000000"/>
                <w:sz w:val="28"/>
                <w:szCs w:val="28"/>
              </w:rPr>
            </w:pPr>
          </w:p>
        </w:tc>
        <w:tc>
          <w:tcPr>
            <w:tcW w:w="3135" w:type="dxa"/>
            <w:shd w:val="clear" w:color="auto" w:fill="auto"/>
          </w:tcPr>
          <w:p>
            <w:pPr>
              <w:jc w:val="center"/>
              <w:rPr>
                <w:rFonts w:ascii="宋体" w:hAnsi="宋体"/>
                <w:color w:val="000000"/>
                <w:sz w:val="28"/>
                <w:szCs w:val="28"/>
              </w:rPr>
            </w:pPr>
          </w:p>
        </w:tc>
        <w:tc>
          <w:tcPr>
            <w:tcW w:w="3744" w:type="dxa"/>
            <w:shd w:val="clear" w:color="auto" w:fill="auto"/>
          </w:tcPr>
          <w:p>
            <w:pPr>
              <w:jc w:val="center"/>
              <w:rPr>
                <w:rFonts w:ascii="宋体" w:hAnsi="宋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auto"/>
          </w:tcPr>
          <w:p>
            <w:pPr>
              <w:jc w:val="center"/>
              <w:rPr>
                <w:rFonts w:ascii="宋体" w:hAnsi="宋体"/>
                <w:color w:val="000000"/>
                <w:sz w:val="28"/>
                <w:szCs w:val="28"/>
              </w:rPr>
            </w:pPr>
            <w:r>
              <w:rPr>
                <w:rFonts w:hint="eastAsia" w:ascii="宋体" w:hAnsi="宋体"/>
                <w:color w:val="000000"/>
                <w:sz w:val="28"/>
                <w:szCs w:val="28"/>
              </w:rPr>
              <w:t>2</w:t>
            </w:r>
          </w:p>
        </w:tc>
        <w:tc>
          <w:tcPr>
            <w:tcW w:w="0" w:type="auto"/>
            <w:shd w:val="clear" w:color="auto" w:fill="auto"/>
          </w:tcPr>
          <w:p>
            <w:pPr>
              <w:jc w:val="center"/>
              <w:rPr>
                <w:rFonts w:ascii="宋体" w:hAnsi="宋体"/>
                <w:color w:val="000000"/>
                <w:sz w:val="28"/>
                <w:szCs w:val="28"/>
              </w:rPr>
            </w:pPr>
          </w:p>
        </w:tc>
        <w:tc>
          <w:tcPr>
            <w:tcW w:w="3135" w:type="dxa"/>
            <w:shd w:val="clear" w:color="auto" w:fill="auto"/>
          </w:tcPr>
          <w:p>
            <w:pPr>
              <w:jc w:val="center"/>
              <w:rPr>
                <w:rFonts w:ascii="宋体" w:hAnsi="宋体"/>
                <w:color w:val="000000"/>
                <w:sz w:val="28"/>
                <w:szCs w:val="28"/>
              </w:rPr>
            </w:pPr>
          </w:p>
        </w:tc>
        <w:tc>
          <w:tcPr>
            <w:tcW w:w="3744" w:type="dxa"/>
            <w:shd w:val="clear" w:color="auto" w:fill="auto"/>
          </w:tcPr>
          <w:p>
            <w:pPr>
              <w:jc w:val="center"/>
              <w:rPr>
                <w:rFonts w:ascii="宋体" w:hAnsi="宋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auto"/>
          </w:tcPr>
          <w:p>
            <w:pPr>
              <w:jc w:val="center"/>
              <w:rPr>
                <w:rFonts w:ascii="宋体" w:hAnsi="宋体"/>
                <w:color w:val="000000"/>
                <w:sz w:val="28"/>
                <w:szCs w:val="28"/>
              </w:rPr>
            </w:pPr>
            <w:r>
              <w:rPr>
                <w:rFonts w:hint="eastAsia" w:ascii="宋体" w:hAnsi="宋体"/>
                <w:color w:val="000000"/>
                <w:sz w:val="28"/>
                <w:szCs w:val="28"/>
              </w:rPr>
              <w:t>3</w:t>
            </w:r>
          </w:p>
        </w:tc>
        <w:tc>
          <w:tcPr>
            <w:tcW w:w="0" w:type="auto"/>
            <w:shd w:val="clear" w:color="auto" w:fill="auto"/>
          </w:tcPr>
          <w:p>
            <w:pPr>
              <w:jc w:val="center"/>
              <w:rPr>
                <w:rFonts w:ascii="宋体" w:hAnsi="宋体"/>
                <w:color w:val="000000"/>
                <w:sz w:val="28"/>
                <w:szCs w:val="28"/>
              </w:rPr>
            </w:pPr>
          </w:p>
        </w:tc>
        <w:tc>
          <w:tcPr>
            <w:tcW w:w="3135" w:type="dxa"/>
            <w:shd w:val="clear" w:color="auto" w:fill="auto"/>
          </w:tcPr>
          <w:p>
            <w:pPr>
              <w:jc w:val="center"/>
              <w:rPr>
                <w:rFonts w:ascii="宋体" w:hAnsi="宋体"/>
                <w:color w:val="000000"/>
                <w:sz w:val="28"/>
                <w:szCs w:val="28"/>
              </w:rPr>
            </w:pPr>
          </w:p>
        </w:tc>
        <w:tc>
          <w:tcPr>
            <w:tcW w:w="3744" w:type="dxa"/>
            <w:shd w:val="clear" w:color="auto" w:fill="auto"/>
          </w:tcPr>
          <w:p>
            <w:pPr>
              <w:jc w:val="center"/>
              <w:rPr>
                <w:rFonts w:ascii="宋体" w:hAnsi="宋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auto"/>
          </w:tcPr>
          <w:p>
            <w:pPr>
              <w:jc w:val="center"/>
              <w:rPr>
                <w:rFonts w:ascii="宋体" w:hAnsi="宋体"/>
                <w:color w:val="000000"/>
                <w:sz w:val="28"/>
                <w:szCs w:val="28"/>
              </w:rPr>
            </w:pPr>
            <w:r>
              <w:rPr>
                <w:rFonts w:hint="eastAsia" w:ascii="宋体" w:hAnsi="宋体"/>
                <w:color w:val="000000"/>
                <w:sz w:val="28"/>
                <w:szCs w:val="28"/>
              </w:rPr>
              <w:t>4</w:t>
            </w:r>
          </w:p>
        </w:tc>
        <w:tc>
          <w:tcPr>
            <w:tcW w:w="0" w:type="auto"/>
            <w:shd w:val="clear" w:color="auto" w:fill="auto"/>
          </w:tcPr>
          <w:p>
            <w:pPr>
              <w:jc w:val="center"/>
              <w:rPr>
                <w:rFonts w:ascii="宋体" w:hAnsi="宋体"/>
                <w:color w:val="000000"/>
                <w:sz w:val="28"/>
                <w:szCs w:val="28"/>
              </w:rPr>
            </w:pPr>
          </w:p>
        </w:tc>
        <w:tc>
          <w:tcPr>
            <w:tcW w:w="3135" w:type="dxa"/>
            <w:shd w:val="clear" w:color="auto" w:fill="auto"/>
          </w:tcPr>
          <w:p>
            <w:pPr>
              <w:jc w:val="center"/>
              <w:rPr>
                <w:rFonts w:ascii="宋体" w:hAnsi="宋体"/>
                <w:color w:val="000000"/>
                <w:sz w:val="28"/>
                <w:szCs w:val="28"/>
              </w:rPr>
            </w:pPr>
          </w:p>
        </w:tc>
        <w:tc>
          <w:tcPr>
            <w:tcW w:w="3744" w:type="dxa"/>
            <w:shd w:val="clear" w:color="auto" w:fill="auto"/>
          </w:tcPr>
          <w:p>
            <w:pPr>
              <w:jc w:val="center"/>
              <w:rPr>
                <w:rFonts w:ascii="宋体" w:hAnsi="宋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auto"/>
          </w:tcPr>
          <w:p>
            <w:pPr>
              <w:jc w:val="center"/>
              <w:rPr>
                <w:rFonts w:ascii="宋体" w:hAnsi="宋体"/>
                <w:color w:val="000000"/>
                <w:sz w:val="28"/>
                <w:szCs w:val="28"/>
              </w:rPr>
            </w:pPr>
            <w:r>
              <w:rPr>
                <w:rFonts w:hint="eastAsia" w:ascii="宋体" w:hAnsi="宋体"/>
                <w:color w:val="000000"/>
                <w:sz w:val="28"/>
                <w:szCs w:val="28"/>
              </w:rPr>
              <w:t>5</w:t>
            </w:r>
          </w:p>
        </w:tc>
        <w:tc>
          <w:tcPr>
            <w:tcW w:w="0" w:type="auto"/>
            <w:shd w:val="clear" w:color="auto" w:fill="auto"/>
          </w:tcPr>
          <w:p>
            <w:pPr>
              <w:jc w:val="center"/>
              <w:rPr>
                <w:rFonts w:ascii="宋体" w:hAnsi="宋体"/>
                <w:color w:val="000000"/>
                <w:sz w:val="28"/>
                <w:szCs w:val="28"/>
              </w:rPr>
            </w:pPr>
          </w:p>
        </w:tc>
        <w:tc>
          <w:tcPr>
            <w:tcW w:w="3135" w:type="dxa"/>
            <w:shd w:val="clear" w:color="auto" w:fill="auto"/>
          </w:tcPr>
          <w:p>
            <w:pPr>
              <w:jc w:val="center"/>
              <w:rPr>
                <w:rFonts w:ascii="宋体" w:hAnsi="宋体"/>
                <w:color w:val="000000"/>
                <w:sz w:val="28"/>
                <w:szCs w:val="28"/>
              </w:rPr>
            </w:pPr>
          </w:p>
        </w:tc>
        <w:tc>
          <w:tcPr>
            <w:tcW w:w="3744" w:type="dxa"/>
            <w:shd w:val="clear" w:color="auto" w:fill="auto"/>
          </w:tcPr>
          <w:p>
            <w:pPr>
              <w:jc w:val="center"/>
              <w:rPr>
                <w:rFonts w:ascii="宋体" w:hAnsi="宋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auto"/>
          </w:tcPr>
          <w:p>
            <w:pPr>
              <w:jc w:val="center"/>
              <w:rPr>
                <w:rFonts w:ascii="宋体" w:hAnsi="宋体"/>
                <w:color w:val="000000"/>
                <w:sz w:val="28"/>
                <w:szCs w:val="28"/>
              </w:rPr>
            </w:pPr>
            <w:r>
              <w:rPr>
                <w:rFonts w:ascii="宋体" w:hAnsi="宋体"/>
                <w:color w:val="000000"/>
                <w:sz w:val="28"/>
                <w:szCs w:val="28"/>
              </w:rPr>
              <w:t>……</w:t>
            </w:r>
          </w:p>
        </w:tc>
        <w:tc>
          <w:tcPr>
            <w:tcW w:w="0" w:type="auto"/>
            <w:shd w:val="clear" w:color="auto" w:fill="auto"/>
          </w:tcPr>
          <w:p>
            <w:pPr>
              <w:jc w:val="center"/>
              <w:rPr>
                <w:rFonts w:ascii="宋体" w:hAnsi="宋体"/>
                <w:color w:val="000000"/>
                <w:sz w:val="28"/>
                <w:szCs w:val="28"/>
              </w:rPr>
            </w:pPr>
          </w:p>
        </w:tc>
        <w:tc>
          <w:tcPr>
            <w:tcW w:w="3135" w:type="dxa"/>
            <w:shd w:val="clear" w:color="auto" w:fill="auto"/>
          </w:tcPr>
          <w:p>
            <w:pPr>
              <w:jc w:val="center"/>
              <w:rPr>
                <w:rFonts w:ascii="宋体" w:hAnsi="宋体"/>
                <w:color w:val="000000"/>
                <w:sz w:val="28"/>
                <w:szCs w:val="28"/>
              </w:rPr>
            </w:pPr>
          </w:p>
        </w:tc>
        <w:tc>
          <w:tcPr>
            <w:tcW w:w="3744" w:type="dxa"/>
            <w:shd w:val="clear" w:color="auto" w:fill="auto"/>
          </w:tcPr>
          <w:p>
            <w:pPr>
              <w:jc w:val="center"/>
              <w:rPr>
                <w:rFonts w:ascii="宋体" w:hAnsi="宋体"/>
                <w:color w:val="000000"/>
                <w:sz w:val="28"/>
                <w:szCs w:val="28"/>
              </w:rPr>
            </w:pPr>
          </w:p>
        </w:tc>
      </w:tr>
    </w:tbl>
    <w:p>
      <w:pPr>
        <w:ind w:right="840"/>
        <w:jc w:val="right"/>
        <w:rPr>
          <w:color w:val="000000"/>
        </w:rPr>
      </w:pPr>
    </w:p>
    <w:p>
      <w:pPr>
        <w:ind w:right="840"/>
        <w:jc w:val="right"/>
        <w:rPr>
          <w:color w:val="000000"/>
        </w:rPr>
      </w:pPr>
    </w:p>
    <w:p>
      <w:pPr>
        <w:jc w:val="right"/>
        <w:rPr>
          <w:rFonts w:ascii="宋体" w:hAnsi="宋体"/>
          <w:color w:val="000000"/>
          <w:szCs w:val="44"/>
        </w:rPr>
      </w:pPr>
      <w:r>
        <w:rPr>
          <w:rFonts w:hint="eastAsia"/>
          <w:color w:val="000000"/>
        </w:rPr>
        <w:t xml:space="preserve"> </w:t>
      </w:r>
      <w:r>
        <w:rPr>
          <w:color w:val="000000"/>
        </w:rPr>
        <w:t xml:space="preserve">                                                    </w:t>
      </w:r>
      <w:r>
        <w:rPr>
          <w:rFonts w:hint="eastAsia" w:ascii="宋体" w:hAnsi="宋体"/>
          <w:color w:val="000000"/>
          <w:szCs w:val="44"/>
        </w:rPr>
        <w:t>评标委员会全体成员签名：                                                                      日期：  年 月  日</w:t>
      </w:r>
    </w:p>
    <w:p>
      <w:pPr>
        <w:jc w:val="right"/>
        <w:rPr>
          <w:color w:val="000000"/>
        </w:rPr>
      </w:pPr>
    </w:p>
    <w:p>
      <w:pPr>
        <w:spacing w:before="312" w:beforeLines="100" w:after="249" w:afterLines="80" w:line="380" w:lineRule="exact"/>
        <w:outlineLvl w:val="2"/>
        <w:rPr>
          <w:rFonts w:ascii="黑体" w:hAnsi="宋体" w:eastAsia="黑体"/>
          <w:color w:val="000000"/>
          <w:sz w:val="24"/>
        </w:rPr>
      </w:pPr>
      <w:r>
        <w:rPr>
          <w:color w:val="000000"/>
        </w:rPr>
        <w:br w:type="page"/>
      </w:r>
      <w:bookmarkStart w:id="278" w:name="_Toc504078131"/>
      <w:bookmarkStart w:id="279" w:name="_Toc114222758"/>
      <w:r>
        <w:rPr>
          <w:rFonts w:hint="eastAsia" w:ascii="黑体" w:hAnsi="宋体" w:eastAsia="黑体"/>
          <w:color w:val="000000"/>
          <w:sz w:val="24"/>
        </w:rPr>
        <w:t>附表A-</w:t>
      </w:r>
      <w:r>
        <w:rPr>
          <w:rFonts w:ascii="黑体" w:hAnsi="宋体" w:eastAsia="黑体"/>
          <w:color w:val="000000"/>
          <w:sz w:val="24"/>
        </w:rPr>
        <w:t>6</w:t>
      </w:r>
      <w:r>
        <w:rPr>
          <w:rFonts w:hint="eastAsia" w:ascii="黑体" w:hAnsi="宋体" w:eastAsia="黑体"/>
          <w:color w:val="000000"/>
          <w:sz w:val="24"/>
        </w:rPr>
        <w:t>：未入围投标人名单</w:t>
      </w:r>
      <w:bookmarkEnd w:id="278"/>
      <w:r>
        <w:rPr>
          <w:rFonts w:hint="eastAsia" w:ascii="黑体" w:hAnsi="宋体" w:eastAsia="黑体"/>
          <w:color w:val="000000"/>
          <w:sz w:val="24"/>
        </w:rPr>
        <w:t>（系统自动生成）</w:t>
      </w:r>
      <w:bookmarkEnd w:id="279"/>
    </w:p>
    <w:p>
      <w:pPr>
        <w:jc w:val="center"/>
        <w:rPr>
          <w:rFonts w:ascii="宋体" w:hAnsi="宋体"/>
          <w:color w:val="000000"/>
          <w:sz w:val="28"/>
          <w:szCs w:val="28"/>
        </w:rPr>
      </w:pPr>
      <w:r>
        <w:rPr>
          <w:rFonts w:hint="eastAsia" w:ascii="宋体" w:hAnsi="宋体"/>
          <w:color w:val="000000"/>
          <w:sz w:val="28"/>
          <w:szCs w:val="28"/>
        </w:rPr>
        <w:t>未进入详细评审的有效投标人名单</w:t>
      </w:r>
    </w:p>
    <w:p>
      <w:pPr>
        <w:adjustRightInd w:val="0"/>
        <w:snapToGrid w:val="0"/>
        <w:spacing w:line="440" w:lineRule="exact"/>
        <w:rPr>
          <w:color w:val="000000"/>
          <w:szCs w:val="44"/>
        </w:rPr>
      </w:pPr>
      <w:r>
        <w:rPr>
          <w:rFonts w:hint="eastAsia"/>
          <w:color w:val="000000"/>
          <w:szCs w:val="44"/>
        </w:rPr>
        <w:t>项目名称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项目编号</w:t>
      </w:r>
    </w:p>
    <w:p>
      <w:pPr>
        <w:rPr>
          <w:rFonts w:ascii="宋体" w:hAnsi="宋体"/>
          <w:color w:val="000000"/>
          <w:szCs w:val="44"/>
        </w:rPr>
      </w:pPr>
      <w:r>
        <w:rPr>
          <w:rFonts w:hint="eastAsia"/>
          <w:color w:val="000000"/>
          <w:szCs w:val="44"/>
        </w:rPr>
        <w:t>标段名称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标段编号</w:t>
      </w:r>
    </w:p>
    <w:p>
      <w:pPr>
        <w:rPr>
          <w:rFonts w:ascii="宋体" w:hAnsi="宋体"/>
          <w:color w:val="000000"/>
          <w:sz w:val="28"/>
          <w:szCs w:val="28"/>
        </w:rPr>
      </w:pPr>
      <w:r>
        <w:rPr>
          <w:rFonts w:hint="eastAsia"/>
          <w:color w:val="000000"/>
        </w:rPr>
        <w:t>单位：人民币元</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2400"/>
        <w:gridCol w:w="10"/>
        <w:gridCol w:w="2870"/>
        <w:gridCol w:w="2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6" w:type="dxa"/>
            <w:shd w:val="clear" w:color="auto" w:fill="auto"/>
          </w:tcPr>
          <w:p>
            <w:pPr>
              <w:jc w:val="center"/>
              <w:rPr>
                <w:rFonts w:ascii="宋体" w:hAnsi="宋体"/>
                <w:color w:val="000000"/>
                <w:sz w:val="28"/>
                <w:szCs w:val="28"/>
              </w:rPr>
            </w:pPr>
            <w:r>
              <w:rPr>
                <w:rFonts w:hint="eastAsia" w:ascii="宋体" w:hAnsi="宋体"/>
                <w:color w:val="000000"/>
                <w:sz w:val="28"/>
                <w:szCs w:val="28"/>
              </w:rPr>
              <w:t>序号</w:t>
            </w:r>
          </w:p>
        </w:tc>
        <w:tc>
          <w:tcPr>
            <w:tcW w:w="2635" w:type="dxa"/>
            <w:gridSpan w:val="2"/>
            <w:shd w:val="clear" w:color="auto" w:fill="auto"/>
          </w:tcPr>
          <w:p>
            <w:pPr>
              <w:jc w:val="center"/>
              <w:rPr>
                <w:rFonts w:ascii="宋体" w:hAnsi="宋体"/>
                <w:color w:val="000000"/>
                <w:sz w:val="28"/>
                <w:szCs w:val="28"/>
              </w:rPr>
            </w:pPr>
            <w:r>
              <w:rPr>
                <w:rFonts w:hint="eastAsia" w:ascii="宋体" w:hAnsi="宋体"/>
                <w:color w:val="000000"/>
                <w:sz w:val="28"/>
                <w:szCs w:val="28"/>
              </w:rPr>
              <w:t>单位名称</w:t>
            </w:r>
          </w:p>
        </w:tc>
        <w:tc>
          <w:tcPr>
            <w:tcW w:w="3149" w:type="dxa"/>
            <w:shd w:val="clear" w:color="auto" w:fill="auto"/>
          </w:tcPr>
          <w:p>
            <w:pPr>
              <w:jc w:val="center"/>
              <w:rPr>
                <w:rFonts w:ascii="宋体" w:hAnsi="宋体"/>
                <w:color w:val="000000"/>
                <w:sz w:val="28"/>
                <w:szCs w:val="28"/>
              </w:rPr>
            </w:pPr>
            <w:r>
              <w:rPr>
                <w:rFonts w:hint="eastAsia" w:ascii="宋体" w:hAnsi="宋体"/>
                <w:color w:val="000000"/>
                <w:sz w:val="28"/>
                <w:szCs w:val="28"/>
              </w:rPr>
              <w:t>投标总报价</w:t>
            </w:r>
          </w:p>
        </w:tc>
        <w:tc>
          <w:tcPr>
            <w:tcW w:w="3271" w:type="dxa"/>
          </w:tcPr>
          <w:p>
            <w:pPr>
              <w:jc w:val="center"/>
              <w:rPr>
                <w:rFonts w:ascii="宋体" w:hAnsi="宋体"/>
                <w:color w:val="000000"/>
                <w:sz w:val="28"/>
                <w:szCs w:val="28"/>
              </w:rPr>
            </w:pPr>
            <w:r>
              <w:rPr>
                <w:rFonts w:hint="eastAsia" w:ascii="宋体" w:hAnsi="宋体"/>
                <w:color w:val="000000"/>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6" w:type="dxa"/>
            <w:shd w:val="clear" w:color="auto" w:fill="auto"/>
          </w:tcPr>
          <w:p>
            <w:pPr>
              <w:jc w:val="center"/>
              <w:rPr>
                <w:rFonts w:ascii="宋体" w:hAnsi="宋体"/>
                <w:color w:val="000000"/>
                <w:sz w:val="28"/>
                <w:szCs w:val="28"/>
              </w:rPr>
            </w:pPr>
            <w:r>
              <w:rPr>
                <w:rFonts w:hint="eastAsia" w:ascii="宋体" w:hAnsi="宋体"/>
                <w:color w:val="000000"/>
                <w:sz w:val="28"/>
                <w:szCs w:val="28"/>
              </w:rPr>
              <w:t>1</w:t>
            </w:r>
          </w:p>
        </w:tc>
        <w:tc>
          <w:tcPr>
            <w:tcW w:w="2624" w:type="dxa"/>
            <w:shd w:val="clear" w:color="auto" w:fill="auto"/>
          </w:tcPr>
          <w:p>
            <w:pPr>
              <w:jc w:val="center"/>
              <w:rPr>
                <w:rFonts w:ascii="宋体" w:hAnsi="宋体"/>
                <w:color w:val="000000"/>
                <w:sz w:val="28"/>
                <w:szCs w:val="28"/>
              </w:rPr>
            </w:pPr>
          </w:p>
        </w:tc>
        <w:tc>
          <w:tcPr>
            <w:tcW w:w="3160" w:type="dxa"/>
            <w:gridSpan w:val="2"/>
            <w:shd w:val="clear" w:color="auto" w:fill="auto"/>
          </w:tcPr>
          <w:p>
            <w:pPr>
              <w:jc w:val="center"/>
              <w:rPr>
                <w:rFonts w:ascii="宋体" w:hAnsi="宋体"/>
                <w:color w:val="000000"/>
                <w:sz w:val="28"/>
                <w:szCs w:val="28"/>
              </w:rPr>
            </w:pPr>
          </w:p>
        </w:tc>
        <w:tc>
          <w:tcPr>
            <w:tcW w:w="3271" w:type="dxa"/>
          </w:tcPr>
          <w:p>
            <w:pPr>
              <w:jc w:val="center"/>
              <w:rPr>
                <w:rFonts w:ascii="宋体" w:hAnsi="宋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6" w:type="dxa"/>
            <w:shd w:val="clear" w:color="auto" w:fill="auto"/>
          </w:tcPr>
          <w:p>
            <w:pPr>
              <w:jc w:val="center"/>
              <w:rPr>
                <w:rFonts w:ascii="宋体" w:hAnsi="宋体"/>
                <w:color w:val="000000"/>
                <w:sz w:val="28"/>
                <w:szCs w:val="28"/>
              </w:rPr>
            </w:pPr>
            <w:r>
              <w:rPr>
                <w:rFonts w:hint="eastAsia" w:ascii="宋体" w:hAnsi="宋体"/>
                <w:color w:val="000000"/>
                <w:sz w:val="28"/>
                <w:szCs w:val="28"/>
              </w:rPr>
              <w:t>2</w:t>
            </w:r>
          </w:p>
        </w:tc>
        <w:tc>
          <w:tcPr>
            <w:tcW w:w="2624" w:type="dxa"/>
            <w:shd w:val="clear" w:color="auto" w:fill="auto"/>
          </w:tcPr>
          <w:p>
            <w:pPr>
              <w:jc w:val="center"/>
              <w:rPr>
                <w:rFonts w:ascii="宋体" w:hAnsi="宋体"/>
                <w:color w:val="000000"/>
                <w:sz w:val="28"/>
                <w:szCs w:val="28"/>
              </w:rPr>
            </w:pPr>
          </w:p>
        </w:tc>
        <w:tc>
          <w:tcPr>
            <w:tcW w:w="3160" w:type="dxa"/>
            <w:gridSpan w:val="2"/>
            <w:shd w:val="clear" w:color="auto" w:fill="auto"/>
          </w:tcPr>
          <w:p>
            <w:pPr>
              <w:jc w:val="center"/>
              <w:rPr>
                <w:rFonts w:ascii="宋体" w:hAnsi="宋体"/>
                <w:color w:val="000000"/>
                <w:sz w:val="28"/>
                <w:szCs w:val="28"/>
              </w:rPr>
            </w:pPr>
          </w:p>
        </w:tc>
        <w:tc>
          <w:tcPr>
            <w:tcW w:w="3271" w:type="dxa"/>
          </w:tcPr>
          <w:p>
            <w:pPr>
              <w:jc w:val="center"/>
              <w:rPr>
                <w:rFonts w:ascii="宋体" w:hAnsi="宋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6" w:type="dxa"/>
            <w:shd w:val="clear" w:color="auto" w:fill="auto"/>
          </w:tcPr>
          <w:p>
            <w:pPr>
              <w:jc w:val="center"/>
              <w:rPr>
                <w:rFonts w:ascii="宋体" w:hAnsi="宋体"/>
                <w:color w:val="000000"/>
                <w:sz w:val="28"/>
                <w:szCs w:val="28"/>
              </w:rPr>
            </w:pPr>
            <w:r>
              <w:rPr>
                <w:rFonts w:hint="eastAsia" w:ascii="宋体" w:hAnsi="宋体"/>
                <w:color w:val="000000"/>
                <w:sz w:val="28"/>
                <w:szCs w:val="28"/>
              </w:rPr>
              <w:t>3</w:t>
            </w:r>
          </w:p>
        </w:tc>
        <w:tc>
          <w:tcPr>
            <w:tcW w:w="2624" w:type="dxa"/>
            <w:shd w:val="clear" w:color="auto" w:fill="auto"/>
          </w:tcPr>
          <w:p>
            <w:pPr>
              <w:jc w:val="center"/>
              <w:rPr>
                <w:rFonts w:ascii="宋体" w:hAnsi="宋体"/>
                <w:color w:val="000000"/>
                <w:sz w:val="28"/>
                <w:szCs w:val="28"/>
              </w:rPr>
            </w:pPr>
          </w:p>
        </w:tc>
        <w:tc>
          <w:tcPr>
            <w:tcW w:w="3160" w:type="dxa"/>
            <w:gridSpan w:val="2"/>
            <w:shd w:val="clear" w:color="auto" w:fill="auto"/>
          </w:tcPr>
          <w:p>
            <w:pPr>
              <w:jc w:val="center"/>
              <w:rPr>
                <w:rFonts w:ascii="宋体" w:hAnsi="宋体"/>
                <w:color w:val="000000"/>
                <w:sz w:val="28"/>
                <w:szCs w:val="28"/>
              </w:rPr>
            </w:pPr>
          </w:p>
        </w:tc>
        <w:tc>
          <w:tcPr>
            <w:tcW w:w="3271" w:type="dxa"/>
          </w:tcPr>
          <w:p>
            <w:pPr>
              <w:jc w:val="center"/>
              <w:rPr>
                <w:rFonts w:ascii="宋体" w:hAnsi="宋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6" w:type="dxa"/>
            <w:shd w:val="clear" w:color="auto" w:fill="auto"/>
          </w:tcPr>
          <w:p>
            <w:pPr>
              <w:jc w:val="center"/>
              <w:rPr>
                <w:rFonts w:ascii="宋体" w:hAnsi="宋体"/>
                <w:color w:val="000000"/>
                <w:sz w:val="28"/>
                <w:szCs w:val="28"/>
              </w:rPr>
            </w:pPr>
            <w:r>
              <w:rPr>
                <w:rFonts w:hint="eastAsia" w:ascii="宋体" w:hAnsi="宋体"/>
                <w:color w:val="000000"/>
                <w:sz w:val="28"/>
                <w:szCs w:val="28"/>
              </w:rPr>
              <w:t>4</w:t>
            </w:r>
          </w:p>
        </w:tc>
        <w:tc>
          <w:tcPr>
            <w:tcW w:w="2624" w:type="dxa"/>
            <w:shd w:val="clear" w:color="auto" w:fill="auto"/>
          </w:tcPr>
          <w:p>
            <w:pPr>
              <w:jc w:val="center"/>
              <w:rPr>
                <w:rFonts w:ascii="宋体" w:hAnsi="宋体"/>
                <w:color w:val="000000"/>
                <w:sz w:val="28"/>
                <w:szCs w:val="28"/>
              </w:rPr>
            </w:pPr>
          </w:p>
        </w:tc>
        <w:tc>
          <w:tcPr>
            <w:tcW w:w="3160" w:type="dxa"/>
            <w:gridSpan w:val="2"/>
            <w:shd w:val="clear" w:color="auto" w:fill="auto"/>
          </w:tcPr>
          <w:p>
            <w:pPr>
              <w:jc w:val="center"/>
              <w:rPr>
                <w:rFonts w:ascii="宋体" w:hAnsi="宋体"/>
                <w:color w:val="000000"/>
                <w:sz w:val="28"/>
                <w:szCs w:val="28"/>
              </w:rPr>
            </w:pPr>
          </w:p>
        </w:tc>
        <w:tc>
          <w:tcPr>
            <w:tcW w:w="3271" w:type="dxa"/>
          </w:tcPr>
          <w:p>
            <w:pPr>
              <w:jc w:val="center"/>
              <w:rPr>
                <w:rFonts w:ascii="宋体" w:hAnsi="宋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6" w:type="dxa"/>
            <w:shd w:val="clear" w:color="auto" w:fill="auto"/>
          </w:tcPr>
          <w:p>
            <w:pPr>
              <w:jc w:val="center"/>
              <w:rPr>
                <w:rFonts w:ascii="宋体" w:hAnsi="宋体"/>
                <w:color w:val="000000"/>
                <w:sz w:val="28"/>
                <w:szCs w:val="28"/>
              </w:rPr>
            </w:pPr>
            <w:r>
              <w:rPr>
                <w:rFonts w:hint="eastAsia" w:ascii="宋体" w:hAnsi="宋体"/>
                <w:color w:val="000000"/>
                <w:sz w:val="28"/>
                <w:szCs w:val="28"/>
              </w:rPr>
              <w:t>5</w:t>
            </w:r>
          </w:p>
        </w:tc>
        <w:tc>
          <w:tcPr>
            <w:tcW w:w="2624" w:type="dxa"/>
            <w:shd w:val="clear" w:color="auto" w:fill="auto"/>
          </w:tcPr>
          <w:p>
            <w:pPr>
              <w:jc w:val="center"/>
              <w:rPr>
                <w:rFonts w:ascii="宋体" w:hAnsi="宋体"/>
                <w:color w:val="000000"/>
                <w:sz w:val="28"/>
                <w:szCs w:val="28"/>
              </w:rPr>
            </w:pPr>
          </w:p>
        </w:tc>
        <w:tc>
          <w:tcPr>
            <w:tcW w:w="3160" w:type="dxa"/>
            <w:gridSpan w:val="2"/>
            <w:shd w:val="clear" w:color="auto" w:fill="auto"/>
          </w:tcPr>
          <w:p>
            <w:pPr>
              <w:jc w:val="center"/>
              <w:rPr>
                <w:rFonts w:ascii="宋体" w:hAnsi="宋体"/>
                <w:color w:val="000000"/>
                <w:sz w:val="28"/>
                <w:szCs w:val="28"/>
              </w:rPr>
            </w:pPr>
          </w:p>
        </w:tc>
        <w:tc>
          <w:tcPr>
            <w:tcW w:w="3271" w:type="dxa"/>
          </w:tcPr>
          <w:p>
            <w:pPr>
              <w:jc w:val="center"/>
              <w:rPr>
                <w:rFonts w:ascii="宋体" w:hAnsi="宋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6" w:type="dxa"/>
            <w:shd w:val="clear" w:color="auto" w:fill="auto"/>
          </w:tcPr>
          <w:p>
            <w:pPr>
              <w:jc w:val="center"/>
              <w:rPr>
                <w:rFonts w:ascii="宋体" w:hAnsi="宋体"/>
                <w:color w:val="000000"/>
                <w:sz w:val="28"/>
                <w:szCs w:val="28"/>
              </w:rPr>
            </w:pPr>
            <w:r>
              <w:rPr>
                <w:rFonts w:ascii="宋体" w:hAnsi="宋体"/>
                <w:color w:val="000000"/>
                <w:sz w:val="28"/>
                <w:szCs w:val="28"/>
              </w:rPr>
              <w:t>……</w:t>
            </w:r>
          </w:p>
        </w:tc>
        <w:tc>
          <w:tcPr>
            <w:tcW w:w="2624" w:type="dxa"/>
            <w:shd w:val="clear" w:color="auto" w:fill="auto"/>
          </w:tcPr>
          <w:p>
            <w:pPr>
              <w:jc w:val="center"/>
              <w:rPr>
                <w:rFonts w:ascii="宋体" w:hAnsi="宋体"/>
                <w:color w:val="000000"/>
                <w:sz w:val="28"/>
                <w:szCs w:val="28"/>
              </w:rPr>
            </w:pPr>
          </w:p>
        </w:tc>
        <w:tc>
          <w:tcPr>
            <w:tcW w:w="3160" w:type="dxa"/>
            <w:gridSpan w:val="2"/>
            <w:shd w:val="clear" w:color="auto" w:fill="auto"/>
          </w:tcPr>
          <w:p>
            <w:pPr>
              <w:jc w:val="center"/>
              <w:rPr>
                <w:rFonts w:ascii="宋体" w:hAnsi="宋体"/>
                <w:color w:val="000000"/>
                <w:sz w:val="28"/>
                <w:szCs w:val="28"/>
              </w:rPr>
            </w:pPr>
          </w:p>
        </w:tc>
        <w:tc>
          <w:tcPr>
            <w:tcW w:w="3271" w:type="dxa"/>
          </w:tcPr>
          <w:p>
            <w:pPr>
              <w:jc w:val="center"/>
              <w:rPr>
                <w:rFonts w:ascii="宋体" w:hAnsi="宋体"/>
                <w:color w:val="000000"/>
                <w:sz w:val="28"/>
                <w:szCs w:val="28"/>
              </w:rPr>
            </w:pPr>
          </w:p>
        </w:tc>
      </w:tr>
    </w:tbl>
    <w:p>
      <w:pPr>
        <w:ind w:firstLine="1050" w:firstLineChars="500"/>
        <w:jc w:val="right"/>
        <w:rPr>
          <w:color w:val="000000"/>
        </w:rPr>
      </w:pPr>
      <w:r>
        <w:rPr>
          <w:rFonts w:hint="eastAsia"/>
          <w:color w:val="000000"/>
        </w:rPr>
        <w:t xml:space="preserve"> </w:t>
      </w:r>
      <w:r>
        <w:rPr>
          <w:color w:val="000000"/>
        </w:rPr>
        <w:t xml:space="preserve">                                                    </w:t>
      </w:r>
      <w:r>
        <w:rPr>
          <w:rFonts w:hint="eastAsia"/>
          <w:color w:val="000000"/>
        </w:rPr>
        <w:t>评标委员会成员签名：</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rFonts w:hint="eastAsia"/>
          <w:color w:val="000000"/>
        </w:rPr>
        <w:t xml:space="preserve">日期：  年    月 </w:t>
      </w:r>
      <w:r>
        <w:rPr>
          <w:color w:val="000000"/>
        </w:rPr>
        <w:t xml:space="preserve">   </w:t>
      </w:r>
      <w:r>
        <w:rPr>
          <w:rFonts w:hint="eastAsia"/>
          <w:color w:val="000000"/>
        </w:rPr>
        <w:t>日</w:t>
      </w:r>
    </w:p>
    <w:p>
      <w:pPr>
        <w:spacing w:before="312" w:beforeLines="100" w:after="249" w:afterLines="80" w:line="380" w:lineRule="exact"/>
        <w:outlineLvl w:val="2"/>
        <w:rPr>
          <w:rFonts w:ascii="黑体" w:hAnsi="宋体" w:eastAsia="黑体"/>
          <w:color w:val="000000"/>
          <w:sz w:val="24"/>
        </w:rPr>
      </w:pPr>
      <w:r>
        <w:rPr>
          <w:color w:val="000000"/>
        </w:rPr>
        <w:br w:type="page"/>
      </w:r>
      <w:bookmarkStart w:id="280" w:name="_Toc504078132"/>
      <w:bookmarkStart w:id="281" w:name="_Toc114222759"/>
      <w:r>
        <w:rPr>
          <w:rFonts w:hint="eastAsia" w:ascii="黑体" w:hAnsi="宋体" w:eastAsia="黑体"/>
          <w:color w:val="000000"/>
          <w:sz w:val="24"/>
        </w:rPr>
        <w:t>附表A-</w:t>
      </w:r>
      <w:r>
        <w:rPr>
          <w:rFonts w:ascii="黑体" w:hAnsi="宋体" w:eastAsia="黑体"/>
          <w:color w:val="000000"/>
          <w:sz w:val="24"/>
        </w:rPr>
        <w:t>7</w:t>
      </w:r>
      <w:r>
        <w:rPr>
          <w:rFonts w:hint="eastAsia" w:ascii="黑体" w:hAnsi="宋体" w:eastAsia="黑体"/>
          <w:color w:val="000000"/>
          <w:sz w:val="24"/>
        </w:rPr>
        <w:t>：工程量清单总报价得分表</w:t>
      </w:r>
      <w:bookmarkEnd w:id="280"/>
      <w:r>
        <w:rPr>
          <w:rFonts w:hint="eastAsia" w:ascii="黑体" w:hAnsi="宋体" w:eastAsia="黑体"/>
          <w:color w:val="000000"/>
          <w:sz w:val="24"/>
        </w:rPr>
        <w:t>（系统自动生成）</w:t>
      </w:r>
      <w:bookmarkEnd w:id="281"/>
    </w:p>
    <w:p>
      <w:pPr>
        <w:jc w:val="center"/>
        <w:rPr>
          <w:rFonts w:ascii="宋体" w:hAnsi="宋体"/>
          <w:color w:val="000000"/>
          <w:szCs w:val="21"/>
        </w:rPr>
      </w:pPr>
      <w:r>
        <w:rPr>
          <w:rFonts w:hint="eastAsia" w:ascii="黑体" w:eastAsia="黑体"/>
          <w:color w:val="000000"/>
          <w:sz w:val="28"/>
          <w:szCs w:val="28"/>
        </w:rPr>
        <w:t>工程量清单总报价得分表</w:t>
      </w:r>
    </w:p>
    <w:p>
      <w:pPr>
        <w:adjustRightInd w:val="0"/>
        <w:snapToGrid w:val="0"/>
        <w:spacing w:line="440" w:lineRule="exact"/>
        <w:rPr>
          <w:color w:val="000000"/>
          <w:szCs w:val="44"/>
        </w:rPr>
      </w:pPr>
      <w:r>
        <w:rPr>
          <w:rFonts w:hint="eastAsia"/>
          <w:color w:val="000000"/>
          <w:szCs w:val="44"/>
        </w:rPr>
        <w:t>项目名称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项目编号</w:t>
      </w:r>
    </w:p>
    <w:p>
      <w:pPr>
        <w:spacing w:after="93" w:afterLines="30" w:line="440" w:lineRule="exact"/>
        <w:rPr>
          <w:color w:val="000000"/>
          <w:szCs w:val="44"/>
        </w:rPr>
      </w:pPr>
      <w:r>
        <w:rPr>
          <w:rFonts w:hint="eastAsia"/>
          <w:color w:val="000000"/>
          <w:szCs w:val="44"/>
        </w:rPr>
        <w:t>标段名称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标段编号</w:t>
      </w:r>
    </w:p>
    <w:p>
      <w:pPr>
        <w:spacing w:after="93" w:afterLines="30" w:line="440" w:lineRule="exact"/>
        <w:rPr>
          <w:color w:val="000000"/>
          <w:szCs w:val="44"/>
        </w:rPr>
      </w:pPr>
      <w:r>
        <w:rPr>
          <w:rFonts w:hint="eastAsia"/>
          <w:color w:val="000000"/>
          <w:szCs w:val="44"/>
        </w:rPr>
        <w:t>单位：人民币元</w:t>
      </w:r>
    </w:p>
    <w:tbl>
      <w:tblPr>
        <w:tblStyle w:val="36"/>
        <w:tblW w:w="93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9"/>
        <w:gridCol w:w="1794"/>
        <w:gridCol w:w="1310"/>
        <w:gridCol w:w="1428"/>
        <w:gridCol w:w="1186"/>
        <w:gridCol w:w="2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2" w:hRule="atLeast"/>
        </w:trPr>
        <w:tc>
          <w:tcPr>
            <w:tcW w:w="157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r>
              <w:rPr>
                <w:rFonts w:hint="eastAsia" w:ascii="宋体" w:hAnsi="宋体"/>
                <w:color w:val="000000"/>
                <w:sz w:val="28"/>
                <w:szCs w:val="28"/>
              </w:rPr>
              <w:t>序号</w:t>
            </w:r>
          </w:p>
        </w:tc>
        <w:tc>
          <w:tcPr>
            <w:tcW w:w="179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r>
              <w:rPr>
                <w:rFonts w:hint="eastAsia" w:ascii="宋体" w:hAnsi="宋体"/>
                <w:color w:val="000000"/>
                <w:sz w:val="28"/>
                <w:szCs w:val="28"/>
              </w:rPr>
              <w:t>投标单位</w:t>
            </w:r>
          </w:p>
        </w:tc>
        <w:tc>
          <w:tcPr>
            <w:tcW w:w="131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r>
              <w:rPr>
                <w:rFonts w:hint="eastAsia" w:ascii="宋体" w:hAnsi="宋体"/>
                <w:color w:val="000000"/>
                <w:sz w:val="28"/>
                <w:szCs w:val="28"/>
              </w:rPr>
              <w:t>投标报价</w:t>
            </w:r>
          </w:p>
        </w:tc>
        <w:tc>
          <w:tcPr>
            <w:tcW w:w="14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r>
              <w:rPr>
                <w:rFonts w:hint="eastAsia" w:ascii="宋体" w:hAnsi="宋体"/>
                <w:color w:val="000000"/>
                <w:sz w:val="28"/>
                <w:szCs w:val="28"/>
              </w:rPr>
              <w:t>评标价</w:t>
            </w:r>
          </w:p>
        </w:tc>
        <w:tc>
          <w:tcPr>
            <w:tcW w:w="11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r>
              <w:rPr>
                <w:rFonts w:hint="eastAsia" w:ascii="宋体" w:hAnsi="宋体"/>
                <w:color w:val="000000"/>
                <w:sz w:val="28"/>
                <w:szCs w:val="28"/>
              </w:rPr>
              <w:t>偏差率</w:t>
            </w:r>
          </w:p>
        </w:tc>
        <w:tc>
          <w:tcPr>
            <w:tcW w:w="204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r>
              <w:rPr>
                <w:rFonts w:hint="eastAsia" w:ascii="宋体" w:hAnsi="宋体"/>
                <w:color w:val="000000"/>
                <w:sz w:val="28"/>
                <w:szCs w:val="2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2" w:hRule="atLeast"/>
        </w:trPr>
        <w:tc>
          <w:tcPr>
            <w:tcW w:w="157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r>
              <w:rPr>
                <w:rFonts w:hint="eastAsia" w:ascii="宋体" w:hAnsi="宋体"/>
                <w:color w:val="000000"/>
                <w:sz w:val="28"/>
                <w:szCs w:val="28"/>
              </w:rPr>
              <w:t>1</w:t>
            </w:r>
          </w:p>
        </w:tc>
        <w:tc>
          <w:tcPr>
            <w:tcW w:w="179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p>
        </w:tc>
        <w:tc>
          <w:tcPr>
            <w:tcW w:w="131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p>
        </w:tc>
        <w:tc>
          <w:tcPr>
            <w:tcW w:w="14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p>
        </w:tc>
        <w:tc>
          <w:tcPr>
            <w:tcW w:w="11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p>
        </w:tc>
        <w:tc>
          <w:tcPr>
            <w:tcW w:w="204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2" w:hRule="atLeast"/>
        </w:trPr>
        <w:tc>
          <w:tcPr>
            <w:tcW w:w="157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r>
              <w:rPr>
                <w:rFonts w:hint="eastAsia" w:ascii="宋体" w:hAnsi="宋体"/>
                <w:color w:val="000000"/>
                <w:sz w:val="28"/>
                <w:szCs w:val="28"/>
              </w:rPr>
              <w:t>2</w:t>
            </w:r>
          </w:p>
        </w:tc>
        <w:tc>
          <w:tcPr>
            <w:tcW w:w="179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p>
        </w:tc>
        <w:tc>
          <w:tcPr>
            <w:tcW w:w="131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p>
        </w:tc>
        <w:tc>
          <w:tcPr>
            <w:tcW w:w="14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p>
        </w:tc>
        <w:tc>
          <w:tcPr>
            <w:tcW w:w="11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p>
        </w:tc>
        <w:tc>
          <w:tcPr>
            <w:tcW w:w="204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2" w:hRule="atLeast"/>
        </w:trPr>
        <w:tc>
          <w:tcPr>
            <w:tcW w:w="157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r>
              <w:rPr>
                <w:rFonts w:hint="eastAsia" w:ascii="宋体" w:hAnsi="宋体"/>
                <w:color w:val="000000"/>
                <w:sz w:val="28"/>
                <w:szCs w:val="28"/>
              </w:rPr>
              <w:t>3</w:t>
            </w:r>
          </w:p>
        </w:tc>
        <w:tc>
          <w:tcPr>
            <w:tcW w:w="179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p>
        </w:tc>
        <w:tc>
          <w:tcPr>
            <w:tcW w:w="131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p>
        </w:tc>
        <w:tc>
          <w:tcPr>
            <w:tcW w:w="14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p>
        </w:tc>
        <w:tc>
          <w:tcPr>
            <w:tcW w:w="11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p>
        </w:tc>
        <w:tc>
          <w:tcPr>
            <w:tcW w:w="204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2" w:hRule="atLeast"/>
        </w:trPr>
        <w:tc>
          <w:tcPr>
            <w:tcW w:w="157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r>
              <w:rPr>
                <w:rFonts w:ascii="宋体" w:hAnsi="宋体"/>
                <w:color w:val="000000"/>
                <w:sz w:val="28"/>
                <w:szCs w:val="28"/>
              </w:rPr>
              <w:t>……</w:t>
            </w:r>
          </w:p>
        </w:tc>
        <w:tc>
          <w:tcPr>
            <w:tcW w:w="179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p>
        </w:tc>
        <w:tc>
          <w:tcPr>
            <w:tcW w:w="131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p>
        </w:tc>
        <w:tc>
          <w:tcPr>
            <w:tcW w:w="14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p>
        </w:tc>
        <w:tc>
          <w:tcPr>
            <w:tcW w:w="11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p>
        </w:tc>
        <w:tc>
          <w:tcPr>
            <w:tcW w:w="204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p>
        </w:tc>
      </w:tr>
    </w:tbl>
    <w:p>
      <w:pPr>
        <w:spacing w:line="440" w:lineRule="exact"/>
        <w:jc w:val="right"/>
        <w:rPr>
          <w:color w:val="000000"/>
        </w:rPr>
      </w:pPr>
    </w:p>
    <w:p>
      <w:pPr>
        <w:spacing w:line="440" w:lineRule="exact"/>
        <w:ind w:right="630"/>
        <w:jc w:val="right"/>
        <w:rPr>
          <w:color w:val="000000"/>
        </w:rPr>
      </w:pPr>
      <w:r>
        <w:rPr>
          <w:rFonts w:hint="eastAsia"/>
          <w:color w:val="000000"/>
        </w:rPr>
        <w:t>评标委员会成员签名：</w:t>
      </w:r>
    </w:p>
    <w:p>
      <w:pPr>
        <w:spacing w:line="440" w:lineRule="exact"/>
        <w:ind w:right="840"/>
        <w:jc w:val="right"/>
        <w:rPr>
          <w:color w:val="000000"/>
        </w:rPr>
      </w:pPr>
      <w:r>
        <w:rPr>
          <w:rFonts w:hint="eastAsia" w:ascii="宋体" w:hAnsi="宋体"/>
          <w:color w:val="000000"/>
          <w:szCs w:val="44"/>
        </w:rPr>
        <w:t>日期：  年 月  日</w:t>
      </w:r>
    </w:p>
    <w:p>
      <w:pPr>
        <w:widowControl/>
        <w:jc w:val="left"/>
        <w:rPr>
          <w:rFonts w:ascii="黑体" w:eastAsia="黑体"/>
          <w:color w:val="000000"/>
          <w:sz w:val="24"/>
        </w:rPr>
      </w:pPr>
      <w:r>
        <w:rPr>
          <w:rFonts w:ascii="黑体" w:eastAsia="黑体"/>
          <w:color w:val="000000"/>
          <w:sz w:val="24"/>
        </w:rPr>
        <w:br w:type="page"/>
      </w:r>
    </w:p>
    <w:p>
      <w:pPr>
        <w:spacing w:before="312" w:beforeLines="100" w:after="249" w:afterLines="80" w:line="380" w:lineRule="exact"/>
        <w:outlineLvl w:val="2"/>
        <w:rPr>
          <w:rFonts w:ascii="黑体" w:hAnsi="宋体" w:eastAsia="黑体"/>
          <w:color w:val="000000"/>
          <w:sz w:val="24"/>
        </w:rPr>
      </w:pPr>
      <w:bookmarkStart w:id="282" w:name="_Toc504078133"/>
      <w:bookmarkStart w:id="283" w:name="_Toc114222760"/>
      <w:r>
        <w:rPr>
          <w:rFonts w:hint="eastAsia" w:ascii="黑体" w:hAnsi="宋体" w:eastAsia="黑体"/>
          <w:color w:val="000000"/>
          <w:sz w:val="24"/>
        </w:rPr>
        <w:t>附表A-</w:t>
      </w:r>
      <w:r>
        <w:rPr>
          <w:rFonts w:ascii="黑体" w:hAnsi="宋体" w:eastAsia="黑体"/>
          <w:color w:val="000000"/>
          <w:sz w:val="24"/>
        </w:rPr>
        <w:t>8</w:t>
      </w:r>
      <w:r>
        <w:rPr>
          <w:rFonts w:hint="eastAsia" w:ascii="黑体" w:hAnsi="宋体" w:eastAsia="黑体"/>
          <w:color w:val="000000"/>
          <w:sz w:val="24"/>
        </w:rPr>
        <w:t>：分部分项清单综合单价评分表</w:t>
      </w:r>
      <w:bookmarkEnd w:id="282"/>
      <w:r>
        <w:rPr>
          <w:rFonts w:hint="eastAsia" w:ascii="黑体" w:hAnsi="宋体" w:eastAsia="黑体"/>
          <w:color w:val="000000"/>
          <w:sz w:val="24"/>
        </w:rPr>
        <w:t>（系统自动生成）</w:t>
      </w:r>
      <w:bookmarkEnd w:id="283"/>
    </w:p>
    <w:p>
      <w:pPr>
        <w:jc w:val="center"/>
        <w:rPr>
          <w:rFonts w:ascii="宋体" w:hAnsi="宋体"/>
          <w:color w:val="000000"/>
          <w:sz w:val="28"/>
          <w:szCs w:val="28"/>
        </w:rPr>
      </w:pPr>
      <w:r>
        <w:rPr>
          <w:rFonts w:hint="eastAsia" w:ascii="宋体" w:hAnsi="宋体"/>
          <w:color w:val="000000"/>
          <w:sz w:val="28"/>
          <w:szCs w:val="28"/>
        </w:rPr>
        <w:t>分部分项清单综合单价评分表</w:t>
      </w:r>
    </w:p>
    <w:p>
      <w:pPr>
        <w:adjustRightInd w:val="0"/>
        <w:snapToGrid w:val="0"/>
        <w:spacing w:line="440" w:lineRule="exact"/>
        <w:rPr>
          <w:color w:val="000000"/>
          <w:szCs w:val="44"/>
        </w:rPr>
      </w:pPr>
      <w:r>
        <w:rPr>
          <w:rFonts w:hint="eastAsia"/>
          <w:color w:val="000000"/>
          <w:szCs w:val="44"/>
        </w:rPr>
        <w:t>项目名称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项目编号</w:t>
      </w:r>
    </w:p>
    <w:p>
      <w:pPr>
        <w:spacing w:after="93" w:afterLines="30" w:line="440" w:lineRule="exact"/>
        <w:rPr>
          <w:color w:val="000000"/>
          <w:szCs w:val="44"/>
        </w:rPr>
      </w:pPr>
      <w:r>
        <w:rPr>
          <w:rFonts w:hint="eastAsia"/>
          <w:color w:val="000000"/>
          <w:szCs w:val="44"/>
        </w:rPr>
        <w:t>标段名称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标段编号</w:t>
      </w:r>
    </w:p>
    <w:p>
      <w:pPr>
        <w:spacing w:after="93" w:afterLines="30" w:line="440" w:lineRule="exact"/>
        <w:rPr>
          <w:rFonts w:ascii="宋体" w:hAnsi="宋体"/>
          <w:color w:val="000000"/>
        </w:rPr>
      </w:pPr>
      <w:r>
        <w:rPr>
          <w:rFonts w:hint="eastAsia"/>
          <w:color w:val="000000"/>
          <w:szCs w:val="44"/>
        </w:rPr>
        <w:t>下浮率</w:t>
      </w:r>
      <w:r>
        <w:rPr>
          <w:color w:val="000000"/>
          <w:szCs w:val="44"/>
        </w:rPr>
        <w:tab/>
      </w:r>
      <w:r>
        <w:rPr>
          <w:color w:val="000000"/>
          <w:szCs w:val="44"/>
        </w:rPr>
        <w:tab/>
      </w:r>
      <w:r>
        <w:rPr>
          <w:rFonts w:hint="eastAsia"/>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单位：人民币元</w:t>
      </w:r>
    </w:p>
    <w:tbl>
      <w:tblPr>
        <w:tblStyle w:val="36"/>
        <w:tblW w:w="9036" w:type="dxa"/>
        <w:tblInd w:w="0" w:type="dxa"/>
        <w:tblLayout w:type="fixed"/>
        <w:tblCellMar>
          <w:top w:w="0" w:type="dxa"/>
          <w:left w:w="108" w:type="dxa"/>
          <w:bottom w:w="0" w:type="dxa"/>
          <w:right w:w="108" w:type="dxa"/>
        </w:tblCellMar>
      </w:tblPr>
      <w:tblGrid>
        <w:gridCol w:w="773"/>
        <w:gridCol w:w="494"/>
        <w:gridCol w:w="495"/>
        <w:gridCol w:w="532"/>
        <w:gridCol w:w="651"/>
        <w:gridCol w:w="651"/>
        <w:gridCol w:w="651"/>
        <w:gridCol w:w="652"/>
        <w:gridCol w:w="760"/>
        <w:gridCol w:w="495"/>
        <w:gridCol w:w="640"/>
        <w:gridCol w:w="540"/>
        <w:gridCol w:w="562"/>
        <w:gridCol w:w="577"/>
        <w:gridCol w:w="546"/>
        <w:gridCol w:w="17"/>
      </w:tblGrid>
      <w:tr>
        <w:trPr>
          <w:trHeight w:val="411" w:hRule="atLeast"/>
        </w:trPr>
        <w:tc>
          <w:tcPr>
            <w:tcW w:w="77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18"/>
                <w:szCs w:val="18"/>
              </w:rPr>
            </w:pPr>
            <w:r>
              <w:rPr>
                <w:rFonts w:hint="eastAsia" w:ascii="宋体" w:hAnsi="宋体"/>
                <w:color w:val="000000"/>
                <w:sz w:val="18"/>
                <w:szCs w:val="18"/>
              </w:rPr>
              <w:t>序号</w:t>
            </w:r>
          </w:p>
        </w:tc>
        <w:tc>
          <w:tcPr>
            <w:tcW w:w="494" w:type="dxa"/>
            <w:vMerge w:val="restart"/>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18"/>
                <w:szCs w:val="18"/>
              </w:rPr>
            </w:pPr>
            <w:r>
              <w:rPr>
                <w:rFonts w:hint="eastAsia" w:ascii="宋体" w:hAnsi="宋体"/>
                <w:color w:val="000000"/>
                <w:sz w:val="18"/>
                <w:szCs w:val="18"/>
              </w:rPr>
              <w:t>清单编号</w:t>
            </w:r>
          </w:p>
        </w:tc>
        <w:tc>
          <w:tcPr>
            <w:tcW w:w="495" w:type="dxa"/>
            <w:vMerge w:val="restart"/>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18"/>
                <w:szCs w:val="18"/>
              </w:rPr>
            </w:pPr>
            <w:r>
              <w:rPr>
                <w:rFonts w:hint="eastAsia" w:ascii="宋体" w:hAnsi="宋体"/>
                <w:color w:val="000000"/>
                <w:sz w:val="18"/>
                <w:szCs w:val="18"/>
              </w:rPr>
              <w:t>清单名称</w:t>
            </w:r>
          </w:p>
        </w:tc>
        <w:tc>
          <w:tcPr>
            <w:tcW w:w="53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18"/>
                <w:szCs w:val="18"/>
              </w:rPr>
            </w:pPr>
            <w:r>
              <w:rPr>
                <w:rFonts w:hint="eastAsia" w:ascii="宋体" w:hAnsi="宋体"/>
                <w:color w:val="000000"/>
                <w:sz w:val="18"/>
                <w:szCs w:val="18"/>
              </w:rPr>
              <w:t>清单单价</w:t>
            </w:r>
          </w:p>
        </w:tc>
        <w:tc>
          <w:tcPr>
            <w:tcW w:w="6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olor w:val="000000"/>
                <w:sz w:val="18"/>
                <w:szCs w:val="18"/>
              </w:rPr>
            </w:pPr>
            <w:r>
              <w:rPr>
                <w:rFonts w:hint="eastAsia" w:ascii="宋体" w:hAnsi="宋体"/>
                <w:color w:val="000000"/>
                <w:sz w:val="18"/>
                <w:szCs w:val="18"/>
              </w:rPr>
              <w:t>修正后的清单单价Qx</w:t>
            </w:r>
          </w:p>
        </w:tc>
        <w:tc>
          <w:tcPr>
            <w:tcW w:w="651" w:type="dxa"/>
            <w:vMerge w:val="restart"/>
            <w:tcBorders>
              <w:top w:val="single" w:color="auto" w:sz="4" w:space="0"/>
              <w:left w:val="nil"/>
              <w:right w:val="single" w:color="auto" w:sz="4" w:space="0"/>
            </w:tcBorders>
            <w:shd w:val="clear" w:color="auto" w:fill="auto"/>
            <w:noWrap/>
            <w:vAlign w:val="center"/>
          </w:tcPr>
          <w:p>
            <w:pPr>
              <w:jc w:val="center"/>
              <w:rPr>
                <w:rFonts w:hint="eastAsia" w:ascii="宋体" w:hAnsi="宋体"/>
                <w:color w:val="000000"/>
                <w:sz w:val="18"/>
                <w:szCs w:val="18"/>
              </w:rPr>
            </w:pPr>
            <w:r>
              <w:rPr>
                <w:rFonts w:hint="eastAsia"/>
                <w:sz w:val="18"/>
                <w:szCs w:val="18"/>
              </w:rPr>
              <w:t>清单最高投标限价</w:t>
            </w:r>
          </w:p>
        </w:tc>
        <w:tc>
          <w:tcPr>
            <w:tcW w:w="651" w:type="dxa"/>
            <w:vMerge w:val="restart"/>
            <w:tcBorders>
              <w:top w:val="single" w:color="auto" w:sz="4" w:space="0"/>
              <w:left w:val="nil"/>
              <w:right w:val="single" w:color="auto" w:sz="4" w:space="0"/>
            </w:tcBorders>
            <w:shd w:val="clear" w:color="auto" w:fill="auto"/>
            <w:noWrap/>
            <w:vAlign w:val="center"/>
          </w:tcPr>
          <w:p>
            <w:pPr>
              <w:jc w:val="center"/>
              <w:rPr>
                <w:rFonts w:hint="eastAsia" w:ascii="宋体" w:hAnsi="宋体"/>
                <w:color w:val="000000"/>
                <w:sz w:val="18"/>
                <w:szCs w:val="18"/>
              </w:rPr>
            </w:pPr>
            <w:r>
              <w:rPr>
                <w:rFonts w:hint="eastAsia"/>
                <w:sz w:val="18"/>
                <w:szCs w:val="18"/>
              </w:rPr>
              <w:t>修正后综合单价Qb</w:t>
            </w:r>
          </w:p>
        </w:tc>
        <w:tc>
          <w:tcPr>
            <w:tcW w:w="652" w:type="dxa"/>
            <w:vMerge w:val="restart"/>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18"/>
                <w:szCs w:val="18"/>
              </w:rPr>
            </w:pPr>
            <w:r>
              <w:rPr>
                <w:rFonts w:hint="eastAsia" w:ascii="宋体" w:hAnsi="宋体"/>
                <w:color w:val="000000"/>
                <w:sz w:val="18"/>
                <w:szCs w:val="18"/>
              </w:rPr>
              <w:t>基准价</w:t>
            </w:r>
          </w:p>
        </w:tc>
        <w:tc>
          <w:tcPr>
            <w:tcW w:w="760" w:type="dxa"/>
            <w:vMerge w:val="restart"/>
            <w:tcBorders>
              <w:top w:val="single" w:color="auto" w:sz="4" w:space="0"/>
              <w:left w:val="nil"/>
              <w:bottom w:val="single" w:color="auto" w:sz="4" w:space="0"/>
              <w:right w:val="nil"/>
            </w:tcBorders>
            <w:shd w:val="clear" w:color="auto" w:fill="auto"/>
            <w:noWrap/>
            <w:vAlign w:val="center"/>
          </w:tcPr>
          <w:p>
            <w:pPr>
              <w:jc w:val="center"/>
              <w:rPr>
                <w:rFonts w:ascii="宋体" w:hAnsi="宋体"/>
                <w:color w:val="000000"/>
                <w:sz w:val="18"/>
                <w:szCs w:val="18"/>
              </w:rPr>
            </w:pPr>
            <w:r>
              <w:rPr>
                <w:rFonts w:hint="eastAsia" w:ascii="宋体" w:hAnsi="宋体"/>
                <w:color w:val="000000"/>
                <w:sz w:val="18"/>
                <w:szCs w:val="18"/>
              </w:rPr>
              <w:t>标准分</w:t>
            </w:r>
          </w:p>
        </w:tc>
        <w:tc>
          <w:tcPr>
            <w:tcW w:w="1675"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18"/>
                <w:szCs w:val="18"/>
              </w:rPr>
            </w:pPr>
          </w:p>
        </w:tc>
        <w:tc>
          <w:tcPr>
            <w:tcW w:w="1702" w:type="dxa"/>
            <w:gridSpan w:val="4"/>
            <w:tcBorders>
              <w:top w:val="single" w:color="auto" w:sz="4" w:space="0"/>
              <w:left w:val="single" w:color="auto" w:sz="4" w:space="0"/>
              <w:bottom w:val="single" w:color="auto" w:sz="4" w:space="0"/>
              <w:right w:val="single" w:color="auto" w:sz="4" w:space="0"/>
            </w:tcBorders>
          </w:tcPr>
          <w:p>
            <w:pPr>
              <w:jc w:val="center"/>
              <w:rPr>
                <w:rFonts w:ascii="宋体" w:hAnsi="宋体"/>
                <w:color w:val="000000"/>
                <w:sz w:val="18"/>
                <w:szCs w:val="18"/>
              </w:rPr>
            </w:pPr>
          </w:p>
        </w:tc>
      </w:tr>
      <w:tr>
        <w:trPr>
          <w:gridAfter w:val="1"/>
          <w:wAfter w:w="17" w:type="dxa"/>
          <w:trHeight w:val="567" w:hRule="atLeast"/>
        </w:trPr>
        <w:tc>
          <w:tcPr>
            <w:tcW w:w="773"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 w:val="18"/>
                <w:szCs w:val="18"/>
              </w:rPr>
            </w:pPr>
          </w:p>
        </w:tc>
        <w:tc>
          <w:tcPr>
            <w:tcW w:w="494" w:type="dxa"/>
            <w:vMerge w:val="continue"/>
            <w:tcBorders>
              <w:top w:val="single" w:color="auto" w:sz="4" w:space="0"/>
              <w:left w:val="nil"/>
              <w:bottom w:val="single" w:color="auto" w:sz="4" w:space="0"/>
              <w:right w:val="single" w:color="auto" w:sz="4" w:space="0"/>
            </w:tcBorders>
            <w:vAlign w:val="center"/>
          </w:tcPr>
          <w:p>
            <w:pPr>
              <w:jc w:val="center"/>
              <w:rPr>
                <w:rFonts w:ascii="宋体" w:hAnsi="宋体"/>
                <w:color w:val="000000"/>
                <w:sz w:val="18"/>
                <w:szCs w:val="18"/>
              </w:rPr>
            </w:pPr>
          </w:p>
        </w:tc>
        <w:tc>
          <w:tcPr>
            <w:tcW w:w="495" w:type="dxa"/>
            <w:vMerge w:val="continue"/>
            <w:tcBorders>
              <w:top w:val="single" w:color="auto" w:sz="4" w:space="0"/>
              <w:left w:val="nil"/>
              <w:bottom w:val="single" w:color="auto" w:sz="4" w:space="0"/>
              <w:right w:val="single" w:color="auto" w:sz="4" w:space="0"/>
            </w:tcBorders>
            <w:vAlign w:val="center"/>
          </w:tcPr>
          <w:p>
            <w:pPr>
              <w:jc w:val="center"/>
              <w:rPr>
                <w:rFonts w:ascii="宋体" w:hAnsi="宋体"/>
                <w:color w:val="000000"/>
                <w:sz w:val="18"/>
                <w:szCs w:val="18"/>
              </w:rPr>
            </w:pPr>
          </w:p>
        </w:tc>
        <w:tc>
          <w:tcPr>
            <w:tcW w:w="53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 w:val="18"/>
                <w:szCs w:val="18"/>
              </w:rPr>
            </w:pPr>
          </w:p>
        </w:tc>
        <w:tc>
          <w:tcPr>
            <w:tcW w:w="65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 w:val="18"/>
                <w:szCs w:val="18"/>
              </w:rPr>
            </w:pPr>
          </w:p>
        </w:tc>
        <w:tc>
          <w:tcPr>
            <w:tcW w:w="651" w:type="dxa"/>
            <w:vMerge w:val="continue"/>
            <w:tcBorders>
              <w:left w:val="nil"/>
              <w:bottom w:val="single" w:color="auto" w:sz="4" w:space="0"/>
              <w:right w:val="single" w:color="auto" w:sz="4" w:space="0"/>
            </w:tcBorders>
            <w:vAlign w:val="center"/>
          </w:tcPr>
          <w:p>
            <w:pPr>
              <w:jc w:val="center"/>
              <w:rPr>
                <w:rFonts w:ascii="宋体" w:hAnsi="宋体"/>
                <w:color w:val="000000"/>
                <w:sz w:val="18"/>
                <w:szCs w:val="18"/>
              </w:rPr>
            </w:pPr>
          </w:p>
        </w:tc>
        <w:tc>
          <w:tcPr>
            <w:tcW w:w="651" w:type="dxa"/>
            <w:vMerge w:val="continue"/>
            <w:tcBorders>
              <w:left w:val="nil"/>
              <w:bottom w:val="single" w:color="auto" w:sz="4" w:space="0"/>
              <w:right w:val="single" w:color="auto" w:sz="4" w:space="0"/>
            </w:tcBorders>
            <w:vAlign w:val="center"/>
          </w:tcPr>
          <w:p>
            <w:pPr>
              <w:jc w:val="center"/>
              <w:rPr>
                <w:rFonts w:ascii="宋体" w:hAnsi="宋体"/>
                <w:color w:val="000000"/>
                <w:sz w:val="18"/>
                <w:szCs w:val="18"/>
              </w:rPr>
            </w:pPr>
          </w:p>
        </w:tc>
        <w:tc>
          <w:tcPr>
            <w:tcW w:w="652" w:type="dxa"/>
            <w:vMerge w:val="continue"/>
            <w:tcBorders>
              <w:top w:val="single" w:color="auto" w:sz="4" w:space="0"/>
              <w:left w:val="nil"/>
              <w:bottom w:val="single" w:color="auto" w:sz="4" w:space="0"/>
              <w:right w:val="single" w:color="auto" w:sz="4" w:space="0"/>
            </w:tcBorders>
            <w:vAlign w:val="center"/>
          </w:tcPr>
          <w:p>
            <w:pPr>
              <w:jc w:val="center"/>
              <w:rPr>
                <w:rFonts w:ascii="宋体" w:hAnsi="宋体"/>
                <w:color w:val="000000"/>
                <w:sz w:val="18"/>
                <w:szCs w:val="18"/>
              </w:rPr>
            </w:pPr>
          </w:p>
        </w:tc>
        <w:tc>
          <w:tcPr>
            <w:tcW w:w="760" w:type="dxa"/>
            <w:vMerge w:val="continue"/>
            <w:tcBorders>
              <w:top w:val="single" w:color="auto" w:sz="4" w:space="0"/>
              <w:left w:val="nil"/>
              <w:bottom w:val="single" w:color="auto" w:sz="4" w:space="0"/>
              <w:right w:val="nil"/>
            </w:tcBorders>
            <w:vAlign w:val="center"/>
          </w:tcPr>
          <w:p>
            <w:pPr>
              <w:jc w:val="center"/>
              <w:rPr>
                <w:rFonts w:ascii="宋体" w:hAnsi="宋体"/>
                <w:color w:val="000000"/>
                <w:sz w:val="18"/>
                <w:szCs w:val="18"/>
              </w:rPr>
            </w:pPr>
          </w:p>
        </w:tc>
        <w:tc>
          <w:tcPr>
            <w:tcW w:w="49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18"/>
                <w:szCs w:val="18"/>
              </w:rPr>
            </w:pPr>
            <w:r>
              <w:rPr>
                <w:rFonts w:hint="eastAsia" w:ascii="宋体" w:hAnsi="宋体"/>
                <w:color w:val="000000"/>
                <w:sz w:val="18"/>
                <w:szCs w:val="18"/>
              </w:rPr>
              <w:t>清单报价</w:t>
            </w:r>
          </w:p>
        </w:tc>
        <w:tc>
          <w:tcPr>
            <w:tcW w:w="64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18"/>
                <w:szCs w:val="18"/>
              </w:rPr>
            </w:pPr>
            <w:r>
              <w:rPr>
                <w:rFonts w:hint="eastAsia" w:ascii="宋体" w:hAnsi="宋体"/>
                <w:color w:val="000000"/>
                <w:sz w:val="18"/>
                <w:szCs w:val="18"/>
              </w:rPr>
              <w:t>偏差率</w:t>
            </w:r>
          </w:p>
        </w:tc>
        <w:tc>
          <w:tcPr>
            <w:tcW w:w="54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18"/>
                <w:szCs w:val="18"/>
              </w:rPr>
            </w:pPr>
            <w:r>
              <w:rPr>
                <w:rFonts w:hint="eastAsia" w:ascii="宋体" w:hAnsi="宋体"/>
                <w:color w:val="000000"/>
                <w:sz w:val="18"/>
                <w:szCs w:val="18"/>
              </w:rPr>
              <w:t>得分</w:t>
            </w:r>
          </w:p>
        </w:tc>
        <w:tc>
          <w:tcPr>
            <w:tcW w:w="562" w:type="dxa"/>
            <w:tcBorders>
              <w:top w:val="single" w:color="auto" w:sz="4" w:space="0"/>
              <w:left w:val="nil"/>
              <w:bottom w:val="single" w:color="auto" w:sz="4" w:space="0"/>
              <w:right w:val="single" w:color="auto" w:sz="4" w:space="0"/>
            </w:tcBorders>
            <w:vAlign w:val="center"/>
          </w:tcPr>
          <w:p>
            <w:pPr>
              <w:jc w:val="center"/>
              <w:rPr>
                <w:rFonts w:ascii="宋体" w:hAnsi="宋体"/>
                <w:color w:val="000000"/>
                <w:sz w:val="18"/>
                <w:szCs w:val="18"/>
              </w:rPr>
            </w:pPr>
            <w:r>
              <w:rPr>
                <w:rFonts w:hint="eastAsia" w:ascii="宋体" w:hAnsi="宋体"/>
                <w:color w:val="000000"/>
                <w:sz w:val="18"/>
                <w:szCs w:val="18"/>
              </w:rPr>
              <w:t>清单报价</w:t>
            </w:r>
          </w:p>
        </w:tc>
        <w:tc>
          <w:tcPr>
            <w:tcW w:w="577" w:type="dxa"/>
            <w:tcBorders>
              <w:top w:val="single" w:color="auto" w:sz="4" w:space="0"/>
              <w:left w:val="nil"/>
              <w:bottom w:val="single" w:color="auto" w:sz="4" w:space="0"/>
              <w:right w:val="single" w:color="auto" w:sz="4" w:space="0"/>
            </w:tcBorders>
            <w:vAlign w:val="center"/>
          </w:tcPr>
          <w:p>
            <w:pPr>
              <w:jc w:val="center"/>
              <w:rPr>
                <w:rFonts w:ascii="宋体" w:hAnsi="宋体"/>
                <w:color w:val="000000"/>
                <w:sz w:val="18"/>
                <w:szCs w:val="18"/>
              </w:rPr>
            </w:pPr>
            <w:r>
              <w:rPr>
                <w:rFonts w:hint="eastAsia" w:ascii="宋体" w:hAnsi="宋体"/>
                <w:color w:val="000000"/>
                <w:sz w:val="18"/>
                <w:szCs w:val="18"/>
              </w:rPr>
              <w:t>偏差率</w:t>
            </w:r>
          </w:p>
        </w:tc>
        <w:tc>
          <w:tcPr>
            <w:tcW w:w="546" w:type="dxa"/>
            <w:tcBorders>
              <w:top w:val="single" w:color="auto" w:sz="4" w:space="0"/>
              <w:left w:val="nil"/>
              <w:bottom w:val="single" w:color="auto" w:sz="4" w:space="0"/>
              <w:right w:val="single" w:color="auto" w:sz="4" w:space="0"/>
            </w:tcBorders>
            <w:vAlign w:val="center"/>
          </w:tcPr>
          <w:p>
            <w:pPr>
              <w:jc w:val="center"/>
              <w:rPr>
                <w:rFonts w:ascii="宋体" w:hAnsi="宋体"/>
                <w:color w:val="000000"/>
                <w:sz w:val="18"/>
                <w:szCs w:val="18"/>
              </w:rPr>
            </w:pPr>
            <w:r>
              <w:rPr>
                <w:rFonts w:hint="eastAsia" w:ascii="宋体" w:hAnsi="宋体"/>
                <w:color w:val="000000"/>
                <w:sz w:val="18"/>
                <w:szCs w:val="18"/>
              </w:rPr>
              <w:t>得分</w:t>
            </w:r>
          </w:p>
        </w:tc>
      </w:tr>
      <w:tr>
        <w:trPr>
          <w:gridAfter w:val="1"/>
          <w:wAfter w:w="17" w:type="dxa"/>
          <w:trHeight w:val="567" w:hRule="atLeast"/>
        </w:trPr>
        <w:tc>
          <w:tcPr>
            <w:tcW w:w="77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18"/>
                <w:szCs w:val="18"/>
              </w:rPr>
            </w:pPr>
            <w:r>
              <w:rPr>
                <w:rFonts w:hint="eastAsia" w:ascii="宋体" w:hAnsi="宋体"/>
                <w:color w:val="000000"/>
                <w:sz w:val="18"/>
                <w:szCs w:val="18"/>
              </w:rPr>
              <w:t>1</w:t>
            </w:r>
          </w:p>
        </w:tc>
        <w:tc>
          <w:tcPr>
            <w:tcW w:w="494"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18"/>
                <w:szCs w:val="18"/>
              </w:rPr>
            </w:pPr>
          </w:p>
        </w:tc>
        <w:tc>
          <w:tcPr>
            <w:tcW w:w="49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18"/>
                <w:szCs w:val="18"/>
              </w:rPr>
            </w:pPr>
          </w:p>
        </w:tc>
        <w:tc>
          <w:tcPr>
            <w:tcW w:w="532"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18"/>
                <w:szCs w:val="18"/>
              </w:rPr>
            </w:pPr>
          </w:p>
        </w:tc>
        <w:tc>
          <w:tcPr>
            <w:tcW w:w="6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18"/>
                <w:szCs w:val="18"/>
              </w:rPr>
            </w:pPr>
          </w:p>
        </w:tc>
        <w:tc>
          <w:tcPr>
            <w:tcW w:w="6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18"/>
                <w:szCs w:val="18"/>
              </w:rPr>
            </w:pPr>
          </w:p>
        </w:tc>
        <w:tc>
          <w:tcPr>
            <w:tcW w:w="6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18"/>
                <w:szCs w:val="18"/>
              </w:rPr>
            </w:pPr>
          </w:p>
        </w:tc>
        <w:tc>
          <w:tcPr>
            <w:tcW w:w="652"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18"/>
                <w:szCs w:val="18"/>
              </w:rPr>
            </w:pPr>
          </w:p>
        </w:tc>
        <w:tc>
          <w:tcPr>
            <w:tcW w:w="76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18"/>
                <w:szCs w:val="18"/>
              </w:rPr>
            </w:pPr>
          </w:p>
        </w:tc>
        <w:tc>
          <w:tcPr>
            <w:tcW w:w="495" w:type="dxa"/>
            <w:tcBorders>
              <w:top w:val="single" w:color="auto" w:sz="4" w:space="0"/>
              <w:left w:val="nil"/>
              <w:bottom w:val="single" w:color="auto" w:sz="4" w:space="0"/>
              <w:right w:val="single" w:color="auto" w:sz="4" w:space="0"/>
            </w:tcBorders>
            <w:shd w:val="clear" w:color="auto" w:fill="auto"/>
            <w:noWrap/>
            <w:vAlign w:val="center"/>
          </w:tcPr>
          <w:p>
            <w:pPr>
              <w:jc w:val="left"/>
              <w:rPr>
                <w:rFonts w:ascii="宋体" w:hAnsi="宋体"/>
                <w:color w:val="000000"/>
                <w:sz w:val="18"/>
                <w:szCs w:val="18"/>
              </w:rPr>
            </w:pPr>
          </w:p>
        </w:tc>
        <w:tc>
          <w:tcPr>
            <w:tcW w:w="640" w:type="dxa"/>
            <w:tcBorders>
              <w:top w:val="single" w:color="auto" w:sz="4" w:space="0"/>
              <w:left w:val="nil"/>
              <w:bottom w:val="single" w:color="auto" w:sz="4" w:space="0"/>
              <w:right w:val="single" w:color="auto" w:sz="4" w:space="0"/>
            </w:tcBorders>
            <w:shd w:val="clear" w:color="auto" w:fill="auto"/>
            <w:noWrap/>
            <w:vAlign w:val="center"/>
          </w:tcPr>
          <w:p>
            <w:pPr>
              <w:jc w:val="left"/>
              <w:rPr>
                <w:rFonts w:ascii="宋体" w:hAnsi="宋体"/>
                <w:color w:val="000000"/>
                <w:sz w:val="18"/>
                <w:szCs w:val="18"/>
              </w:rPr>
            </w:pPr>
          </w:p>
        </w:tc>
        <w:tc>
          <w:tcPr>
            <w:tcW w:w="540" w:type="dxa"/>
            <w:tcBorders>
              <w:top w:val="single" w:color="auto" w:sz="4" w:space="0"/>
              <w:left w:val="nil"/>
              <w:bottom w:val="single" w:color="auto" w:sz="4" w:space="0"/>
              <w:right w:val="single" w:color="auto" w:sz="4" w:space="0"/>
            </w:tcBorders>
            <w:shd w:val="clear" w:color="auto" w:fill="auto"/>
            <w:noWrap/>
            <w:vAlign w:val="center"/>
          </w:tcPr>
          <w:p>
            <w:pPr>
              <w:jc w:val="left"/>
              <w:rPr>
                <w:rFonts w:ascii="宋体" w:hAnsi="宋体"/>
                <w:color w:val="000000"/>
                <w:sz w:val="18"/>
                <w:szCs w:val="18"/>
              </w:rPr>
            </w:pPr>
          </w:p>
        </w:tc>
        <w:tc>
          <w:tcPr>
            <w:tcW w:w="562" w:type="dxa"/>
            <w:tcBorders>
              <w:top w:val="single" w:color="auto" w:sz="4" w:space="0"/>
              <w:left w:val="nil"/>
              <w:bottom w:val="single" w:color="auto" w:sz="4" w:space="0"/>
              <w:right w:val="single" w:color="auto" w:sz="4" w:space="0"/>
            </w:tcBorders>
          </w:tcPr>
          <w:p>
            <w:pPr>
              <w:jc w:val="left"/>
              <w:rPr>
                <w:rFonts w:ascii="宋体" w:hAnsi="宋体"/>
                <w:color w:val="000000"/>
                <w:sz w:val="18"/>
                <w:szCs w:val="18"/>
              </w:rPr>
            </w:pPr>
          </w:p>
        </w:tc>
        <w:tc>
          <w:tcPr>
            <w:tcW w:w="577" w:type="dxa"/>
            <w:tcBorders>
              <w:top w:val="single" w:color="auto" w:sz="4" w:space="0"/>
              <w:left w:val="nil"/>
              <w:bottom w:val="single" w:color="auto" w:sz="4" w:space="0"/>
              <w:right w:val="single" w:color="auto" w:sz="4" w:space="0"/>
            </w:tcBorders>
          </w:tcPr>
          <w:p>
            <w:pPr>
              <w:jc w:val="left"/>
              <w:rPr>
                <w:rFonts w:ascii="宋体" w:hAnsi="宋体"/>
                <w:color w:val="000000"/>
                <w:sz w:val="18"/>
                <w:szCs w:val="18"/>
              </w:rPr>
            </w:pPr>
          </w:p>
        </w:tc>
        <w:tc>
          <w:tcPr>
            <w:tcW w:w="546" w:type="dxa"/>
            <w:tcBorders>
              <w:top w:val="single" w:color="auto" w:sz="4" w:space="0"/>
              <w:left w:val="nil"/>
              <w:bottom w:val="single" w:color="auto" w:sz="4" w:space="0"/>
              <w:right w:val="single" w:color="auto" w:sz="4" w:space="0"/>
            </w:tcBorders>
          </w:tcPr>
          <w:p>
            <w:pPr>
              <w:jc w:val="left"/>
              <w:rPr>
                <w:rFonts w:ascii="宋体" w:hAnsi="宋体"/>
                <w:color w:val="000000"/>
                <w:sz w:val="18"/>
                <w:szCs w:val="18"/>
              </w:rPr>
            </w:pPr>
          </w:p>
        </w:tc>
      </w:tr>
      <w:tr>
        <w:trPr>
          <w:gridAfter w:val="1"/>
          <w:wAfter w:w="17" w:type="dxa"/>
          <w:trHeight w:val="567" w:hRule="atLeast"/>
        </w:trPr>
        <w:tc>
          <w:tcPr>
            <w:tcW w:w="77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18"/>
                <w:szCs w:val="18"/>
              </w:rPr>
            </w:pPr>
            <w:r>
              <w:rPr>
                <w:rFonts w:hint="eastAsia" w:ascii="宋体" w:hAnsi="宋体"/>
                <w:color w:val="000000"/>
                <w:sz w:val="18"/>
                <w:szCs w:val="18"/>
              </w:rPr>
              <w:t>2</w:t>
            </w:r>
          </w:p>
        </w:tc>
        <w:tc>
          <w:tcPr>
            <w:tcW w:w="494"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18"/>
                <w:szCs w:val="18"/>
              </w:rPr>
            </w:pPr>
          </w:p>
        </w:tc>
        <w:tc>
          <w:tcPr>
            <w:tcW w:w="49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18"/>
                <w:szCs w:val="18"/>
              </w:rPr>
            </w:pPr>
          </w:p>
        </w:tc>
        <w:tc>
          <w:tcPr>
            <w:tcW w:w="532"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18"/>
                <w:szCs w:val="18"/>
              </w:rPr>
            </w:pPr>
          </w:p>
        </w:tc>
        <w:tc>
          <w:tcPr>
            <w:tcW w:w="6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18"/>
                <w:szCs w:val="18"/>
              </w:rPr>
            </w:pPr>
          </w:p>
        </w:tc>
        <w:tc>
          <w:tcPr>
            <w:tcW w:w="6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18"/>
                <w:szCs w:val="18"/>
              </w:rPr>
            </w:pPr>
          </w:p>
        </w:tc>
        <w:tc>
          <w:tcPr>
            <w:tcW w:w="6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18"/>
                <w:szCs w:val="18"/>
              </w:rPr>
            </w:pPr>
          </w:p>
        </w:tc>
        <w:tc>
          <w:tcPr>
            <w:tcW w:w="652"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18"/>
                <w:szCs w:val="18"/>
              </w:rPr>
            </w:pPr>
          </w:p>
        </w:tc>
        <w:tc>
          <w:tcPr>
            <w:tcW w:w="76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18"/>
                <w:szCs w:val="18"/>
              </w:rPr>
            </w:pPr>
          </w:p>
        </w:tc>
        <w:tc>
          <w:tcPr>
            <w:tcW w:w="495" w:type="dxa"/>
            <w:tcBorders>
              <w:top w:val="single" w:color="auto" w:sz="4" w:space="0"/>
              <w:left w:val="nil"/>
              <w:bottom w:val="single" w:color="auto" w:sz="4" w:space="0"/>
              <w:right w:val="single" w:color="auto" w:sz="4" w:space="0"/>
            </w:tcBorders>
            <w:shd w:val="clear" w:color="auto" w:fill="auto"/>
            <w:noWrap/>
            <w:vAlign w:val="center"/>
          </w:tcPr>
          <w:p>
            <w:pPr>
              <w:jc w:val="left"/>
              <w:rPr>
                <w:rFonts w:ascii="宋体" w:hAnsi="宋体"/>
                <w:color w:val="000000"/>
                <w:sz w:val="18"/>
                <w:szCs w:val="18"/>
              </w:rPr>
            </w:pPr>
          </w:p>
        </w:tc>
        <w:tc>
          <w:tcPr>
            <w:tcW w:w="640" w:type="dxa"/>
            <w:tcBorders>
              <w:top w:val="single" w:color="auto" w:sz="4" w:space="0"/>
              <w:left w:val="nil"/>
              <w:bottom w:val="single" w:color="auto" w:sz="4" w:space="0"/>
              <w:right w:val="single" w:color="auto" w:sz="4" w:space="0"/>
            </w:tcBorders>
            <w:shd w:val="clear" w:color="auto" w:fill="auto"/>
            <w:noWrap/>
            <w:vAlign w:val="center"/>
          </w:tcPr>
          <w:p>
            <w:pPr>
              <w:jc w:val="left"/>
              <w:rPr>
                <w:rFonts w:ascii="宋体" w:hAnsi="宋体"/>
                <w:color w:val="000000"/>
                <w:sz w:val="18"/>
                <w:szCs w:val="18"/>
              </w:rPr>
            </w:pPr>
          </w:p>
        </w:tc>
        <w:tc>
          <w:tcPr>
            <w:tcW w:w="540" w:type="dxa"/>
            <w:tcBorders>
              <w:top w:val="single" w:color="auto" w:sz="4" w:space="0"/>
              <w:left w:val="nil"/>
              <w:bottom w:val="single" w:color="auto" w:sz="4" w:space="0"/>
              <w:right w:val="single" w:color="auto" w:sz="4" w:space="0"/>
            </w:tcBorders>
            <w:shd w:val="clear" w:color="auto" w:fill="auto"/>
            <w:noWrap/>
            <w:vAlign w:val="center"/>
          </w:tcPr>
          <w:p>
            <w:pPr>
              <w:jc w:val="left"/>
              <w:rPr>
                <w:rFonts w:ascii="宋体" w:hAnsi="宋体"/>
                <w:color w:val="000000"/>
                <w:sz w:val="18"/>
                <w:szCs w:val="18"/>
              </w:rPr>
            </w:pPr>
          </w:p>
        </w:tc>
        <w:tc>
          <w:tcPr>
            <w:tcW w:w="562" w:type="dxa"/>
            <w:tcBorders>
              <w:top w:val="single" w:color="auto" w:sz="4" w:space="0"/>
              <w:left w:val="nil"/>
              <w:bottom w:val="single" w:color="auto" w:sz="4" w:space="0"/>
              <w:right w:val="single" w:color="auto" w:sz="4" w:space="0"/>
            </w:tcBorders>
          </w:tcPr>
          <w:p>
            <w:pPr>
              <w:jc w:val="left"/>
              <w:rPr>
                <w:rFonts w:ascii="宋体" w:hAnsi="宋体"/>
                <w:color w:val="000000"/>
                <w:sz w:val="18"/>
                <w:szCs w:val="18"/>
              </w:rPr>
            </w:pPr>
          </w:p>
        </w:tc>
        <w:tc>
          <w:tcPr>
            <w:tcW w:w="577" w:type="dxa"/>
            <w:tcBorders>
              <w:top w:val="single" w:color="auto" w:sz="4" w:space="0"/>
              <w:left w:val="nil"/>
              <w:bottom w:val="single" w:color="auto" w:sz="4" w:space="0"/>
              <w:right w:val="single" w:color="auto" w:sz="4" w:space="0"/>
            </w:tcBorders>
          </w:tcPr>
          <w:p>
            <w:pPr>
              <w:jc w:val="left"/>
              <w:rPr>
                <w:rFonts w:ascii="宋体" w:hAnsi="宋体"/>
                <w:color w:val="000000"/>
                <w:sz w:val="18"/>
                <w:szCs w:val="18"/>
              </w:rPr>
            </w:pPr>
          </w:p>
        </w:tc>
        <w:tc>
          <w:tcPr>
            <w:tcW w:w="546" w:type="dxa"/>
            <w:tcBorders>
              <w:top w:val="single" w:color="auto" w:sz="4" w:space="0"/>
              <w:left w:val="nil"/>
              <w:bottom w:val="single" w:color="auto" w:sz="4" w:space="0"/>
              <w:right w:val="single" w:color="auto" w:sz="4" w:space="0"/>
            </w:tcBorders>
          </w:tcPr>
          <w:p>
            <w:pPr>
              <w:jc w:val="left"/>
              <w:rPr>
                <w:rFonts w:ascii="宋体" w:hAnsi="宋体"/>
                <w:color w:val="000000"/>
                <w:sz w:val="18"/>
                <w:szCs w:val="18"/>
              </w:rPr>
            </w:pPr>
          </w:p>
        </w:tc>
      </w:tr>
      <w:tr>
        <w:trPr>
          <w:gridAfter w:val="1"/>
          <w:wAfter w:w="17" w:type="dxa"/>
          <w:trHeight w:val="567" w:hRule="atLeast"/>
        </w:trPr>
        <w:tc>
          <w:tcPr>
            <w:tcW w:w="77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18"/>
                <w:szCs w:val="18"/>
              </w:rPr>
            </w:pPr>
            <w:r>
              <w:rPr>
                <w:rFonts w:ascii="宋体" w:hAnsi="宋体"/>
                <w:color w:val="000000"/>
                <w:sz w:val="18"/>
                <w:szCs w:val="18"/>
              </w:rPr>
              <w:t>……</w:t>
            </w:r>
          </w:p>
        </w:tc>
        <w:tc>
          <w:tcPr>
            <w:tcW w:w="494"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18"/>
                <w:szCs w:val="18"/>
              </w:rPr>
            </w:pPr>
          </w:p>
        </w:tc>
        <w:tc>
          <w:tcPr>
            <w:tcW w:w="49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18"/>
                <w:szCs w:val="18"/>
              </w:rPr>
            </w:pPr>
          </w:p>
        </w:tc>
        <w:tc>
          <w:tcPr>
            <w:tcW w:w="532"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18"/>
                <w:szCs w:val="18"/>
              </w:rPr>
            </w:pPr>
          </w:p>
        </w:tc>
        <w:tc>
          <w:tcPr>
            <w:tcW w:w="6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18"/>
                <w:szCs w:val="18"/>
              </w:rPr>
            </w:pPr>
          </w:p>
        </w:tc>
        <w:tc>
          <w:tcPr>
            <w:tcW w:w="6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18"/>
                <w:szCs w:val="18"/>
              </w:rPr>
            </w:pPr>
          </w:p>
        </w:tc>
        <w:tc>
          <w:tcPr>
            <w:tcW w:w="6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18"/>
                <w:szCs w:val="18"/>
              </w:rPr>
            </w:pPr>
          </w:p>
        </w:tc>
        <w:tc>
          <w:tcPr>
            <w:tcW w:w="652"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18"/>
                <w:szCs w:val="18"/>
              </w:rPr>
            </w:pPr>
          </w:p>
        </w:tc>
        <w:tc>
          <w:tcPr>
            <w:tcW w:w="760"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000000"/>
                <w:sz w:val="18"/>
                <w:szCs w:val="18"/>
              </w:rPr>
            </w:pPr>
          </w:p>
        </w:tc>
        <w:tc>
          <w:tcPr>
            <w:tcW w:w="495" w:type="dxa"/>
            <w:tcBorders>
              <w:top w:val="single" w:color="auto" w:sz="4" w:space="0"/>
              <w:left w:val="nil"/>
              <w:bottom w:val="single" w:color="auto" w:sz="4" w:space="0"/>
              <w:right w:val="single" w:color="auto" w:sz="4" w:space="0"/>
            </w:tcBorders>
            <w:shd w:val="clear" w:color="auto" w:fill="auto"/>
            <w:noWrap/>
            <w:vAlign w:val="center"/>
          </w:tcPr>
          <w:p>
            <w:pPr>
              <w:jc w:val="left"/>
              <w:rPr>
                <w:rFonts w:ascii="宋体" w:hAnsi="宋体"/>
                <w:color w:val="000000"/>
                <w:sz w:val="18"/>
                <w:szCs w:val="18"/>
              </w:rPr>
            </w:pPr>
          </w:p>
        </w:tc>
        <w:tc>
          <w:tcPr>
            <w:tcW w:w="640" w:type="dxa"/>
            <w:tcBorders>
              <w:top w:val="single" w:color="auto" w:sz="4" w:space="0"/>
              <w:left w:val="nil"/>
              <w:bottom w:val="single" w:color="auto" w:sz="4" w:space="0"/>
              <w:right w:val="single" w:color="auto" w:sz="4" w:space="0"/>
            </w:tcBorders>
            <w:shd w:val="clear" w:color="auto" w:fill="auto"/>
            <w:noWrap/>
            <w:vAlign w:val="center"/>
          </w:tcPr>
          <w:p>
            <w:pPr>
              <w:jc w:val="left"/>
              <w:rPr>
                <w:rFonts w:ascii="宋体" w:hAnsi="宋体"/>
                <w:color w:val="000000"/>
                <w:sz w:val="18"/>
                <w:szCs w:val="18"/>
              </w:rPr>
            </w:pPr>
          </w:p>
        </w:tc>
        <w:tc>
          <w:tcPr>
            <w:tcW w:w="540" w:type="dxa"/>
            <w:tcBorders>
              <w:top w:val="single" w:color="auto" w:sz="4" w:space="0"/>
              <w:left w:val="nil"/>
              <w:bottom w:val="single" w:color="auto" w:sz="4" w:space="0"/>
              <w:right w:val="single" w:color="auto" w:sz="4" w:space="0"/>
            </w:tcBorders>
            <w:shd w:val="clear" w:color="auto" w:fill="auto"/>
            <w:noWrap/>
            <w:vAlign w:val="center"/>
          </w:tcPr>
          <w:p>
            <w:pPr>
              <w:jc w:val="left"/>
              <w:rPr>
                <w:rFonts w:ascii="宋体" w:hAnsi="宋体"/>
                <w:color w:val="000000"/>
                <w:sz w:val="18"/>
                <w:szCs w:val="18"/>
              </w:rPr>
            </w:pPr>
          </w:p>
        </w:tc>
        <w:tc>
          <w:tcPr>
            <w:tcW w:w="562" w:type="dxa"/>
            <w:tcBorders>
              <w:top w:val="single" w:color="auto" w:sz="4" w:space="0"/>
              <w:left w:val="nil"/>
              <w:bottom w:val="single" w:color="auto" w:sz="4" w:space="0"/>
              <w:right w:val="single" w:color="auto" w:sz="4" w:space="0"/>
            </w:tcBorders>
          </w:tcPr>
          <w:p>
            <w:pPr>
              <w:jc w:val="left"/>
              <w:rPr>
                <w:rFonts w:ascii="宋体" w:hAnsi="宋体"/>
                <w:color w:val="000000"/>
                <w:sz w:val="18"/>
                <w:szCs w:val="18"/>
              </w:rPr>
            </w:pPr>
          </w:p>
        </w:tc>
        <w:tc>
          <w:tcPr>
            <w:tcW w:w="577" w:type="dxa"/>
            <w:tcBorders>
              <w:top w:val="single" w:color="auto" w:sz="4" w:space="0"/>
              <w:left w:val="nil"/>
              <w:bottom w:val="single" w:color="auto" w:sz="4" w:space="0"/>
              <w:right w:val="single" w:color="auto" w:sz="4" w:space="0"/>
            </w:tcBorders>
          </w:tcPr>
          <w:p>
            <w:pPr>
              <w:jc w:val="left"/>
              <w:rPr>
                <w:rFonts w:ascii="宋体" w:hAnsi="宋体"/>
                <w:color w:val="000000"/>
                <w:sz w:val="18"/>
                <w:szCs w:val="18"/>
              </w:rPr>
            </w:pPr>
          </w:p>
        </w:tc>
        <w:tc>
          <w:tcPr>
            <w:tcW w:w="546" w:type="dxa"/>
            <w:tcBorders>
              <w:top w:val="single" w:color="auto" w:sz="4" w:space="0"/>
              <w:left w:val="nil"/>
              <w:bottom w:val="single" w:color="auto" w:sz="4" w:space="0"/>
              <w:right w:val="single" w:color="auto" w:sz="4" w:space="0"/>
            </w:tcBorders>
          </w:tcPr>
          <w:p>
            <w:pPr>
              <w:jc w:val="left"/>
              <w:rPr>
                <w:rFonts w:ascii="宋体" w:hAnsi="宋体"/>
                <w:color w:val="000000"/>
                <w:sz w:val="18"/>
                <w:szCs w:val="18"/>
              </w:rPr>
            </w:pPr>
          </w:p>
        </w:tc>
      </w:tr>
      <w:tr>
        <w:trPr>
          <w:trHeight w:val="567" w:hRule="atLeast"/>
        </w:trPr>
        <w:tc>
          <w:tcPr>
            <w:tcW w:w="5659" w:type="dxa"/>
            <w:gridSpan w:val="9"/>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color w:val="000000"/>
                <w:sz w:val="18"/>
                <w:szCs w:val="18"/>
              </w:rPr>
            </w:pPr>
            <w:r>
              <w:rPr>
                <w:rFonts w:hint="eastAsia" w:ascii="宋体" w:hAnsi="宋体"/>
                <w:color w:val="000000"/>
                <w:sz w:val="18"/>
                <w:szCs w:val="18"/>
              </w:rPr>
              <w:t>超过工程量清单最高投标限价的清单数量</w:t>
            </w:r>
          </w:p>
        </w:tc>
        <w:tc>
          <w:tcPr>
            <w:tcW w:w="1675" w:type="dxa"/>
            <w:gridSpan w:val="3"/>
            <w:tcBorders>
              <w:top w:val="single" w:color="auto" w:sz="4" w:space="0"/>
              <w:left w:val="single" w:color="auto" w:sz="4" w:space="0"/>
              <w:bottom w:val="single" w:color="auto" w:sz="4" w:space="0"/>
              <w:right w:val="single" w:color="auto" w:sz="4" w:space="0"/>
            </w:tcBorders>
          </w:tcPr>
          <w:p>
            <w:pPr>
              <w:jc w:val="center"/>
              <w:rPr>
                <w:rFonts w:ascii="宋体" w:hAnsi="宋体"/>
                <w:color w:val="000000"/>
                <w:sz w:val="18"/>
                <w:szCs w:val="18"/>
              </w:rPr>
            </w:pPr>
          </w:p>
        </w:tc>
        <w:tc>
          <w:tcPr>
            <w:tcW w:w="1702"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18"/>
                <w:szCs w:val="18"/>
              </w:rPr>
            </w:pPr>
          </w:p>
        </w:tc>
      </w:tr>
      <w:tr>
        <w:trPr>
          <w:trHeight w:val="567" w:hRule="atLeast"/>
        </w:trPr>
        <w:tc>
          <w:tcPr>
            <w:tcW w:w="5659" w:type="dxa"/>
            <w:gridSpan w:val="9"/>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color w:val="000000"/>
                <w:sz w:val="18"/>
                <w:szCs w:val="18"/>
              </w:rPr>
            </w:pPr>
            <w:r>
              <w:rPr>
                <w:rFonts w:hint="eastAsia" w:ascii="宋体" w:hAnsi="宋体"/>
                <w:color w:val="000000"/>
                <w:sz w:val="18"/>
                <w:szCs w:val="18"/>
              </w:rPr>
              <w:t>分部分项总得分（B）</w:t>
            </w:r>
          </w:p>
        </w:tc>
        <w:tc>
          <w:tcPr>
            <w:tcW w:w="1675" w:type="dxa"/>
            <w:gridSpan w:val="3"/>
            <w:tcBorders>
              <w:top w:val="single" w:color="auto" w:sz="4" w:space="0"/>
              <w:left w:val="single" w:color="auto" w:sz="4" w:space="0"/>
              <w:bottom w:val="single" w:color="auto" w:sz="4" w:space="0"/>
              <w:right w:val="single" w:color="auto" w:sz="4" w:space="0"/>
            </w:tcBorders>
          </w:tcPr>
          <w:p>
            <w:pPr>
              <w:jc w:val="center"/>
              <w:rPr>
                <w:rFonts w:ascii="宋体" w:hAnsi="宋体"/>
                <w:color w:val="000000"/>
                <w:sz w:val="18"/>
                <w:szCs w:val="18"/>
              </w:rPr>
            </w:pPr>
          </w:p>
        </w:tc>
        <w:tc>
          <w:tcPr>
            <w:tcW w:w="1702"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18"/>
                <w:szCs w:val="18"/>
              </w:rPr>
            </w:pPr>
          </w:p>
        </w:tc>
      </w:tr>
    </w:tbl>
    <w:p>
      <w:pPr>
        <w:jc w:val="left"/>
        <w:rPr>
          <w:color w:val="000000"/>
        </w:rPr>
      </w:pPr>
    </w:p>
    <w:p>
      <w:pPr>
        <w:spacing w:line="440" w:lineRule="exact"/>
        <w:ind w:right="630"/>
        <w:jc w:val="right"/>
        <w:rPr>
          <w:color w:val="000000"/>
        </w:rPr>
      </w:pPr>
      <w:r>
        <w:rPr>
          <w:color w:val="000000"/>
        </w:rPr>
        <w:tab/>
      </w:r>
      <w:bookmarkStart w:id="284" w:name="_Toc504078135"/>
      <w:bookmarkStart w:id="285" w:name="_Toc114222761"/>
      <w:r>
        <w:rPr>
          <w:rFonts w:hint="eastAsia"/>
          <w:color w:val="000000"/>
        </w:rPr>
        <w:t>评标委员会成员签名：</w:t>
      </w:r>
    </w:p>
    <w:p>
      <w:pPr>
        <w:spacing w:line="440" w:lineRule="exact"/>
        <w:ind w:right="840"/>
        <w:jc w:val="right"/>
        <w:rPr>
          <w:color w:val="000000"/>
        </w:rPr>
      </w:pPr>
      <w:r>
        <w:rPr>
          <w:rFonts w:hint="eastAsia" w:ascii="宋体" w:hAnsi="宋体"/>
          <w:color w:val="000000"/>
          <w:szCs w:val="44"/>
        </w:rPr>
        <w:t>日期：  年 月  日</w:t>
      </w:r>
    </w:p>
    <w:p>
      <w:pPr>
        <w:widowControl/>
        <w:jc w:val="left"/>
        <w:rPr>
          <w:rFonts w:ascii="黑体" w:eastAsia="黑体"/>
          <w:color w:val="000000"/>
          <w:sz w:val="24"/>
        </w:rPr>
      </w:pPr>
      <w:r>
        <w:rPr>
          <w:rFonts w:ascii="黑体" w:eastAsia="黑体"/>
          <w:color w:val="000000"/>
          <w:sz w:val="24"/>
        </w:rPr>
        <w:br w:type="page"/>
      </w:r>
    </w:p>
    <w:p>
      <w:pPr>
        <w:spacing w:before="312" w:beforeLines="100" w:after="249" w:afterLines="80" w:line="380" w:lineRule="exact"/>
        <w:outlineLvl w:val="2"/>
        <w:rPr>
          <w:rFonts w:hint="eastAsia" w:ascii="黑体" w:hAnsi="宋体" w:eastAsia="黑体"/>
          <w:color w:val="000000"/>
          <w:sz w:val="24"/>
        </w:rPr>
      </w:pPr>
      <w:r>
        <w:rPr>
          <w:rFonts w:hint="eastAsia" w:ascii="黑体" w:hAnsi="宋体" w:eastAsia="黑体"/>
          <w:color w:val="000000"/>
          <w:sz w:val="24"/>
        </w:rPr>
        <w:t>附表A-9：商务标评分结果汇总表</w:t>
      </w:r>
      <w:bookmarkEnd w:id="284"/>
      <w:r>
        <w:rPr>
          <w:rFonts w:hint="eastAsia" w:ascii="黑体" w:hAnsi="宋体" w:eastAsia="黑体"/>
          <w:color w:val="000000"/>
          <w:sz w:val="24"/>
        </w:rPr>
        <w:t>（系统自动生成）</w:t>
      </w:r>
      <w:bookmarkEnd w:id="285"/>
    </w:p>
    <w:p>
      <w:pPr>
        <w:spacing w:after="312" w:afterLines="100"/>
        <w:jc w:val="center"/>
        <w:rPr>
          <w:rFonts w:ascii="宋体" w:hAnsi="宋体"/>
          <w:color w:val="000000"/>
          <w:sz w:val="28"/>
          <w:szCs w:val="28"/>
        </w:rPr>
      </w:pPr>
      <w:r>
        <w:rPr>
          <w:rFonts w:hint="eastAsia" w:ascii="宋体" w:hAnsi="宋体"/>
          <w:color w:val="000000"/>
          <w:sz w:val="28"/>
          <w:szCs w:val="28"/>
        </w:rPr>
        <w:t>商务标评分结果汇总表</w:t>
      </w:r>
    </w:p>
    <w:p>
      <w:pPr>
        <w:rPr>
          <w:color w:val="000000"/>
          <w:szCs w:val="44"/>
        </w:rPr>
      </w:pPr>
      <w:r>
        <w:rPr>
          <w:rFonts w:hint="eastAsia"/>
          <w:color w:val="000000"/>
          <w:szCs w:val="44"/>
        </w:rPr>
        <w:t>项目名称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项目编号</w:t>
      </w:r>
    </w:p>
    <w:p>
      <w:pPr>
        <w:rPr>
          <w:color w:val="000000"/>
          <w:szCs w:val="44"/>
        </w:rPr>
      </w:pPr>
      <w:r>
        <w:rPr>
          <w:rFonts w:hint="eastAsia"/>
          <w:color w:val="000000"/>
          <w:szCs w:val="44"/>
        </w:rPr>
        <w:t>标段名称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标段编号</w:t>
      </w:r>
    </w:p>
    <w:tbl>
      <w:tblPr>
        <w:tblStyle w:val="36"/>
        <w:tblW w:w="9351" w:type="dxa"/>
        <w:jc w:val="center"/>
        <w:tblLayout w:type="autofit"/>
        <w:tblCellMar>
          <w:top w:w="0" w:type="dxa"/>
          <w:left w:w="108" w:type="dxa"/>
          <w:bottom w:w="0" w:type="dxa"/>
          <w:right w:w="108" w:type="dxa"/>
        </w:tblCellMar>
      </w:tblPr>
      <w:tblGrid>
        <w:gridCol w:w="825"/>
        <w:gridCol w:w="2147"/>
        <w:gridCol w:w="3292"/>
        <w:gridCol w:w="2231"/>
        <w:gridCol w:w="856"/>
      </w:tblGrid>
      <w:tr>
        <w:trPr>
          <w:trHeight w:val="454" w:hRule="atLeast"/>
          <w:jc w:val="center"/>
        </w:trPr>
        <w:tc>
          <w:tcPr>
            <w:tcW w:w="825"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r>
              <w:rPr>
                <w:rFonts w:hint="eastAsia"/>
                <w:color w:val="000000"/>
              </w:rPr>
              <w:t>序号</w:t>
            </w:r>
          </w:p>
        </w:tc>
        <w:tc>
          <w:tcPr>
            <w:tcW w:w="2147"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r>
              <w:rPr>
                <w:rFonts w:hint="eastAsia"/>
                <w:color w:val="000000"/>
              </w:rPr>
              <w:t>投标单位</w:t>
            </w:r>
          </w:p>
        </w:tc>
        <w:tc>
          <w:tcPr>
            <w:tcW w:w="3292"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r>
              <w:rPr>
                <w:rFonts w:hint="eastAsia"/>
                <w:color w:val="000000"/>
              </w:rPr>
              <w:t>工程量清单总报价得分</w:t>
            </w:r>
          </w:p>
        </w:tc>
        <w:tc>
          <w:tcPr>
            <w:tcW w:w="2231"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r>
              <w:rPr>
                <w:rFonts w:hint="eastAsia"/>
                <w:color w:val="000000"/>
              </w:rPr>
              <w:t>分部分项工程量清单报价</w:t>
            </w:r>
            <w:r>
              <w:rPr>
                <w:rFonts w:hint="eastAsia"/>
                <w:color w:val="000000"/>
                <w:lang w:eastAsia="zh-CN"/>
              </w:rPr>
              <w:t>的</w:t>
            </w:r>
            <w:r>
              <w:rPr>
                <w:rFonts w:hint="eastAsia"/>
                <w:color w:val="000000"/>
              </w:rPr>
              <w:t>分</w:t>
            </w:r>
          </w:p>
        </w:tc>
        <w:tc>
          <w:tcPr>
            <w:tcW w:w="856"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r>
              <w:rPr>
                <w:rFonts w:hint="eastAsia"/>
                <w:color w:val="000000"/>
              </w:rPr>
              <w:t>总得分</w:t>
            </w:r>
          </w:p>
        </w:tc>
      </w:tr>
      <w:tr>
        <w:trPr>
          <w:trHeight w:val="454" w:hRule="atLeast"/>
          <w:jc w:val="center"/>
        </w:trPr>
        <w:tc>
          <w:tcPr>
            <w:tcW w:w="825"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r>
              <w:rPr>
                <w:rFonts w:hint="eastAsia"/>
                <w:color w:val="000000"/>
              </w:rPr>
              <w:t>1</w:t>
            </w:r>
          </w:p>
        </w:tc>
        <w:tc>
          <w:tcPr>
            <w:tcW w:w="2147"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c>
          <w:tcPr>
            <w:tcW w:w="3292"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c>
          <w:tcPr>
            <w:tcW w:w="2231"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c>
          <w:tcPr>
            <w:tcW w:w="856"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r>
      <w:tr>
        <w:trPr>
          <w:trHeight w:val="454" w:hRule="atLeast"/>
          <w:jc w:val="center"/>
        </w:trPr>
        <w:tc>
          <w:tcPr>
            <w:tcW w:w="825"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r>
              <w:rPr>
                <w:rFonts w:hint="eastAsia"/>
                <w:color w:val="000000"/>
              </w:rPr>
              <w:t>2</w:t>
            </w:r>
          </w:p>
        </w:tc>
        <w:tc>
          <w:tcPr>
            <w:tcW w:w="2147"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c>
          <w:tcPr>
            <w:tcW w:w="3292"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c>
          <w:tcPr>
            <w:tcW w:w="2231"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c>
          <w:tcPr>
            <w:tcW w:w="856"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r>
      <w:tr>
        <w:trPr>
          <w:trHeight w:val="454" w:hRule="atLeast"/>
          <w:jc w:val="center"/>
        </w:trPr>
        <w:tc>
          <w:tcPr>
            <w:tcW w:w="825"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r>
              <w:rPr>
                <w:rFonts w:hint="eastAsia"/>
                <w:color w:val="000000"/>
              </w:rPr>
              <w:t>3</w:t>
            </w:r>
          </w:p>
        </w:tc>
        <w:tc>
          <w:tcPr>
            <w:tcW w:w="2147"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c>
          <w:tcPr>
            <w:tcW w:w="3292"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c>
          <w:tcPr>
            <w:tcW w:w="2231"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c>
          <w:tcPr>
            <w:tcW w:w="856"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r>
      <w:tr>
        <w:trPr>
          <w:trHeight w:val="454" w:hRule="atLeast"/>
          <w:jc w:val="center"/>
        </w:trPr>
        <w:tc>
          <w:tcPr>
            <w:tcW w:w="825"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r>
              <w:rPr>
                <w:rFonts w:hint="eastAsia"/>
                <w:color w:val="000000"/>
              </w:rPr>
              <w:t>4</w:t>
            </w:r>
          </w:p>
        </w:tc>
        <w:tc>
          <w:tcPr>
            <w:tcW w:w="2147"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c>
          <w:tcPr>
            <w:tcW w:w="3292"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c>
          <w:tcPr>
            <w:tcW w:w="2231"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c>
          <w:tcPr>
            <w:tcW w:w="856"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r>
      <w:tr>
        <w:trPr>
          <w:trHeight w:val="454" w:hRule="atLeast"/>
          <w:jc w:val="center"/>
        </w:trPr>
        <w:tc>
          <w:tcPr>
            <w:tcW w:w="825"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r>
              <w:rPr>
                <w:rFonts w:hint="eastAsia"/>
                <w:color w:val="000000"/>
              </w:rPr>
              <w:t>5</w:t>
            </w:r>
          </w:p>
        </w:tc>
        <w:tc>
          <w:tcPr>
            <w:tcW w:w="2147"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c>
          <w:tcPr>
            <w:tcW w:w="3292"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c>
          <w:tcPr>
            <w:tcW w:w="2231"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c>
          <w:tcPr>
            <w:tcW w:w="856"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r>
      <w:tr>
        <w:trPr>
          <w:trHeight w:val="454" w:hRule="atLeast"/>
          <w:jc w:val="center"/>
        </w:trPr>
        <w:tc>
          <w:tcPr>
            <w:tcW w:w="825"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r>
              <w:rPr>
                <w:rFonts w:hint="eastAsia"/>
                <w:color w:val="000000"/>
              </w:rPr>
              <w:t>6</w:t>
            </w:r>
          </w:p>
        </w:tc>
        <w:tc>
          <w:tcPr>
            <w:tcW w:w="2147"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c>
          <w:tcPr>
            <w:tcW w:w="3292"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c>
          <w:tcPr>
            <w:tcW w:w="2231"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c>
          <w:tcPr>
            <w:tcW w:w="856"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r>
      <w:tr>
        <w:trPr>
          <w:trHeight w:val="454" w:hRule="atLeast"/>
          <w:jc w:val="center"/>
        </w:trPr>
        <w:tc>
          <w:tcPr>
            <w:tcW w:w="825"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r>
              <w:rPr>
                <w:color w:val="000000"/>
              </w:rPr>
              <w:t>……</w:t>
            </w:r>
          </w:p>
        </w:tc>
        <w:tc>
          <w:tcPr>
            <w:tcW w:w="2147"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c>
          <w:tcPr>
            <w:tcW w:w="3292"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c>
          <w:tcPr>
            <w:tcW w:w="2231"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c>
          <w:tcPr>
            <w:tcW w:w="856"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r>
    </w:tbl>
    <w:p>
      <w:pPr>
        <w:spacing w:line="440" w:lineRule="exact"/>
        <w:ind w:right="630"/>
        <w:jc w:val="right"/>
        <w:rPr>
          <w:color w:val="000000"/>
        </w:rPr>
      </w:pPr>
      <w:bookmarkStart w:id="286" w:name="_Toc504078136"/>
      <w:bookmarkStart w:id="287" w:name="_Toc114222762"/>
      <w:r>
        <w:rPr>
          <w:rFonts w:hint="eastAsia"/>
          <w:color w:val="000000"/>
        </w:rPr>
        <w:t>评标委员会成员签名：</w:t>
      </w:r>
    </w:p>
    <w:p>
      <w:pPr>
        <w:spacing w:line="440" w:lineRule="exact"/>
        <w:ind w:right="840"/>
        <w:jc w:val="right"/>
        <w:rPr>
          <w:color w:val="000000"/>
        </w:rPr>
      </w:pPr>
      <w:r>
        <w:rPr>
          <w:rFonts w:hint="eastAsia" w:ascii="宋体" w:hAnsi="宋体"/>
          <w:color w:val="000000"/>
          <w:szCs w:val="44"/>
        </w:rPr>
        <w:t>日期：  年 月  日</w:t>
      </w:r>
    </w:p>
    <w:p>
      <w:pPr>
        <w:widowControl/>
        <w:jc w:val="left"/>
        <w:rPr>
          <w:rFonts w:ascii="黑体" w:eastAsia="黑体"/>
          <w:color w:val="000000"/>
          <w:sz w:val="24"/>
        </w:rPr>
      </w:pPr>
      <w:r>
        <w:rPr>
          <w:rFonts w:ascii="黑体" w:eastAsia="黑体"/>
          <w:color w:val="000000"/>
          <w:sz w:val="24"/>
        </w:rPr>
        <w:br w:type="page"/>
      </w:r>
    </w:p>
    <w:p>
      <w:pPr>
        <w:spacing w:before="312" w:beforeLines="100" w:after="249" w:afterLines="80" w:line="380" w:lineRule="exact"/>
        <w:outlineLvl w:val="2"/>
        <w:rPr>
          <w:rFonts w:ascii="黑体" w:hAnsi="宋体" w:eastAsia="黑体"/>
          <w:color w:val="000000"/>
          <w:sz w:val="24"/>
        </w:rPr>
      </w:pPr>
      <w:r>
        <w:rPr>
          <w:rFonts w:hint="eastAsia" w:ascii="黑体" w:hAnsi="宋体" w:eastAsia="黑体"/>
          <w:color w:val="000000"/>
          <w:sz w:val="24"/>
        </w:rPr>
        <w:t>附表A-1</w:t>
      </w:r>
      <w:r>
        <w:rPr>
          <w:rFonts w:ascii="黑体" w:hAnsi="宋体" w:eastAsia="黑体"/>
          <w:color w:val="000000"/>
          <w:sz w:val="24"/>
        </w:rPr>
        <w:t>0</w:t>
      </w:r>
      <w:r>
        <w:rPr>
          <w:rFonts w:hint="eastAsia" w:ascii="黑体" w:hAnsi="宋体" w:eastAsia="黑体"/>
          <w:color w:val="000000"/>
          <w:sz w:val="24"/>
        </w:rPr>
        <w:t>：评标结果汇总表</w:t>
      </w:r>
      <w:bookmarkEnd w:id="286"/>
      <w:r>
        <w:rPr>
          <w:rFonts w:hint="eastAsia" w:ascii="黑体" w:hAnsi="宋体" w:eastAsia="黑体"/>
          <w:color w:val="000000"/>
          <w:sz w:val="24"/>
        </w:rPr>
        <w:t>（系统自动生成）</w:t>
      </w:r>
      <w:bookmarkEnd w:id="287"/>
    </w:p>
    <w:p>
      <w:pPr>
        <w:jc w:val="center"/>
        <w:rPr>
          <w:rFonts w:ascii="黑体" w:eastAsia="黑体"/>
          <w:color w:val="000000"/>
          <w:sz w:val="32"/>
          <w:szCs w:val="32"/>
        </w:rPr>
      </w:pPr>
      <w:r>
        <w:rPr>
          <w:rFonts w:hint="eastAsia" w:ascii="黑体" w:eastAsia="黑体"/>
          <w:color w:val="000000"/>
          <w:sz w:val="32"/>
          <w:szCs w:val="32"/>
        </w:rPr>
        <w:t>评标结果汇总表</w:t>
      </w:r>
    </w:p>
    <w:p>
      <w:pPr>
        <w:adjustRightInd w:val="0"/>
        <w:snapToGrid w:val="0"/>
        <w:spacing w:line="440" w:lineRule="exact"/>
        <w:rPr>
          <w:color w:val="000000"/>
          <w:szCs w:val="44"/>
        </w:rPr>
      </w:pPr>
      <w:r>
        <w:rPr>
          <w:rFonts w:hint="eastAsia"/>
          <w:color w:val="000000"/>
          <w:szCs w:val="44"/>
        </w:rPr>
        <w:t>项目名称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项目编号</w:t>
      </w:r>
    </w:p>
    <w:p>
      <w:pPr>
        <w:rPr>
          <w:rFonts w:ascii="宋体" w:hAnsi="宋体"/>
          <w:color w:val="000000"/>
          <w:szCs w:val="44"/>
        </w:rPr>
      </w:pPr>
      <w:r>
        <w:rPr>
          <w:rFonts w:hint="eastAsia"/>
          <w:color w:val="000000"/>
          <w:szCs w:val="44"/>
        </w:rPr>
        <w:t>标段名称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标段编号</w:t>
      </w:r>
    </w:p>
    <w:tbl>
      <w:tblPr>
        <w:tblStyle w:val="36"/>
        <w:tblW w:w="8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4"/>
        <w:gridCol w:w="1417"/>
        <w:gridCol w:w="1131"/>
        <w:gridCol w:w="857"/>
        <w:gridCol w:w="1076"/>
        <w:gridCol w:w="1076"/>
        <w:gridCol w:w="1076"/>
        <w:gridCol w:w="1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6" w:hRule="atLeast"/>
        </w:trPr>
        <w:tc>
          <w:tcPr>
            <w:tcW w:w="1034" w:type="dxa"/>
            <w:shd w:val="clear" w:color="auto" w:fill="auto"/>
            <w:noWrap/>
            <w:vAlign w:val="center"/>
          </w:tcPr>
          <w:p>
            <w:pPr>
              <w:jc w:val="center"/>
              <w:rPr>
                <w:color w:val="000000"/>
              </w:rPr>
            </w:pPr>
            <w:r>
              <w:rPr>
                <w:rFonts w:hint="eastAsia"/>
                <w:color w:val="000000"/>
              </w:rPr>
              <w:t>序号</w:t>
            </w:r>
          </w:p>
        </w:tc>
        <w:tc>
          <w:tcPr>
            <w:tcW w:w="1417" w:type="dxa"/>
            <w:shd w:val="clear" w:color="auto" w:fill="auto"/>
            <w:noWrap/>
            <w:vAlign w:val="center"/>
          </w:tcPr>
          <w:p>
            <w:pPr>
              <w:jc w:val="center"/>
              <w:rPr>
                <w:color w:val="000000"/>
              </w:rPr>
            </w:pPr>
            <w:r>
              <w:rPr>
                <w:rFonts w:hint="eastAsia"/>
                <w:color w:val="000000"/>
              </w:rPr>
              <w:t>投标单位</w:t>
            </w:r>
          </w:p>
        </w:tc>
        <w:tc>
          <w:tcPr>
            <w:tcW w:w="1131" w:type="dxa"/>
            <w:shd w:val="clear" w:color="auto" w:fill="auto"/>
            <w:noWrap/>
            <w:vAlign w:val="center"/>
          </w:tcPr>
          <w:p>
            <w:pPr>
              <w:jc w:val="center"/>
              <w:rPr>
                <w:color w:val="000000"/>
              </w:rPr>
            </w:pPr>
            <w:r>
              <w:rPr>
                <w:rFonts w:hint="eastAsia"/>
                <w:color w:val="000000"/>
              </w:rPr>
              <w:t>投标报价得分</w:t>
            </w:r>
          </w:p>
        </w:tc>
        <w:tc>
          <w:tcPr>
            <w:tcW w:w="857" w:type="dxa"/>
            <w:shd w:val="clear" w:color="auto" w:fill="auto"/>
            <w:noWrap/>
            <w:vAlign w:val="center"/>
          </w:tcPr>
          <w:p>
            <w:pPr>
              <w:jc w:val="center"/>
              <w:rPr>
                <w:color w:val="000000"/>
              </w:rPr>
            </w:pPr>
            <w:r>
              <w:rPr>
                <w:rFonts w:hint="eastAsia"/>
                <w:color w:val="000000"/>
              </w:rPr>
              <w:t>企业诚信得分</w:t>
            </w:r>
          </w:p>
        </w:tc>
        <w:tc>
          <w:tcPr>
            <w:tcW w:w="1076" w:type="dxa"/>
            <w:shd w:val="clear" w:color="auto" w:fill="auto"/>
            <w:noWrap/>
            <w:vAlign w:val="center"/>
          </w:tcPr>
          <w:p>
            <w:pPr>
              <w:jc w:val="center"/>
              <w:rPr>
                <w:color w:val="000000"/>
              </w:rPr>
            </w:pPr>
            <w:r>
              <w:rPr>
                <w:rFonts w:hint="eastAsia"/>
                <w:color w:val="000000"/>
              </w:rPr>
              <w:t>项目负责人诚信得分</w:t>
            </w:r>
          </w:p>
        </w:tc>
        <w:tc>
          <w:tcPr>
            <w:tcW w:w="1076" w:type="dxa"/>
            <w:shd w:val="clear" w:color="auto" w:fill="auto"/>
            <w:noWrap/>
            <w:vAlign w:val="center"/>
          </w:tcPr>
          <w:p>
            <w:pPr>
              <w:jc w:val="center"/>
              <w:rPr>
                <w:color w:val="000000"/>
              </w:rPr>
            </w:pPr>
            <w:r>
              <w:rPr>
                <w:rFonts w:hint="eastAsia"/>
                <w:color w:val="000000"/>
              </w:rPr>
              <w:t>得分排名</w:t>
            </w:r>
          </w:p>
        </w:tc>
        <w:tc>
          <w:tcPr>
            <w:tcW w:w="1076" w:type="dxa"/>
            <w:shd w:val="clear" w:color="auto" w:fill="auto"/>
            <w:noWrap/>
            <w:vAlign w:val="center"/>
          </w:tcPr>
          <w:p>
            <w:pPr>
              <w:jc w:val="center"/>
              <w:rPr>
                <w:color w:val="000000"/>
              </w:rPr>
            </w:pPr>
            <w:r>
              <w:rPr>
                <w:rFonts w:hint="eastAsia"/>
                <w:color w:val="000000"/>
              </w:rPr>
              <w:t>推荐中标候选人</w:t>
            </w:r>
          </w:p>
        </w:tc>
        <w:tc>
          <w:tcPr>
            <w:tcW w:w="1049" w:type="dxa"/>
            <w:shd w:val="clear" w:color="auto" w:fill="auto"/>
            <w:noWrap/>
            <w:vAlign w:val="center"/>
          </w:tcPr>
          <w:p>
            <w:pPr>
              <w:jc w:val="center"/>
              <w:rPr>
                <w:color w:val="000000"/>
              </w:rPr>
            </w:pPr>
            <w:r>
              <w:rPr>
                <w:rFonts w:hint="eastAsia"/>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6" w:hRule="atLeast"/>
        </w:trPr>
        <w:tc>
          <w:tcPr>
            <w:tcW w:w="1034" w:type="dxa"/>
            <w:shd w:val="clear" w:color="auto" w:fill="auto"/>
            <w:noWrap/>
            <w:vAlign w:val="center"/>
          </w:tcPr>
          <w:p>
            <w:pPr>
              <w:jc w:val="center"/>
              <w:rPr>
                <w:color w:val="000000"/>
              </w:rPr>
            </w:pPr>
            <w:r>
              <w:rPr>
                <w:rFonts w:hint="eastAsia"/>
                <w:color w:val="000000"/>
              </w:rPr>
              <w:t>1</w:t>
            </w:r>
          </w:p>
        </w:tc>
        <w:tc>
          <w:tcPr>
            <w:tcW w:w="1417" w:type="dxa"/>
            <w:shd w:val="clear" w:color="auto" w:fill="auto"/>
            <w:noWrap/>
            <w:vAlign w:val="center"/>
          </w:tcPr>
          <w:p>
            <w:pPr>
              <w:jc w:val="center"/>
              <w:rPr>
                <w:color w:val="000000"/>
              </w:rPr>
            </w:pPr>
          </w:p>
        </w:tc>
        <w:tc>
          <w:tcPr>
            <w:tcW w:w="1131" w:type="dxa"/>
            <w:shd w:val="clear" w:color="auto" w:fill="auto"/>
            <w:noWrap/>
            <w:vAlign w:val="center"/>
          </w:tcPr>
          <w:p>
            <w:pPr>
              <w:jc w:val="center"/>
              <w:rPr>
                <w:color w:val="000000"/>
              </w:rPr>
            </w:pPr>
          </w:p>
        </w:tc>
        <w:tc>
          <w:tcPr>
            <w:tcW w:w="857" w:type="dxa"/>
            <w:shd w:val="clear" w:color="auto" w:fill="auto"/>
            <w:noWrap/>
            <w:vAlign w:val="center"/>
          </w:tcPr>
          <w:p>
            <w:pPr>
              <w:jc w:val="center"/>
              <w:rPr>
                <w:color w:val="000000"/>
              </w:rPr>
            </w:pPr>
          </w:p>
        </w:tc>
        <w:tc>
          <w:tcPr>
            <w:tcW w:w="1076" w:type="dxa"/>
            <w:shd w:val="clear" w:color="auto" w:fill="auto"/>
            <w:noWrap/>
            <w:vAlign w:val="center"/>
          </w:tcPr>
          <w:p>
            <w:pPr>
              <w:jc w:val="center"/>
              <w:rPr>
                <w:color w:val="000000"/>
              </w:rPr>
            </w:pPr>
          </w:p>
        </w:tc>
        <w:tc>
          <w:tcPr>
            <w:tcW w:w="1076" w:type="dxa"/>
            <w:shd w:val="clear" w:color="auto" w:fill="auto"/>
            <w:noWrap/>
            <w:vAlign w:val="center"/>
          </w:tcPr>
          <w:p>
            <w:pPr>
              <w:jc w:val="center"/>
              <w:rPr>
                <w:color w:val="000000"/>
              </w:rPr>
            </w:pPr>
          </w:p>
        </w:tc>
        <w:tc>
          <w:tcPr>
            <w:tcW w:w="1076" w:type="dxa"/>
            <w:shd w:val="clear" w:color="auto" w:fill="auto"/>
            <w:noWrap/>
            <w:vAlign w:val="center"/>
          </w:tcPr>
          <w:p>
            <w:pPr>
              <w:jc w:val="center"/>
              <w:rPr>
                <w:color w:val="000000"/>
              </w:rPr>
            </w:pPr>
          </w:p>
        </w:tc>
        <w:tc>
          <w:tcPr>
            <w:tcW w:w="1049" w:type="dxa"/>
            <w:shd w:val="clear" w:color="auto" w:fill="auto"/>
            <w:noWrap/>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6" w:hRule="atLeast"/>
        </w:trPr>
        <w:tc>
          <w:tcPr>
            <w:tcW w:w="1034" w:type="dxa"/>
            <w:shd w:val="clear" w:color="auto" w:fill="auto"/>
            <w:noWrap/>
            <w:vAlign w:val="center"/>
          </w:tcPr>
          <w:p>
            <w:pPr>
              <w:jc w:val="center"/>
              <w:rPr>
                <w:color w:val="000000"/>
              </w:rPr>
            </w:pPr>
            <w:r>
              <w:rPr>
                <w:rFonts w:hint="eastAsia"/>
                <w:color w:val="000000"/>
              </w:rPr>
              <w:t>2</w:t>
            </w:r>
          </w:p>
        </w:tc>
        <w:tc>
          <w:tcPr>
            <w:tcW w:w="1417" w:type="dxa"/>
            <w:shd w:val="clear" w:color="auto" w:fill="auto"/>
            <w:noWrap/>
            <w:vAlign w:val="center"/>
          </w:tcPr>
          <w:p>
            <w:pPr>
              <w:jc w:val="center"/>
              <w:rPr>
                <w:color w:val="000000"/>
              </w:rPr>
            </w:pPr>
          </w:p>
        </w:tc>
        <w:tc>
          <w:tcPr>
            <w:tcW w:w="1131" w:type="dxa"/>
            <w:shd w:val="clear" w:color="auto" w:fill="auto"/>
            <w:noWrap/>
            <w:vAlign w:val="center"/>
          </w:tcPr>
          <w:p>
            <w:pPr>
              <w:jc w:val="center"/>
              <w:rPr>
                <w:color w:val="000000"/>
              </w:rPr>
            </w:pPr>
          </w:p>
        </w:tc>
        <w:tc>
          <w:tcPr>
            <w:tcW w:w="857" w:type="dxa"/>
            <w:shd w:val="clear" w:color="auto" w:fill="auto"/>
            <w:noWrap/>
            <w:vAlign w:val="center"/>
          </w:tcPr>
          <w:p>
            <w:pPr>
              <w:jc w:val="center"/>
              <w:rPr>
                <w:color w:val="000000"/>
              </w:rPr>
            </w:pPr>
          </w:p>
        </w:tc>
        <w:tc>
          <w:tcPr>
            <w:tcW w:w="1076" w:type="dxa"/>
            <w:shd w:val="clear" w:color="auto" w:fill="auto"/>
            <w:noWrap/>
            <w:vAlign w:val="center"/>
          </w:tcPr>
          <w:p>
            <w:pPr>
              <w:jc w:val="center"/>
              <w:rPr>
                <w:color w:val="000000"/>
              </w:rPr>
            </w:pPr>
          </w:p>
        </w:tc>
        <w:tc>
          <w:tcPr>
            <w:tcW w:w="1076" w:type="dxa"/>
            <w:shd w:val="clear" w:color="auto" w:fill="auto"/>
            <w:noWrap/>
            <w:vAlign w:val="center"/>
          </w:tcPr>
          <w:p>
            <w:pPr>
              <w:jc w:val="center"/>
              <w:rPr>
                <w:color w:val="000000"/>
              </w:rPr>
            </w:pPr>
          </w:p>
        </w:tc>
        <w:tc>
          <w:tcPr>
            <w:tcW w:w="1076" w:type="dxa"/>
            <w:shd w:val="clear" w:color="auto" w:fill="auto"/>
            <w:noWrap/>
            <w:vAlign w:val="center"/>
          </w:tcPr>
          <w:p>
            <w:pPr>
              <w:jc w:val="center"/>
              <w:rPr>
                <w:color w:val="000000"/>
              </w:rPr>
            </w:pPr>
          </w:p>
        </w:tc>
        <w:tc>
          <w:tcPr>
            <w:tcW w:w="1049" w:type="dxa"/>
            <w:shd w:val="clear" w:color="auto" w:fill="auto"/>
            <w:noWrap/>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6" w:hRule="atLeast"/>
        </w:trPr>
        <w:tc>
          <w:tcPr>
            <w:tcW w:w="1034" w:type="dxa"/>
            <w:shd w:val="clear" w:color="auto" w:fill="auto"/>
            <w:noWrap/>
            <w:vAlign w:val="center"/>
          </w:tcPr>
          <w:p>
            <w:pPr>
              <w:jc w:val="center"/>
              <w:rPr>
                <w:color w:val="000000"/>
              </w:rPr>
            </w:pPr>
            <w:r>
              <w:rPr>
                <w:rFonts w:hint="eastAsia"/>
                <w:color w:val="000000"/>
              </w:rPr>
              <w:t>3</w:t>
            </w:r>
          </w:p>
        </w:tc>
        <w:tc>
          <w:tcPr>
            <w:tcW w:w="1417" w:type="dxa"/>
            <w:shd w:val="clear" w:color="auto" w:fill="auto"/>
            <w:noWrap/>
            <w:vAlign w:val="center"/>
          </w:tcPr>
          <w:p>
            <w:pPr>
              <w:jc w:val="center"/>
              <w:rPr>
                <w:color w:val="000000"/>
              </w:rPr>
            </w:pPr>
          </w:p>
        </w:tc>
        <w:tc>
          <w:tcPr>
            <w:tcW w:w="1131" w:type="dxa"/>
            <w:shd w:val="clear" w:color="auto" w:fill="auto"/>
            <w:noWrap/>
            <w:vAlign w:val="center"/>
          </w:tcPr>
          <w:p>
            <w:pPr>
              <w:jc w:val="center"/>
              <w:rPr>
                <w:color w:val="000000"/>
              </w:rPr>
            </w:pPr>
          </w:p>
        </w:tc>
        <w:tc>
          <w:tcPr>
            <w:tcW w:w="857" w:type="dxa"/>
            <w:shd w:val="clear" w:color="auto" w:fill="auto"/>
            <w:noWrap/>
            <w:vAlign w:val="center"/>
          </w:tcPr>
          <w:p>
            <w:pPr>
              <w:jc w:val="center"/>
              <w:rPr>
                <w:color w:val="000000"/>
              </w:rPr>
            </w:pPr>
          </w:p>
        </w:tc>
        <w:tc>
          <w:tcPr>
            <w:tcW w:w="1076" w:type="dxa"/>
            <w:shd w:val="clear" w:color="auto" w:fill="auto"/>
            <w:noWrap/>
            <w:vAlign w:val="center"/>
          </w:tcPr>
          <w:p>
            <w:pPr>
              <w:jc w:val="center"/>
              <w:rPr>
                <w:color w:val="000000"/>
              </w:rPr>
            </w:pPr>
          </w:p>
        </w:tc>
        <w:tc>
          <w:tcPr>
            <w:tcW w:w="1076" w:type="dxa"/>
            <w:shd w:val="clear" w:color="auto" w:fill="auto"/>
            <w:noWrap/>
            <w:vAlign w:val="center"/>
          </w:tcPr>
          <w:p>
            <w:pPr>
              <w:jc w:val="center"/>
              <w:rPr>
                <w:color w:val="000000"/>
              </w:rPr>
            </w:pPr>
          </w:p>
        </w:tc>
        <w:tc>
          <w:tcPr>
            <w:tcW w:w="1076" w:type="dxa"/>
            <w:shd w:val="clear" w:color="auto" w:fill="auto"/>
            <w:noWrap/>
            <w:vAlign w:val="center"/>
          </w:tcPr>
          <w:p>
            <w:pPr>
              <w:jc w:val="center"/>
              <w:rPr>
                <w:color w:val="000000"/>
              </w:rPr>
            </w:pPr>
          </w:p>
        </w:tc>
        <w:tc>
          <w:tcPr>
            <w:tcW w:w="1049" w:type="dxa"/>
            <w:shd w:val="clear" w:color="auto" w:fill="auto"/>
            <w:noWrap/>
            <w:vAlign w:val="center"/>
          </w:tcPr>
          <w:p>
            <w:pPr>
              <w:jc w:val="center"/>
              <w:rPr>
                <w:color w:val="000000"/>
              </w:rPr>
            </w:pPr>
          </w:p>
        </w:tc>
      </w:tr>
    </w:tbl>
    <w:p>
      <w:pPr>
        <w:rPr>
          <w:rFonts w:ascii="宋体" w:hAnsi="宋体"/>
          <w:color w:val="000000"/>
          <w:szCs w:val="44"/>
        </w:rPr>
      </w:pPr>
    </w:p>
    <w:p>
      <w:pPr>
        <w:spacing w:line="440" w:lineRule="exact"/>
        <w:ind w:right="630"/>
        <w:jc w:val="right"/>
        <w:rPr>
          <w:color w:val="000000"/>
        </w:rPr>
      </w:pPr>
      <w:r>
        <w:rPr>
          <w:rFonts w:hint="eastAsia"/>
          <w:color w:val="000000"/>
        </w:rPr>
        <w:t>评标委员会成员签名：</w:t>
      </w:r>
    </w:p>
    <w:p>
      <w:pPr>
        <w:spacing w:line="440" w:lineRule="exact"/>
        <w:ind w:right="840"/>
        <w:jc w:val="right"/>
        <w:rPr>
          <w:color w:val="000000"/>
        </w:rPr>
      </w:pPr>
      <w:r>
        <w:rPr>
          <w:rFonts w:hint="eastAsia" w:ascii="宋体" w:hAnsi="宋体"/>
          <w:color w:val="000000"/>
          <w:szCs w:val="44"/>
        </w:rPr>
        <w:t>日期：  年 月  日</w:t>
      </w:r>
    </w:p>
    <w:p>
      <w:pPr>
        <w:widowControl/>
        <w:jc w:val="left"/>
        <w:rPr>
          <w:rFonts w:ascii="黑体" w:eastAsia="黑体"/>
          <w:color w:val="000000"/>
          <w:sz w:val="24"/>
        </w:rPr>
      </w:pPr>
      <w:r>
        <w:rPr>
          <w:rFonts w:ascii="黑体" w:eastAsia="黑体"/>
          <w:color w:val="000000"/>
          <w:sz w:val="24"/>
        </w:rPr>
        <w:br w:type="page"/>
      </w:r>
    </w:p>
    <w:p>
      <w:pPr>
        <w:spacing w:before="312" w:beforeLines="100" w:after="249" w:afterLines="80" w:line="380" w:lineRule="exact"/>
        <w:outlineLvl w:val="2"/>
        <w:rPr>
          <w:rFonts w:ascii="黑体" w:hAnsi="宋体" w:eastAsia="黑体"/>
          <w:color w:val="000000"/>
          <w:sz w:val="24"/>
        </w:rPr>
      </w:pPr>
      <w:bookmarkStart w:id="288" w:name="_Toc504078137"/>
      <w:bookmarkStart w:id="289" w:name="_Toc114222763"/>
      <w:r>
        <w:rPr>
          <w:rFonts w:hint="eastAsia" w:ascii="黑体" w:hAnsi="宋体" w:eastAsia="黑体"/>
          <w:color w:val="000000"/>
          <w:sz w:val="24"/>
        </w:rPr>
        <w:t>附表A-1</w:t>
      </w:r>
      <w:r>
        <w:rPr>
          <w:rFonts w:ascii="黑体" w:hAnsi="宋体" w:eastAsia="黑体"/>
          <w:color w:val="000000"/>
          <w:sz w:val="24"/>
        </w:rPr>
        <w:t>1</w:t>
      </w:r>
      <w:r>
        <w:rPr>
          <w:rFonts w:hint="eastAsia" w:ascii="黑体" w:hAnsi="宋体" w:eastAsia="黑体"/>
          <w:color w:val="000000"/>
          <w:sz w:val="24"/>
        </w:rPr>
        <w:t>：否决投标的情况记录表</w:t>
      </w:r>
      <w:bookmarkEnd w:id="288"/>
      <w:r>
        <w:rPr>
          <w:rFonts w:hint="eastAsia" w:ascii="黑体" w:hAnsi="宋体" w:eastAsia="黑体"/>
          <w:color w:val="000000"/>
          <w:sz w:val="24"/>
        </w:rPr>
        <w:t>（系统自动生成）</w:t>
      </w:r>
      <w:bookmarkEnd w:id="289"/>
    </w:p>
    <w:p>
      <w:pPr>
        <w:jc w:val="center"/>
        <w:rPr>
          <w:rFonts w:ascii="黑体" w:eastAsia="黑体"/>
          <w:color w:val="000000"/>
          <w:sz w:val="28"/>
          <w:szCs w:val="28"/>
        </w:rPr>
      </w:pPr>
      <w:r>
        <w:rPr>
          <w:rFonts w:hint="eastAsia" w:ascii="黑体" w:eastAsia="黑体"/>
          <w:color w:val="000000"/>
          <w:sz w:val="28"/>
          <w:szCs w:val="28"/>
        </w:rPr>
        <w:t>否决投标的情况记录表</w:t>
      </w:r>
    </w:p>
    <w:p>
      <w:pPr>
        <w:adjustRightInd w:val="0"/>
        <w:snapToGrid w:val="0"/>
        <w:spacing w:line="440" w:lineRule="exact"/>
        <w:rPr>
          <w:color w:val="000000"/>
          <w:szCs w:val="44"/>
        </w:rPr>
      </w:pPr>
      <w:r>
        <w:rPr>
          <w:rFonts w:hint="eastAsia"/>
          <w:color w:val="000000"/>
          <w:szCs w:val="44"/>
        </w:rPr>
        <w:t>项目名称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项目编号</w:t>
      </w:r>
    </w:p>
    <w:p>
      <w:pPr>
        <w:rPr>
          <w:rFonts w:ascii="宋体" w:hAnsi="宋体"/>
          <w:color w:val="000000"/>
          <w:szCs w:val="44"/>
        </w:rPr>
      </w:pPr>
      <w:r>
        <w:rPr>
          <w:rFonts w:hint="eastAsia"/>
          <w:color w:val="000000"/>
          <w:szCs w:val="44"/>
        </w:rPr>
        <w:t>标段名称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标段编号</w:t>
      </w:r>
    </w:p>
    <w:p>
      <w:pPr>
        <w:ind w:firstLine="525" w:firstLineChars="250"/>
        <w:jc w:val="left"/>
        <w:rPr>
          <w:rFonts w:ascii="宋体" w:hAnsi="宋体"/>
          <w:color w:val="000000"/>
          <w:szCs w:val="44"/>
        </w:rPr>
      </w:pPr>
    </w:p>
    <w:tbl>
      <w:tblPr>
        <w:tblStyle w:val="36"/>
        <w:tblW w:w="8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0"/>
        <w:gridCol w:w="1949"/>
        <w:gridCol w:w="1949"/>
        <w:gridCol w:w="1709"/>
        <w:gridCol w:w="1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050" w:type="dxa"/>
            <w:shd w:val="clear" w:color="auto" w:fill="auto"/>
            <w:noWrap/>
            <w:vAlign w:val="center"/>
          </w:tcPr>
          <w:p>
            <w:pPr>
              <w:jc w:val="center"/>
              <w:rPr>
                <w:color w:val="000000"/>
              </w:rPr>
            </w:pPr>
            <w:r>
              <w:rPr>
                <w:rFonts w:hint="eastAsia"/>
                <w:color w:val="000000"/>
              </w:rPr>
              <w:t>序号</w:t>
            </w:r>
          </w:p>
        </w:tc>
        <w:tc>
          <w:tcPr>
            <w:tcW w:w="1949" w:type="dxa"/>
            <w:shd w:val="clear" w:color="auto" w:fill="auto"/>
            <w:noWrap/>
            <w:vAlign w:val="center"/>
          </w:tcPr>
          <w:p>
            <w:pPr>
              <w:jc w:val="center"/>
              <w:rPr>
                <w:color w:val="000000"/>
              </w:rPr>
            </w:pPr>
            <w:r>
              <w:rPr>
                <w:rFonts w:hint="eastAsia"/>
                <w:color w:val="000000"/>
              </w:rPr>
              <w:t>投标人名称</w:t>
            </w:r>
          </w:p>
        </w:tc>
        <w:tc>
          <w:tcPr>
            <w:tcW w:w="1949" w:type="dxa"/>
            <w:shd w:val="clear" w:color="auto" w:fill="auto"/>
            <w:noWrap/>
            <w:vAlign w:val="center"/>
          </w:tcPr>
          <w:p>
            <w:pPr>
              <w:jc w:val="center"/>
              <w:rPr>
                <w:color w:val="000000"/>
              </w:rPr>
            </w:pPr>
            <w:r>
              <w:rPr>
                <w:rFonts w:hint="eastAsia"/>
                <w:color w:val="000000"/>
              </w:rPr>
              <w:t>评审阶段</w:t>
            </w:r>
          </w:p>
        </w:tc>
        <w:tc>
          <w:tcPr>
            <w:tcW w:w="1709" w:type="dxa"/>
            <w:shd w:val="clear" w:color="auto" w:fill="auto"/>
            <w:noWrap/>
            <w:vAlign w:val="center"/>
          </w:tcPr>
          <w:p>
            <w:pPr>
              <w:jc w:val="center"/>
              <w:rPr>
                <w:color w:val="000000"/>
              </w:rPr>
            </w:pPr>
            <w:r>
              <w:rPr>
                <w:rFonts w:hint="eastAsia"/>
                <w:color w:val="000000"/>
              </w:rPr>
              <w:t>评委复核意见</w:t>
            </w:r>
          </w:p>
        </w:tc>
        <w:tc>
          <w:tcPr>
            <w:tcW w:w="1949" w:type="dxa"/>
            <w:shd w:val="clear" w:color="auto" w:fill="auto"/>
            <w:noWrap/>
            <w:vAlign w:val="center"/>
          </w:tcPr>
          <w:p>
            <w:pPr>
              <w:jc w:val="center"/>
              <w:rPr>
                <w:color w:val="000000"/>
              </w:rPr>
            </w:pPr>
            <w:r>
              <w:rPr>
                <w:rFonts w:hint="eastAsia"/>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6" w:hRule="atLeast"/>
        </w:trPr>
        <w:tc>
          <w:tcPr>
            <w:tcW w:w="1050" w:type="dxa"/>
            <w:shd w:val="clear" w:color="auto" w:fill="auto"/>
            <w:noWrap/>
            <w:vAlign w:val="center"/>
          </w:tcPr>
          <w:p>
            <w:pPr>
              <w:jc w:val="center"/>
              <w:rPr>
                <w:color w:val="000000"/>
              </w:rPr>
            </w:pPr>
            <w:r>
              <w:rPr>
                <w:rFonts w:hint="eastAsia"/>
                <w:color w:val="000000"/>
              </w:rPr>
              <w:t>1</w:t>
            </w:r>
          </w:p>
        </w:tc>
        <w:tc>
          <w:tcPr>
            <w:tcW w:w="1949" w:type="dxa"/>
            <w:shd w:val="clear" w:color="auto" w:fill="auto"/>
            <w:noWrap/>
            <w:vAlign w:val="center"/>
          </w:tcPr>
          <w:p>
            <w:pPr>
              <w:jc w:val="center"/>
              <w:rPr>
                <w:color w:val="000000"/>
              </w:rPr>
            </w:pPr>
          </w:p>
        </w:tc>
        <w:tc>
          <w:tcPr>
            <w:tcW w:w="1949" w:type="dxa"/>
            <w:shd w:val="clear" w:color="auto" w:fill="auto"/>
            <w:noWrap/>
            <w:vAlign w:val="center"/>
          </w:tcPr>
          <w:p>
            <w:pPr>
              <w:jc w:val="center"/>
              <w:rPr>
                <w:color w:val="000000"/>
              </w:rPr>
            </w:pPr>
          </w:p>
        </w:tc>
        <w:tc>
          <w:tcPr>
            <w:tcW w:w="1709" w:type="dxa"/>
            <w:shd w:val="clear" w:color="auto" w:fill="auto"/>
            <w:noWrap/>
            <w:vAlign w:val="center"/>
          </w:tcPr>
          <w:p>
            <w:pPr>
              <w:jc w:val="center"/>
              <w:rPr>
                <w:color w:val="000000"/>
              </w:rPr>
            </w:pPr>
          </w:p>
        </w:tc>
        <w:tc>
          <w:tcPr>
            <w:tcW w:w="1949" w:type="dxa"/>
            <w:shd w:val="clear" w:color="auto" w:fill="auto"/>
            <w:noWrap/>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6" w:hRule="atLeast"/>
        </w:trPr>
        <w:tc>
          <w:tcPr>
            <w:tcW w:w="1050" w:type="dxa"/>
            <w:shd w:val="clear" w:color="auto" w:fill="auto"/>
            <w:noWrap/>
            <w:vAlign w:val="center"/>
          </w:tcPr>
          <w:p>
            <w:pPr>
              <w:jc w:val="center"/>
              <w:rPr>
                <w:color w:val="000000"/>
              </w:rPr>
            </w:pPr>
            <w:r>
              <w:rPr>
                <w:rFonts w:hint="eastAsia"/>
                <w:color w:val="000000"/>
              </w:rPr>
              <w:t>2</w:t>
            </w:r>
          </w:p>
        </w:tc>
        <w:tc>
          <w:tcPr>
            <w:tcW w:w="1949" w:type="dxa"/>
            <w:shd w:val="clear" w:color="auto" w:fill="auto"/>
            <w:noWrap/>
            <w:vAlign w:val="center"/>
          </w:tcPr>
          <w:p>
            <w:pPr>
              <w:jc w:val="center"/>
              <w:rPr>
                <w:color w:val="000000"/>
              </w:rPr>
            </w:pPr>
          </w:p>
        </w:tc>
        <w:tc>
          <w:tcPr>
            <w:tcW w:w="1949" w:type="dxa"/>
            <w:shd w:val="clear" w:color="auto" w:fill="auto"/>
            <w:noWrap/>
            <w:vAlign w:val="center"/>
          </w:tcPr>
          <w:p>
            <w:pPr>
              <w:jc w:val="center"/>
              <w:rPr>
                <w:color w:val="000000"/>
              </w:rPr>
            </w:pPr>
          </w:p>
        </w:tc>
        <w:tc>
          <w:tcPr>
            <w:tcW w:w="1709" w:type="dxa"/>
            <w:shd w:val="clear" w:color="auto" w:fill="auto"/>
            <w:noWrap/>
            <w:vAlign w:val="center"/>
          </w:tcPr>
          <w:p>
            <w:pPr>
              <w:jc w:val="center"/>
              <w:rPr>
                <w:color w:val="000000"/>
              </w:rPr>
            </w:pPr>
          </w:p>
        </w:tc>
        <w:tc>
          <w:tcPr>
            <w:tcW w:w="1949" w:type="dxa"/>
            <w:shd w:val="clear" w:color="auto" w:fill="auto"/>
            <w:noWrap/>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6" w:hRule="atLeast"/>
        </w:trPr>
        <w:tc>
          <w:tcPr>
            <w:tcW w:w="1050" w:type="dxa"/>
            <w:shd w:val="clear" w:color="auto" w:fill="auto"/>
            <w:noWrap/>
            <w:vAlign w:val="center"/>
          </w:tcPr>
          <w:p>
            <w:pPr>
              <w:jc w:val="center"/>
              <w:rPr>
                <w:color w:val="000000"/>
              </w:rPr>
            </w:pPr>
            <w:r>
              <w:rPr>
                <w:color w:val="000000"/>
              </w:rPr>
              <w:t>……</w:t>
            </w:r>
          </w:p>
        </w:tc>
        <w:tc>
          <w:tcPr>
            <w:tcW w:w="1949" w:type="dxa"/>
            <w:shd w:val="clear" w:color="auto" w:fill="auto"/>
            <w:noWrap/>
            <w:vAlign w:val="center"/>
          </w:tcPr>
          <w:p>
            <w:pPr>
              <w:jc w:val="center"/>
              <w:rPr>
                <w:color w:val="000000"/>
              </w:rPr>
            </w:pPr>
          </w:p>
        </w:tc>
        <w:tc>
          <w:tcPr>
            <w:tcW w:w="1949" w:type="dxa"/>
            <w:shd w:val="clear" w:color="auto" w:fill="auto"/>
            <w:noWrap/>
            <w:vAlign w:val="center"/>
          </w:tcPr>
          <w:p>
            <w:pPr>
              <w:jc w:val="center"/>
              <w:rPr>
                <w:color w:val="000000"/>
              </w:rPr>
            </w:pPr>
          </w:p>
        </w:tc>
        <w:tc>
          <w:tcPr>
            <w:tcW w:w="1709" w:type="dxa"/>
            <w:shd w:val="clear" w:color="auto" w:fill="auto"/>
            <w:noWrap/>
            <w:vAlign w:val="center"/>
          </w:tcPr>
          <w:p>
            <w:pPr>
              <w:jc w:val="center"/>
              <w:rPr>
                <w:color w:val="000000"/>
              </w:rPr>
            </w:pPr>
          </w:p>
        </w:tc>
        <w:tc>
          <w:tcPr>
            <w:tcW w:w="1949" w:type="dxa"/>
            <w:shd w:val="clear" w:color="auto" w:fill="auto"/>
            <w:noWrap/>
            <w:vAlign w:val="center"/>
          </w:tcPr>
          <w:p>
            <w:pPr>
              <w:jc w:val="center"/>
              <w:rPr>
                <w:color w:val="000000"/>
              </w:rPr>
            </w:pPr>
          </w:p>
        </w:tc>
      </w:tr>
    </w:tbl>
    <w:p>
      <w:pPr>
        <w:ind w:firstLine="525" w:firstLineChars="250"/>
        <w:jc w:val="left"/>
        <w:rPr>
          <w:rFonts w:ascii="宋体" w:hAnsi="宋体"/>
          <w:color w:val="000000"/>
          <w:szCs w:val="44"/>
        </w:rPr>
      </w:pPr>
    </w:p>
    <w:p>
      <w:pPr>
        <w:spacing w:line="440" w:lineRule="exact"/>
        <w:ind w:right="630"/>
        <w:jc w:val="right"/>
        <w:rPr>
          <w:color w:val="000000"/>
        </w:rPr>
      </w:pPr>
      <w:r>
        <w:rPr>
          <w:rFonts w:hint="eastAsia"/>
          <w:color w:val="000000"/>
        </w:rPr>
        <w:t>评标委员会成员签名：</w:t>
      </w:r>
    </w:p>
    <w:p>
      <w:pPr>
        <w:spacing w:line="440" w:lineRule="exact"/>
        <w:ind w:right="840"/>
        <w:jc w:val="right"/>
        <w:rPr>
          <w:color w:val="000000"/>
        </w:rPr>
      </w:pPr>
      <w:r>
        <w:rPr>
          <w:rFonts w:hint="eastAsia" w:ascii="宋体" w:hAnsi="宋体"/>
          <w:color w:val="000000"/>
          <w:szCs w:val="44"/>
        </w:rPr>
        <w:t>日期：  年 月  日</w:t>
      </w:r>
    </w:p>
    <w:p>
      <w:pPr>
        <w:widowControl/>
        <w:jc w:val="left"/>
        <w:rPr>
          <w:rFonts w:ascii="黑体" w:eastAsia="黑体"/>
          <w:color w:val="000000"/>
          <w:sz w:val="24"/>
        </w:rPr>
      </w:pPr>
      <w:r>
        <w:rPr>
          <w:rFonts w:ascii="黑体" w:eastAsia="黑体"/>
          <w:color w:val="000000"/>
          <w:sz w:val="24"/>
        </w:rPr>
        <w:br w:type="page"/>
      </w:r>
    </w:p>
    <w:p>
      <w:pPr>
        <w:spacing w:before="312" w:beforeLines="100" w:after="249" w:afterLines="80" w:line="380" w:lineRule="exact"/>
        <w:outlineLvl w:val="2"/>
        <w:rPr>
          <w:rFonts w:ascii="黑体" w:hAnsi="宋体" w:eastAsia="黑体"/>
          <w:color w:val="000000"/>
          <w:sz w:val="24"/>
        </w:rPr>
      </w:pPr>
      <w:bookmarkStart w:id="290" w:name="_Toc114222764"/>
      <w:r>
        <w:rPr>
          <w:rFonts w:hint="eastAsia" w:ascii="黑体" w:hAnsi="宋体" w:eastAsia="黑体"/>
          <w:color w:val="000000"/>
          <w:sz w:val="24"/>
        </w:rPr>
        <w:t>附表A-1</w:t>
      </w:r>
      <w:r>
        <w:rPr>
          <w:rFonts w:ascii="黑体" w:hAnsi="宋体" w:eastAsia="黑体"/>
          <w:color w:val="000000"/>
          <w:sz w:val="24"/>
        </w:rPr>
        <w:t>2</w:t>
      </w:r>
      <w:r>
        <w:rPr>
          <w:rFonts w:hint="eastAsia" w:ascii="黑体" w:hAnsi="宋体" w:eastAsia="黑体"/>
          <w:color w:val="000000"/>
          <w:sz w:val="24"/>
        </w:rPr>
        <w:t>：评标委员会复核意见表</w:t>
      </w:r>
      <w:bookmarkEnd w:id="290"/>
    </w:p>
    <w:p>
      <w:pPr>
        <w:adjustRightInd w:val="0"/>
        <w:snapToGrid w:val="0"/>
        <w:spacing w:line="440" w:lineRule="exact"/>
        <w:ind w:left="2940" w:firstLine="420"/>
        <w:rPr>
          <w:rFonts w:ascii="黑体" w:eastAsia="黑体"/>
          <w:color w:val="000000"/>
          <w:sz w:val="28"/>
          <w:szCs w:val="28"/>
        </w:rPr>
      </w:pPr>
      <w:r>
        <w:rPr>
          <w:rFonts w:hint="eastAsia" w:ascii="黑体" w:eastAsia="黑体"/>
          <w:color w:val="000000"/>
          <w:sz w:val="28"/>
          <w:szCs w:val="28"/>
        </w:rPr>
        <w:t>评标委员会复核意见</w:t>
      </w:r>
    </w:p>
    <w:p>
      <w:pPr>
        <w:adjustRightInd w:val="0"/>
        <w:snapToGrid w:val="0"/>
        <w:spacing w:line="440" w:lineRule="exact"/>
        <w:rPr>
          <w:color w:val="000000"/>
          <w:szCs w:val="44"/>
        </w:rPr>
      </w:pPr>
      <w:r>
        <w:rPr>
          <w:rFonts w:hint="eastAsia"/>
          <w:color w:val="000000"/>
          <w:szCs w:val="44"/>
        </w:rPr>
        <w:t>项目名称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项目编号</w:t>
      </w:r>
    </w:p>
    <w:p>
      <w:pPr>
        <w:rPr>
          <w:rFonts w:ascii="宋体" w:hAnsi="宋体"/>
          <w:color w:val="000000"/>
          <w:szCs w:val="44"/>
        </w:rPr>
      </w:pPr>
      <w:r>
        <w:rPr>
          <w:rFonts w:hint="eastAsia"/>
          <w:color w:val="000000"/>
          <w:szCs w:val="44"/>
        </w:rPr>
        <w:t>标段名称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标段编号</w:t>
      </w:r>
    </w:p>
    <w:p>
      <w:pPr>
        <w:ind w:firstLine="525" w:firstLineChars="250"/>
        <w:jc w:val="left"/>
        <w:rPr>
          <w:rFonts w:ascii="宋体" w:hAnsi="宋体"/>
          <w:color w:val="000000"/>
          <w:szCs w:val="44"/>
        </w:rPr>
      </w:pPr>
    </w:p>
    <w:tbl>
      <w:tblPr>
        <w:tblStyle w:val="36"/>
        <w:tblW w:w="8418" w:type="dxa"/>
        <w:tblInd w:w="137" w:type="dxa"/>
        <w:tblLayout w:type="fixed"/>
        <w:tblCellMar>
          <w:top w:w="15" w:type="dxa"/>
          <w:left w:w="108" w:type="dxa"/>
          <w:bottom w:w="15" w:type="dxa"/>
          <w:right w:w="108" w:type="dxa"/>
        </w:tblCellMar>
      </w:tblPr>
      <w:tblGrid>
        <w:gridCol w:w="906"/>
        <w:gridCol w:w="1295"/>
        <w:gridCol w:w="1166"/>
        <w:gridCol w:w="1036"/>
        <w:gridCol w:w="1036"/>
        <w:gridCol w:w="1036"/>
        <w:gridCol w:w="1036"/>
        <w:gridCol w:w="907"/>
      </w:tblGrid>
      <w:tr>
        <w:trPr>
          <w:trHeight w:val="356" w:hRule="atLeast"/>
        </w:trPr>
        <w:tc>
          <w:tcPr>
            <w:tcW w:w="906" w:type="dxa"/>
            <w:tcBorders>
              <w:top w:val="single" w:color="auto" w:sz="4" w:space="0"/>
              <w:left w:val="single" w:color="auto"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宋体" w:hAnsi="宋体"/>
                <w:color w:val="000000"/>
                <w:szCs w:val="44"/>
              </w:rPr>
              <w:t xml:space="preserve">                                                    </w:t>
            </w:r>
            <w:r>
              <w:rPr>
                <w:rFonts w:hint="eastAsia" w:ascii="楷体" w:hAnsi="楷体" w:eastAsia="楷体" w:cs="宋体"/>
                <w:sz w:val="24"/>
              </w:rPr>
              <w:t>序号</w:t>
            </w:r>
          </w:p>
        </w:tc>
        <w:tc>
          <w:tcPr>
            <w:tcW w:w="1295" w:type="dxa"/>
            <w:tcBorders>
              <w:top w:val="single" w:color="auto" w:sz="4" w:space="0"/>
              <w:left w:val="single" w:color="000000"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投标人名称</w:t>
            </w:r>
          </w:p>
        </w:tc>
        <w:tc>
          <w:tcPr>
            <w:tcW w:w="6217" w:type="dxa"/>
            <w:gridSpan w:val="6"/>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复核意见</w:t>
            </w:r>
          </w:p>
          <w:p>
            <w:pPr>
              <w:tabs>
                <w:tab w:val="left" w:pos="-315"/>
              </w:tabs>
              <w:snapToGrid w:val="0"/>
              <w:spacing w:line="160" w:lineRule="atLeast"/>
              <w:jc w:val="center"/>
              <w:rPr>
                <w:rFonts w:ascii="楷体" w:hAnsi="楷体" w:eastAsia="楷体" w:cs="宋体"/>
                <w:sz w:val="24"/>
              </w:rPr>
            </w:pPr>
          </w:p>
        </w:tc>
      </w:tr>
      <w:tr>
        <w:trPr>
          <w:trHeight w:val="571" w:hRule="atLeast"/>
        </w:trPr>
        <w:tc>
          <w:tcPr>
            <w:tcW w:w="906" w:type="dxa"/>
            <w:tcBorders>
              <w:top w:val="single" w:color="auto" w:sz="4" w:space="0"/>
              <w:left w:val="single" w:color="auto"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1</w:t>
            </w:r>
          </w:p>
        </w:tc>
        <w:tc>
          <w:tcPr>
            <w:tcW w:w="1295" w:type="dxa"/>
            <w:tcBorders>
              <w:top w:val="single" w:color="auto" w:sz="4" w:space="0"/>
              <w:left w:val="single" w:color="000000"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p>
        </w:tc>
        <w:tc>
          <w:tcPr>
            <w:tcW w:w="1166"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专家1</w:t>
            </w:r>
          </w:p>
        </w:tc>
        <w:tc>
          <w:tcPr>
            <w:tcW w:w="1036"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w:t>
            </w:r>
            <w:r>
              <w:rPr>
                <w:rFonts w:ascii="楷体" w:hAnsi="楷体" w:eastAsia="楷体" w:cs="宋体"/>
                <w:sz w:val="24"/>
              </w:rPr>
              <w:t>2</w:t>
            </w:r>
          </w:p>
        </w:tc>
        <w:tc>
          <w:tcPr>
            <w:tcW w:w="1036"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w:t>
            </w:r>
            <w:r>
              <w:rPr>
                <w:rFonts w:ascii="楷体" w:hAnsi="楷体" w:eastAsia="楷体" w:cs="宋体"/>
                <w:sz w:val="24"/>
              </w:rPr>
              <w:t>3</w:t>
            </w:r>
          </w:p>
        </w:tc>
        <w:tc>
          <w:tcPr>
            <w:tcW w:w="1036"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w:t>
            </w:r>
            <w:r>
              <w:rPr>
                <w:rFonts w:ascii="楷体" w:hAnsi="楷体" w:eastAsia="楷体" w:cs="宋体"/>
                <w:sz w:val="24"/>
              </w:rPr>
              <w:t>4</w:t>
            </w:r>
          </w:p>
        </w:tc>
        <w:tc>
          <w:tcPr>
            <w:tcW w:w="1036"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w:t>
            </w:r>
            <w:r>
              <w:rPr>
                <w:rFonts w:ascii="楷体" w:hAnsi="楷体" w:eastAsia="楷体" w:cs="宋体"/>
                <w:sz w:val="24"/>
              </w:rPr>
              <w:t>5</w:t>
            </w:r>
          </w:p>
        </w:tc>
        <w:tc>
          <w:tcPr>
            <w:tcW w:w="907"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w:t>
            </w:r>
          </w:p>
        </w:tc>
      </w:tr>
      <w:tr>
        <w:trPr>
          <w:trHeight w:val="719" w:hRule="atLeast"/>
        </w:trPr>
        <w:tc>
          <w:tcPr>
            <w:tcW w:w="906" w:type="dxa"/>
            <w:tcBorders>
              <w:top w:val="single" w:color="auto" w:sz="4" w:space="0"/>
              <w:left w:val="single" w:color="auto"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p>
        </w:tc>
        <w:tc>
          <w:tcPr>
            <w:tcW w:w="1295" w:type="dxa"/>
            <w:tcBorders>
              <w:top w:val="single" w:color="auto" w:sz="4" w:space="0"/>
              <w:left w:val="single" w:color="000000"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p>
        </w:tc>
        <w:tc>
          <w:tcPr>
            <w:tcW w:w="1166"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（通过/不通过）</w:t>
            </w:r>
          </w:p>
        </w:tc>
        <w:tc>
          <w:tcPr>
            <w:tcW w:w="1036"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（通过/不通过）</w:t>
            </w:r>
          </w:p>
        </w:tc>
        <w:tc>
          <w:tcPr>
            <w:tcW w:w="1036"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（通过/不通过）</w:t>
            </w:r>
          </w:p>
        </w:tc>
        <w:tc>
          <w:tcPr>
            <w:tcW w:w="1036"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（通过/不通过）</w:t>
            </w:r>
          </w:p>
        </w:tc>
        <w:tc>
          <w:tcPr>
            <w:tcW w:w="1036"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（通过/不通过）</w:t>
            </w:r>
          </w:p>
        </w:tc>
        <w:tc>
          <w:tcPr>
            <w:tcW w:w="907"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p>
        </w:tc>
      </w:tr>
      <w:tr>
        <w:trPr>
          <w:trHeight w:val="590" w:hRule="atLeast"/>
        </w:trPr>
        <w:tc>
          <w:tcPr>
            <w:tcW w:w="906" w:type="dxa"/>
            <w:tcBorders>
              <w:top w:val="single" w:color="auto" w:sz="4" w:space="0"/>
              <w:left w:val="single" w:color="auto"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2</w:t>
            </w:r>
          </w:p>
        </w:tc>
        <w:tc>
          <w:tcPr>
            <w:tcW w:w="1295" w:type="dxa"/>
            <w:tcBorders>
              <w:top w:val="single" w:color="auto" w:sz="4" w:space="0"/>
              <w:left w:val="single" w:color="000000"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p>
        </w:tc>
        <w:tc>
          <w:tcPr>
            <w:tcW w:w="1166"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专家1</w:t>
            </w:r>
          </w:p>
        </w:tc>
        <w:tc>
          <w:tcPr>
            <w:tcW w:w="1036"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w:t>
            </w:r>
            <w:r>
              <w:rPr>
                <w:rFonts w:ascii="楷体" w:hAnsi="楷体" w:eastAsia="楷体" w:cs="宋体"/>
                <w:sz w:val="24"/>
              </w:rPr>
              <w:t>2</w:t>
            </w:r>
          </w:p>
        </w:tc>
        <w:tc>
          <w:tcPr>
            <w:tcW w:w="1036"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w:t>
            </w:r>
            <w:r>
              <w:rPr>
                <w:rFonts w:ascii="楷体" w:hAnsi="楷体" w:eastAsia="楷体" w:cs="宋体"/>
                <w:sz w:val="24"/>
              </w:rPr>
              <w:t>3</w:t>
            </w:r>
          </w:p>
        </w:tc>
        <w:tc>
          <w:tcPr>
            <w:tcW w:w="1036"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w:t>
            </w:r>
            <w:r>
              <w:rPr>
                <w:rFonts w:ascii="楷体" w:hAnsi="楷体" w:eastAsia="楷体" w:cs="宋体"/>
                <w:sz w:val="24"/>
              </w:rPr>
              <w:t>4</w:t>
            </w:r>
          </w:p>
        </w:tc>
        <w:tc>
          <w:tcPr>
            <w:tcW w:w="1036"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w:t>
            </w:r>
            <w:r>
              <w:rPr>
                <w:rFonts w:ascii="楷体" w:hAnsi="楷体" w:eastAsia="楷体" w:cs="宋体"/>
                <w:sz w:val="24"/>
              </w:rPr>
              <w:t>5</w:t>
            </w:r>
          </w:p>
        </w:tc>
        <w:tc>
          <w:tcPr>
            <w:tcW w:w="907"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w:t>
            </w:r>
          </w:p>
        </w:tc>
      </w:tr>
      <w:tr>
        <w:trPr>
          <w:trHeight w:val="590" w:hRule="atLeast"/>
        </w:trPr>
        <w:tc>
          <w:tcPr>
            <w:tcW w:w="906" w:type="dxa"/>
            <w:tcBorders>
              <w:top w:val="single" w:color="auto" w:sz="4" w:space="0"/>
              <w:left w:val="single" w:color="auto"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p>
        </w:tc>
        <w:tc>
          <w:tcPr>
            <w:tcW w:w="1295" w:type="dxa"/>
            <w:tcBorders>
              <w:top w:val="single" w:color="auto" w:sz="4" w:space="0"/>
              <w:left w:val="single" w:color="000000"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p>
        </w:tc>
        <w:tc>
          <w:tcPr>
            <w:tcW w:w="1166"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（通过/不通过）</w:t>
            </w:r>
          </w:p>
        </w:tc>
        <w:tc>
          <w:tcPr>
            <w:tcW w:w="1036"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（通过/不通过）</w:t>
            </w:r>
          </w:p>
        </w:tc>
        <w:tc>
          <w:tcPr>
            <w:tcW w:w="1036"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（通过/不通过）</w:t>
            </w:r>
          </w:p>
        </w:tc>
        <w:tc>
          <w:tcPr>
            <w:tcW w:w="1036"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（通过/不通过）</w:t>
            </w:r>
          </w:p>
        </w:tc>
        <w:tc>
          <w:tcPr>
            <w:tcW w:w="1036"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（通过/不通过）</w:t>
            </w:r>
          </w:p>
        </w:tc>
        <w:tc>
          <w:tcPr>
            <w:tcW w:w="907"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p>
        </w:tc>
      </w:tr>
      <w:tr>
        <w:trPr>
          <w:trHeight w:val="1132" w:hRule="atLeast"/>
        </w:trPr>
        <w:tc>
          <w:tcPr>
            <w:tcW w:w="906" w:type="dxa"/>
            <w:tcBorders>
              <w:top w:val="single" w:color="auto" w:sz="4" w:space="0"/>
              <w:left w:val="single" w:color="auto"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3</w:t>
            </w:r>
          </w:p>
        </w:tc>
        <w:tc>
          <w:tcPr>
            <w:tcW w:w="1295" w:type="dxa"/>
            <w:tcBorders>
              <w:top w:val="single" w:color="auto" w:sz="4" w:space="0"/>
              <w:left w:val="single" w:color="000000"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p>
        </w:tc>
        <w:tc>
          <w:tcPr>
            <w:tcW w:w="1166"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专家1</w:t>
            </w:r>
          </w:p>
        </w:tc>
        <w:tc>
          <w:tcPr>
            <w:tcW w:w="1036"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w:t>
            </w:r>
            <w:r>
              <w:rPr>
                <w:rFonts w:ascii="楷体" w:hAnsi="楷体" w:eastAsia="楷体" w:cs="宋体"/>
                <w:sz w:val="24"/>
              </w:rPr>
              <w:t>2</w:t>
            </w:r>
          </w:p>
        </w:tc>
        <w:tc>
          <w:tcPr>
            <w:tcW w:w="1036"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w:t>
            </w:r>
            <w:r>
              <w:rPr>
                <w:rFonts w:ascii="楷体" w:hAnsi="楷体" w:eastAsia="楷体" w:cs="宋体"/>
                <w:sz w:val="24"/>
              </w:rPr>
              <w:t>3</w:t>
            </w:r>
          </w:p>
        </w:tc>
        <w:tc>
          <w:tcPr>
            <w:tcW w:w="1036"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w:t>
            </w:r>
            <w:r>
              <w:rPr>
                <w:rFonts w:ascii="楷体" w:hAnsi="楷体" w:eastAsia="楷体" w:cs="宋体"/>
                <w:sz w:val="24"/>
              </w:rPr>
              <w:t>4</w:t>
            </w:r>
          </w:p>
        </w:tc>
        <w:tc>
          <w:tcPr>
            <w:tcW w:w="1036"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w:t>
            </w:r>
            <w:r>
              <w:rPr>
                <w:rFonts w:ascii="楷体" w:hAnsi="楷体" w:eastAsia="楷体" w:cs="宋体"/>
                <w:sz w:val="24"/>
              </w:rPr>
              <w:t>5</w:t>
            </w:r>
          </w:p>
        </w:tc>
        <w:tc>
          <w:tcPr>
            <w:tcW w:w="907"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w:t>
            </w:r>
          </w:p>
        </w:tc>
      </w:tr>
      <w:tr>
        <w:trPr>
          <w:trHeight w:val="1132" w:hRule="atLeast"/>
        </w:trPr>
        <w:tc>
          <w:tcPr>
            <w:tcW w:w="906" w:type="dxa"/>
            <w:tcBorders>
              <w:top w:val="single" w:color="auto" w:sz="4" w:space="0"/>
              <w:left w:val="single" w:color="auto"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p>
        </w:tc>
        <w:tc>
          <w:tcPr>
            <w:tcW w:w="1295" w:type="dxa"/>
            <w:tcBorders>
              <w:top w:val="single" w:color="auto" w:sz="4" w:space="0"/>
              <w:left w:val="single" w:color="000000"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p>
        </w:tc>
        <w:tc>
          <w:tcPr>
            <w:tcW w:w="1166"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（通过/不通过）</w:t>
            </w:r>
          </w:p>
        </w:tc>
        <w:tc>
          <w:tcPr>
            <w:tcW w:w="1036"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（通过/不通过）</w:t>
            </w:r>
          </w:p>
        </w:tc>
        <w:tc>
          <w:tcPr>
            <w:tcW w:w="1036"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（通过/不通过）</w:t>
            </w:r>
          </w:p>
        </w:tc>
        <w:tc>
          <w:tcPr>
            <w:tcW w:w="1036"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（通过/不通过）</w:t>
            </w:r>
          </w:p>
        </w:tc>
        <w:tc>
          <w:tcPr>
            <w:tcW w:w="1036"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（通过/不通过）</w:t>
            </w:r>
          </w:p>
        </w:tc>
        <w:tc>
          <w:tcPr>
            <w:tcW w:w="907"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p>
        </w:tc>
      </w:tr>
    </w:tbl>
    <w:p>
      <w:pPr>
        <w:spacing w:line="440" w:lineRule="exact"/>
        <w:ind w:right="630"/>
        <w:jc w:val="right"/>
        <w:rPr>
          <w:color w:val="000000"/>
        </w:rPr>
      </w:pPr>
      <w:r>
        <w:rPr>
          <w:rFonts w:hint="eastAsia"/>
          <w:color w:val="000000"/>
        </w:rPr>
        <w:t>评标委员会成员签名：</w:t>
      </w:r>
    </w:p>
    <w:p>
      <w:pPr>
        <w:spacing w:line="440" w:lineRule="exact"/>
        <w:ind w:right="840"/>
        <w:jc w:val="right"/>
        <w:rPr>
          <w:color w:val="000000"/>
        </w:rPr>
      </w:pPr>
      <w:r>
        <w:rPr>
          <w:rFonts w:hint="eastAsia" w:ascii="宋体" w:hAnsi="宋体"/>
          <w:color w:val="000000"/>
          <w:szCs w:val="44"/>
        </w:rPr>
        <w:t>日期：  年 月  日</w:t>
      </w:r>
    </w:p>
    <w:p>
      <w:pPr>
        <w:widowControl/>
        <w:jc w:val="left"/>
        <w:rPr>
          <w:rFonts w:ascii="黑体" w:eastAsia="黑体"/>
          <w:color w:val="000000"/>
          <w:sz w:val="24"/>
        </w:rPr>
      </w:pPr>
      <w:r>
        <w:rPr>
          <w:rFonts w:ascii="黑体" w:eastAsia="黑体"/>
          <w:color w:val="000000"/>
          <w:sz w:val="24"/>
        </w:rPr>
        <w:br w:type="page"/>
      </w:r>
    </w:p>
    <w:p>
      <w:pPr>
        <w:spacing w:before="312" w:beforeLines="100" w:after="249" w:afterLines="80" w:line="380" w:lineRule="exact"/>
        <w:outlineLvl w:val="2"/>
        <w:rPr>
          <w:rFonts w:ascii="黑体" w:hAnsi="宋体" w:eastAsia="黑体"/>
          <w:color w:val="000000"/>
          <w:sz w:val="24"/>
        </w:rPr>
      </w:pPr>
      <w:bookmarkStart w:id="291" w:name="_Toc114222765"/>
      <w:r>
        <w:rPr>
          <w:rFonts w:hint="eastAsia" w:ascii="黑体" w:hAnsi="宋体" w:eastAsia="黑体"/>
          <w:color w:val="000000"/>
          <w:sz w:val="24"/>
        </w:rPr>
        <w:t>附表A-1</w:t>
      </w:r>
      <w:r>
        <w:rPr>
          <w:rFonts w:ascii="黑体" w:hAnsi="宋体" w:eastAsia="黑体"/>
          <w:color w:val="000000"/>
          <w:sz w:val="24"/>
        </w:rPr>
        <w:t>3</w:t>
      </w:r>
      <w:r>
        <w:rPr>
          <w:rFonts w:hint="eastAsia" w:ascii="黑体" w:hAnsi="宋体" w:eastAsia="黑体"/>
          <w:color w:val="000000"/>
          <w:sz w:val="24"/>
        </w:rPr>
        <w:t>：评标委员会复核否决投标情况说明</w:t>
      </w:r>
      <w:bookmarkEnd w:id="291"/>
    </w:p>
    <w:p>
      <w:pPr>
        <w:adjustRightInd w:val="0"/>
        <w:snapToGrid w:val="0"/>
        <w:spacing w:line="440" w:lineRule="exact"/>
        <w:jc w:val="center"/>
        <w:rPr>
          <w:rFonts w:ascii="黑体" w:eastAsia="黑体"/>
          <w:color w:val="000000"/>
          <w:sz w:val="28"/>
          <w:szCs w:val="28"/>
        </w:rPr>
      </w:pPr>
      <w:r>
        <w:rPr>
          <w:rFonts w:hint="eastAsia" w:ascii="黑体" w:eastAsia="黑体"/>
          <w:color w:val="000000"/>
          <w:sz w:val="28"/>
          <w:szCs w:val="28"/>
        </w:rPr>
        <w:t>评标委员会复核否决投标情况说明</w:t>
      </w:r>
    </w:p>
    <w:p>
      <w:pPr>
        <w:adjustRightInd w:val="0"/>
        <w:snapToGrid w:val="0"/>
        <w:spacing w:line="440" w:lineRule="exact"/>
        <w:rPr>
          <w:color w:val="000000"/>
          <w:szCs w:val="44"/>
        </w:rPr>
      </w:pPr>
      <w:r>
        <w:rPr>
          <w:rFonts w:hint="eastAsia"/>
          <w:color w:val="000000"/>
          <w:szCs w:val="44"/>
        </w:rPr>
        <w:t>项目名称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项目编号</w:t>
      </w:r>
    </w:p>
    <w:p>
      <w:pPr>
        <w:rPr>
          <w:rFonts w:ascii="宋体" w:hAnsi="宋体"/>
          <w:color w:val="000000"/>
          <w:szCs w:val="44"/>
        </w:rPr>
      </w:pPr>
      <w:r>
        <w:rPr>
          <w:rFonts w:hint="eastAsia"/>
          <w:color w:val="000000"/>
          <w:szCs w:val="44"/>
        </w:rPr>
        <w:t>标段名称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标段编号</w:t>
      </w:r>
    </w:p>
    <w:p>
      <w:pPr>
        <w:ind w:firstLine="525" w:firstLineChars="250"/>
        <w:jc w:val="left"/>
        <w:rPr>
          <w:rFonts w:ascii="宋体" w:hAnsi="宋体"/>
          <w:color w:val="000000"/>
          <w:szCs w:val="44"/>
        </w:rPr>
      </w:pPr>
    </w:p>
    <w:tbl>
      <w:tblPr>
        <w:tblStyle w:val="36"/>
        <w:tblW w:w="8586" w:type="dxa"/>
        <w:tblInd w:w="137" w:type="dxa"/>
        <w:tblLayout w:type="fixed"/>
        <w:tblCellMar>
          <w:top w:w="15" w:type="dxa"/>
          <w:left w:w="108" w:type="dxa"/>
          <w:bottom w:w="15" w:type="dxa"/>
          <w:right w:w="108" w:type="dxa"/>
        </w:tblCellMar>
      </w:tblPr>
      <w:tblGrid>
        <w:gridCol w:w="543"/>
        <w:gridCol w:w="592"/>
        <w:gridCol w:w="1010"/>
        <w:gridCol w:w="1262"/>
        <w:gridCol w:w="1515"/>
        <w:gridCol w:w="1136"/>
        <w:gridCol w:w="883"/>
        <w:gridCol w:w="1010"/>
        <w:gridCol w:w="635"/>
      </w:tblGrid>
      <w:tr>
        <w:trPr>
          <w:trHeight w:val="316" w:hRule="atLeast"/>
        </w:trPr>
        <w:tc>
          <w:tcPr>
            <w:tcW w:w="543" w:type="dxa"/>
            <w:tcBorders>
              <w:top w:val="single" w:color="auto" w:sz="4" w:space="0"/>
              <w:left w:val="single" w:color="auto"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宋体" w:hAnsi="宋体"/>
                <w:color w:val="000000"/>
                <w:szCs w:val="44"/>
              </w:rPr>
              <w:t xml:space="preserve">                                                     </w:t>
            </w:r>
            <w:r>
              <w:rPr>
                <w:rFonts w:hint="eastAsia" w:ascii="楷体" w:hAnsi="楷体" w:eastAsia="楷体" w:cs="宋体"/>
                <w:sz w:val="24"/>
              </w:rPr>
              <w:t>序号</w:t>
            </w:r>
          </w:p>
        </w:tc>
        <w:tc>
          <w:tcPr>
            <w:tcW w:w="592" w:type="dxa"/>
            <w:tcBorders>
              <w:top w:val="single" w:color="auto" w:sz="4" w:space="0"/>
              <w:left w:val="single" w:color="000000"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投标人名称</w:t>
            </w:r>
          </w:p>
        </w:tc>
        <w:tc>
          <w:tcPr>
            <w:tcW w:w="1010" w:type="dxa"/>
            <w:tcBorders>
              <w:top w:val="single" w:color="auto" w:sz="4" w:space="0"/>
              <w:left w:val="single" w:color="000000"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否决投标原因</w:t>
            </w:r>
          </w:p>
        </w:tc>
        <w:tc>
          <w:tcPr>
            <w:tcW w:w="6441" w:type="dxa"/>
            <w:gridSpan w:val="6"/>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专家签名</w:t>
            </w:r>
          </w:p>
          <w:p>
            <w:pPr>
              <w:tabs>
                <w:tab w:val="left" w:pos="-315"/>
              </w:tabs>
              <w:snapToGrid w:val="0"/>
              <w:spacing w:line="160" w:lineRule="atLeast"/>
              <w:jc w:val="center"/>
              <w:rPr>
                <w:rFonts w:ascii="楷体" w:hAnsi="楷体" w:eastAsia="楷体" w:cs="宋体"/>
                <w:sz w:val="24"/>
              </w:rPr>
            </w:pPr>
          </w:p>
        </w:tc>
      </w:tr>
      <w:tr>
        <w:trPr>
          <w:trHeight w:val="507" w:hRule="atLeast"/>
        </w:trPr>
        <w:tc>
          <w:tcPr>
            <w:tcW w:w="543" w:type="dxa"/>
            <w:tcBorders>
              <w:top w:val="single" w:color="auto" w:sz="4" w:space="0"/>
              <w:left w:val="single" w:color="auto"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1</w:t>
            </w:r>
          </w:p>
        </w:tc>
        <w:tc>
          <w:tcPr>
            <w:tcW w:w="592" w:type="dxa"/>
            <w:tcBorders>
              <w:top w:val="single" w:color="auto" w:sz="4" w:space="0"/>
              <w:left w:val="single" w:color="000000"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p>
        </w:tc>
        <w:tc>
          <w:tcPr>
            <w:tcW w:w="1010" w:type="dxa"/>
            <w:tcBorders>
              <w:top w:val="single" w:color="auto" w:sz="4" w:space="0"/>
              <w:left w:val="single" w:color="000000"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p>
        </w:tc>
        <w:tc>
          <w:tcPr>
            <w:tcW w:w="1262"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专家1</w:t>
            </w:r>
          </w:p>
        </w:tc>
        <w:tc>
          <w:tcPr>
            <w:tcW w:w="1515"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w:t>
            </w:r>
            <w:r>
              <w:rPr>
                <w:rFonts w:ascii="楷体" w:hAnsi="楷体" w:eastAsia="楷体" w:cs="宋体"/>
                <w:sz w:val="24"/>
              </w:rPr>
              <w:t>2</w:t>
            </w:r>
          </w:p>
        </w:tc>
        <w:tc>
          <w:tcPr>
            <w:tcW w:w="1136"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w:t>
            </w:r>
            <w:r>
              <w:rPr>
                <w:rFonts w:ascii="楷体" w:hAnsi="楷体" w:eastAsia="楷体" w:cs="宋体"/>
                <w:sz w:val="24"/>
              </w:rPr>
              <w:t>3</w:t>
            </w:r>
          </w:p>
        </w:tc>
        <w:tc>
          <w:tcPr>
            <w:tcW w:w="883"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w:t>
            </w:r>
            <w:r>
              <w:rPr>
                <w:rFonts w:ascii="楷体" w:hAnsi="楷体" w:eastAsia="楷体" w:cs="宋体"/>
                <w:sz w:val="24"/>
              </w:rPr>
              <w:t>4</w:t>
            </w:r>
          </w:p>
        </w:tc>
        <w:tc>
          <w:tcPr>
            <w:tcW w:w="1010"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w:t>
            </w:r>
            <w:r>
              <w:rPr>
                <w:rFonts w:ascii="楷体" w:hAnsi="楷体" w:eastAsia="楷体" w:cs="宋体"/>
                <w:sz w:val="24"/>
              </w:rPr>
              <w:t>5</w:t>
            </w:r>
          </w:p>
        </w:tc>
        <w:tc>
          <w:tcPr>
            <w:tcW w:w="633"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w:t>
            </w:r>
          </w:p>
        </w:tc>
      </w:tr>
      <w:tr>
        <w:trPr>
          <w:trHeight w:val="638" w:hRule="atLeast"/>
        </w:trPr>
        <w:tc>
          <w:tcPr>
            <w:tcW w:w="543" w:type="dxa"/>
            <w:tcBorders>
              <w:top w:val="single" w:color="auto" w:sz="4" w:space="0"/>
              <w:left w:val="single" w:color="auto"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p>
        </w:tc>
        <w:tc>
          <w:tcPr>
            <w:tcW w:w="592" w:type="dxa"/>
            <w:tcBorders>
              <w:top w:val="single" w:color="auto" w:sz="4" w:space="0"/>
              <w:left w:val="single" w:color="000000"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p>
        </w:tc>
        <w:tc>
          <w:tcPr>
            <w:tcW w:w="1010" w:type="dxa"/>
            <w:tcBorders>
              <w:top w:val="single" w:color="auto" w:sz="4" w:space="0"/>
              <w:left w:val="single" w:color="000000"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p>
        </w:tc>
        <w:tc>
          <w:tcPr>
            <w:tcW w:w="1262"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p>
        </w:tc>
        <w:tc>
          <w:tcPr>
            <w:tcW w:w="1515"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p>
        </w:tc>
        <w:tc>
          <w:tcPr>
            <w:tcW w:w="1136"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p>
        </w:tc>
        <w:tc>
          <w:tcPr>
            <w:tcW w:w="883"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p>
        </w:tc>
        <w:tc>
          <w:tcPr>
            <w:tcW w:w="1010"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p>
        </w:tc>
        <w:tc>
          <w:tcPr>
            <w:tcW w:w="633"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p>
        </w:tc>
      </w:tr>
      <w:tr>
        <w:trPr>
          <w:trHeight w:val="523" w:hRule="atLeast"/>
        </w:trPr>
        <w:tc>
          <w:tcPr>
            <w:tcW w:w="543" w:type="dxa"/>
            <w:tcBorders>
              <w:top w:val="single" w:color="auto" w:sz="4" w:space="0"/>
              <w:left w:val="single" w:color="auto"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2</w:t>
            </w:r>
          </w:p>
        </w:tc>
        <w:tc>
          <w:tcPr>
            <w:tcW w:w="592" w:type="dxa"/>
            <w:tcBorders>
              <w:top w:val="single" w:color="auto" w:sz="4" w:space="0"/>
              <w:left w:val="single" w:color="000000"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p>
        </w:tc>
        <w:tc>
          <w:tcPr>
            <w:tcW w:w="1010" w:type="dxa"/>
            <w:tcBorders>
              <w:top w:val="single" w:color="auto" w:sz="4" w:space="0"/>
              <w:left w:val="single" w:color="000000"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p>
        </w:tc>
        <w:tc>
          <w:tcPr>
            <w:tcW w:w="1262"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专家1</w:t>
            </w:r>
          </w:p>
        </w:tc>
        <w:tc>
          <w:tcPr>
            <w:tcW w:w="1515"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w:t>
            </w:r>
            <w:r>
              <w:rPr>
                <w:rFonts w:ascii="楷体" w:hAnsi="楷体" w:eastAsia="楷体" w:cs="宋体"/>
                <w:sz w:val="24"/>
              </w:rPr>
              <w:t>2</w:t>
            </w:r>
          </w:p>
        </w:tc>
        <w:tc>
          <w:tcPr>
            <w:tcW w:w="1136"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w:t>
            </w:r>
            <w:r>
              <w:rPr>
                <w:rFonts w:ascii="楷体" w:hAnsi="楷体" w:eastAsia="楷体" w:cs="宋体"/>
                <w:sz w:val="24"/>
              </w:rPr>
              <w:t>3</w:t>
            </w:r>
          </w:p>
        </w:tc>
        <w:tc>
          <w:tcPr>
            <w:tcW w:w="883"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w:t>
            </w:r>
            <w:r>
              <w:rPr>
                <w:rFonts w:ascii="楷体" w:hAnsi="楷体" w:eastAsia="楷体" w:cs="宋体"/>
                <w:sz w:val="24"/>
              </w:rPr>
              <w:t>4</w:t>
            </w:r>
          </w:p>
        </w:tc>
        <w:tc>
          <w:tcPr>
            <w:tcW w:w="1010"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w:t>
            </w:r>
            <w:r>
              <w:rPr>
                <w:rFonts w:ascii="楷体" w:hAnsi="楷体" w:eastAsia="楷体" w:cs="宋体"/>
                <w:sz w:val="24"/>
              </w:rPr>
              <w:t>5</w:t>
            </w:r>
          </w:p>
        </w:tc>
        <w:tc>
          <w:tcPr>
            <w:tcW w:w="633"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w:t>
            </w:r>
          </w:p>
        </w:tc>
      </w:tr>
      <w:tr>
        <w:trPr>
          <w:trHeight w:val="523" w:hRule="atLeast"/>
        </w:trPr>
        <w:tc>
          <w:tcPr>
            <w:tcW w:w="543" w:type="dxa"/>
            <w:tcBorders>
              <w:top w:val="single" w:color="auto" w:sz="4" w:space="0"/>
              <w:left w:val="single" w:color="auto"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p>
        </w:tc>
        <w:tc>
          <w:tcPr>
            <w:tcW w:w="592" w:type="dxa"/>
            <w:tcBorders>
              <w:top w:val="single" w:color="auto" w:sz="4" w:space="0"/>
              <w:left w:val="single" w:color="000000"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p>
        </w:tc>
        <w:tc>
          <w:tcPr>
            <w:tcW w:w="1010" w:type="dxa"/>
            <w:tcBorders>
              <w:top w:val="single" w:color="auto" w:sz="4" w:space="0"/>
              <w:left w:val="single" w:color="000000"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p>
        </w:tc>
        <w:tc>
          <w:tcPr>
            <w:tcW w:w="1262"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p>
        </w:tc>
        <w:tc>
          <w:tcPr>
            <w:tcW w:w="1515"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p>
        </w:tc>
        <w:tc>
          <w:tcPr>
            <w:tcW w:w="1136"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p>
        </w:tc>
        <w:tc>
          <w:tcPr>
            <w:tcW w:w="883"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p>
        </w:tc>
        <w:tc>
          <w:tcPr>
            <w:tcW w:w="1010"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p>
        </w:tc>
        <w:tc>
          <w:tcPr>
            <w:tcW w:w="633"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p>
        </w:tc>
      </w:tr>
      <w:tr>
        <w:trPr>
          <w:trHeight w:val="1005" w:hRule="atLeast"/>
        </w:trPr>
        <w:tc>
          <w:tcPr>
            <w:tcW w:w="543" w:type="dxa"/>
            <w:tcBorders>
              <w:top w:val="single" w:color="auto" w:sz="4" w:space="0"/>
              <w:left w:val="single" w:color="auto"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3</w:t>
            </w:r>
          </w:p>
        </w:tc>
        <w:tc>
          <w:tcPr>
            <w:tcW w:w="592" w:type="dxa"/>
            <w:tcBorders>
              <w:top w:val="single" w:color="auto" w:sz="4" w:space="0"/>
              <w:left w:val="single" w:color="000000"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p>
        </w:tc>
        <w:tc>
          <w:tcPr>
            <w:tcW w:w="1010" w:type="dxa"/>
            <w:tcBorders>
              <w:top w:val="single" w:color="auto" w:sz="4" w:space="0"/>
              <w:left w:val="single" w:color="000000"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p>
        </w:tc>
        <w:tc>
          <w:tcPr>
            <w:tcW w:w="1262"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专家1</w:t>
            </w:r>
          </w:p>
        </w:tc>
        <w:tc>
          <w:tcPr>
            <w:tcW w:w="1515"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w:t>
            </w:r>
            <w:r>
              <w:rPr>
                <w:rFonts w:ascii="楷体" w:hAnsi="楷体" w:eastAsia="楷体" w:cs="宋体"/>
                <w:sz w:val="24"/>
              </w:rPr>
              <w:t>2</w:t>
            </w:r>
          </w:p>
        </w:tc>
        <w:tc>
          <w:tcPr>
            <w:tcW w:w="1136"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w:t>
            </w:r>
            <w:r>
              <w:rPr>
                <w:rFonts w:ascii="楷体" w:hAnsi="楷体" w:eastAsia="楷体" w:cs="宋体"/>
                <w:sz w:val="24"/>
              </w:rPr>
              <w:t>3</w:t>
            </w:r>
          </w:p>
        </w:tc>
        <w:tc>
          <w:tcPr>
            <w:tcW w:w="883"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w:t>
            </w:r>
            <w:r>
              <w:rPr>
                <w:rFonts w:ascii="楷体" w:hAnsi="楷体" w:eastAsia="楷体" w:cs="宋体"/>
                <w:sz w:val="24"/>
              </w:rPr>
              <w:t>4</w:t>
            </w:r>
          </w:p>
        </w:tc>
        <w:tc>
          <w:tcPr>
            <w:tcW w:w="1010"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w:t>
            </w:r>
            <w:r>
              <w:rPr>
                <w:rFonts w:ascii="楷体" w:hAnsi="楷体" w:eastAsia="楷体" w:cs="宋体"/>
                <w:sz w:val="24"/>
              </w:rPr>
              <w:t>5</w:t>
            </w:r>
          </w:p>
        </w:tc>
        <w:tc>
          <w:tcPr>
            <w:tcW w:w="633"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w:t>
            </w:r>
          </w:p>
        </w:tc>
      </w:tr>
      <w:tr>
        <w:trPr>
          <w:trHeight w:val="1005" w:hRule="atLeast"/>
        </w:trPr>
        <w:tc>
          <w:tcPr>
            <w:tcW w:w="543" w:type="dxa"/>
            <w:tcBorders>
              <w:top w:val="single" w:color="auto" w:sz="4" w:space="0"/>
              <w:left w:val="single" w:color="auto"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p>
        </w:tc>
        <w:tc>
          <w:tcPr>
            <w:tcW w:w="592" w:type="dxa"/>
            <w:tcBorders>
              <w:top w:val="single" w:color="auto" w:sz="4" w:space="0"/>
              <w:left w:val="single" w:color="000000"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p>
        </w:tc>
        <w:tc>
          <w:tcPr>
            <w:tcW w:w="1010" w:type="dxa"/>
            <w:tcBorders>
              <w:top w:val="single" w:color="auto" w:sz="4" w:space="0"/>
              <w:left w:val="single" w:color="000000"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p>
        </w:tc>
        <w:tc>
          <w:tcPr>
            <w:tcW w:w="1262"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p>
        </w:tc>
        <w:tc>
          <w:tcPr>
            <w:tcW w:w="1515"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p>
        </w:tc>
        <w:tc>
          <w:tcPr>
            <w:tcW w:w="1136"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p>
        </w:tc>
        <w:tc>
          <w:tcPr>
            <w:tcW w:w="883"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p>
        </w:tc>
        <w:tc>
          <w:tcPr>
            <w:tcW w:w="1010"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p>
        </w:tc>
        <w:tc>
          <w:tcPr>
            <w:tcW w:w="633"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p>
        </w:tc>
      </w:tr>
    </w:tbl>
    <w:p>
      <w:pPr>
        <w:ind w:firstLine="525" w:firstLineChars="250"/>
        <w:jc w:val="left"/>
        <w:rPr>
          <w:rFonts w:ascii="宋体" w:hAnsi="宋体"/>
          <w:color w:val="000000"/>
          <w:szCs w:val="44"/>
        </w:rPr>
      </w:pPr>
    </w:p>
    <w:p>
      <w:pPr>
        <w:spacing w:line="440" w:lineRule="exact"/>
        <w:ind w:right="630"/>
        <w:jc w:val="right"/>
        <w:rPr>
          <w:color w:val="000000"/>
        </w:rPr>
      </w:pPr>
      <w:bookmarkStart w:id="292" w:name="_Toc114222766"/>
      <w:r>
        <w:rPr>
          <w:rFonts w:hint="eastAsia"/>
          <w:color w:val="000000"/>
        </w:rPr>
        <w:t>评标委员会成员签名：</w:t>
      </w:r>
    </w:p>
    <w:p>
      <w:pPr>
        <w:spacing w:line="440" w:lineRule="exact"/>
        <w:ind w:right="840"/>
        <w:jc w:val="right"/>
        <w:rPr>
          <w:color w:val="000000"/>
        </w:rPr>
      </w:pPr>
      <w:r>
        <w:rPr>
          <w:rFonts w:hint="eastAsia" w:ascii="宋体" w:hAnsi="宋体"/>
          <w:color w:val="000000"/>
          <w:szCs w:val="44"/>
        </w:rPr>
        <w:t>日期：  年 月  日</w:t>
      </w:r>
    </w:p>
    <w:p>
      <w:pPr>
        <w:widowControl/>
        <w:jc w:val="left"/>
        <w:rPr>
          <w:rFonts w:ascii="黑体" w:eastAsia="黑体"/>
          <w:color w:val="000000"/>
          <w:sz w:val="24"/>
        </w:rPr>
      </w:pPr>
      <w:r>
        <w:rPr>
          <w:rFonts w:ascii="黑体" w:eastAsia="黑体"/>
          <w:color w:val="000000"/>
          <w:sz w:val="24"/>
        </w:rPr>
        <w:br w:type="page"/>
      </w:r>
    </w:p>
    <w:p>
      <w:pPr>
        <w:spacing w:before="156" w:beforeLines="50" w:after="156" w:afterLines="50"/>
        <w:jc w:val="center"/>
        <w:outlineLvl w:val="1"/>
        <w:rPr>
          <w:rFonts w:ascii="黑体" w:hAnsi="宋体" w:eastAsia="黑体"/>
          <w:color w:val="000000"/>
          <w:sz w:val="32"/>
          <w:szCs w:val="32"/>
        </w:rPr>
      </w:pPr>
      <w:r>
        <w:rPr>
          <w:rFonts w:hint="eastAsia" w:ascii="黑体" w:hAnsi="宋体" w:eastAsia="黑体"/>
          <w:color w:val="000000"/>
          <w:sz w:val="32"/>
          <w:szCs w:val="32"/>
        </w:rPr>
        <w:t>第三章  评标办法（简易评标法）</w:t>
      </w:r>
      <w:bookmarkEnd w:id="292"/>
    </w:p>
    <w:p>
      <w:pPr>
        <w:spacing w:after="156" w:afterLines="50"/>
        <w:rPr>
          <w:rFonts w:ascii="黑体" w:hAnsi="宋体" w:eastAsia="黑体"/>
          <w:color w:val="000000"/>
          <w:szCs w:val="21"/>
        </w:rPr>
      </w:pPr>
      <w:r>
        <w:rPr>
          <w:rFonts w:hint="eastAsia" w:ascii="黑体" w:hAnsi="宋体" w:eastAsia="黑体"/>
          <w:color w:val="000000"/>
          <w:szCs w:val="21"/>
        </w:rPr>
        <w:t>评标办法前附表</w:t>
      </w:r>
    </w:p>
    <w:tbl>
      <w:tblPr>
        <w:tblStyle w:val="36"/>
        <w:tblW w:w="861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148"/>
        <w:gridCol w:w="1935"/>
        <w:gridCol w:w="4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8" w:type="dxa"/>
            <w:gridSpan w:val="2"/>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条款号</w:t>
            </w:r>
          </w:p>
        </w:tc>
        <w:tc>
          <w:tcPr>
            <w:tcW w:w="1935" w:type="dxa"/>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评审因素</w:t>
            </w:r>
          </w:p>
        </w:tc>
        <w:tc>
          <w:tcPr>
            <w:tcW w:w="4689" w:type="dxa"/>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0" w:type="dxa"/>
            <w:vMerge w:val="restart"/>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2.1.1</w:t>
            </w:r>
          </w:p>
        </w:tc>
        <w:tc>
          <w:tcPr>
            <w:tcW w:w="1148" w:type="dxa"/>
            <w:vMerge w:val="restart"/>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形式评审</w:t>
            </w:r>
          </w:p>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标准</w:t>
            </w:r>
          </w:p>
        </w:tc>
        <w:tc>
          <w:tcPr>
            <w:tcW w:w="1935" w:type="dxa"/>
          </w:tcPr>
          <w:p>
            <w:pPr>
              <w:rPr>
                <w:rFonts w:hint="eastAsia" w:ascii="宋体" w:hAnsi="宋体" w:eastAsia="宋体" w:cs="宋体"/>
                <w:color w:val="000000"/>
                <w:sz w:val="21"/>
                <w:szCs w:val="21"/>
              </w:rPr>
            </w:pPr>
            <w:r>
              <w:rPr>
                <w:rFonts w:hint="eastAsia" w:ascii="宋体" w:hAnsi="宋体" w:eastAsia="宋体" w:cs="宋体"/>
                <w:color w:val="000000"/>
                <w:sz w:val="21"/>
                <w:szCs w:val="21"/>
              </w:rPr>
              <w:t>投标人名称</w:t>
            </w:r>
          </w:p>
        </w:tc>
        <w:tc>
          <w:tcPr>
            <w:tcW w:w="4689" w:type="dxa"/>
          </w:tcPr>
          <w:p>
            <w:pPr>
              <w:rPr>
                <w:rFonts w:hint="eastAsia" w:ascii="宋体" w:hAnsi="宋体" w:eastAsia="宋体" w:cs="宋体"/>
                <w:color w:val="000000"/>
                <w:sz w:val="21"/>
                <w:szCs w:val="21"/>
              </w:rPr>
            </w:pPr>
            <w:r>
              <w:rPr>
                <w:rFonts w:hint="eastAsia" w:ascii="宋体" w:hAnsi="宋体" w:eastAsia="宋体" w:cs="宋体"/>
                <w:color w:val="000000"/>
                <w:sz w:val="21"/>
                <w:szCs w:val="21"/>
              </w:rPr>
              <w:t>与营业执照、资质证书、安全生产许可证一致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0" w:type="dxa"/>
            <w:vMerge w:val="continue"/>
            <w:vAlign w:val="center"/>
          </w:tcPr>
          <w:p>
            <w:pPr>
              <w:jc w:val="center"/>
              <w:rPr>
                <w:rFonts w:hint="eastAsia" w:ascii="宋体" w:hAnsi="宋体" w:eastAsia="宋体" w:cs="宋体"/>
                <w:color w:val="000000"/>
                <w:sz w:val="21"/>
                <w:szCs w:val="21"/>
              </w:rPr>
            </w:pPr>
          </w:p>
        </w:tc>
        <w:tc>
          <w:tcPr>
            <w:tcW w:w="1148" w:type="dxa"/>
            <w:vMerge w:val="continue"/>
            <w:vAlign w:val="center"/>
          </w:tcPr>
          <w:p>
            <w:pPr>
              <w:jc w:val="center"/>
              <w:rPr>
                <w:rFonts w:hint="eastAsia" w:ascii="宋体" w:hAnsi="宋体" w:eastAsia="宋体" w:cs="宋体"/>
                <w:color w:val="000000"/>
                <w:sz w:val="21"/>
                <w:szCs w:val="21"/>
              </w:rPr>
            </w:pPr>
          </w:p>
        </w:tc>
        <w:tc>
          <w:tcPr>
            <w:tcW w:w="1935" w:type="dxa"/>
          </w:tcPr>
          <w:p>
            <w:pPr>
              <w:rPr>
                <w:rFonts w:hint="eastAsia" w:ascii="宋体" w:hAnsi="宋体" w:eastAsia="宋体" w:cs="宋体"/>
                <w:color w:val="000000"/>
                <w:sz w:val="21"/>
                <w:szCs w:val="21"/>
              </w:rPr>
            </w:pPr>
            <w:r>
              <w:rPr>
                <w:rFonts w:hint="eastAsia" w:ascii="宋体" w:hAnsi="宋体" w:eastAsia="宋体" w:cs="宋体"/>
                <w:color w:val="000000"/>
                <w:sz w:val="21"/>
                <w:szCs w:val="21"/>
              </w:rPr>
              <w:t>投标函签字盖章</w:t>
            </w:r>
          </w:p>
        </w:tc>
        <w:tc>
          <w:tcPr>
            <w:tcW w:w="4689" w:type="dxa"/>
          </w:tcPr>
          <w:p>
            <w:pPr>
              <w:rPr>
                <w:rFonts w:hint="eastAsia" w:ascii="宋体" w:hAnsi="宋体" w:eastAsia="宋体" w:cs="宋体"/>
                <w:color w:val="000000"/>
                <w:sz w:val="21"/>
                <w:szCs w:val="21"/>
              </w:rPr>
            </w:pPr>
            <w:r>
              <w:rPr>
                <w:rFonts w:hint="eastAsia" w:ascii="宋体" w:hAnsi="宋体" w:eastAsia="宋体" w:cs="宋体"/>
                <w:color w:val="000000"/>
                <w:sz w:val="21"/>
                <w:szCs w:val="21"/>
              </w:rPr>
              <w:t>有法定代表人或其委托代理人电子签章并加盖单位电子签章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0" w:type="dxa"/>
            <w:vMerge w:val="continue"/>
            <w:vAlign w:val="center"/>
          </w:tcPr>
          <w:p>
            <w:pPr>
              <w:jc w:val="center"/>
              <w:rPr>
                <w:rFonts w:hint="eastAsia" w:ascii="宋体" w:hAnsi="宋体" w:eastAsia="宋体" w:cs="宋体"/>
                <w:color w:val="000000"/>
                <w:sz w:val="21"/>
                <w:szCs w:val="21"/>
              </w:rPr>
            </w:pPr>
          </w:p>
        </w:tc>
        <w:tc>
          <w:tcPr>
            <w:tcW w:w="1148" w:type="dxa"/>
            <w:vMerge w:val="continue"/>
            <w:vAlign w:val="center"/>
          </w:tcPr>
          <w:p>
            <w:pPr>
              <w:jc w:val="center"/>
              <w:rPr>
                <w:rFonts w:hint="eastAsia" w:ascii="宋体" w:hAnsi="宋体" w:eastAsia="宋体" w:cs="宋体"/>
                <w:color w:val="000000"/>
                <w:sz w:val="21"/>
                <w:szCs w:val="21"/>
              </w:rPr>
            </w:pPr>
          </w:p>
        </w:tc>
        <w:tc>
          <w:tcPr>
            <w:tcW w:w="1935" w:type="dxa"/>
          </w:tcPr>
          <w:p>
            <w:pPr>
              <w:rPr>
                <w:rFonts w:hint="eastAsia" w:ascii="宋体" w:hAnsi="宋体" w:eastAsia="宋体" w:cs="宋体"/>
                <w:color w:val="000000"/>
                <w:sz w:val="21"/>
                <w:szCs w:val="21"/>
              </w:rPr>
            </w:pPr>
            <w:r>
              <w:rPr>
                <w:rFonts w:hint="eastAsia" w:ascii="宋体" w:hAnsi="宋体" w:eastAsia="宋体" w:cs="宋体"/>
                <w:color w:val="000000"/>
                <w:sz w:val="21"/>
                <w:szCs w:val="21"/>
              </w:rPr>
              <w:t>投标文件格式</w:t>
            </w:r>
          </w:p>
        </w:tc>
        <w:tc>
          <w:tcPr>
            <w:tcW w:w="4689" w:type="dxa"/>
          </w:tcPr>
          <w:p>
            <w:pPr>
              <w:rPr>
                <w:rFonts w:hint="eastAsia" w:ascii="宋体" w:hAnsi="宋体" w:eastAsia="宋体" w:cs="宋体"/>
                <w:color w:val="000000"/>
                <w:sz w:val="21"/>
                <w:szCs w:val="21"/>
              </w:rPr>
            </w:pPr>
            <w:r>
              <w:rPr>
                <w:rFonts w:hint="eastAsia" w:ascii="宋体" w:hAnsi="宋体" w:eastAsia="宋体" w:cs="宋体"/>
                <w:color w:val="000000"/>
                <w:sz w:val="21"/>
                <w:szCs w:val="21"/>
              </w:rPr>
              <w:t>符合第八章“投标文件格式”的要求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0" w:type="dxa"/>
            <w:vMerge w:val="continue"/>
            <w:vAlign w:val="center"/>
          </w:tcPr>
          <w:p>
            <w:pPr>
              <w:jc w:val="center"/>
              <w:rPr>
                <w:rFonts w:hint="eastAsia" w:ascii="宋体" w:hAnsi="宋体" w:eastAsia="宋体" w:cs="宋体"/>
                <w:color w:val="000000"/>
                <w:sz w:val="21"/>
                <w:szCs w:val="21"/>
              </w:rPr>
            </w:pPr>
          </w:p>
        </w:tc>
        <w:tc>
          <w:tcPr>
            <w:tcW w:w="1148" w:type="dxa"/>
            <w:vMerge w:val="continue"/>
            <w:vAlign w:val="center"/>
          </w:tcPr>
          <w:p>
            <w:pPr>
              <w:jc w:val="center"/>
              <w:rPr>
                <w:rFonts w:hint="eastAsia" w:ascii="宋体" w:hAnsi="宋体" w:eastAsia="宋体" w:cs="宋体"/>
                <w:color w:val="000000"/>
                <w:sz w:val="21"/>
                <w:szCs w:val="21"/>
              </w:rPr>
            </w:pPr>
          </w:p>
        </w:tc>
        <w:tc>
          <w:tcPr>
            <w:tcW w:w="1935" w:type="dxa"/>
          </w:tcPr>
          <w:p>
            <w:pPr>
              <w:rPr>
                <w:rFonts w:hint="eastAsia" w:ascii="宋体" w:hAnsi="宋体" w:eastAsia="宋体" w:cs="宋体"/>
                <w:color w:val="000000"/>
                <w:sz w:val="21"/>
                <w:szCs w:val="21"/>
              </w:rPr>
            </w:pPr>
            <w:r>
              <w:rPr>
                <w:rFonts w:hint="eastAsia" w:ascii="宋体" w:hAnsi="宋体" w:eastAsia="宋体" w:cs="宋体"/>
                <w:color w:val="000000"/>
                <w:sz w:val="21"/>
                <w:szCs w:val="21"/>
              </w:rPr>
              <w:t>联合体投标人（如有）</w:t>
            </w:r>
          </w:p>
        </w:tc>
        <w:tc>
          <w:tcPr>
            <w:tcW w:w="4689" w:type="dxa"/>
          </w:tcPr>
          <w:p>
            <w:pPr>
              <w:rPr>
                <w:rFonts w:hint="eastAsia" w:ascii="宋体" w:hAnsi="宋体" w:eastAsia="宋体" w:cs="宋体"/>
                <w:color w:val="000000"/>
                <w:sz w:val="21"/>
                <w:szCs w:val="21"/>
              </w:rPr>
            </w:pPr>
            <w:r>
              <w:rPr>
                <w:rFonts w:hint="eastAsia" w:ascii="宋体" w:hAnsi="宋体" w:eastAsia="宋体" w:cs="宋体"/>
                <w:color w:val="000000"/>
                <w:sz w:val="21"/>
                <w:szCs w:val="21"/>
              </w:rPr>
              <w:t>提交联合体协议书，并明确联合体牵头人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0" w:type="dxa"/>
            <w:vMerge w:val="continue"/>
            <w:vAlign w:val="center"/>
          </w:tcPr>
          <w:p>
            <w:pPr>
              <w:jc w:val="center"/>
              <w:rPr>
                <w:rFonts w:hint="eastAsia" w:ascii="宋体" w:hAnsi="宋体" w:eastAsia="宋体" w:cs="宋体"/>
                <w:color w:val="000000"/>
                <w:sz w:val="21"/>
                <w:szCs w:val="21"/>
              </w:rPr>
            </w:pPr>
          </w:p>
        </w:tc>
        <w:tc>
          <w:tcPr>
            <w:tcW w:w="1148" w:type="dxa"/>
            <w:vMerge w:val="continue"/>
            <w:vAlign w:val="center"/>
          </w:tcPr>
          <w:p>
            <w:pPr>
              <w:jc w:val="center"/>
              <w:rPr>
                <w:rFonts w:hint="eastAsia" w:ascii="宋体" w:hAnsi="宋体" w:eastAsia="宋体" w:cs="宋体"/>
                <w:color w:val="000000"/>
                <w:sz w:val="21"/>
                <w:szCs w:val="21"/>
              </w:rPr>
            </w:pPr>
          </w:p>
        </w:tc>
        <w:tc>
          <w:tcPr>
            <w:tcW w:w="1935" w:type="dxa"/>
          </w:tcPr>
          <w:p>
            <w:pPr>
              <w:rPr>
                <w:rFonts w:hint="eastAsia" w:ascii="宋体" w:hAnsi="宋体" w:eastAsia="宋体" w:cs="宋体"/>
                <w:color w:val="000000"/>
                <w:sz w:val="21"/>
                <w:szCs w:val="21"/>
              </w:rPr>
            </w:pPr>
            <w:r>
              <w:rPr>
                <w:rFonts w:hint="eastAsia" w:ascii="宋体" w:hAnsi="宋体" w:eastAsia="宋体" w:cs="宋体"/>
                <w:color w:val="000000"/>
                <w:sz w:val="21"/>
                <w:szCs w:val="21"/>
              </w:rPr>
              <w:t>报价唯一</w:t>
            </w:r>
          </w:p>
        </w:tc>
        <w:tc>
          <w:tcPr>
            <w:tcW w:w="4689" w:type="dxa"/>
          </w:tcPr>
          <w:p>
            <w:pPr>
              <w:rPr>
                <w:rFonts w:hint="eastAsia" w:ascii="宋体" w:hAnsi="宋体" w:eastAsia="宋体" w:cs="宋体"/>
                <w:color w:val="000000"/>
                <w:sz w:val="21"/>
                <w:szCs w:val="21"/>
              </w:rPr>
            </w:pPr>
            <w:r>
              <w:rPr>
                <w:rFonts w:hint="eastAsia" w:ascii="宋体" w:hAnsi="宋体" w:eastAsia="宋体" w:cs="宋体"/>
                <w:color w:val="000000"/>
                <w:sz w:val="21"/>
                <w:szCs w:val="21"/>
              </w:rPr>
              <w:t>只能有一个有效报价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0" w:type="dxa"/>
            <w:vMerge w:val="restart"/>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2.1.2</w:t>
            </w:r>
          </w:p>
        </w:tc>
        <w:tc>
          <w:tcPr>
            <w:tcW w:w="1148" w:type="dxa"/>
            <w:vMerge w:val="restart"/>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资格评审标准</w:t>
            </w:r>
          </w:p>
        </w:tc>
        <w:tc>
          <w:tcPr>
            <w:tcW w:w="1935" w:type="dxa"/>
          </w:tcPr>
          <w:p>
            <w:pPr>
              <w:rPr>
                <w:rFonts w:hint="eastAsia" w:ascii="宋体" w:hAnsi="宋体" w:eastAsia="宋体" w:cs="宋体"/>
                <w:color w:val="000000"/>
                <w:sz w:val="21"/>
                <w:szCs w:val="21"/>
              </w:rPr>
            </w:pPr>
            <w:r>
              <w:rPr>
                <w:rFonts w:hint="eastAsia" w:ascii="宋体" w:hAnsi="宋体" w:eastAsia="宋体" w:cs="宋体"/>
                <w:color w:val="000000"/>
                <w:sz w:val="21"/>
                <w:szCs w:val="21"/>
              </w:rPr>
              <w:t>营业执照</w:t>
            </w:r>
          </w:p>
        </w:tc>
        <w:tc>
          <w:tcPr>
            <w:tcW w:w="4689" w:type="dxa"/>
          </w:tcPr>
          <w:p>
            <w:pPr>
              <w:rPr>
                <w:rFonts w:hint="eastAsia" w:ascii="宋体" w:hAnsi="宋体" w:eastAsia="宋体" w:cs="宋体"/>
                <w:color w:val="000000"/>
                <w:sz w:val="21"/>
                <w:szCs w:val="21"/>
              </w:rPr>
            </w:pPr>
            <w:r>
              <w:rPr>
                <w:rFonts w:hint="eastAsia" w:ascii="宋体" w:hAnsi="宋体" w:eastAsia="宋体" w:cs="宋体"/>
                <w:color w:val="000000"/>
                <w:sz w:val="21"/>
                <w:szCs w:val="21"/>
              </w:rPr>
              <w:t>具备有效的营业执照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0" w:type="dxa"/>
            <w:vMerge w:val="continue"/>
            <w:vAlign w:val="center"/>
          </w:tcPr>
          <w:p>
            <w:pPr>
              <w:jc w:val="center"/>
              <w:rPr>
                <w:rFonts w:hint="eastAsia" w:ascii="宋体" w:hAnsi="宋体" w:eastAsia="宋体" w:cs="宋体"/>
                <w:color w:val="000000"/>
                <w:sz w:val="21"/>
                <w:szCs w:val="21"/>
              </w:rPr>
            </w:pPr>
          </w:p>
        </w:tc>
        <w:tc>
          <w:tcPr>
            <w:tcW w:w="1148" w:type="dxa"/>
            <w:vMerge w:val="continue"/>
            <w:vAlign w:val="center"/>
          </w:tcPr>
          <w:p>
            <w:pPr>
              <w:jc w:val="center"/>
              <w:rPr>
                <w:rFonts w:hint="eastAsia" w:ascii="宋体" w:hAnsi="宋体" w:eastAsia="宋体" w:cs="宋体"/>
                <w:color w:val="000000"/>
                <w:sz w:val="21"/>
                <w:szCs w:val="21"/>
              </w:rPr>
            </w:pPr>
          </w:p>
        </w:tc>
        <w:tc>
          <w:tcPr>
            <w:tcW w:w="1935" w:type="dxa"/>
          </w:tcPr>
          <w:p>
            <w:pPr>
              <w:rPr>
                <w:rFonts w:hint="eastAsia" w:ascii="宋体" w:hAnsi="宋体" w:eastAsia="宋体" w:cs="宋体"/>
                <w:color w:val="000000"/>
                <w:sz w:val="21"/>
                <w:szCs w:val="21"/>
              </w:rPr>
            </w:pPr>
            <w:r>
              <w:rPr>
                <w:rFonts w:hint="eastAsia" w:ascii="宋体" w:hAnsi="宋体" w:eastAsia="宋体" w:cs="宋体"/>
                <w:color w:val="000000"/>
                <w:sz w:val="21"/>
                <w:szCs w:val="21"/>
              </w:rPr>
              <w:t>安全生产许可证</w:t>
            </w:r>
          </w:p>
        </w:tc>
        <w:tc>
          <w:tcPr>
            <w:tcW w:w="4689" w:type="dxa"/>
          </w:tcPr>
          <w:p>
            <w:pPr>
              <w:rPr>
                <w:rFonts w:hint="eastAsia" w:ascii="宋体" w:hAnsi="宋体" w:eastAsia="宋体" w:cs="宋体"/>
                <w:color w:val="000000"/>
                <w:sz w:val="21"/>
                <w:szCs w:val="21"/>
              </w:rPr>
            </w:pPr>
            <w:r>
              <w:rPr>
                <w:rFonts w:hint="eastAsia" w:ascii="宋体" w:hAnsi="宋体" w:eastAsia="宋体" w:cs="宋体"/>
                <w:color w:val="000000"/>
                <w:sz w:val="21"/>
                <w:szCs w:val="21"/>
              </w:rPr>
              <w:t>具备有效的安全生产许可证（</w:t>
            </w:r>
            <w:r>
              <w:rPr>
                <w:rFonts w:hint="eastAsia" w:ascii="宋体" w:hAnsi="宋体" w:eastAsia="宋体" w:cs="宋体"/>
                <w:sz w:val="21"/>
                <w:szCs w:val="21"/>
              </w:rPr>
              <w:t>园林类项目的施工单位无需提供</w:t>
            </w:r>
            <w:r>
              <w:rPr>
                <w:rFonts w:hint="eastAsia" w:ascii="宋体" w:hAnsi="宋体" w:eastAsia="宋体" w:cs="宋体"/>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0" w:type="dxa"/>
            <w:vMerge w:val="continue"/>
            <w:vAlign w:val="center"/>
          </w:tcPr>
          <w:p>
            <w:pPr>
              <w:jc w:val="center"/>
              <w:rPr>
                <w:rFonts w:hint="eastAsia" w:ascii="宋体" w:hAnsi="宋体" w:eastAsia="宋体" w:cs="宋体"/>
                <w:color w:val="000000"/>
                <w:sz w:val="21"/>
                <w:szCs w:val="21"/>
              </w:rPr>
            </w:pPr>
          </w:p>
        </w:tc>
        <w:tc>
          <w:tcPr>
            <w:tcW w:w="1148" w:type="dxa"/>
            <w:vMerge w:val="continue"/>
            <w:vAlign w:val="center"/>
          </w:tcPr>
          <w:p>
            <w:pPr>
              <w:jc w:val="center"/>
              <w:rPr>
                <w:rFonts w:hint="eastAsia" w:ascii="宋体" w:hAnsi="宋体" w:eastAsia="宋体" w:cs="宋体"/>
                <w:color w:val="000000"/>
                <w:sz w:val="21"/>
                <w:szCs w:val="21"/>
              </w:rPr>
            </w:pPr>
          </w:p>
        </w:tc>
        <w:tc>
          <w:tcPr>
            <w:tcW w:w="1935" w:type="dxa"/>
          </w:tcPr>
          <w:p>
            <w:pPr>
              <w:rPr>
                <w:rFonts w:hint="eastAsia" w:ascii="宋体" w:hAnsi="宋体" w:eastAsia="宋体" w:cs="宋体"/>
                <w:color w:val="000000"/>
                <w:sz w:val="21"/>
                <w:szCs w:val="21"/>
              </w:rPr>
            </w:pPr>
            <w:r>
              <w:rPr>
                <w:rFonts w:hint="eastAsia" w:ascii="宋体" w:hAnsi="宋体" w:eastAsia="宋体" w:cs="宋体"/>
                <w:color w:val="000000"/>
                <w:sz w:val="21"/>
                <w:szCs w:val="21"/>
              </w:rPr>
              <w:t>资质等级</w:t>
            </w:r>
          </w:p>
        </w:tc>
        <w:tc>
          <w:tcPr>
            <w:tcW w:w="4689" w:type="dxa"/>
          </w:tcPr>
          <w:p>
            <w:pPr>
              <w:rPr>
                <w:rFonts w:hint="eastAsia" w:ascii="宋体" w:hAnsi="宋体" w:eastAsia="宋体" w:cs="宋体"/>
                <w:color w:val="000000"/>
                <w:sz w:val="21"/>
                <w:szCs w:val="21"/>
              </w:rPr>
            </w:pPr>
            <w:r>
              <w:rPr>
                <w:rFonts w:hint="eastAsia" w:ascii="宋体" w:hAnsi="宋体" w:eastAsia="宋体" w:cs="宋体"/>
                <w:color w:val="000000"/>
                <w:sz w:val="21"/>
                <w:szCs w:val="21"/>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0" w:type="dxa"/>
            <w:vMerge w:val="continue"/>
            <w:vAlign w:val="center"/>
          </w:tcPr>
          <w:p>
            <w:pPr>
              <w:jc w:val="center"/>
              <w:rPr>
                <w:rFonts w:hint="eastAsia" w:ascii="宋体" w:hAnsi="宋体" w:eastAsia="宋体" w:cs="宋体"/>
                <w:color w:val="000000"/>
                <w:sz w:val="21"/>
                <w:szCs w:val="21"/>
              </w:rPr>
            </w:pPr>
          </w:p>
        </w:tc>
        <w:tc>
          <w:tcPr>
            <w:tcW w:w="1148" w:type="dxa"/>
            <w:vMerge w:val="continue"/>
            <w:vAlign w:val="center"/>
          </w:tcPr>
          <w:p>
            <w:pPr>
              <w:jc w:val="center"/>
              <w:rPr>
                <w:rFonts w:hint="eastAsia" w:ascii="宋体" w:hAnsi="宋体" w:eastAsia="宋体" w:cs="宋体"/>
                <w:color w:val="000000"/>
                <w:sz w:val="21"/>
                <w:szCs w:val="21"/>
              </w:rPr>
            </w:pPr>
          </w:p>
        </w:tc>
        <w:tc>
          <w:tcPr>
            <w:tcW w:w="1935" w:type="dxa"/>
          </w:tcPr>
          <w:p>
            <w:pPr>
              <w:rPr>
                <w:rFonts w:hint="eastAsia" w:ascii="宋体" w:hAnsi="宋体" w:eastAsia="宋体" w:cs="宋体"/>
                <w:color w:val="000000"/>
                <w:sz w:val="21"/>
                <w:szCs w:val="21"/>
              </w:rPr>
            </w:pPr>
            <w:r>
              <w:rPr>
                <w:rFonts w:hint="eastAsia" w:ascii="宋体" w:hAnsi="宋体" w:eastAsia="宋体" w:cs="宋体"/>
                <w:color w:val="000000"/>
                <w:sz w:val="21"/>
                <w:szCs w:val="21"/>
              </w:rPr>
              <w:t>企业诚信</w:t>
            </w:r>
          </w:p>
        </w:tc>
        <w:tc>
          <w:tcPr>
            <w:tcW w:w="4689" w:type="dxa"/>
          </w:tcPr>
          <w:p>
            <w:pPr>
              <w:rPr>
                <w:rFonts w:hint="eastAsia" w:ascii="宋体" w:hAnsi="宋体" w:eastAsia="宋体" w:cs="宋体"/>
                <w:color w:val="000000"/>
                <w:sz w:val="21"/>
                <w:szCs w:val="21"/>
              </w:rPr>
            </w:pPr>
            <w:r>
              <w:rPr>
                <w:rFonts w:hint="eastAsia" w:ascii="宋体" w:hAnsi="宋体" w:eastAsia="宋体" w:cs="宋体"/>
                <w:color w:val="000000"/>
                <w:sz w:val="21"/>
                <w:szCs w:val="21"/>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0" w:type="dxa"/>
            <w:vMerge w:val="continue"/>
            <w:vAlign w:val="center"/>
          </w:tcPr>
          <w:p>
            <w:pPr>
              <w:jc w:val="center"/>
              <w:rPr>
                <w:rFonts w:hint="eastAsia" w:ascii="宋体" w:hAnsi="宋体" w:eastAsia="宋体" w:cs="宋体"/>
                <w:color w:val="000000"/>
                <w:sz w:val="21"/>
                <w:szCs w:val="21"/>
              </w:rPr>
            </w:pPr>
          </w:p>
        </w:tc>
        <w:tc>
          <w:tcPr>
            <w:tcW w:w="1148" w:type="dxa"/>
            <w:vMerge w:val="continue"/>
            <w:vAlign w:val="center"/>
          </w:tcPr>
          <w:p>
            <w:pPr>
              <w:jc w:val="center"/>
              <w:rPr>
                <w:rFonts w:hint="eastAsia" w:ascii="宋体" w:hAnsi="宋体" w:eastAsia="宋体" w:cs="宋体"/>
                <w:color w:val="000000"/>
                <w:sz w:val="21"/>
                <w:szCs w:val="21"/>
              </w:rPr>
            </w:pPr>
          </w:p>
        </w:tc>
        <w:tc>
          <w:tcPr>
            <w:tcW w:w="1935" w:type="dxa"/>
          </w:tcPr>
          <w:p>
            <w:pPr>
              <w:rPr>
                <w:rFonts w:hint="eastAsia" w:ascii="宋体" w:hAnsi="宋体" w:eastAsia="宋体" w:cs="宋体"/>
                <w:color w:val="000000"/>
                <w:sz w:val="21"/>
                <w:szCs w:val="21"/>
              </w:rPr>
            </w:pPr>
            <w:r>
              <w:rPr>
                <w:rFonts w:hint="eastAsia" w:ascii="宋体" w:hAnsi="宋体" w:eastAsia="宋体" w:cs="宋体"/>
                <w:color w:val="000000"/>
                <w:sz w:val="21"/>
                <w:szCs w:val="21"/>
              </w:rPr>
              <w:t>项目负责人（项目经理）</w:t>
            </w:r>
          </w:p>
        </w:tc>
        <w:tc>
          <w:tcPr>
            <w:tcW w:w="4689" w:type="dxa"/>
            <w:vAlign w:val="center"/>
          </w:tcPr>
          <w:p>
            <w:pPr>
              <w:rPr>
                <w:rFonts w:hint="eastAsia" w:ascii="宋体" w:hAnsi="宋体" w:eastAsia="宋体" w:cs="宋体"/>
                <w:color w:val="000000"/>
                <w:sz w:val="21"/>
                <w:szCs w:val="21"/>
              </w:rPr>
            </w:pPr>
            <w:r>
              <w:rPr>
                <w:rFonts w:hint="eastAsia" w:ascii="宋体" w:hAnsi="宋体" w:eastAsia="宋体" w:cs="宋体"/>
                <w:color w:val="000000"/>
                <w:sz w:val="21"/>
                <w:szCs w:val="21"/>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0" w:type="dxa"/>
            <w:vMerge w:val="continue"/>
            <w:vAlign w:val="center"/>
          </w:tcPr>
          <w:p>
            <w:pPr>
              <w:jc w:val="center"/>
              <w:rPr>
                <w:rFonts w:hint="eastAsia" w:ascii="宋体" w:hAnsi="宋体" w:eastAsia="宋体" w:cs="宋体"/>
                <w:color w:val="000000"/>
                <w:sz w:val="21"/>
                <w:szCs w:val="21"/>
              </w:rPr>
            </w:pPr>
          </w:p>
        </w:tc>
        <w:tc>
          <w:tcPr>
            <w:tcW w:w="1148" w:type="dxa"/>
            <w:vMerge w:val="continue"/>
            <w:vAlign w:val="center"/>
          </w:tcPr>
          <w:p>
            <w:pPr>
              <w:jc w:val="center"/>
              <w:rPr>
                <w:rFonts w:hint="eastAsia" w:ascii="宋体" w:hAnsi="宋体" w:eastAsia="宋体" w:cs="宋体"/>
                <w:color w:val="000000"/>
                <w:sz w:val="21"/>
                <w:szCs w:val="21"/>
              </w:rPr>
            </w:pPr>
          </w:p>
        </w:tc>
        <w:tc>
          <w:tcPr>
            <w:tcW w:w="1935" w:type="dxa"/>
          </w:tcPr>
          <w:p>
            <w:pPr>
              <w:rPr>
                <w:rFonts w:hint="eastAsia" w:ascii="宋体" w:hAnsi="宋体" w:eastAsia="宋体" w:cs="宋体"/>
                <w:strike/>
                <w:color w:val="000000"/>
                <w:sz w:val="21"/>
                <w:szCs w:val="21"/>
              </w:rPr>
            </w:pPr>
            <w:r>
              <w:rPr>
                <w:rFonts w:hint="eastAsia" w:ascii="宋体" w:hAnsi="宋体" w:eastAsia="宋体" w:cs="宋体"/>
                <w:color w:val="000000"/>
                <w:sz w:val="21"/>
                <w:szCs w:val="21"/>
              </w:rPr>
              <w:t>其他要求</w:t>
            </w:r>
          </w:p>
        </w:tc>
        <w:tc>
          <w:tcPr>
            <w:tcW w:w="4689" w:type="dxa"/>
            <w:vAlign w:val="center"/>
          </w:tcPr>
          <w:p>
            <w:pPr>
              <w:rPr>
                <w:rFonts w:hint="eastAsia" w:ascii="宋体" w:hAnsi="宋体" w:eastAsia="宋体" w:cs="宋体"/>
                <w:strike/>
                <w:color w:val="000000"/>
                <w:sz w:val="21"/>
                <w:szCs w:val="21"/>
              </w:rPr>
            </w:pPr>
            <w:r>
              <w:rPr>
                <w:rFonts w:hint="eastAsia" w:ascii="宋体" w:hAnsi="宋体" w:eastAsia="宋体" w:cs="宋体"/>
                <w:color w:val="000000"/>
                <w:sz w:val="21"/>
                <w:szCs w:val="21"/>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0" w:type="dxa"/>
            <w:vMerge w:val="continue"/>
            <w:vAlign w:val="center"/>
          </w:tcPr>
          <w:p>
            <w:pPr>
              <w:jc w:val="center"/>
              <w:rPr>
                <w:rFonts w:hint="eastAsia" w:ascii="宋体" w:hAnsi="宋体" w:eastAsia="宋体" w:cs="宋体"/>
                <w:color w:val="000000"/>
                <w:sz w:val="21"/>
                <w:szCs w:val="21"/>
              </w:rPr>
            </w:pPr>
          </w:p>
        </w:tc>
        <w:tc>
          <w:tcPr>
            <w:tcW w:w="1148" w:type="dxa"/>
            <w:vMerge w:val="continue"/>
            <w:vAlign w:val="center"/>
          </w:tcPr>
          <w:p>
            <w:pPr>
              <w:jc w:val="center"/>
              <w:rPr>
                <w:rFonts w:hint="eastAsia" w:ascii="宋体" w:hAnsi="宋体" w:eastAsia="宋体" w:cs="宋体"/>
                <w:color w:val="000000"/>
                <w:sz w:val="21"/>
                <w:szCs w:val="21"/>
              </w:rPr>
            </w:pPr>
          </w:p>
        </w:tc>
        <w:tc>
          <w:tcPr>
            <w:tcW w:w="1935" w:type="dxa"/>
          </w:tcPr>
          <w:p>
            <w:pPr>
              <w:rPr>
                <w:rFonts w:hint="eastAsia" w:ascii="宋体" w:hAnsi="宋体" w:eastAsia="宋体" w:cs="宋体"/>
                <w:color w:val="000000"/>
                <w:sz w:val="21"/>
                <w:szCs w:val="21"/>
              </w:rPr>
            </w:pPr>
            <w:r>
              <w:rPr>
                <w:rFonts w:hint="eastAsia" w:ascii="宋体" w:hAnsi="宋体" w:eastAsia="宋体" w:cs="宋体"/>
                <w:color w:val="000000"/>
                <w:sz w:val="21"/>
                <w:szCs w:val="21"/>
              </w:rPr>
              <w:t>联合体投标人（如有）</w:t>
            </w:r>
          </w:p>
        </w:tc>
        <w:tc>
          <w:tcPr>
            <w:tcW w:w="4689" w:type="dxa"/>
            <w:vAlign w:val="center"/>
          </w:tcPr>
          <w:p>
            <w:pPr>
              <w:rPr>
                <w:rFonts w:hint="eastAsia" w:ascii="宋体" w:hAnsi="宋体" w:eastAsia="宋体" w:cs="宋体"/>
                <w:color w:val="000000"/>
                <w:sz w:val="21"/>
                <w:szCs w:val="21"/>
              </w:rPr>
            </w:pPr>
            <w:r>
              <w:rPr>
                <w:rFonts w:hint="eastAsia" w:ascii="宋体" w:hAnsi="宋体" w:eastAsia="宋体" w:cs="宋体"/>
                <w:color w:val="000000"/>
                <w:sz w:val="21"/>
                <w:szCs w:val="21"/>
              </w:rPr>
              <w:t>符合第二章“投标人须知”第1.4.2项规定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0" w:type="dxa"/>
            <w:vMerge w:val="restart"/>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2.1.3</w:t>
            </w:r>
          </w:p>
        </w:tc>
        <w:tc>
          <w:tcPr>
            <w:tcW w:w="1148" w:type="dxa"/>
            <w:vMerge w:val="restart"/>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响应性</w:t>
            </w:r>
          </w:p>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评审标准</w:t>
            </w:r>
          </w:p>
        </w:tc>
        <w:tc>
          <w:tcPr>
            <w:tcW w:w="1935" w:type="dxa"/>
          </w:tcPr>
          <w:p>
            <w:pPr>
              <w:rPr>
                <w:rFonts w:hint="eastAsia" w:ascii="宋体" w:hAnsi="宋体" w:eastAsia="宋体" w:cs="宋体"/>
                <w:color w:val="000000"/>
                <w:sz w:val="21"/>
                <w:szCs w:val="21"/>
              </w:rPr>
            </w:pPr>
            <w:r>
              <w:rPr>
                <w:rFonts w:hint="eastAsia" w:ascii="宋体" w:hAnsi="宋体" w:eastAsia="宋体" w:cs="宋体"/>
                <w:color w:val="000000"/>
                <w:sz w:val="21"/>
                <w:szCs w:val="21"/>
              </w:rPr>
              <w:t>投标内容</w:t>
            </w:r>
          </w:p>
        </w:tc>
        <w:tc>
          <w:tcPr>
            <w:tcW w:w="4689" w:type="dxa"/>
          </w:tcPr>
          <w:p>
            <w:pPr>
              <w:rPr>
                <w:rFonts w:hint="eastAsia" w:ascii="宋体" w:hAnsi="宋体" w:eastAsia="宋体" w:cs="宋体"/>
                <w:color w:val="000000"/>
                <w:sz w:val="21"/>
                <w:szCs w:val="21"/>
              </w:rPr>
            </w:pPr>
            <w:r>
              <w:rPr>
                <w:rFonts w:hint="eastAsia" w:ascii="宋体" w:hAnsi="宋体" w:eastAsia="宋体" w:cs="宋体"/>
                <w:color w:val="000000"/>
                <w:sz w:val="21"/>
                <w:szCs w:val="21"/>
              </w:rPr>
              <w:t>符合第二章“投标人须知”第1.3.1项规定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0" w:type="dxa"/>
            <w:vMerge w:val="continue"/>
          </w:tcPr>
          <w:p>
            <w:pPr>
              <w:rPr>
                <w:rFonts w:hint="eastAsia" w:ascii="宋体" w:hAnsi="宋体" w:eastAsia="宋体" w:cs="宋体"/>
                <w:color w:val="000000"/>
                <w:sz w:val="21"/>
                <w:szCs w:val="21"/>
              </w:rPr>
            </w:pPr>
          </w:p>
        </w:tc>
        <w:tc>
          <w:tcPr>
            <w:tcW w:w="1148" w:type="dxa"/>
            <w:vMerge w:val="continue"/>
          </w:tcPr>
          <w:p>
            <w:pPr>
              <w:rPr>
                <w:rFonts w:hint="eastAsia" w:ascii="宋体" w:hAnsi="宋体" w:eastAsia="宋体" w:cs="宋体"/>
                <w:color w:val="000000"/>
                <w:sz w:val="21"/>
                <w:szCs w:val="21"/>
              </w:rPr>
            </w:pPr>
          </w:p>
        </w:tc>
        <w:tc>
          <w:tcPr>
            <w:tcW w:w="1935" w:type="dxa"/>
          </w:tcPr>
          <w:p>
            <w:pPr>
              <w:rPr>
                <w:rFonts w:hint="eastAsia" w:ascii="宋体" w:hAnsi="宋体" w:eastAsia="宋体" w:cs="宋体"/>
                <w:color w:val="000000"/>
                <w:sz w:val="21"/>
                <w:szCs w:val="21"/>
              </w:rPr>
            </w:pPr>
            <w:r>
              <w:rPr>
                <w:rFonts w:hint="eastAsia" w:ascii="宋体" w:hAnsi="宋体" w:eastAsia="宋体" w:cs="宋体"/>
                <w:color w:val="000000"/>
                <w:sz w:val="21"/>
                <w:szCs w:val="21"/>
              </w:rPr>
              <w:t>工期</w:t>
            </w:r>
          </w:p>
        </w:tc>
        <w:tc>
          <w:tcPr>
            <w:tcW w:w="4689" w:type="dxa"/>
          </w:tcPr>
          <w:p>
            <w:pPr>
              <w:rPr>
                <w:rFonts w:hint="eastAsia" w:ascii="宋体" w:hAnsi="宋体" w:eastAsia="宋体" w:cs="宋体"/>
                <w:color w:val="000000"/>
                <w:sz w:val="21"/>
                <w:szCs w:val="21"/>
              </w:rPr>
            </w:pPr>
            <w:r>
              <w:rPr>
                <w:rFonts w:hint="eastAsia" w:ascii="宋体" w:hAnsi="宋体" w:eastAsia="宋体" w:cs="宋体"/>
                <w:color w:val="000000"/>
                <w:sz w:val="21"/>
                <w:szCs w:val="21"/>
              </w:rPr>
              <w:t>符合第二章“投标人须知”第1.3.2项规定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0" w:type="dxa"/>
            <w:vMerge w:val="continue"/>
          </w:tcPr>
          <w:p>
            <w:pPr>
              <w:rPr>
                <w:rFonts w:hint="eastAsia" w:ascii="宋体" w:hAnsi="宋体" w:eastAsia="宋体" w:cs="宋体"/>
                <w:color w:val="000000"/>
                <w:sz w:val="21"/>
                <w:szCs w:val="21"/>
              </w:rPr>
            </w:pPr>
          </w:p>
        </w:tc>
        <w:tc>
          <w:tcPr>
            <w:tcW w:w="1148" w:type="dxa"/>
            <w:vMerge w:val="continue"/>
          </w:tcPr>
          <w:p>
            <w:pPr>
              <w:rPr>
                <w:rFonts w:hint="eastAsia" w:ascii="宋体" w:hAnsi="宋体" w:eastAsia="宋体" w:cs="宋体"/>
                <w:color w:val="000000"/>
                <w:sz w:val="21"/>
                <w:szCs w:val="21"/>
              </w:rPr>
            </w:pPr>
          </w:p>
        </w:tc>
        <w:tc>
          <w:tcPr>
            <w:tcW w:w="1935" w:type="dxa"/>
          </w:tcPr>
          <w:p>
            <w:pPr>
              <w:rPr>
                <w:rFonts w:hint="eastAsia" w:ascii="宋体" w:hAnsi="宋体" w:eastAsia="宋体" w:cs="宋体"/>
                <w:color w:val="000000"/>
                <w:sz w:val="21"/>
                <w:szCs w:val="21"/>
              </w:rPr>
            </w:pPr>
            <w:r>
              <w:rPr>
                <w:rFonts w:hint="eastAsia" w:ascii="宋体" w:hAnsi="宋体" w:eastAsia="宋体" w:cs="宋体"/>
                <w:color w:val="000000"/>
                <w:sz w:val="21"/>
                <w:szCs w:val="21"/>
              </w:rPr>
              <w:t>工程质量</w:t>
            </w:r>
          </w:p>
        </w:tc>
        <w:tc>
          <w:tcPr>
            <w:tcW w:w="4689" w:type="dxa"/>
          </w:tcPr>
          <w:p>
            <w:pPr>
              <w:rPr>
                <w:rFonts w:hint="eastAsia" w:ascii="宋体" w:hAnsi="宋体" w:eastAsia="宋体" w:cs="宋体"/>
                <w:color w:val="000000"/>
                <w:sz w:val="21"/>
                <w:szCs w:val="21"/>
              </w:rPr>
            </w:pPr>
            <w:r>
              <w:rPr>
                <w:rFonts w:hint="eastAsia" w:ascii="宋体" w:hAnsi="宋体" w:eastAsia="宋体" w:cs="宋体"/>
                <w:color w:val="000000"/>
                <w:sz w:val="21"/>
                <w:szCs w:val="21"/>
              </w:rPr>
              <w:t>符合第二章“投标人须知”第1.3.3项规定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0" w:type="dxa"/>
            <w:vMerge w:val="continue"/>
          </w:tcPr>
          <w:p>
            <w:pPr>
              <w:rPr>
                <w:rFonts w:hint="eastAsia" w:ascii="宋体" w:hAnsi="宋体" w:eastAsia="宋体" w:cs="宋体"/>
                <w:color w:val="000000"/>
                <w:sz w:val="21"/>
                <w:szCs w:val="21"/>
              </w:rPr>
            </w:pPr>
          </w:p>
        </w:tc>
        <w:tc>
          <w:tcPr>
            <w:tcW w:w="1148" w:type="dxa"/>
            <w:vMerge w:val="continue"/>
          </w:tcPr>
          <w:p>
            <w:pPr>
              <w:rPr>
                <w:rFonts w:hint="eastAsia" w:ascii="宋体" w:hAnsi="宋体" w:eastAsia="宋体" w:cs="宋体"/>
                <w:color w:val="000000"/>
                <w:sz w:val="21"/>
                <w:szCs w:val="21"/>
              </w:rPr>
            </w:pPr>
          </w:p>
        </w:tc>
        <w:tc>
          <w:tcPr>
            <w:tcW w:w="1935" w:type="dxa"/>
          </w:tcPr>
          <w:p>
            <w:pPr>
              <w:rPr>
                <w:rFonts w:hint="eastAsia" w:ascii="宋体" w:hAnsi="宋体" w:eastAsia="宋体" w:cs="宋体"/>
                <w:color w:val="000000"/>
                <w:sz w:val="21"/>
                <w:szCs w:val="21"/>
              </w:rPr>
            </w:pPr>
            <w:r>
              <w:rPr>
                <w:rFonts w:hint="eastAsia" w:ascii="宋体" w:hAnsi="宋体" w:eastAsia="宋体" w:cs="宋体"/>
                <w:color w:val="000000"/>
                <w:sz w:val="21"/>
                <w:szCs w:val="21"/>
              </w:rPr>
              <w:t>投标有效期</w:t>
            </w:r>
          </w:p>
        </w:tc>
        <w:tc>
          <w:tcPr>
            <w:tcW w:w="4689" w:type="dxa"/>
          </w:tcPr>
          <w:p>
            <w:pPr>
              <w:rPr>
                <w:rFonts w:hint="eastAsia" w:ascii="宋体" w:hAnsi="宋体" w:eastAsia="宋体" w:cs="宋体"/>
                <w:color w:val="000000"/>
                <w:sz w:val="21"/>
                <w:szCs w:val="21"/>
              </w:rPr>
            </w:pPr>
            <w:r>
              <w:rPr>
                <w:rFonts w:hint="eastAsia" w:ascii="宋体" w:hAnsi="宋体" w:eastAsia="宋体" w:cs="宋体"/>
                <w:color w:val="000000"/>
                <w:sz w:val="21"/>
                <w:szCs w:val="21"/>
              </w:rPr>
              <w:t>符合第二章“投标人须知”第3.3.1项规定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0" w:type="dxa"/>
            <w:vMerge w:val="continue"/>
          </w:tcPr>
          <w:p>
            <w:pPr>
              <w:rPr>
                <w:rFonts w:hint="eastAsia" w:ascii="宋体" w:hAnsi="宋体" w:eastAsia="宋体" w:cs="宋体"/>
                <w:color w:val="000000"/>
                <w:sz w:val="21"/>
                <w:szCs w:val="21"/>
              </w:rPr>
            </w:pPr>
          </w:p>
        </w:tc>
        <w:tc>
          <w:tcPr>
            <w:tcW w:w="1148" w:type="dxa"/>
            <w:vMerge w:val="continue"/>
          </w:tcPr>
          <w:p>
            <w:pPr>
              <w:rPr>
                <w:rFonts w:hint="eastAsia" w:ascii="宋体" w:hAnsi="宋体" w:eastAsia="宋体" w:cs="宋体"/>
                <w:color w:val="000000"/>
                <w:sz w:val="21"/>
                <w:szCs w:val="21"/>
              </w:rPr>
            </w:pPr>
          </w:p>
        </w:tc>
        <w:tc>
          <w:tcPr>
            <w:tcW w:w="1935" w:type="dxa"/>
          </w:tcPr>
          <w:p>
            <w:pPr>
              <w:rPr>
                <w:rFonts w:hint="eastAsia" w:ascii="宋体" w:hAnsi="宋体" w:eastAsia="宋体" w:cs="宋体"/>
                <w:color w:val="000000"/>
                <w:sz w:val="21"/>
                <w:szCs w:val="21"/>
              </w:rPr>
            </w:pPr>
            <w:r>
              <w:rPr>
                <w:rFonts w:hint="eastAsia" w:ascii="宋体" w:hAnsi="宋体" w:eastAsia="宋体" w:cs="宋体"/>
                <w:color w:val="000000"/>
                <w:sz w:val="21"/>
                <w:szCs w:val="21"/>
              </w:rPr>
              <w:t>投标保证金</w:t>
            </w:r>
          </w:p>
        </w:tc>
        <w:tc>
          <w:tcPr>
            <w:tcW w:w="4689" w:type="dxa"/>
          </w:tcPr>
          <w:p>
            <w:pPr>
              <w:rPr>
                <w:rFonts w:hint="eastAsia" w:ascii="宋体" w:hAnsi="宋体" w:eastAsia="宋体" w:cs="宋体"/>
                <w:color w:val="000000"/>
                <w:sz w:val="21"/>
                <w:szCs w:val="21"/>
              </w:rPr>
            </w:pPr>
            <w:r>
              <w:rPr>
                <w:rFonts w:hint="eastAsia" w:ascii="宋体" w:hAnsi="宋体" w:eastAsia="宋体" w:cs="宋体"/>
                <w:color w:val="000000"/>
                <w:sz w:val="21"/>
                <w:szCs w:val="21"/>
              </w:rPr>
              <w:t>符合第二章“投标人须知”第3.4.1项规定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0" w:type="dxa"/>
            <w:vMerge w:val="continue"/>
          </w:tcPr>
          <w:p>
            <w:pPr>
              <w:rPr>
                <w:rFonts w:hint="eastAsia" w:ascii="宋体" w:hAnsi="宋体" w:eastAsia="宋体" w:cs="宋体"/>
                <w:color w:val="000000"/>
                <w:sz w:val="21"/>
                <w:szCs w:val="21"/>
              </w:rPr>
            </w:pPr>
          </w:p>
        </w:tc>
        <w:tc>
          <w:tcPr>
            <w:tcW w:w="1148" w:type="dxa"/>
            <w:vMerge w:val="continue"/>
          </w:tcPr>
          <w:p>
            <w:pPr>
              <w:rPr>
                <w:rFonts w:hint="eastAsia" w:ascii="宋体" w:hAnsi="宋体" w:eastAsia="宋体" w:cs="宋体"/>
                <w:color w:val="000000"/>
                <w:sz w:val="21"/>
                <w:szCs w:val="21"/>
              </w:rPr>
            </w:pPr>
          </w:p>
        </w:tc>
        <w:tc>
          <w:tcPr>
            <w:tcW w:w="1935" w:type="dxa"/>
          </w:tcPr>
          <w:p>
            <w:pPr>
              <w:rPr>
                <w:rFonts w:hint="eastAsia" w:ascii="宋体" w:hAnsi="宋体" w:eastAsia="宋体" w:cs="宋体"/>
                <w:color w:val="000000"/>
                <w:sz w:val="21"/>
                <w:szCs w:val="21"/>
              </w:rPr>
            </w:pPr>
            <w:r>
              <w:rPr>
                <w:rFonts w:hint="eastAsia" w:ascii="宋体" w:hAnsi="宋体" w:eastAsia="宋体" w:cs="宋体"/>
                <w:color w:val="000000"/>
                <w:sz w:val="21"/>
                <w:szCs w:val="21"/>
              </w:rPr>
              <w:t>权利义务</w:t>
            </w:r>
          </w:p>
        </w:tc>
        <w:tc>
          <w:tcPr>
            <w:tcW w:w="4689" w:type="dxa"/>
          </w:tcPr>
          <w:p>
            <w:pPr>
              <w:rPr>
                <w:rFonts w:hint="eastAsia" w:ascii="宋体" w:hAnsi="宋体" w:eastAsia="宋体" w:cs="宋体"/>
                <w:color w:val="000000"/>
                <w:sz w:val="21"/>
                <w:szCs w:val="21"/>
              </w:rPr>
            </w:pPr>
            <w:r>
              <w:rPr>
                <w:rFonts w:hint="eastAsia" w:ascii="宋体" w:hAnsi="宋体" w:eastAsia="宋体" w:cs="宋体"/>
                <w:color w:val="000000"/>
                <w:sz w:val="21"/>
                <w:szCs w:val="21"/>
              </w:rPr>
              <w:t>投标函附录中的相关承诺符合或优于第四章“合同条款及格式”的相关规定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0" w:type="dxa"/>
            <w:vMerge w:val="continue"/>
          </w:tcPr>
          <w:p>
            <w:pPr>
              <w:rPr>
                <w:rFonts w:hint="eastAsia" w:ascii="宋体" w:hAnsi="宋体" w:eastAsia="宋体" w:cs="宋体"/>
                <w:color w:val="000000"/>
                <w:sz w:val="21"/>
                <w:szCs w:val="21"/>
              </w:rPr>
            </w:pPr>
          </w:p>
        </w:tc>
        <w:tc>
          <w:tcPr>
            <w:tcW w:w="1148" w:type="dxa"/>
            <w:vMerge w:val="continue"/>
          </w:tcPr>
          <w:p>
            <w:pPr>
              <w:rPr>
                <w:rFonts w:hint="eastAsia" w:ascii="宋体" w:hAnsi="宋体" w:eastAsia="宋体" w:cs="宋体"/>
                <w:color w:val="000000"/>
                <w:sz w:val="21"/>
                <w:szCs w:val="21"/>
              </w:rPr>
            </w:pPr>
          </w:p>
        </w:tc>
        <w:tc>
          <w:tcPr>
            <w:tcW w:w="1935" w:type="dxa"/>
          </w:tcPr>
          <w:p>
            <w:pPr>
              <w:rPr>
                <w:rFonts w:hint="eastAsia" w:ascii="宋体" w:hAnsi="宋体" w:eastAsia="宋体" w:cs="宋体"/>
                <w:color w:val="000000"/>
                <w:sz w:val="21"/>
                <w:szCs w:val="21"/>
              </w:rPr>
            </w:pPr>
            <w:r>
              <w:rPr>
                <w:rFonts w:hint="eastAsia" w:ascii="宋体" w:hAnsi="宋体" w:eastAsia="宋体" w:cs="宋体"/>
                <w:color w:val="000000"/>
                <w:sz w:val="21"/>
                <w:szCs w:val="21"/>
              </w:rPr>
              <w:t>已标价的工程量清单</w:t>
            </w:r>
          </w:p>
        </w:tc>
        <w:tc>
          <w:tcPr>
            <w:tcW w:w="4689" w:type="dxa"/>
          </w:tcPr>
          <w:p>
            <w:pPr>
              <w:rPr>
                <w:rFonts w:hint="eastAsia" w:ascii="宋体" w:hAnsi="宋体" w:eastAsia="宋体" w:cs="宋体"/>
                <w:color w:val="000000"/>
                <w:sz w:val="21"/>
                <w:szCs w:val="21"/>
              </w:rPr>
            </w:pPr>
            <w:r>
              <w:rPr>
                <w:rFonts w:hint="eastAsia" w:ascii="宋体" w:hAnsi="宋体" w:eastAsia="宋体" w:cs="宋体"/>
                <w:color w:val="000000"/>
                <w:sz w:val="21"/>
                <w:szCs w:val="21"/>
              </w:rPr>
              <w:t>符合第二章“投标人须知”前附表第10.11.1项规定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0" w:type="dxa"/>
            <w:vMerge w:val="continue"/>
          </w:tcPr>
          <w:p>
            <w:pPr>
              <w:rPr>
                <w:rFonts w:hint="eastAsia" w:ascii="宋体" w:hAnsi="宋体" w:eastAsia="宋体" w:cs="宋体"/>
                <w:color w:val="000000"/>
                <w:sz w:val="21"/>
                <w:szCs w:val="21"/>
              </w:rPr>
            </w:pPr>
          </w:p>
        </w:tc>
        <w:tc>
          <w:tcPr>
            <w:tcW w:w="1148" w:type="dxa"/>
            <w:vMerge w:val="continue"/>
          </w:tcPr>
          <w:p>
            <w:pPr>
              <w:rPr>
                <w:rFonts w:hint="eastAsia" w:ascii="宋体" w:hAnsi="宋体" w:eastAsia="宋体" w:cs="宋体"/>
                <w:color w:val="000000"/>
                <w:sz w:val="21"/>
                <w:szCs w:val="21"/>
              </w:rPr>
            </w:pPr>
          </w:p>
        </w:tc>
        <w:tc>
          <w:tcPr>
            <w:tcW w:w="1935" w:type="dxa"/>
          </w:tcPr>
          <w:p>
            <w:pPr>
              <w:rPr>
                <w:rFonts w:hint="eastAsia" w:ascii="宋体" w:hAnsi="宋体" w:eastAsia="宋体" w:cs="宋体"/>
                <w:color w:val="000000"/>
                <w:sz w:val="21"/>
                <w:szCs w:val="21"/>
              </w:rPr>
            </w:pPr>
            <w:r>
              <w:rPr>
                <w:rFonts w:hint="eastAsia" w:ascii="宋体" w:hAnsi="宋体" w:eastAsia="宋体" w:cs="宋体"/>
                <w:color w:val="000000"/>
                <w:sz w:val="21"/>
                <w:szCs w:val="21"/>
              </w:rPr>
              <w:t>投标价格</w:t>
            </w:r>
          </w:p>
        </w:tc>
        <w:tc>
          <w:tcPr>
            <w:tcW w:w="4689" w:type="dxa"/>
          </w:tcPr>
          <w:p>
            <w:pPr>
              <w:rPr>
                <w:rFonts w:hint="eastAsia" w:ascii="宋体" w:hAnsi="宋体" w:eastAsia="宋体" w:cs="宋体"/>
                <w:color w:val="000000"/>
                <w:sz w:val="21"/>
                <w:szCs w:val="21"/>
              </w:rPr>
            </w:pPr>
            <w:r>
              <w:rPr>
                <w:rFonts w:hint="eastAsia" w:ascii="宋体" w:hAnsi="宋体" w:eastAsia="宋体" w:cs="宋体"/>
                <w:color w:val="000000"/>
                <w:sz w:val="21"/>
                <w:szCs w:val="21"/>
              </w:rPr>
              <w:t>不超出（含等于）第二章“投标人须知”前附表第10.1项载明的招标控制价；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5" w:hRule="atLeast"/>
        </w:trPr>
        <w:tc>
          <w:tcPr>
            <w:tcW w:w="840" w:type="dxa"/>
            <w:vMerge w:val="continue"/>
          </w:tcPr>
          <w:p>
            <w:pPr>
              <w:rPr>
                <w:rFonts w:hint="eastAsia" w:ascii="宋体" w:hAnsi="宋体" w:eastAsia="宋体" w:cs="宋体"/>
                <w:color w:val="000000"/>
                <w:sz w:val="21"/>
                <w:szCs w:val="21"/>
              </w:rPr>
            </w:pPr>
          </w:p>
        </w:tc>
        <w:tc>
          <w:tcPr>
            <w:tcW w:w="1148" w:type="dxa"/>
            <w:vMerge w:val="continue"/>
          </w:tcPr>
          <w:p>
            <w:pPr>
              <w:rPr>
                <w:rFonts w:hint="eastAsia" w:ascii="宋体" w:hAnsi="宋体" w:eastAsia="宋体" w:cs="宋体"/>
                <w:color w:val="000000"/>
                <w:sz w:val="21"/>
                <w:szCs w:val="21"/>
              </w:rPr>
            </w:pPr>
          </w:p>
        </w:tc>
        <w:tc>
          <w:tcPr>
            <w:tcW w:w="1935" w:type="dxa"/>
          </w:tcPr>
          <w:p>
            <w:pPr>
              <w:rPr>
                <w:rFonts w:hint="eastAsia" w:ascii="宋体" w:hAnsi="宋体" w:eastAsia="宋体" w:cs="宋体"/>
                <w:color w:val="000000"/>
                <w:sz w:val="21"/>
                <w:szCs w:val="21"/>
              </w:rPr>
            </w:pPr>
            <w:r>
              <w:rPr>
                <w:rFonts w:hint="eastAsia" w:ascii="宋体" w:hAnsi="宋体" w:eastAsia="宋体" w:cs="宋体"/>
                <w:color w:val="000000"/>
                <w:sz w:val="21"/>
                <w:szCs w:val="21"/>
              </w:rPr>
              <w:t>分包计划</w:t>
            </w:r>
          </w:p>
        </w:tc>
        <w:tc>
          <w:tcPr>
            <w:tcW w:w="4689" w:type="dxa"/>
          </w:tcPr>
          <w:p>
            <w:pPr>
              <w:rPr>
                <w:rFonts w:hint="eastAsia" w:ascii="宋体" w:hAnsi="宋体" w:eastAsia="宋体" w:cs="宋体"/>
                <w:color w:val="000000"/>
                <w:sz w:val="21"/>
                <w:szCs w:val="21"/>
              </w:rPr>
            </w:pPr>
            <w:r>
              <w:rPr>
                <w:rFonts w:hint="eastAsia" w:ascii="宋体" w:hAnsi="宋体" w:eastAsia="宋体" w:cs="宋体"/>
                <w:color w:val="000000"/>
                <w:sz w:val="21"/>
                <w:szCs w:val="21"/>
              </w:rPr>
              <w:t>符合第二章“投标人须知”第1.11款规定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4" w:hRule="atLeast"/>
        </w:trPr>
        <w:tc>
          <w:tcPr>
            <w:tcW w:w="1988" w:type="dxa"/>
            <w:gridSpan w:val="2"/>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条款号</w:t>
            </w:r>
          </w:p>
        </w:tc>
        <w:tc>
          <w:tcPr>
            <w:tcW w:w="1935" w:type="dxa"/>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条款内容</w:t>
            </w:r>
          </w:p>
        </w:tc>
        <w:tc>
          <w:tcPr>
            <w:tcW w:w="4689" w:type="dxa"/>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8" w:type="dxa"/>
            <w:gridSpan w:val="2"/>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2.2.1</w:t>
            </w:r>
          </w:p>
        </w:tc>
        <w:tc>
          <w:tcPr>
            <w:tcW w:w="1935" w:type="dxa"/>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分值构成</w:t>
            </w:r>
          </w:p>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（总分100分）</w:t>
            </w:r>
          </w:p>
        </w:tc>
        <w:tc>
          <w:tcPr>
            <w:tcW w:w="4689" w:type="dxa"/>
          </w:tcPr>
          <w:p>
            <w:pPr>
              <w:rPr>
                <w:rFonts w:hint="eastAsia" w:ascii="宋体" w:hAnsi="宋体" w:eastAsia="宋体" w:cs="宋体"/>
                <w:color w:val="000000"/>
                <w:sz w:val="21"/>
                <w:szCs w:val="21"/>
              </w:rPr>
            </w:pPr>
            <w:r>
              <w:rPr>
                <w:rFonts w:hint="eastAsia" w:ascii="宋体" w:hAnsi="宋体" w:eastAsia="宋体" w:cs="宋体"/>
                <w:color w:val="000000"/>
                <w:sz w:val="21"/>
                <w:szCs w:val="21"/>
              </w:rPr>
              <w:t>投标报价（A）权重：</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%（65%</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82%）</w:t>
            </w:r>
          </w:p>
          <w:p>
            <w:pPr>
              <w:rPr>
                <w:rFonts w:hint="eastAsia" w:ascii="宋体" w:hAnsi="宋体" w:eastAsia="宋体" w:cs="宋体"/>
                <w:color w:val="000000"/>
                <w:sz w:val="21"/>
                <w:szCs w:val="21"/>
              </w:rPr>
            </w:pPr>
            <w:r>
              <w:rPr>
                <w:rFonts w:hint="eastAsia" w:ascii="宋体" w:hAnsi="宋体" w:eastAsia="宋体" w:cs="宋体"/>
                <w:color w:val="000000"/>
                <w:sz w:val="21"/>
                <w:szCs w:val="21"/>
              </w:rPr>
              <w:t>其中：总报价得分（A1）权重：（25%）</w:t>
            </w:r>
          </w:p>
          <w:p>
            <w:pPr>
              <w:rPr>
                <w:rFonts w:hint="eastAsia" w:ascii="宋体" w:hAnsi="宋体" w:eastAsia="宋体" w:cs="宋体"/>
                <w:color w:val="000000"/>
                <w:sz w:val="21"/>
                <w:szCs w:val="21"/>
              </w:rPr>
            </w:pPr>
            <w:r>
              <w:rPr>
                <w:rFonts w:hint="eastAsia" w:ascii="宋体" w:hAnsi="宋体" w:eastAsia="宋体" w:cs="宋体"/>
                <w:color w:val="000000"/>
                <w:sz w:val="21"/>
                <w:szCs w:val="21"/>
              </w:rPr>
              <w:t>分部分项工程量清单报价得分（A2）权重：（45%）</w:t>
            </w:r>
          </w:p>
          <w:p>
            <w:pPr>
              <w:rPr>
                <w:rFonts w:hint="eastAsia" w:ascii="宋体" w:hAnsi="宋体" w:eastAsia="宋体" w:cs="宋体"/>
                <w:color w:val="000000"/>
                <w:sz w:val="21"/>
                <w:szCs w:val="21"/>
              </w:rPr>
            </w:pPr>
            <w:r>
              <w:rPr>
                <w:rFonts w:hint="eastAsia" w:ascii="宋体" w:hAnsi="宋体" w:eastAsia="宋体" w:cs="宋体"/>
                <w:color w:val="000000"/>
                <w:sz w:val="21"/>
                <w:szCs w:val="21"/>
              </w:rPr>
              <w:t>主要材料报价得分（A3）：（30%）</w:t>
            </w:r>
          </w:p>
          <w:p>
            <w:pPr>
              <w:rPr>
                <w:rFonts w:hint="eastAsia" w:ascii="宋体" w:hAnsi="宋体" w:eastAsia="宋体" w:cs="宋体"/>
                <w:color w:val="000000"/>
                <w:sz w:val="21"/>
                <w:szCs w:val="21"/>
              </w:rPr>
            </w:pPr>
            <w:r>
              <w:rPr>
                <w:rFonts w:hint="eastAsia" w:ascii="宋体" w:hAnsi="宋体" w:eastAsia="宋体" w:cs="宋体"/>
                <w:color w:val="000000"/>
                <w:sz w:val="21"/>
                <w:szCs w:val="21"/>
              </w:rPr>
              <w:t>企业诚信评价得分（B）权重：</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%（8%</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17%）</w:t>
            </w:r>
          </w:p>
          <w:p>
            <w:pPr>
              <w:rPr>
                <w:rFonts w:hint="eastAsia" w:ascii="宋体" w:hAnsi="宋体" w:eastAsia="宋体" w:cs="宋体"/>
                <w:color w:val="000000"/>
                <w:sz w:val="21"/>
                <w:szCs w:val="21"/>
              </w:rPr>
            </w:pPr>
            <w:r>
              <w:rPr>
                <w:rFonts w:hint="eastAsia" w:ascii="宋体" w:hAnsi="宋体" w:eastAsia="宋体" w:cs="宋体"/>
                <w:color w:val="000000"/>
                <w:sz w:val="21"/>
                <w:szCs w:val="21"/>
              </w:rPr>
              <w:t>拟派项目负责人诚信评价得分（C）权重：</w:t>
            </w:r>
            <w:r>
              <w:rPr>
                <w:rFonts w:hint="eastAsia" w:ascii="宋体" w:hAnsi="宋体" w:eastAsia="宋体" w:cs="宋体"/>
                <w:color w:val="000000"/>
                <w:sz w:val="21"/>
                <w:szCs w:val="21"/>
                <w:u w:val="single"/>
              </w:rPr>
              <w:t xml:space="preserve">   </w:t>
            </w:r>
            <w:r>
              <w:rPr>
                <w:rFonts w:hint="eastAsia" w:ascii="宋体" w:hAnsi="宋体" w:eastAsia="宋体" w:cs="宋体"/>
                <w:color w:val="000000"/>
                <w:sz w:val="21"/>
                <w:szCs w:val="21"/>
              </w:rPr>
              <w:t>%（10%</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8" w:type="dxa"/>
            <w:gridSpan w:val="2"/>
            <w:vAlign w:val="center"/>
          </w:tcPr>
          <w:p>
            <w:pPr>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2.2.2</w:t>
            </w:r>
          </w:p>
        </w:tc>
        <w:tc>
          <w:tcPr>
            <w:tcW w:w="1935" w:type="dxa"/>
            <w:vAlign w:val="center"/>
          </w:tcPr>
          <w:p>
            <w:pPr>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确定入围投标人</w:t>
            </w:r>
          </w:p>
          <w:p>
            <w:pPr>
              <w:jc w:val="center"/>
              <w:rPr>
                <w:rFonts w:hint="eastAsia" w:ascii="宋体" w:hAnsi="宋体" w:eastAsia="宋体" w:cs="宋体"/>
                <w:color w:val="000000"/>
                <w:sz w:val="21"/>
                <w:szCs w:val="21"/>
                <w:highlight w:val="none"/>
              </w:rPr>
            </w:pPr>
          </w:p>
        </w:tc>
        <w:tc>
          <w:tcPr>
            <w:tcW w:w="4689" w:type="dxa"/>
          </w:tcPr>
          <w:p>
            <w:pP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（一）投标人数量超过60家时“机器管招投标”系统计算方式。</w:t>
            </w:r>
          </w:p>
          <w:p>
            <w:pPr>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根据企业诚信评价等级为A级的投标人数量，如超过20家时，先剔除投标报价最高的20%家（有小数时按上限取整数）和最低的10%家（有小数时按上限取整数），然后进行算术平均，计算出算术平均值，再以算术平均值和投标报价的差的绝对值从低至高进行排列，取前20家（A级投标人数量没有达到20家时，全部进入。如差的绝对值相同时，取投标报价低的进入）进入评审；</w:t>
            </w:r>
          </w:p>
          <w:p>
            <w:pPr>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根据企业诚信评价等级为B级的投标人数量，如超过10家时，剔除投标报价最高的20%家（有小数时按上限取整数）和最低的10%家（有小数时按上限取整数），然后进行算术平均，计算出算术平均值，再以算术平均值和投标报价的差的绝对值从低至高进行排列，取前10家（B级投标人数量没有达到10家时，全部进入。如差的绝对值相同时，取投标报价低的进入）进入评审；</w:t>
            </w:r>
          </w:p>
          <w:p>
            <w:pPr>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符合投标条件的境外（含港、澳、台地区）企业参加投标且数量超过10家时，剔除投标报价最高的20%家（有小数时按上限取整数）和最低的10%家（有小数时按上限取整数），然后进行算术平均（10家以下（含10家）时，直接进行算术平均），计算出算术平均值，再以算术平均值和投标报价的差的绝对值从低至高进行排列（如差的绝对值相同时，取投标报价低的进入），取前5家（投标人数量不足5家时，全部进入）进入评审；</w:t>
            </w:r>
          </w:p>
          <w:p>
            <w:pPr>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最后将剩下投标人，剔除投标报价最高的20%家（有小数时按上限取整数）和最低的10%家的计算算术平均值，再以算术平均值和投标报价的差的绝对值从低至高进行排列补齐25家（没有第3项情形的，补齐到30家）（如差的绝对值相同时，取投标报价低的进入，如A级、B级、境外（含港、澳、台地区）企业没有达到上述规定数量时，应按60家的数量补齐）进入评审。</w:t>
            </w:r>
          </w:p>
          <w:p>
            <w:pP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（二）投标人数量没有达到60家时，全部进入。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8" w:type="dxa"/>
            <w:gridSpan w:val="2"/>
            <w:vAlign w:val="center"/>
          </w:tcPr>
          <w:p>
            <w:pPr>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2.2.3</w:t>
            </w:r>
          </w:p>
        </w:tc>
        <w:tc>
          <w:tcPr>
            <w:tcW w:w="1935" w:type="dxa"/>
            <w:vAlign w:val="center"/>
          </w:tcPr>
          <w:p>
            <w:pPr>
              <w:jc w:val="center"/>
              <w:rPr>
                <w:rFonts w:hint="eastAsia" w:ascii="宋体" w:hAnsi="宋体" w:eastAsia="宋体" w:cs="宋体"/>
                <w:b/>
                <w:bCs/>
                <w:kern w:val="0"/>
                <w:sz w:val="21"/>
                <w:szCs w:val="21"/>
                <w:highlight w:val="none"/>
              </w:rPr>
            </w:pPr>
            <w:r>
              <w:rPr>
                <w:rFonts w:hint="eastAsia" w:ascii="宋体" w:hAnsi="宋体" w:eastAsia="宋体" w:cs="宋体"/>
                <w:color w:val="000000"/>
                <w:sz w:val="21"/>
                <w:szCs w:val="21"/>
                <w:highlight w:val="none"/>
              </w:rPr>
              <w:t>投标报价得分计算方法（A）</w:t>
            </w:r>
          </w:p>
        </w:tc>
        <w:tc>
          <w:tcPr>
            <w:tcW w:w="4689" w:type="dxa"/>
          </w:tcPr>
          <w:p>
            <w:pPr>
              <w:widowControl/>
              <w:spacing w:line="240" w:lineRule="auto"/>
              <w:ind w:firstLine="420" w:firstLineChars="20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（一）确定评审投标人</w:t>
            </w:r>
          </w:p>
          <w:p>
            <w:pPr>
              <w:bidi w:val="0"/>
              <w:rPr>
                <w:rFonts w:hint="eastAsia"/>
                <w:b/>
                <w:bCs/>
              </w:rPr>
            </w:pPr>
            <w:r>
              <w:rPr>
                <w:rFonts w:hint="eastAsia"/>
                <w:b/>
                <w:bCs/>
              </w:rPr>
              <w:t>（一）确定评审投标人</w:t>
            </w:r>
          </w:p>
          <w:p>
            <w:pPr>
              <w:bidi w:val="0"/>
              <w:rPr>
                <w:rFonts w:hint="eastAsia"/>
                <w:b/>
                <w:bCs/>
              </w:rPr>
            </w:pPr>
            <w:r>
              <w:rPr>
                <w:rFonts w:hint="eastAsia"/>
                <w:b/>
                <w:bCs/>
              </w:rPr>
              <w:t>1.计算平均值Pp：</w:t>
            </w:r>
          </w:p>
          <w:p>
            <w:pPr>
              <w:pStyle w:val="95"/>
              <w:spacing w:before="218" w:line="240" w:lineRule="auto"/>
              <w:ind w:left="110" w:right="102" w:firstLine="378"/>
              <w:jc w:val="both"/>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先剔除投标报价最高的20%家（有</w:t>
            </w:r>
            <w:r>
              <w:rPr>
                <w:rFonts w:hint="eastAsia" w:ascii="宋体" w:hAnsi="宋体" w:eastAsia="宋体" w:cs="宋体"/>
                <w:spacing w:val="-5"/>
                <w:sz w:val="21"/>
                <w:szCs w:val="21"/>
                <w:highlight w:val="none"/>
              </w:rPr>
              <w:t>小数时按上限取整数以X表示）和最低的10%家（有小数时按上限取整数以</w:t>
            </w:r>
            <w:r>
              <w:rPr>
                <w:rFonts w:hint="eastAsia" w:ascii="宋体" w:hAnsi="宋体" w:eastAsia="宋体" w:cs="宋体"/>
                <w:spacing w:val="-2"/>
                <w:sz w:val="21"/>
                <w:szCs w:val="21"/>
                <w:highlight w:val="none"/>
              </w:rPr>
              <w:t>Y表示</w:t>
            </w:r>
            <w:r>
              <w:rPr>
                <w:rFonts w:hint="eastAsia" w:ascii="宋体" w:hAnsi="宋体" w:eastAsia="宋体" w:cs="宋体"/>
                <w:spacing w:val="-24"/>
                <w:sz w:val="21"/>
                <w:szCs w:val="21"/>
                <w:highlight w:val="none"/>
              </w:rPr>
              <w:t>），</w:t>
            </w:r>
            <w:r>
              <w:rPr>
                <w:rFonts w:hint="eastAsia" w:ascii="宋体" w:hAnsi="宋体" w:eastAsia="宋体" w:cs="宋体"/>
                <w:spacing w:val="-2"/>
                <w:sz w:val="21"/>
                <w:szCs w:val="21"/>
                <w:highlight w:val="none"/>
              </w:rPr>
              <w:t>然后进行算术平均（剔除投标报价后的数量应等于计算算术平均的数量</w:t>
            </w:r>
            <w:r>
              <w:rPr>
                <w:rFonts w:hint="eastAsia" w:ascii="宋体" w:hAnsi="宋体" w:eastAsia="宋体" w:cs="宋体"/>
                <w:spacing w:val="-32"/>
                <w:sz w:val="21"/>
                <w:szCs w:val="21"/>
                <w:highlight w:val="none"/>
              </w:rPr>
              <w:t>），</w:t>
            </w:r>
            <w:r>
              <w:rPr>
                <w:rFonts w:hint="eastAsia" w:ascii="宋体" w:hAnsi="宋体" w:eastAsia="宋体" w:cs="宋体"/>
                <w:spacing w:val="-2"/>
                <w:sz w:val="21"/>
                <w:szCs w:val="21"/>
                <w:highlight w:val="none"/>
              </w:rPr>
              <w:t>计算得出投标人投标报价的平均值。</w:t>
            </w:r>
          </w:p>
          <w:p>
            <w:pPr>
              <w:pStyle w:val="95"/>
              <w:spacing w:before="218" w:line="240" w:lineRule="auto"/>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当n≤10时，Pp=∑Pi/n</w:t>
            </w:r>
          </w:p>
          <w:p>
            <w:pPr>
              <w:pStyle w:val="95"/>
              <w:spacing w:before="277"/>
              <w:rPr>
                <w:rFonts w:hint="eastAsia" w:ascii="宋体" w:hAnsi="宋体" w:eastAsia="宋体" w:cs="宋体"/>
                <w:sz w:val="21"/>
                <w:szCs w:val="21"/>
                <w:highlight w:val="none"/>
              </w:rPr>
            </w:pPr>
            <w:r>
              <w:rPr>
                <w:rFonts w:hint="eastAsia" w:ascii="宋体" w:hAnsi="宋体" w:eastAsia="宋体" w:cs="宋体"/>
                <w:spacing w:val="5"/>
                <w:position w:val="1"/>
                <w:sz w:val="21"/>
                <w:szCs w:val="21"/>
                <w:highlight w:val="none"/>
              </w:rPr>
              <w:t>当n＞10时，</w:t>
            </w:r>
            <w:r>
              <w:rPr>
                <w:rFonts w:hint="eastAsia" w:ascii="宋体" w:hAnsi="宋体" w:eastAsia="宋体" w:cs="宋体"/>
                <w:position w:val="1"/>
                <w:sz w:val="21"/>
                <w:szCs w:val="21"/>
                <w:highlight w:val="none"/>
              </w:rPr>
              <w:t>Pp</w:t>
            </w:r>
            <w:r>
              <w:rPr>
                <w:rFonts w:hint="eastAsia" w:ascii="宋体" w:hAnsi="宋体" w:eastAsia="宋体" w:cs="宋体"/>
                <w:spacing w:val="5"/>
                <w:position w:val="1"/>
                <w:sz w:val="21"/>
                <w:szCs w:val="21"/>
                <w:highlight w:val="none"/>
              </w:rPr>
              <w:t>=(∑</w:t>
            </w:r>
            <w:r>
              <w:rPr>
                <w:rFonts w:hint="eastAsia" w:ascii="宋体" w:hAnsi="宋体" w:eastAsia="宋体" w:cs="宋体"/>
                <w:position w:val="1"/>
                <w:sz w:val="21"/>
                <w:szCs w:val="21"/>
                <w:highlight w:val="none"/>
              </w:rPr>
              <w:t>Pi</w:t>
            </w:r>
            <w:r>
              <w:rPr>
                <w:rFonts w:hint="eastAsia" w:ascii="宋体" w:hAnsi="宋体" w:eastAsia="宋体" w:cs="宋体"/>
                <w:spacing w:val="5"/>
                <w:position w:val="1"/>
                <w:sz w:val="21"/>
                <w:szCs w:val="21"/>
                <w:highlight w:val="none"/>
              </w:rPr>
              <w:t>-</w:t>
            </w:r>
            <w:r>
              <w:rPr>
                <w:rFonts w:hint="eastAsia" w:ascii="宋体" w:hAnsi="宋体" w:eastAsia="宋体" w:cs="宋体"/>
                <w:position w:val="-21"/>
                <w:sz w:val="21"/>
                <w:szCs w:val="21"/>
                <w:highlight w:val="none"/>
              </w:rPr>
              <w:drawing>
                <wp:inline distT="0" distB="0" distL="0" distR="0">
                  <wp:extent cx="157480" cy="374015"/>
                  <wp:effectExtent l="0" t="0" r="13970" b="6985"/>
                  <wp:docPr id="33" name="IM 28"/>
                  <wp:cNvGraphicFramePr/>
                  <a:graphic xmlns:a="http://schemas.openxmlformats.org/drawingml/2006/main">
                    <a:graphicData uri="http://schemas.openxmlformats.org/drawingml/2006/picture">
                      <pic:pic xmlns:pic="http://schemas.openxmlformats.org/drawingml/2006/picture">
                        <pic:nvPicPr>
                          <pic:cNvPr id="33" name="IM 28"/>
                          <pic:cNvPicPr/>
                        </pic:nvPicPr>
                        <pic:blipFill>
                          <a:blip r:embed="rId44"/>
                          <a:stretch>
                            <a:fillRect/>
                          </a:stretch>
                        </pic:blipFill>
                        <pic:spPr>
                          <a:xfrm>
                            <a:off x="0" y="0"/>
                            <a:ext cx="158019" cy="374035"/>
                          </a:xfrm>
                          <a:prstGeom prst="rect">
                            <a:avLst/>
                          </a:prstGeom>
                        </pic:spPr>
                      </pic:pic>
                    </a:graphicData>
                  </a:graphic>
                </wp:inline>
              </w:drawing>
            </w:r>
            <w:r>
              <w:rPr>
                <w:rFonts w:hint="eastAsia" w:ascii="宋体" w:hAnsi="宋体" w:eastAsia="宋体" w:cs="宋体"/>
                <w:position w:val="1"/>
                <w:sz w:val="21"/>
                <w:szCs w:val="21"/>
                <w:highlight w:val="none"/>
              </w:rPr>
              <w:t>Pmax</w:t>
            </w:r>
            <w:r>
              <w:rPr>
                <w:rFonts w:hint="eastAsia" w:ascii="宋体" w:hAnsi="宋体" w:eastAsia="宋体" w:cs="宋体"/>
                <w:spacing w:val="5"/>
                <w:position w:val="1"/>
                <w:sz w:val="21"/>
                <w:szCs w:val="21"/>
                <w:highlight w:val="none"/>
              </w:rPr>
              <w:t>-</w:t>
            </w:r>
            <w:r>
              <w:rPr>
                <w:rFonts w:hint="eastAsia" w:ascii="宋体" w:hAnsi="宋体" w:eastAsia="宋体" w:cs="宋体"/>
                <w:position w:val="-21"/>
                <w:sz w:val="21"/>
                <w:szCs w:val="21"/>
                <w:highlight w:val="none"/>
              </w:rPr>
              <w:drawing>
                <wp:inline distT="0" distB="0" distL="0" distR="0">
                  <wp:extent cx="157480" cy="374015"/>
                  <wp:effectExtent l="0" t="0" r="13970" b="6985"/>
                  <wp:docPr id="34" name="IM 30"/>
                  <wp:cNvGraphicFramePr/>
                  <a:graphic xmlns:a="http://schemas.openxmlformats.org/drawingml/2006/main">
                    <a:graphicData uri="http://schemas.openxmlformats.org/drawingml/2006/picture">
                      <pic:pic xmlns:pic="http://schemas.openxmlformats.org/drawingml/2006/picture">
                        <pic:nvPicPr>
                          <pic:cNvPr id="34" name="IM 30"/>
                          <pic:cNvPicPr/>
                        </pic:nvPicPr>
                        <pic:blipFill>
                          <a:blip r:embed="rId45"/>
                          <a:stretch>
                            <a:fillRect/>
                          </a:stretch>
                        </pic:blipFill>
                        <pic:spPr>
                          <a:xfrm>
                            <a:off x="0" y="0"/>
                            <a:ext cx="158011" cy="374079"/>
                          </a:xfrm>
                          <a:prstGeom prst="rect">
                            <a:avLst/>
                          </a:prstGeom>
                        </pic:spPr>
                      </pic:pic>
                    </a:graphicData>
                  </a:graphic>
                </wp:inline>
              </w:drawing>
            </w:r>
            <w:r>
              <w:rPr>
                <w:rFonts w:hint="eastAsia" w:ascii="宋体" w:hAnsi="宋体" w:eastAsia="宋体" w:cs="宋体"/>
                <w:position w:val="1"/>
                <w:sz w:val="21"/>
                <w:szCs w:val="21"/>
                <w:highlight w:val="none"/>
              </w:rPr>
              <w:t>Pmin</w:t>
            </w:r>
            <w:r>
              <w:rPr>
                <w:rFonts w:hint="eastAsia" w:ascii="宋体" w:hAnsi="宋体" w:eastAsia="宋体" w:cs="宋体"/>
                <w:spacing w:val="5"/>
                <w:position w:val="1"/>
                <w:sz w:val="21"/>
                <w:szCs w:val="21"/>
                <w:highlight w:val="none"/>
              </w:rPr>
              <w:t>）/(n-X-Y)</w:t>
            </w:r>
          </w:p>
          <w:p>
            <w:pPr>
              <w:numPr>
                <w:ilvl w:val="0"/>
                <w:numId w:val="2"/>
              </w:numPr>
              <w:bidi w:val="0"/>
              <w:rPr>
                <w:rFonts w:hint="eastAsia"/>
                <w:b/>
                <w:bCs/>
              </w:rPr>
            </w:pPr>
            <w:r>
              <w:rPr>
                <w:rFonts w:hint="eastAsia"/>
                <w:b/>
                <w:bCs/>
              </w:rPr>
              <w:t>计算评标基准价Pg</w:t>
            </w:r>
          </w:p>
          <w:p>
            <w:pPr>
              <w:widowControl/>
              <w:numPr>
                <w:ilvl w:val="0"/>
                <w:numId w:val="0"/>
              </w:numPr>
              <w:spacing w:line="240" w:lineRule="auto"/>
              <w:ind w:firstLine="420" w:firstLineChars="20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Pg=Pp×(1-Fg)</w:t>
            </w:r>
          </w:p>
          <w:p>
            <w:pPr>
              <w:widowControl/>
              <w:numPr>
                <w:ilvl w:val="0"/>
                <w:numId w:val="0"/>
              </w:numPr>
              <w:spacing w:line="240" w:lineRule="auto"/>
              <w:ind w:firstLine="420" w:firstLineChars="20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Fg为投标竞争率。投标竞争率由招标人在招标文件中确定。投标竞争率可参照以下计取：房屋建筑工程为1.80%；市政工程取值为3.20%；专业工程取值为3.50%；绿化种植工程取值为5.00%；园建工程或综合园林工程取值为1.50%。</w:t>
            </w:r>
          </w:p>
          <w:p>
            <w:pPr>
              <w:widowControl/>
              <w:numPr>
                <w:ilvl w:val="0"/>
                <w:numId w:val="0"/>
              </w:numPr>
              <w:spacing w:line="240" w:lineRule="auto"/>
              <w:ind w:firstLine="420" w:firstLineChars="200"/>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3.确定2</w:t>
            </w:r>
            <w:r>
              <w:rPr>
                <w:rFonts w:hint="eastAsia" w:ascii="宋体" w:hAnsi="宋体" w:cs="宋体"/>
                <w:b/>
                <w:bCs/>
                <w:kern w:val="0"/>
                <w:sz w:val="21"/>
                <w:szCs w:val="21"/>
                <w:highlight w:val="none"/>
                <w:lang w:val="en-US" w:eastAsia="zh-CN"/>
              </w:rPr>
              <w:t>0</w:t>
            </w:r>
            <w:r>
              <w:rPr>
                <w:rFonts w:hint="eastAsia" w:ascii="宋体" w:hAnsi="宋体" w:eastAsia="宋体" w:cs="宋体"/>
                <w:b/>
                <w:bCs/>
                <w:kern w:val="0"/>
                <w:sz w:val="21"/>
                <w:szCs w:val="21"/>
                <w:highlight w:val="none"/>
              </w:rPr>
              <w:t>家参与评审投标人</w:t>
            </w:r>
          </w:p>
          <w:p>
            <w:pPr>
              <w:widowControl/>
              <w:numPr>
                <w:ilvl w:val="0"/>
                <w:numId w:val="0"/>
              </w:numPr>
              <w:spacing w:line="240" w:lineRule="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以评标基准价Pg比较所有投标人的投标报价，将投标报价和评标基准价Pg差的绝对值从低至高进行排列，取前20家（不足20家时全部计算）进行评审。</w:t>
            </w:r>
          </w:p>
          <w:p>
            <w:pPr>
              <w:widowControl/>
              <w:numPr>
                <w:ilvl w:val="0"/>
                <w:numId w:val="0"/>
              </w:numPr>
              <w:spacing w:line="240" w:lineRule="auto"/>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（二）计算投标人报价得分</w:t>
            </w:r>
          </w:p>
          <w:p>
            <w:pPr>
              <w:widowControl/>
              <w:numPr>
                <w:ilvl w:val="0"/>
                <w:numId w:val="0"/>
              </w:numPr>
              <w:spacing w:line="240" w:lineRule="auto"/>
              <w:ind w:firstLine="420" w:firstLineChars="20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1.总报价得分（A1）（占投标报价权重25%）。</w:t>
            </w:r>
          </w:p>
          <w:p>
            <w:pPr>
              <w:widowControl/>
              <w:numPr>
                <w:ilvl w:val="0"/>
                <w:numId w:val="0"/>
              </w:numPr>
              <w:spacing w:line="240" w:lineRule="auto"/>
              <w:ind w:firstLine="420" w:firstLineChars="20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以评标基准价Pg与入围的20家投标人的投标报价Pi进行对比，计算工程量清单总报价（A1）得分。</w:t>
            </w:r>
          </w:p>
          <w:p>
            <w:pPr>
              <w:widowControl/>
              <w:numPr>
                <w:ilvl w:val="0"/>
                <w:numId w:val="0"/>
              </w:numPr>
              <w:spacing w:line="240" w:lineRule="auto"/>
              <w:ind w:firstLine="420" w:firstLineChars="20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⑴投标报价Pi每高于评标基准价Pg的1%（含1%）扣1分。以满分25分为例，工程量清单总报价（A1）得分的计算公式为：</w:t>
            </w:r>
          </w:p>
          <w:p>
            <w:pPr>
              <w:widowControl/>
              <w:numPr>
                <w:ilvl w:val="0"/>
                <w:numId w:val="0"/>
              </w:numPr>
              <w:spacing w:line="240" w:lineRule="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A1＝25－[（Pi-Pg）/Pg]×100×1</w:t>
            </w:r>
          </w:p>
          <w:p>
            <w:pPr>
              <w:widowControl/>
              <w:numPr>
                <w:ilvl w:val="0"/>
                <w:numId w:val="0"/>
              </w:numPr>
              <w:spacing w:line="240" w:lineRule="auto"/>
              <w:ind w:firstLine="420" w:firstLineChars="20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⑵投标报价Pi每低于评标基准价Pg的1%（含1%）扣0.5分。以满分25分为例，工程量清单总报价（A1）得分的计算公式为：</w:t>
            </w:r>
          </w:p>
          <w:p>
            <w:pPr>
              <w:widowControl/>
              <w:numPr>
                <w:ilvl w:val="0"/>
                <w:numId w:val="0"/>
              </w:numPr>
              <w:spacing w:line="240" w:lineRule="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A1＝25－[（Pg-Pi）/Pg]×100×0.5</w:t>
            </w:r>
          </w:p>
          <w:p>
            <w:pPr>
              <w:widowControl/>
              <w:numPr>
                <w:ilvl w:val="0"/>
                <w:numId w:val="0"/>
              </w:numPr>
              <w:spacing w:line="240" w:lineRule="auto"/>
              <w:ind w:firstLine="420" w:firstLineChars="200"/>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2.分部分项工程量清单报价得分（A2）（占投标报价权重的45%）。</w:t>
            </w:r>
          </w:p>
          <w:p>
            <w:pPr>
              <w:widowControl/>
              <w:numPr>
                <w:ilvl w:val="0"/>
                <w:numId w:val="0"/>
              </w:numPr>
              <w:spacing w:line="240" w:lineRule="auto"/>
              <w:ind w:firstLine="420" w:firstLineChars="20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先按照各分部工程造价占招标控制价的比重从高至低确定5个分部工程，再从5个分部工程中抽取分部分项工程量清单综合合价占该分部工程造价的比重从高至低分别取6、5、4、3、2共20项工程量清单作为评审内容。5个确定的分部工程工程量清单不足以上规定数量的，按实际工程量清单列计。</w:t>
            </w:r>
          </w:p>
          <w:p>
            <w:pPr>
              <w:widowControl/>
              <w:numPr>
                <w:ilvl w:val="0"/>
                <w:numId w:val="0"/>
              </w:numPr>
              <w:spacing w:line="240" w:lineRule="auto"/>
              <w:ind w:firstLine="420" w:firstLineChars="200"/>
              <w:rPr>
                <w:rFonts w:hint="eastAsia" w:ascii="宋体" w:hAnsi="宋体" w:eastAsia="宋体" w:cs="宋体"/>
                <w:spacing w:val="-1"/>
                <w:sz w:val="21"/>
                <w:szCs w:val="21"/>
                <w:highlight w:val="none"/>
              </w:rPr>
            </w:pPr>
            <w:r>
              <w:rPr>
                <w:rFonts w:hint="eastAsia" w:ascii="宋体" w:hAnsi="宋体" w:eastAsia="宋体" w:cs="宋体"/>
                <w:kern w:val="0"/>
                <w:sz w:val="21"/>
                <w:szCs w:val="21"/>
                <w:highlight w:val="none"/>
              </w:rPr>
              <w:t>评审标准以评标基准价Pg与招标控制价对比计算下浮率，再</w:t>
            </w:r>
            <w:r>
              <w:rPr>
                <w:rFonts w:hint="eastAsia" w:ascii="宋体" w:hAnsi="宋体" w:eastAsia="宋体" w:cs="宋体"/>
                <w:spacing w:val="-2"/>
                <w:sz w:val="21"/>
                <w:szCs w:val="21"/>
                <w:highlight w:val="none"/>
              </w:rPr>
              <w:t>以计算出来的下浮率修正招标控制价中对应的20项工程量清单的</w:t>
            </w:r>
            <w:r>
              <w:rPr>
                <w:rFonts w:hint="eastAsia" w:ascii="宋体" w:hAnsi="宋体" w:eastAsia="宋体" w:cs="宋体"/>
                <w:spacing w:val="-6"/>
                <w:sz w:val="21"/>
                <w:szCs w:val="21"/>
                <w:highlight w:val="none"/>
              </w:rPr>
              <w:t>综合单价，作为修正后综合单价Qx，同时以Qx的+10%（含10%）</w:t>
            </w:r>
            <w:r>
              <w:rPr>
                <w:rFonts w:hint="eastAsia" w:ascii="宋体" w:hAnsi="宋体" w:eastAsia="宋体" w:cs="宋体"/>
                <w:spacing w:val="2"/>
                <w:sz w:val="21"/>
                <w:szCs w:val="21"/>
                <w:highlight w:val="none"/>
              </w:rPr>
              <w:t>作为分部分项工程工程量清单最高投标限价（其中综合单价中的人工工资单价不得低于相应时期省住房和城乡建设厅发布的人工</w:t>
            </w:r>
            <w:r>
              <w:rPr>
                <w:rFonts w:hint="eastAsia" w:ascii="宋体" w:hAnsi="宋体" w:eastAsia="宋体" w:cs="宋体"/>
                <w:spacing w:val="-7"/>
                <w:sz w:val="21"/>
                <w:szCs w:val="21"/>
                <w:highlight w:val="none"/>
              </w:rPr>
              <w:t>工资单价</w:t>
            </w:r>
            <w:r>
              <w:rPr>
                <w:rFonts w:hint="eastAsia" w:ascii="宋体" w:hAnsi="宋体" w:eastAsia="宋体" w:cs="宋体"/>
                <w:sz w:val="21"/>
                <w:szCs w:val="21"/>
                <w:highlight w:val="none"/>
              </w:rPr>
              <w:t>），</w:t>
            </w:r>
            <w:r>
              <w:rPr>
                <w:rFonts w:hint="eastAsia" w:ascii="宋体" w:hAnsi="宋体" w:eastAsia="宋体" w:cs="宋体"/>
                <w:spacing w:val="-7"/>
                <w:sz w:val="21"/>
                <w:szCs w:val="21"/>
                <w:highlight w:val="none"/>
              </w:rPr>
              <w:t>超过+10%的综合单价得0分，该分部分项工程工程</w:t>
            </w:r>
            <w:r>
              <w:rPr>
                <w:rFonts w:hint="eastAsia" w:ascii="宋体" w:hAnsi="宋体" w:eastAsia="宋体" w:cs="宋体"/>
                <w:spacing w:val="-1"/>
                <w:sz w:val="21"/>
                <w:szCs w:val="21"/>
                <w:highlight w:val="none"/>
              </w:rPr>
              <w:t>量清单综合单价不得参与算术平均值的计算。</w:t>
            </w:r>
          </w:p>
          <w:p>
            <w:pPr>
              <w:widowControl/>
              <w:numPr>
                <w:ilvl w:val="0"/>
                <w:numId w:val="0"/>
              </w:numPr>
              <w:spacing w:line="240" w:lineRule="auto"/>
              <w:ind w:firstLine="412" w:firstLineChars="200"/>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评审时先将20项工程量清单分部工程投标报价去掉2家最高</w:t>
            </w:r>
            <w:r>
              <w:rPr>
                <w:rFonts w:hint="eastAsia" w:ascii="宋体" w:hAnsi="宋体" w:eastAsia="宋体" w:cs="宋体"/>
                <w:spacing w:val="-3"/>
                <w:sz w:val="21"/>
                <w:szCs w:val="21"/>
                <w:highlight w:val="none"/>
              </w:rPr>
              <w:t>报价和2家最低报价后，计算出20项工程量清单分部工程投标报</w:t>
            </w:r>
            <w:r>
              <w:rPr>
                <w:rFonts w:hint="eastAsia" w:ascii="宋体" w:hAnsi="宋体" w:eastAsia="宋体" w:cs="宋体"/>
                <w:spacing w:val="-6"/>
                <w:sz w:val="21"/>
                <w:szCs w:val="21"/>
                <w:highlight w:val="none"/>
              </w:rPr>
              <w:t>价的算术平均值（当≤7家符合要求时，不去掉最高和最低报价，</w:t>
            </w:r>
            <w:r>
              <w:rPr>
                <w:rFonts w:hint="eastAsia" w:ascii="宋体" w:hAnsi="宋体" w:eastAsia="宋体" w:cs="宋体"/>
                <w:spacing w:val="-1"/>
                <w:sz w:val="21"/>
                <w:szCs w:val="21"/>
                <w:highlight w:val="none"/>
              </w:rPr>
              <w:t>直接计算算术平均值</w:t>
            </w:r>
            <w:r>
              <w:rPr>
                <w:rFonts w:hint="eastAsia" w:ascii="宋体" w:hAnsi="宋体" w:eastAsia="宋体" w:cs="宋体"/>
                <w:spacing w:val="-17"/>
                <w:sz w:val="21"/>
                <w:szCs w:val="21"/>
                <w:highlight w:val="none"/>
              </w:rPr>
              <w:t>），</w:t>
            </w:r>
            <w:r>
              <w:rPr>
                <w:rFonts w:hint="eastAsia" w:ascii="宋体" w:hAnsi="宋体" w:eastAsia="宋体" w:cs="宋体"/>
                <w:spacing w:val="-1"/>
                <w:sz w:val="21"/>
                <w:szCs w:val="21"/>
                <w:highlight w:val="none"/>
              </w:rPr>
              <w:t>再以算术平均值与20</w:t>
            </w:r>
            <w:r>
              <w:rPr>
                <w:rFonts w:hint="eastAsia" w:ascii="宋体" w:hAnsi="宋体" w:eastAsia="宋体" w:cs="宋体"/>
                <w:spacing w:val="-2"/>
                <w:sz w:val="21"/>
                <w:szCs w:val="21"/>
                <w:highlight w:val="none"/>
              </w:rPr>
              <w:t>项工程量清单分部</w:t>
            </w:r>
            <w:r>
              <w:rPr>
                <w:rFonts w:hint="eastAsia" w:ascii="宋体" w:hAnsi="宋体" w:eastAsia="宋体" w:cs="宋体"/>
                <w:sz w:val="21"/>
                <w:szCs w:val="21"/>
                <w:highlight w:val="none"/>
              </w:rPr>
              <w:t>工程招标控制价对比计算下浮率Qf，然后用下浮</w:t>
            </w:r>
            <w:r>
              <w:rPr>
                <w:rFonts w:hint="eastAsia" w:ascii="宋体" w:hAnsi="宋体" w:eastAsia="宋体" w:cs="宋体"/>
                <w:spacing w:val="-1"/>
                <w:sz w:val="21"/>
                <w:szCs w:val="21"/>
                <w:highlight w:val="none"/>
              </w:rPr>
              <w:t>率修正招标控制</w:t>
            </w:r>
            <w:r>
              <w:rPr>
                <w:rFonts w:hint="eastAsia" w:ascii="宋体" w:hAnsi="宋体" w:eastAsia="宋体" w:cs="宋体"/>
                <w:spacing w:val="2"/>
                <w:sz w:val="21"/>
                <w:szCs w:val="21"/>
                <w:highlight w:val="none"/>
              </w:rPr>
              <w:t>价中对应的20项工程量清单的综合单价，作为修正后综合</w:t>
            </w:r>
            <w:r>
              <w:rPr>
                <w:rFonts w:hint="eastAsia" w:ascii="宋体" w:hAnsi="宋体" w:eastAsia="宋体" w:cs="宋体"/>
                <w:spacing w:val="1"/>
                <w:sz w:val="21"/>
                <w:szCs w:val="21"/>
                <w:highlight w:val="none"/>
              </w:rPr>
              <w:t>单价</w:t>
            </w:r>
            <w:r>
              <w:rPr>
                <w:rFonts w:hint="eastAsia" w:ascii="宋体" w:hAnsi="宋体" w:eastAsia="宋体" w:cs="宋体"/>
                <w:spacing w:val="-1"/>
                <w:sz w:val="21"/>
                <w:szCs w:val="21"/>
                <w:highlight w:val="none"/>
              </w:rPr>
              <w:t>Qb，再将Qx和Qb进行算术平均，计算出工程量清单综合单价的</w:t>
            </w:r>
            <w:r>
              <w:rPr>
                <w:rFonts w:hint="eastAsia" w:ascii="宋体" w:hAnsi="宋体" w:eastAsia="宋体" w:cs="宋体"/>
                <w:spacing w:val="-2"/>
                <w:sz w:val="21"/>
                <w:szCs w:val="21"/>
                <w:highlight w:val="none"/>
              </w:rPr>
              <w:t>评标基准价Pq。</w:t>
            </w:r>
          </w:p>
          <w:p>
            <w:pPr>
              <w:widowControl/>
              <w:numPr>
                <w:ilvl w:val="0"/>
                <w:numId w:val="0"/>
              </w:numPr>
              <w:spacing w:line="240" w:lineRule="auto"/>
              <w:ind w:firstLine="428" w:firstLineChars="200"/>
              <w:rPr>
                <w:rFonts w:hint="eastAsia" w:ascii="宋体" w:hAnsi="宋体" w:eastAsia="宋体" w:cs="宋体"/>
                <w:spacing w:val="-3"/>
                <w:sz w:val="21"/>
                <w:szCs w:val="21"/>
                <w:highlight w:val="none"/>
              </w:rPr>
            </w:pPr>
            <w:r>
              <w:rPr>
                <w:rFonts w:hint="eastAsia" w:ascii="宋体" w:hAnsi="宋体" w:eastAsia="宋体" w:cs="宋体"/>
                <w:spacing w:val="2"/>
                <w:sz w:val="21"/>
                <w:szCs w:val="21"/>
                <w:highlight w:val="none"/>
              </w:rPr>
              <w:t>投标人分部分项工程量清单综合单价每高于或低于该评标基</w:t>
            </w:r>
            <w:r>
              <w:rPr>
                <w:rFonts w:hint="eastAsia" w:ascii="宋体" w:hAnsi="宋体" w:eastAsia="宋体" w:cs="宋体"/>
                <w:spacing w:val="-2"/>
                <w:sz w:val="21"/>
                <w:szCs w:val="21"/>
                <w:highlight w:val="none"/>
              </w:rPr>
              <w:t>准价Pq一定幅度扣相应分数，直到扣完所占分值为</w:t>
            </w:r>
            <w:r>
              <w:rPr>
                <w:rFonts w:hint="eastAsia" w:ascii="宋体" w:hAnsi="宋体" w:eastAsia="宋体" w:cs="宋体"/>
                <w:spacing w:val="-3"/>
                <w:sz w:val="21"/>
                <w:szCs w:val="21"/>
                <w:highlight w:val="none"/>
              </w:rPr>
              <w:t>止（综合单价</w:t>
            </w:r>
            <w:r>
              <w:rPr>
                <w:rFonts w:hint="eastAsia" w:ascii="宋体" w:hAnsi="宋体" w:eastAsia="宋体" w:cs="宋体"/>
                <w:spacing w:val="-5"/>
                <w:sz w:val="21"/>
                <w:szCs w:val="21"/>
                <w:highlight w:val="none"/>
              </w:rPr>
              <w:t>每高于评标基准价1%（含1%）扣0.2分，综合单价每低于评标基</w:t>
            </w:r>
            <w:r>
              <w:rPr>
                <w:rFonts w:hint="eastAsia" w:ascii="宋体" w:hAnsi="宋体" w:eastAsia="宋体" w:cs="宋体"/>
                <w:spacing w:val="-4"/>
                <w:sz w:val="21"/>
                <w:szCs w:val="21"/>
                <w:highlight w:val="none"/>
              </w:rPr>
              <w:t>准价1%（含1%）扣0.1分）。以</w:t>
            </w:r>
            <w:r>
              <w:rPr>
                <w:rFonts w:hint="eastAsia" w:ascii="宋体" w:hAnsi="宋体" w:eastAsia="宋体" w:cs="宋体"/>
                <w:spacing w:val="-5"/>
                <w:sz w:val="21"/>
                <w:szCs w:val="21"/>
                <w:highlight w:val="none"/>
              </w:rPr>
              <w:t>每项工程量清单满分2.25分为</w:t>
            </w:r>
            <w:r>
              <w:rPr>
                <w:rFonts w:hint="eastAsia" w:ascii="宋体" w:hAnsi="宋体" w:eastAsia="宋体" w:cs="宋体"/>
                <w:spacing w:val="-3"/>
                <w:sz w:val="21"/>
                <w:szCs w:val="21"/>
                <w:highlight w:val="none"/>
              </w:rPr>
              <w:t>例，计算工程量清单综合单价得分a2公式为：</w:t>
            </w:r>
          </w:p>
          <w:p>
            <w:pPr>
              <w:widowControl/>
              <w:numPr>
                <w:ilvl w:val="0"/>
                <w:numId w:val="0"/>
              </w:numPr>
              <w:spacing w:line="240" w:lineRule="auto"/>
              <w:ind w:firstLine="404" w:firstLineChars="200"/>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当投标人综合单价&gt;评标基准价Pq时：</w:t>
            </w:r>
          </w:p>
          <w:p>
            <w:pPr>
              <w:widowControl/>
              <w:numPr>
                <w:ilvl w:val="0"/>
                <w:numId w:val="0"/>
              </w:numPr>
              <w:spacing w:line="240" w:lineRule="auto"/>
              <w:ind w:firstLine="400" w:firstLineChars="200"/>
              <w:rPr>
                <w:rFonts w:hint="eastAsia" w:ascii="宋体" w:hAnsi="宋体" w:eastAsia="宋体" w:cs="宋体"/>
                <w:spacing w:val="-5"/>
                <w:sz w:val="21"/>
                <w:szCs w:val="21"/>
                <w:highlight w:val="none"/>
                <w:lang w:val="en-US" w:eastAsia="zh-CN"/>
              </w:rPr>
            </w:pPr>
            <w:r>
              <w:rPr>
                <w:rFonts w:hint="eastAsia" w:ascii="宋体" w:hAnsi="宋体" w:eastAsia="宋体" w:cs="宋体"/>
                <w:spacing w:val="-5"/>
                <w:sz w:val="21"/>
                <w:szCs w:val="21"/>
                <w:highlight w:val="none"/>
              </w:rPr>
              <w:t>a2＝2.25－[（综合单价-评标基准价）/评标基准价]×100×</w:t>
            </w:r>
            <w:r>
              <w:rPr>
                <w:rFonts w:hint="eastAsia" w:ascii="宋体" w:hAnsi="宋体" w:eastAsia="宋体" w:cs="宋体"/>
                <w:spacing w:val="-5"/>
                <w:sz w:val="21"/>
                <w:szCs w:val="21"/>
                <w:highlight w:val="none"/>
                <w:lang w:val="en-US" w:eastAsia="zh-CN"/>
              </w:rPr>
              <w:t>0.2</w:t>
            </w:r>
          </w:p>
          <w:p>
            <w:pPr>
              <w:widowControl/>
              <w:numPr>
                <w:ilvl w:val="0"/>
                <w:numId w:val="0"/>
              </w:numPr>
              <w:spacing w:line="240" w:lineRule="auto"/>
              <w:ind w:firstLine="400" w:firstLineChars="200"/>
              <w:rPr>
                <w:rFonts w:hint="eastAsia" w:ascii="宋体" w:hAnsi="宋体" w:eastAsia="宋体" w:cs="宋体"/>
                <w:spacing w:val="-5"/>
                <w:sz w:val="21"/>
                <w:szCs w:val="21"/>
                <w:highlight w:val="none"/>
              </w:rPr>
            </w:pPr>
            <w:r>
              <w:rPr>
                <w:rFonts w:hint="eastAsia" w:ascii="宋体" w:hAnsi="宋体" w:eastAsia="宋体" w:cs="宋体"/>
                <w:spacing w:val="-5"/>
                <w:sz w:val="21"/>
                <w:szCs w:val="21"/>
                <w:highlight w:val="none"/>
              </w:rPr>
              <w:t>当投标人综合单价&lt;评标基准价Pq时：</w:t>
            </w:r>
          </w:p>
          <w:p>
            <w:pPr>
              <w:widowControl/>
              <w:numPr>
                <w:ilvl w:val="0"/>
                <w:numId w:val="0"/>
              </w:numPr>
              <w:spacing w:line="240" w:lineRule="auto"/>
              <w:ind w:firstLine="400" w:firstLineChars="200"/>
              <w:rPr>
                <w:rFonts w:hint="eastAsia" w:ascii="宋体" w:hAnsi="宋体" w:eastAsia="宋体" w:cs="宋体"/>
                <w:spacing w:val="-5"/>
                <w:sz w:val="21"/>
                <w:szCs w:val="21"/>
                <w:highlight w:val="none"/>
              </w:rPr>
            </w:pPr>
            <w:r>
              <w:rPr>
                <w:rFonts w:hint="eastAsia" w:ascii="宋体" w:hAnsi="宋体" w:eastAsia="宋体" w:cs="宋体"/>
                <w:spacing w:val="-5"/>
                <w:sz w:val="21"/>
                <w:szCs w:val="21"/>
                <w:highlight w:val="none"/>
              </w:rPr>
              <w:t>a2＝2.25－[（评标基准价-综合单价）/评标基准价]×100×0.1。</w:t>
            </w:r>
          </w:p>
          <w:p>
            <w:pPr>
              <w:widowControl/>
              <w:numPr>
                <w:ilvl w:val="0"/>
                <w:numId w:val="0"/>
              </w:numPr>
              <w:spacing w:line="240" w:lineRule="auto"/>
              <w:ind w:firstLine="400" w:firstLineChars="200"/>
              <w:rPr>
                <w:rFonts w:hint="eastAsia" w:ascii="宋体" w:hAnsi="宋体" w:eastAsia="宋体" w:cs="宋体"/>
                <w:spacing w:val="-5"/>
                <w:sz w:val="21"/>
                <w:szCs w:val="21"/>
                <w:highlight w:val="none"/>
                <w:lang w:val="en-US" w:eastAsia="zh-CN"/>
              </w:rPr>
            </w:pPr>
            <w:r>
              <w:rPr>
                <w:rFonts w:hint="eastAsia" w:ascii="宋体" w:hAnsi="宋体" w:eastAsia="宋体" w:cs="宋体"/>
                <w:spacing w:val="-5"/>
                <w:sz w:val="21"/>
                <w:szCs w:val="21"/>
                <w:highlight w:val="none"/>
              </w:rPr>
              <w:t>分部分项工程量清单综合单价（A2）得分（保留小数点后两</w:t>
            </w:r>
            <w:r>
              <w:rPr>
                <w:rFonts w:hint="eastAsia" w:ascii="宋体" w:hAnsi="宋体" w:eastAsia="宋体" w:cs="宋体"/>
                <w:spacing w:val="-5"/>
                <w:sz w:val="21"/>
                <w:szCs w:val="21"/>
                <w:highlight w:val="none"/>
                <w:lang w:val="en-US" w:eastAsia="zh-CN"/>
              </w:rPr>
              <w:t>位：</w:t>
            </w:r>
          </w:p>
          <w:p>
            <w:pPr>
              <w:pStyle w:val="95"/>
              <w:spacing w:line="240" w:lineRule="auto"/>
              <w:rPr>
                <w:rFonts w:hint="eastAsia" w:ascii="宋体" w:hAnsi="宋体" w:eastAsia="宋体" w:cs="宋体"/>
                <w:sz w:val="21"/>
                <w:szCs w:val="21"/>
                <w:highlight w:val="none"/>
              </w:rPr>
            </w:pPr>
            <w:r>
              <w:rPr>
                <w:rFonts w:hint="eastAsia" w:ascii="宋体" w:hAnsi="宋体" w:eastAsia="宋体" w:cs="宋体"/>
                <w:spacing w:val="-12"/>
                <w:sz w:val="21"/>
                <w:szCs w:val="21"/>
                <w:highlight w:val="none"/>
              </w:rPr>
              <w:t>A2=∑a2</w:t>
            </w:r>
          </w:p>
          <w:p>
            <w:pPr>
              <w:bidi w:val="0"/>
              <w:ind w:firstLine="420" w:firstLineChars="200"/>
              <w:rPr>
                <w:rFonts w:hint="eastAsia"/>
                <w:b/>
                <w:bCs/>
              </w:rPr>
            </w:pPr>
            <w:r>
              <w:rPr>
                <w:rFonts w:hint="eastAsia"/>
                <w:b/>
                <w:bCs/>
              </w:rPr>
              <w:t>⑶主要材料报价得分（A3）（占投标报价权重30%）。</w:t>
            </w:r>
          </w:p>
          <w:p>
            <w:pPr>
              <w:pStyle w:val="95"/>
              <w:spacing w:before="133" w:line="240" w:lineRule="auto"/>
              <w:ind w:right="104" w:firstLine="408" w:firstLineChars="200"/>
              <w:jc w:val="both"/>
              <w:rPr>
                <w:rFonts w:hint="eastAsia" w:ascii="宋体" w:hAnsi="宋体" w:eastAsia="宋体" w:cs="宋体"/>
                <w:spacing w:val="-3"/>
                <w:sz w:val="21"/>
                <w:szCs w:val="21"/>
                <w:highlight w:val="none"/>
                <w:lang w:val="en-US" w:eastAsia="zh-CN"/>
              </w:rPr>
            </w:pPr>
            <w:r>
              <w:rPr>
                <w:rFonts w:hint="eastAsia" w:ascii="宋体" w:hAnsi="宋体" w:eastAsia="宋体" w:cs="宋体"/>
                <w:spacing w:val="-3"/>
                <w:sz w:val="21"/>
                <w:szCs w:val="21"/>
                <w:highlight w:val="none"/>
              </w:rPr>
              <w:t>根据20项分部分项工程量清单综合单价，按主要材料费占全</w:t>
            </w:r>
            <w:r>
              <w:rPr>
                <w:rFonts w:hint="eastAsia" w:ascii="宋体" w:hAnsi="宋体" w:eastAsia="宋体" w:cs="宋体"/>
                <w:spacing w:val="-6"/>
                <w:sz w:val="21"/>
                <w:szCs w:val="21"/>
                <w:highlight w:val="none"/>
              </w:rPr>
              <w:t>部材料费比重，从高至低计取20项不同类型的主要材料（同类型</w:t>
            </w:r>
            <w:r>
              <w:rPr>
                <w:rFonts w:hint="eastAsia" w:ascii="宋体" w:hAnsi="宋体" w:eastAsia="宋体" w:cs="宋体"/>
                <w:spacing w:val="-5"/>
                <w:sz w:val="21"/>
                <w:szCs w:val="21"/>
                <w:highlight w:val="none"/>
              </w:rPr>
              <w:t>材料中只取比重最大的一项</w:t>
            </w:r>
            <w:r>
              <w:rPr>
                <w:rFonts w:hint="eastAsia" w:ascii="宋体" w:hAnsi="宋体" w:eastAsia="宋体" w:cs="宋体"/>
                <w:spacing w:val="-8"/>
                <w:sz w:val="21"/>
                <w:szCs w:val="21"/>
                <w:highlight w:val="none"/>
              </w:rPr>
              <w:t>），</w:t>
            </w:r>
            <w:r>
              <w:rPr>
                <w:rFonts w:hint="eastAsia" w:ascii="宋体" w:hAnsi="宋体" w:eastAsia="宋体" w:cs="宋体"/>
                <w:spacing w:val="-5"/>
                <w:sz w:val="21"/>
                <w:szCs w:val="21"/>
                <w:highlight w:val="none"/>
              </w:rPr>
              <w:t>作为评审内容。不足20项时，按</w:t>
            </w:r>
            <w:r>
              <w:rPr>
                <w:rFonts w:hint="eastAsia" w:ascii="宋体" w:hAnsi="宋体" w:eastAsia="宋体" w:cs="宋体"/>
                <w:spacing w:val="-3"/>
                <w:sz w:val="21"/>
                <w:szCs w:val="21"/>
                <w:highlight w:val="none"/>
              </w:rPr>
              <w:t>实际主要材料列计。</w:t>
            </w:r>
          </w:p>
          <w:p>
            <w:pPr>
              <w:pStyle w:val="95"/>
              <w:spacing w:before="133" w:line="240" w:lineRule="auto"/>
              <w:ind w:right="104" w:firstLine="400" w:firstLineChars="200"/>
              <w:jc w:val="both"/>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评审标准以评标基准价Pg与招标控制价对比计算下浮率，再</w:t>
            </w:r>
            <w:r>
              <w:rPr>
                <w:rFonts w:hint="eastAsia" w:ascii="宋体" w:hAnsi="宋体" w:eastAsia="宋体" w:cs="宋体"/>
                <w:spacing w:val="2"/>
                <w:sz w:val="21"/>
                <w:szCs w:val="21"/>
                <w:highlight w:val="none"/>
              </w:rPr>
              <w:t>以计算出来的下浮率修正招标控制价中对应的20项主要</w:t>
            </w:r>
            <w:r>
              <w:rPr>
                <w:rFonts w:hint="eastAsia" w:ascii="宋体" w:hAnsi="宋体" w:eastAsia="宋体" w:cs="宋体"/>
                <w:spacing w:val="1"/>
                <w:sz w:val="21"/>
                <w:szCs w:val="21"/>
                <w:highlight w:val="none"/>
              </w:rPr>
              <w:t>材料价</w:t>
            </w:r>
            <w:r>
              <w:rPr>
                <w:rFonts w:hint="eastAsia" w:ascii="宋体" w:hAnsi="宋体" w:eastAsia="宋体" w:cs="宋体"/>
                <w:spacing w:val="-6"/>
                <w:sz w:val="21"/>
                <w:szCs w:val="21"/>
                <w:highlight w:val="none"/>
              </w:rPr>
              <w:t>格，作为修正后主要材料价格Cx，同时以Cx的+10%（含10</w:t>
            </w:r>
            <w:r>
              <w:rPr>
                <w:rFonts w:hint="eastAsia" w:ascii="宋体" w:hAnsi="宋体" w:eastAsia="宋体" w:cs="宋体"/>
                <w:spacing w:val="-7"/>
                <w:sz w:val="21"/>
                <w:szCs w:val="21"/>
                <w:highlight w:val="none"/>
              </w:rPr>
              <w:t>%）作</w:t>
            </w:r>
            <w:r>
              <w:rPr>
                <w:rFonts w:hint="eastAsia" w:ascii="宋体" w:hAnsi="宋体" w:eastAsia="宋体" w:cs="宋体"/>
                <w:spacing w:val="-4"/>
                <w:sz w:val="21"/>
                <w:szCs w:val="21"/>
                <w:highlight w:val="none"/>
              </w:rPr>
              <w:t>为主要材料最高投标限价，超过+10%的报价得0分，该主要材料</w:t>
            </w:r>
            <w:r>
              <w:rPr>
                <w:rFonts w:hint="eastAsia" w:ascii="宋体" w:hAnsi="宋体" w:eastAsia="宋体" w:cs="宋体"/>
                <w:spacing w:val="-2"/>
                <w:sz w:val="21"/>
                <w:szCs w:val="21"/>
                <w:highlight w:val="none"/>
              </w:rPr>
              <w:t>报价不得参与算术平均值的计算。</w:t>
            </w:r>
          </w:p>
          <w:p>
            <w:pPr>
              <w:pStyle w:val="95"/>
              <w:spacing w:before="221" w:line="240" w:lineRule="auto"/>
              <w:ind w:left="113" w:right="101" w:firstLine="419"/>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评审时先将20项工程量清单分部工程投标报价的下浮率Qf修正招标控制价中对应的20项主要材料价</w:t>
            </w:r>
            <w:r>
              <w:rPr>
                <w:rFonts w:hint="eastAsia" w:ascii="宋体" w:hAnsi="宋体" w:eastAsia="宋体" w:cs="宋体"/>
                <w:spacing w:val="-3"/>
                <w:sz w:val="21"/>
                <w:szCs w:val="21"/>
                <w:highlight w:val="none"/>
              </w:rPr>
              <w:t>格，作为修正后主要材</w:t>
            </w:r>
            <w:r>
              <w:rPr>
                <w:rFonts w:hint="eastAsia" w:ascii="宋体" w:hAnsi="宋体" w:eastAsia="宋体" w:cs="宋体"/>
                <w:spacing w:val="-4"/>
                <w:sz w:val="21"/>
                <w:szCs w:val="21"/>
                <w:highlight w:val="none"/>
              </w:rPr>
              <w:t>料价格Cb，再将Cx和Cb进行算术平均，计算出主要材料报价的</w:t>
            </w:r>
            <w:r>
              <w:rPr>
                <w:rFonts w:hint="eastAsia" w:ascii="宋体" w:hAnsi="宋体" w:eastAsia="宋体" w:cs="宋体"/>
                <w:spacing w:val="-2"/>
                <w:sz w:val="21"/>
                <w:szCs w:val="21"/>
                <w:highlight w:val="none"/>
              </w:rPr>
              <w:t>评标基准价Pc。</w:t>
            </w:r>
          </w:p>
          <w:p>
            <w:pPr>
              <w:pStyle w:val="95"/>
              <w:spacing w:before="221" w:line="240" w:lineRule="auto"/>
              <w:ind w:left="114" w:right="101" w:firstLine="422"/>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投标人主要材料报价每高于或低于该评标基准价</w:t>
            </w:r>
            <w:r>
              <w:rPr>
                <w:rFonts w:hint="eastAsia" w:ascii="宋体" w:hAnsi="宋体" w:eastAsia="宋体" w:cs="宋体"/>
                <w:sz w:val="21"/>
                <w:szCs w:val="21"/>
                <w:highlight w:val="none"/>
              </w:rPr>
              <w:t>Pc</w:t>
            </w:r>
            <w:r>
              <w:rPr>
                <w:rFonts w:hint="eastAsia" w:ascii="宋体" w:hAnsi="宋体" w:eastAsia="宋体" w:cs="宋体"/>
                <w:spacing w:val="2"/>
                <w:sz w:val="21"/>
                <w:szCs w:val="21"/>
                <w:highlight w:val="none"/>
              </w:rPr>
              <w:t>一定幅度扣相应分数，直到扣完所占分值为止（主要材料报价每高于评标</w:t>
            </w:r>
            <w:r>
              <w:rPr>
                <w:rFonts w:hint="eastAsia" w:ascii="宋体" w:hAnsi="宋体" w:eastAsia="宋体" w:cs="宋体"/>
                <w:spacing w:val="-9"/>
                <w:sz w:val="21"/>
                <w:szCs w:val="21"/>
                <w:highlight w:val="none"/>
              </w:rPr>
              <w:t>基准价1%（含1%）扣0.1分，主要材料报价每低于评标基准价1%</w:t>
            </w:r>
            <w:r>
              <w:rPr>
                <w:rFonts w:hint="eastAsia" w:ascii="宋体" w:hAnsi="宋体" w:eastAsia="宋体" w:cs="宋体"/>
                <w:spacing w:val="-10"/>
                <w:sz w:val="21"/>
                <w:szCs w:val="21"/>
                <w:highlight w:val="none"/>
              </w:rPr>
              <w:t>（含1%）扣0.05分），以每项主要材料报</w:t>
            </w:r>
            <w:r>
              <w:rPr>
                <w:rFonts w:hint="eastAsia" w:ascii="宋体" w:hAnsi="宋体" w:eastAsia="宋体" w:cs="宋体"/>
                <w:spacing w:val="-11"/>
                <w:sz w:val="21"/>
                <w:szCs w:val="21"/>
                <w:highlight w:val="none"/>
              </w:rPr>
              <w:t>价满分1.5分为例，计</w:t>
            </w:r>
            <w:r>
              <w:rPr>
                <w:rFonts w:hint="eastAsia" w:ascii="宋体" w:hAnsi="宋体" w:eastAsia="宋体" w:cs="宋体"/>
                <w:spacing w:val="-5"/>
                <w:sz w:val="21"/>
                <w:szCs w:val="21"/>
                <w:highlight w:val="none"/>
              </w:rPr>
              <w:t>算主要材料报价得分a2公式为：</w:t>
            </w:r>
          </w:p>
          <w:p>
            <w:pPr>
              <w:pStyle w:val="95"/>
              <w:spacing w:before="221" w:line="240" w:lineRule="auto"/>
              <w:ind w:left="114" w:right="101" w:firstLine="422"/>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当投标人主要材料单价&gt;评标基准价Pc时：</w:t>
            </w:r>
          </w:p>
          <w:p>
            <w:pPr>
              <w:pStyle w:val="95"/>
              <w:spacing w:before="221" w:line="240" w:lineRule="auto"/>
              <w:ind w:left="114" w:right="101" w:firstLine="422"/>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a3＝1.5－[（投标人主要材料报价-评标基准价）/评标基准价]×100×0.1。</w:t>
            </w:r>
          </w:p>
          <w:p>
            <w:pPr>
              <w:pStyle w:val="95"/>
              <w:spacing w:before="221" w:line="240" w:lineRule="auto"/>
              <w:ind w:left="114" w:right="101" w:firstLine="422"/>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当投标人主要材料报价&lt;评标基准价Pc时：</w:t>
            </w:r>
          </w:p>
          <w:p>
            <w:pPr>
              <w:pStyle w:val="95"/>
              <w:spacing w:before="221" w:line="240" w:lineRule="auto"/>
              <w:ind w:left="114" w:right="101" w:firstLine="422"/>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a3＝1.5－[（评标基准价-投标人主要材料报价）/评标基准价]×100×0.05。</w:t>
            </w:r>
          </w:p>
          <w:p>
            <w:pPr>
              <w:pStyle w:val="95"/>
              <w:spacing w:before="221" w:line="240" w:lineRule="auto"/>
              <w:ind w:left="114" w:right="101" w:firstLine="422"/>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主要材料报价（A3）得分：A3=∑a3</w:t>
            </w:r>
          </w:p>
          <w:p>
            <w:pPr>
              <w:widowControl/>
              <w:numPr>
                <w:ilvl w:val="0"/>
                <w:numId w:val="0"/>
              </w:numPr>
              <w:spacing w:line="240" w:lineRule="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（三）计算投标报价得分，A=A1+A2+A3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8" w:type="dxa"/>
            <w:gridSpan w:val="2"/>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2.2.4</w:t>
            </w:r>
          </w:p>
        </w:tc>
        <w:tc>
          <w:tcPr>
            <w:tcW w:w="1935" w:type="dxa"/>
            <w:vAlign w:val="center"/>
          </w:tcPr>
          <w:p>
            <w:pPr>
              <w:jc w:val="center"/>
              <w:rPr>
                <w:rFonts w:hint="eastAsia" w:ascii="宋体" w:hAnsi="宋体" w:eastAsia="宋体" w:cs="宋体"/>
                <w:kern w:val="0"/>
                <w:sz w:val="21"/>
                <w:szCs w:val="21"/>
              </w:rPr>
            </w:pPr>
            <w:r>
              <w:rPr>
                <w:rFonts w:hint="eastAsia" w:ascii="宋体" w:hAnsi="宋体" w:eastAsia="宋体" w:cs="宋体"/>
                <w:color w:val="000000"/>
                <w:sz w:val="21"/>
                <w:szCs w:val="21"/>
              </w:rPr>
              <w:t>企业诚信评价得分计算方法（B）</w:t>
            </w:r>
          </w:p>
        </w:tc>
        <w:tc>
          <w:tcPr>
            <w:tcW w:w="4689" w:type="dxa"/>
          </w:tcPr>
          <w:p>
            <w:pPr>
              <w:widowControl/>
              <w:jc w:val="left"/>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一）计算企业诚信评价等级为A级的投标人得分（按权重的85%-100%，不含85%）：投标人排名最高的得该权重计算得分的最高分，相同评价等级中排名最低的投标人得该权重计算得分的最低分，其他相同企业诚信评价等级的投标人得分按直线内插法计算得分，计算B1;</w:t>
            </w:r>
          </w:p>
          <w:p>
            <w:pPr>
              <w:widowControl/>
              <w:jc w:val="left"/>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二）计算企业诚信评价等级为B级的投标人得分（按权重的70%-85%，不含70%）:投标人排名最高的得该权重计算得分的最高分，相同评价等级中排名最低的投标人得该权重计算得分的最低分，其他相同企业诚信评价等级的投标人得分按直线内插法计算得分，计算B2;</w:t>
            </w:r>
          </w:p>
          <w:p>
            <w:pPr>
              <w:widowControl/>
              <w:jc w:val="left"/>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三）计算企业诚信评价等级为C级的投标人得分（按权重的60%-70%，不含60%）:投标人排名最高的得该权重计算得分的最高分，相同评价等级中排名最低的投标人得该权重计算得分的最低分，其他相同企业诚信评价等级的投标人得分按直线内插法计算得分，计算B3。</w:t>
            </w:r>
          </w:p>
          <w:p>
            <w:pPr>
              <w:widowControl/>
              <w:jc w:val="left"/>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四）计算企业诚信评价等级为D级的投标人得分（按权重的40%-60%，不含40%）:投标人排名最高的得该权重计算得分的最高分，相同评价等级中排名最低的投标人得该权重计算得分的最低分，其他相同企业诚信评价等级的投标人得分按直线内插法计算得分，计算B4。</w:t>
            </w:r>
          </w:p>
          <w:p>
            <w:pPr>
              <w:widowControl/>
              <w:jc w:val="left"/>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（五）企业诚信评价等级为其他等级的均得0分。</w:t>
            </w:r>
          </w:p>
          <w:p>
            <w:pPr>
              <w:widowControl/>
              <w:jc w:val="left"/>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（六）企业诚信评价等级与诚信评价排名，以投标人递交投标文件时同步到的数据为准。请投标人在递交投标文件时仔细核对相关信息是否和递交文件当天的信息一致。</w:t>
            </w:r>
          </w:p>
          <w:p>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zh-CN"/>
              </w:rPr>
              <w:t>（七）联合体的诚信得分按各联合体成员诚信得分的算术平均值计算。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8" w:type="dxa"/>
            <w:gridSpan w:val="2"/>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2.2.5</w:t>
            </w:r>
          </w:p>
        </w:tc>
        <w:tc>
          <w:tcPr>
            <w:tcW w:w="1935" w:type="dxa"/>
            <w:vAlign w:val="center"/>
          </w:tcPr>
          <w:p>
            <w:pPr>
              <w:jc w:val="center"/>
              <w:rPr>
                <w:rFonts w:hint="eastAsia" w:ascii="宋体" w:hAnsi="宋体" w:eastAsia="宋体" w:cs="宋体"/>
                <w:kern w:val="0"/>
                <w:sz w:val="21"/>
                <w:szCs w:val="21"/>
              </w:rPr>
            </w:pPr>
            <w:r>
              <w:rPr>
                <w:rFonts w:hint="eastAsia" w:ascii="宋体" w:hAnsi="宋体" w:eastAsia="宋体" w:cs="宋体"/>
                <w:color w:val="000000"/>
                <w:sz w:val="21"/>
                <w:szCs w:val="21"/>
              </w:rPr>
              <w:t>拟派项目负责人（项目经理）诚信评价得分（C）</w:t>
            </w:r>
          </w:p>
        </w:tc>
        <w:tc>
          <w:tcPr>
            <w:tcW w:w="4689" w:type="dxa"/>
          </w:tcPr>
          <w:p>
            <w:pPr>
              <w:widowControl/>
              <w:jc w:val="left"/>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一）计算拟派项目负责人诚信评价等级为“四星”得分（按权重的80%-100%，不含80%）：拟派项目负责人排名最高的得该权重计算得分的最高分，相同评价等级中排名最低的投标人得该权重计算得分的最低分，其他相同企业诚信评价等级的投标人得分按直线内插法计算得分，计算C1；</w:t>
            </w:r>
          </w:p>
          <w:p>
            <w:pPr>
              <w:widowControl/>
              <w:jc w:val="left"/>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二）计算拟派项目负责人诚信评价等级为“三星”得分（按权重的60%-80%，不含60%）:拟派项目负责人排名最高的得该权重计算得分的最高分，相同评价等级中排名最低的投标人得该权重计算得分的最低分，其他相同企业诚信评价等级的投标人得分按直线内插法计算得分，计算C2；（三）拟派项目负责人诚信评价等级为“二</w:t>
            </w:r>
          </w:p>
          <w:p>
            <w:pPr>
              <w:widowControl/>
              <w:jc w:val="left"/>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星”得分（按权重的40%-60%，含40%）:拟派项目负责人排名最高的得该权重计算得分的最高</w:t>
            </w:r>
          </w:p>
          <w:p>
            <w:pPr>
              <w:widowControl/>
              <w:jc w:val="left"/>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分，相同评价等级中排名最低的投标人得该权重计算得分的最低分，其他相同企业诚信评价等级的投标人得分按直线内插法计算得分，计算C3；（四）拟派项目负责人诚信评价等级为“一</w:t>
            </w:r>
          </w:p>
          <w:p>
            <w:pPr>
              <w:widowControl/>
              <w:jc w:val="left"/>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星”的得0分；</w:t>
            </w:r>
          </w:p>
          <w:p>
            <w:pPr>
              <w:widowControl/>
              <w:jc w:val="left"/>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（五）招标人可根据招标项目的实际情况，要求拟派项目负责人在近3年内获得过国家级奖项或省级奖项或具有类似工程经验的，可适当提高该项得分权重。</w:t>
            </w:r>
          </w:p>
          <w:p>
            <w:pPr>
              <w:widowControl/>
              <w:jc w:val="left"/>
              <w:rPr>
                <w:rFonts w:hint="eastAsia" w:ascii="宋体" w:hAnsi="宋体" w:eastAsia="宋体" w:cs="宋体"/>
                <w:color w:val="000000"/>
                <w:kern w:val="0"/>
                <w:sz w:val="21"/>
                <w:szCs w:val="21"/>
                <w:lang w:val="zh-CN"/>
              </w:rPr>
            </w:pPr>
            <w:r>
              <w:rPr>
                <w:rFonts w:hint="eastAsia" w:ascii="宋体" w:hAnsi="宋体" w:eastAsia="宋体" w:cs="宋体"/>
                <w:color w:val="000000"/>
                <w:kern w:val="0"/>
                <w:sz w:val="21"/>
                <w:szCs w:val="21"/>
                <w:lang w:val="zh-CN"/>
              </w:rPr>
              <w:t>（六）拟派项目负责人诚信等级与信用排名，以投标人递交投标文件时同步到的数据为准。请投标人在递交投标文件时仔细核对相关信息是否和递交文件当天的信息一致。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8" w:type="dxa"/>
            <w:gridSpan w:val="2"/>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2.2.6</w:t>
            </w:r>
          </w:p>
        </w:tc>
        <w:tc>
          <w:tcPr>
            <w:tcW w:w="1935" w:type="dxa"/>
            <w:vAlign w:val="center"/>
          </w:tcPr>
          <w:p>
            <w:pPr>
              <w:rPr>
                <w:rFonts w:hint="eastAsia" w:ascii="宋体" w:hAnsi="宋体" w:eastAsia="宋体" w:cs="宋体"/>
                <w:color w:val="000000"/>
                <w:sz w:val="21"/>
                <w:szCs w:val="21"/>
              </w:rPr>
            </w:pPr>
            <w:r>
              <w:rPr>
                <w:rFonts w:hint="eastAsia" w:ascii="宋体" w:hAnsi="宋体" w:eastAsia="宋体" w:cs="宋体"/>
                <w:color w:val="000000"/>
                <w:sz w:val="21"/>
                <w:szCs w:val="21"/>
              </w:rPr>
              <w:t>投标人得分（满分100分）</w:t>
            </w:r>
          </w:p>
        </w:tc>
        <w:tc>
          <w:tcPr>
            <w:tcW w:w="4689" w:type="dxa"/>
          </w:tcPr>
          <w:p>
            <w:pPr>
              <w:rPr>
                <w:rFonts w:hint="eastAsia" w:ascii="宋体" w:hAnsi="宋体" w:eastAsia="宋体" w:cs="宋体"/>
                <w:color w:val="000000"/>
                <w:sz w:val="21"/>
                <w:szCs w:val="21"/>
              </w:rPr>
            </w:pPr>
            <w:r>
              <w:rPr>
                <w:rFonts w:hint="eastAsia" w:ascii="宋体" w:hAnsi="宋体" w:eastAsia="宋体" w:cs="宋体"/>
                <w:color w:val="000000"/>
                <w:kern w:val="0"/>
                <w:sz w:val="21"/>
                <w:szCs w:val="21"/>
                <w:lang w:val="zh-CN"/>
              </w:rPr>
              <w:t>投标人得分=A+B+C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8" w:type="dxa"/>
            <w:gridSpan w:val="2"/>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条款号</w:t>
            </w:r>
          </w:p>
        </w:tc>
        <w:tc>
          <w:tcPr>
            <w:tcW w:w="6624" w:type="dxa"/>
            <w:gridSpan w:val="2"/>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0" w:type="dxa"/>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3.1.1</w:t>
            </w:r>
          </w:p>
        </w:tc>
        <w:tc>
          <w:tcPr>
            <w:tcW w:w="1148" w:type="dxa"/>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评标</w:t>
            </w:r>
          </w:p>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程序</w:t>
            </w:r>
          </w:p>
        </w:tc>
        <w:tc>
          <w:tcPr>
            <w:tcW w:w="6624" w:type="dxa"/>
            <w:gridSpan w:val="2"/>
            <w:vAlign w:val="center"/>
          </w:tcPr>
          <w:p>
            <w:pPr>
              <w:rPr>
                <w:rFonts w:hint="eastAsia" w:ascii="宋体" w:hAnsi="宋体" w:eastAsia="宋体" w:cs="宋体"/>
                <w:color w:val="000000"/>
                <w:sz w:val="21"/>
                <w:szCs w:val="21"/>
              </w:rPr>
            </w:pPr>
            <w:r>
              <w:rPr>
                <w:rFonts w:hint="eastAsia" w:ascii="宋体" w:hAnsi="宋体" w:eastAsia="宋体" w:cs="宋体"/>
                <w:color w:val="000000"/>
                <w:sz w:val="21"/>
                <w:szCs w:val="21"/>
              </w:rPr>
              <w:t>详见本章附件A：评标详细程序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0" w:type="dxa"/>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3.1.2</w:t>
            </w:r>
          </w:p>
        </w:tc>
        <w:tc>
          <w:tcPr>
            <w:tcW w:w="1148" w:type="dxa"/>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否决投标的条件</w:t>
            </w:r>
          </w:p>
        </w:tc>
        <w:tc>
          <w:tcPr>
            <w:tcW w:w="6624" w:type="dxa"/>
            <w:gridSpan w:val="2"/>
            <w:vAlign w:val="center"/>
          </w:tcPr>
          <w:p>
            <w:pPr>
              <w:rPr>
                <w:rFonts w:hint="eastAsia" w:ascii="宋体" w:hAnsi="宋体" w:eastAsia="宋体" w:cs="宋体"/>
                <w:color w:val="000000"/>
                <w:sz w:val="21"/>
                <w:szCs w:val="21"/>
              </w:rPr>
            </w:pPr>
            <w:r>
              <w:rPr>
                <w:rFonts w:hint="eastAsia" w:ascii="宋体" w:hAnsi="宋体" w:eastAsia="宋体" w:cs="宋体"/>
                <w:color w:val="000000"/>
                <w:sz w:val="21"/>
                <w:szCs w:val="21"/>
              </w:rPr>
              <w:t>详见本章附件B：否决投标的条件</w:t>
            </w:r>
          </w:p>
        </w:tc>
      </w:tr>
    </w:tbl>
    <w:p>
      <w:pPr>
        <w:rPr>
          <w:rFonts w:ascii="宋体" w:hAnsi="宋体"/>
          <w:color w:val="000000"/>
          <w:szCs w:val="21"/>
        </w:rPr>
      </w:pPr>
    </w:p>
    <w:p>
      <w:pPr>
        <w:rPr>
          <w:rFonts w:ascii="宋体" w:hAnsi="宋体"/>
          <w:color w:val="000000"/>
          <w:szCs w:val="21"/>
        </w:rPr>
      </w:pPr>
    </w:p>
    <w:p>
      <w:pPr>
        <w:widowControl/>
        <w:jc w:val="left"/>
        <w:rPr>
          <w:rFonts w:ascii="黑体" w:hAnsi="宋体" w:eastAsia="黑体"/>
          <w:color w:val="000000"/>
          <w:sz w:val="24"/>
        </w:rPr>
      </w:pPr>
      <w:r>
        <w:rPr>
          <w:rFonts w:ascii="黑体" w:hAnsi="宋体" w:eastAsia="黑体"/>
          <w:color w:val="000000"/>
          <w:sz w:val="24"/>
        </w:rPr>
        <w:br w:type="page"/>
      </w:r>
      <w:r>
        <w:rPr>
          <w:rFonts w:hint="eastAsia" w:ascii="黑体" w:hAnsi="宋体" w:eastAsia="黑体"/>
          <w:color w:val="000000"/>
          <w:sz w:val="24"/>
        </w:rPr>
        <w:t>评标办法</w:t>
      </w:r>
      <w:r>
        <w:rPr>
          <w:rFonts w:hint="eastAsia" w:ascii="黑体" w:hAnsi="宋体" w:eastAsia="黑体"/>
          <w:color w:val="000000"/>
          <w:sz w:val="24"/>
          <w:lang w:eastAsia="zh-CN"/>
        </w:rPr>
        <w:t>（</w:t>
      </w:r>
      <w:r>
        <w:rPr>
          <w:rFonts w:hint="eastAsia" w:ascii="黑体" w:hAnsi="宋体" w:eastAsia="黑体"/>
          <w:color w:val="000000"/>
          <w:sz w:val="24"/>
        </w:rPr>
        <w:t>简易评估法</w:t>
      </w:r>
      <w:r>
        <w:rPr>
          <w:rFonts w:hint="eastAsia" w:ascii="黑体" w:hAnsi="宋体" w:eastAsia="黑体"/>
          <w:color w:val="000000"/>
          <w:sz w:val="24"/>
          <w:lang w:eastAsia="zh-CN"/>
        </w:rPr>
        <w:t>）</w:t>
      </w:r>
    </w:p>
    <w:p>
      <w:pPr>
        <w:spacing w:before="312" w:beforeLines="100" w:after="249" w:afterLines="80" w:line="380" w:lineRule="exact"/>
        <w:outlineLvl w:val="2"/>
        <w:rPr>
          <w:rFonts w:ascii="黑体" w:hAnsi="宋体" w:eastAsia="黑体"/>
          <w:color w:val="000000"/>
          <w:sz w:val="24"/>
        </w:rPr>
      </w:pPr>
      <w:bookmarkStart w:id="293" w:name="_Toc114222767"/>
      <w:r>
        <w:rPr>
          <w:rFonts w:hint="eastAsia" w:ascii="黑体" w:hAnsi="宋体" w:eastAsia="黑体"/>
          <w:color w:val="000000"/>
          <w:sz w:val="24"/>
        </w:rPr>
        <w:t>1.评标方法</w:t>
      </w:r>
      <w:bookmarkEnd w:id="293"/>
    </w:p>
    <w:p>
      <w:pPr>
        <w:spacing w:line="400" w:lineRule="exact"/>
        <w:ind w:firstLine="420" w:firstLineChars="200"/>
        <w:rPr>
          <w:color w:val="000000"/>
        </w:rPr>
      </w:pPr>
      <w:r>
        <w:rPr>
          <w:rFonts w:hint="eastAsia"/>
          <w:color w:val="000000"/>
        </w:rPr>
        <w:t>本次评标采用《海南省</w:t>
      </w:r>
      <w:r>
        <w:rPr>
          <w:rFonts w:hint="eastAsia"/>
          <w:color w:val="000000"/>
          <w:lang w:val="en-US" w:eastAsia="zh-CN"/>
        </w:rPr>
        <w:t>房屋</w:t>
      </w:r>
      <w:r>
        <w:rPr>
          <w:rFonts w:hint="eastAsia"/>
          <w:color w:val="000000"/>
        </w:rPr>
        <w:t>建筑和市政工程工程量清单招标投标评标办法》中的简易评估。评标委员会对满足招标文件实质性要求的投标文件，按照本章第2.2款规定的评分标准进行打分，并按得分由高到低顺序推荐中标候选人，或根据招标人授权直接确定中标人。综合评分相等时，以商务标得分高的优先，如果商务标得分也相等，以投标总价得分高的优先；如果投标总得分也相等，采取现场随机抽取的方法确定。</w:t>
      </w:r>
    </w:p>
    <w:p>
      <w:pPr>
        <w:spacing w:before="312" w:beforeLines="100" w:after="249" w:afterLines="80" w:line="380" w:lineRule="exact"/>
        <w:outlineLvl w:val="2"/>
        <w:rPr>
          <w:rFonts w:ascii="黑体" w:hAnsi="宋体" w:eastAsia="黑体"/>
          <w:color w:val="000000"/>
          <w:sz w:val="24"/>
        </w:rPr>
      </w:pPr>
      <w:bookmarkStart w:id="294" w:name="_Toc114222768"/>
      <w:r>
        <w:rPr>
          <w:rFonts w:hint="eastAsia" w:ascii="黑体" w:hAnsi="宋体" w:eastAsia="黑体"/>
          <w:color w:val="000000"/>
          <w:sz w:val="24"/>
        </w:rPr>
        <w:t>2.评审标准</w:t>
      </w:r>
      <w:bookmarkEnd w:id="294"/>
    </w:p>
    <w:p>
      <w:pPr>
        <w:rPr>
          <w:rFonts w:ascii="黑体" w:eastAsia="黑体"/>
          <w:color w:val="000000"/>
          <w:sz w:val="24"/>
        </w:rPr>
      </w:pPr>
      <w:r>
        <w:rPr>
          <w:rFonts w:hint="eastAsia" w:ascii="黑体" w:eastAsia="黑体"/>
          <w:color w:val="000000"/>
          <w:sz w:val="24"/>
        </w:rPr>
        <w:t>2.1初步评审标准</w:t>
      </w:r>
    </w:p>
    <w:p>
      <w:pPr>
        <w:spacing w:line="400" w:lineRule="exact"/>
        <w:ind w:firstLine="420" w:firstLineChars="200"/>
        <w:rPr>
          <w:color w:val="000000"/>
        </w:rPr>
      </w:pPr>
      <w:r>
        <w:rPr>
          <w:rFonts w:hint="eastAsia"/>
          <w:color w:val="000000"/>
        </w:rPr>
        <w:t>2.1.1形式评审标准：见评标办法前附表。</w:t>
      </w:r>
    </w:p>
    <w:p>
      <w:pPr>
        <w:spacing w:line="400" w:lineRule="exact"/>
        <w:ind w:firstLine="420" w:firstLineChars="200"/>
        <w:rPr>
          <w:color w:val="000000"/>
        </w:rPr>
      </w:pPr>
      <w:r>
        <w:rPr>
          <w:rFonts w:hint="eastAsia"/>
          <w:color w:val="000000"/>
        </w:rPr>
        <w:t>2.1.2资格评审标准：见评标办法前附表。</w:t>
      </w:r>
    </w:p>
    <w:p>
      <w:pPr>
        <w:spacing w:line="400" w:lineRule="exact"/>
        <w:ind w:firstLine="420" w:firstLineChars="200"/>
        <w:rPr>
          <w:color w:val="000000"/>
        </w:rPr>
      </w:pPr>
      <w:r>
        <w:rPr>
          <w:rFonts w:hint="eastAsia"/>
          <w:color w:val="000000"/>
        </w:rPr>
        <w:t>2.1.3响应性评审标准：见评标办法前附表。</w:t>
      </w:r>
    </w:p>
    <w:p>
      <w:pPr>
        <w:rPr>
          <w:rFonts w:ascii="黑体" w:eastAsia="黑体"/>
          <w:color w:val="000000"/>
          <w:sz w:val="24"/>
        </w:rPr>
      </w:pPr>
      <w:r>
        <w:rPr>
          <w:rFonts w:hint="eastAsia" w:ascii="黑体" w:eastAsia="黑体"/>
          <w:color w:val="000000"/>
          <w:sz w:val="24"/>
        </w:rPr>
        <w:t>2.2分值构成与评分标准</w:t>
      </w:r>
    </w:p>
    <w:p>
      <w:pPr>
        <w:spacing w:line="400" w:lineRule="exact"/>
        <w:ind w:firstLine="420" w:firstLineChars="200"/>
        <w:rPr>
          <w:color w:val="000000"/>
        </w:rPr>
      </w:pPr>
      <w:r>
        <w:rPr>
          <w:rFonts w:hint="eastAsia"/>
          <w:color w:val="000000"/>
        </w:rPr>
        <w:t>2.2.1</w:t>
      </w:r>
      <w:r>
        <w:rPr>
          <w:rFonts w:hint="eastAsia" w:ascii="黑体" w:eastAsia="黑体"/>
          <w:color w:val="000000"/>
        </w:rPr>
        <w:t>分值构成</w:t>
      </w:r>
    </w:p>
    <w:p>
      <w:pPr>
        <w:spacing w:line="400" w:lineRule="exact"/>
        <w:ind w:firstLine="718" w:firstLineChars="342"/>
        <w:rPr>
          <w:rFonts w:ascii="宋体" w:hAnsi="宋体"/>
          <w:color w:val="000000"/>
          <w:szCs w:val="21"/>
        </w:rPr>
      </w:pPr>
      <w:r>
        <w:rPr>
          <w:rFonts w:hint="eastAsia" w:ascii="宋体" w:hAnsi="宋体"/>
          <w:color w:val="000000"/>
          <w:szCs w:val="21"/>
        </w:rPr>
        <w:t>（1）工程量清单总报价：见评标办法前附表；</w:t>
      </w:r>
    </w:p>
    <w:p>
      <w:pPr>
        <w:spacing w:line="400" w:lineRule="exact"/>
        <w:ind w:firstLine="718" w:firstLineChars="342"/>
        <w:rPr>
          <w:rFonts w:ascii="宋体" w:hAnsi="宋体"/>
          <w:color w:val="000000"/>
          <w:szCs w:val="21"/>
        </w:rPr>
      </w:pPr>
      <w:r>
        <w:rPr>
          <w:rFonts w:hint="eastAsia" w:ascii="宋体" w:hAnsi="宋体"/>
          <w:color w:val="000000"/>
          <w:szCs w:val="21"/>
        </w:rPr>
        <w:t>（2）分部分项清单报价：见评标办法前附表；</w:t>
      </w:r>
    </w:p>
    <w:p>
      <w:pPr>
        <w:spacing w:line="400" w:lineRule="exact"/>
        <w:ind w:firstLine="718" w:firstLineChars="342"/>
        <w:rPr>
          <w:color w:val="000000"/>
        </w:rPr>
      </w:pPr>
      <w:r>
        <w:rPr>
          <w:rFonts w:hint="eastAsia" w:ascii="宋体" w:hAnsi="宋体"/>
          <w:color w:val="000000"/>
          <w:szCs w:val="21"/>
        </w:rPr>
        <w:t>（3）主要材料</w:t>
      </w:r>
      <w:r>
        <w:rPr>
          <w:rFonts w:hint="eastAsia"/>
          <w:color w:val="000000"/>
        </w:rPr>
        <w:t>：见评标办法前附表。</w:t>
      </w:r>
    </w:p>
    <w:p>
      <w:pPr>
        <w:spacing w:line="400" w:lineRule="exact"/>
        <w:ind w:firstLine="718" w:firstLineChars="342"/>
        <w:rPr>
          <w:rFonts w:ascii="宋体" w:hAnsi="宋体"/>
          <w:color w:val="000000"/>
          <w:szCs w:val="21"/>
        </w:rPr>
      </w:pPr>
      <w:r>
        <w:rPr>
          <w:rFonts w:hint="eastAsia" w:ascii="宋体" w:hAnsi="宋体"/>
          <w:color w:val="000000"/>
          <w:szCs w:val="21"/>
        </w:rPr>
        <w:t>（</w:t>
      </w:r>
      <w:r>
        <w:rPr>
          <w:rFonts w:ascii="宋体" w:hAnsi="宋体"/>
          <w:color w:val="000000"/>
          <w:szCs w:val="21"/>
        </w:rPr>
        <w:t>4</w:t>
      </w:r>
      <w:r>
        <w:rPr>
          <w:rFonts w:hint="eastAsia" w:ascii="宋体" w:hAnsi="宋体"/>
          <w:color w:val="000000"/>
          <w:szCs w:val="21"/>
        </w:rPr>
        <w:t>）企业诚信评价：见评标办法前附表。</w:t>
      </w:r>
    </w:p>
    <w:p>
      <w:pPr>
        <w:spacing w:line="400" w:lineRule="exact"/>
        <w:ind w:firstLine="718" w:firstLineChars="342"/>
        <w:rPr>
          <w:rFonts w:ascii="宋体" w:hAnsi="宋体"/>
          <w:color w:val="000000"/>
          <w:szCs w:val="21"/>
        </w:rPr>
      </w:pPr>
      <w:r>
        <w:rPr>
          <w:rFonts w:hint="eastAsia" w:ascii="宋体" w:hAnsi="宋体"/>
          <w:color w:val="000000"/>
          <w:szCs w:val="21"/>
        </w:rPr>
        <w:t>（</w:t>
      </w:r>
      <w:r>
        <w:rPr>
          <w:rFonts w:ascii="宋体" w:hAnsi="宋体"/>
          <w:color w:val="000000"/>
          <w:szCs w:val="21"/>
        </w:rPr>
        <w:t>5</w:t>
      </w:r>
      <w:r>
        <w:rPr>
          <w:rFonts w:hint="eastAsia" w:ascii="宋体" w:hAnsi="宋体"/>
          <w:color w:val="000000"/>
          <w:szCs w:val="21"/>
        </w:rPr>
        <w:t>）拟派项目负责人诚信评价：见评标办法前附表。</w:t>
      </w:r>
    </w:p>
    <w:p>
      <w:pPr>
        <w:spacing w:line="400" w:lineRule="exact"/>
        <w:ind w:firstLine="420" w:firstLineChars="200"/>
        <w:rPr>
          <w:rFonts w:ascii="黑体" w:hAnsi="黑体" w:eastAsia="黑体"/>
          <w:color w:val="000000"/>
        </w:rPr>
      </w:pPr>
      <w:r>
        <w:rPr>
          <w:rFonts w:hint="eastAsia"/>
          <w:color w:val="000000"/>
        </w:rPr>
        <w:t>2.2.2</w:t>
      </w:r>
      <w:r>
        <w:rPr>
          <w:rFonts w:hint="eastAsia" w:ascii="黑体" w:hAnsi="黑体" w:eastAsia="黑体"/>
          <w:color w:val="000000"/>
        </w:rPr>
        <w:t>评标价计算方法</w:t>
      </w:r>
    </w:p>
    <w:p>
      <w:pPr>
        <w:spacing w:line="400" w:lineRule="exact"/>
        <w:ind w:firstLine="735" w:firstLineChars="350"/>
        <w:rPr>
          <w:rFonts w:ascii="宋体" w:hAnsi="宋体"/>
          <w:color w:val="000000"/>
          <w:szCs w:val="21"/>
        </w:rPr>
      </w:pPr>
      <w:r>
        <w:rPr>
          <w:rFonts w:hint="eastAsia" w:ascii="宋体" w:hAnsi="宋体"/>
          <w:color w:val="000000"/>
          <w:szCs w:val="21"/>
        </w:rPr>
        <w:t>（1）评标价计算方法：见评标办法前附表。</w:t>
      </w:r>
    </w:p>
    <w:p>
      <w:pPr>
        <w:spacing w:line="400" w:lineRule="exact"/>
        <w:ind w:firstLine="420" w:firstLineChars="200"/>
        <w:rPr>
          <w:color w:val="000000"/>
        </w:rPr>
      </w:pPr>
      <w:r>
        <w:rPr>
          <w:rFonts w:hint="eastAsia"/>
          <w:color w:val="000000"/>
        </w:rPr>
        <w:t>2.2.3</w:t>
      </w:r>
      <w:r>
        <w:rPr>
          <w:rFonts w:hint="eastAsia" w:ascii="黑体" w:eastAsia="黑体"/>
          <w:color w:val="000000"/>
        </w:rPr>
        <w:t>评分标准</w:t>
      </w:r>
    </w:p>
    <w:p>
      <w:pPr>
        <w:spacing w:line="400" w:lineRule="exact"/>
        <w:ind w:firstLine="707" w:firstLineChars="337"/>
        <w:rPr>
          <w:rFonts w:ascii="宋体" w:hAnsi="宋体"/>
          <w:color w:val="000000"/>
          <w:szCs w:val="21"/>
        </w:rPr>
      </w:pPr>
      <w:r>
        <w:rPr>
          <w:rFonts w:hint="eastAsia" w:ascii="宋体" w:hAnsi="宋体"/>
          <w:color w:val="000000"/>
          <w:szCs w:val="21"/>
        </w:rPr>
        <w:t>（1）工程量清单总报价：见评标办法前附表；</w:t>
      </w:r>
    </w:p>
    <w:p>
      <w:pPr>
        <w:spacing w:line="400" w:lineRule="exact"/>
        <w:ind w:firstLine="707" w:firstLineChars="337"/>
        <w:rPr>
          <w:rFonts w:ascii="宋体" w:hAnsi="宋体"/>
          <w:color w:val="000000"/>
          <w:szCs w:val="21"/>
        </w:rPr>
      </w:pPr>
      <w:r>
        <w:rPr>
          <w:rFonts w:hint="eastAsia" w:ascii="宋体" w:hAnsi="宋体"/>
          <w:color w:val="000000"/>
          <w:szCs w:val="21"/>
        </w:rPr>
        <w:t>（2）分部分项清单报价：见评标办法前附表；</w:t>
      </w:r>
    </w:p>
    <w:p>
      <w:pPr>
        <w:spacing w:line="400" w:lineRule="exact"/>
        <w:ind w:firstLine="718" w:firstLineChars="342"/>
        <w:rPr>
          <w:color w:val="000000"/>
        </w:rPr>
      </w:pPr>
      <w:r>
        <w:rPr>
          <w:rFonts w:hint="eastAsia" w:ascii="宋体" w:hAnsi="宋体"/>
          <w:color w:val="000000"/>
          <w:szCs w:val="21"/>
        </w:rPr>
        <w:t>（3）主要材料</w:t>
      </w:r>
      <w:r>
        <w:rPr>
          <w:rFonts w:hint="eastAsia"/>
          <w:color w:val="000000"/>
        </w:rPr>
        <w:t>：见评标办法前附表。</w:t>
      </w:r>
    </w:p>
    <w:p>
      <w:pPr>
        <w:spacing w:line="400" w:lineRule="exact"/>
        <w:ind w:firstLine="718" w:firstLineChars="342"/>
        <w:rPr>
          <w:rFonts w:ascii="宋体" w:hAnsi="宋体"/>
          <w:color w:val="000000"/>
          <w:szCs w:val="21"/>
        </w:rPr>
      </w:pPr>
      <w:r>
        <w:rPr>
          <w:rFonts w:hint="eastAsia" w:ascii="宋体" w:hAnsi="宋体"/>
          <w:color w:val="000000"/>
          <w:szCs w:val="21"/>
        </w:rPr>
        <w:t>（</w:t>
      </w:r>
      <w:r>
        <w:rPr>
          <w:rFonts w:ascii="宋体" w:hAnsi="宋体"/>
          <w:color w:val="000000"/>
          <w:szCs w:val="21"/>
        </w:rPr>
        <w:t>4</w:t>
      </w:r>
      <w:r>
        <w:rPr>
          <w:rFonts w:hint="eastAsia" w:ascii="宋体" w:hAnsi="宋体"/>
          <w:color w:val="000000"/>
          <w:szCs w:val="21"/>
        </w:rPr>
        <w:t>）企业诚信评价：见评标办法前附表。</w:t>
      </w:r>
    </w:p>
    <w:p>
      <w:pPr>
        <w:spacing w:line="400" w:lineRule="exact"/>
        <w:ind w:firstLine="718" w:firstLineChars="342"/>
        <w:rPr>
          <w:rFonts w:ascii="宋体" w:hAnsi="宋体"/>
          <w:color w:val="000000"/>
          <w:szCs w:val="21"/>
        </w:rPr>
      </w:pPr>
      <w:r>
        <w:rPr>
          <w:rFonts w:hint="eastAsia" w:ascii="宋体" w:hAnsi="宋体"/>
          <w:color w:val="000000"/>
          <w:szCs w:val="21"/>
        </w:rPr>
        <w:t>（</w:t>
      </w:r>
      <w:r>
        <w:rPr>
          <w:rFonts w:ascii="宋体" w:hAnsi="宋体"/>
          <w:color w:val="000000"/>
          <w:szCs w:val="21"/>
        </w:rPr>
        <w:t>5</w:t>
      </w:r>
      <w:r>
        <w:rPr>
          <w:rFonts w:hint="eastAsia" w:ascii="宋体" w:hAnsi="宋体"/>
          <w:color w:val="000000"/>
          <w:szCs w:val="21"/>
        </w:rPr>
        <w:t>）拟派项目负责人诚信评价：见评标办法前附表。</w:t>
      </w:r>
    </w:p>
    <w:p>
      <w:pPr>
        <w:spacing w:before="312" w:beforeLines="100" w:after="249" w:afterLines="80" w:line="380" w:lineRule="exact"/>
        <w:outlineLvl w:val="2"/>
        <w:rPr>
          <w:rFonts w:ascii="黑体" w:hAnsi="宋体" w:eastAsia="黑体"/>
          <w:color w:val="000000"/>
          <w:sz w:val="24"/>
        </w:rPr>
      </w:pPr>
      <w:bookmarkStart w:id="295" w:name="_Toc114222769"/>
      <w:r>
        <w:rPr>
          <w:rFonts w:hint="eastAsia" w:ascii="黑体" w:hAnsi="宋体" w:eastAsia="黑体"/>
          <w:color w:val="000000"/>
          <w:sz w:val="24"/>
        </w:rPr>
        <w:t>3.评标程序</w:t>
      </w:r>
      <w:bookmarkEnd w:id="295"/>
    </w:p>
    <w:p>
      <w:pPr>
        <w:rPr>
          <w:rFonts w:ascii="黑体" w:hAnsi="宋体" w:eastAsia="黑体"/>
          <w:color w:val="000000"/>
          <w:sz w:val="24"/>
        </w:rPr>
      </w:pPr>
      <w:r>
        <w:rPr>
          <w:rFonts w:hint="eastAsia" w:ascii="黑体" w:hAnsi="宋体" w:eastAsia="黑体"/>
          <w:color w:val="000000"/>
          <w:sz w:val="24"/>
        </w:rPr>
        <w:t>3.1初步评审</w:t>
      </w:r>
    </w:p>
    <w:p>
      <w:pPr>
        <w:spacing w:line="400" w:lineRule="exact"/>
        <w:ind w:firstLine="420" w:firstLineChars="200"/>
        <w:rPr>
          <w:color w:val="000000"/>
        </w:rPr>
      </w:pPr>
      <w:r>
        <w:rPr>
          <w:rFonts w:hint="eastAsia"/>
          <w:color w:val="000000"/>
        </w:rPr>
        <w:t>3.1.1评标委员会依据本章第2.1款规定的标准对投标文件进行初步评审。有一项不符合评审标准的，否决其投标。</w:t>
      </w:r>
    </w:p>
    <w:p>
      <w:pPr>
        <w:spacing w:line="400" w:lineRule="exact"/>
        <w:ind w:firstLine="420" w:firstLineChars="200"/>
        <w:rPr>
          <w:color w:val="000000"/>
        </w:rPr>
      </w:pPr>
      <w:r>
        <w:rPr>
          <w:rFonts w:hint="eastAsia"/>
          <w:color w:val="000000"/>
        </w:rPr>
        <w:t>3.1.2投标人有以下情形之一的，否决其投标：</w:t>
      </w:r>
    </w:p>
    <w:p>
      <w:pPr>
        <w:spacing w:line="400" w:lineRule="exact"/>
        <w:ind w:firstLine="718" w:firstLineChars="342"/>
        <w:rPr>
          <w:color w:val="000000"/>
        </w:rPr>
      </w:pPr>
      <w:r>
        <w:rPr>
          <w:rFonts w:hint="eastAsia"/>
          <w:color w:val="000000"/>
        </w:rPr>
        <w:t>（</w:t>
      </w:r>
      <w:r>
        <w:rPr>
          <w:color w:val="000000"/>
        </w:rPr>
        <w:t>1</w:t>
      </w:r>
      <w:r>
        <w:rPr>
          <w:rFonts w:hint="eastAsia"/>
          <w:color w:val="000000"/>
        </w:rPr>
        <w:t>）串通投标或弄虚作假或有其他违法行为的；</w:t>
      </w:r>
    </w:p>
    <w:p>
      <w:pPr>
        <w:spacing w:line="400" w:lineRule="exact"/>
        <w:ind w:firstLine="718" w:firstLineChars="342"/>
        <w:rPr>
          <w:color w:val="000000"/>
        </w:rPr>
      </w:pPr>
      <w:r>
        <w:rPr>
          <w:rFonts w:hint="eastAsia"/>
          <w:color w:val="000000"/>
        </w:rPr>
        <w:t>（</w:t>
      </w:r>
      <w:r>
        <w:rPr>
          <w:color w:val="000000"/>
        </w:rPr>
        <w:t>2</w:t>
      </w:r>
      <w:r>
        <w:rPr>
          <w:rFonts w:hint="eastAsia"/>
          <w:color w:val="000000"/>
        </w:rPr>
        <w:t>）不按评标委员会要求澄清、说明或补正的</w:t>
      </w:r>
      <w:r>
        <w:rPr>
          <w:rFonts w:hint="eastAsia"/>
          <w:color w:val="000000"/>
          <w:lang w:eastAsia="zh-CN"/>
        </w:rPr>
        <w:t>；</w:t>
      </w:r>
    </w:p>
    <w:p>
      <w:pPr>
        <w:spacing w:line="400" w:lineRule="exact"/>
        <w:ind w:firstLine="718" w:firstLineChars="342"/>
        <w:rPr>
          <w:color w:val="000000"/>
        </w:rPr>
      </w:pPr>
      <w:r>
        <w:rPr>
          <w:rFonts w:hint="eastAsia"/>
          <w:color w:val="000000"/>
        </w:rPr>
        <w:t>（</w:t>
      </w:r>
      <w:r>
        <w:rPr>
          <w:color w:val="000000"/>
        </w:rPr>
        <w:t>3</w:t>
      </w:r>
      <w:r>
        <w:rPr>
          <w:rFonts w:hint="eastAsia"/>
          <w:color w:val="000000"/>
        </w:rPr>
        <w:t>）经评标委员会复核，发现“机器”推荐的中标候选人存在违法违规行为或重大偏差情形的。</w:t>
      </w:r>
    </w:p>
    <w:p>
      <w:pPr>
        <w:spacing w:line="400" w:lineRule="exact"/>
        <w:ind w:firstLine="420" w:firstLineChars="200"/>
        <w:rPr>
          <w:color w:val="000000"/>
        </w:rPr>
      </w:pPr>
      <w:r>
        <w:rPr>
          <w:rFonts w:hint="eastAsia"/>
          <w:color w:val="000000"/>
        </w:rPr>
        <w:t>3.1.3投标报价有算术错误的，评标委员会按以下原则对投标报价进行修正，修正的价格经投标人书面确认后具有约束力。投标人不接受修正价格的，否决其投标。</w:t>
      </w:r>
    </w:p>
    <w:p>
      <w:pPr>
        <w:spacing w:line="400" w:lineRule="exact"/>
        <w:ind w:firstLine="718" w:firstLineChars="342"/>
        <w:rPr>
          <w:color w:val="000000"/>
        </w:rPr>
      </w:pPr>
      <w:r>
        <w:rPr>
          <w:rFonts w:hint="eastAsia"/>
          <w:color w:val="000000"/>
        </w:rPr>
        <w:t>（1）用数字表示的数额与用文字表示的数额不一致时，以文字数额为准；</w:t>
      </w:r>
    </w:p>
    <w:p>
      <w:pPr>
        <w:spacing w:line="400" w:lineRule="exact"/>
        <w:ind w:firstLine="718" w:firstLineChars="342"/>
        <w:rPr>
          <w:color w:val="000000"/>
        </w:rPr>
      </w:pPr>
      <w:r>
        <w:rPr>
          <w:rFonts w:hint="eastAsia"/>
          <w:color w:val="000000"/>
        </w:rPr>
        <w:t>（2）单价与工程量的乘积与合价不一致时，以单价为准；</w:t>
      </w:r>
    </w:p>
    <w:p>
      <w:pPr>
        <w:spacing w:line="400" w:lineRule="exact"/>
        <w:ind w:firstLine="718" w:firstLineChars="342"/>
        <w:rPr>
          <w:color w:val="000000"/>
        </w:rPr>
      </w:pPr>
      <w:r>
        <w:rPr>
          <w:rFonts w:hint="eastAsia"/>
          <w:color w:val="000000"/>
        </w:rPr>
        <w:t>（3）单价有明显的小数点错位，应以合价为准，并修正单价；</w:t>
      </w:r>
    </w:p>
    <w:p>
      <w:pPr>
        <w:spacing w:line="400" w:lineRule="exact"/>
        <w:ind w:firstLine="718" w:firstLineChars="342"/>
        <w:rPr>
          <w:color w:val="000000"/>
        </w:rPr>
      </w:pPr>
      <w:r>
        <w:rPr>
          <w:rFonts w:hint="eastAsia"/>
          <w:color w:val="000000"/>
        </w:rPr>
        <w:t>（4）当各单项合价相加与其合计金额或总价不一致时，以各单项合价为准，并修正合计金额或总价；</w:t>
      </w:r>
    </w:p>
    <w:p>
      <w:pPr>
        <w:spacing w:line="400" w:lineRule="exact"/>
        <w:ind w:firstLine="718" w:firstLineChars="342"/>
        <w:rPr>
          <w:color w:val="000000"/>
        </w:rPr>
      </w:pPr>
      <w:r>
        <w:rPr>
          <w:rFonts w:hint="eastAsia"/>
          <w:color w:val="000000"/>
        </w:rPr>
        <w:t>（5）招标文件中提供的工程量清单项目，投标人未填报单价或价格的，视为此项费用不计取或已分摊在工程量清单中其他已标价的相关清单的单价或价格之中。</w:t>
      </w:r>
    </w:p>
    <w:p>
      <w:pPr>
        <w:rPr>
          <w:rFonts w:ascii="黑体" w:eastAsia="黑体"/>
          <w:color w:val="000000"/>
          <w:sz w:val="24"/>
        </w:rPr>
      </w:pPr>
      <w:r>
        <w:rPr>
          <w:rFonts w:hint="eastAsia" w:ascii="黑体" w:eastAsia="黑体"/>
          <w:color w:val="000000"/>
          <w:sz w:val="24"/>
        </w:rPr>
        <w:t>3.2确定合格的有效投标人名单</w:t>
      </w:r>
    </w:p>
    <w:p>
      <w:pPr>
        <w:spacing w:line="400" w:lineRule="exact"/>
        <w:ind w:firstLine="718" w:firstLineChars="342"/>
        <w:rPr>
          <w:color w:val="000000"/>
        </w:rPr>
      </w:pPr>
      <w:r>
        <w:rPr>
          <w:rFonts w:hint="eastAsia"/>
          <w:color w:val="000000"/>
        </w:rPr>
        <w:t>3.2.1通过初步评审的有效投标人数量超过60家时，“机器管招投标”系统自动从企业诚信评价等级为A级的投标人中随机抽取20家（投标人数量没有达到20家时，全部抽取），企业诚信评价等级为B级的投标人中随机抽取10家（投标人数量没有达到10家时，全部抽取），然后从剩下的投标人中随机抽取补齐到60家进入详细评审。</w:t>
      </w:r>
    </w:p>
    <w:p>
      <w:pPr>
        <w:spacing w:line="400" w:lineRule="exact"/>
        <w:ind w:firstLine="718" w:firstLineChars="342"/>
        <w:rPr>
          <w:color w:val="000000"/>
        </w:rPr>
      </w:pPr>
      <w:r>
        <w:rPr>
          <w:rFonts w:hint="eastAsia"/>
          <w:color w:val="000000"/>
        </w:rPr>
        <w:t>3</w:t>
      </w:r>
      <w:r>
        <w:rPr>
          <w:color w:val="000000"/>
        </w:rPr>
        <w:t>.2.2</w:t>
      </w:r>
      <w:r>
        <w:rPr>
          <w:rFonts w:hint="eastAsia"/>
          <w:color w:val="000000"/>
        </w:rPr>
        <w:t>通过初步评审的有效投标人数量没有达到60家时，全部进入详细评审。</w:t>
      </w:r>
    </w:p>
    <w:p>
      <w:pPr>
        <w:rPr>
          <w:rFonts w:ascii="黑体" w:eastAsia="黑体"/>
          <w:color w:val="000000"/>
          <w:sz w:val="24"/>
        </w:rPr>
      </w:pPr>
      <w:r>
        <w:rPr>
          <w:rFonts w:hint="eastAsia" w:ascii="黑体" w:eastAsia="黑体"/>
          <w:color w:val="000000"/>
          <w:sz w:val="24"/>
        </w:rPr>
        <w:t>3.3详细评审</w:t>
      </w:r>
    </w:p>
    <w:p>
      <w:pPr>
        <w:spacing w:line="400" w:lineRule="exact"/>
        <w:ind w:firstLine="420" w:firstLineChars="200"/>
        <w:rPr>
          <w:color w:val="000000"/>
        </w:rPr>
      </w:pPr>
      <w:r>
        <w:rPr>
          <w:rFonts w:hint="eastAsia"/>
          <w:color w:val="000000"/>
        </w:rPr>
        <w:t>3.3.1评标委员会按本章第2.2款规定的量化因素和分值进行打分，并计算出综合评估得分。评分分值计算保留小数点后两位，小数点后第三位“四舍五入”</w:t>
      </w:r>
    </w:p>
    <w:p>
      <w:pPr>
        <w:spacing w:line="400" w:lineRule="exact"/>
        <w:ind w:firstLine="718" w:firstLineChars="342"/>
        <w:rPr>
          <w:color w:val="000000"/>
        </w:rPr>
      </w:pPr>
      <w:r>
        <w:rPr>
          <w:rFonts w:hint="eastAsia"/>
          <w:color w:val="000000"/>
        </w:rPr>
        <w:t>（</w:t>
      </w:r>
      <w:r>
        <w:rPr>
          <w:color w:val="000000"/>
        </w:rPr>
        <w:t>1</w:t>
      </w:r>
      <w:r>
        <w:rPr>
          <w:rFonts w:hint="eastAsia"/>
          <w:color w:val="000000"/>
        </w:rPr>
        <w:t>）按本章第2.2.3目规定的评审因素和分值对</w:t>
      </w:r>
      <w:r>
        <w:rPr>
          <w:rFonts w:hint="eastAsia" w:ascii="宋体" w:hAnsi="宋体"/>
          <w:color w:val="000000"/>
          <w:szCs w:val="21"/>
        </w:rPr>
        <w:t>投标报价</w:t>
      </w:r>
      <w:r>
        <w:rPr>
          <w:rFonts w:hint="eastAsia"/>
          <w:color w:val="000000"/>
        </w:rPr>
        <w:t>计算出得分A。</w:t>
      </w:r>
    </w:p>
    <w:p>
      <w:pPr>
        <w:spacing w:line="400" w:lineRule="exact"/>
        <w:ind w:firstLine="718" w:firstLineChars="342"/>
        <w:rPr>
          <w:color w:val="000000"/>
        </w:rPr>
      </w:pPr>
      <w:r>
        <w:rPr>
          <w:rFonts w:hint="eastAsia"/>
          <w:color w:val="000000"/>
        </w:rPr>
        <w:t>（</w:t>
      </w:r>
      <w:r>
        <w:rPr>
          <w:color w:val="000000"/>
        </w:rPr>
        <w:t>2</w:t>
      </w:r>
      <w:r>
        <w:rPr>
          <w:rFonts w:hint="eastAsia"/>
          <w:color w:val="000000"/>
        </w:rPr>
        <w:t>）按本章第2.2.</w:t>
      </w:r>
      <w:r>
        <w:rPr>
          <w:color w:val="000000"/>
        </w:rPr>
        <w:t>4</w:t>
      </w:r>
      <w:r>
        <w:rPr>
          <w:rFonts w:hint="eastAsia"/>
          <w:color w:val="000000"/>
        </w:rPr>
        <w:t>目规定的评审因素和分值对企业诚信评价计算出得分B。</w:t>
      </w:r>
    </w:p>
    <w:p>
      <w:pPr>
        <w:spacing w:line="400" w:lineRule="exact"/>
        <w:ind w:firstLine="718" w:firstLineChars="342"/>
        <w:rPr>
          <w:color w:val="000000"/>
        </w:rPr>
      </w:pPr>
      <w:r>
        <w:rPr>
          <w:rFonts w:hint="eastAsia"/>
          <w:color w:val="000000"/>
        </w:rPr>
        <w:t>（</w:t>
      </w:r>
      <w:r>
        <w:rPr>
          <w:color w:val="000000"/>
        </w:rPr>
        <w:t>5</w:t>
      </w:r>
      <w:r>
        <w:rPr>
          <w:rFonts w:hint="eastAsia"/>
          <w:color w:val="000000"/>
        </w:rPr>
        <w:t>）按本章第2.2.</w:t>
      </w:r>
      <w:r>
        <w:rPr>
          <w:color w:val="000000"/>
        </w:rPr>
        <w:t>5</w:t>
      </w:r>
      <w:r>
        <w:rPr>
          <w:rFonts w:hint="eastAsia"/>
          <w:color w:val="000000"/>
        </w:rPr>
        <w:t>目规定的评审因素和分值对拟派项目负责人诚信评价计算出得分C。</w:t>
      </w:r>
    </w:p>
    <w:p>
      <w:pPr>
        <w:spacing w:line="400" w:lineRule="exact"/>
        <w:ind w:firstLine="420" w:firstLineChars="200"/>
        <w:rPr>
          <w:color w:val="000000"/>
        </w:rPr>
      </w:pPr>
      <w:r>
        <w:rPr>
          <w:rFonts w:hint="eastAsia"/>
          <w:color w:val="000000"/>
        </w:rPr>
        <w:t>投标人得分=A+B+C</w:t>
      </w:r>
    </w:p>
    <w:p>
      <w:pPr>
        <w:spacing w:line="400" w:lineRule="exact"/>
        <w:ind w:firstLine="420" w:firstLineChars="200"/>
        <w:rPr>
          <w:color w:val="000000"/>
        </w:rPr>
      </w:pPr>
      <w:r>
        <w:rPr>
          <w:rFonts w:hint="eastAsia"/>
          <w:color w:val="000000"/>
        </w:rPr>
        <w:t>3.3.2评标委员会发现投标人的报价低于工程成本，由评标委员会认定该投标人以低于成本报价竞标，否决其投标。</w:t>
      </w:r>
    </w:p>
    <w:p>
      <w:pPr>
        <w:rPr>
          <w:rFonts w:ascii="黑体" w:eastAsia="黑体"/>
          <w:color w:val="000000"/>
          <w:sz w:val="24"/>
        </w:rPr>
      </w:pPr>
      <w:r>
        <w:rPr>
          <w:rFonts w:hint="eastAsia" w:ascii="黑体" w:eastAsia="黑体"/>
          <w:color w:val="000000"/>
          <w:sz w:val="24"/>
        </w:rPr>
        <w:t>3.4投标文件的澄清和补正</w:t>
      </w:r>
    </w:p>
    <w:p>
      <w:pPr>
        <w:spacing w:line="400" w:lineRule="exact"/>
        <w:ind w:firstLine="420" w:firstLineChars="200"/>
        <w:rPr>
          <w:color w:val="000000"/>
        </w:rPr>
      </w:pPr>
      <w:r>
        <w:rPr>
          <w:rFonts w:hint="eastAsia"/>
          <w:color w:val="000000"/>
        </w:rPr>
        <w:t>3.4.1在评标过程中，评标委员会可以书面形式要求投标人对所提交投标文件中不明确的内容进行书面澄清或说明，或者对细微偏差进行补正。评标委员会不接受投标人主动提出的澄清、说明或补正。</w:t>
      </w:r>
    </w:p>
    <w:p>
      <w:pPr>
        <w:spacing w:line="400" w:lineRule="exact"/>
        <w:ind w:firstLine="420" w:firstLineChars="200"/>
        <w:rPr>
          <w:color w:val="000000"/>
        </w:rPr>
      </w:pPr>
      <w:r>
        <w:rPr>
          <w:rFonts w:hint="eastAsia"/>
          <w:color w:val="000000"/>
        </w:rPr>
        <w:t>3.4.2澄清、说明和补正不得改变投标文件的实质性内容（算术性错误修正的除外）。投标人的书面澄清、说明和补正属于投标文件的组成部分。</w:t>
      </w:r>
    </w:p>
    <w:p>
      <w:pPr>
        <w:spacing w:line="400" w:lineRule="exact"/>
        <w:ind w:firstLine="420" w:firstLineChars="200"/>
        <w:rPr>
          <w:color w:val="000000"/>
        </w:rPr>
      </w:pPr>
      <w:r>
        <w:rPr>
          <w:rFonts w:hint="eastAsia"/>
          <w:color w:val="000000"/>
        </w:rPr>
        <w:t>3.4.3评标委员会对投标人提交的澄清、说明或补正有疑问的，可以要求投标人进一步澄清、说明或补正，直至满足评标委员会的要求。</w:t>
      </w:r>
    </w:p>
    <w:p>
      <w:pPr>
        <w:rPr>
          <w:rFonts w:ascii="黑体" w:eastAsia="黑体"/>
          <w:color w:val="000000"/>
          <w:sz w:val="24"/>
        </w:rPr>
      </w:pPr>
      <w:r>
        <w:rPr>
          <w:rFonts w:hint="eastAsia" w:ascii="黑体" w:eastAsia="黑体"/>
          <w:color w:val="000000"/>
          <w:sz w:val="24"/>
        </w:rPr>
        <w:t>3.5评标结果</w:t>
      </w:r>
    </w:p>
    <w:p>
      <w:pPr>
        <w:spacing w:line="400" w:lineRule="exact"/>
        <w:ind w:firstLine="420" w:firstLineChars="200"/>
        <w:rPr>
          <w:color w:val="000000"/>
        </w:rPr>
      </w:pPr>
      <w:r>
        <w:rPr>
          <w:rFonts w:hint="eastAsia"/>
          <w:color w:val="000000"/>
        </w:rPr>
        <w:t>3.5.1除第二章“投标人须知”前附表授权直接确定中标人或采用评定分离定标方式外，评标委员会按照得分由高到低的顺序推荐中标候选人。</w:t>
      </w:r>
    </w:p>
    <w:p>
      <w:pPr>
        <w:ind w:firstLine="420" w:firstLineChars="200"/>
        <w:rPr>
          <w:color w:val="000000"/>
        </w:rPr>
      </w:pPr>
      <w:r>
        <w:rPr>
          <w:rFonts w:hint="eastAsia"/>
          <w:color w:val="000000"/>
        </w:rPr>
        <w:t>3.5.2评标委员会完成评标后，应当向招标人提交书面评标报告。</w:t>
      </w:r>
    </w:p>
    <w:p>
      <w:pPr>
        <w:ind w:firstLine="420" w:firstLineChars="200"/>
        <w:rPr>
          <w:rFonts w:ascii="宋体" w:hAnsi="宋体"/>
          <w:color w:val="000000"/>
          <w:szCs w:val="21"/>
        </w:rPr>
      </w:pPr>
    </w:p>
    <w:p>
      <w:pPr>
        <w:rPr>
          <w:rFonts w:ascii="宋体" w:hAnsi="宋体"/>
          <w:color w:val="000000"/>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spacing w:before="312" w:beforeLines="100" w:after="249" w:afterLines="80" w:line="380" w:lineRule="exact"/>
        <w:outlineLvl w:val="2"/>
        <w:rPr>
          <w:rFonts w:ascii="黑体" w:hAnsi="宋体" w:eastAsia="黑体"/>
          <w:color w:val="000000"/>
          <w:sz w:val="24"/>
        </w:rPr>
      </w:pPr>
      <w:bookmarkStart w:id="296" w:name="_Toc114222770"/>
      <w:r>
        <w:rPr>
          <w:rFonts w:hint="eastAsia" w:ascii="黑体" w:hAnsi="宋体" w:eastAsia="黑体"/>
          <w:color w:val="000000"/>
          <w:sz w:val="24"/>
        </w:rPr>
        <w:t>附件A：评标详细程序</w:t>
      </w:r>
      <w:bookmarkEnd w:id="296"/>
    </w:p>
    <w:p>
      <w:pPr>
        <w:spacing w:before="218" w:beforeLines="70" w:after="218" w:afterLines="70" w:line="420" w:lineRule="exact"/>
        <w:jc w:val="center"/>
        <w:rPr>
          <w:rFonts w:ascii="黑体" w:hAnsi="宋体" w:eastAsia="黑体"/>
          <w:color w:val="000000"/>
          <w:sz w:val="28"/>
          <w:szCs w:val="28"/>
        </w:rPr>
      </w:pPr>
      <w:r>
        <w:rPr>
          <w:rFonts w:hint="eastAsia" w:ascii="黑体" w:hAnsi="宋体" w:eastAsia="黑体"/>
          <w:color w:val="000000"/>
          <w:sz w:val="28"/>
          <w:szCs w:val="28"/>
        </w:rPr>
        <w:t>评标详细程序</w:t>
      </w:r>
    </w:p>
    <w:p>
      <w:pPr>
        <w:spacing w:line="420" w:lineRule="exact"/>
        <w:rPr>
          <w:rFonts w:ascii="宋体" w:hAnsi="宋体"/>
          <w:b/>
          <w:color w:val="000000"/>
          <w:szCs w:val="21"/>
        </w:rPr>
      </w:pPr>
      <w:r>
        <w:rPr>
          <w:rFonts w:hint="eastAsia" w:ascii="宋体" w:hAnsi="宋体"/>
          <w:b/>
          <w:color w:val="000000"/>
          <w:szCs w:val="21"/>
        </w:rPr>
        <w:t>A0.总则</w:t>
      </w:r>
    </w:p>
    <w:p>
      <w:pPr>
        <w:spacing w:line="420" w:lineRule="exact"/>
        <w:ind w:firstLine="420" w:firstLineChars="200"/>
        <w:rPr>
          <w:rFonts w:ascii="宋体" w:hAnsi="宋体"/>
          <w:color w:val="000000"/>
          <w:szCs w:val="21"/>
        </w:rPr>
      </w:pPr>
      <w:r>
        <w:rPr>
          <w:rFonts w:hint="eastAsia" w:ascii="宋体" w:hAnsi="宋体"/>
          <w:color w:val="000000"/>
          <w:szCs w:val="21"/>
        </w:rPr>
        <w:t>本附件是本章“评标办法”的组成部分，是对本章第3条所规定的评标程序的</w:t>
      </w:r>
      <w:r>
        <w:rPr>
          <w:rFonts w:hint="eastAsia" w:ascii="宋体" w:hAnsi="宋体"/>
          <w:color w:val="000000"/>
          <w:szCs w:val="21"/>
          <w:lang w:eastAsia="zh-CN"/>
        </w:rPr>
        <w:t>进一步</w:t>
      </w:r>
    </w:p>
    <w:p>
      <w:pPr>
        <w:spacing w:line="420" w:lineRule="exact"/>
        <w:rPr>
          <w:rFonts w:ascii="宋体" w:hAnsi="宋体"/>
          <w:color w:val="000000"/>
          <w:szCs w:val="21"/>
        </w:rPr>
      </w:pPr>
      <w:r>
        <w:rPr>
          <w:rFonts w:hint="eastAsia" w:ascii="宋体" w:hAnsi="宋体"/>
          <w:color w:val="000000"/>
          <w:szCs w:val="21"/>
        </w:rPr>
        <w:t>细化，交易系统应当按照本附件所规定的详细程序开展并完成评标工作，评标专家应当按照本附件所规定的详细程序开展评标结果复核工作。</w:t>
      </w:r>
    </w:p>
    <w:p>
      <w:pPr>
        <w:spacing w:before="62" w:beforeLines="20" w:after="62" w:afterLines="20" w:line="420" w:lineRule="exact"/>
        <w:rPr>
          <w:rFonts w:ascii="宋体" w:hAnsi="宋体"/>
          <w:b/>
          <w:color w:val="000000"/>
          <w:szCs w:val="21"/>
        </w:rPr>
      </w:pPr>
      <w:r>
        <w:rPr>
          <w:rFonts w:hint="eastAsia" w:ascii="宋体" w:hAnsi="宋体"/>
          <w:b/>
          <w:color w:val="000000"/>
          <w:szCs w:val="21"/>
        </w:rPr>
        <w:t>A1.基本程序</w:t>
      </w:r>
    </w:p>
    <w:p>
      <w:pPr>
        <w:spacing w:line="420" w:lineRule="exact"/>
        <w:ind w:firstLine="420" w:firstLineChars="200"/>
        <w:rPr>
          <w:rFonts w:ascii="宋体" w:hAnsi="宋体"/>
          <w:color w:val="000000"/>
          <w:szCs w:val="21"/>
        </w:rPr>
      </w:pPr>
      <w:r>
        <w:rPr>
          <w:rFonts w:hint="eastAsia" w:ascii="宋体" w:hAnsi="宋体"/>
          <w:color w:val="000000"/>
          <w:szCs w:val="21"/>
        </w:rPr>
        <w:t>评标活动将按以下九个步骤进行：</w:t>
      </w:r>
    </w:p>
    <w:p>
      <w:pPr>
        <w:spacing w:before="93" w:beforeLines="30" w:line="420" w:lineRule="exact"/>
        <w:ind w:firstLine="420" w:firstLineChars="200"/>
        <w:rPr>
          <w:rFonts w:ascii="宋体" w:hAns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）初步评审；</w:t>
      </w:r>
    </w:p>
    <w:p>
      <w:pPr>
        <w:spacing w:before="93" w:beforeLines="30" w:line="420" w:lineRule="exact"/>
        <w:ind w:firstLine="420" w:firstLineChars="200"/>
        <w:rPr>
          <w:color w:val="000000"/>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w:t>
      </w:r>
      <w:r>
        <w:rPr>
          <w:rFonts w:hint="eastAsia"/>
          <w:color w:val="000000"/>
        </w:rPr>
        <w:t>确定入围投标人；</w:t>
      </w:r>
    </w:p>
    <w:p>
      <w:pPr>
        <w:spacing w:before="93" w:beforeLines="30" w:line="420" w:lineRule="exact"/>
        <w:ind w:firstLine="420" w:firstLineChars="200"/>
        <w:rPr>
          <w:rFonts w:ascii="宋体" w:hAnsi="宋体"/>
          <w:color w:val="000000"/>
          <w:szCs w:val="21"/>
        </w:rPr>
      </w:pPr>
      <w:r>
        <w:rPr>
          <w:rFonts w:hint="eastAsia" w:ascii="宋体" w:hAnsi="宋体"/>
          <w:color w:val="000000"/>
          <w:szCs w:val="21"/>
        </w:rPr>
        <w:t>（3）计算投标人投标报价得分</w:t>
      </w:r>
      <w:r>
        <w:rPr>
          <w:rFonts w:hint="eastAsia"/>
          <w:color w:val="000000"/>
        </w:rPr>
        <w:t>；</w:t>
      </w:r>
    </w:p>
    <w:p>
      <w:pPr>
        <w:spacing w:before="93" w:beforeLines="30" w:line="420" w:lineRule="exact"/>
        <w:ind w:firstLine="525" w:firstLineChars="250"/>
        <w:rPr>
          <w:rFonts w:ascii="宋体" w:hAnsi="宋体"/>
          <w:color w:val="000000"/>
          <w:szCs w:val="21"/>
        </w:rPr>
      </w:pPr>
      <w:r>
        <w:rPr>
          <w:rFonts w:hint="eastAsia" w:ascii="宋体" w:hAnsi="宋体"/>
          <w:color w:val="000000"/>
          <w:szCs w:val="21"/>
        </w:rPr>
        <w:t>(</w:t>
      </w:r>
      <w:r>
        <w:rPr>
          <w:rFonts w:ascii="宋体" w:hAnsi="宋体"/>
          <w:color w:val="000000"/>
          <w:szCs w:val="21"/>
        </w:rPr>
        <w:t>4)</w:t>
      </w:r>
      <w:r>
        <w:rPr>
          <w:rFonts w:hint="eastAsia" w:ascii="宋体" w:hAnsi="宋体"/>
          <w:color w:val="000000"/>
          <w:szCs w:val="21"/>
        </w:rPr>
        <w:t>计算企业诚信评价得分；</w:t>
      </w:r>
    </w:p>
    <w:p>
      <w:pPr>
        <w:spacing w:before="93" w:beforeLines="30" w:line="420" w:lineRule="exact"/>
        <w:ind w:firstLine="525" w:firstLineChars="250"/>
        <w:rPr>
          <w:rFonts w:ascii="宋体" w:hAnsi="宋体"/>
          <w:color w:val="000000"/>
          <w:szCs w:val="21"/>
        </w:rPr>
      </w:pPr>
      <w:r>
        <w:rPr>
          <w:rFonts w:hint="eastAsia" w:ascii="宋体" w:hAnsi="宋体"/>
          <w:color w:val="000000"/>
          <w:szCs w:val="21"/>
          <w:lang w:eastAsia="zh-CN"/>
        </w:rPr>
        <w:t>（</w:t>
      </w:r>
      <w:r>
        <w:rPr>
          <w:rFonts w:ascii="宋体" w:hAnsi="宋体"/>
          <w:color w:val="000000"/>
          <w:szCs w:val="21"/>
        </w:rPr>
        <w:t>5</w:t>
      </w:r>
      <w:r>
        <w:rPr>
          <w:rFonts w:hint="eastAsia" w:ascii="宋体" w:hAnsi="宋体"/>
          <w:color w:val="000000"/>
          <w:szCs w:val="21"/>
          <w:lang w:eastAsia="zh-CN"/>
        </w:rPr>
        <w:t>）</w:t>
      </w:r>
      <w:r>
        <w:rPr>
          <w:rFonts w:hint="eastAsia" w:ascii="宋体" w:hAnsi="宋体"/>
          <w:color w:val="000000"/>
          <w:szCs w:val="21"/>
        </w:rPr>
        <w:t>计算拟派项目负责人诚信评价得分；</w:t>
      </w:r>
    </w:p>
    <w:p>
      <w:pPr>
        <w:spacing w:before="93" w:beforeLines="30" w:line="420" w:lineRule="exact"/>
        <w:ind w:firstLine="420" w:firstLineChars="200"/>
        <w:rPr>
          <w:rFonts w:ascii="宋体" w:hAnsi="宋体"/>
          <w:color w:val="000000"/>
          <w:szCs w:val="21"/>
        </w:rPr>
      </w:pPr>
      <w:r>
        <w:rPr>
          <w:rFonts w:hint="eastAsia" w:ascii="宋体" w:hAnsi="宋体"/>
          <w:color w:val="000000"/>
          <w:szCs w:val="21"/>
        </w:rPr>
        <w:t>（</w:t>
      </w:r>
      <w:r>
        <w:rPr>
          <w:rFonts w:ascii="宋体" w:hAnsi="宋体"/>
          <w:color w:val="000000"/>
          <w:szCs w:val="21"/>
        </w:rPr>
        <w:t>6</w:t>
      </w:r>
      <w:r>
        <w:rPr>
          <w:rFonts w:hint="eastAsia" w:ascii="宋体" w:hAnsi="宋体"/>
          <w:color w:val="000000"/>
          <w:szCs w:val="21"/>
        </w:rPr>
        <w:t>）计算投标人总得分；</w:t>
      </w:r>
    </w:p>
    <w:p>
      <w:pPr>
        <w:spacing w:before="93" w:beforeLines="30" w:line="420" w:lineRule="exact"/>
        <w:ind w:firstLine="420" w:firstLineChars="200"/>
        <w:rPr>
          <w:rFonts w:ascii="宋体" w:hAnsi="宋体"/>
          <w:color w:val="000000"/>
          <w:szCs w:val="21"/>
        </w:rPr>
      </w:pPr>
      <w:r>
        <w:rPr>
          <w:rFonts w:hint="eastAsia" w:ascii="宋体" w:hAnsi="宋体"/>
          <w:color w:val="000000"/>
          <w:szCs w:val="21"/>
        </w:rPr>
        <w:t>（</w:t>
      </w:r>
      <w:r>
        <w:rPr>
          <w:rFonts w:ascii="宋体" w:hAnsi="宋体"/>
          <w:color w:val="000000"/>
          <w:szCs w:val="21"/>
        </w:rPr>
        <w:t>7</w:t>
      </w:r>
      <w:r>
        <w:rPr>
          <w:rFonts w:hint="eastAsia" w:ascii="宋体" w:hAnsi="宋体"/>
          <w:color w:val="000000"/>
          <w:szCs w:val="21"/>
        </w:rPr>
        <w:t>）系统推荐中标候选人或者直接确定中标人或者按评定分离定标方式要求推送中标候选人。</w:t>
      </w:r>
    </w:p>
    <w:p>
      <w:pPr>
        <w:spacing w:before="93" w:beforeLines="30" w:line="420" w:lineRule="exact"/>
        <w:ind w:firstLine="420" w:firstLineChars="200"/>
        <w:rPr>
          <w:rFonts w:ascii="宋体" w:hAnsi="宋体"/>
          <w:color w:val="000000"/>
          <w:szCs w:val="21"/>
        </w:rPr>
      </w:pPr>
      <w:r>
        <w:rPr>
          <w:rFonts w:hint="eastAsia" w:ascii="宋体" w:hAnsi="宋体"/>
          <w:color w:val="000000"/>
          <w:szCs w:val="21"/>
        </w:rPr>
        <w:t>（</w:t>
      </w:r>
      <w:r>
        <w:rPr>
          <w:rFonts w:ascii="宋体" w:hAnsi="宋体"/>
          <w:color w:val="000000"/>
          <w:szCs w:val="21"/>
        </w:rPr>
        <w:t>8</w:t>
      </w:r>
      <w:r>
        <w:rPr>
          <w:rFonts w:hint="eastAsia" w:ascii="宋体" w:hAnsi="宋体"/>
          <w:color w:val="000000"/>
          <w:szCs w:val="21"/>
        </w:rPr>
        <w:t>）评标专家复核评标；</w:t>
      </w:r>
    </w:p>
    <w:p>
      <w:pPr>
        <w:spacing w:before="93" w:beforeLines="30" w:after="93" w:afterLines="30" w:line="420" w:lineRule="exact"/>
        <w:ind w:firstLine="420" w:firstLineChars="200"/>
        <w:rPr>
          <w:rFonts w:ascii="宋体" w:hAnsi="宋体"/>
          <w:color w:val="000000"/>
          <w:szCs w:val="21"/>
        </w:rPr>
      </w:pPr>
      <w:r>
        <w:rPr>
          <w:rFonts w:hint="eastAsia" w:ascii="宋体" w:hAnsi="宋体"/>
          <w:color w:val="000000"/>
          <w:szCs w:val="21"/>
        </w:rPr>
        <w:t>（</w:t>
      </w:r>
      <w:r>
        <w:rPr>
          <w:rFonts w:ascii="宋体" w:hAnsi="宋体"/>
          <w:color w:val="000000"/>
          <w:szCs w:val="21"/>
        </w:rPr>
        <w:t>9</w:t>
      </w:r>
      <w:r>
        <w:rPr>
          <w:rFonts w:hint="eastAsia" w:ascii="宋体" w:hAnsi="宋体"/>
          <w:color w:val="000000"/>
          <w:szCs w:val="21"/>
        </w:rPr>
        <w:t>）推送评标报告。</w:t>
      </w:r>
    </w:p>
    <w:p>
      <w:pPr>
        <w:adjustRightInd w:val="0"/>
        <w:snapToGrid w:val="0"/>
        <w:spacing w:before="62" w:beforeLines="20" w:line="402" w:lineRule="atLeast"/>
        <w:rPr>
          <w:rFonts w:ascii="宋体" w:hAnsi="宋体"/>
          <w:b/>
          <w:color w:val="000000"/>
          <w:szCs w:val="21"/>
        </w:rPr>
      </w:pPr>
      <w:r>
        <w:rPr>
          <w:rFonts w:hint="eastAsia" w:ascii="宋体" w:hAnsi="宋体"/>
          <w:b/>
          <w:color w:val="000000"/>
          <w:szCs w:val="21"/>
        </w:rPr>
        <w:t>A</w:t>
      </w:r>
      <w:r>
        <w:rPr>
          <w:rFonts w:ascii="宋体" w:hAnsi="宋体"/>
          <w:b/>
          <w:color w:val="000000"/>
          <w:szCs w:val="21"/>
        </w:rPr>
        <w:t>2</w:t>
      </w:r>
      <w:r>
        <w:rPr>
          <w:rFonts w:hint="eastAsia" w:ascii="宋体" w:hAnsi="宋体"/>
          <w:b/>
          <w:color w:val="000000"/>
          <w:szCs w:val="21"/>
        </w:rPr>
        <w:t>初步评审</w:t>
      </w:r>
    </w:p>
    <w:p>
      <w:pPr>
        <w:adjustRightInd w:val="0"/>
        <w:snapToGrid w:val="0"/>
        <w:spacing w:line="402" w:lineRule="atLeast"/>
        <w:rPr>
          <w:rFonts w:ascii="宋体" w:hAnsi="宋体"/>
          <w:b/>
          <w:color w:val="000000"/>
          <w:szCs w:val="21"/>
        </w:rPr>
      </w:pPr>
      <w:r>
        <w:rPr>
          <w:rFonts w:hint="eastAsia" w:ascii="宋体" w:hAnsi="宋体"/>
          <w:b/>
          <w:color w:val="000000"/>
          <w:szCs w:val="21"/>
        </w:rPr>
        <w:t>A</w:t>
      </w:r>
      <w:r>
        <w:rPr>
          <w:rFonts w:ascii="宋体" w:hAnsi="宋体"/>
          <w:b/>
          <w:color w:val="000000"/>
          <w:szCs w:val="21"/>
        </w:rPr>
        <w:t>2</w:t>
      </w:r>
      <w:r>
        <w:rPr>
          <w:rFonts w:hint="eastAsia" w:ascii="宋体" w:hAnsi="宋体"/>
          <w:b/>
          <w:color w:val="000000"/>
          <w:szCs w:val="21"/>
        </w:rPr>
        <w:t>.1形式评审</w:t>
      </w:r>
    </w:p>
    <w:p>
      <w:pPr>
        <w:adjustRightInd w:val="0"/>
        <w:snapToGrid w:val="0"/>
        <w:spacing w:line="402" w:lineRule="atLeast"/>
        <w:ind w:firstLine="420" w:firstLineChars="200"/>
        <w:rPr>
          <w:rFonts w:ascii="宋体" w:hAnsi="宋体"/>
          <w:color w:val="000000"/>
          <w:szCs w:val="21"/>
        </w:rPr>
      </w:pPr>
      <w:r>
        <w:rPr>
          <w:rFonts w:hint="eastAsia" w:ascii="宋体" w:hAnsi="宋体"/>
          <w:color w:val="000000"/>
          <w:szCs w:val="21"/>
        </w:rPr>
        <w:t>交易平台根据评标办法前附表中规定的评审因素和评审标准，对投标人的投标文件进行形式评审，并使用</w:t>
      </w:r>
      <w:r>
        <w:rPr>
          <w:rFonts w:hint="eastAsia" w:ascii="宋体" w:hAnsi="宋体"/>
          <w:b/>
          <w:color w:val="000000"/>
          <w:szCs w:val="21"/>
        </w:rPr>
        <w:t>附表A-2</w:t>
      </w:r>
      <w:r>
        <w:rPr>
          <w:rFonts w:hint="eastAsia" w:ascii="宋体" w:hAnsi="宋体"/>
          <w:color w:val="000000"/>
          <w:szCs w:val="21"/>
        </w:rPr>
        <w:t>记录评审结果。</w:t>
      </w:r>
    </w:p>
    <w:p>
      <w:pPr>
        <w:adjustRightInd w:val="0"/>
        <w:snapToGrid w:val="0"/>
        <w:spacing w:before="62" w:beforeLines="20" w:after="62" w:afterLines="20" w:line="402" w:lineRule="atLeast"/>
        <w:rPr>
          <w:rFonts w:ascii="宋体" w:hAnsi="宋体"/>
          <w:b/>
          <w:color w:val="000000"/>
          <w:szCs w:val="21"/>
        </w:rPr>
      </w:pPr>
      <w:r>
        <w:rPr>
          <w:rFonts w:hint="eastAsia" w:ascii="宋体" w:hAnsi="宋体"/>
          <w:b/>
          <w:color w:val="000000"/>
          <w:szCs w:val="21"/>
        </w:rPr>
        <w:t>A</w:t>
      </w:r>
      <w:r>
        <w:rPr>
          <w:rFonts w:ascii="宋体" w:hAnsi="宋体"/>
          <w:b/>
          <w:color w:val="000000"/>
          <w:szCs w:val="21"/>
        </w:rPr>
        <w:t>2</w:t>
      </w:r>
      <w:r>
        <w:rPr>
          <w:rFonts w:hint="eastAsia" w:ascii="宋体" w:hAnsi="宋体"/>
          <w:b/>
          <w:color w:val="000000"/>
          <w:szCs w:val="21"/>
        </w:rPr>
        <w:t>.2资格评审</w:t>
      </w:r>
    </w:p>
    <w:p>
      <w:pPr>
        <w:adjustRightInd w:val="0"/>
        <w:snapToGrid w:val="0"/>
        <w:spacing w:line="402" w:lineRule="atLeast"/>
        <w:ind w:firstLine="420" w:firstLineChars="200"/>
        <w:rPr>
          <w:rFonts w:ascii="宋体" w:hAnsi="宋体"/>
          <w:color w:val="000000"/>
          <w:szCs w:val="21"/>
        </w:rPr>
      </w:pPr>
      <w:r>
        <w:rPr>
          <w:rFonts w:hint="eastAsia" w:ascii="黑体" w:hAnsi="宋体" w:eastAsia="黑体"/>
          <w:color w:val="000000"/>
          <w:szCs w:val="21"/>
        </w:rPr>
        <w:t>A</w:t>
      </w:r>
      <w:r>
        <w:rPr>
          <w:rFonts w:ascii="黑体" w:hAnsi="宋体" w:eastAsia="黑体"/>
          <w:color w:val="000000"/>
          <w:szCs w:val="21"/>
        </w:rPr>
        <w:t>2</w:t>
      </w:r>
      <w:r>
        <w:rPr>
          <w:rFonts w:hint="eastAsia" w:ascii="黑体" w:hAnsi="宋体" w:eastAsia="黑体"/>
          <w:color w:val="000000"/>
          <w:szCs w:val="21"/>
        </w:rPr>
        <w:t>.2.1</w:t>
      </w:r>
      <w:r>
        <w:rPr>
          <w:rFonts w:hint="eastAsia" w:ascii="宋体" w:hAnsi="宋体"/>
          <w:color w:val="000000"/>
          <w:szCs w:val="21"/>
        </w:rPr>
        <w:t>交易平台根据评标办法前附表中规定的评审因素和评审标准，对投标人的投标文件进行资格评审，并使用</w:t>
      </w:r>
      <w:r>
        <w:rPr>
          <w:rFonts w:hint="eastAsia" w:ascii="宋体" w:hAnsi="宋体"/>
          <w:b/>
          <w:color w:val="000000"/>
          <w:szCs w:val="21"/>
        </w:rPr>
        <w:t>附表A-3</w:t>
      </w:r>
      <w:r>
        <w:rPr>
          <w:rFonts w:hint="eastAsia" w:ascii="宋体" w:hAnsi="宋体"/>
          <w:color w:val="000000"/>
          <w:szCs w:val="21"/>
        </w:rPr>
        <w:t>记录评审结果。</w:t>
      </w:r>
    </w:p>
    <w:p>
      <w:pPr>
        <w:adjustRightInd w:val="0"/>
        <w:snapToGrid w:val="0"/>
        <w:spacing w:before="62" w:beforeLines="20" w:after="62" w:afterLines="20" w:line="430" w:lineRule="exact"/>
        <w:rPr>
          <w:rFonts w:ascii="宋体" w:hAnsi="宋体"/>
          <w:b/>
          <w:color w:val="000000"/>
          <w:szCs w:val="21"/>
        </w:rPr>
      </w:pPr>
      <w:r>
        <w:rPr>
          <w:rFonts w:hint="eastAsia" w:ascii="黑体" w:hAnsi="宋体" w:eastAsia="黑体"/>
          <w:b/>
          <w:color w:val="000000"/>
          <w:szCs w:val="21"/>
        </w:rPr>
        <w:t>A</w:t>
      </w:r>
      <w:r>
        <w:rPr>
          <w:rFonts w:ascii="黑体" w:hAnsi="宋体" w:eastAsia="黑体"/>
          <w:b/>
          <w:color w:val="000000"/>
          <w:szCs w:val="21"/>
        </w:rPr>
        <w:t>2</w:t>
      </w:r>
      <w:r>
        <w:rPr>
          <w:rFonts w:hint="eastAsia" w:ascii="黑体" w:hAnsi="宋体" w:eastAsia="黑体"/>
          <w:b/>
          <w:color w:val="000000"/>
          <w:szCs w:val="21"/>
        </w:rPr>
        <w:t>．3</w:t>
      </w:r>
      <w:r>
        <w:rPr>
          <w:rFonts w:hint="eastAsia" w:ascii="宋体" w:hAnsi="宋体"/>
          <w:b/>
          <w:color w:val="000000"/>
          <w:szCs w:val="21"/>
        </w:rPr>
        <w:t>响应性评审</w:t>
      </w:r>
    </w:p>
    <w:p>
      <w:pPr>
        <w:adjustRightInd w:val="0"/>
        <w:snapToGrid w:val="0"/>
        <w:spacing w:line="430" w:lineRule="exact"/>
        <w:ind w:firstLine="420" w:firstLineChars="200"/>
        <w:rPr>
          <w:rFonts w:ascii="宋体" w:hAnsi="宋体"/>
          <w:color w:val="000000"/>
          <w:szCs w:val="21"/>
        </w:rPr>
      </w:pPr>
      <w:r>
        <w:rPr>
          <w:rFonts w:hint="eastAsia" w:ascii="黑体" w:hAnsi="宋体" w:eastAsia="黑体"/>
          <w:color w:val="000000"/>
          <w:szCs w:val="21"/>
        </w:rPr>
        <w:t>A</w:t>
      </w:r>
      <w:r>
        <w:rPr>
          <w:rFonts w:ascii="黑体" w:hAnsi="宋体" w:eastAsia="黑体"/>
          <w:color w:val="000000"/>
          <w:szCs w:val="21"/>
        </w:rPr>
        <w:t>2</w:t>
      </w:r>
      <w:r>
        <w:rPr>
          <w:rFonts w:hint="eastAsia" w:ascii="黑体" w:hAnsi="宋体" w:eastAsia="黑体"/>
          <w:color w:val="000000"/>
          <w:szCs w:val="21"/>
        </w:rPr>
        <w:t>.3.1</w:t>
      </w:r>
      <w:r>
        <w:rPr>
          <w:rFonts w:hint="eastAsia" w:ascii="宋体" w:hAnsi="宋体"/>
          <w:color w:val="000000"/>
          <w:szCs w:val="21"/>
        </w:rPr>
        <w:t>评标委员会根据评标办法前附表中规定的评审因素和评审标准，对投标人的投标文件进行响应性评审，并使用</w:t>
      </w:r>
      <w:r>
        <w:rPr>
          <w:rFonts w:hint="eastAsia" w:ascii="宋体" w:hAnsi="宋体"/>
          <w:b/>
          <w:color w:val="000000"/>
          <w:szCs w:val="21"/>
        </w:rPr>
        <w:t>附表A-4</w:t>
      </w:r>
      <w:r>
        <w:rPr>
          <w:rFonts w:hint="eastAsia" w:ascii="宋体" w:hAnsi="宋体"/>
          <w:color w:val="000000"/>
          <w:szCs w:val="21"/>
        </w:rPr>
        <w:t>记录评审结果。</w:t>
      </w:r>
    </w:p>
    <w:p>
      <w:pPr>
        <w:adjustRightInd w:val="0"/>
        <w:snapToGrid w:val="0"/>
        <w:spacing w:line="430" w:lineRule="exact"/>
        <w:ind w:firstLine="420" w:firstLineChars="200"/>
        <w:rPr>
          <w:rFonts w:ascii="宋体" w:hAnsi="宋体"/>
          <w:color w:val="000000"/>
          <w:szCs w:val="21"/>
        </w:rPr>
      </w:pPr>
      <w:r>
        <w:rPr>
          <w:rFonts w:hint="eastAsia" w:ascii="黑体" w:hAnsi="宋体" w:eastAsia="黑体"/>
          <w:color w:val="000000"/>
          <w:szCs w:val="21"/>
        </w:rPr>
        <w:t>A</w:t>
      </w:r>
      <w:r>
        <w:rPr>
          <w:rFonts w:ascii="黑体" w:hAnsi="宋体" w:eastAsia="黑体"/>
          <w:color w:val="000000"/>
          <w:szCs w:val="21"/>
        </w:rPr>
        <w:t>2</w:t>
      </w:r>
      <w:r>
        <w:rPr>
          <w:rFonts w:hint="eastAsia" w:ascii="黑体" w:hAnsi="宋体" w:eastAsia="黑体"/>
          <w:color w:val="000000"/>
          <w:szCs w:val="21"/>
        </w:rPr>
        <w:t>.3.</w:t>
      </w:r>
      <w:r>
        <w:rPr>
          <w:rFonts w:ascii="黑体" w:hAnsi="宋体" w:eastAsia="黑体"/>
          <w:color w:val="000000"/>
          <w:szCs w:val="21"/>
        </w:rPr>
        <w:t>2</w:t>
      </w:r>
      <w:r>
        <w:rPr>
          <w:rFonts w:hint="eastAsia" w:ascii="宋体" w:hAnsi="宋体"/>
          <w:color w:val="000000"/>
          <w:szCs w:val="21"/>
        </w:rPr>
        <w:t>投标人投标价格不得超出</w:t>
      </w:r>
      <w:r>
        <w:rPr>
          <w:rFonts w:hint="eastAsia" w:ascii="宋体" w:hAnsi="宋体"/>
          <w:color w:val="000000"/>
          <w:szCs w:val="21"/>
          <w:lang w:eastAsia="zh-CN"/>
        </w:rPr>
        <w:t>（</w:t>
      </w:r>
      <w:r>
        <w:rPr>
          <w:rFonts w:hint="eastAsia" w:ascii="宋体" w:hAnsi="宋体"/>
          <w:color w:val="000000"/>
          <w:szCs w:val="21"/>
        </w:rPr>
        <w:t>不含等于</w:t>
      </w:r>
      <w:r>
        <w:rPr>
          <w:rFonts w:hint="eastAsia" w:ascii="宋体" w:hAnsi="宋体"/>
          <w:color w:val="000000"/>
          <w:szCs w:val="21"/>
          <w:lang w:eastAsia="zh-CN"/>
        </w:rPr>
        <w:t>）</w:t>
      </w:r>
      <w:r>
        <w:rPr>
          <w:rFonts w:hint="eastAsia" w:ascii="宋体" w:hAnsi="宋体"/>
          <w:color w:val="000000"/>
          <w:szCs w:val="21"/>
        </w:rPr>
        <w:t>按照第二章“投标人须知”前附表第10．</w:t>
      </w:r>
      <w:r>
        <w:rPr>
          <w:rFonts w:ascii="宋体" w:hAnsi="宋体"/>
          <w:color w:val="000000"/>
          <w:szCs w:val="21"/>
        </w:rPr>
        <w:t>1</w:t>
      </w:r>
      <w:r>
        <w:rPr>
          <w:rFonts w:hint="eastAsia" w:ascii="宋体" w:hAnsi="宋体"/>
          <w:color w:val="000000"/>
          <w:szCs w:val="21"/>
        </w:rPr>
        <w:t>款载明的招标控制价，凡投标人的投标价格超出招标控制价，该投标人的投标文件不能通过响应性评审。</w:t>
      </w:r>
    </w:p>
    <w:p>
      <w:pPr>
        <w:adjustRightInd w:val="0"/>
        <w:snapToGrid w:val="0"/>
        <w:spacing w:line="430" w:lineRule="exact"/>
        <w:rPr>
          <w:rFonts w:ascii="宋体" w:hAnsi="宋体"/>
          <w:b/>
          <w:color w:val="000000"/>
          <w:szCs w:val="21"/>
        </w:rPr>
      </w:pPr>
      <w:r>
        <w:rPr>
          <w:rFonts w:hint="eastAsia" w:ascii="黑体" w:hAnsi="宋体" w:eastAsia="黑体"/>
          <w:b/>
          <w:color w:val="000000"/>
          <w:szCs w:val="21"/>
        </w:rPr>
        <w:t>A</w:t>
      </w:r>
      <w:r>
        <w:rPr>
          <w:rFonts w:ascii="黑体" w:hAnsi="宋体" w:eastAsia="黑体"/>
          <w:b/>
          <w:color w:val="000000"/>
          <w:szCs w:val="21"/>
        </w:rPr>
        <w:t>2</w:t>
      </w:r>
      <w:r>
        <w:rPr>
          <w:rFonts w:hint="eastAsia" w:ascii="黑体" w:hAnsi="宋体" w:eastAsia="黑体"/>
          <w:b/>
          <w:color w:val="000000"/>
          <w:szCs w:val="21"/>
        </w:rPr>
        <w:t>.4</w:t>
      </w:r>
      <w:r>
        <w:rPr>
          <w:rFonts w:hint="eastAsia" w:ascii="宋体" w:hAnsi="宋体"/>
          <w:b/>
          <w:color w:val="000000"/>
          <w:szCs w:val="21"/>
        </w:rPr>
        <w:t>判断投标是否被否决</w:t>
      </w:r>
    </w:p>
    <w:p>
      <w:pPr>
        <w:adjustRightInd w:val="0"/>
        <w:snapToGrid w:val="0"/>
        <w:spacing w:line="430" w:lineRule="exact"/>
        <w:ind w:firstLine="420" w:firstLineChars="200"/>
        <w:rPr>
          <w:rFonts w:ascii="宋体" w:hAnsi="宋体"/>
          <w:color w:val="000000"/>
          <w:szCs w:val="21"/>
        </w:rPr>
      </w:pPr>
      <w:r>
        <w:rPr>
          <w:rFonts w:hint="eastAsia" w:ascii="黑体" w:hAnsi="宋体" w:eastAsia="黑体"/>
          <w:color w:val="000000"/>
          <w:szCs w:val="21"/>
        </w:rPr>
        <w:t>A</w:t>
      </w:r>
      <w:r>
        <w:rPr>
          <w:rFonts w:ascii="黑体" w:hAnsi="宋体" w:eastAsia="黑体"/>
          <w:color w:val="000000"/>
          <w:szCs w:val="21"/>
        </w:rPr>
        <w:t>2</w:t>
      </w:r>
      <w:r>
        <w:rPr>
          <w:rFonts w:hint="eastAsia" w:ascii="黑体" w:hAnsi="宋体" w:eastAsia="黑体"/>
          <w:color w:val="000000"/>
          <w:szCs w:val="21"/>
        </w:rPr>
        <w:t>.4.1</w:t>
      </w:r>
      <w:r>
        <w:rPr>
          <w:rFonts w:hint="eastAsia" w:ascii="宋体" w:hAnsi="宋体"/>
          <w:color w:val="000000"/>
          <w:szCs w:val="21"/>
        </w:rPr>
        <w:t>判断投标人的投标是否被否决的全部条件</w:t>
      </w:r>
      <w:r>
        <w:rPr>
          <w:rFonts w:hint="eastAsia" w:ascii="宋体" w:hAnsi="宋体"/>
          <w:color w:val="000000"/>
          <w:szCs w:val="21"/>
          <w:lang w:eastAsia="zh-CN"/>
        </w:rPr>
        <w:t>（</w:t>
      </w:r>
      <w:r>
        <w:rPr>
          <w:rFonts w:hint="eastAsia" w:ascii="宋体" w:hAnsi="宋体"/>
          <w:color w:val="000000"/>
          <w:szCs w:val="21"/>
        </w:rPr>
        <w:t>包括本章第3．1．2项中规定的条件</w:t>
      </w:r>
      <w:r>
        <w:rPr>
          <w:rFonts w:hint="eastAsia" w:ascii="宋体" w:hAnsi="宋体"/>
          <w:color w:val="000000"/>
          <w:szCs w:val="21"/>
          <w:lang w:eastAsia="zh-CN"/>
        </w:rPr>
        <w:t>）</w:t>
      </w:r>
      <w:r>
        <w:rPr>
          <w:rFonts w:hint="eastAsia" w:ascii="宋体" w:hAnsi="宋体"/>
          <w:color w:val="000000"/>
          <w:szCs w:val="21"/>
        </w:rPr>
        <w:t>，在本章附件B中集中列示。</w:t>
      </w:r>
    </w:p>
    <w:p>
      <w:pPr>
        <w:adjustRightInd w:val="0"/>
        <w:snapToGrid w:val="0"/>
        <w:spacing w:line="430" w:lineRule="exact"/>
        <w:ind w:firstLine="420" w:firstLineChars="200"/>
        <w:rPr>
          <w:rFonts w:ascii="宋体" w:hAnsi="宋体"/>
          <w:color w:val="000000"/>
          <w:szCs w:val="21"/>
        </w:rPr>
      </w:pPr>
      <w:r>
        <w:rPr>
          <w:rFonts w:hint="eastAsia" w:ascii="黑体" w:hAnsi="宋体" w:eastAsia="黑体"/>
          <w:color w:val="000000"/>
          <w:szCs w:val="21"/>
        </w:rPr>
        <w:t>A</w:t>
      </w:r>
      <w:r>
        <w:rPr>
          <w:rFonts w:ascii="黑体" w:hAnsi="宋体" w:eastAsia="黑体"/>
          <w:color w:val="000000"/>
          <w:szCs w:val="21"/>
        </w:rPr>
        <w:t>2</w:t>
      </w:r>
      <w:r>
        <w:rPr>
          <w:rFonts w:hint="eastAsia" w:ascii="黑体" w:hAnsi="宋体" w:eastAsia="黑体"/>
          <w:color w:val="000000"/>
          <w:szCs w:val="21"/>
        </w:rPr>
        <w:t>.4.2</w:t>
      </w:r>
      <w:r>
        <w:rPr>
          <w:rFonts w:hint="eastAsia" w:ascii="宋体" w:hAnsi="宋体"/>
          <w:color w:val="000000"/>
          <w:szCs w:val="21"/>
        </w:rPr>
        <w:t>本章附件</w:t>
      </w:r>
      <w:r>
        <w:rPr>
          <w:rFonts w:hint="eastAsia" w:ascii="宋体" w:hAnsi="宋体"/>
          <w:b/>
          <w:color w:val="000000"/>
          <w:szCs w:val="21"/>
        </w:rPr>
        <w:t>B集</w:t>
      </w:r>
      <w:r>
        <w:rPr>
          <w:rFonts w:hint="eastAsia" w:ascii="宋体" w:hAnsi="宋体"/>
          <w:color w:val="000000"/>
          <w:szCs w:val="21"/>
        </w:rPr>
        <w:t>中列示的否决投标条件不应与第二章“投标人须知”和本章正文部分包括的否决投标条件抵触，如果出现相互矛盾的情况，以第二章“投标人须知”和本章正文部分的规定为准。</w:t>
      </w:r>
    </w:p>
    <w:p>
      <w:pPr>
        <w:adjustRightInd w:val="0"/>
        <w:snapToGrid w:val="0"/>
        <w:spacing w:line="430" w:lineRule="exact"/>
        <w:ind w:firstLine="420" w:firstLineChars="200"/>
        <w:rPr>
          <w:rFonts w:ascii="宋体" w:hAnsi="宋体"/>
          <w:color w:val="000000"/>
          <w:szCs w:val="21"/>
        </w:rPr>
      </w:pPr>
      <w:r>
        <w:rPr>
          <w:rFonts w:hint="eastAsia" w:ascii="黑体" w:hAnsi="宋体" w:eastAsia="黑体"/>
          <w:color w:val="000000"/>
          <w:szCs w:val="21"/>
        </w:rPr>
        <w:t>A</w:t>
      </w:r>
      <w:r>
        <w:rPr>
          <w:rFonts w:ascii="黑体" w:hAnsi="宋体" w:eastAsia="黑体"/>
          <w:color w:val="000000"/>
          <w:szCs w:val="21"/>
        </w:rPr>
        <w:t>2</w:t>
      </w:r>
      <w:r>
        <w:rPr>
          <w:rFonts w:hint="eastAsia" w:ascii="黑体" w:hAnsi="宋体" w:eastAsia="黑体"/>
          <w:color w:val="000000"/>
          <w:szCs w:val="21"/>
        </w:rPr>
        <w:t>.4.3</w:t>
      </w:r>
      <w:r>
        <w:rPr>
          <w:rFonts w:hint="eastAsia" w:ascii="宋体" w:hAnsi="宋体"/>
          <w:color w:val="000000"/>
          <w:szCs w:val="21"/>
        </w:rPr>
        <w:t>交易平台在评标</w:t>
      </w:r>
      <w:r>
        <w:rPr>
          <w:rFonts w:hint="eastAsia" w:ascii="宋体" w:hAnsi="宋体"/>
          <w:color w:val="000000"/>
          <w:szCs w:val="21"/>
          <w:lang w:eastAsia="zh-CN"/>
        </w:rPr>
        <w:t>（</w:t>
      </w:r>
      <w:r>
        <w:rPr>
          <w:rFonts w:hint="eastAsia" w:ascii="宋体" w:hAnsi="宋体"/>
          <w:color w:val="000000"/>
          <w:szCs w:val="21"/>
        </w:rPr>
        <w:t>包括初步评审和详细评审</w:t>
      </w:r>
      <w:r>
        <w:rPr>
          <w:rFonts w:hint="eastAsia" w:ascii="宋体" w:hAnsi="宋体"/>
          <w:color w:val="000000"/>
          <w:szCs w:val="21"/>
          <w:lang w:eastAsia="zh-CN"/>
        </w:rPr>
        <w:t>）</w:t>
      </w:r>
      <w:r>
        <w:rPr>
          <w:rFonts w:hint="eastAsia" w:ascii="宋体" w:hAnsi="宋体"/>
          <w:color w:val="000000"/>
          <w:szCs w:val="21"/>
        </w:rPr>
        <w:t>过程中，依据本章</w:t>
      </w:r>
      <w:r>
        <w:rPr>
          <w:rFonts w:hint="eastAsia" w:ascii="宋体" w:hAnsi="宋体"/>
          <w:b/>
          <w:color w:val="000000"/>
          <w:szCs w:val="21"/>
        </w:rPr>
        <w:t>附件B</w:t>
      </w:r>
      <w:r>
        <w:rPr>
          <w:rFonts w:hint="eastAsia" w:ascii="宋体" w:hAnsi="宋体"/>
          <w:color w:val="000000"/>
          <w:szCs w:val="21"/>
        </w:rPr>
        <w:t>中规定的否决投标条件判断投标人的投标是否被否决。</w:t>
      </w:r>
    </w:p>
    <w:p>
      <w:pPr>
        <w:spacing w:line="420" w:lineRule="exact"/>
        <w:rPr>
          <w:rFonts w:ascii="宋体" w:hAnsi="宋体"/>
          <w:b/>
          <w:color w:val="000000"/>
        </w:rPr>
      </w:pPr>
      <w:r>
        <w:rPr>
          <w:rFonts w:hint="eastAsia" w:ascii="宋体" w:hAnsi="宋体"/>
          <w:b/>
          <w:color w:val="000000"/>
        </w:rPr>
        <w:t>A</w:t>
      </w:r>
      <w:r>
        <w:rPr>
          <w:rFonts w:ascii="宋体" w:hAnsi="宋体"/>
          <w:b/>
          <w:color w:val="000000"/>
        </w:rPr>
        <w:t>3</w:t>
      </w:r>
      <w:r>
        <w:rPr>
          <w:rFonts w:hint="eastAsia" w:ascii="宋体" w:hAnsi="宋体"/>
          <w:b/>
          <w:color w:val="000000"/>
        </w:rPr>
        <w:t>确定入围投标人</w:t>
      </w:r>
    </w:p>
    <w:p>
      <w:pPr>
        <w:adjustRightInd w:val="0"/>
        <w:snapToGrid w:val="0"/>
        <w:spacing w:before="62" w:beforeLines="20" w:after="62" w:afterLines="20" w:line="430" w:lineRule="exact"/>
        <w:ind w:firstLine="420" w:firstLineChars="200"/>
        <w:rPr>
          <w:rFonts w:hint="eastAsia" w:ascii="宋体" w:hAnsi="宋体"/>
          <w:color w:val="000000"/>
          <w:szCs w:val="21"/>
        </w:rPr>
      </w:pPr>
      <w:r>
        <w:rPr>
          <w:rFonts w:hint="eastAsia" w:ascii="宋体" w:hAnsi="宋体"/>
          <w:color w:val="000000"/>
          <w:szCs w:val="21"/>
        </w:rPr>
        <w:t>（一）投标人数量超过60家时“机器管招投标”系统计算方式。</w:t>
      </w:r>
    </w:p>
    <w:p>
      <w:pPr>
        <w:adjustRightInd w:val="0"/>
        <w:snapToGrid w:val="0"/>
        <w:spacing w:before="62" w:beforeLines="20" w:after="62" w:afterLines="20" w:line="430" w:lineRule="exact"/>
        <w:ind w:firstLine="420" w:firstLineChars="200"/>
        <w:rPr>
          <w:rFonts w:hint="eastAsia" w:ascii="宋体" w:hAnsi="宋体"/>
          <w:color w:val="000000"/>
          <w:szCs w:val="21"/>
        </w:rPr>
      </w:pPr>
      <w:r>
        <w:rPr>
          <w:rFonts w:hint="eastAsia" w:ascii="宋体" w:hAnsi="宋体"/>
          <w:color w:val="000000"/>
          <w:szCs w:val="21"/>
        </w:rPr>
        <w:t>1.根据企业诚信评价等级为A级的投标人数量，如超过20家时，先剔除投标报价最高的20%家（有小数时按上限取整数）和最低的10%家（有小数时按上限取整数），然后进行算术平均，计算出算术平均值，再以算术平均值和投标报价的差的绝对值从低至高进行排列，取前20家（A级投标人数量没有达到20家时，全部进入。如差的绝对值相同时，取投标报价低的进入）进入评审；</w:t>
      </w:r>
    </w:p>
    <w:p>
      <w:pPr>
        <w:adjustRightInd w:val="0"/>
        <w:snapToGrid w:val="0"/>
        <w:spacing w:before="62" w:beforeLines="20" w:after="62" w:afterLines="20" w:line="430" w:lineRule="exact"/>
        <w:ind w:firstLine="420" w:firstLineChars="200"/>
        <w:rPr>
          <w:rFonts w:hint="eastAsia" w:ascii="宋体" w:hAnsi="宋体"/>
          <w:color w:val="000000"/>
          <w:szCs w:val="21"/>
        </w:rPr>
      </w:pPr>
      <w:r>
        <w:rPr>
          <w:rFonts w:hint="eastAsia" w:ascii="宋体" w:hAnsi="宋体"/>
          <w:color w:val="000000"/>
          <w:szCs w:val="21"/>
        </w:rPr>
        <w:t>2.根据企业诚信评价等级为B级的投标人数量，如超过10家时，剔除投标报价最高的20%家（有小数时按上限取整数）和最低的10%家（有小数时按上限取整数），然后进行算术平均，计算出算术平均值，再以算术平均值和投标报价的差的绝对值从低至高进行排列，取前10家（B级投标人数量没有达到10家时，全部进入。如差的绝对值相同时，取投标报价低的进入）进入评审；</w:t>
      </w:r>
    </w:p>
    <w:p>
      <w:pPr>
        <w:adjustRightInd w:val="0"/>
        <w:snapToGrid w:val="0"/>
        <w:spacing w:before="62" w:beforeLines="20" w:after="62" w:afterLines="20" w:line="430" w:lineRule="exact"/>
        <w:ind w:firstLine="420" w:firstLineChars="200"/>
        <w:rPr>
          <w:rFonts w:hint="eastAsia" w:ascii="宋体" w:hAnsi="宋体"/>
          <w:color w:val="000000"/>
          <w:szCs w:val="21"/>
        </w:rPr>
      </w:pPr>
      <w:r>
        <w:rPr>
          <w:rFonts w:hint="eastAsia" w:ascii="宋体" w:hAnsi="宋体"/>
          <w:color w:val="000000"/>
          <w:szCs w:val="21"/>
        </w:rPr>
        <w:t>3.符合投标条件的境外（含港、澳、台地区）企业参加投标且数量超过10家时，剔除投标报价最高的20%家（有小数时按上限取整数）和最低的10%家（有小数时按上限取整数），然后进行算术平均（10家以下（含10家）时，直接进行算术平均），计算出算术平均值，再以算术平均值和投标报价的差的绝对值从低至高进行排列（如差的绝对值相同时，取投标报价低的进入），取前5家（投标人数量不足5家时，全部进入）进入评审；</w:t>
      </w:r>
    </w:p>
    <w:p>
      <w:pPr>
        <w:adjustRightInd w:val="0"/>
        <w:snapToGrid w:val="0"/>
        <w:spacing w:before="62" w:beforeLines="20" w:after="62" w:afterLines="20" w:line="430" w:lineRule="exact"/>
        <w:ind w:firstLine="420" w:firstLineChars="200"/>
        <w:rPr>
          <w:rFonts w:hint="eastAsia" w:ascii="宋体" w:hAnsi="宋体"/>
          <w:color w:val="000000"/>
          <w:szCs w:val="21"/>
        </w:rPr>
      </w:pPr>
      <w:r>
        <w:rPr>
          <w:rFonts w:hint="eastAsia" w:ascii="宋体" w:hAnsi="宋体"/>
          <w:color w:val="000000"/>
          <w:szCs w:val="21"/>
        </w:rPr>
        <w:t>4.最后将剩下投标人，剔除投标报价最高的20%家（有小数时按上限取整数）和最低的10%家的计算算术平均值，再以算术平均值和投标报价的差的绝对值从低至高进行排列补齐25家（没有第3项情形的，补齐到30家）（如差的绝对值相同时，取投标报价低的进入，如A级、B级、境外（含港、澳、台地区）企业没有达到上述规定数量时，应按60家的数量补齐）进入评审。</w:t>
      </w:r>
    </w:p>
    <w:p>
      <w:pPr>
        <w:adjustRightInd w:val="0"/>
        <w:snapToGrid w:val="0"/>
        <w:spacing w:before="62" w:beforeLines="20" w:after="62" w:afterLines="20" w:line="430" w:lineRule="exact"/>
        <w:ind w:firstLine="420" w:firstLineChars="200"/>
        <w:rPr>
          <w:rFonts w:ascii="宋体" w:hAnsi="宋体"/>
          <w:color w:val="000000"/>
          <w:szCs w:val="21"/>
        </w:rPr>
      </w:pPr>
      <w:r>
        <w:rPr>
          <w:rFonts w:hint="eastAsia" w:ascii="宋体" w:hAnsi="宋体"/>
          <w:color w:val="000000"/>
          <w:szCs w:val="21"/>
        </w:rPr>
        <w:t>（二）投标人数量没有达到60家时，全部进入。</w:t>
      </w:r>
    </w:p>
    <w:p>
      <w:pPr>
        <w:adjustRightInd w:val="0"/>
        <w:snapToGrid w:val="0"/>
        <w:spacing w:before="62" w:beforeLines="20" w:after="62" w:afterLines="20" w:line="430" w:lineRule="exact"/>
        <w:ind w:firstLine="420"/>
        <w:rPr>
          <w:rFonts w:ascii="宋体" w:hAnsi="宋体"/>
          <w:color w:val="000000"/>
          <w:szCs w:val="21"/>
        </w:rPr>
      </w:pPr>
      <w:r>
        <w:rPr>
          <w:rFonts w:hint="eastAsia" w:ascii="宋体" w:hAnsi="宋体"/>
          <w:color w:val="000000"/>
          <w:szCs w:val="21"/>
        </w:rPr>
        <w:t>将结果记录至附表A-5及附表A-</w:t>
      </w:r>
      <w:r>
        <w:rPr>
          <w:rFonts w:ascii="宋体" w:hAnsi="宋体"/>
          <w:color w:val="000000"/>
          <w:szCs w:val="21"/>
        </w:rPr>
        <w:t>6</w:t>
      </w:r>
    </w:p>
    <w:p>
      <w:pPr>
        <w:adjustRightInd w:val="0"/>
        <w:snapToGrid w:val="0"/>
        <w:spacing w:before="62" w:beforeLines="20" w:after="62" w:afterLines="20" w:line="430" w:lineRule="exact"/>
        <w:rPr>
          <w:rFonts w:ascii="宋体" w:hAnsi="宋体"/>
          <w:b/>
          <w:color w:val="000000"/>
          <w:szCs w:val="21"/>
        </w:rPr>
      </w:pPr>
      <w:r>
        <w:rPr>
          <w:rFonts w:hint="eastAsia" w:ascii="黑体" w:hAnsi="宋体" w:eastAsia="黑体"/>
          <w:b/>
          <w:color w:val="000000"/>
          <w:szCs w:val="21"/>
        </w:rPr>
        <w:t>A</w:t>
      </w:r>
      <w:r>
        <w:rPr>
          <w:rFonts w:ascii="黑体" w:hAnsi="宋体" w:eastAsia="黑体"/>
          <w:b/>
          <w:color w:val="000000"/>
          <w:szCs w:val="21"/>
        </w:rPr>
        <w:t>4</w:t>
      </w:r>
      <w:r>
        <w:rPr>
          <w:rFonts w:hint="eastAsia" w:ascii="宋体" w:hAnsi="宋体"/>
          <w:b/>
          <w:color w:val="000000"/>
          <w:szCs w:val="21"/>
        </w:rPr>
        <w:t>．计算投标人投标报价得分</w:t>
      </w:r>
    </w:p>
    <w:p>
      <w:pPr>
        <w:adjustRightInd w:val="0"/>
        <w:snapToGrid w:val="0"/>
        <w:spacing w:before="62" w:beforeLines="20" w:after="62" w:afterLines="20" w:line="430" w:lineRule="exact"/>
        <w:ind w:firstLine="420"/>
        <w:rPr>
          <w:rFonts w:ascii="宋体" w:hAnsi="宋体"/>
          <w:color w:val="000000"/>
          <w:szCs w:val="21"/>
        </w:rPr>
      </w:pPr>
      <w:r>
        <w:rPr>
          <w:rFonts w:hint="eastAsia" w:ascii="宋体" w:hAnsi="宋体"/>
          <w:color w:val="000000"/>
          <w:szCs w:val="21"/>
        </w:rPr>
        <w:t>（一）确定评审投标人</w:t>
      </w:r>
    </w:p>
    <w:p>
      <w:pPr>
        <w:bidi w:val="0"/>
        <w:ind w:firstLine="420" w:firstLineChars="200"/>
        <w:rPr>
          <w:b/>
          <w:bCs/>
        </w:rPr>
      </w:pPr>
      <w:r>
        <w:rPr>
          <w:b/>
          <w:bCs/>
        </w:rPr>
        <w:t>1.计算平均值Pp：</w:t>
      </w:r>
    </w:p>
    <w:p>
      <w:pPr>
        <w:bidi w:val="0"/>
        <w:ind w:firstLine="420" w:firstLineChars="200"/>
      </w:pPr>
      <w:r>
        <w:t>先剔除投标报价最高的20%家（有小数时按上限取整数以X表示）和最低的10%家（有小数时按上限取整数以Y表示），然后进行算术平均（剔除投标报价后的数量应等于计算算术平均的数量），计算得出投标人投标报价的平均值。</w:t>
      </w:r>
    </w:p>
    <w:p>
      <w:pPr>
        <w:bidi w:val="0"/>
      </w:pPr>
      <w:r>
        <w:t>当n≤10时，Pp=∑Pi/n</w:t>
      </w:r>
    </w:p>
    <w:p>
      <w:pPr>
        <w:pStyle w:val="95"/>
        <w:spacing w:before="277"/>
        <w:ind w:left="546"/>
      </w:pPr>
      <w:r>
        <w:rPr>
          <w:spacing w:val="5"/>
          <w:position w:val="1"/>
        </w:rPr>
        <w:t>当n＞10时，</w:t>
      </w:r>
      <w:r>
        <w:rPr>
          <w:position w:val="1"/>
        </w:rPr>
        <w:t>Pp</w:t>
      </w:r>
      <w:r>
        <w:rPr>
          <w:spacing w:val="5"/>
          <w:position w:val="1"/>
        </w:rPr>
        <w:t>=(∑</w:t>
      </w:r>
      <w:r>
        <w:rPr>
          <w:position w:val="1"/>
        </w:rPr>
        <w:t>Pi</w:t>
      </w:r>
      <w:r>
        <w:rPr>
          <w:spacing w:val="5"/>
          <w:position w:val="1"/>
        </w:rPr>
        <w:t>-</w:t>
      </w:r>
      <w:r>
        <w:rPr>
          <w:position w:val="-21"/>
        </w:rPr>
        <w:drawing>
          <wp:inline distT="0" distB="0" distL="0" distR="0">
            <wp:extent cx="157480" cy="374015"/>
            <wp:effectExtent l="0" t="0" r="13970" b="6985"/>
            <wp:docPr id="35" name="IM 28"/>
            <wp:cNvGraphicFramePr/>
            <a:graphic xmlns:a="http://schemas.openxmlformats.org/drawingml/2006/main">
              <a:graphicData uri="http://schemas.openxmlformats.org/drawingml/2006/picture">
                <pic:pic xmlns:pic="http://schemas.openxmlformats.org/drawingml/2006/picture">
                  <pic:nvPicPr>
                    <pic:cNvPr id="35" name="IM 28"/>
                    <pic:cNvPicPr/>
                  </pic:nvPicPr>
                  <pic:blipFill>
                    <a:blip r:embed="rId44"/>
                    <a:stretch>
                      <a:fillRect/>
                    </a:stretch>
                  </pic:blipFill>
                  <pic:spPr>
                    <a:xfrm>
                      <a:off x="0" y="0"/>
                      <a:ext cx="158019" cy="374035"/>
                    </a:xfrm>
                    <a:prstGeom prst="rect">
                      <a:avLst/>
                    </a:prstGeom>
                  </pic:spPr>
                </pic:pic>
              </a:graphicData>
            </a:graphic>
          </wp:inline>
        </w:drawing>
      </w:r>
      <w:r>
        <w:rPr>
          <w:rFonts w:ascii="Times New Roman" w:hAnsi="Times New Roman" w:eastAsia="Times New Roman" w:cs="Times New Roman"/>
          <w:position w:val="1"/>
          <w:sz w:val="24"/>
          <w:szCs w:val="24"/>
        </w:rPr>
        <w:t>Pmax</w:t>
      </w:r>
      <w:r>
        <w:rPr>
          <w:spacing w:val="5"/>
          <w:position w:val="1"/>
        </w:rPr>
        <w:t>-</w:t>
      </w:r>
      <w:r>
        <w:rPr>
          <w:position w:val="-21"/>
        </w:rPr>
        <w:drawing>
          <wp:inline distT="0" distB="0" distL="0" distR="0">
            <wp:extent cx="157480" cy="374015"/>
            <wp:effectExtent l="0" t="0" r="13970" b="6985"/>
            <wp:docPr id="36" name="IM 30"/>
            <wp:cNvGraphicFramePr/>
            <a:graphic xmlns:a="http://schemas.openxmlformats.org/drawingml/2006/main">
              <a:graphicData uri="http://schemas.openxmlformats.org/drawingml/2006/picture">
                <pic:pic xmlns:pic="http://schemas.openxmlformats.org/drawingml/2006/picture">
                  <pic:nvPicPr>
                    <pic:cNvPr id="36" name="IM 30"/>
                    <pic:cNvPicPr/>
                  </pic:nvPicPr>
                  <pic:blipFill>
                    <a:blip r:embed="rId45"/>
                    <a:stretch>
                      <a:fillRect/>
                    </a:stretch>
                  </pic:blipFill>
                  <pic:spPr>
                    <a:xfrm>
                      <a:off x="0" y="0"/>
                      <a:ext cx="158011" cy="374079"/>
                    </a:xfrm>
                    <a:prstGeom prst="rect">
                      <a:avLst/>
                    </a:prstGeom>
                  </pic:spPr>
                </pic:pic>
              </a:graphicData>
            </a:graphic>
          </wp:inline>
        </w:drawing>
      </w:r>
      <w:r>
        <w:rPr>
          <w:rFonts w:ascii="Times New Roman" w:hAnsi="Times New Roman" w:eastAsia="Times New Roman" w:cs="Times New Roman"/>
          <w:position w:val="1"/>
          <w:sz w:val="24"/>
          <w:szCs w:val="24"/>
        </w:rPr>
        <w:t>Pmin</w:t>
      </w:r>
      <w:r>
        <w:rPr>
          <w:spacing w:val="5"/>
          <w:position w:val="1"/>
        </w:rPr>
        <w:t>）/(n-X-Y)</w:t>
      </w:r>
    </w:p>
    <w:p>
      <w:pPr>
        <w:numPr>
          <w:ilvl w:val="0"/>
          <w:numId w:val="0"/>
        </w:numPr>
        <w:adjustRightInd w:val="0"/>
        <w:snapToGrid w:val="0"/>
        <w:spacing w:before="62" w:beforeLines="20" w:after="62" w:afterLines="20" w:line="430" w:lineRule="exact"/>
        <w:ind w:leftChars="0" w:firstLine="208" w:firstLineChars="100"/>
        <w:rPr>
          <w:spacing w:val="-1"/>
          <w14:textOutline w14:w="3835" w14:cap="flat" w14:cmpd="sng">
            <w14:solidFill>
              <w14:srgbClr w14:val="000000"/>
            </w14:solidFill>
            <w14:prstDash w14:val="solid"/>
            <w14:miter w14:val="0"/>
          </w14:textOutline>
        </w:rPr>
      </w:pPr>
      <w:r>
        <w:rPr>
          <w:rFonts w:hint="eastAsia"/>
          <w:spacing w:val="-1"/>
          <w:lang w:val="en-US" w:eastAsia="zh-CN"/>
          <w14:textOutline w14:w="3835" w14:cap="flat" w14:cmpd="sng">
            <w14:solidFill>
              <w14:srgbClr w14:val="000000"/>
            </w14:solidFill>
            <w14:prstDash w14:val="solid"/>
            <w14:miter w14:val="0"/>
          </w14:textOutline>
        </w:rPr>
        <w:t>2.</w:t>
      </w:r>
      <w:r>
        <w:rPr>
          <w:spacing w:val="-1"/>
          <w14:textOutline w14:w="3835" w14:cap="flat" w14:cmpd="sng">
            <w14:solidFill>
              <w14:srgbClr w14:val="000000"/>
            </w14:solidFill>
            <w14:prstDash w14:val="solid"/>
            <w14:miter w14:val="0"/>
          </w14:textOutline>
        </w:rPr>
        <w:t>计算评标基准价Pg</w:t>
      </w:r>
    </w:p>
    <w:p>
      <w:pPr>
        <w:numPr>
          <w:ilvl w:val="0"/>
          <w:numId w:val="0"/>
        </w:numPr>
        <w:adjustRightInd w:val="0"/>
        <w:snapToGrid w:val="0"/>
        <w:spacing w:before="62" w:beforeLines="20" w:after="62" w:afterLines="20" w:line="430" w:lineRule="exact"/>
        <w:ind w:leftChars="0" w:firstLine="420" w:firstLineChars="200"/>
        <w:rPr>
          <w:rFonts w:ascii="宋体" w:hAnsi="宋体"/>
          <w:color w:val="000000"/>
          <w:szCs w:val="21"/>
        </w:rPr>
      </w:pPr>
      <w:r>
        <w:rPr>
          <w:rFonts w:hint="eastAsia" w:ascii="宋体" w:hAnsi="宋体"/>
          <w:color w:val="000000"/>
          <w:szCs w:val="21"/>
        </w:rPr>
        <w:t>Pg=Pp×(1-Fg％)</w:t>
      </w:r>
    </w:p>
    <w:p>
      <w:pPr>
        <w:pStyle w:val="95"/>
        <w:spacing w:before="223" w:line="360" w:lineRule="auto"/>
        <w:ind w:left="469"/>
        <w:rPr>
          <w:sz w:val="21"/>
          <w:szCs w:val="21"/>
        </w:rPr>
      </w:pPr>
      <w:r>
        <w:rPr>
          <w:spacing w:val="-1"/>
          <w:sz w:val="21"/>
          <w:szCs w:val="21"/>
        </w:rPr>
        <w:t>Fg为投标竞争率。投标竞争率由招标人在招标文件中确</w:t>
      </w:r>
      <w:r>
        <w:rPr>
          <w:spacing w:val="-2"/>
          <w:sz w:val="21"/>
          <w:szCs w:val="21"/>
        </w:rPr>
        <w:t>定。</w:t>
      </w:r>
      <w:r>
        <w:rPr>
          <w:spacing w:val="-4"/>
          <w:sz w:val="21"/>
          <w:szCs w:val="21"/>
        </w:rPr>
        <w:t>投标竞争率可参照以下计取：房屋建筑工程为1.80%；市政工程取</w:t>
      </w:r>
      <w:r>
        <w:rPr>
          <w:spacing w:val="-5"/>
          <w:sz w:val="21"/>
          <w:szCs w:val="21"/>
        </w:rPr>
        <w:t>值为3.20%；专业工程取值为3.50%；绿化种植工程取值</w:t>
      </w:r>
      <w:r>
        <w:rPr>
          <w:spacing w:val="-6"/>
          <w:sz w:val="21"/>
          <w:szCs w:val="21"/>
        </w:rPr>
        <w:t>为5.00%；</w:t>
      </w:r>
    </w:p>
    <w:p>
      <w:pPr>
        <w:pStyle w:val="95"/>
        <w:spacing w:line="360" w:lineRule="auto"/>
        <w:ind w:left="130"/>
        <w:rPr>
          <w:sz w:val="21"/>
          <w:szCs w:val="21"/>
        </w:rPr>
      </w:pPr>
      <w:r>
        <w:rPr>
          <w:spacing w:val="-3"/>
          <w:sz w:val="21"/>
          <w:szCs w:val="21"/>
        </w:rPr>
        <w:t>园建工程或综合园林工程取值为1.50%。</w:t>
      </w:r>
    </w:p>
    <w:p>
      <w:pPr>
        <w:adjustRightInd w:val="0"/>
        <w:snapToGrid w:val="0"/>
        <w:spacing w:before="62" w:beforeLines="20" w:after="62" w:afterLines="20" w:line="430" w:lineRule="exact"/>
        <w:ind w:firstLine="420"/>
        <w:rPr>
          <w:rFonts w:ascii="宋体" w:hAnsi="宋体"/>
          <w:b/>
          <w:bCs/>
          <w:color w:val="000000"/>
          <w:szCs w:val="21"/>
        </w:rPr>
      </w:pPr>
      <w:r>
        <w:rPr>
          <w:rFonts w:hint="eastAsia" w:ascii="宋体" w:hAnsi="宋体"/>
          <w:b/>
          <w:bCs/>
          <w:color w:val="000000"/>
          <w:szCs w:val="21"/>
        </w:rPr>
        <w:t>3.确定20家参与评审投标人</w:t>
      </w:r>
    </w:p>
    <w:p>
      <w:pPr>
        <w:adjustRightInd w:val="0"/>
        <w:snapToGrid w:val="0"/>
        <w:spacing w:before="62" w:beforeLines="20" w:after="62" w:afterLines="20" w:line="430" w:lineRule="exact"/>
        <w:ind w:firstLine="420"/>
        <w:rPr>
          <w:rFonts w:ascii="宋体" w:hAnsi="宋体"/>
          <w:color w:val="000000"/>
          <w:szCs w:val="21"/>
        </w:rPr>
      </w:pPr>
      <w:r>
        <w:rPr>
          <w:rFonts w:hint="eastAsia" w:ascii="宋体" w:hAnsi="宋体"/>
          <w:color w:val="000000"/>
          <w:szCs w:val="21"/>
        </w:rPr>
        <w:t>以评标基准价Pg比较所有投标人的投标报价，将投标报价和评标基准价Pg差的绝对值从低至高进行排列，取前20家（不足20家时全部计算）进行评审。</w:t>
      </w:r>
    </w:p>
    <w:p>
      <w:pPr>
        <w:adjustRightInd w:val="0"/>
        <w:snapToGrid w:val="0"/>
        <w:spacing w:before="62" w:beforeLines="20" w:after="62" w:afterLines="20" w:line="430" w:lineRule="exact"/>
        <w:ind w:firstLine="420"/>
        <w:rPr>
          <w:rFonts w:ascii="宋体" w:hAnsi="宋体"/>
          <w:color w:val="000000"/>
          <w:szCs w:val="21"/>
          <w:highlight w:val="none"/>
        </w:rPr>
      </w:pPr>
      <w:r>
        <w:rPr>
          <w:rFonts w:hint="eastAsia" w:ascii="宋体" w:hAnsi="宋体"/>
          <w:color w:val="000000"/>
          <w:szCs w:val="21"/>
          <w:highlight w:val="none"/>
        </w:rPr>
        <w:t>（二）计算投标人报价得分</w:t>
      </w:r>
    </w:p>
    <w:p>
      <w:pPr>
        <w:adjustRightInd w:val="0"/>
        <w:snapToGrid w:val="0"/>
        <w:spacing w:before="62" w:beforeLines="20" w:after="62" w:afterLines="20" w:line="430" w:lineRule="exact"/>
        <w:ind w:firstLine="420"/>
        <w:rPr>
          <w:rFonts w:ascii="宋体" w:hAnsi="宋体"/>
          <w:color w:val="000000"/>
          <w:szCs w:val="21"/>
          <w:highlight w:val="none"/>
        </w:rPr>
      </w:pPr>
      <w:r>
        <w:rPr>
          <w:rFonts w:hint="eastAsia" w:ascii="宋体" w:hAnsi="宋体"/>
          <w:color w:val="000000"/>
          <w:szCs w:val="21"/>
          <w:highlight w:val="none"/>
        </w:rPr>
        <w:t>1.总报价得分（A1）（占投标报价权重25%）。</w:t>
      </w:r>
    </w:p>
    <w:p>
      <w:pPr>
        <w:adjustRightInd w:val="0"/>
        <w:snapToGrid w:val="0"/>
        <w:spacing w:before="62" w:beforeLines="20" w:after="62" w:afterLines="20" w:line="430" w:lineRule="exact"/>
        <w:ind w:firstLine="420"/>
        <w:rPr>
          <w:rFonts w:ascii="宋体" w:hAnsi="宋体"/>
          <w:color w:val="000000"/>
          <w:szCs w:val="21"/>
          <w:highlight w:val="none"/>
        </w:rPr>
      </w:pPr>
      <w:r>
        <w:rPr>
          <w:rFonts w:hint="eastAsia" w:ascii="宋体" w:hAnsi="宋体"/>
          <w:color w:val="000000"/>
          <w:szCs w:val="21"/>
          <w:highlight w:val="none"/>
        </w:rPr>
        <w:t>以评标基准价Pg与入围的20家投标人的投标报价Pi进行对比，计算工程量清单总报价（A1）得分。</w:t>
      </w:r>
    </w:p>
    <w:p>
      <w:pPr>
        <w:adjustRightInd w:val="0"/>
        <w:snapToGrid w:val="0"/>
        <w:spacing w:before="62" w:beforeLines="20" w:after="62" w:afterLines="20" w:line="430" w:lineRule="exact"/>
        <w:ind w:firstLine="420"/>
        <w:rPr>
          <w:rFonts w:ascii="宋体" w:hAnsi="宋体"/>
          <w:color w:val="000000"/>
          <w:szCs w:val="21"/>
          <w:highlight w:val="none"/>
        </w:rPr>
      </w:pPr>
      <w:r>
        <w:rPr>
          <w:rFonts w:hint="eastAsia" w:ascii="宋体" w:hAnsi="宋体"/>
          <w:color w:val="000000"/>
          <w:szCs w:val="21"/>
          <w:highlight w:val="none"/>
        </w:rPr>
        <w:t>⑴投标报价Pi每高于评标基准价Pg的1%（含1%）扣1分。</w:t>
      </w:r>
    </w:p>
    <w:p>
      <w:pPr>
        <w:adjustRightInd w:val="0"/>
        <w:snapToGrid w:val="0"/>
        <w:spacing w:before="62" w:beforeLines="20" w:after="62" w:afterLines="20" w:line="430" w:lineRule="exact"/>
        <w:ind w:firstLine="420"/>
        <w:rPr>
          <w:rFonts w:ascii="宋体" w:hAnsi="宋体"/>
          <w:color w:val="000000"/>
          <w:szCs w:val="21"/>
          <w:highlight w:val="none"/>
        </w:rPr>
      </w:pPr>
      <w:r>
        <w:rPr>
          <w:rFonts w:hint="eastAsia" w:ascii="宋体" w:hAnsi="宋体"/>
          <w:color w:val="000000"/>
          <w:szCs w:val="21"/>
          <w:highlight w:val="none"/>
        </w:rPr>
        <w:t>以满分25分为例，工程量清单总报价（A1）得分的计算公式为：</w:t>
      </w:r>
    </w:p>
    <w:p>
      <w:pPr>
        <w:adjustRightInd w:val="0"/>
        <w:snapToGrid w:val="0"/>
        <w:spacing w:before="62" w:beforeLines="20" w:after="62" w:afterLines="20" w:line="430" w:lineRule="exact"/>
        <w:ind w:firstLine="420"/>
        <w:rPr>
          <w:rFonts w:ascii="宋体" w:hAnsi="宋体"/>
          <w:color w:val="000000"/>
          <w:szCs w:val="21"/>
          <w:highlight w:val="none"/>
        </w:rPr>
      </w:pPr>
      <w:r>
        <w:rPr>
          <w:rFonts w:hint="eastAsia" w:ascii="宋体" w:hAnsi="宋体"/>
          <w:color w:val="000000"/>
          <w:szCs w:val="21"/>
          <w:highlight w:val="none"/>
        </w:rPr>
        <w:t>A1＝25－[（Pi-Pg）/Pg]×100×1</w:t>
      </w:r>
    </w:p>
    <w:p>
      <w:pPr>
        <w:adjustRightInd w:val="0"/>
        <w:snapToGrid w:val="0"/>
        <w:spacing w:before="62" w:beforeLines="20" w:after="62" w:afterLines="20" w:line="430" w:lineRule="exact"/>
        <w:ind w:firstLine="420"/>
        <w:rPr>
          <w:rFonts w:ascii="宋体" w:hAnsi="宋体"/>
          <w:color w:val="000000"/>
          <w:szCs w:val="21"/>
          <w:highlight w:val="none"/>
        </w:rPr>
      </w:pPr>
      <w:r>
        <w:rPr>
          <w:rFonts w:hint="eastAsia" w:ascii="宋体" w:hAnsi="宋体"/>
          <w:color w:val="000000"/>
          <w:szCs w:val="21"/>
          <w:highlight w:val="none"/>
        </w:rPr>
        <w:t>⑵投标报价Pi每低于评标基准价Pg的1%（含1%）扣0.5分。</w:t>
      </w:r>
    </w:p>
    <w:p>
      <w:pPr>
        <w:adjustRightInd w:val="0"/>
        <w:snapToGrid w:val="0"/>
        <w:spacing w:before="62" w:beforeLines="20" w:after="62" w:afterLines="20" w:line="430" w:lineRule="exact"/>
        <w:ind w:firstLine="420"/>
        <w:rPr>
          <w:rFonts w:ascii="宋体" w:hAnsi="宋体"/>
          <w:color w:val="000000"/>
          <w:szCs w:val="21"/>
          <w:highlight w:val="none"/>
        </w:rPr>
      </w:pPr>
      <w:r>
        <w:rPr>
          <w:rFonts w:hint="eastAsia" w:ascii="宋体" w:hAnsi="宋体"/>
          <w:color w:val="000000"/>
          <w:szCs w:val="21"/>
          <w:highlight w:val="none"/>
        </w:rPr>
        <w:t>以满分25分为例，工程量清单总报价（A1）得分的计算公式为：</w:t>
      </w:r>
    </w:p>
    <w:p>
      <w:pPr>
        <w:adjustRightInd w:val="0"/>
        <w:snapToGrid w:val="0"/>
        <w:spacing w:before="62" w:beforeLines="20" w:after="62" w:afterLines="20" w:line="430" w:lineRule="exact"/>
        <w:ind w:firstLine="420"/>
        <w:rPr>
          <w:rFonts w:ascii="宋体" w:hAnsi="宋体"/>
          <w:color w:val="000000"/>
          <w:szCs w:val="21"/>
          <w:highlight w:val="none"/>
        </w:rPr>
      </w:pPr>
      <w:r>
        <w:rPr>
          <w:rFonts w:hint="eastAsia" w:ascii="宋体" w:hAnsi="宋体"/>
          <w:color w:val="000000"/>
          <w:szCs w:val="21"/>
          <w:highlight w:val="none"/>
        </w:rPr>
        <w:t>A1＝25－[（Pg-Pi）/Pg]×100×0.5</w:t>
      </w:r>
    </w:p>
    <w:p>
      <w:pPr>
        <w:adjustRightInd w:val="0"/>
        <w:snapToGrid w:val="0"/>
        <w:spacing w:before="62" w:beforeLines="20" w:after="62" w:afterLines="20" w:line="430" w:lineRule="exact"/>
        <w:ind w:firstLine="420"/>
        <w:rPr>
          <w:rFonts w:ascii="宋体" w:hAnsi="宋体"/>
          <w:color w:val="000000"/>
          <w:szCs w:val="21"/>
          <w:highlight w:val="none"/>
        </w:rPr>
      </w:pPr>
      <w:r>
        <w:rPr>
          <w:rFonts w:hint="eastAsia" w:ascii="宋体" w:hAnsi="宋体"/>
          <w:color w:val="000000"/>
          <w:szCs w:val="21"/>
          <w:highlight w:val="none"/>
        </w:rPr>
        <w:t>2.分部分项工程量清单报价得分（A2）（占投标报价权重的45%）。</w:t>
      </w:r>
    </w:p>
    <w:p>
      <w:pPr>
        <w:pStyle w:val="95"/>
        <w:spacing w:before="205" w:line="411" w:lineRule="auto"/>
        <w:ind w:left="113" w:right="102" w:firstLine="424"/>
        <w:jc w:val="both"/>
        <w:rPr>
          <w:sz w:val="21"/>
          <w:szCs w:val="21"/>
        </w:rPr>
      </w:pPr>
      <w:r>
        <w:rPr>
          <w:spacing w:val="2"/>
          <w:sz w:val="21"/>
          <w:szCs w:val="21"/>
        </w:rPr>
        <w:t>先按照各分部工程造价占招标控制价的比重从高至低确定5</w:t>
      </w:r>
      <w:r>
        <w:rPr>
          <w:spacing w:val="-2"/>
          <w:sz w:val="21"/>
          <w:szCs w:val="21"/>
        </w:rPr>
        <w:t>个分部工程，再从5个分部工程中抽取分部分项工程量清单综合</w:t>
      </w:r>
      <w:r>
        <w:rPr>
          <w:spacing w:val="-1"/>
          <w:sz w:val="21"/>
          <w:szCs w:val="21"/>
        </w:rPr>
        <w:t>合价占该分部工程造价的比重从高至低分别</w:t>
      </w:r>
      <w:r>
        <w:rPr>
          <w:spacing w:val="-2"/>
          <w:sz w:val="21"/>
          <w:szCs w:val="21"/>
        </w:rPr>
        <w:t>取6、5、4、3、2共</w:t>
      </w:r>
      <w:r>
        <w:rPr>
          <w:spacing w:val="-5"/>
          <w:sz w:val="21"/>
          <w:szCs w:val="21"/>
        </w:rPr>
        <w:t>20项工程量清单作为评审内容。5个确定的分部工程工程量清单</w:t>
      </w:r>
      <w:r>
        <w:rPr>
          <w:rFonts w:hint="eastAsia"/>
          <w:spacing w:val="-5"/>
          <w:sz w:val="21"/>
          <w:szCs w:val="21"/>
          <w:lang w:eastAsia="zh-CN"/>
        </w:rPr>
        <w:t>，</w:t>
      </w:r>
      <w:r>
        <w:rPr>
          <w:spacing w:val="-1"/>
          <w:sz w:val="21"/>
          <w:szCs w:val="21"/>
        </w:rPr>
        <w:t>不足以上规定数量的，按实际工程量清单列计。</w:t>
      </w:r>
    </w:p>
    <w:p>
      <w:pPr>
        <w:pStyle w:val="95"/>
        <w:spacing w:before="135" w:line="411" w:lineRule="auto"/>
        <w:ind w:left="114" w:right="78" w:firstLine="418" w:firstLineChars="209"/>
        <w:jc w:val="both"/>
        <w:rPr>
          <w:sz w:val="21"/>
          <w:szCs w:val="21"/>
        </w:rPr>
      </w:pPr>
      <w:r>
        <w:rPr>
          <w:spacing w:val="-5"/>
          <w:sz w:val="21"/>
          <w:szCs w:val="21"/>
        </w:rPr>
        <w:t>评审标准以评标基准价Pg与招标控制价对比计算下浮率，再</w:t>
      </w:r>
      <w:r>
        <w:rPr>
          <w:spacing w:val="-2"/>
          <w:sz w:val="21"/>
          <w:szCs w:val="21"/>
        </w:rPr>
        <w:t>以计算出来的下浮率修正招标控制价中对应的20项工程量清单的</w:t>
      </w:r>
      <w:r>
        <w:rPr>
          <w:spacing w:val="-6"/>
          <w:sz w:val="21"/>
          <w:szCs w:val="21"/>
        </w:rPr>
        <w:t>综合单价，作为修正后综合单价Qx，同时以Qx的+10%（含10%）</w:t>
      </w:r>
      <w:r>
        <w:rPr>
          <w:spacing w:val="2"/>
          <w:sz w:val="21"/>
          <w:szCs w:val="21"/>
        </w:rPr>
        <w:t>作为分部分项工程工程量清单最高投标限价（其中综合单价中的人工工资单价不得低于相应时期省住房和城乡建设厅发布的人工</w:t>
      </w:r>
      <w:r>
        <w:rPr>
          <w:spacing w:val="-7"/>
          <w:sz w:val="21"/>
          <w:szCs w:val="21"/>
        </w:rPr>
        <w:t>工资单价</w:t>
      </w:r>
      <w:r>
        <w:rPr>
          <w:sz w:val="21"/>
          <w:szCs w:val="21"/>
        </w:rPr>
        <w:t>），</w:t>
      </w:r>
      <w:r>
        <w:rPr>
          <w:spacing w:val="-7"/>
          <w:sz w:val="21"/>
          <w:szCs w:val="21"/>
        </w:rPr>
        <w:t>超过+10%的综合单价得0分，该分部分项工程工程</w:t>
      </w:r>
      <w:r>
        <w:rPr>
          <w:spacing w:val="-1"/>
          <w:sz w:val="21"/>
          <w:szCs w:val="21"/>
        </w:rPr>
        <w:t>量清单综合单价不得参与算术平均值的计算。</w:t>
      </w:r>
    </w:p>
    <w:p>
      <w:pPr>
        <w:pStyle w:val="95"/>
        <w:spacing w:before="222" w:line="411" w:lineRule="auto"/>
        <w:ind w:left="111" w:right="56" w:firstLine="421"/>
        <w:rPr>
          <w:sz w:val="21"/>
          <w:szCs w:val="21"/>
        </w:rPr>
      </w:pPr>
      <w:r>
        <w:rPr>
          <w:spacing w:val="-2"/>
          <w:sz w:val="21"/>
          <w:szCs w:val="21"/>
        </w:rPr>
        <w:t>评审时先将20项工程量清单分部工程投标报价去掉2家最高</w:t>
      </w:r>
      <w:r>
        <w:rPr>
          <w:spacing w:val="-3"/>
          <w:sz w:val="21"/>
          <w:szCs w:val="21"/>
        </w:rPr>
        <w:t>报价和2家最低报价后，计算出20项工程量清单分部工程投标报</w:t>
      </w:r>
      <w:r>
        <w:rPr>
          <w:spacing w:val="-6"/>
          <w:sz w:val="21"/>
          <w:szCs w:val="21"/>
        </w:rPr>
        <w:t>价的算术平均值（当≤7家符合要求时，不去掉最高和最低报价，</w:t>
      </w:r>
      <w:r>
        <w:rPr>
          <w:spacing w:val="-1"/>
          <w:sz w:val="21"/>
          <w:szCs w:val="21"/>
        </w:rPr>
        <w:t>直接计算算术平均值</w:t>
      </w:r>
      <w:r>
        <w:rPr>
          <w:spacing w:val="-17"/>
          <w:sz w:val="21"/>
          <w:szCs w:val="21"/>
        </w:rPr>
        <w:t>），</w:t>
      </w:r>
      <w:r>
        <w:rPr>
          <w:spacing w:val="-1"/>
          <w:sz w:val="21"/>
          <w:szCs w:val="21"/>
        </w:rPr>
        <w:t>再以算术平均值与20</w:t>
      </w:r>
      <w:r>
        <w:rPr>
          <w:spacing w:val="-2"/>
          <w:sz w:val="21"/>
          <w:szCs w:val="21"/>
        </w:rPr>
        <w:t>项工程量清单分部</w:t>
      </w:r>
      <w:r>
        <w:rPr>
          <w:sz w:val="21"/>
          <w:szCs w:val="21"/>
        </w:rPr>
        <w:t>工程招标控制价对比计算下浮率Qf，然后用下浮</w:t>
      </w:r>
      <w:r>
        <w:rPr>
          <w:spacing w:val="-1"/>
          <w:sz w:val="21"/>
          <w:szCs w:val="21"/>
        </w:rPr>
        <w:t>率修正招标控制</w:t>
      </w:r>
      <w:r>
        <w:rPr>
          <w:spacing w:val="2"/>
          <w:sz w:val="21"/>
          <w:szCs w:val="21"/>
        </w:rPr>
        <w:t>价中对应的20项工程量清单的综合单价，作为修正后综合</w:t>
      </w:r>
      <w:r>
        <w:rPr>
          <w:spacing w:val="1"/>
          <w:sz w:val="21"/>
          <w:szCs w:val="21"/>
        </w:rPr>
        <w:t>单价</w:t>
      </w:r>
      <w:r>
        <w:rPr>
          <w:spacing w:val="-1"/>
          <w:sz w:val="21"/>
          <w:szCs w:val="21"/>
        </w:rPr>
        <w:t>Qb，再将Qx和Qb进行算术平均，计算出工程量清单综合单价的</w:t>
      </w:r>
      <w:r>
        <w:rPr>
          <w:spacing w:val="-2"/>
          <w:sz w:val="21"/>
          <w:szCs w:val="21"/>
        </w:rPr>
        <w:t>评标基准价Pq。</w:t>
      </w:r>
    </w:p>
    <w:p>
      <w:pPr>
        <w:pStyle w:val="95"/>
        <w:spacing w:before="222" w:line="411" w:lineRule="auto"/>
        <w:ind w:left="111" w:right="56" w:firstLine="421"/>
        <w:rPr>
          <w:spacing w:val="-1"/>
          <w:sz w:val="21"/>
          <w:szCs w:val="21"/>
        </w:rPr>
      </w:pPr>
      <w:r>
        <w:rPr>
          <w:spacing w:val="2"/>
          <w:sz w:val="21"/>
          <w:szCs w:val="21"/>
        </w:rPr>
        <w:t>投标人分部分项工程量清单综合单价每高于或低于该评标基</w:t>
      </w:r>
      <w:r>
        <w:rPr>
          <w:spacing w:val="-2"/>
          <w:sz w:val="21"/>
          <w:szCs w:val="21"/>
        </w:rPr>
        <w:t>准价Pq一定幅度扣相应分数，直到扣完所占分值为</w:t>
      </w:r>
      <w:r>
        <w:rPr>
          <w:spacing w:val="-3"/>
          <w:sz w:val="21"/>
          <w:szCs w:val="21"/>
        </w:rPr>
        <w:t>止（综合单价</w:t>
      </w:r>
      <w:r>
        <w:rPr>
          <w:spacing w:val="-5"/>
          <w:sz w:val="21"/>
          <w:szCs w:val="21"/>
        </w:rPr>
        <w:t>每高于评标基准价1%（含1%）扣0.2分，综合单价每低</w:t>
      </w:r>
      <w:r>
        <w:rPr>
          <w:spacing w:val="-1"/>
          <w:sz w:val="21"/>
          <w:szCs w:val="21"/>
        </w:rPr>
        <w:t>于评标基准价1%（含1%）扣0.1分）。以每项工程量清单满分2.25分为例，计算工程量清单综合单价得分a2公式为：</w:t>
      </w:r>
    </w:p>
    <w:p>
      <w:pPr>
        <w:pStyle w:val="95"/>
        <w:spacing w:before="222" w:line="411" w:lineRule="auto"/>
        <w:ind w:left="111" w:right="56" w:firstLine="421"/>
        <w:rPr>
          <w:spacing w:val="-1"/>
          <w:sz w:val="21"/>
          <w:szCs w:val="21"/>
        </w:rPr>
      </w:pPr>
      <w:r>
        <w:rPr>
          <w:spacing w:val="-1"/>
          <w:sz w:val="21"/>
          <w:szCs w:val="21"/>
        </w:rPr>
        <w:t>当投标人综合单价&gt;评标基准价Pq时：a2＝2.25－[（综合单价-评标基准价）/评标基准价]×100×0.2。</w:t>
      </w:r>
    </w:p>
    <w:p>
      <w:pPr>
        <w:pStyle w:val="95"/>
        <w:spacing w:before="222" w:line="411" w:lineRule="auto"/>
        <w:ind w:left="111" w:right="56" w:firstLine="421"/>
        <w:rPr>
          <w:spacing w:val="-1"/>
          <w:sz w:val="21"/>
          <w:szCs w:val="21"/>
        </w:rPr>
      </w:pPr>
      <w:r>
        <w:rPr>
          <w:spacing w:val="-1"/>
          <w:sz w:val="21"/>
          <w:szCs w:val="21"/>
        </w:rPr>
        <w:t>当投标人综合单价&lt;评标基准价Pq时：a2＝2.25－[（评标基准价-综合单价）/评标基准价]×100×0.1。</w:t>
      </w:r>
    </w:p>
    <w:p>
      <w:pPr>
        <w:pStyle w:val="95"/>
        <w:spacing w:before="222" w:line="411" w:lineRule="auto"/>
        <w:ind w:left="111" w:right="56" w:firstLine="421"/>
        <w:rPr>
          <w:spacing w:val="-1"/>
          <w:sz w:val="21"/>
          <w:szCs w:val="21"/>
        </w:rPr>
      </w:pPr>
      <w:r>
        <w:rPr>
          <w:spacing w:val="-1"/>
          <w:sz w:val="21"/>
          <w:szCs w:val="21"/>
        </w:rPr>
        <w:t>分部分项工程量清单综合单价（A2）得分（保留小数点后两位）：A2=∑a2</w:t>
      </w:r>
    </w:p>
    <w:p>
      <w:pPr>
        <w:pStyle w:val="95"/>
        <w:spacing w:before="216" w:line="219" w:lineRule="auto"/>
        <w:ind w:left="535"/>
        <w:rPr>
          <w:sz w:val="21"/>
          <w:szCs w:val="21"/>
        </w:rPr>
      </w:pPr>
      <w:r>
        <w:rPr>
          <w:spacing w:val="-1"/>
          <w:sz w:val="21"/>
          <w:szCs w:val="21"/>
          <w14:textOutline w14:w="3835" w14:cap="flat" w14:cmpd="sng">
            <w14:solidFill>
              <w14:srgbClr w14:val="000000"/>
            </w14:solidFill>
            <w14:prstDash w14:val="solid"/>
            <w14:miter w14:val="0"/>
          </w14:textOutline>
        </w:rPr>
        <w:t>⑶主要材料报价得分（A3</w:t>
      </w:r>
      <w:r>
        <w:rPr>
          <w:sz w:val="21"/>
          <w:szCs w:val="21"/>
          <w14:textOutline w14:w="3835" w14:cap="flat" w14:cmpd="sng">
            <w14:solidFill>
              <w14:srgbClr w14:val="000000"/>
            </w14:solidFill>
            <w14:prstDash w14:val="solid"/>
            <w14:miter w14:val="0"/>
          </w14:textOutline>
        </w:rPr>
        <w:t>）（</w:t>
      </w:r>
      <w:r>
        <w:rPr>
          <w:spacing w:val="-1"/>
          <w:sz w:val="21"/>
          <w:szCs w:val="21"/>
          <w14:textOutline w14:w="3835" w14:cap="flat" w14:cmpd="sng">
            <w14:solidFill>
              <w14:srgbClr w14:val="000000"/>
            </w14:solidFill>
            <w14:prstDash w14:val="solid"/>
            <w14:miter w14:val="0"/>
          </w14:textOutline>
        </w:rPr>
        <w:t>占投标报价权重30%）。</w:t>
      </w:r>
    </w:p>
    <w:p>
      <w:pPr>
        <w:pStyle w:val="95"/>
        <w:spacing w:before="133" w:line="411" w:lineRule="auto"/>
        <w:ind w:left="113" w:right="104" w:firstLine="408" w:firstLineChars="200"/>
        <w:jc w:val="both"/>
        <w:rPr>
          <w:sz w:val="21"/>
          <w:szCs w:val="21"/>
        </w:rPr>
      </w:pPr>
      <w:r>
        <w:rPr>
          <w:spacing w:val="-3"/>
          <w:sz w:val="21"/>
          <w:szCs w:val="21"/>
        </w:rPr>
        <w:t>根据20项分部分项工程量清单综合单价，按主要材料费占全</w:t>
      </w:r>
      <w:r>
        <w:rPr>
          <w:spacing w:val="-6"/>
          <w:sz w:val="21"/>
          <w:szCs w:val="21"/>
        </w:rPr>
        <w:t>部材料费比重，从高至低计取20项不同类型的主要材料（同类型</w:t>
      </w:r>
      <w:r>
        <w:rPr>
          <w:spacing w:val="-5"/>
          <w:sz w:val="21"/>
          <w:szCs w:val="21"/>
        </w:rPr>
        <w:t>材料中只取比重最大的一项</w:t>
      </w:r>
      <w:r>
        <w:rPr>
          <w:spacing w:val="-8"/>
          <w:sz w:val="21"/>
          <w:szCs w:val="21"/>
        </w:rPr>
        <w:t>），</w:t>
      </w:r>
      <w:r>
        <w:rPr>
          <w:spacing w:val="-5"/>
          <w:sz w:val="21"/>
          <w:szCs w:val="21"/>
        </w:rPr>
        <w:t>作为评审内容。不足20项时，按</w:t>
      </w:r>
    </w:p>
    <w:p>
      <w:pPr>
        <w:pStyle w:val="95"/>
        <w:spacing w:line="219" w:lineRule="auto"/>
        <w:ind w:left="118"/>
        <w:rPr>
          <w:sz w:val="21"/>
          <w:szCs w:val="21"/>
        </w:rPr>
      </w:pPr>
      <w:r>
        <w:rPr>
          <w:spacing w:val="-3"/>
          <w:sz w:val="21"/>
          <w:szCs w:val="21"/>
        </w:rPr>
        <w:t>实际主要材料列计。</w:t>
      </w:r>
    </w:p>
    <w:p>
      <w:pPr>
        <w:pStyle w:val="95"/>
        <w:spacing w:before="219" w:line="411" w:lineRule="auto"/>
        <w:ind w:left="113" w:right="101" w:firstLine="419"/>
        <w:rPr>
          <w:sz w:val="21"/>
          <w:szCs w:val="21"/>
        </w:rPr>
      </w:pPr>
      <w:r>
        <w:rPr>
          <w:spacing w:val="-5"/>
          <w:sz w:val="21"/>
          <w:szCs w:val="21"/>
        </w:rPr>
        <w:t>评审标准以评标基准价Pg与招标控制价对比计算下浮率，再</w:t>
      </w:r>
      <w:r>
        <w:rPr>
          <w:spacing w:val="2"/>
          <w:sz w:val="21"/>
          <w:szCs w:val="21"/>
        </w:rPr>
        <w:t>以计算出来的下浮率修正招标控制价中对应的20项主要</w:t>
      </w:r>
      <w:r>
        <w:rPr>
          <w:spacing w:val="1"/>
          <w:sz w:val="21"/>
          <w:szCs w:val="21"/>
        </w:rPr>
        <w:t>材料价</w:t>
      </w:r>
      <w:r>
        <w:rPr>
          <w:spacing w:val="-6"/>
          <w:sz w:val="21"/>
          <w:szCs w:val="21"/>
        </w:rPr>
        <w:t>格，作为修正后主要材料价格Cx，同时以Cx的+10%（含10</w:t>
      </w:r>
      <w:r>
        <w:rPr>
          <w:spacing w:val="-7"/>
          <w:sz w:val="21"/>
          <w:szCs w:val="21"/>
        </w:rPr>
        <w:t>%）作</w:t>
      </w:r>
      <w:r>
        <w:rPr>
          <w:spacing w:val="-4"/>
          <w:sz w:val="21"/>
          <w:szCs w:val="21"/>
        </w:rPr>
        <w:t>为主要材料最高投标限价，超过+10%的报价得0分，该主要材料</w:t>
      </w:r>
      <w:r>
        <w:rPr>
          <w:spacing w:val="-2"/>
          <w:sz w:val="21"/>
          <w:szCs w:val="21"/>
        </w:rPr>
        <w:t>报价不得参与算术平均值的计算。</w:t>
      </w:r>
    </w:p>
    <w:p>
      <w:pPr>
        <w:pStyle w:val="95"/>
        <w:spacing w:before="221" w:line="411" w:lineRule="auto"/>
        <w:ind w:left="113" w:right="101" w:firstLine="419"/>
        <w:rPr>
          <w:sz w:val="21"/>
          <w:szCs w:val="21"/>
        </w:rPr>
      </w:pPr>
      <w:r>
        <w:rPr>
          <w:spacing w:val="-2"/>
          <w:sz w:val="21"/>
          <w:szCs w:val="21"/>
        </w:rPr>
        <w:t>评审时先将20项工程量清单分部工程投标报价的下浮率Qf修正招标控制价中对应的20项主要材料价</w:t>
      </w:r>
      <w:r>
        <w:rPr>
          <w:spacing w:val="-3"/>
          <w:sz w:val="21"/>
          <w:szCs w:val="21"/>
        </w:rPr>
        <w:t>格，作为修正后主要材</w:t>
      </w:r>
      <w:r>
        <w:rPr>
          <w:spacing w:val="-4"/>
          <w:sz w:val="21"/>
          <w:szCs w:val="21"/>
        </w:rPr>
        <w:t>料价格Cb，再将Cx和Cb进行算术平均，计算出主要材料报价的</w:t>
      </w:r>
      <w:r>
        <w:rPr>
          <w:spacing w:val="-2"/>
          <w:sz w:val="21"/>
          <w:szCs w:val="21"/>
        </w:rPr>
        <w:t>评标基准价Pc。</w:t>
      </w:r>
    </w:p>
    <w:p>
      <w:pPr>
        <w:pStyle w:val="95"/>
        <w:spacing w:before="221" w:line="411" w:lineRule="auto"/>
        <w:ind w:left="114" w:right="101" w:firstLine="422"/>
        <w:rPr>
          <w:spacing w:val="-2"/>
          <w:sz w:val="21"/>
          <w:szCs w:val="21"/>
        </w:rPr>
      </w:pPr>
      <w:r>
        <w:rPr>
          <w:spacing w:val="2"/>
          <w:sz w:val="21"/>
          <w:szCs w:val="21"/>
        </w:rPr>
        <w:t>投标人主要材料报价每高于或低于该评标基准价</w:t>
      </w:r>
      <w:r>
        <w:rPr>
          <w:sz w:val="21"/>
          <w:szCs w:val="21"/>
        </w:rPr>
        <w:t>Pc</w:t>
      </w:r>
      <w:r>
        <w:rPr>
          <w:spacing w:val="2"/>
          <w:sz w:val="21"/>
          <w:szCs w:val="21"/>
        </w:rPr>
        <w:t>一定幅度扣相应分数，直到扣完所占分值为止（主要材料报价每高于评标</w:t>
      </w:r>
      <w:r>
        <w:rPr>
          <w:spacing w:val="-9"/>
          <w:sz w:val="21"/>
          <w:szCs w:val="21"/>
        </w:rPr>
        <w:t>基准价1%（含1%）扣0.1分，主要材料报价每低于评标基准价1%</w:t>
      </w:r>
      <w:r>
        <w:rPr>
          <w:spacing w:val="-10"/>
          <w:sz w:val="21"/>
          <w:szCs w:val="21"/>
        </w:rPr>
        <w:t>（含1%）扣0.05分），以每项主要材料报</w:t>
      </w:r>
      <w:r>
        <w:rPr>
          <w:spacing w:val="-11"/>
          <w:sz w:val="21"/>
          <w:szCs w:val="21"/>
        </w:rPr>
        <w:t>价满分1.5分为例，计</w:t>
      </w:r>
      <w:r>
        <w:rPr>
          <w:spacing w:val="-5"/>
          <w:sz w:val="21"/>
          <w:szCs w:val="21"/>
        </w:rPr>
        <w:t>算主要材料报价得分a2公式为：</w:t>
      </w:r>
      <w:r>
        <w:rPr>
          <w:spacing w:val="-2"/>
          <w:sz w:val="21"/>
          <w:szCs w:val="21"/>
        </w:rPr>
        <w:t>当投标人主要材料单价&gt;评标基准价Pc时：</w:t>
      </w:r>
    </w:p>
    <w:p>
      <w:pPr>
        <w:pStyle w:val="95"/>
        <w:spacing w:before="221" w:line="411" w:lineRule="auto"/>
        <w:ind w:left="113" w:right="101" w:firstLine="419"/>
        <w:rPr>
          <w:spacing w:val="-2"/>
          <w:sz w:val="21"/>
          <w:szCs w:val="21"/>
        </w:rPr>
      </w:pPr>
      <w:r>
        <w:rPr>
          <w:spacing w:val="-2"/>
          <w:sz w:val="21"/>
          <w:szCs w:val="21"/>
        </w:rPr>
        <w:t>a3＝1.5－[（投标人主要材料报价-评标基准价）/评标基准价]×100×0.1。</w:t>
      </w:r>
    </w:p>
    <w:p>
      <w:pPr>
        <w:pStyle w:val="95"/>
        <w:spacing w:before="221" w:line="411" w:lineRule="auto"/>
        <w:ind w:left="113" w:right="101" w:firstLine="419"/>
        <w:rPr>
          <w:spacing w:val="-2"/>
          <w:sz w:val="21"/>
          <w:szCs w:val="21"/>
        </w:rPr>
      </w:pPr>
      <w:r>
        <w:rPr>
          <w:spacing w:val="-2"/>
          <w:sz w:val="21"/>
          <w:szCs w:val="21"/>
        </w:rPr>
        <w:t>当投标人主要材料报价&lt;评标基准价Pc时：</w:t>
      </w:r>
    </w:p>
    <w:p>
      <w:pPr>
        <w:pStyle w:val="95"/>
        <w:spacing w:before="221" w:line="411" w:lineRule="auto"/>
        <w:ind w:left="113" w:right="101" w:firstLine="419"/>
        <w:rPr>
          <w:spacing w:val="-2"/>
          <w:sz w:val="21"/>
          <w:szCs w:val="21"/>
        </w:rPr>
      </w:pPr>
      <w:r>
        <w:rPr>
          <w:spacing w:val="-2"/>
          <w:sz w:val="21"/>
          <w:szCs w:val="21"/>
        </w:rPr>
        <w:t>a3＝1.5－[（评标基准价-投标人主要材料报价）/评标基准价]×100×0.05。</w:t>
      </w:r>
    </w:p>
    <w:p>
      <w:pPr>
        <w:pStyle w:val="95"/>
        <w:spacing w:before="221" w:line="411" w:lineRule="auto"/>
        <w:ind w:left="113" w:right="101" w:firstLine="419"/>
        <w:rPr>
          <w:spacing w:val="-2"/>
          <w:sz w:val="21"/>
          <w:szCs w:val="21"/>
        </w:rPr>
      </w:pPr>
      <w:r>
        <w:rPr>
          <w:spacing w:val="-2"/>
          <w:sz w:val="21"/>
          <w:szCs w:val="21"/>
        </w:rPr>
        <w:t>主要材料报价（A3）得分：A3=∑a3</w:t>
      </w:r>
    </w:p>
    <w:p>
      <w:pPr>
        <w:pStyle w:val="95"/>
        <w:spacing w:before="219" w:line="219" w:lineRule="auto"/>
        <w:ind w:left="479"/>
        <w:rPr>
          <w:sz w:val="21"/>
          <w:szCs w:val="21"/>
        </w:rPr>
      </w:pPr>
      <w:r>
        <w:rPr>
          <w:sz w:val="21"/>
          <w:szCs w:val="21"/>
          <w14:textOutline w14:w="3835" w14:cap="flat" w14:cmpd="sng">
            <w14:solidFill>
              <w14:srgbClr w14:val="000000"/>
            </w14:solidFill>
            <w14:prstDash w14:val="solid"/>
            <w14:miter w14:val="0"/>
          </w14:textOutline>
        </w:rPr>
        <w:t>（三）计算投标报价得分，A=A1+A2+A3</w:t>
      </w:r>
    </w:p>
    <w:p>
      <w:pPr>
        <w:adjustRightInd w:val="0"/>
        <w:snapToGrid w:val="0"/>
        <w:spacing w:before="62" w:beforeLines="20" w:after="62" w:afterLines="20" w:line="430" w:lineRule="exact"/>
        <w:ind w:firstLine="420"/>
        <w:rPr>
          <w:rFonts w:ascii="宋体" w:hAnsi="宋体"/>
          <w:color w:val="000000"/>
          <w:szCs w:val="21"/>
          <w:highlight w:val="none"/>
        </w:rPr>
      </w:pPr>
      <w:r>
        <w:rPr>
          <w:rFonts w:hint="eastAsia" w:ascii="宋体" w:hAnsi="宋体"/>
          <w:color w:val="000000"/>
          <w:szCs w:val="21"/>
          <w:highlight w:val="none"/>
        </w:rPr>
        <w:t>将结果汇总记录至附表A-</w:t>
      </w:r>
      <w:r>
        <w:rPr>
          <w:rFonts w:ascii="宋体" w:hAnsi="宋体"/>
          <w:color w:val="000000"/>
          <w:szCs w:val="21"/>
          <w:highlight w:val="none"/>
        </w:rPr>
        <w:t>7</w:t>
      </w:r>
      <w:r>
        <w:rPr>
          <w:rFonts w:hint="eastAsia" w:ascii="宋体" w:hAnsi="宋体"/>
          <w:color w:val="000000"/>
          <w:szCs w:val="21"/>
          <w:highlight w:val="none"/>
        </w:rPr>
        <w:t>、附表A</w:t>
      </w:r>
      <w:r>
        <w:rPr>
          <w:rFonts w:ascii="宋体" w:hAnsi="宋体"/>
          <w:color w:val="000000"/>
          <w:szCs w:val="21"/>
          <w:highlight w:val="none"/>
        </w:rPr>
        <w:t>-8</w:t>
      </w:r>
      <w:r>
        <w:rPr>
          <w:rFonts w:hint="eastAsia" w:ascii="宋体" w:hAnsi="宋体"/>
          <w:color w:val="000000"/>
          <w:szCs w:val="21"/>
          <w:highlight w:val="none"/>
        </w:rPr>
        <w:t>、附表A</w:t>
      </w:r>
      <w:r>
        <w:rPr>
          <w:rFonts w:ascii="宋体" w:hAnsi="宋体"/>
          <w:color w:val="000000"/>
          <w:szCs w:val="21"/>
          <w:highlight w:val="none"/>
        </w:rPr>
        <w:t>-9</w:t>
      </w:r>
    </w:p>
    <w:p>
      <w:pPr>
        <w:adjustRightInd w:val="0"/>
        <w:snapToGrid w:val="0"/>
        <w:spacing w:before="62" w:beforeLines="20" w:after="62" w:afterLines="20" w:line="430" w:lineRule="exact"/>
        <w:rPr>
          <w:rFonts w:ascii="黑体" w:hAnsi="宋体" w:eastAsia="黑体"/>
          <w:b/>
          <w:color w:val="000000"/>
          <w:szCs w:val="21"/>
        </w:rPr>
      </w:pPr>
      <w:r>
        <w:rPr>
          <w:rFonts w:hint="eastAsia" w:ascii="黑体" w:hAnsi="宋体" w:eastAsia="黑体"/>
          <w:b/>
          <w:color w:val="000000"/>
          <w:szCs w:val="21"/>
        </w:rPr>
        <w:t>A</w:t>
      </w:r>
      <w:r>
        <w:rPr>
          <w:rFonts w:ascii="黑体" w:hAnsi="宋体" w:eastAsia="黑体"/>
          <w:b/>
          <w:color w:val="000000"/>
          <w:szCs w:val="21"/>
        </w:rPr>
        <w:t>5.</w:t>
      </w:r>
      <w:r>
        <w:rPr>
          <w:rFonts w:hint="eastAsia" w:ascii="黑体" w:hAnsi="宋体" w:eastAsia="黑体"/>
          <w:b/>
          <w:color w:val="000000"/>
          <w:szCs w:val="21"/>
        </w:rPr>
        <w:t>计算企业诚信评价得分（B）（权重为</w:t>
      </w:r>
      <w:r>
        <w:rPr>
          <w:rFonts w:hint="eastAsia" w:ascii="黑体" w:hAnsi="宋体" w:eastAsia="黑体"/>
          <w:b/>
          <w:color w:val="000000"/>
          <w:szCs w:val="21"/>
          <w:lang w:eastAsia="zh-CN"/>
        </w:rPr>
        <w:t>5%-8%</w:t>
      </w:r>
      <w:r>
        <w:rPr>
          <w:rFonts w:hint="eastAsia" w:ascii="黑体" w:hAnsi="宋体" w:eastAsia="黑体"/>
          <w:b/>
          <w:color w:val="000000"/>
          <w:szCs w:val="21"/>
        </w:rPr>
        <w:t>）</w:t>
      </w:r>
    </w:p>
    <w:p>
      <w:pPr>
        <w:adjustRightInd w:val="0"/>
        <w:snapToGrid w:val="0"/>
        <w:spacing w:before="62" w:beforeLines="20" w:after="62" w:afterLines="20" w:line="430" w:lineRule="exact"/>
        <w:ind w:firstLine="420"/>
        <w:rPr>
          <w:rFonts w:ascii="宋体" w:hAnsi="宋体"/>
          <w:color w:val="000000"/>
          <w:szCs w:val="21"/>
        </w:rPr>
      </w:pPr>
      <w:r>
        <w:rPr>
          <w:rFonts w:hint="eastAsia" w:ascii="宋体" w:hAnsi="宋体"/>
          <w:color w:val="000000"/>
          <w:szCs w:val="21"/>
        </w:rPr>
        <w:t>（一）计算企业诚信评价等级为A级的投标人得分（按权重的85%</w:t>
      </w:r>
      <w:r>
        <w:rPr>
          <w:rFonts w:hint="eastAsia" w:ascii="宋体" w:hAnsi="宋体"/>
          <w:color w:val="000000"/>
          <w:szCs w:val="21"/>
          <w:lang w:eastAsia="zh-CN"/>
        </w:rPr>
        <w:t>—</w:t>
      </w:r>
      <w:r>
        <w:rPr>
          <w:rFonts w:hint="eastAsia" w:ascii="宋体" w:hAnsi="宋体"/>
          <w:color w:val="000000"/>
          <w:szCs w:val="21"/>
        </w:rPr>
        <w:t>100%，不含85%）：</w:t>
      </w:r>
    </w:p>
    <w:p>
      <w:pPr>
        <w:adjustRightInd w:val="0"/>
        <w:snapToGrid w:val="0"/>
        <w:spacing w:before="62" w:beforeLines="20" w:after="62" w:afterLines="20" w:line="430" w:lineRule="exact"/>
        <w:ind w:firstLine="420"/>
        <w:rPr>
          <w:rFonts w:ascii="宋体" w:hAnsi="宋体"/>
          <w:color w:val="000000"/>
          <w:szCs w:val="21"/>
        </w:rPr>
      </w:pPr>
      <w:r>
        <w:rPr>
          <w:rFonts w:hint="eastAsia" w:ascii="宋体" w:hAnsi="宋体"/>
          <w:color w:val="000000"/>
          <w:szCs w:val="21"/>
        </w:rPr>
        <w:t>投标人排名最高的得该权重计算得分的最高分，相同评价等级中排名最低的投标人得该权重计算得分的最低分，其他相同企业诚信评价等级的投标人得分按直线内插法计算得分，计算B1;</w:t>
      </w:r>
    </w:p>
    <w:p>
      <w:pPr>
        <w:adjustRightInd w:val="0"/>
        <w:snapToGrid w:val="0"/>
        <w:spacing w:before="62" w:beforeLines="20" w:after="62" w:afterLines="20" w:line="430" w:lineRule="exact"/>
        <w:ind w:firstLine="420"/>
        <w:rPr>
          <w:rFonts w:ascii="宋体" w:hAnsi="宋体"/>
          <w:color w:val="000000"/>
          <w:szCs w:val="21"/>
        </w:rPr>
      </w:pPr>
      <w:r>
        <w:rPr>
          <w:rFonts w:hint="eastAsia" w:ascii="宋体" w:hAnsi="宋体"/>
          <w:color w:val="000000"/>
          <w:szCs w:val="21"/>
        </w:rPr>
        <w:t>（二）计算企业诚信评价等级为B级的投标人得分（按权重的70%</w:t>
      </w:r>
      <w:r>
        <w:rPr>
          <w:rFonts w:hint="eastAsia" w:ascii="宋体" w:hAnsi="宋体"/>
          <w:color w:val="000000"/>
          <w:szCs w:val="21"/>
          <w:lang w:eastAsia="zh-CN"/>
        </w:rPr>
        <w:t>—</w:t>
      </w:r>
      <w:r>
        <w:rPr>
          <w:rFonts w:hint="eastAsia" w:ascii="宋体" w:hAnsi="宋体"/>
          <w:color w:val="000000"/>
          <w:szCs w:val="21"/>
        </w:rPr>
        <w:t>85%，含70%）</w:t>
      </w:r>
      <w:r>
        <w:rPr>
          <w:rFonts w:hint="eastAsia" w:ascii="宋体" w:hAnsi="宋体"/>
          <w:color w:val="000000"/>
          <w:szCs w:val="21"/>
          <w:lang w:eastAsia="zh-CN"/>
        </w:rPr>
        <w:t>：</w:t>
      </w:r>
    </w:p>
    <w:p>
      <w:pPr>
        <w:adjustRightInd w:val="0"/>
        <w:snapToGrid w:val="0"/>
        <w:spacing w:before="62" w:beforeLines="20" w:after="62" w:afterLines="20" w:line="430" w:lineRule="exact"/>
        <w:ind w:firstLine="420"/>
        <w:rPr>
          <w:rFonts w:ascii="宋体" w:hAnsi="宋体"/>
          <w:color w:val="000000"/>
          <w:szCs w:val="21"/>
        </w:rPr>
      </w:pPr>
      <w:r>
        <w:rPr>
          <w:rFonts w:hint="eastAsia" w:ascii="宋体" w:hAnsi="宋体"/>
          <w:color w:val="000000"/>
          <w:szCs w:val="21"/>
        </w:rPr>
        <w:t>投标人排名最高的得该权重计算得分的最高分，相同评价等级中排名最低的投标人得该权重计算得分的最低分，其他相同企业诚信评价等级的投标人得分按直线内插法计算得分，计算B2;</w:t>
      </w:r>
    </w:p>
    <w:p>
      <w:pPr>
        <w:adjustRightInd w:val="0"/>
        <w:snapToGrid w:val="0"/>
        <w:spacing w:before="62" w:beforeLines="20" w:after="62" w:afterLines="20" w:line="430" w:lineRule="exact"/>
        <w:ind w:firstLine="420"/>
        <w:rPr>
          <w:rFonts w:ascii="宋体" w:hAnsi="宋体"/>
          <w:color w:val="000000"/>
          <w:szCs w:val="21"/>
        </w:rPr>
      </w:pPr>
      <w:r>
        <w:rPr>
          <w:rFonts w:hint="eastAsia" w:ascii="宋体" w:hAnsi="宋体"/>
          <w:color w:val="000000"/>
          <w:szCs w:val="21"/>
        </w:rPr>
        <w:t>（三）计算企业诚信评价等级为C级的投标人得分（按权重的60%</w:t>
      </w:r>
      <w:r>
        <w:rPr>
          <w:rFonts w:hint="eastAsia" w:ascii="宋体" w:hAnsi="宋体"/>
          <w:color w:val="000000"/>
          <w:szCs w:val="21"/>
          <w:lang w:eastAsia="zh-CN"/>
        </w:rPr>
        <w:t>—</w:t>
      </w:r>
      <w:r>
        <w:rPr>
          <w:rFonts w:hint="eastAsia" w:ascii="宋体" w:hAnsi="宋体"/>
          <w:color w:val="000000"/>
          <w:szCs w:val="21"/>
        </w:rPr>
        <w:t>70%，含60%）</w:t>
      </w:r>
      <w:r>
        <w:rPr>
          <w:rFonts w:hint="eastAsia" w:ascii="宋体" w:hAnsi="宋体"/>
          <w:color w:val="000000"/>
          <w:szCs w:val="21"/>
          <w:lang w:eastAsia="zh-CN"/>
        </w:rPr>
        <w:t>：</w:t>
      </w:r>
    </w:p>
    <w:p>
      <w:pPr>
        <w:adjustRightInd w:val="0"/>
        <w:snapToGrid w:val="0"/>
        <w:spacing w:before="62" w:beforeLines="20" w:after="62" w:afterLines="20" w:line="430" w:lineRule="exact"/>
        <w:ind w:firstLine="420"/>
        <w:rPr>
          <w:rFonts w:ascii="宋体" w:hAnsi="宋体"/>
          <w:color w:val="000000"/>
          <w:szCs w:val="21"/>
        </w:rPr>
      </w:pPr>
      <w:r>
        <w:rPr>
          <w:rFonts w:hint="eastAsia" w:ascii="宋体" w:hAnsi="宋体"/>
          <w:color w:val="000000"/>
          <w:szCs w:val="21"/>
        </w:rPr>
        <w:t>投标人排名最高的得该权重计算得分的最高分，相同评价等级中排名最低的投标人得该权重计算得分的最低分，其他相同企业诚信评价等级的投标人得分按直线内插法计算得分，计算B3。</w:t>
      </w:r>
    </w:p>
    <w:p>
      <w:pPr>
        <w:adjustRightInd w:val="0"/>
        <w:snapToGrid w:val="0"/>
        <w:spacing w:before="62" w:beforeLines="20" w:after="62" w:afterLines="20" w:line="430" w:lineRule="exact"/>
        <w:ind w:firstLine="420"/>
        <w:rPr>
          <w:rFonts w:ascii="宋体" w:hAnsi="宋体"/>
          <w:color w:val="000000"/>
          <w:szCs w:val="21"/>
        </w:rPr>
      </w:pPr>
      <w:r>
        <w:rPr>
          <w:rFonts w:hint="eastAsia" w:ascii="宋体" w:hAnsi="宋体"/>
          <w:color w:val="000000"/>
          <w:szCs w:val="21"/>
        </w:rPr>
        <w:t>（四）计算企业诚信评价等级为D级的投标人得分（按权重的40%</w:t>
      </w:r>
      <w:r>
        <w:rPr>
          <w:rFonts w:hint="eastAsia" w:ascii="宋体" w:hAnsi="宋体"/>
          <w:color w:val="000000"/>
          <w:szCs w:val="21"/>
          <w:lang w:eastAsia="zh-CN"/>
        </w:rPr>
        <w:t>—</w:t>
      </w:r>
      <w:r>
        <w:rPr>
          <w:rFonts w:hint="eastAsia" w:ascii="宋体" w:hAnsi="宋体"/>
          <w:color w:val="000000"/>
          <w:szCs w:val="21"/>
        </w:rPr>
        <w:t>60%，含40%）</w:t>
      </w:r>
      <w:r>
        <w:rPr>
          <w:rFonts w:hint="eastAsia" w:ascii="宋体" w:hAnsi="宋体"/>
          <w:color w:val="000000"/>
          <w:szCs w:val="21"/>
          <w:lang w:eastAsia="zh-CN"/>
        </w:rPr>
        <w:t>：</w:t>
      </w:r>
    </w:p>
    <w:p>
      <w:pPr>
        <w:adjustRightInd w:val="0"/>
        <w:snapToGrid w:val="0"/>
        <w:spacing w:before="62" w:beforeLines="20" w:after="62" w:afterLines="20" w:line="430" w:lineRule="exact"/>
        <w:ind w:firstLine="420"/>
        <w:rPr>
          <w:rFonts w:ascii="宋体" w:hAnsi="宋体"/>
          <w:color w:val="000000"/>
          <w:szCs w:val="21"/>
        </w:rPr>
      </w:pPr>
      <w:r>
        <w:rPr>
          <w:rFonts w:hint="eastAsia" w:ascii="宋体" w:hAnsi="宋体"/>
          <w:color w:val="000000"/>
          <w:szCs w:val="21"/>
        </w:rPr>
        <w:t>投标人排名最高的得该权重计算得分的最高分，相同评价等级中排名最低的投标人得该权重计算得分的最低分，其他相同企业诚信评价等级的投标人得分按直线内插法计算得分，计算B4。</w:t>
      </w:r>
    </w:p>
    <w:p>
      <w:pPr>
        <w:adjustRightInd w:val="0"/>
        <w:snapToGrid w:val="0"/>
        <w:spacing w:before="62" w:beforeLines="20" w:after="62" w:afterLines="20" w:line="430" w:lineRule="exact"/>
        <w:ind w:firstLine="420"/>
        <w:rPr>
          <w:rFonts w:ascii="宋体" w:hAnsi="宋体"/>
          <w:color w:val="000000"/>
          <w:szCs w:val="21"/>
        </w:rPr>
      </w:pPr>
      <w:r>
        <w:rPr>
          <w:rFonts w:hint="eastAsia" w:ascii="宋体" w:hAnsi="宋体"/>
          <w:color w:val="000000"/>
          <w:szCs w:val="21"/>
        </w:rPr>
        <w:t>（五）企业诚信评价等级为其他等级的均得0分。</w:t>
      </w:r>
    </w:p>
    <w:p>
      <w:pPr>
        <w:adjustRightInd w:val="0"/>
        <w:snapToGrid w:val="0"/>
        <w:spacing w:before="62" w:beforeLines="20" w:after="62" w:afterLines="20" w:line="430" w:lineRule="exact"/>
        <w:ind w:firstLine="420"/>
        <w:rPr>
          <w:rFonts w:ascii="宋体" w:hAnsi="宋体"/>
          <w:color w:val="000000"/>
          <w:szCs w:val="21"/>
        </w:rPr>
      </w:pPr>
      <w:r>
        <w:rPr>
          <w:rFonts w:hint="eastAsia" w:ascii="宋体" w:hAnsi="宋体"/>
          <w:color w:val="000000"/>
          <w:szCs w:val="21"/>
        </w:rPr>
        <w:t>将结果汇总记录至附表A-</w:t>
      </w:r>
      <w:r>
        <w:rPr>
          <w:rFonts w:ascii="宋体" w:hAnsi="宋体"/>
          <w:color w:val="000000"/>
          <w:szCs w:val="21"/>
        </w:rPr>
        <w:t>11</w:t>
      </w:r>
    </w:p>
    <w:p>
      <w:pPr>
        <w:adjustRightInd w:val="0"/>
        <w:snapToGrid w:val="0"/>
        <w:spacing w:before="62" w:beforeLines="20" w:after="62" w:afterLines="20" w:line="430" w:lineRule="exact"/>
        <w:rPr>
          <w:rFonts w:ascii="黑体" w:hAnsi="宋体" w:eastAsia="黑体"/>
          <w:b/>
          <w:color w:val="000000"/>
          <w:szCs w:val="21"/>
        </w:rPr>
      </w:pPr>
      <w:r>
        <w:rPr>
          <w:rFonts w:hint="eastAsia" w:ascii="黑体" w:hAnsi="宋体" w:eastAsia="黑体"/>
          <w:b/>
          <w:color w:val="000000"/>
          <w:szCs w:val="21"/>
        </w:rPr>
        <w:t>A</w:t>
      </w:r>
      <w:r>
        <w:rPr>
          <w:rFonts w:ascii="黑体" w:hAnsi="宋体" w:eastAsia="黑体"/>
          <w:b/>
          <w:color w:val="000000"/>
          <w:szCs w:val="21"/>
        </w:rPr>
        <w:t>6.</w:t>
      </w:r>
      <w:r>
        <w:rPr>
          <w:rFonts w:hint="eastAsia" w:ascii="黑体" w:hAnsi="宋体" w:eastAsia="黑体"/>
          <w:b/>
          <w:color w:val="000000"/>
          <w:szCs w:val="21"/>
        </w:rPr>
        <w:t>计算拟派项目负责人诚信评价得分（C）（权重为</w:t>
      </w:r>
      <w:r>
        <w:rPr>
          <w:rFonts w:hint="eastAsia" w:ascii="黑体" w:hAnsi="宋体" w:eastAsia="黑体"/>
          <w:b/>
          <w:color w:val="000000"/>
          <w:szCs w:val="21"/>
          <w:lang w:eastAsia="zh-CN"/>
        </w:rPr>
        <w:t>5%-10%</w:t>
      </w:r>
      <w:r>
        <w:rPr>
          <w:rFonts w:hint="eastAsia" w:ascii="黑体" w:hAnsi="宋体" w:eastAsia="黑体"/>
          <w:b/>
          <w:color w:val="000000"/>
          <w:szCs w:val="21"/>
        </w:rPr>
        <w:t>）</w:t>
      </w:r>
    </w:p>
    <w:p>
      <w:pPr>
        <w:adjustRightInd w:val="0"/>
        <w:snapToGrid w:val="0"/>
        <w:spacing w:before="62" w:beforeLines="20" w:after="62" w:afterLines="20" w:line="430" w:lineRule="exact"/>
        <w:ind w:firstLine="420" w:firstLineChars="200"/>
        <w:rPr>
          <w:rFonts w:ascii="宋体" w:hAnsi="宋体"/>
          <w:color w:val="000000"/>
          <w:szCs w:val="21"/>
        </w:rPr>
      </w:pPr>
      <w:r>
        <w:rPr>
          <w:rFonts w:hint="eastAsia" w:ascii="宋体" w:hAnsi="宋体"/>
          <w:color w:val="000000"/>
          <w:szCs w:val="21"/>
        </w:rPr>
        <w:t>（一）计算拟派项目负责人诚信评价等级为“四星”得分（按权重的80%</w:t>
      </w:r>
      <w:r>
        <w:rPr>
          <w:rFonts w:hint="eastAsia" w:ascii="宋体" w:hAnsi="宋体"/>
          <w:color w:val="000000"/>
          <w:szCs w:val="21"/>
          <w:lang w:eastAsia="zh-CN"/>
        </w:rPr>
        <w:t>—</w:t>
      </w:r>
      <w:r>
        <w:rPr>
          <w:rFonts w:hint="eastAsia" w:ascii="宋体" w:hAnsi="宋体"/>
          <w:color w:val="000000"/>
          <w:szCs w:val="21"/>
        </w:rPr>
        <w:t>100%，不含80%）</w:t>
      </w:r>
      <w:r>
        <w:rPr>
          <w:rFonts w:hint="eastAsia" w:ascii="宋体" w:hAnsi="宋体"/>
          <w:color w:val="000000"/>
          <w:szCs w:val="21"/>
          <w:lang w:eastAsia="zh-CN"/>
        </w:rPr>
        <w:t>：</w:t>
      </w:r>
    </w:p>
    <w:p>
      <w:pPr>
        <w:adjustRightInd w:val="0"/>
        <w:snapToGrid w:val="0"/>
        <w:spacing w:before="62" w:beforeLines="20" w:after="62" w:afterLines="20" w:line="430" w:lineRule="exact"/>
        <w:ind w:firstLine="420" w:firstLineChars="200"/>
        <w:rPr>
          <w:rFonts w:ascii="宋体" w:hAnsi="宋体"/>
          <w:color w:val="000000"/>
          <w:szCs w:val="21"/>
        </w:rPr>
      </w:pPr>
      <w:r>
        <w:rPr>
          <w:rFonts w:hint="eastAsia" w:ascii="宋体" w:hAnsi="宋体"/>
          <w:color w:val="000000"/>
          <w:szCs w:val="21"/>
        </w:rPr>
        <w:t>拟派项目负责人排名最高的得该权重计算得分的最高分，相同评价等级中排名最低的投标人得该权重计算得分的最低分，其他相同企业诚信评价等级的投标人得分按直线内插法计算得分，计算C1；</w:t>
      </w:r>
    </w:p>
    <w:p>
      <w:pPr>
        <w:adjustRightInd w:val="0"/>
        <w:snapToGrid w:val="0"/>
        <w:spacing w:before="62" w:beforeLines="20" w:after="62" w:afterLines="20" w:line="430" w:lineRule="exact"/>
        <w:ind w:firstLine="420" w:firstLineChars="200"/>
        <w:rPr>
          <w:rFonts w:ascii="宋体" w:hAnsi="宋体"/>
          <w:color w:val="000000"/>
          <w:szCs w:val="21"/>
        </w:rPr>
      </w:pPr>
      <w:r>
        <w:rPr>
          <w:rFonts w:hint="eastAsia" w:ascii="宋体" w:hAnsi="宋体"/>
          <w:color w:val="000000"/>
          <w:szCs w:val="21"/>
        </w:rPr>
        <w:t>（二）计算拟派项目负责人诚信评价等级为“三星”得分（按权重的60%</w:t>
      </w:r>
      <w:r>
        <w:rPr>
          <w:rFonts w:hint="eastAsia" w:ascii="宋体" w:hAnsi="宋体"/>
          <w:color w:val="000000"/>
          <w:szCs w:val="21"/>
          <w:lang w:eastAsia="zh-CN"/>
        </w:rPr>
        <w:t>—</w:t>
      </w:r>
      <w:r>
        <w:rPr>
          <w:rFonts w:hint="eastAsia" w:ascii="宋体" w:hAnsi="宋体"/>
          <w:color w:val="000000"/>
          <w:szCs w:val="21"/>
        </w:rPr>
        <w:t>80%，含60%）</w:t>
      </w:r>
      <w:r>
        <w:rPr>
          <w:rFonts w:hint="eastAsia" w:ascii="宋体" w:hAnsi="宋体"/>
          <w:color w:val="000000"/>
          <w:szCs w:val="21"/>
          <w:lang w:eastAsia="zh-CN"/>
        </w:rPr>
        <w:t>：</w:t>
      </w:r>
    </w:p>
    <w:p>
      <w:pPr>
        <w:adjustRightInd w:val="0"/>
        <w:snapToGrid w:val="0"/>
        <w:spacing w:before="62" w:beforeLines="20" w:after="62" w:afterLines="20" w:line="430" w:lineRule="exact"/>
        <w:ind w:firstLine="420" w:firstLineChars="200"/>
        <w:rPr>
          <w:rFonts w:ascii="宋体" w:hAnsi="宋体"/>
          <w:color w:val="000000"/>
          <w:szCs w:val="21"/>
        </w:rPr>
      </w:pPr>
      <w:r>
        <w:rPr>
          <w:rFonts w:hint="eastAsia" w:ascii="宋体" w:hAnsi="宋体"/>
          <w:color w:val="000000"/>
          <w:szCs w:val="21"/>
        </w:rPr>
        <w:t>拟派项目负责人排名最高的得该权重计算得分的最高分，相同评价等级中排名最低的投标人得该权重计算得分的最低分，其他相同企业诚信评价等级的投标人得分按直线内插法计算得分，计算C2；</w:t>
      </w:r>
    </w:p>
    <w:p>
      <w:pPr>
        <w:adjustRightInd w:val="0"/>
        <w:snapToGrid w:val="0"/>
        <w:spacing w:before="62" w:beforeLines="20" w:after="62" w:afterLines="20" w:line="430" w:lineRule="exact"/>
        <w:ind w:firstLine="420" w:firstLineChars="200"/>
        <w:rPr>
          <w:rFonts w:ascii="宋体" w:hAnsi="宋体"/>
          <w:color w:val="000000"/>
          <w:szCs w:val="21"/>
        </w:rPr>
      </w:pPr>
      <w:r>
        <w:rPr>
          <w:rFonts w:hint="eastAsia" w:ascii="宋体" w:hAnsi="宋体"/>
          <w:color w:val="000000"/>
          <w:szCs w:val="21"/>
        </w:rPr>
        <w:t>（三）拟派项目负责人诚信评价等级为“二星”得分（按权重的40%</w:t>
      </w:r>
      <w:r>
        <w:rPr>
          <w:rFonts w:hint="eastAsia" w:ascii="宋体" w:hAnsi="宋体"/>
          <w:color w:val="000000"/>
          <w:szCs w:val="21"/>
          <w:lang w:eastAsia="zh-CN"/>
        </w:rPr>
        <w:t>—</w:t>
      </w:r>
      <w:r>
        <w:rPr>
          <w:rFonts w:hint="eastAsia" w:ascii="宋体" w:hAnsi="宋体"/>
          <w:color w:val="000000"/>
          <w:szCs w:val="21"/>
        </w:rPr>
        <w:t>60%，含40%）</w:t>
      </w:r>
      <w:r>
        <w:rPr>
          <w:rFonts w:hint="eastAsia" w:ascii="宋体" w:hAnsi="宋体"/>
          <w:color w:val="000000"/>
          <w:szCs w:val="21"/>
          <w:lang w:eastAsia="zh-CN"/>
        </w:rPr>
        <w:t>：</w:t>
      </w:r>
    </w:p>
    <w:p>
      <w:pPr>
        <w:adjustRightInd w:val="0"/>
        <w:snapToGrid w:val="0"/>
        <w:spacing w:before="62" w:beforeLines="20" w:after="62" w:afterLines="20" w:line="430" w:lineRule="exact"/>
        <w:ind w:firstLine="420" w:firstLineChars="200"/>
        <w:rPr>
          <w:rFonts w:ascii="宋体" w:hAnsi="宋体"/>
          <w:color w:val="000000"/>
          <w:szCs w:val="21"/>
        </w:rPr>
      </w:pPr>
      <w:r>
        <w:rPr>
          <w:rFonts w:hint="eastAsia" w:ascii="宋体" w:hAnsi="宋体"/>
          <w:color w:val="000000"/>
          <w:szCs w:val="21"/>
        </w:rPr>
        <w:t>拟派项目负责人排名最高的得该权重计算得分的最高分，相同评价等级中排名最低的投标人得该权重计算得分的最低分，其他相同企业诚信评价等级的投标人得分按直线内插法计算得分，计算C3；</w:t>
      </w:r>
    </w:p>
    <w:p>
      <w:pPr>
        <w:adjustRightInd w:val="0"/>
        <w:snapToGrid w:val="0"/>
        <w:spacing w:before="62" w:beforeLines="20" w:after="62" w:afterLines="20" w:line="430" w:lineRule="exact"/>
        <w:ind w:firstLine="420" w:firstLineChars="200"/>
        <w:rPr>
          <w:rFonts w:ascii="宋体" w:hAnsi="宋体"/>
          <w:color w:val="000000"/>
          <w:szCs w:val="21"/>
        </w:rPr>
      </w:pPr>
      <w:r>
        <w:rPr>
          <w:rFonts w:hint="eastAsia" w:ascii="宋体" w:hAnsi="宋体"/>
          <w:color w:val="000000"/>
          <w:szCs w:val="21"/>
        </w:rPr>
        <w:t>（四）拟派项目负责人诚信评价等级为“一星”的得0分；</w:t>
      </w:r>
    </w:p>
    <w:p>
      <w:pPr>
        <w:adjustRightInd w:val="0"/>
        <w:snapToGrid w:val="0"/>
        <w:spacing w:before="62" w:beforeLines="20" w:after="62" w:afterLines="20" w:line="430" w:lineRule="exact"/>
        <w:ind w:firstLine="420" w:firstLineChars="200"/>
        <w:rPr>
          <w:rFonts w:ascii="宋体" w:hAnsi="宋体"/>
          <w:color w:val="000000"/>
          <w:szCs w:val="21"/>
        </w:rPr>
      </w:pPr>
      <w:r>
        <w:rPr>
          <w:rFonts w:hint="eastAsia" w:ascii="宋体" w:hAnsi="宋体"/>
          <w:color w:val="000000"/>
          <w:szCs w:val="21"/>
        </w:rPr>
        <w:t>（五）招标人可根据招标项目的实际情况，要求拟派项目负责人在近3年内获得过国家级奖项或省级奖项或具有类似工程经验的，可适当提高该项</w:t>
      </w:r>
      <w:r>
        <w:rPr>
          <w:rFonts w:hint="eastAsia" w:ascii="宋体" w:hAnsi="宋体"/>
          <w:color w:val="000000"/>
          <w:szCs w:val="21"/>
          <w:lang w:eastAsia="zh-CN"/>
        </w:rPr>
        <w:t>的</w:t>
      </w:r>
      <w:r>
        <w:rPr>
          <w:rFonts w:hint="eastAsia" w:ascii="宋体" w:hAnsi="宋体"/>
          <w:color w:val="000000"/>
          <w:szCs w:val="21"/>
        </w:rPr>
        <w:t>分权重。</w:t>
      </w:r>
    </w:p>
    <w:p>
      <w:pPr>
        <w:adjustRightInd w:val="0"/>
        <w:snapToGrid w:val="0"/>
        <w:spacing w:before="62" w:beforeLines="20" w:after="62" w:afterLines="20" w:line="430" w:lineRule="exact"/>
        <w:ind w:firstLine="420"/>
        <w:rPr>
          <w:rFonts w:ascii="宋体" w:hAnsi="宋体"/>
          <w:color w:val="000000"/>
          <w:szCs w:val="21"/>
        </w:rPr>
      </w:pPr>
      <w:r>
        <w:rPr>
          <w:rFonts w:hint="eastAsia" w:ascii="宋体" w:hAnsi="宋体"/>
          <w:color w:val="000000"/>
          <w:szCs w:val="21"/>
        </w:rPr>
        <w:t>将结果汇总记录至附表A-</w:t>
      </w:r>
      <w:r>
        <w:rPr>
          <w:rFonts w:ascii="宋体" w:hAnsi="宋体"/>
          <w:color w:val="000000"/>
          <w:szCs w:val="21"/>
        </w:rPr>
        <w:t>11</w:t>
      </w:r>
    </w:p>
    <w:p>
      <w:pPr>
        <w:adjustRightInd w:val="0"/>
        <w:snapToGrid w:val="0"/>
        <w:spacing w:before="62" w:beforeLines="20" w:after="62" w:afterLines="20" w:line="430" w:lineRule="exact"/>
        <w:rPr>
          <w:rFonts w:ascii="黑体" w:hAnsi="宋体" w:eastAsia="黑体"/>
          <w:b/>
          <w:color w:val="000000"/>
          <w:szCs w:val="21"/>
        </w:rPr>
      </w:pPr>
      <w:r>
        <w:rPr>
          <w:rFonts w:hint="eastAsia" w:ascii="黑体" w:hAnsi="宋体" w:eastAsia="黑体"/>
          <w:b/>
          <w:color w:val="000000"/>
          <w:szCs w:val="21"/>
        </w:rPr>
        <w:t>A</w:t>
      </w:r>
      <w:r>
        <w:rPr>
          <w:rFonts w:ascii="黑体" w:hAnsi="宋体" w:eastAsia="黑体"/>
          <w:b/>
          <w:color w:val="000000"/>
          <w:szCs w:val="21"/>
        </w:rPr>
        <w:t>7.</w:t>
      </w:r>
      <w:r>
        <w:rPr>
          <w:rFonts w:hint="eastAsia" w:ascii="黑体" w:hAnsi="宋体" w:eastAsia="黑体"/>
          <w:b/>
          <w:color w:val="000000"/>
          <w:szCs w:val="21"/>
        </w:rPr>
        <w:t>计算投标人总得分</w:t>
      </w:r>
    </w:p>
    <w:p>
      <w:pPr>
        <w:adjustRightInd w:val="0"/>
        <w:snapToGrid w:val="0"/>
        <w:spacing w:before="62" w:beforeLines="20" w:after="62" w:afterLines="20" w:line="430" w:lineRule="exact"/>
        <w:ind w:firstLine="420" w:firstLineChars="200"/>
        <w:rPr>
          <w:rFonts w:ascii="宋体" w:hAnsi="宋体"/>
          <w:color w:val="000000"/>
          <w:szCs w:val="21"/>
        </w:rPr>
      </w:pPr>
      <w:r>
        <w:rPr>
          <w:rFonts w:hint="eastAsia" w:ascii="宋体" w:hAnsi="宋体"/>
          <w:color w:val="000000"/>
          <w:szCs w:val="21"/>
        </w:rPr>
        <w:t>投标人总得分=A+B+C</w:t>
      </w:r>
    </w:p>
    <w:p>
      <w:pPr>
        <w:adjustRightInd w:val="0"/>
        <w:snapToGrid w:val="0"/>
        <w:spacing w:before="62" w:beforeLines="20" w:after="62" w:afterLines="20" w:line="430" w:lineRule="exact"/>
        <w:ind w:firstLine="420" w:firstLineChars="200"/>
        <w:rPr>
          <w:rFonts w:ascii="宋体" w:hAnsi="宋体"/>
          <w:color w:val="000000"/>
          <w:szCs w:val="21"/>
        </w:rPr>
      </w:pPr>
      <w:r>
        <w:rPr>
          <w:rFonts w:hint="eastAsia" w:ascii="宋体" w:hAnsi="宋体"/>
          <w:color w:val="000000"/>
          <w:szCs w:val="21"/>
        </w:rPr>
        <w:t>注：各项计算、评分结果均按四舍五入方法精确到小数点后2位。</w:t>
      </w:r>
    </w:p>
    <w:p>
      <w:pPr>
        <w:adjustRightInd w:val="0"/>
        <w:snapToGrid w:val="0"/>
        <w:spacing w:before="62" w:beforeLines="20" w:after="62" w:afterLines="20" w:line="430" w:lineRule="exact"/>
        <w:ind w:firstLine="420"/>
        <w:rPr>
          <w:rFonts w:ascii="宋体" w:hAnsi="宋体"/>
          <w:color w:val="000000"/>
          <w:szCs w:val="21"/>
        </w:rPr>
      </w:pPr>
      <w:r>
        <w:rPr>
          <w:rFonts w:hint="eastAsia" w:ascii="宋体" w:hAnsi="宋体"/>
          <w:color w:val="000000"/>
          <w:szCs w:val="21"/>
        </w:rPr>
        <w:t>将结果汇总记录至附表A-</w:t>
      </w:r>
      <w:r>
        <w:rPr>
          <w:rFonts w:ascii="宋体" w:hAnsi="宋体"/>
          <w:color w:val="000000"/>
          <w:szCs w:val="21"/>
        </w:rPr>
        <w:t>11</w:t>
      </w:r>
    </w:p>
    <w:p>
      <w:pPr>
        <w:adjustRightInd w:val="0"/>
        <w:snapToGrid w:val="0"/>
        <w:spacing w:before="62" w:beforeLines="20" w:line="440" w:lineRule="exact"/>
        <w:rPr>
          <w:rFonts w:ascii="宋体" w:hAnsi="宋体"/>
          <w:b/>
          <w:color w:val="000000"/>
          <w:szCs w:val="21"/>
        </w:rPr>
      </w:pPr>
      <w:r>
        <w:rPr>
          <w:rFonts w:hint="eastAsia" w:ascii="黑体" w:hAnsi="宋体" w:eastAsia="黑体"/>
          <w:b/>
          <w:color w:val="000000"/>
          <w:szCs w:val="21"/>
        </w:rPr>
        <w:t>A</w:t>
      </w:r>
      <w:r>
        <w:rPr>
          <w:rFonts w:ascii="黑体" w:hAnsi="宋体" w:eastAsia="黑体"/>
          <w:b/>
          <w:color w:val="000000"/>
          <w:szCs w:val="21"/>
        </w:rPr>
        <w:t>8</w:t>
      </w:r>
      <w:r>
        <w:rPr>
          <w:rFonts w:hint="eastAsia" w:ascii="黑体" w:hAnsi="宋体" w:eastAsia="黑体"/>
          <w:b/>
          <w:color w:val="000000"/>
          <w:szCs w:val="21"/>
        </w:rPr>
        <w:t>.</w:t>
      </w:r>
      <w:r>
        <w:rPr>
          <w:rFonts w:hint="eastAsia" w:ascii="宋体" w:hAnsi="宋体"/>
          <w:b/>
          <w:color w:val="000000"/>
          <w:szCs w:val="21"/>
        </w:rPr>
        <w:t>系统推荐中标候选人或者直接确定中标人或者按评定分离定标方式要求推送中标候选人。</w:t>
      </w:r>
    </w:p>
    <w:p>
      <w:pPr>
        <w:adjustRightInd w:val="0"/>
        <w:snapToGrid w:val="0"/>
        <w:spacing w:before="62" w:beforeLines="20" w:line="440" w:lineRule="exact"/>
        <w:rPr>
          <w:rFonts w:ascii="宋体" w:hAnsi="宋体"/>
          <w:b/>
          <w:color w:val="000000"/>
          <w:szCs w:val="21"/>
        </w:rPr>
      </w:pPr>
      <w:r>
        <w:rPr>
          <w:rFonts w:hint="eastAsia" w:ascii="黑体" w:hAnsi="宋体" w:eastAsia="黑体"/>
          <w:b/>
          <w:color w:val="000000"/>
          <w:szCs w:val="21"/>
        </w:rPr>
        <w:t>A</w:t>
      </w:r>
      <w:r>
        <w:rPr>
          <w:rFonts w:ascii="黑体" w:hAnsi="宋体" w:eastAsia="黑体"/>
          <w:b/>
          <w:color w:val="000000"/>
          <w:szCs w:val="21"/>
        </w:rPr>
        <w:t>8</w:t>
      </w:r>
      <w:r>
        <w:rPr>
          <w:rFonts w:hint="eastAsia" w:ascii="黑体" w:hAnsi="宋体" w:eastAsia="黑体"/>
          <w:b/>
          <w:color w:val="000000"/>
          <w:szCs w:val="21"/>
        </w:rPr>
        <w:t>.1</w:t>
      </w:r>
      <w:r>
        <w:rPr>
          <w:rFonts w:hint="eastAsia" w:ascii="宋体" w:hAnsi="宋体"/>
          <w:b/>
          <w:color w:val="000000"/>
          <w:szCs w:val="21"/>
        </w:rPr>
        <w:t>推荐中标候选人</w:t>
      </w:r>
    </w:p>
    <w:p>
      <w:pPr>
        <w:adjustRightInd w:val="0"/>
        <w:snapToGrid w:val="0"/>
        <w:spacing w:line="440" w:lineRule="exact"/>
        <w:ind w:firstLine="420" w:firstLineChars="200"/>
        <w:rPr>
          <w:rFonts w:ascii="宋体" w:hAnsi="宋体"/>
          <w:color w:val="000000"/>
          <w:szCs w:val="21"/>
        </w:rPr>
      </w:pPr>
      <w:r>
        <w:rPr>
          <w:rFonts w:hint="eastAsia" w:ascii="黑体" w:hAnsi="宋体" w:eastAsia="黑体"/>
          <w:color w:val="000000"/>
          <w:szCs w:val="21"/>
        </w:rPr>
        <w:t>A</w:t>
      </w:r>
      <w:r>
        <w:rPr>
          <w:rFonts w:ascii="黑体" w:hAnsi="宋体" w:eastAsia="黑体"/>
          <w:color w:val="000000"/>
          <w:szCs w:val="21"/>
        </w:rPr>
        <w:t>8</w:t>
      </w:r>
      <w:r>
        <w:rPr>
          <w:rFonts w:hint="eastAsia" w:ascii="黑体" w:hAnsi="宋体" w:eastAsia="黑体"/>
          <w:color w:val="000000"/>
          <w:szCs w:val="21"/>
        </w:rPr>
        <w:t>.1.1</w:t>
      </w:r>
      <w:r>
        <w:rPr>
          <w:rFonts w:hint="eastAsia" w:ascii="宋体" w:hAnsi="宋体"/>
          <w:color w:val="000000"/>
          <w:szCs w:val="21"/>
        </w:rPr>
        <w:t>除第二章“投标人须知”前附表第7．1款授权直接确定中标人外，在推荐中标候选人时，应遵照以下原则</w:t>
      </w:r>
      <w:r>
        <w:rPr>
          <w:rFonts w:hint="eastAsia" w:ascii="宋体" w:hAnsi="宋体"/>
          <w:color w:val="000000"/>
          <w:szCs w:val="21"/>
          <w:lang w:eastAsia="zh-CN"/>
        </w:rPr>
        <w:t>：</w:t>
      </w:r>
    </w:p>
    <w:p>
      <w:pPr>
        <w:adjustRightInd w:val="0"/>
        <w:snapToGrid w:val="0"/>
        <w:spacing w:before="62" w:beforeLines="20" w:after="62" w:afterLines="20" w:line="441" w:lineRule="exact"/>
        <w:ind w:firstLine="210" w:firstLineChars="100"/>
        <w:rPr>
          <w:rFonts w:ascii="宋体" w:hAnsi="宋体"/>
          <w:color w:val="000000"/>
          <w:szCs w:val="21"/>
        </w:rPr>
      </w:pPr>
      <w:r>
        <w:rPr>
          <w:rFonts w:hint="eastAsia" w:ascii="宋体" w:hAnsi="宋体"/>
          <w:color w:val="000000"/>
          <w:szCs w:val="21"/>
        </w:rPr>
        <w:t>（1）按照最终得分由高至低的次序排列，并根据第二章“投标人须知”前附表第7.1款规定的中标候选人数量，将排序在前的投标人推荐为中标候选人。</w:t>
      </w:r>
    </w:p>
    <w:p>
      <w:pPr>
        <w:adjustRightInd w:val="0"/>
        <w:snapToGrid w:val="0"/>
        <w:spacing w:before="62" w:beforeLines="20" w:after="62" w:afterLines="20" w:line="441" w:lineRule="exact"/>
        <w:ind w:firstLine="210" w:firstLineChars="100"/>
        <w:rPr>
          <w:rFonts w:ascii="宋体" w:hAnsi="宋体"/>
          <w:color w:val="000000"/>
          <w:szCs w:val="21"/>
        </w:rPr>
      </w:pPr>
      <w:r>
        <w:rPr>
          <w:rFonts w:hint="eastAsia" w:ascii="宋体" w:hAnsi="宋体"/>
          <w:color w:val="000000"/>
          <w:szCs w:val="21"/>
        </w:rPr>
        <w:t>（2）采用评定分离的项目推荐的中标候选人不标明排列顺序。</w:t>
      </w:r>
    </w:p>
    <w:p>
      <w:pPr>
        <w:adjustRightInd w:val="0"/>
        <w:snapToGrid w:val="0"/>
        <w:spacing w:before="62" w:beforeLines="20" w:after="62" w:afterLines="20" w:line="441" w:lineRule="exact"/>
        <w:ind w:firstLine="210" w:firstLineChars="100"/>
        <w:rPr>
          <w:rFonts w:ascii="宋体" w:hAnsi="宋体"/>
          <w:color w:val="000000"/>
          <w:szCs w:val="21"/>
        </w:rPr>
      </w:pPr>
      <w:r>
        <w:rPr>
          <w:rFonts w:hint="eastAsia" w:ascii="宋体" w:hAnsi="宋体"/>
          <w:color w:val="000000"/>
          <w:szCs w:val="21"/>
        </w:rPr>
        <w:t>（3）通过初步评审的有效投标人数量少于三个或者所有投标被否决的，招标人应当依法重新招标。</w:t>
      </w:r>
    </w:p>
    <w:p>
      <w:pPr>
        <w:adjustRightInd w:val="0"/>
        <w:snapToGrid w:val="0"/>
        <w:spacing w:before="62" w:beforeLines="20" w:after="62" w:afterLines="20" w:line="441" w:lineRule="exact"/>
        <w:rPr>
          <w:rFonts w:ascii="黑体" w:hAnsi="宋体" w:eastAsia="黑体"/>
          <w:b/>
          <w:color w:val="000000"/>
          <w:szCs w:val="21"/>
        </w:rPr>
      </w:pPr>
      <w:r>
        <w:rPr>
          <w:rFonts w:hint="eastAsia" w:ascii="黑体" w:hAnsi="宋体" w:eastAsia="黑体"/>
          <w:b/>
          <w:color w:val="000000"/>
          <w:szCs w:val="21"/>
        </w:rPr>
        <w:t>A</w:t>
      </w:r>
      <w:r>
        <w:rPr>
          <w:rFonts w:ascii="黑体" w:hAnsi="宋体" w:eastAsia="黑体"/>
          <w:b/>
          <w:color w:val="000000"/>
          <w:szCs w:val="21"/>
        </w:rPr>
        <w:t>9.</w:t>
      </w:r>
      <w:r>
        <w:rPr>
          <w:rFonts w:hint="eastAsia" w:ascii="黑体" w:hAnsi="宋体" w:eastAsia="黑体"/>
          <w:b/>
          <w:color w:val="000000"/>
          <w:szCs w:val="21"/>
        </w:rPr>
        <w:t>评标专家复核评标</w:t>
      </w:r>
    </w:p>
    <w:p>
      <w:pPr>
        <w:adjustRightInd w:val="0"/>
        <w:snapToGrid w:val="0"/>
        <w:spacing w:before="62" w:beforeLines="20" w:after="62" w:afterLines="20" w:line="441" w:lineRule="exact"/>
        <w:rPr>
          <w:rFonts w:ascii="宋体" w:hAnsi="宋体"/>
          <w:b/>
          <w:color w:val="000000"/>
          <w:szCs w:val="21"/>
        </w:rPr>
      </w:pPr>
      <w:r>
        <w:rPr>
          <w:rFonts w:hint="eastAsia" w:ascii="黑体" w:hAnsi="宋体" w:eastAsia="黑体"/>
          <w:b/>
          <w:color w:val="000000"/>
          <w:szCs w:val="21"/>
        </w:rPr>
        <w:t>A</w:t>
      </w:r>
      <w:r>
        <w:rPr>
          <w:rFonts w:ascii="黑体" w:hAnsi="宋体" w:eastAsia="黑体"/>
          <w:b/>
          <w:color w:val="000000"/>
          <w:szCs w:val="21"/>
        </w:rPr>
        <w:t>9.1</w:t>
      </w:r>
      <w:r>
        <w:rPr>
          <w:rFonts w:hint="eastAsia" w:ascii="宋体" w:hAnsi="宋体"/>
          <w:b/>
          <w:color w:val="000000"/>
          <w:szCs w:val="21"/>
        </w:rPr>
        <w:t>评标委员会成员签到</w:t>
      </w:r>
    </w:p>
    <w:p>
      <w:pPr>
        <w:spacing w:line="420" w:lineRule="exact"/>
        <w:ind w:firstLine="420" w:firstLineChars="200"/>
        <w:rPr>
          <w:rFonts w:ascii="宋体" w:hAnsi="宋体"/>
          <w:color w:val="000000"/>
          <w:szCs w:val="21"/>
        </w:rPr>
      </w:pPr>
      <w:r>
        <w:rPr>
          <w:rFonts w:hint="eastAsia" w:ascii="宋体" w:hAnsi="宋体"/>
          <w:color w:val="000000"/>
          <w:szCs w:val="21"/>
        </w:rPr>
        <w:t>评标委员会成员到达评标现场时应在签到表上签到以证明其出席。评标委员会签到表见</w:t>
      </w:r>
    </w:p>
    <w:p>
      <w:pPr>
        <w:spacing w:line="420" w:lineRule="exact"/>
        <w:rPr>
          <w:rFonts w:ascii="宋体" w:hAnsi="宋体"/>
          <w:color w:val="000000"/>
          <w:szCs w:val="21"/>
        </w:rPr>
      </w:pPr>
      <w:r>
        <w:rPr>
          <w:rFonts w:hint="eastAsia" w:ascii="宋体" w:hAnsi="宋体"/>
          <w:color w:val="000000"/>
          <w:szCs w:val="21"/>
        </w:rPr>
        <w:t>附表A-1。</w:t>
      </w:r>
    </w:p>
    <w:p>
      <w:pPr>
        <w:spacing w:before="62" w:beforeLines="20" w:after="62" w:afterLines="20" w:line="420" w:lineRule="exact"/>
        <w:rPr>
          <w:rFonts w:ascii="宋体" w:hAnsi="宋体"/>
          <w:b/>
          <w:color w:val="000000"/>
          <w:szCs w:val="21"/>
        </w:rPr>
      </w:pPr>
      <w:r>
        <w:rPr>
          <w:rFonts w:hint="eastAsia" w:ascii="宋体" w:hAnsi="宋体"/>
          <w:b/>
          <w:color w:val="000000"/>
          <w:szCs w:val="21"/>
        </w:rPr>
        <w:t>A</w:t>
      </w:r>
      <w:r>
        <w:rPr>
          <w:rFonts w:ascii="宋体" w:hAnsi="宋体"/>
          <w:b/>
          <w:color w:val="000000"/>
          <w:szCs w:val="21"/>
        </w:rPr>
        <w:t>9</w:t>
      </w:r>
      <w:r>
        <w:rPr>
          <w:rFonts w:hint="eastAsia" w:ascii="宋体" w:hAnsi="宋体"/>
          <w:b/>
          <w:color w:val="000000"/>
          <w:szCs w:val="21"/>
        </w:rPr>
        <w:t>.2评标委员会的分工</w:t>
      </w:r>
    </w:p>
    <w:p>
      <w:pPr>
        <w:spacing w:line="420" w:lineRule="exact"/>
        <w:ind w:firstLine="420" w:firstLineChars="200"/>
        <w:rPr>
          <w:rFonts w:ascii="宋体" w:hAnsi="宋体"/>
          <w:color w:val="000000"/>
          <w:szCs w:val="21"/>
        </w:rPr>
      </w:pPr>
      <w:r>
        <w:rPr>
          <w:rFonts w:hint="eastAsia" w:ascii="宋体" w:hAnsi="宋体"/>
          <w:color w:val="000000"/>
          <w:szCs w:val="21"/>
        </w:rPr>
        <w:t>评标委员会首先推选一名评标委员会主任。评标委员会主任负责评标活动的组织领导工作。</w:t>
      </w:r>
    </w:p>
    <w:p>
      <w:pPr>
        <w:spacing w:before="62" w:beforeLines="20" w:after="62" w:afterLines="20" w:line="420" w:lineRule="exact"/>
        <w:rPr>
          <w:rFonts w:ascii="宋体" w:hAnsi="宋体"/>
          <w:b/>
          <w:color w:val="000000"/>
          <w:szCs w:val="21"/>
        </w:rPr>
      </w:pPr>
      <w:r>
        <w:rPr>
          <w:rFonts w:hint="eastAsia" w:ascii="宋体" w:hAnsi="宋体"/>
          <w:b/>
          <w:color w:val="000000"/>
          <w:szCs w:val="21"/>
        </w:rPr>
        <w:t>A</w:t>
      </w:r>
      <w:r>
        <w:rPr>
          <w:rFonts w:ascii="宋体" w:hAnsi="宋体"/>
          <w:b/>
          <w:color w:val="000000"/>
          <w:szCs w:val="21"/>
        </w:rPr>
        <w:t>9</w:t>
      </w:r>
      <w:r>
        <w:rPr>
          <w:rFonts w:hint="eastAsia" w:ascii="宋体" w:hAnsi="宋体"/>
          <w:b/>
          <w:color w:val="000000"/>
          <w:szCs w:val="21"/>
        </w:rPr>
        <w:t>.3熟悉文件资料</w:t>
      </w:r>
    </w:p>
    <w:p>
      <w:pPr>
        <w:spacing w:line="420" w:lineRule="exact"/>
        <w:ind w:firstLine="420" w:firstLineChars="200"/>
        <w:rPr>
          <w:rFonts w:ascii="宋体" w:hAnsi="宋体"/>
          <w:color w:val="000000"/>
          <w:szCs w:val="21"/>
        </w:rPr>
      </w:pPr>
      <w:r>
        <w:rPr>
          <w:rFonts w:hint="eastAsia" w:ascii="宋体" w:hAnsi="宋体"/>
          <w:color w:val="000000"/>
          <w:szCs w:val="21"/>
        </w:rPr>
        <w:t>评标委员会主任应组织评标委员会成员认真研究招标文件，了解和熟悉招标目的、招标范围、主要合同条件、质量标准和工期要求，掌握评标标准和方法，熟悉本章及附件中包括的评标表格的使用。未在招标文件中规定的标准和方法不得作为评标的依据。</w:t>
      </w:r>
    </w:p>
    <w:p>
      <w:pPr>
        <w:spacing w:before="62" w:beforeLines="20" w:after="62" w:afterLines="20" w:line="420" w:lineRule="exact"/>
        <w:rPr>
          <w:rFonts w:ascii="宋体" w:hAnsi="宋体"/>
          <w:b/>
          <w:color w:val="000000"/>
          <w:szCs w:val="21"/>
        </w:rPr>
      </w:pPr>
      <w:r>
        <w:rPr>
          <w:rFonts w:hint="eastAsia" w:ascii="宋体" w:hAnsi="宋体"/>
          <w:b/>
          <w:color w:val="000000"/>
          <w:szCs w:val="21"/>
        </w:rPr>
        <w:t>A</w:t>
      </w:r>
      <w:r>
        <w:rPr>
          <w:rFonts w:ascii="宋体" w:hAnsi="宋体"/>
          <w:b/>
          <w:color w:val="000000"/>
          <w:szCs w:val="21"/>
        </w:rPr>
        <w:t>9</w:t>
      </w:r>
      <w:r>
        <w:rPr>
          <w:rFonts w:hint="eastAsia" w:ascii="宋体" w:hAnsi="宋体"/>
          <w:b/>
          <w:color w:val="000000"/>
          <w:szCs w:val="21"/>
        </w:rPr>
        <w:t>.</w:t>
      </w:r>
      <w:r>
        <w:rPr>
          <w:rFonts w:ascii="宋体" w:hAnsi="宋体"/>
          <w:b/>
          <w:color w:val="000000"/>
          <w:szCs w:val="21"/>
        </w:rPr>
        <w:t>4</w:t>
      </w:r>
      <w:r>
        <w:rPr>
          <w:rFonts w:hint="eastAsia" w:ascii="宋体" w:hAnsi="宋体"/>
          <w:b/>
          <w:color w:val="000000"/>
          <w:szCs w:val="21"/>
        </w:rPr>
        <w:t>复核重大偏差</w:t>
      </w:r>
    </w:p>
    <w:p>
      <w:pPr>
        <w:adjustRightInd w:val="0"/>
        <w:snapToGrid w:val="0"/>
        <w:spacing w:line="420" w:lineRule="exact"/>
        <w:ind w:firstLine="420" w:firstLineChars="200"/>
        <w:rPr>
          <w:rFonts w:ascii="宋体" w:hAnsi="宋体"/>
          <w:color w:val="000000"/>
          <w:szCs w:val="21"/>
        </w:rPr>
      </w:pPr>
      <w:r>
        <w:rPr>
          <w:rFonts w:hint="eastAsia" w:ascii="黑体" w:hAnsi="宋体" w:eastAsia="黑体"/>
          <w:color w:val="000000"/>
          <w:szCs w:val="21"/>
        </w:rPr>
        <w:t>A</w:t>
      </w:r>
      <w:r>
        <w:rPr>
          <w:rFonts w:ascii="黑体" w:hAnsi="宋体" w:eastAsia="黑体"/>
          <w:color w:val="000000"/>
          <w:szCs w:val="21"/>
        </w:rPr>
        <w:t>9</w:t>
      </w:r>
      <w:r>
        <w:rPr>
          <w:rFonts w:hint="eastAsia" w:ascii="黑体" w:hAnsi="宋体" w:eastAsia="黑体"/>
          <w:color w:val="000000"/>
          <w:szCs w:val="21"/>
        </w:rPr>
        <w:t>.</w:t>
      </w:r>
      <w:r>
        <w:rPr>
          <w:rFonts w:ascii="黑体" w:hAnsi="宋体" w:eastAsia="黑体"/>
          <w:color w:val="000000"/>
          <w:szCs w:val="21"/>
        </w:rPr>
        <w:t>4</w:t>
      </w:r>
      <w:r>
        <w:rPr>
          <w:rFonts w:hint="eastAsia" w:ascii="黑体" w:hAnsi="宋体" w:eastAsia="黑体"/>
          <w:color w:val="000000"/>
          <w:szCs w:val="21"/>
        </w:rPr>
        <w:t>.1</w:t>
      </w:r>
      <w:r>
        <w:rPr>
          <w:rFonts w:hint="eastAsia" w:ascii="宋体" w:hAnsi="宋体"/>
          <w:color w:val="000000"/>
          <w:szCs w:val="21"/>
        </w:rPr>
        <w:t>评标委员会对“机器”评推荐的评标结果进行复核，并将意见按照附表A</w:t>
      </w:r>
      <w:r>
        <w:rPr>
          <w:rFonts w:ascii="宋体" w:hAnsi="宋体"/>
          <w:color w:val="000000"/>
          <w:szCs w:val="21"/>
        </w:rPr>
        <w:t>-12</w:t>
      </w:r>
      <w:r>
        <w:rPr>
          <w:rFonts w:hint="eastAsia" w:ascii="宋体" w:hAnsi="宋体"/>
          <w:color w:val="000000"/>
          <w:szCs w:val="21"/>
        </w:rPr>
        <w:t>格式记录。</w:t>
      </w:r>
    </w:p>
    <w:p>
      <w:pPr>
        <w:adjustRightInd w:val="0"/>
        <w:snapToGrid w:val="0"/>
        <w:spacing w:line="420" w:lineRule="exact"/>
        <w:ind w:firstLine="420" w:firstLineChars="200"/>
        <w:rPr>
          <w:rFonts w:ascii="宋体" w:hAnsi="宋体"/>
          <w:color w:val="000000"/>
          <w:szCs w:val="21"/>
        </w:rPr>
      </w:pPr>
      <w:r>
        <w:rPr>
          <w:rFonts w:hint="eastAsia" w:ascii="黑体" w:hAnsi="宋体" w:eastAsia="黑体"/>
          <w:color w:val="000000"/>
          <w:szCs w:val="21"/>
        </w:rPr>
        <w:t>A</w:t>
      </w:r>
      <w:r>
        <w:rPr>
          <w:rFonts w:ascii="黑体" w:hAnsi="宋体" w:eastAsia="黑体"/>
          <w:color w:val="000000"/>
          <w:szCs w:val="21"/>
        </w:rPr>
        <w:t>9</w:t>
      </w:r>
      <w:r>
        <w:rPr>
          <w:rFonts w:hint="eastAsia" w:ascii="黑体" w:hAnsi="宋体" w:eastAsia="黑体"/>
          <w:color w:val="000000"/>
          <w:szCs w:val="21"/>
        </w:rPr>
        <w:t>.</w:t>
      </w:r>
      <w:r>
        <w:rPr>
          <w:rFonts w:ascii="黑体" w:hAnsi="宋体" w:eastAsia="黑体"/>
          <w:color w:val="000000"/>
          <w:szCs w:val="21"/>
        </w:rPr>
        <w:t>4</w:t>
      </w:r>
      <w:r>
        <w:rPr>
          <w:rFonts w:hint="eastAsia" w:ascii="黑体" w:hAnsi="宋体" w:eastAsia="黑体"/>
          <w:color w:val="000000"/>
          <w:szCs w:val="21"/>
        </w:rPr>
        <w:t>.</w:t>
      </w:r>
      <w:r>
        <w:rPr>
          <w:rFonts w:ascii="黑体" w:hAnsi="宋体" w:eastAsia="黑体"/>
          <w:color w:val="000000"/>
          <w:szCs w:val="21"/>
        </w:rPr>
        <w:t>2</w:t>
      </w:r>
      <w:r>
        <w:rPr>
          <w:rFonts w:hint="eastAsia" w:ascii="宋体" w:hAnsi="宋体"/>
          <w:color w:val="000000"/>
          <w:szCs w:val="21"/>
        </w:rPr>
        <w:t>如发现“机器”推荐的中标候选人存在违法违规行为或重大偏差情形的，评标委员会应按照“机器”评标结果名单排序依次确定中标候选人并将否决投标原因按照附表A</w:t>
      </w:r>
      <w:r>
        <w:rPr>
          <w:rFonts w:ascii="宋体" w:hAnsi="宋体"/>
          <w:color w:val="000000"/>
          <w:szCs w:val="21"/>
        </w:rPr>
        <w:t>-13</w:t>
      </w:r>
      <w:r>
        <w:rPr>
          <w:rFonts w:hint="eastAsia" w:ascii="宋体" w:hAnsi="宋体"/>
          <w:color w:val="000000"/>
          <w:szCs w:val="21"/>
        </w:rPr>
        <w:t>格式记录在案。</w:t>
      </w:r>
    </w:p>
    <w:p>
      <w:pPr>
        <w:adjustRightInd w:val="0"/>
        <w:snapToGrid w:val="0"/>
        <w:spacing w:line="420" w:lineRule="exact"/>
        <w:ind w:firstLine="420" w:firstLineChars="200"/>
        <w:rPr>
          <w:rFonts w:ascii="宋体" w:hAnsi="宋体"/>
          <w:color w:val="000000"/>
          <w:szCs w:val="21"/>
        </w:rPr>
      </w:pPr>
      <w:r>
        <w:rPr>
          <w:rFonts w:hint="eastAsia" w:ascii="宋体" w:hAnsi="宋体"/>
          <w:color w:val="000000"/>
          <w:szCs w:val="21"/>
        </w:rPr>
        <w:t>评标委员会可以从交易平台发布问题澄清通知，要求投标单位在</w:t>
      </w:r>
      <w:r>
        <w:rPr>
          <w:rFonts w:hint="eastAsia" w:ascii="宋体" w:hAnsi="宋体"/>
          <w:color w:val="000000"/>
          <w:szCs w:val="21"/>
          <w:lang w:eastAsia="zh-CN"/>
        </w:rPr>
        <w:t>限定</w:t>
      </w:r>
      <w:r>
        <w:rPr>
          <w:rFonts w:hint="eastAsia" w:ascii="宋体" w:hAnsi="宋体"/>
          <w:color w:val="000000"/>
          <w:szCs w:val="21"/>
        </w:rPr>
        <w:t>时间内答复，不答复或超出时间不响应视为</w:t>
      </w:r>
      <w:r>
        <w:rPr>
          <w:rFonts w:hint="eastAsia"/>
          <w:color w:val="000000"/>
        </w:rPr>
        <w:t>按评标委员会理解内容进行评审。</w:t>
      </w:r>
    </w:p>
    <w:p>
      <w:pPr>
        <w:adjustRightInd w:val="0"/>
        <w:snapToGrid w:val="0"/>
        <w:spacing w:before="62" w:beforeLines="20" w:after="62" w:afterLines="20" w:line="441" w:lineRule="exact"/>
        <w:rPr>
          <w:rFonts w:ascii="宋体" w:hAnsi="宋体"/>
          <w:b/>
          <w:color w:val="000000"/>
          <w:szCs w:val="21"/>
        </w:rPr>
      </w:pPr>
      <w:r>
        <w:rPr>
          <w:rFonts w:hint="eastAsia" w:ascii="黑体" w:hAnsi="宋体" w:eastAsia="黑体"/>
          <w:b/>
          <w:color w:val="000000"/>
          <w:szCs w:val="21"/>
        </w:rPr>
        <w:t>A</w:t>
      </w:r>
      <w:r>
        <w:rPr>
          <w:rFonts w:ascii="黑体" w:hAnsi="宋体" w:eastAsia="黑体"/>
          <w:b/>
          <w:color w:val="000000"/>
          <w:szCs w:val="21"/>
        </w:rPr>
        <w:t>10</w:t>
      </w:r>
      <w:r>
        <w:rPr>
          <w:rFonts w:hint="eastAsia" w:ascii="黑体" w:hAnsi="宋体" w:eastAsia="黑体"/>
          <w:b/>
          <w:color w:val="000000"/>
          <w:szCs w:val="21"/>
        </w:rPr>
        <w:t>．</w:t>
      </w:r>
      <w:r>
        <w:rPr>
          <w:rFonts w:hint="eastAsia" w:ascii="宋体" w:hAnsi="宋体"/>
          <w:b/>
          <w:color w:val="000000"/>
          <w:szCs w:val="21"/>
        </w:rPr>
        <w:t>推送评标报告</w:t>
      </w:r>
    </w:p>
    <w:p>
      <w:pPr>
        <w:adjustRightInd w:val="0"/>
        <w:snapToGrid w:val="0"/>
        <w:spacing w:line="441" w:lineRule="exact"/>
        <w:ind w:firstLine="420" w:firstLineChars="200"/>
        <w:rPr>
          <w:rFonts w:ascii="宋体" w:hAnsi="宋体"/>
          <w:color w:val="000000"/>
          <w:szCs w:val="21"/>
        </w:rPr>
      </w:pPr>
      <w:r>
        <w:rPr>
          <w:rFonts w:hint="eastAsia" w:ascii="宋体" w:hAnsi="宋体"/>
          <w:color w:val="000000"/>
          <w:szCs w:val="21"/>
        </w:rPr>
        <w:t>交易平台根据本章第3.5.2项的规定向招标人推送评标报告。评标报告应当由交易平台自动生成，并经全体评标委员会成员签字，于评标结束时抄送有关行政监督部门。评标报告应当包括以下内容：</w:t>
      </w:r>
    </w:p>
    <w:p>
      <w:pPr>
        <w:adjustRightInd w:val="0"/>
        <w:snapToGrid w:val="0"/>
        <w:spacing w:before="93" w:beforeLines="30" w:line="441" w:lineRule="exact"/>
        <w:ind w:firstLine="420" w:firstLineChars="200"/>
        <w:rPr>
          <w:rFonts w:ascii="宋体" w:hAnsi="宋体"/>
          <w:color w:val="000000"/>
          <w:szCs w:val="21"/>
        </w:rPr>
      </w:pPr>
      <w:r>
        <w:rPr>
          <w:rFonts w:hint="eastAsia" w:ascii="宋体" w:hAnsi="宋体"/>
          <w:color w:val="000000"/>
          <w:szCs w:val="21"/>
        </w:rPr>
        <w:t>（</w:t>
      </w:r>
      <w:r>
        <w:rPr>
          <w:rFonts w:hint="eastAsia" w:ascii="黑体" w:hAnsi="宋体" w:eastAsia="黑体"/>
          <w:color w:val="000000"/>
          <w:szCs w:val="21"/>
        </w:rPr>
        <w:t>1</w:t>
      </w:r>
      <w:r>
        <w:rPr>
          <w:rFonts w:hint="eastAsia" w:ascii="宋体" w:hAnsi="宋体"/>
          <w:color w:val="000000"/>
          <w:szCs w:val="21"/>
        </w:rPr>
        <w:t>）基本情况和数据表；</w:t>
      </w:r>
    </w:p>
    <w:p>
      <w:pPr>
        <w:adjustRightInd w:val="0"/>
        <w:snapToGrid w:val="0"/>
        <w:spacing w:before="93" w:beforeLines="30" w:line="441" w:lineRule="exact"/>
        <w:ind w:firstLine="420" w:firstLineChars="200"/>
        <w:rPr>
          <w:rFonts w:ascii="宋体" w:hAnsi="宋体"/>
          <w:color w:val="000000"/>
          <w:szCs w:val="21"/>
        </w:rPr>
      </w:pPr>
      <w:r>
        <w:rPr>
          <w:rFonts w:hint="eastAsia" w:ascii="宋体" w:hAnsi="宋体"/>
          <w:color w:val="000000"/>
          <w:szCs w:val="21"/>
        </w:rPr>
        <w:t>（</w:t>
      </w:r>
      <w:r>
        <w:rPr>
          <w:rFonts w:hint="eastAsia" w:ascii="黑体" w:hAnsi="宋体" w:eastAsia="黑体"/>
          <w:color w:val="000000"/>
          <w:szCs w:val="21"/>
        </w:rPr>
        <w:t>2</w:t>
      </w:r>
      <w:r>
        <w:rPr>
          <w:rFonts w:hint="eastAsia" w:ascii="宋体" w:hAnsi="宋体"/>
          <w:color w:val="000000"/>
          <w:szCs w:val="21"/>
        </w:rPr>
        <w:t>）评标委员会成员名单；</w:t>
      </w:r>
    </w:p>
    <w:p>
      <w:pPr>
        <w:adjustRightInd w:val="0"/>
        <w:snapToGrid w:val="0"/>
        <w:spacing w:before="93" w:beforeLines="30" w:line="441" w:lineRule="exact"/>
        <w:ind w:firstLine="420" w:firstLineChars="200"/>
        <w:rPr>
          <w:rFonts w:ascii="宋体" w:hAnsi="宋体"/>
          <w:color w:val="000000"/>
          <w:szCs w:val="21"/>
        </w:rPr>
      </w:pPr>
      <w:r>
        <w:rPr>
          <w:rFonts w:hint="eastAsia" w:ascii="宋体" w:hAnsi="宋体"/>
          <w:color w:val="000000"/>
          <w:szCs w:val="21"/>
        </w:rPr>
        <w:t>（</w:t>
      </w:r>
      <w:r>
        <w:rPr>
          <w:rFonts w:hint="eastAsia" w:ascii="黑体" w:hAnsi="宋体" w:eastAsia="黑体"/>
          <w:color w:val="000000"/>
          <w:szCs w:val="21"/>
        </w:rPr>
        <w:t>3</w:t>
      </w:r>
      <w:r>
        <w:rPr>
          <w:rFonts w:hint="eastAsia" w:ascii="宋体" w:hAnsi="宋体"/>
          <w:color w:val="000000"/>
          <w:szCs w:val="21"/>
        </w:rPr>
        <w:t>）开标记录；</w:t>
      </w:r>
    </w:p>
    <w:p>
      <w:pPr>
        <w:adjustRightInd w:val="0"/>
        <w:snapToGrid w:val="0"/>
        <w:spacing w:before="93" w:beforeLines="30" w:line="441" w:lineRule="exact"/>
        <w:ind w:firstLine="420" w:firstLineChars="200"/>
        <w:rPr>
          <w:rFonts w:ascii="宋体" w:hAnsi="宋体"/>
          <w:color w:val="000000"/>
          <w:szCs w:val="21"/>
        </w:rPr>
      </w:pPr>
      <w:r>
        <w:rPr>
          <w:rFonts w:hint="eastAsia" w:ascii="宋体" w:hAnsi="宋体"/>
          <w:color w:val="000000"/>
          <w:szCs w:val="21"/>
        </w:rPr>
        <w:t>（</w:t>
      </w:r>
      <w:r>
        <w:rPr>
          <w:rFonts w:hint="eastAsia" w:ascii="黑体" w:hAnsi="宋体" w:eastAsia="黑体"/>
          <w:color w:val="000000"/>
          <w:szCs w:val="21"/>
        </w:rPr>
        <w:t>4</w:t>
      </w:r>
      <w:r>
        <w:rPr>
          <w:rFonts w:hint="eastAsia" w:ascii="宋体" w:hAnsi="宋体"/>
          <w:color w:val="000000"/>
          <w:szCs w:val="21"/>
        </w:rPr>
        <w:t>）符合要求的投标一览表；</w:t>
      </w:r>
    </w:p>
    <w:p>
      <w:pPr>
        <w:adjustRightInd w:val="0"/>
        <w:snapToGrid w:val="0"/>
        <w:spacing w:before="93" w:beforeLines="30" w:line="441" w:lineRule="exact"/>
        <w:ind w:firstLine="420" w:firstLineChars="200"/>
        <w:rPr>
          <w:rFonts w:ascii="宋体" w:hAnsi="宋体"/>
          <w:color w:val="000000"/>
          <w:szCs w:val="21"/>
        </w:rPr>
      </w:pPr>
      <w:r>
        <w:rPr>
          <w:rFonts w:hint="eastAsia" w:ascii="宋体" w:hAnsi="宋体"/>
          <w:color w:val="000000"/>
          <w:szCs w:val="21"/>
        </w:rPr>
        <w:t>（</w:t>
      </w:r>
      <w:r>
        <w:rPr>
          <w:rFonts w:hint="eastAsia" w:ascii="黑体" w:hAnsi="宋体" w:eastAsia="黑体"/>
          <w:color w:val="000000"/>
          <w:szCs w:val="21"/>
        </w:rPr>
        <w:t>5</w:t>
      </w:r>
      <w:r>
        <w:rPr>
          <w:rFonts w:hint="eastAsia" w:ascii="宋体" w:hAnsi="宋体"/>
          <w:color w:val="000000"/>
          <w:szCs w:val="21"/>
        </w:rPr>
        <w:t>）否决投标情况说明；</w:t>
      </w:r>
    </w:p>
    <w:p>
      <w:pPr>
        <w:adjustRightInd w:val="0"/>
        <w:snapToGrid w:val="0"/>
        <w:spacing w:before="93" w:beforeLines="30" w:line="441" w:lineRule="exact"/>
        <w:ind w:firstLine="420" w:firstLineChars="200"/>
        <w:rPr>
          <w:rFonts w:ascii="宋体" w:hAnsi="宋体"/>
          <w:color w:val="000000"/>
          <w:szCs w:val="21"/>
        </w:rPr>
      </w:pPr>
      <w:r>
        <w:rPr>
          <w:rFonts w:hint="eastAsia" w:ascii="宋体" w:hAnsi="宋体"/>
          <w:color w:val="000000"/>
          <w:szCs w:val="21"/>
        </w:rPr>
        <w:t>（</w:t>
      </w:r>
      <w:r>
        <w:rPr>
          <w:rFonts w:hint="eastAsia" w:ascii="黑体" w:hAnsi="宋体" w:eastAsia="黑体"/>
          <w:color w:val="000000"/>
          <w:szCs w:val="21"/>
        </w:rPr>
        <w:t>6</w:t>
      </w:r>
      <w:r>
        <w:rPr>
          <w:rFonts w:hint="eastAsia" w:ascii="宋体" w:hAnsi="宋体"/>
          <w:color w:val="000000"/>
          <w:szCs w:val="21"/>
        </w:rPr>
        <w:t>）评标标准、评标方法或者评标因素一览表；</w:t>
      </w:r>
    </w:p>
    <w:p>
      <w:pPr>
        <w:adjustRightInd w:val="0"/>
        <w:snapToGrid w:val="0"/>
        <w:spacing w:before="93" w:beforeLines="30" w:line="441" w:lineRule="exact"/>
        <w:ind w:firstLine="420" w:firstLineChars="200"/>
        <w:rPr>
          <w:rFonts w:ascii="宋体" w:hAnsi="宋体"/>
          <w:color w:val="000000"/>
          <w:szCs w:val="21"/>
        </w:rPr>
      </w:pPr>
      <w:r>
        <w:rPr>
          <w:rFonts w:hint="eastAsia" w:ascii="宋体" w:hAnsi="宋体"/>
          <w:color w:val="000000"/>
          <w:szCs w:val="21"/>
        </w:rPr>
        <w:t>（</w:t>
      </w:r>
      <w:r>
        <w:rPr>
          <w:rFonts w:hint="eastAsia" w:ascii="黑体" w:hAnsi="宋体" w:eastAsia="黑体"/>
          <w:color w:val="000000"/>
          <w:szCs w:val="21"/>
        </w:rPr>
        <w:t>7</w:t>
      </w:r>
      <w:r>
        <w:rPr>
          <w:rFonts w:hint="eastAsia" w:ascii="宋体" w:hAnsi="宋体"/>
          <w:color w:val="000000"/>
          <w:szCs w:val="21"/>
        </w:rPr>
        <w:t>）经评审的价格一览表</w:t>
      </w:r>
      <w:r>
        <w:rPr>
          <w:rFonts w:hint="eastAsia" w:ascii="宋体" w:hAnsi="宋体"/>
          <w:color w:val="000000"/>
          <w:szCs w:val="21"/>
          <w:lang w:eastAsia="zh-CN"/>
        </w:rPr>
        <w:t>（</w:t>
      </w:r>
      <w:r>
        <w:rPr>
          <w:rFonts w:hint="eastAsia" w:ascii="宋体" w:hAnsi="宋体"/>
          <w:color w:val="000000"/>
          <w:szCs w:val="21"/>
        </w:rPr>
        <w:t>包括评标委员会在评标过程中所形成的所有记载评标结果、结论的表格、说明、记录等文件</w:t>
      </w:r>
      <w:r>
        <w:rPr>
          <w:rFonts w:hint="eastAsia" w:ascii="宋体" w:hAnsi="宋体"/>
          <w:color w:val="000000"/>
          <w:szCs w:val="21"/>
          <w:lang w:eastAsia="zh-CN"/>
        </w:rPr>
        <w:t>）</w:t>
      </w:r>
      <w:r>
        <w:rPr>
          <w:rFonts w:hint="eastAsia" w:ascii="宋体" w:hAnsi="宋体"/>
          <w:color w:val="000000"/>
          <w:szCs w:val="21"/>
        </w:rPr>
        <w:t>；</w:t>
      </w:r>
    </w:p>
    <w:p>
      <w:pPr>
        <w:adjustRightInd w:val="0"/>
        <w:snapToGrid w:val="0"/>
        <w:spacing w:before="93" w:beforeLines="30" w:line="441" w:lineRule="exact"/>
        <w:ind w:firstLine="420" w:firstLineChars="200"/>
        <w:rPr>
          <w:rFonts w:ascii="宋体" w:hAnsi="宋体"/>
          <w:color w:val="000000"/>
          <w:szCs w:val="21"/>
        </w:rPr>
      </w:pPr>
      <w:r>
        <w:rPr>
          <w:rFonts w:hint="eastAsia" w:ascii="宋体" w:hAnsi="宋体"/>
          <w:color w:val="000000"/>
          <w:szCs w:val="21"/>
        </w:rPr>
        <w:t>（</w:t>
      </w:r>
      <w:r>
        <w:rPr>
          <w:rFonts w:hint="eastAsia" w:ascii="黑体" w:hAnsi="宋体" w:eastAsia="黑体"/>
          <w:color w:val="000000"/>
          <w:szCs w:val="21"/>
        </w:rPr>
        <w:t>8</w:t>
      </w:r>
      <w:r>
        <w:rPr>
          <w:rFonts w:hint="eastAsia" w:ascii="宋体" w:hAnsi="宋体"/>
          <w:color w:val="000000"/>
          <w:szCs w:val="21"/>
        </w:rPr>
        <w:t>）经评审的投标人排序；</w:t>
      </w:r>
    </w:p>
    <w:p>
      <w:pPr>
        <w:adjustRightInd w:val="0"/>
        <w:snapToGrid w:val="0"/>
        <w:spacing w:before="93" w:beforeLines="30" w:line="441" w:lineRule="exact"/>
        <w:ind w:firstLine="420" w:firstLineChars="200"/>
        <w:rPr>
          <w:rFonts w:ascii="宋体" w:hAnsi="宋体"/>
          <w:color w:val="000000"/>
          <w:szCs w:val="21"/>
        </w:rPr>
      </w:pPr>
      <w:r>
        <w:rPr>
          <w:rFonts w:hint="eastAsia" w:ascii="宋体" w:hAnsi="宋体"/>
          <w:color w:val="000000"/>
          <w:szCs w:val="21"/>
        </w:rPr>
        <w:t>（</w:t>
      </w:r>
      <w:r>
        <w:rPr>
          <w:rFonts w:hint="eastAsia" w:ascii="黑体" w:hAnsi="宋体" w:eastAsia="黑体"/>
          <w:color w:val="000000"/>
          <w:szCs w:val="21"/>
        </w:rPr>
        <w:t>9</w:t>
      </w:r>
      <w:r>
        <w:rPr>
          <w:rFonts w:hint="eastAsia" w:ascii="宋体" w:hAnsi="宋体"/>
          <w:color w:val="000000"/>
          <w:szCs w:val="21"/>
        </w:rPr>
        <w:t>）推荐的中标候选人名单</w:t>
      </w:r>
      <w:r>
        <w:rPr>
          <w:rFonts w:hint="eastAsia" w:ascii="宋体" w:hAnsi="宋体"/>
          <w:color w:val="000000"/>
          <w:szCs w:val="21"/>
          <w:lang w:eastAsia="zh-CN"/>
        </w:rPr>
        <w:t>（</w:t>
      </w:r>
      <w:r>
        <w:rPr>
          <w:rFonts w:hint="eastAsia" w:ascii="宋体" w:hAnsi="宋体"/>
          <w:color w:val="000000"/>
          <w:szCs w:val="21"/>
        </w:rPr>
        <w:t>如果第二章“投标人须知”前附表授权评标委员会直接确定中标人，则为“确定的中标人”</w:t>
      </w:r>
      <w:r>
        <w:rPr>
          <w:rFonts w:hint="eastAsia" w:ascii="宋体" w:hAnsi="宋体"/>
          <w:color w:val="000000"/>
          <w:szCs w:val="21"/>
          <w:lang w:eastAsia="zh-CN"/>
        </w:rPr>
        <w:t>）</w:t>
      </w:r>
      <w:r>
        <w:rPr>
          <w:rFonts w:hint="eastAsia" w:ascii="宋体" w:hAnsi="宋体"/>
          <w:color w:val="000000"/>
          <w:szCs w:val="21"/>
        </w:rPr>
        <w:t>与签订合同前要处理的事宜；</w:t>
      </w:r>
    </w:p>
    <w:p>
      <w:pPr>
        <w:adjustRightInd w:val="0"/>
        <w:snapToGrid w:val="0"/>
        <w:spacing w:before="93" w:beforeLines="30" w:line="441" w:lineRule="exact"/>
        <w:ind w:firstLine="420" w:firstLineChars="200"/>
        <w:rPr>
          <w:rFonts w:ascii="宋体" w:hAnsi="宋体"/>
          <w:color w:val="000000"/>
          <w:szCs w:val="21"/>
        </w:rPr>
      </w:pPr>
      <w:r>
        <w:rPr>
          <w:rFonts w:hint="eastAsia" w:ascii="宋体" w:hAnsi="宋体"/>
          <w:color w:val="000000"/>
          <w:szCs w:val="21"/>
        </w:rPr>
        <w:t>（</w:t>
      </w:r>
      <w:r>
        <w:rPr>
          <w:rFonts w:hint="eastAsia" w:ascii="黑体" w:hAnsi="宋体" w:eastAsia="黑体"/>
          <w:color w:val="000000"/>
          <w:szCs w:val="21"/>
        </w:rPr>
        <w:t>10</w:t>
      </w:r>
      <w:r>
        <w:rPr>
          <w:rFonts w:hint="eastAsia" w:ascii="宋体" w:hAnsi="宋体"/>
          <w:color w:val="000000"/>
          <w:szCs w:val="21"/>
        </w:rPr>
        <w:t>）澄清、说明、补正事项纪要</w:t>
      </w:r>
      <w:r>
        <w:rPr>
          <w:rFonts w:hint="eastAsia" w:ascii="宋体" w:hAnsi="宋体"/>
          <w:color w:val="000000"/>
          <w:szCs w:val="21"/>
          <w:lang w:eastAsia="zh-CN"/>
        </w:rPr>
        <w:t>；</w:t>
      </w:r>
    </w:p>
    <w:p>
      <w:pPr>
        <w:adjustRightInd w:val="0"/>
        <w:snapToGrid w:val="0"/>
        <w:spacing w:before="93" w:beforeLines="30" w:line="441" w:lineRule="exact"/>
        <w:ind w:firstLine="420" w:firstLineChars="200"/>
        <w:rPr>
          <w:rFonts w:hint="eastAsia" w:ascii="宋体" w:hAnsi="宋体" w:eastAsia="宋体"/>
          <w:color w:val="000000"/>
          <w:szCs w:val="21"/>
          <w:lang w:eastAsia="zh-CN"/>
        </w:rPr>
      </w:pPr>
      <w:r>
        <w:rPr>
          <w:rFonts w:hint="eastAsia" w:ascii="宋体" w:hAnsi="宋体"/>
          <w:color w:val="000000"/>
          <w:szCs w:val="21"/>
        </w:rPr>
        <w:t>（1</w:t>
      </w:r>
      <w:r>
        <w:rPr>
          <w:rFonts w:ascii="宋体" w:hAnsi="宋体"/>
          <w:color w:val="000000"/>
          <w:szCs w:val="21"/>
        </w:rPr>
        <w:t>1</w:t>
      </w:r>
      <w:r>
        <w:rPr>
          <w:rFonts w:hint="eastAsia" w:ascii="宋体" w:hAnsi="宋体"/>
          <w:color w:val="000000"/>
          <w:szCs w:val="21"/>
        </w:rPr>
        <w:t>）评标委员会复核意见表</w:t>
      </w:r>
      <w:r>
        <w:rPr>
          <w:rFonts w:hint="eastAsia" w:ascii="宋体" w:hAnsi="宋体"/>
          <w:color w:val="000000"/>
          <w:szCs w:val="21"/>
          <w:lang w:eastAsia="zh-CN"/>
        </w:rPr>
        <w:t>；</w:t>
      </w:r>
    </w:p>
    <w:p>
      <w:pPr>
        <w:adjustRightInd w:val="0"/>
        <w:snapToGrid w:val="0"/>
        <w:spacing w:before="93" w:beforeLines="30" w:line="441" w:lineRule="exact"/>
        <w:ind w:firstLine="525" w:firstLineChars="250"/>
        <w:rPr>
          <w:rFonts w:ascii="宋体" w:hAnsi="宋体"/>
          <w:color w:val="000000"/>
          <w:szCs w:val="21"/>
        </w:rPr>
      </w:pPr>
      <w:r>
        <w:rPr>
          <w:rFonts w:hint="eastAsia" w:ascii="宋体" w:hAnsi="宋体"/>
          <w:color w:val="000000"/>
          <w:szCs w:val="21"/>
        </w:rPr>
        <w:t>(</w:t>
      </w:r>
      <w:r>
        <w:rPr>
          <w:rFonts w:ascii="宋体" w:hAnsi="宋体"/>
          <w:color w:val="000000"/>
          <w:szCs w:val="21"/>
        </w:rPr>
        <w:t>12)</w:t>
      </w:r>
      <w:r>
        <w:rPr>
          <w:rFonts w:hint="eastAsia" w:ascii="宋体" w:hAnsi="宋体"/>
          <w:color w:val="000000"/>
          <w:szCs w:val="21"/>
        </w:rPr>
        <w:t>评标委员会复核否决投标情况说明。</w:t>
      </w:r>
    </w:p>
    <w:p>
      <w:pPr>
        <w:widowControl/>
        <w:spacing w:line="360" w:lineRule="auto"/>
        <w:ind w:firstLine="640"/>
        <w:rPr>
          <w:rFonts w:ascii="宋体" w:hAnsi="宋体"/>
          <w:color w:val="000000"/>
          <w:szCs w:val="21"/>
        </w:rPr>
      </w:pPr>
      <w:r>
        <w:rPr>
          <w:rFonts w:hint="eastAsia" w:ascii="宋体" w:hAnsi="宋体"/>
          <w:color w:val="000000"/>
          <w:szCs w:val="21"/>
        </w:rPr>
        <w:t>评标报告由评标委员会全体成员签字。对评标结论有异议的，评标委员会成员可以书面方式阐述其不同意见和理由。评标委员会成员拒绝在评标报告上签字且不书面阐述其不同意见和理由的，视为同意评标结论。评标委员会应当对此作出书面说明并记录在案。</w:t>
      </w:r>
    </w:p>
    <w:p>
      <w:pPr>
        <w:adjustRightInd w:val="0"/>
        <w:snapToGrid w:val="0"/>
        <w:spacing w:before="62" w:beforeLines="20" w:after="62" w:afterLines="20" w:line="441" w:lineRule="exact"/>
        <w:rPr>
          <w:rFonts w:ascii="宋体" w:hAnsi="宋体"/>
          <w:b/>
          <w:color w:val="000000"/>
          <w:szCs w:val="21"/>
        </w:rPr>
      </w:pPr>
      <w:r>
        <w:rPr>
          <w:rFonts w:hint="eastAsia" w:ascii="黑体" w:hAnsi="宋体" w:eastAsia="黑体"/>
          <w:b/>
          <w:color w:val="000000"/>
          <w:szCs w:val="21"/>
        </w:rPr>
        <w:t>A</w:t>
      </w:r>
      <w:r>
        <w:rPr>
          <w:rFonts w:ascii="黑体" w:hAnsi="宋体" w:eastAsia="黑体"/>
          <w:b/>
          <w:color w:val="000000"/>
          <w:szCs w:val="21"/>
        </w:rPr>
        <w:t>10</w:t>
      </w:r>
      <w:r>
        <w:rPr>
          <w:rFonts w:hint="eastAsia" w:ascii="黑体" w:hAnsi="宋体" w:eastAsia="黑体"/>
          <w:b/>
          <w:color w:val="000000"/>
          <w:szCs w:val="21"/>
        </w:rPr>
        <w:t>．</w:t>
      </w:r>
      <w:r>
        <w:rPr>
          <w:rFonts w:hint="eastAsia" w:ascii="宋体" w:hAnsi="宋体"/>
          <w:b/>
          <w:color w:val="000000"/>
          <w:szCs w:val="21"/>
        </w:rPr>
        <w:t>特殊情况的处置程序</w:t>
      </w:r>
    </w:p>
    <w:p>
      <w:pPr>
        <w:adjustRightInd w:val="0"/>
        <w:snapToGrid w:val="0"/>
        <w:spacing w:before="62" w:beforeLines="20" w:after="62" w:afterLines="20" w:line="440" w:lineRule="exact"/>
        <w:rPr>
          <w:rFonts w:ascii="宋体" w:hAnsi="宋体"/>
          <w:b/>
          <w:color w:val="000000"/>
          <w:szCs w:val="21"/>
        </w:rPr>
      </w:pPr>
      <w:r>
        <w:rPr>
          <w:rFonts w:hint="eastAsia" w:ascii="黑体" w:hAnsi="宋体" w:eastAsia="黑体"/>
          <w:b/>
          <w:color w:val="000000"/>
          <w:szCs w:val="21"/>
        </w:rPr>
        <w:t>A</w:t>
      </w:r>
      <w:r>
        <w:rPr>
          <w:rFonts w:ascii="黑体" w:hAnsi="宋体" w:eastAsia="黑体"/>
          <w:b/>
          <w:color w:val="000000"/>
          <w:szCs w:val="21"/>
        </w:rPr>
        <w:t>11</w:t>
      </w:r>
      <w:r>
        <w:rPr>
          <w:rFonts w:hint="eastAsia" w:ascii="黑体" w:hAnsi="宋体" w:eastAsia="黑体"/>
          <w:b/>
          <w:color w:val="000000"/>
          <w:szCs w:val="21"/>
        </w:rPr>
        <w:t>.</w:t>
      </w:r>
      <w:r>
        <w:rPr>
          <w:rFonts w:ascii="黑体" w:hAnsi="宋体" w:eastAsia="黑体"/>
          <w:b/>
          <w:color w:val="000000"/>
          <w:szCs w:val="21"/>
        </w:rPr>
        <w:t>1</w:t>
      </w:r>
      <w:r>
        <w:rPr>
          <w:rFonts w:hint="eastAsia" w:ascii="宋体" w:hAnsi="宋体"/>
          <w:b/>
          <w:color w:val="000000"/>
          <w:szCs w:val="21"/>
        </w:rPr>
        <w:t>关于评标活动暂停</w:t>
      </w:r>
    </w:p>
    <w:p>
      <w:pPr>
        <w:adjustRightInd w:val="0"/>
        <w:snapToGrid w:val="0"/>
        <w:spacing w:line="440" w:lineRule="exact"/>
        <w:ind w:firstLine="420" w:firstLineChars="200"/>
        <w:rPr>
          <w:rFonts w:ascii="宋体" w:hAnsi="宋体"/>
          <w:color w:val="000000"/>
          <w:szCs w:val="21"/>
        </w:rPr>
      </w:pPr>
      <w:r>
        <w:rPr>
          <w:rFonts w:hint="eastAsia" w:ascii="黑体" w:hAnsi="宋体" w:eastAsia="黑体"/>
          <w:color w:val="000000"/>
          <w:szCs w:val="21"/>
        </w:rPr>
        <w:t>A7.</w:t>
      </w:r>
      <w:r>
        <w:rPr>
          <w:rFonts w:ascii="黑体" w:hAnsi="宋体" w:eastAsia="黑体"/>
          <w:color w:val="000000"/>
          <w:szCs w:val="21"/>
        </w:rPr>
        <w:t>1</w:t>
      </w:r>
      <w:r>
        <w:rPr>
          <w:rFonts w:hint="eastAsia" w:ascii="黑体" w:hAnsi="宋体" w:eastAsia="黑体"/>
          <w:color w:val="000000"/>
          <w:szCs w:val="21"/>
        </w:rPr>
        <w:t>.1</w:t>
      </w:r>
      <w:r>
        <w:rPr>
          <w:rFonts w:hint="eastAsia" w:ascii="宋体" w:hAnsi="宋体"/>
          <w:color w:val="000000"/>
          <w:szCs w:val="21"/>
        </w:rPr>
        <w:t>只有发生不可抗力导致评标工作无法继续时，评标活动方可暂停。</w:t>
      </w:r>
    </w:p>
    <w:p>
      <w:pPr>
        <w:adjustRightInd w:val="0"/>
        <w:snapToGrid w:val="0"/>
        <w:spacing w:before="62" w:beforeLines="20" w:line="440" w:lineRule="exact"/>
        <w:ind w:firstLine="420" w:firstLineChars="200"/>
        <w:rPr>
          <w:rFonts w:ascii="宋体" w:hAnsi="宋体"/>
          <w:color w:val="000000"/>
          <w:szCs w:val="21"/>
        </w:rPr>
      </w:pPr>
      <w:r>
        <w:rPr>
          <w:rFonts w:hint="eastAsia" w:ascii="黑体" w:hAnsi="宋体" w:eastAsia="黑体"/>
          <w:color w:val="000000"/>
          <w:szCs w:val="21"/>
        </w:rPr>
        <w:t>A7.</w:t>
      </w:r>
      <w:r>
        <w:rPr>
          <w:rFonts w:ascii="黑体" w:hAnsi="宋体" w:eastAsia="黑体"/>
          <w:color w:val="000000"/>
          <w:szCs w:val="21"/>
        </w:rPr>
        <w:t>1</w:t>
      </w:r>
      <w:r>
        <w:rPr>
          <w:rFonts w:hint="eastAsia" w:ascii="黑体" w:hAnsi="宋体" w:eastAsia="黑体"/>
          <w:color w:val="000000"/>
          <w:szCs w:val="21"/>
        </w:rPr>
        <w:t>.2</w:t>
      </w:r>
      <w:r>
        <w:rPr>
          <w:rFonts w:hint="eastAsia" w:ascii="宋体" w:hAnsi="宋体"/>
          <w:color w:val="000000"/>
          <w:szCs w:val="21"/>
        </w:rPr>
        <w:t>发生评标暂停情况时，交易平台或评标委员会应当封存全部投标文件和评标记录，待不可抗力的影响结束且具备继续评标的条件时，由交易平台或原评标委员会继续评标。</w:t>
      </w:r>
    </w:p>
    <w:p>
      <w:pPr>
        <w:adjustRightInd w:val="0"/>
        <w:snapToGrid w:val="0"/>
        <w:spacing w:line="440" w:lineRule="exact"/>
        <w:rPr>
          <w:rFonts w:ascii="宋体" w:hAnsi="宋体"/>
          <w:b/>
          <w:color w:val="000000"/>
          <w:szCs w:val="21"/>
        </w:rPr>
      </w:pPr>
      <w:r>
        <w:rPr>
          <w:rFonts w:hint="eastAsia" w:ascii="黑体" w:hAnsi="宋体" w:eastAsia="黑体"/>
          <w:b/>
          <w:color w:val="000000"/>
          <w:szCs w:val="21"/>
        </w:rPr>
        <w:t>A</w:t>
      </w:r>
      <w:r>
        <w:rPr>
          <w:rFonts w:ascii="黑体" w:hAnsi="宋体" w:eastAsia="黑体"/>
          <w:b/>
          <w:color w:val="000000"/>
          <w:szCs w:val="21"/>
        </w:rPr>
        <w:t>11</w:t>
      </w:r>
      <w:r>
        <w:rPr>
          <w:rFonts w:hint="eastAsia" w:ascii="黑体" w:hAnsi="宋体" w:eastAsia="黑体"/>
          <w:b/>
          <w:color w:val="000000"/>
          <w:szCs w:val="21"/>
        </w:rPr>
        <w:t>.</w:t>
      </w:r>
      <w:r>
        <w:rPr>
          <w:rFonts w:ascii="黑体" w:hAnsi="宋体" w:eastAsia="黑体"/>
          <w:b/>
          <w:color w:val="000000"/>
          <w:szCs w:val="21"/>
        </w:rPr>
        <w:t>2</w:t>
      </w:r>
      <w:r>
        <w:rPr>
          <w:rFonts w:hint="eastAsia" w:ascii="宋体" w:hAnsi="宋体"/>
          <w:b/>
          <w:color w:val="000000"/>
          <w:szCs w:val="21"/>
        </w:rPr>
        <w:t>关于评标中途更换评委</w:t>
      </w:r>
    </w:p>
    <w:p>
      <w:pPr>
        <w:adjustRightInd w:val="0"/>
        <w:snapToGrid w:val="0"/>
        <w:spacing w:line="440" w:lineRule="exact"/>
        <w:ind w:firstLine="420" w:firstLineChars="200"/>
        <w:rPr>
          <w:rFonts w:ascii="宋体" w:hAnsi="宋体"/>
          <w:color w:val="000000"/>
          <w:szCs w:val="21"/>
        </w:rPr>
      </w:pPr>
      <w:r>
        <w:rPr>
          <w:rFonts w:hint="eastAsia" w:ascii="黑体" w:hAnsi="宋体" w:eastAsia="黑体"/>
          <w:color w:val="000000"/>
          <w:szCs w:val="21"/>
        </w:rPr>
        <w:t>A7.</w:t>
      </w:r>
      <w:r>
        <w:rPr>
          <w:rFonts w:ascii="黑体" w:hAnsi="宋体" w:eastAsia="黑体"/>
          <w:color w:val="000000"/>
          <w:szCs w:val="21"/>
        </w:rPr>
        <w:t>2</w:t>
      </w:r>
      <w:r>
        <w:rPr>
          <w:rFonts w:hint="eastAsia" w:ascii="黑体" w:hAnsi="宋体" w:eastAsia="黑体"/>
          <w:color w:val="000000"/>
          <w:szCs w:val="21"/>
        </w:rPr>
        <w:t>.1</w:t>
      </w:r>
      <w:r>
        <w:rPr>
          <w:rFonts w:hint="eastAsia" w:ascii="宋体" w:hAnsi="宋体"/>
          <w:color w:val="000000"/>
          <w:szCs w:val="21"/>
        </w:rPr>
        <w:t>除非发生下列情况之一，评标委员会成员不得在评标中途更换：</w:t>
      </w:r>
    </w:p>
    <w:p>
      <w:pPr>
        <w:adjustRightInd w:val="0"/>
        <w:snapToGrid w:val="0"/>
        <w:spacing w:line="440" w:lineRule="exact"/>
        <w:ind w:firstLine="420" w:firstLineChars="200"/>
        <w:rPr>
          <w:rFonts w:ascii="宋体" w:hAnsi="宋体"/>
          <w:color w:val="000000"/>
          <w:szCs w:val="21"/>
        </w:rPr>
      </w:pPr>
      <w:r>
        <w:rPr>
          <w:rFonts w:hint="eastAsia" w:ascii="宋体" w:hAnsi="宋体"/>
          <w:color w:val="000000"/>
          <w:szCs w:val="21"/>
        </w:rPr>
        <w:t>(1)因不可抗拒的客观原因，不能到场或需在评标中途退出评标活动。</w:t>
      </w:r>
    </w:p>
    <w:p>
      <w:pPr>
        <w:adjustRightInd w:val="0"/>
        <w:snapToGrid w:val="0"/>
        <w:spacing w:line="440" w:lineRule="exact"/>
        <w:ind w:firstLine="420" w:firstLineChars="200"/>
        <w:rPr>
          <w:rFonts w:ascii="宋体" w:hAnsi="宋体"/>
          <w:color w:val="000000"/>
          <w:szCs w:val="21"/>
        </w:rPr>
      </w:pPr>
      <w:r>
        <w:rPr>
          <w:rFonts w:hint="eastAsia" w:ascii="宋体" w:hAnsi="宋体"/>
          <w:color w:val="000000"/>
          <w:szCs w:val="21"/>
        </w:rPr>
        <w:t>(2)根据法律法规规定，某个或某几个评标委员会成员需要回避。</w:t>
      </w:r>
    </w:p>
    <w:p>
      <w:pPr>
        <w:adjustRightInd w:val="0"/>
        <w:snapToGrid w:val="0"/>
        <w:spacing w:line="440" w:lineRule="exact"/>
        <w:ind w:firstLine="420" w:firstLineChars="200"/>
        <w:rPr>
          <w:rFonts w:ascii="宋体" w:hAnsi="宋体"/>
          <w:color w:val="000000"/>
          <w:szCs w:val="21"/>
        </w:rPr>
      </w:pPr>
      <w:r>
        <w:rPr>
          <w:rFonts w:hint="eastAsia" w:ascii="黑体" w:hAnsi="宋体" w:eastAsia="黑体"/>
          <w:color w:val="000000"/>
          <w:szCs w:val="21"/>
        </w:rPr>
        <w:t>A7.</w:t>
      </w:r>
      <w:r>
        <w:rPr>
          <w:rFonts w:ascii="黑体" w:hAnsi="宋体" w:eastAsia="黑体"/>
          <w:color w:val="000000"/>
          <w:szCs w:val="21"/>
        </w:rPr>
        <w:t>2</w:t>
      </w:r>
      <w:r>
        <w:rPr>
          <w:rFonts w:hint="eastAsia" w:ascii="黑体" w:hAnsi="宋体" w:eastAsia="黑体"/>
          <w:color w:val="000000"/>
          <w:szCs w:val="21"/>
        </w:rPr>
        <w:t>.2</w:t>
      </w:r>
      <w:r>
        <w:rPr>
          <w:rFonts w:hint="eastAsia" w:ascii="宋体" w:hAnsi="宋体"/>
          <w:color w:val="000000"/>
          <w:szCs w:val="21"/>
        </w:rPr>
        <w:t>退出评标的评标委员会成员，其已完成的评标行为无效。由招标人根据本招标文件规定的评标委员会成员生产方式另行确定替代者进行评标。</w:t>
      </w:r>
    </w:p>
    <w:p>
      <w:pPr>
        <w:adjustRightInd w:val="0"/>
        <w:snapToGrid w:val="0"/>
        <w:spacing w:before="62" w:beforeLines="20" w:after="62" w:afterLines="20" w:line="440" w:lineRule="exact"/>
        <w:rPr>
          <w:rFonts w:ascii="宋体" w:hAnsi="宋体"/>
          <w:b/>
          <w:color w:val="000000"/>
          <w:szCs w:val="21"/>
        </w:rPr>
      </w:pPr>
      <w:r>
        <w:rPr>
          <w:rFonts w:hint="eastAsia" w:ascii="黑体" w:hAnsi="宋体" w:eastAsia="黑体"/>
          <w:b/>
          <w:color w:val="000000"/>
          <w:szCs w:val="21"/>
        </w:rPr>
        <w:t>A</w:t>
      </w:r>
      <w:r>
        <w:rPr>
          <w:rFonts w:ascii="黑体" w:hAnsi="宋体" w:eastAsia="黑体"/>
          <w:b/>
          <w:color w:val="000000"/>
          <w:szCs w:val="21"/>
        </w:rPr>
        <w:t>11</w:t>
      </w:r>
      <w:r>
        <w:rPr>
          <w:rFonts w:hint="eastAsia" w:ascii="黑体" w:hAnsi="宋体" w:eastAsia="黑体"/>
          <w:b/>
          <w:color w:val="000000"/>
          <w:szCs w:val="21"/>
        </w:rPr>
        <w:t>.</w:t>
      </w:r>
      <w:r>
        <w:rPr>
          <w:rFonts w:ascii="宋体" w:hAnsi="宋体"/>
          <w:b/>
          <w:color w:val="000000"/>
          <w:szCs w:val="21"/>
        </w:rPr>
        <w:t>3</w:t>
      </w:r>
      <w:r>
        <w:rPr>
          <w:rFonts w:hint="eastAsia" w:ascii="宋体" w:hAnsi="宋体"/>
          <w:b/>
          <w:color w:val="000000"/>
          <w:szCs w:val="21"/>
        </w:rPr>
        <w:t>记名投票</w:t>
      </w:r>
    </w:p>
    <w:p>
      <w:pPr>
        <w:adjustRightInd w:val="0"/>
        <w:snapToGrid w:val="0"/>
        <w:spacing w:line="440" w:lineRule="exact"/>
        <w:ind w:firstLine="420" w:firstLineChars="200"/>
        <w:rPr>
          <w:rFonts w:ascii="宋体" w:hAnsi="宋体"/>
          <w:color w:val="000000"/>
          <w:szCs w:val="21"/>
        </w:rPr>
      </w:pPr>
      <w:r>
        <w:rPr>
          <w:rFonts w:hint="eastAsia" w:ascii="宋体" w:hAnsi="宋体"/>
          <w:color w:val="000000"/>
          <w:szCs w:val="21"/>
        </w:rPr>
        <w:t>在任何评标环节中，需评标委员会就某项定性的评审结论做出表决的，由评标委员会全体成员按照少数服从多数的原则，以记名投票方式表决。</w:t>
      </w:r>
    </w:p>
    <w:p>
      <w:pPr>
        <w:adjustRightInd w:val="0"/>
        <w:snapToGrid w:val="0"/>
        <w:spacing w:line="440" w:lineRule="exact"/>
        <w:ind w:firstLine="420" w:firstLineChars="200"/>
        <w:rPr>
          <w:rFonts w:ascii="宋体" w:hAnsi="宋体"/>
          <w:color w:val="000000"/>
          <w:szCs w:val="21"/>
        </w:rPr>
      </w:pPr>
    </w:p>
    <w:p>
      <w:pPr>
        <w:adjustRightInd w:val="0"/>
        <w:snapToGrid w:val="0"/>
        <w:spacing w:line="440" w:lineRule="exact"/>
        <w:ind w:firstLine="420" w:firstLineChars="200"/>
        <w:rPr>
          <w:rFonts w:ascii="宋体" w:hAnsi="宋体"/>
          <w:color w:val="000000"/>
          <w:szCs w:val="21"/>
        </w:rPr>
      </w:pPr>
    </w:p>
    <w:p>
      <w:pPr>
        <w:adjustRightInd w:val="0"/>
        <w:snapToGrid w:val="0"/>
        <w:spacing w:line="440" w:lineRule="exact"/>
        <w:ind w:firstLine="420" w:firstLineChars="200"/>
        <w:rPr>
          <w:rFonts w:ascii="宋体" w:hAnsi="宋体"/>
          <w:color w:val="000000"/>
          <w:szCs w:val="21"/>
        </w:rPr>
      </w:pPr>
    </w:p>
    <w:p>
      <w:pPr>
        <w:adjustRightInd w:val="0"/>
        <w:snapToGrid w:val="0"/>
        <w:spacing w:line="440" w:lineRule="exact"/>
        <w:ind w:firstLine="420" w:firstLineChars="200"/>
        <w:rPr>
          <w:rFonts w:ascii="宋体" w:hAnsi="宋体"/>
          <w:color w:val="000000"/>
          <w:szCs w:val="21"/>
        </w:rPr>
      </w:pPr>
    </w:p>
    <w:p>
      <w:pPr>
        <w:adjustRightInd w:val="0"/>
        <w:snapToGrid w:val="0"/>
        <w:spacing w:line="440" w:lineRule="exact"/>
        <w:ind w:firstLine="420" w:firstLineChars="200"/>
        <w:rPr>
          <w:rFonts w:ascii="宋体" w:hAnsi="宋体"/>
          <w:color w:val="000000"/>
          <w:szCs w:val="21"/>
        </w:rPr>
      </w:pPr>
    </w:p>
    <w:p>
      <w:pPr>
        <w:ind w:firstLine="420" w:firstLineChars="200"/>
        <w:rPr>
          <w:rFonts w:ascii="宋体" w:hAnsi="宋体"/>
          <w:color w:val="000000"/>
          <w:szCs w:val="21"/>
        </w:rPr>
      </w:pPr>
    </w:p>
    <w:p>
      <w:pPr>
        <w:rPr>
          <w:rFonts w:ascii="宋体" w:hAnsi="宋体"/>
          <w:color w:val="000000"/>
          <w:szCs w:val="21"/>
        </w:rPr>
      </w:pPr>
    </w:p>
    <w:p>
      <w:pPr>
        <w:widowControl/>
        <w:jc w:val="left"/>
        <w:rPr>
          <w:rFonts w:ascii="黑体" w:hAnsi="宋体" w:eastAsia="黑体"/>
          <w:color w:val="000000"/>
          <w:sz w:val="24"/>
        </w:rPr>
      </w:pPr>
      <w:r>
        <w:rPr>
          <w:rFonts w:ascii="黑体" w:hAnsi="宋体" w:eastAsia="黑体"/>
          <w:color w:val="000000"/>
          <w:sz w:val="24"/>
        </w:rPr>
        <w:br w:type="page"/>
      </w:r>
    </w:p>
    <w:p>
      <w:pPr>
        <w:spacing w:before="312" w:beforeLines="100" w:after="249" w:afterLines="80" w:line="380" w:lineRule="exact"/>
        <w:outlineLvl w:val="2"/>
        <w:rPr>
          <w:rFonts w:ascii="黑体" w:hAnsi="宋体" w:eastAsia="黑体"/>
          <w:color w:val="000000"/>
          <w:sz w:val="24"/>
        </w:rPr>
      </w:pPr>
      <w:bookmarkStart w:id="297" w:name="_Toc114222771"/>
      <w:r>
        <w:rPr>
          <w:rFonts w:hint="eastAsia" w:ascii="黑体" w:hAnsi="宋体" w:eastAsia="黑体"/>
          <w:color w:val="000000"/>
          <w:sz w:val="24"/>
        </w:rPr>
        <w:t>附件B：否决投标的条件</w:t>
      </w:r>
      <w:bookmarkEnd w:id="297"/>
    </w:p>
    <w:p>
      <w:pPr>
        <w:adjustRightInd w:val="0"/>
        <w:snapToGrid w:val="0"/>
        <w:spacing w:before="312" w:beforeLines="100" w:after="312" w:afterLines="100" w:line="440" w:lineRule="exact"/>
        <w:ind w:firstLine="560" w:firstLineChars="200"/>
        <w:jc w:val="center"/>
        <w:rPr>
          <w:rFonts w:ascii="黑体" w:hAnsi="宋体" w:eastAsia="黑体"/>
          <w:color w:val="000000"/>
          <w:sz w:val="28"/>
          <w:szCs w:val="28"/>
        </w:rPr>
      </w:pPr>
      <w:r>
        <w:rPr>
          <w:rFonts w:hint="eastAsia" w:ascii="黑体" w:hAnsi="宋体" w:eastAsia="黑体"/>
          <w:color w:val="000000"/>
          <w:sz w:val="28"/>
          <w:szCs w:val="28"/>
        </w:rPr>
        <w:t>否决投标的条件</w:t>
      </w:r>
    </w:p>
    <w:p>
      <w:pPr>
        <w:adjustRightInd w:val="0"/>
        <w:snapToGrid w:val="0"/>
        <w:spacing w:line="440" w:lineRule="exact"/>
        <w:rPr>
          <w:rFonts w:ascii="宋体" w:hAnsi="宋体"/>
          <w:b/>
          <w:color w:val="000000"/>
          <w:szCs w:val="21"/>
        </w:rPr>
      </w:pPr>
      <w:r>
        <w:rPr>
          <w:b/>
          <w:color w:val="000000"/>
          <w:szCs w:val="21"/>
        </w:rPr>
        <w:t>B0</w:t>
      </w:r>
      <w:r>
        <w:rPr>
          <w:rFonts w:hint="eastAsia" w:ascii="宋体" w:hAnsi="宋体"/>
          <w:b/>
          <w:color w:val="000000"/>
          <w:szCs w:val="21"/>
        </w:rPr>
        <w:t>.总则</w:t>
      </w:r>
    </w:p>
    <w:p>
      <w:pPr>
        <w:adjustRightInd w:val="0"/>
        <w:snapToGrid w:val="0"/>
        <w:spacing w:line="440" w:lineRule="exact"/>
        <w:ind w:firstLine="420" w:firstLineChars="200"/>
        <w:rPr>
          <w:rFonts w:ascii="宋体" w:hAnsi="宋体"/>
          <w:color w:val="000000"/>
          <w:szCs w:val="21"/>
        </w:rPr>
      </w:pPr>
      <w:r>
        <w:rPr>
          <w:rFonts w:hint="eastAsia" w:ascii="宋体" w:hAnsi="宋体"/>
          <w:color w:val="000000"/>
          <w:szCs w:val="21"/>
        </w:rPr>
        <w:t>本附件所集中列示的否决投标条件，是本章“评标办法”的组成部分，是对第二章“投标人须知”和本章正文部分所规定的否决投标条件的总结和补充，如果出现相互矛盾的情况，以第二章“投标人须知”和本章正文部分的规定为准。</w:t>
      </w:r>
    </w:p>
    <w:p>
      <w:pPr>
        <w:adjustRightInd w:val="0"/>
        <w:snapToGrid w:val="0"/>
        <w:spacing w:line="440" w:lineRule="exact"/>
        <w:rPr>
          <w:b/>
          <w:color w:val="000000"/>
          <w:szCs w:val="21"/>
        </w:rPr>
      </w:pPr>
      <w:r>
        <w:rPr>
          <w:b/>
          <w:color w:val="000000"/>
          <w:szCs w:val="21"/>
        </w:rPr>
        <w:t>B</w:t>
      </w:r>
      <w:r>
        <w:rPr>
          <w:rFonts w:hint="eastAsia"/>
          <w:b/>
          <w:color w:val="000000"/>
          <w:szCs w:val="21"/>
        </w:rPr>
        <w:t>1</w:t>
      </w:r>
      <w:r>
        <w:rPr>
          <w:rFonts w:hAnsi="宋体"/>
          <w:b/>
          <w:color w:val="000000"/>
          <w:szCs w:val="21"/>
        </w:rPr>
        <w:t>．</w:t>
      </w:r>
      <w:r>
        <w:rPr>
          <w:rFonts w:hint="eastAsia" w:hAnsi="宋体"/>
          <w:b/>
          <w:color w:val="000000"/>
          <w:szCs w:val="21"/>
        </w:rPr>
        <w:t>否决投标</w:t>
      </w:r>
      <w:r>
        <w:rPr>
          <w:rFonts w:hAnsi="宋体"/>
          <w:b/>
          <w:color w:val="000000"/>
          <w:szCs w:val="21"/>
        </w:rPr>
        <w:t>条件</w:t>
      </w:r>
    </w:p>
    <w:p>
      <w:pPr>
        <w:adjustRightInd w:val="0"/>
        <w:snapToGrid w:val="0"/>
        <w:spacing w:line="440" w:lineRule="exact"/>
        <w:ind w:firstLine="420" w:firstLineChars="200"/>
        <w:rPr>
          <w:rFonts w:ascii="宋体" w:hAnsi="宋体"/>
          <w:color w:val="000000"/>
          <w:szCs w:val="21"/>
        </w:rPr>
      </w:pPr>
      <w:r>
        <w:rPr>
          <w:rFonts w:hint="eastAsia" w:ascii="宋体" w:hAnsi="宋体"/>
          <w:color w:val="000000"/>
          <w:szCs w:val="21"/>
        </w:rPr>
        <w:t>投标人或其投标文件有下列情形之一的，否决其投标：</w:t>
      </w:r>
    </w:p>
    <w:p>
      <w:pPr>
        <w:adjustRightInd w:val="0"/>
        <w:snapToGrid w:val="0"/>
        <w:spacing w:line="440" w:lineRule="exact"/>
        <w:ind w:firstLine="420" w:firstLineChars="200"/>
        <w:rPr>
          <w:rFonts w:ascii="宋体" w:hAnsi="宋体"/>
          <w:color w:val="000000"/>
          <w:szCs w:val="21"/>
        </w:rPr>
      </w:pPr>
      <w:r>
        <w:rPr>
          <w:rFonts w:hint="eastAsia" w:ascii="宋体" w:hAnsi="宋体"/>
          <w:b/>
          <w:color w:val="000000"/>
          <w:szCs w:val="21"/>
        </w:rPr>
        <w:t>B1.</w:t>
      </w:r>
      <w:r>
        <w:rPr>
          <w:rFonts w:ascii="宋体" w:hAnsi="宋体"/>
          <w:b/>
          <w:color w:val="000000"/>
          <w:szCs w:val="21"/>
        </w:rPr>
        <w:t>1</w:t>
      </w:r>
      <w:r>
        <w:rPr>
          <w:rFonts w:hint="eastAsia" w:ascii="宋体" w:hAnsi="宋体"/>
          <w:color w:val="000000"/>
          <w:szCs w:val="21"/>
        </w:rPr>
        <w:t>有串通投标或弄虚作假或有其他违法行为的。</w:t>
      </w:r>
    </w:p>
    <w:p>
      <w:pPr>
        <w:adjustRightInd w:val="0"/>
        <w:snapToGrid w:val="0"/>
        <w:spacing w:line="440" w:lineRule="exact"/>
        <w:ind w:firstLine="420" w:firstLineChars="200"/>
        <w:rPr>
          <w:rFonts w:ascii="宋体" w:hAnsi="宋体"/>
          <w:color w:val="000000"/>
          <w:szCs w:val="21"/>
        </w:rPr>
      </w:pPr>
      <w:r>
        <w:rPr>
          <w:rFonts w:hint="eastAsia" w:ascii="宋体" w:hAnsi="宋体"/>
          <w:b/>
          <w:color w:val="000000"/>
          <w:szCs w:val="21"/>
        </w:rPr>
        <w:t>B1.</w:t>
      </w:r>
      <w:r>
        <w:rPr>
          <w:rFonts w:ascii="宋体" w:hAnsi="宋体"/>
          <w:b/>
          <w:color w:val="000000"/>
          <w:szCs w:val="21"/>
        </w:rPr>
        <w:t>2</w:t>
      </w:r>
      <w:r>
        <w:rPr>
          <w:rFonts w:hint="eastAsia" w:ascii="宋体" w:hAnsi="宋体"/>
          <w:color w:val="000000"/>
          <w:szCs w:val="21"/>
        </w:rPr>
        <w:t>不按评标委员会要求澄清、说明或补正的。</w:t>
      </w:r>
    </w:p>
    <w:p>
      <w:pPr>
        <w:adjustRightInd w:val="0"/>
        <w:snapToGrid w:val="0"/>
        <w:spacing w:line="440" w:lineRule="exact"/>
        <w:ind w:firstLine="420" w:firstLineChars="200"/>
        <w:rPr>
          <w:rFonts w:ascii="宋体" w:hAnsi="宋体"/>
          <w:color w:val="000000"/>
          <w:szCs w:val="21"/>
        </w:rPr>
      </w:pPr>
      <w:r>
        <w:rPr>
          <w:rFonts w:hint="eastAsia" w:ascii="宋体" w:hAnsi="宋体"/>
          <w:b/>
          <w:color w:val="000000"/>
          <w:szCs w:val="21"/>
        </w:rPr>
        <w:t>B1.</w:t>
      </w:r>
      <w:r>
        <w:rPr>
          <w:rFonts w:ascii="宋体" w:hAnsi="宋体"/>
          <w:b/>
          <w:color w:val="000000"/>
          <w:szCs w:val="21"/>
        </w:rPr>
        <w:t>3</w:t>
      </w:r>
      <w:r>
        <w:rPr>
          <w:rFonts w:hint="eastAsia" w:ascii="宋体" w:hAnsi="宋体"/>
          <w:color w:val="000000"/>
          <w:szCs w:val="21"/>
        </w:rPr>
        <w:t>在形式评审、资格评审</w:t>
      </w:r>
      <w:r>
        <w:rPr>
          <w:rFonts w:hint="eastAsia" w:ascii="宋体" w:hAnsi="宋体"/>
          <w:color w:val="000000"/>
          <w:szCs w:val="21"/>
          <w:lang w:eastAsia="zh-CN"/>
        </w:rPr>
        <w:t>（</w:t>
      </w:r>
      <w:r>
        <w:rPr>
          <w:rFonts w:hint="eastAsia" w:ascii="宋体" w:hAnsi="宋体"/>
          <w:color w:val="000000"/>
          <w:szCs w:val="21"/>
        </w:rPr>
        <w:t>适用于未进行资格预审的</w:t>
      </w:r>
      <w:r>
        <w:rPr>
          <w:rFonts w:hint="eastAsia" w:ascii="宋体" w:hAnsi="宋体"/>
          <w:color w:val="000000"/>
          <w:szCs w:val="21"/>
          <w:lang w:eastAsia="zh-CN"/>
        </w:rPr>
        <w:t>）</w:t>
      </w:r>
      <w:r>
        <w:rPr>
          <w:rFonts w:hint="eastAsia" w:ascii="宋体" w:hAnsi="宋体"/>
          <w:color w:val="000000"/>
          <w:szCs w:val="21"/>
        </w:rPr>
        <w:t>、响应性评审中，交易平台或评标委员会认定投标人的投标不符合评标办法前附表中规定的任何一项评审标准的。</w:t>
      </w:r>
    </w:p>
    <w:p>
      <w:pPr>
        <w:ind w:firstLine="426"/>
        <w:rPr>
          <w:rFonts w:ascii="宋体" w:hAnsi="宋体"/>
          <w:color w:val="000000"/>
          <w:szCs w:val="21"/>
        </w:rPr>
      </w:pPr>
      <w:r>
        <w:rPr>
          <w:rFonts w:hint="eastAsia" w:ascii="宋体" w:hAnsi="宋体"/>
          <w:b/>
          <w:color w:val="000000"/>
          <w:szCs w:val="21"/>
        </w:rPr>
        <w:t>B1.</w:t>
      </w:r>
      <w:r>
        <w:rPr>
          <w:rFonts w:ascii="宋体" w:hAnsi="宋体"/>
          <w:b/>
          <w:color w:val="000000"/>
          <w:szCs w:val="21"/>
        </w:rPr>
        <w:t>4</w:t>
      </w:r>
      <w:r>
        <w:rPr>
          <w:rFonts w:hint="eastAsia" w:ascii="宋体" w:hAnsi="宋体"/>
          <w:color w:val="000000"/>
          <w:szCs w:val="21"/>
        </w:rPr>
        <w:t>投标报价文件由投标人自行编制的，应当由注册在本企业的造价人员（造价师或造价员）签字并加盖执业专用章；投标人委托他人编制投标报价文件的，应当委托具有相应资质的工程造价咨询单位编制并在投标文件中附有委托合同，其投标报价文件应当注明委托人和被委托人并加盖各自的法人公章，同时应由被委托人的注册造价工程师签字并加盖执业专用章。</w:t>
      </w:r>
    </w:p>
    <w:p>
      <w:pPr>
        <w:ind w:firstLine="426"/>
        <w:rPr>
          <w:rFonts w:ascii="宋体" w:hAnsi="宋体"/>
          <w:color w:val="000000"/>
          <w:szCs w:val="21"/>
        </w:rPr>
      </w:pPr>
      <w:r>
        <w:rPr>
          <w:rFonts w:hint="eastAsia" w:ascii="宋体" w:hAnsi="宋体"/>
          <w:color w:val="000000"/>
          <w:szCs w:val="21"/>
        </w:rPr>
        <w:t>工程造价咨询机构在同一招标项目中，只可以接受招标人或一个投标人的委托并编制招标控制价或投标报价，不得为同一招标项目的两个或者两个以上投标人编制投标报价，亦不得既为招标人编制招标控制价同时又为投标人编制投标报价，否则其编制的招标控制价和投标报价无效并视为存在相互串通投标行为。</w:t>
      </w:r>
    </w:p>
    <w:p>
      <w:pPr>
        <w:adjustRightInd w:val="0"/>
        <w:snapToGrid w:val="0"/>
        <w:spacing w:line="440" w:lineRule="exact"/>
        <w:ind w:firstLine="420" w:firstLineChars="200"/>
        <w:rPr>
          <w:rFonts w:ascii="宋体" w:hAnsi="宋体"/>
          <w:color w:val="000000"/>
          <w:szCs w:val="21"/>
        </w:rPr>
      </w:pPr>
      <w:r>
        <w:rPr>
          <w:rFonts w:hint="eastAsia" w:ascii="宋体" w:hAnsi="宋体"/>
          <w:b/>
          <w:color w:val="000000"/>
          <w:szCs w:val="21"/>
        </w:rPr>
        <w:t>B1.</w:t>
      </w:r>
      <w:r>
        <w:rPr>
          <w:rFonts w:ascii="宋体" w:hAnsi="宋体"/>
          <w:b/>
          <w:color w:val="000000"/>
          <w:szCs w:val="21"/>
        </w:rPr>
        <w:t>5</w:t>
      </w:r>
      <w:r>
        <w:rPr>
          <w:rFonts w:hint="eastAsia" w:ascii="宋体" w:hAnsi="宋体"/>
          <w:color w:val="000000"/>
          <w:szCs w:val="21"/>
        </w:rPr>
        <w:t>投标文件中的投标函未加盖投标人的公章及法定代表人印章</w:t>
      </w:r>
      <w:r>
        <w:rPr>
          <w:rFonts w:hint="eastAsia" w:ascii="宋体" w:hAnsi="宋体"/>
          <w:color w:val="000000"/>
          <w:szCs w:val="21"/>
          <w:lang w:eastAsia="zh-CN"/>
        </w:rPr>
        <w:t>（</w:t>
      </w:r>
      <w:r>
        <w:rPr>
          <w:rFonts w:hint="eastAsia" w:ascii="宋体" w:hAnsi="宋体"/>
          <w:color w:val="000000"/>
          <w:szCs w:val="21"/>
        </w:rPr>
        <w:t>签字</w:t>
      </w:r>
      <w:r>
        <w:rPr>
          <w:rFonts w:hint="eastAsia" w:ascii="宋体" w:hAnsi="宋体"/>
          <w:color w:val="000000"/>
          <w:szCs w:val="21"/>
          <w:lang w:eastAsia="zh-CN"/>
        </w:rPr>
        <w:t>）</w:t>
      </w:r>
      <w:r>
        <w:rPr>
          <w:rFonts w:hint="eastAsia" w:ascii="宋体" w:hAnsi="宋体"/>
          <w:color w:val="000000"/>
          <w:szCs w:val="21"/>
        </w:rPr>
        <w:t>或企业法定代表人的委托代理人没有合法、有效的委托书原件及委托代理人印章</w:t>
      </w:r>
      <w:r>
        <w:rPr>
          <w:rFonts w:hint="eastAsia" w:ascii="宋体" w:hAnsi="宋体"/>
          <w:color w:val="000000"/>
          <w:szCs w:val="21"/>
          <w:lang w:eastAsia="zh-CN"/>
        </w:rPr>
        <w:t>（</w:t>
      </w:r>
      <w:r>
        <w:rPr>
          <w:rFonts w:hint="eastAsia" w:ascii="宋体" w:hAnsi="宋体"/>
          <w:color w:val="000000"/>
          <w:szCs w:val="21"/>
        </w:rPr>
        <w:t>签字</w:t>
      </w:r>
      <w:r>
        <w:rPr>
          <w:rFonts w:hint="eastAsia" w:ascii="宋体" w:hAnsi="宋体"/>
          <w:color w:val="000000"/>
          <w:szCs w:val="21"/>
          <w:lang w:eastAsia="zh-CN"/>
        </w:rPr>
        <w:t>）</w:t>
      </w:r>
      <w:r>
        <w:rPr>
          <w:rFonts w:hint="eastAsia" w:ascii="宋体" w:hAnsi="宋体"/>
          <w:color w:val="000000"/>
          <w:szCs w:val="21"/>
        </w:rPr>
        <w:t>的；</w:t>
      </w:r>
    </w:p>
    <w:p>
      <w:pPr>
        <w:adjustRightInd w:val="0"/>
        <w:snapToGrid w:val="0"/>
        <w:spacing w:line="440" w:lineRule="exact"/>
        <w:ind w:firstLine="420" w:firstLineChars="200"/>
        <w:rPr>
          <w:rFonts w:ascii="宋体" w:hAnsi="宋体"/>
          <w:color w:val="000000"/>
          <w:szCs w:val="21"/>
        </w:rPr>
      </w:pPr>
      <w:r>
        <w:rPr>
          <w:rFonts w:hint="eastAsia" w:ascii="宋体" w:hAnsi="宋体"/>
          <w:b/>
          <w:color w:val="000000"/>
          <w:szCs w:val="21"/>
        </w:rPr>
        <w:t>B1.</w:t>
      </w:r>
      <w:r>
        <w:rPr>
          <w:rFonts w:ascii="宋体" w:hAnsi="宋体"/>
          <w:b/>
          <w:color w:val="000000"/>
          <w:szCs w:val="21"/>
        </w:rPr>
        <w:t>6</w:t>
      </w:r>
      <w:r>
        <w:rPr>
          <w:rFonts w:hint="eastAsia" w:ascii="宋体" w:hAnsi="宋体"/>
          <w:color w:val="000000"/>
          <w:szCs w:val="21"/>
        </w:rPr>
        <w:t>成联合体投标的，投标文件未附联合体协议或联合体协议不符合有关规定的；</w:t>
      </w:r>
    </w:p>
    <w:p>
      <w:pPr>
        <w:adjustRightInd w:val="0"/>
        <w:snapToGrid w:val="0"/>
        <w:spacing w:line="440" w:lineRule="exact"/>
        <w:ind w:firstLine="420" w:firstLineChars="200"/>
        <w:rPr>
          <w:rFonts w:ascii="宋体" w:hAnsi="宋体"/>
          <w:color w:val="000000"/>
          <w:szCs w:val="21"/>
        </w:rPr>
      </w:pPr>
      <w:r>
        <w:rPr>
          <w:rFonts w:hint="eastAsia" w:ascii="宋体" w:hAnsi="宋体"/>
          <w:b/>
          <w:color w:val="000000"/>
          <w:szCs w:val="21"/>
        </w:rPr>
        <w:t>B1.</w:t>
      </w:r>
      <w:r>
        <w:rPr>
          <w:rFonts w:ascii="宋体" w:hAnsi="宋体"/>
          <w:b/>
          <w:color w:val="000000"/>
          <w:szCs w:val="21"/>
        </w:rPr>
        <w:t>7</w:t>
      </w:r>
      <w:r>
        <w:rPr>
          <w:rFonts w:hint="eastAsia" w:ascii="宋体" w:hAnsi="宋体"/>
          <w:color w:val="000000"/>
          <w:szCs w:val="21"/>
        </w:rPr>
        <w:t>投标人资格条件不符合国家有关规定或招标文件要求的；</w:t>
      </w:r>
    </w:p>
    <w:p>
      <w:pPr>
        <w:adjustRightInd w:val="0"/>
        <w:snapToGrid w:val="0"/>
        <w:spacing w:line="440" w:lineRule="exact"/>
        <w:ind w:firstLine="420" w:firstLineChars="200"/>
        <w:rPr>
          <w:rFonts w:ascii="宋体" w:hAnsi="宋体"/>
          <w:color w:val="000000"/>
          <w:szCs w:val="21"/>
        </w:rPr>
      </w:pPr>
      <w:r>
        <w:rPr>
          <w:rFonts w:hint="eastAsia" w:ascii="宋体" w:hAnsi="宋体"/>
          <w:b/>
          <w:color w:val="000000"/>
          <w:szCs w:val="21"/>
        </w:rPr>
        <w:t>B1.</w:t>
      </w:r>
      <w:r>
        <w:rPr>
          <w:rFonts w:ascii="宋体" w:hAnsi="宋体"/>
          <w:b/>
          <w:color w:val="000000"/>
          <w:szCs w:val="21"/>
        </w:rPr>
        <w:t>8</w:t>
      </w:r>
      <w:r>
        <w:rPr>
          <w:rFonts w:hint="eastAsia" w:ascii="宋体" w:hAnsi="宋体"/>
          <w:color w:val="000000"/>
          <w:szCs w:val="21"/>
        </w:rPr>
        <w:t>投标报价高于招标控制价</w:t>
      </w:r>
      <w:r>
        <w:rPr>
          <w:rFonts w:hint="eastAsia" w:ascii="宋体" w:hAnsi="宋体"/>
          <w:color w:val="000000"/>
          <w:szCs w:val="21"/>
          <w:lang w:eastAsia="zh-CN"/>
        </w:rPr>
        <w:t>的</w:t>
      </w:r>
      <w:r>
        <w:rPr>
          <w:rFonts w:hint="eastAsia" w:ascii="宋体" w:hAnsi="宋体"/>
          <w:color w:val="000000"/>
          <w:szCs w:val="21"/>
        </w:rPr>
        <w:t>；</w:t>
      </w:r>
    </w:p>
    <w:p>
      <w:pPr>
        <w:adjustRightInd w:val="0"/>
        <w:snapToGrid w:val="0"/>
        <w:spacing w:line="440" w:lineRule="exact"/>
        <w:ind w:firstLine="420" w:firstLineChars="200"/>
        <w:rPr>
          <w:rFonts w:ascii="宋体" w:hAnsi="宋体"/>
          <w:color w:val="000000"/>
          <w:szCs w:val="21"/>
        </w:rPr>
      </w:pPr>
      <w:r>
        <w:rPr>
          <w:rFonts w:hint="eastAsia" w:ascii="宋体" w:hAnsi="宋体"/>
          <w:b/>
          <w:color w:val="000000"/>
          <w:szCs w:val="21"/>
        </w:rPr>
        <w:t>B1.</w:t>
      </w:r>
      <w:r>
        <w:rPr>
          <w:rFonts w:ascii="宋体" w:hAnsi="宋体"/>
          <w:b/>
          <w:color w:val="000000"/>
          <w:szCs w:val="21"/>
        </w:rPr>
        <w:t>9</w:t>
      </w:r>
      <w:r>
        <w:rPr>
          <w:rFonts w:hint="eastAsia" w:ascii="宋体" w:hAnsi="宋体"/>
          <w:color w:val="000000"/>
          <w:szCs w:val="21"/>
        </w:rPr>
        <w:t>投标报价中暂估价、暂列金额及专业工程造价与招标文件规定不一致的；</w:t>
      </w:r>
    </w:p>
    <w:p>
      <w:pPr>
        <w:adjustRightInd w:val="0"/>
        <w:snapToGrid w:val="0"/>
        <w:spacing w:line="440" w:lineRule="exact"/>
        <w:ind w:firstLine="420" w:firstLineChars="200"/>
        <w:rPr>
          <w:rFonts w:ascii="宋体" w:hAnsi="宋体"/>
          <w:color w:val="000000"/>
          <w:szCs w:val="21"/>
        </w:rPr>
      </w:pPr>
      <w:r>
        <w:rPr>
          <w:rFonts w:hint="eastAsia" w:ascii="宋体" w:hAnsi="宋体"/>
          <w:b/>
          <w:color w:val="000000"/>
          <w:szCs w:val="21"/>
        </w:rPr>
        <w:t>B1.1</w:t>
      </w:r>
      <w:r>
        <w:rPr>
          <w:rFonts w:ascii="宋体" w:hAnsi="宋体"/>
          <w:b/>
          <w:color w:val="000000"/>
          <w:szCs w:val="21"/>
        </w:rPr>
        <w:t>0</w:t>
      </w:r>
      <w:r>
        <w:rPr>
          <w:rFonts w:hint="eastAsia" w:ascii="宋体" w:hAnsi="宋体"/>
          <w:color w:val="000000"/>
          <w:szCs w:val="21"/>
        </w:rPr>
        <w:t>投标报价中不可竞争费用项目或费率计算或计算基础与招标文件不一致的；</w:t>
      </w:r>
    </w:p>
    <w:p>
      <w:pPr>
        <w:adjustRightInd w:val="0"/>
        <w:snapToGrid w:val="0"/>
        <w:spacing w:line="440" w:lineRule="exact"/>
        <w:ind w:firstLine="420" w:firstLineChars="200"/>
        <w:rPr>
          <w:rFonts w:ascii="宋体" w:hAnsi="宋体"/>
          <w:color w:val="000000"/>
          <w:szCs w:val="21"/>
        </w:rPr>
      </w:pPr>
      <w:r>
        <w:rPr>
          <w:rFonts w:hint="eastAsia" w:ascii="宋体" w:hAnsi="宋体"/>
          <w:b/>
          <w:color w:val="000000"/>
          <w:szCs w:val="21"/>
        </w:rPr>
        <w:t>B1.1</w:t>
      </w:r>
      <w:r>
        <w:rPr>
          <w:rFonts w:ascii="宋体" w:hAnsi="宋体"/>
          <w:b/>
          <w:color w:val="000000"/>
          <w:szCs w:val="21"/>
        </w:rPr>
        <w:t>1</w:t>
      </w:r>
      <w:r>
        <w:rPr>
          <w:rFonts w:hint="eastAsia" w:ascii="宋体" w:hAnsi="宋体"/>
          <w:color w:val="000000"/>
          <w:szCs w:val="21"/>
        </w:rPr>
        <w:t>投标报价中最终体现的人工工资单价低于省住房和城乡建设厅发布的人工工资单价的；</w:t>
      </w:r>
    </w:p>
    <w:p>
      <w:pPr>
        <w:adjustRightInd w:val="0"/>
        <w:snapToGrid w:val="0"/>
        <w:spacing w:line="440" w:lineRule="exact"/>
        <w:ind w:firstLine="420" w:firstLineChars="200"/>
        <w:rPr>
          <w:rFonts w:ascii="宋体" w:hAnsi="宋体"/>
          <w:color w:val="000000"/>
          <w:szCs w:val="21"/>
        </w:rPr>
      </w:pPr>
      <w:r>
        <w:rPr>
          <w:rFonts w:hint="eastAsia" w:ascii="宋体" w:hAnsi="宋体"/>
          <w:b/>
          <w:color w:val="000000"/>
          <w:szCs w:val="21"/>
        </w:rPr>
        <w:t>B1.</w:t>
      </w:r>
      <w:r>
        <w:rPr>
          <w:rFonts w:ascii="宋体" w:hAnsi="宋体"/>
          <w:b/>
          <w:color w:val="000000"/>
          <w:szCs w:val="21"/>
        </w:rPr>
        <w:t>12</w:t>
      </w:r>
      <w:r>
        <w:rPr>
          <w:rFonts w:hint="eastAsia" w:ascii="宋体" w:hAnsi="宋体"/>
          <w:color w:val="000000"/>
          <w:szCs w:val="21"/>
        </w:rPr>
        <w:t>工程量清单中项目编码、项目名称、项目特征、计量单位、工程数量与招标文件提供的不一致的；</w:t>
      </w:r>
    </w:p>
    <w:p>
      <w:pPr>
        <w:adjustRightInd w:val="0"/>
        <w:snapToGrid w:val="0"/>
        <w:spacing w:line="440" w:lineRule="exact"/>
        <w:ind w:firstLine="420" w:firstLineChars="200"/>
        <w:rPr>
          <w:rFonts w:ascii="宋体" w:hAnsi="宋体"/>
          <w:color w:val="000000"/>
          <w:szCs w:val="21"/>
        </w:rPr>
      </w:pPr>
      <w:r>
        <w:rPr>
          <w:rFonts w:hint="eastAsia" w:ascii="宋体" w:hAnsi="宋体"/>
          <w:b/>
          <w:color w:val="000000"/>
          <w:szCs w:val="21"/>
        </w:rPr>
        <w:t>B1.1</w:t>
      </w:r>
      <w:r>
        <w:rPr>
          <w:rFonts w:ascii="宋体" w:hAnsi="宋体"/>
          <w:b/>
          <w:color w:val="000000"/>
          <w:szCs w:val="21"/>
        </w:rPr>
        <w:t>3</w:t>
      </w:r>
      <w:r>
        <w:rPr>
          <w:rFonts w:hint="eastAsia" w:ascii="宋体" w:hAnsi="宋体"/>
          <w:color w:val="000000"/>
          <w:szCs w:val="21"/>
        </w:rPr>
        <w:t>没有按照招标文件要求提供投标保证金或提供的投标保证金不符合有关规定的；</w:t>
      </w:r>
    </w:p>
    <w:p>
      <w:pPr>
        <w:adjustRightInd w:val="0"/>
        <w:snapToGrid w:val="0"/>
        <w:spacing w:line="440" w:lineRule="exact"/>
        <w:ind w:firstLine="420" w:firstLineChars="200"/>
        <w:rPr>
          <w:rFonts w:ascii="宋体" w:hAnsi="宋体"/>
          <w:color w:val="000000"/>
          <w:szCs w:val="21"/>
        </w:rPr>
      </w:pPr>
      <w:r>
        <w:rPr>
          <w:rFonts w:hint="eastAsia" w:ascii="宋体" w:hAnsi="宋体"/>
          <w:b/>
          <w:color w:val="000000"/>
          <w:szCs w:val="21"/>
        </w:rPr>
        <w:t>B1.</w:t>
      </w:r>
      <w:r>
        <w:rPr>
          <w:rFonts w:ascii="宋体" w:hAnsi="宋体"/>
          <w:b/>
          <w:color w:val="000000"/>
          <w:szCs w:val="21"/>
        </w:rPr>
        <w:t>14</w:t>
      </w:r>
      <w:r>
        <w:rPr>
          <w:rFonts w:hint="eastAsia" w:ascii="宋体" w:hAnsi="宋体"/>
          <w:color w:val="000000"/>
          <w:szCs w:val="21"/>
        </w:rPr>
        <w:t>投标文件载明的招标项目完成期限超过招标文件规定的期限的；</w:t>
      </w:r>
    </w:p>
    <w:p>
      <w:pPr>
        <w:adjustRightInd w:val="0"/>
        <w:snapToGrid w:val="0"/>
        <w:spacing w:line="440" w:lineRule="exact"/>
        <w:ind w:firstLine="420" w:firstLineChars="200"/>
        <w:rPr>
          <w:rFonts w:ascii="宋体" w:hAnsi="宋体"/>
          <w:color w:val="000000"/>
          <w:szCs w:val="21"/>
        </w:rPr>
      </w:pPr>
      <w:r>
        <w:rPr>
          <w:rFonts w:hint="eastAsia" w:ascii="宋体" w:hAnsi="宋体"/>
          <w:b/>
          <w:color w:val="000000"/>
          <w:szCs w:val="21"/>
        </w:rPr>
        <w:t>B1.</w:t>
      </w:r>
      <w:r>
        <w:rPr>
          <w:rFonts w:ascii="宋体" w:hAnsi="宋体"/>
          <w:b/>
          <w:color w:val="000000"/>
          <w:szCs w:val="21"/>
        </w:rPr>
        <w:t>15</w:t>
      </w:r>
      <w:r>
        <w:rPr>
          <w:rFonts w:ascii="宋体" w:hAnsi="宋体"/>
          <w:b/>
          <w:color w:val="000000"/>
          <w:szCs w:val="21"/>
        </w:rPr>
        <w:tab/>
      </w:r>
      <w:r>
        <w:rPr>
          <w:rFonts w:hint="eastAsia" w:ascii="宋体" w:hAnsi="宋体"/>
          <w:color w:val="000000"/>
          <w:szCs w:val="21"/>
        </w:rPr>
        <w:t>未按招标文件要求提供电子投标文件，或投标文件未能解密且按照招标文件明确的投标文件解密失败的补救方案补救不成功的；</w:t>
      </w:r>
    </w:p>
    <w:p>
      <w:pPr>
        <w:adjustRightInd w:val="0"/>
        <w:snapToGrid w:val="0"/>
        <w:spacing w:line="440" w:lineRule="exact"/>
        <w:ind w:firstLine="420" w:firstLineChars="200"/>
        <w:rPr>
          <w:rFonts w:hint="eastAsia" w:ascii="宋体" w:hAnsi="宋体" w:eastAsia="宋体"/>
          <w:color w:val="000000"/>
          <w:szCs w:val="21"/>
          <w:lang w:eastAsia="zh-CN"/>
        </w:rPr>
      </w:pPr>
      <w:r>
        <w:rPr>
          <w:rFonts w:hint="eastAsia" w:ascii="宋体" w:hAnsi="宋体"/>
          <w:b/>
          <w:color w:val="000000"/>
          <w:szCs w:val="21"/>
        </w:rPr>
        <w:t>B1.</w:t>
      </w:r>
      <w:r>
        <w:rPr>
          <w:rFonts w:ascii="宋体" w:hAnsi="宋体"/>
          <w:b/>
          <w:color w:val="000000"/>
          <w:szCs w:val="21"/>
        </w:rPr>
        <w:t>16</w:t>
      </w:r>
      <w:r>
        <w:rPr>
          <w:rFonts w:hint="eastAsia" w:ascii="宋体" w:hAnsi="宋体"/>
          <w:color w:val="000000"/>
          <w:szCs w:val="21"/>
        </w:rPr>
        <w:t>不同的投标文件以及投标文件制作过程出现了评标委员会认为不应当雷同的情况的；</w:t>
      </w:r>
    </w:p>
    <w:p>
      <w:pPr>
        <w:adjustRightInd w:val="0"/>
        <w:snapToGrid w:val="0"/>
        <w:spacing w:line="440" w:lineRule="exact"/>
        <w:ind w:firstLine="420" w:firstLineChars="200"/>
        <w:rPr>
          <w:rFonts w:ascii="宋体" w:hAnsi="宋体"/>
          <w:color w:val="000000"/>
          <w:szCs w:val="21"/>
        </w:rPr>
      </w:pPr>
      <w:r>
        <w:rPr>
          <w:rFonts w:hint="eastAsia" w:ascii="宋体" w:hAnsi="宋体"/>
          <w:b/>
          <w:color w:val="000000"/>
          <w:szCs w:val="21"/>
        </w:rPr>
        <w:t>B1.</w:t>
      </w:r>
      <w:r>
        <w:rPr>
          <w:rFonts w:ascii="宋体" w:hAnsi="宋体"/>
          <w:b/>
          <w:color w:val="000000"/>
          <w:szCs w:val="21"/>
        </w:rPr>
        <w:t>17</w:t>
      </w:r>
      <w:r>
        <w:rPr>
          <w:rFonts w:ascii="宋体" w:hAnsi="宋体"/>
          <w:color w:val="000000"/>
          <w:szCs w:val="21"/>
        </w:rPr>
        <w:tab/>
      </w:r>
      <w:r>
        <w:rPr>
          <w:rFonts w:hint="eastAsia" w:ascii="宋体" w:hAnsi="宋体"/>
          <w:color w:val="000000"/>
          <w:szCs w:val="21"/>
        </w:rPr>
        <w:t>以他人的名义投标、串通投标、以行贿手段谋取中标或以其他弄虚作假方式投标的；</w:t>
      </w:r>
    </w:p>
    <w:p>
      <w:pPr>
        <w:adjustRightInd w:val="0"/>
        <w:snapToGrid w:val="0"/>
        <w:spacing w:line="440" w:lineRule="exact"/>
        <w:ind w:firstLine="420" w:firstLineChars="200"/>
        <w:rPr>
          <w:rFonts w:ascii="宋体" w:hAnsi="宋体"/>
          <w:color w:val="000000"/>
          <w:szCs w:val="21"/>
        </w:rPr>
      </w:pPr>
      <w:r>
        <w:rPr>
          <w:rFonts w:hint="eastAsia" w:ascii="宋体" w:hAnsi="宋体"/>
          <w:b/>
          <w:color w:val="000000"/>
          <w:szCs w:val="21"/>
        </w:rPr>
        <w:t>B1.</w:t>
      </w:r>
      <w:r>
        <w:rPr>
          <w:rFonts w:ascii="宋体" w:hAnsi="宋体"/>
          <w:b/>
          <w:color w:val="000000"/>
          <w:szCs w:val="21"/>
        </w:rPr>
        <w:t>18</w:t>
      </w:r>
      <w:r>
        <w:rPr>
          <w:rFonts w:ascii="宋体" w:hAnsi="宋体"/>
          <w:color w:val="000000"/>
          <w:szCs w:val="21"/>
        </w:rPr>
        <w:tab/>
      </w:r>
      <w:r>
        <w:rPr>
          <w:rFonts w:hint="eastAsia" w:ascii="宋体" w:hAnsi="宋体"/>
          <w:color w:val="000000"/>
          <w:szCs w:val="21"/>
        </w:rPr>
        <w:t>投标前未在省住房和城乡建设厅网站（</w:t>
      </w:r>
      <w:r>
        <w:rPr>
          <w:rFonts w:hint="eastAsia" w:ascii="宋体" w:hAnsi="宋体"/>
          <w:color w:val="000000"/>
          <w:szCs w:val="21"/>
          <w:lang w:eastAsia="zh-CN"/>
        </w:rPr>
        <w:t>http://zjt.hainan.gov.cn/</w:t>
      </w:r>
      <w:r>
        <w:rPr>
          <w:rFonts w:hint="eastAsia" w:ascii="宋体" w:hAnsi="宋体"/>
          <w:color w:val="000000"/>
          <w:szCs w:val="21"/>
        </w:rPr>
        <w:t>）申请</w:t>
      </w:r>
      <w:r>
        <w:rPr>
          <w:rFonts w:ascii="宋体" w:hAnsi="宋体"/>
          <w:color w:val="000000"/>
          <w:szCs w:val="21"/>
        </w:rPr>
        <w:t>《海南省建筑企业诚信档案手册》</w:t>
      </w:r>
      <w:r>
        <w:rPr>
          <w:rFonts w:hint="eastAsia" w:ascii="宋体" w:hAnsi="宋体"/>
          <w:color w:val="000000"/>
          <w:szCs w:val="21"/>
        </w:rPr>
        <w:t>的</w:t>
      </w:r>
      <w:r>
        <w:rPr>
          <w:rFonts w:hint="eastAsia" w:ascii="宋体" w:hAnsi="宋体"/>
          <w:color w:val="000000"/>
          <w:szCs w:val="21"/>
          <w:lang w:eastAsia="zh-CN"/>
        </w:rPr>
        <w:t>；</w:t>
      </w:r>
    </w:p>
    <w:p>
      <w:pPr>
        <w:adjustRightInd w:val="0"/>
        <w:snapToGrid w:val="0"/>
        <w:spacing w:line="440" w:lineRule="exact"/>
        <w:ind w:firstLine="420" w:firstLineChars="200"/>
        <w:rPr>
          <w:rFonts w:ascii="宋体" w:hAnsi="宋体"/>
          <w:color w:val="000000"/>
          <w:szCs w:val="21"/>
        </w:rPr>
      </w:pPr>
      <w:r>
        <w:rPr>
          <w:rFonts w:hint="eastAsia" w:ascii="宋体" w:hAnsi="宋体"/>
          <w:b/>
          <w:color w:val="000000"/>
          <w:szCs w:val="21"/>
        </w:rPr>
        <w:t>B1.</w:t>
      </w:r>
      <w:r>
        <w:rPr>
          <w:rFonts w:ascii="宋体" w:hAnsi="宋体"/>
          <w:b/>
          <w:color w:val="000000"/>
          <w:szCs w:val="21"/>
        </w:rPr>
        <w:t>19</w:t>
      </w:r>
      <w:r>
        <w:rPr>
          <w:rFonts w:hint="eastAsia" w:ascii="宋体" w:hAnsi="宋体"/>
          <w:color w:val="000000"/>
          <w:szCs w:val="21"/>
        </w:rPr>
        <w:t>被有关行政监督部门依法取消参加依法必须进行招标的项目的投标资格的或失信被列入限制投标资格的；</w:t>
      </w:r>
    </w:p>
    <w:p>
      <w:pPr>
        <w:spacing w:line="430" w:lineRule="exact"/>
        <w:ind w:firstLine="420" w:firstLineChars="200"/>
        <w:rPr>
          <w:rFonts w:ascii="黑体" w:hAnsi="宋体" w:eastAsia="黑体"/>
          <w:color w:val="000000"/>
          <w:sz w:val="24"/>
        </w:rPr>
      </w:pPr>
      <w:r>
        <w:rPr>
          <w:rFonts w:hint="eastAsia" w:ascii="宋体" w:hAnsi="宋体"/>
          <w:b/>
          <w:color w:val="000000"/>
          <w:szCs w:val="21"/>
        </w:rPr>
        <w:t>B1.2</w:t>
      </w:r>
      <w:r>
        <w:rPr>
          <w:rFonts w:ascii="宋体" w:hAnsi="宋体"/>
          <w:b/>
          <w:color w:val="000000"/>
          <w:szCs w:val="21"/>
        </w:rPr>
        <w:t>0</w:t>
      </w:r>
      <w:r>
        <w:rPr>
          <w:rFonts w:ascii="宋体" w:hAnsi="宋体"/>
          <w:color w:val="000000"/>
          <w:szCs w:val="21"/>
        </w:rPr>
        <w:tab/>
      </w:r>
      <w:r>
        <w:rPr>
          <w:rFonts w:hint="eastAsia" w:ascii="宋体" w:hAnsi="宋体"/>
          <w:color w:val="000000"/>
          <w:szCs w:val="21"/>
        </w:rPr>
        <w:t>法律、法规规定的其他应当否决其投标情形。</w:t>
      </w:r>
      <w:r>
        <w:rPr>
          <w:rFonts w:ascii="楷体_GB2312" w:hAnsi="宋体" w:eastAsia="楷体_GB2312"/>
          <w:color w:val="000000"/>
          <w:szCs w:val="21"/>
        </w:rPr>
        <w:br w:type="page"/>
      </w:r>
    </w:p>
    <w:p>
      <w:pPr>
        <w:spacing w:before="312" w:beforeLines="100" w:after="249" w:afterLines="80" w:line="380" w:lineRule="exact"/>
        <w:outlineLvl w:val="2"/>
        <w:rPr>
          <w:rFonts w:ascii="黑体" w:hAnsi="宋体" w:eastAsia="黑体"/>
          <w:color w:val="000000"/>
          <w:sz w:val="24"/>
        </w:rPr>
      </w:pPr>
      <w:bookmarkStart w:id="298" w:name="_Toc114222772"/>
      <w:r>
        <w:rPr>
          <w:rFonts w:hint="eastAsia" w:ascii="黑体" w:hAnsi="宋体" w:eastAsia="黑体"/>
          <w:color w:val="000000"/>
          <w:sz w:val="24"/>
        </w:rPr>
        <w:t>附表A-1：评标委员会签到表</w:t>
      </w:r>
      <w:bookmarkEnd w:id="298"/>
    </w:p>
    <w:p>
      <w:pPr>
        <w:adjustRightInd w:val="0"/>
        <w:snapToGrid w:val="0"/>
        <w:spacing w:line="440" w:lineRule="exact"/>
        <w:jc w:val="center"/>
        <w:rPr>
          <w:color w:val="000000"/>
          <w:szCs w:val="44"/>
        </w:rPr>
      </w:pPr>
      <w:r>
        <w:rPr>
          <w:rFonts w:hint="eastAsia" w:ascii="黑体" w:hAnsi="宋体" w:eastAsia="黑体"/>
          <w:color w:val="000000"/>
          <w:sz w:val="28"/>
          <w:szCs w:val="28"/>
        </w:rPr>
        <w:t>评标委员会签到表</w:t>
      </w:r>
    </w:p>
    <w:p>
      <w:pPr>
        <w:adjustRightInd w:val="0"/>
        <w:snapToGrid w:val="0"/>
        <w:spacing w:line="440" w:lineRule="exact"/>
        <w:rPr>
          <w:color w:val="000000"/>
          <w:szCs w:val="44"/>
        </w:rPr>
      </w:pPr>
      <w:r>
        <w:rPr>
          <w:rFonts w:hint="eastAsia"/>
          <w:color w:val="000000"/>
          <w:szCs w:val="44"/>
        </w:rPr>
        <w:t>项目名称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项目编号</w:t>
      </w:r>
    </w:p>
    <w:p>
      <w:pPr>
        <w:adjustRightInd w:val="0"/>
        <w:snapToGrid w:val="0"/>
        <w:spacing w:line="440" w:lineRule="exact"/>
        <w:rPr>
          <w:color w:val="000000"/>
          <w:szCs w:val="44"/>
        </w:rPr>
      </w:pPr>
      <w:r>
        <w:rPr>
          <w:rFonts w:hint="eastAsia"/>
          <w:color w:val="000000"/>
          <w:szCs w:val="44"/>
        </w:rPr>
        <w:t>标段名称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标段编号</w:t>
      </w:r>
    </w:p>
    <w:tbl>
      <w:tblPr>
        <w:tblStyle w:val="36"/>
        <w:tblpPr w:leftFromText="180" w:rightFromText="180" w:vertAnchor="text" w:horzAnchor="margin" w:tblpXSpec="center" w:tblpY="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2162"/>
        <w:gridCol w:w="1510"/>
        <w:gridCol w:w="1487"/>
        <w:gridCol w:w="1510"/>
        <w:gridCol w:w="1510"/>
      </w:tblGrid>
      <w:tr>
        <w:trPr>
          <w:trHeight w:val="567" w:hRule="atLeast"/>
        </w:trPr>
        <w:tc>
          <w:tcPr>
            <w:tcW w:w="959" w:type="dxa"/>
            <w:shd w:val="clear" w:color="auto" w:fill="E0E0E0"/>
            <w:vAlign w:val="center"/>
          </w:tcPr>
          <w:p>
            <w:pPr>
              <w:jc w:val="center"/>
              <w:rPr>
                <w:color w:val="000000"/>
                <w:szCs w:val="44"/>
              </w:rPr>
            </w:pPr>
            <w:r>
              <w:rPr>
                <w:rFonts w:hint="eastAsia"/>
                <w:color w:val="000000"/>
                <w:szCs w:val="44"/>
              </w:rPr>
              <w:t>序号</w:t>
            </w:r>
          </w:p>
        </w:tc>
        <w:tc>
          <w:tcPr>
            <w:tcW w:w="2573" w:type="dxa"/>
            <w:shd w:val="clear" w:color="auto" w:fill="E0E0E0"/>
            <w:vAlign w:val="center"/>
          </w:tcPr>
          <w:p>
            <w:pPr>
              <w:jc w:val="center"/>
              <w:rPr>
                <w:color w:val="000000"/>
                <w:szCs w:val="44"/>
              </w:rPr>
            </w:pPr>
            <w:r>
              <w:rPr>
                <w:rFonts w:hint="eastAsia"/>
                <w:color w:val="000000"/>
                <w:szCs w:val="44"/>
              </w:rPr>
              <w:t>姓名</w:t>
            </w:r>
          </w:p>
        </w:tc>
        <w:tc>
          <w:tcPr>
            <w:tcW w:w="1766" w:type="dxa"/>
            <w:shd w:val="clear" w:color="auto" w:fill="E0E0E0"/>
            <w:vAlign w:val="center"/>
          </w:tcPr>
          <w:p>
            <w:pPr>
              <w:jc w:val="center"/>
              <w:rPr>
                <w:color w:val="000000"/>
                <w:szCs w:val="44"/>
              </w:rPr>
            </w:pPr>
            <w:r>
              <w:rPr>
                <w:rFonts w:hint="eastAsia"/>
                <w:color w:val="000000"/>
                <w:szCs w:val="44"/>
              </w:rPr>
              <w:t>职称</w:t>
            </w:r>
          </w:p>
        </w:tc>
        <w:tc>
          <w:tcPr>
            <w:tcW w:w="1738" w:type="dxa"/>
            <w:shd w:val="clear" w:color="auto" w:fill="E0E0E0"/>
            <w:vAlign w:val="center"/>
          </w:tcPr>
          <w:p>
            <w:pPr>
              <w:jc w:val="center"/>
              <w:rPr>
                <w:color w:val="000000"/>
                <w:szCs w:val="44"/>
              </w:rPr>
            </w:pPr>
            <w:r>
              <w:rPr>
                <w:rFonts w:hint="eastAsia"/>
                <w:color w:val="000000"/>
                <w:szCs w:val="44"/>
              </w:rPr>
              <w:t>从事专业</w:t>
            </w:r>
          </w:p>
        </w:tc>
        <w:tc>
          <w:tcPr>
            <w:tcW w:w="1767" w:type="dxa"/>
            <w:shd w:val="clear" w:color="auto" w:fill="E0E0E0"/>
            <w:vAlign w:val="center"/>
          </w:tcPr>
          <w:p>
            <w:pPr>
              <w:jc w:val="center"/>
              <w:rPr>
                <w:color w:val="000000"/>
                <w:szCs w:val="44"/>
              </w:rPr>
            </w:pPr>
            <w:r>
              <w:rPr>
                <w:rFonts w:hint="eastAsia"/>
                <w:color w:val="000000"/>
                <w:szCs w:val="44"/>
              </w:rPr>
              <w:t>专家证号码</w:t>
            </w:r>
          </w:p>
        </w:tc>
        <w:tc>
          <w:tcPr>
            <w:tcW w:w="1767" w:type="dxa"/>
            <w:shd w:val="clear" w:color="auto" w:fill="E0E0E0"/>
            <w:vAlign w:val="center"/>
          </w:tcPr>
          <w:p>
            <w:pPr>
              <w:jc w:val="center"/>
              <w:rPr>
                <w:color w:val="000000"/>
                <w:szCs w:val="44"/>
              </w:rPr>
            </w:pPr>
            <w:r>
              <w:rPr>
                <w:rFonts w:hint="eastAsia"/>
                <w:color w:val="000000"/>
                <w:szCs w:val="44"/>
              </w:rPr>
              <w:t>签到时间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959" w:type="dxa"/>
            <w:shd w:val="clear" w:color="auto" w:fill="auto"/>
            <w:vAlign w:val="center"/>
          </w:tcPr>
          <w:p>
            <w:pPr>
              <w:jc w:val="center"/>
              <w:rPr>
                <w:rFonts w:ascii="黑体" w:eastAsia="黑体"/>
                <w:color w:val="000000"/>
                <w:szCs w:val="44"/>
              </w:rPr>
            </w:pPr>
            <w:r>
              <w:rPr>
                <w:rFonts w:hint="eastAsia" w:ascii="黑体" w:eastAsia="黑体"/>
                <w:color w:val="000000"/>
                <w:szCs w:val="44"/>
              </w:rPr>
              <w:t>1</w:t>
            </w:r>
          </w:p>
        </w:tc>
        <w:tc>
          <w:tcPr>
            <w:tcW w:w="2573" w:type="dxa"/>
            <w:shd w:val="clear" w:color="auto" w:fill="auto"/>
            <w:vAlign w:val="center"/>
          </w:tcPr>
          <w:p>
            <w:pPr>
              <w:jc w:val="center"/>
              <w:rPr>
                <w:rFonts w:ascii="黑体" w:eastAsia="黑体"/>
                <w:color w:val="000000"/>
                <w:szCs w:val="44"/>
              </w:rPr>
            </w:pPr>
          </w:p>
        </w:tc>
        <w:tc>
          <w:tcPr>
            <w:tcW w:w="1766" w:type="dxa"/>
            <w:shd w:val="clear" w:color="auto" w:fill="auto"/>
            <w:vAlign w:val="center"/>
          </w:tcPr>
          <w:p>
            <w:pPr>
              <w:jc w:val="center"/>
              <w:rPr>
                <w:rFonts w:ascii="黑体" w:eastAsia="黑体"/>
                <w:color w:val="000000"/>
                <w:szCs w:val="44"/>
              </w:rPr>
            </w:pPr>
          </w:p>
        </w:tc>
        <w:tc>
          <w:tcPr>
            <w:tcW w:w="1738" w:type="dxa"/>
            <w:shd w:val="clear" w:color="auto" w:fill="auto"/>
          </w:tcPr>
          <w:p>
            <w:pPr>
              <w:jc w:val="center"/>
              <w:rPr>
                <w:rFonts w:ascii="黑体" w:eastAsia="黑体"/>
                <w:color w:val="000000"/>
                <w:szCs w:val="44"/>
              </w:rPr>
            </w:pPr>
          </w:p>
        </w:tc>
        <w:tc>
          <w:tcPr>
            <w:tcW w:w="1767" w:type="dxa"/>
            <w:shd w:val="clear" w:color="auto" w:fill="auto"/>
            <w:vAlign w:val="center"/>
          </w:tcPr>
          <w:p>
            <w:pPr>
              <w:jc w:val="center"/>
              <w:rPr>
                <w:rFonts w:ascii="黑体" w:eastAsia="黑体"/>
                <w:color w:val="000000"/>
                <w:szCs w:val="44"/>
              </w:rPr>
            </w:pPr>
          </w:p>
        </w:tc>
        <w:tc>
          <w:tcPr>
            <w:tcW w:w="1767" w:type="dxa"/>
            <w:shd w:val="clear" w:color="auto" w:fill="auto"/>
            <w:vAlign w:val="center"/>
          </w:tcPr>
          <w:p>
            <w:pPr>
              <w:jc w:val="center"/>
              <w:rPr>
                <w:rFonts w:ascii="黑体" w:eastAsia="黑体"/>
                <w:color w:val="000000"/>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959" w:type="dxa"/>
            <w:shd w:val="clear" w:color="auto" w:fill="auto"/>
            <w:vAlign w:val="center"/>
          </w:tcPr>
          <w:p>
            <w:pPr>
              <w:jc w:val="center"/>
              <w:rPr>
                <w:rFonts w:ascii="黑体" w:eastAsia="黑体"/>
                <w:color w:val="000000"/>
                <w:szCs w:val="44"/>
              </w:rPr>
            </w:pPr>
            <w:r>
              <w:rPr>
                <w:rFonts w:hint="eastAsia" w:ascii="黑体" w:eastAsia="黑体"/>
                <w:color w:val="000000"/>
                <w:szCs w:val="44"/>
              </w:rPr>
              <w:t>2</w:t>
            </w:r>
          </w:p>
        </w:tc>
        <w:tc>
          <w:tcPr>
            <w:tcW w:w="2573" w:type="dxa"/>
            <w:shd w:val="clear" w:color="auto" w:fill="auto"/>
            <w:vAlign w:val="center"/>
          </w:tcPr>
          <w:p>
            <w:pPr>
              <w:jc w:val="center"/>
              <w:rPr>
                <w:rFonts w:ascii="黑体" w:eastAsia="黑体"/>
                <w:color w:val="000000"/>
                <w:szCs w:val="44"/>
              </w:rPr>
            </w:pPr>
          </w:p>
        </w:tc>
        <w:tc>
          <w:tcPr>
            <w:tcW w:w="1766" w:type="dxa"/>
            <w:shd w:val="clear" w:color="auto" w:fill="auto"/>
            <w:vAlign w:val="center"/>
          </w:tcPr>
          <w:p>
            <w:pPr>
              <w:jc w:val="center"/>
              <w:rPr>
                <w:rFonts w:ascii="黑体" w:eastAsia="黑体"/>
                <w:color w:val="000000"/>
                <w:szCs w:val="44"/>
              </w:rPr>
            </w:pPr>
          </w:p>
        </w:tc>
        <w:tc>
          <w:tcPr>
            <w:tcW w:w="1738" w:type="dxa"/>
            <w:shd w:val="clear" w:color="auto" w:fill="auto"/>
          </w:tcPr>
          <w:p>
            <w:pPr>
              <w:jc w:val="center"/>
              <w:rPr>
                <w:rFonts w:ascii="黑体" w:eastAsia="黑体"/>
                <w:color w:val="000000"/>
                <w:szCs w:val="44"/>
              </w:rPr>
            </w:pPr>
          </w:p>
        </w:tc>
        <w:tc>
          <w:tcPr>
            <w:tcW w:w="1767" w:type="dxa"/>
            <w:shd w:val="clear" w:color="auto" w:fill="auto"/>
            <w:vAlign w:val="center"/>
          </w:tcPr>
          <w:p>
            <w:pPr>
              <w:jc w:val="center"/>
              <w:rPr>
                <w:rFonts w:ascii="黑体" w:eastAsia="黑体"/>
                <w:color w:val="000000"/>
                <w:szCs w:val="44"/>
              </w:rPr>
            </w:pPr>
          </w:p>
        </w:tc>
        <w:tc>
          <w:tcPr>
            <w:tcW w:w="1767" w:type="dxa"/>
            <w:shd w:val="clear" w:color="auto" w:fill="auto"/>
            <w:vAlign w:val="center"/>
          </w:tcPr>
          <w:p>
            <w:pPr>
              <w:jc w:val="center"/>
              <w:rPr>
                <w:rFonts w:ascii="黑体" w:eastAsia="黑体"/>
                <w:color w:val="000000"/>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959" w:type="dxa"/>
            <w:shd w:val="clear" w:color="auto" w:fill="auto"/>
            <w:vAlign w:val="center"/>
          </w:tcPr>
          <w:p>
            <w:pPr>
              <w:jc w:val="center"/>
              <w:rPr>
                <w:rFonts w:ascii="黑体" w:eastAsia="黑体"/>
                <w:color w:val="000000"/>
                <w:szCs w:val="44"/>
              </w:rPr>
            </w:pPr>
            <w:r>
              <w:rPr>
                <w:rFonts w:hint="eastAsia" w:ascii="黑体" w:eastAsia="黑体"/>
                <w:color w:val="000000"/>
                <w:szCs w:val="44"/>
              </w:rPr>
              <w:t>3</w:t>
            </w:r>
          </w:p>
        </w:tc>
        <w:tc>
          <w:tcPr>
            <w:tcW w:w="2573" w:type="dxa"/>
            <w:shd w:val="clear" w:color="auto" w:fill="auto"/>
            <w:vAlign w:val="center"/>
          </w:tcPr>
          <w:p>
            <w:pPr>
              <w:jc w:val="center"/>
              <w:rPr>
                <w:rFonts w:ascii="黑体" w:eastAsia="黑体"/>
                <w:color w:val="000000"/>
                <w:szCs w:val="44"/>
              </w:rPr>
            </w:pPr>
          </w:p>
        </w:tc>
        <w:tc>
          <w:tcPr>
            <w:tcW w:w="1766" w:type="dxa"/>
            <w:shd w:val="clear" w:color="auto" w:fill="auto"/>
            <w:vAlign w:val="center"/>
          </w:tcPr>
          <w:p>
            <w:pPr>
              <w:jc w:val="center"/>
              <w:rPr>
                <w:rFonts w:ascii="黑体" w:eastAsia="黑体"/>
                <w:color w:val="000000"/>
                <w:szCs w:val="44"/>
              </w:rPr>
            </w:pPr>
          </w:p>
        </w:tc>
        <w:tc>
          <w:tcPr>
            <w:tcW w:w="1738" w:type="dxa"/>
            <w:shd w:val="clear" w:color="auto" w:fill="auto"/>
          </w:tcPr>
          <w:p>
            <w:pPr>
              <w:jc w:val="center"/>
              <w:rPr>
                <w:rFonts w:ascii="黑体" w:eastAsia="黑体"/>
                <w:color w:val="000000"/>
                <w:szCs w:val="44"/>
              </w:rPr>
            </w:pPr>
          </w:p>
        </w:tc>
        <w:tc>
          <w:tcPr>
            <w:tcW w:w="1767" w:type="dxa"/>
            <w:shd w:val="clear" w:color="auto" w:fill="auto"/>
            <w:vAlign w:val="center"/>
          </w:tcPr>
          <w:p>
            <w:pPr>
              <w:jc w:val="center"/>
              <w:rPr>
                <w:rFonts w:ascii="黑体" w:eastAsia="黑体"/>
                <w:color w:val="000000"/>
                <w:szCs w:val="44"/>
              </w:rPr>
            </w:pPr>
          </w:p>
        </w:tc>
        <w:tc>
          <w:tcPr>
            <w:tcW w:w="1767" w:type="dxa"/>
            <w:shd w:val="clear" w:color="auto" w:fill="auto"/>
            <w:vAlign w:val="center"/>
          </w:tcPr>
          <w:p>
            <w:pPr>
              <w:jc w:val="center"/>
              <w:rPr>
                <w:rFonts w:ascii="黑体" w:eastAsia="黑体"/>
                <w:color w:val="000000"/>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959" w:type="dxa"/>
            <w:shd w:val="clear" w:color="auto" w:fill="auto"/>
            <w:vAlign w:val="center"/>
          </w:tcPr>
          <w:p>
            <w:pPr>
              <w:jc w:val="center"/>
              <w:rPr>
                <w:rFonts w:ascii="黑体" w:eastAsia="黑体"/>
                <w:color w:val="000000"/>
                <w:szCs w:val="44"/>
              </w:rPr>
            </w:pPr>
            <w:r>
              <w:rPr>
                <w:rFonts w:hint="eastAsia" w:ascii="黑体" w:eastAsia="黑体"/>
                <w:color w:val="000000"/>
                <w:szCs w:val="44"/>
              </w:rPr>
              <w:t>4</w:t>
            </w:r>
          </w:p>
        </w:tc>
        <w:tc>
          <w:tcPr>
            <w:tcW w:w="2573" w:type="dxa"/>
            <w:shd w:val="clear" w:color="auto" w:fill="auto"/>
            <w:vAlign w:val="center"/>
          </w:tcPr>
          <w:p>
            <w:pPr>
              <w:jc w:val="center"/>
              <w:rPr>
                <w:rFonts w:ascii="黑体" w:eastAsia="黑体"/>
                <w:color w:val="000000"/>
                <w:szCs w:val="44"/>
              </w:rPr>
            </w:pPr>
          </w:p>
        </w:tc>
        <w:tc>
          <w:tcPr>
            <w:tcW w:w="1766" w:type="dxa"/>
            <w:shd w:val="clear" w:color="auto" w:fill="auto"/>
            <w:vAlign w:val="center"/>
          </w:tcPr>
          <w:p>
            <w:pPr>
              <w:jc w:val="center"/>
              <w:rPr>
                <w:rFonts w:ascii="黑体" w:eastAsia="黑体"/>
                <w:color w:val="000000"/>
                <w:szCs w:val="44"/>
              </w:rPr>
            </w:pPr>
          </w:p>
        </w:tc>
        <w:tc>
          <w:tcPr>
            <w:tcW w:w="1738" w:type="dxa"/>
            <w:shd w:val="clear" w:color="auto" w:fill="auto"/>
          </w:tcPr>
          <w:p>
            <w:pPr>
              <w:jc w:val="center"/>
              <w:rPr>
                <w:rFonts w:ascii="黑体" w:eastAsia="黑体"/>
                <w:color w:val="000000"/>
                <w:szCs w:val="44"/>
              </w:rPr>
            </w:pPr>
          </w:p>
        </w:tc>
        <w:tc>
          <w:tcPr>
            <w:tcW w:w="1767" w:type="dxa"/>
            <w:shd w:val="clear" w:color="auto" w:fill="auto"/>
            <w:vAlign w:val="center"/>
          </w:tcPr>
          <w:p>
            <w:pPr>
              <w:jc w:val="center"/>
              <w:rPr>
                <w:rFonts w:ascii="黑体" w:eastAsia="黑体"/>
                <w:color w:val="000000"/>
                <w:szCs w:val="44"/>
              </w:rPr>
            </w:pPr>
          </w:p>
        </w:tc>
        <w:tc>
          <w:tcPr>
            <w:tcW w:w="1767" w:type="dxa"/>
            <w:shd w:val="clear" w:color="auto" w:fill="auto"/>
            <w:vAlign w:val="center"/>
          </w:tcPr>
          <w:p>
            <w:pPr>
              <w:jc w:val="center"/>
              <w:rPr>
                <w:rFonts w:ascii="黑体" w:eastAsia="黑体"/>
                <w:color w:val="000000"/>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959" w:type="dxa"/>
            <w:shd w:val="clear" w:color="auto" w:fill="auto"/>
            <w:vAlign w:val="center"/>
          </w:tcPr>
          <w:p>
            <w:pPr>
              <w:jc w:val="center"/>
              <w:rPr>
                <w:rFonts w:ascii="黑体" w:eastAsia="黑体"/>
                <w:color w:val="000000"/>
                <w:szCs w:val="44"/>
              </w:rPr>
            </w:pPr>
            <w:r>
              <w:rPr>
                <w:rFonts w:hint="eastAsia" w:ascii="黑体" w:eastAsia="黑体"/>
                <w:color w:val="000000"/>
                <w:szCs w:val="44"/>
              </w:rPr>
              <w:t>5</w:t>
            </w:r>
          </w:p>
        </w:tc>
        <w:tc>
          <w:tcPr>
            <w:tcW w:w="2573" w:type="dxa"/>
            <w:shd w:val="clear" w:color="auto" w:fill="auto"/>
            <w:vAlign w:val="center"/>
          </w:tcPr>
          <w:p>
            <w:pPr>
              <w:jc w:val="center"/>
              <w:rPr>
                <w:rFonts w:ascii="黑体" w:eastAsia="黑体"/>
                <w:color w:val="000000"/>
                <w:szCs w:val="44"/>
              </w:rPr>
            </w:pPr>
          </w:p>
        </w:tc>
        <w:tc>
          <w:tcPr>
            <w:tcW w:w="1766" w:type="dxa"/>
            <w:shd w:val="clear" w:color="auto" w:fill="auto"/>
            <w:vAlign w:val="center"/>
          </w:tcPr>
          <w:p>
            <w:pPr>
              <w:jc w:val="center"/>
              <w:rPr>
                <w:rFonts w:ascii="黑体" w:eastAsia="黑体"/>
                <w:color w:val="000000"/>
                <w:szCs w:val="44"/>
              </w:rPr>
            </w:pPr>
          </w:p>
        </w:tc>
        <w:tc>
          <w:tcPr>
            <w:tcW w:w="1738" w:type="dxa"/>
            <w:shd w:val="clear" w:color="auto" w:fill="auto"/>
          </w:tcPr>
          <w:p>
            <w:pPr>
              <w:jc w:val="center"/>
              <w:rPr>
                <w:rFonts w:ascii="黑体" w:eastAsia="黑体"/>
                <w:color w:val="000000"/>
                <w:szCs w:val="44"/>
              </w:rPr>
            </w:pPr>
          </w:p>
        </w:tc>
        <w:tc>
          <w:tcPr>
            <w:tcW w:w="1767" w:type="dxa"/>
            <w:shd w:val="clear" w:color="auto" w:fill="auto"/>
            <w:vAlign w:val="center"/>
          </w:tcPr>
          <w:p>
            <w:pPr>
              <w:jc w:val="center"/>
              <w:rPr>
                <w:rFonts w:ascii="黑体" w:eastAsia="黑体"/>
                <w:color w:val="000000"/>
                <w:szCs w:val="44"/>
              </w:rPr>
            </w:pPr>
          </w:p>
        </w:tc>
        <w:tc>
          <w:tcPr>
            <w:tcW w:w="1767" w:type="dxa"/>
            <w:shd w:val="clear" w:color="auto" w:fill="auto"/>
            <w:vAlign w:val="center"/>
          </w:tcPr>
          <w:p>
            <w:pPr>
              <w:jc w:val="center"/>
              <w:rPr>
                <w:rFonts w:ascii="黑体" w:eastAsia="黑体"/>
                <w:color w:val="000000"/>
                <w:szCs w:val="44"/>
              </w:rPr>
            </w:pPr>
          </w:p>
        </w:tc>
      </w:tr>
    </w:tbl>
    <w:p>
      <w:pPr>
        <w:spacing w:after="312" w:afterLines="100"/>
        <w:rPr>
          <w:color w:val="000000"/>
          <w:szCs w:val="44"/>
        </w:rPr>
      </w:pPr>
    </w:p>
    <w:p>
      <w:pPr>
        <w:spacing w:after="312" w:afterLines="100"/>
        <w:rPr>
          <w:color w:val="000000"/>
          <w:szCs w:val="44"/>
        </w:rPr>
      </w:pPr>
    </w:p>
    <w:p>
      <w:pPr>
        <w:spacing w:after="312" w:afterLines="100"/>
        <w:jc w:val="right"/>
        <w:rPr>
          <w:color w:val="000000"/>
          <w:szCs w:val="44"/>
        </w:rPr>
      </w:pPr>
    </w:p>
    <w:p>
      <w:pPr>
        <w:spacing w:after="312" w:afterLines="100"/>
        <w:ind w:right="420"/>
        <w:jc w:val="right"/>
        <w:rPr>
          <w:color w:val="000000"/>
          <w:szCs w:val="44"/>
        </w:rPr>
      </w:pPr>
      <w:r>
        <w:rPr>
          <w:rFonts w:hint="eastAsia"/>
          <w:color w:val="000000"/>
          <w:szCs w:val="44"/>
        </w:rPr>
        <w:t>全体评委签字：</w:t>
      </w:r>
      <w:r>
        <w:rPr>
          <w:color w:val="000000"/>
          <w:szCs w:val="44"/>
        </w:rPr>
        <w:tab/>
      </w:r>
    </w:p>
    <w:p>
      <w:pPr>
        <w:spacing w:after="312" w:afterLines="100"/>
        <w:ind w:right="840"/>
        <w:jc w:val="right"/>
        <w:rPr>
          <w:color w:val="000000"/>
          <w:szCs w:val="44"/>
        </w:rPr>
      </w:pPr>
      <w:r>
        <w:rPr>
          <w:rFonts w:hint="eastAsia"/>
          <w:color w:val="000000"/>
          <w:szCs w:val="44"/>
        </w:rPr>
        <w:t>年 月   日</w:t>
      </w:r>
    </w:p>
    <w:p>
      <w:pPr>
        <w:ind w:firstLine="525" w:firstLineChars="250"/>
        <w:jc w:val="left"/>
        <w:rPr>
          <w:rFonts w:ascii="宋体" w:hAnsi="宋体"/>
          <w:color w:val="000000"/>
          <w:szCs w:val="44"/>
        </w:rPr>
      </w:pPr>
    </w:p>
    <w:p>
      <w:pPr>
        <w:widowControl/>
        <w:jc w:val="left"/>
        <w:rPr>
          <w:color w:val="000000"/>
        </w:rPr>
      </w:pPr>
      <w:r>
        <w:rPr>
          <w:color w:val="000000"/>
        </w:rPr>
        <w:br w:type="page"/>
      </w:r>
    </w:p>
    <w:p>
      <w:pPr>
        <w:spacing w:before="312" w:beforeLines="100" w:after="249" w:afterLines="80" w:line="380" w:lineRule="exact"/>
        <w:outlineLvl w:val="2"/>
        <w:rPr>
          <w:rFonts w:ascii="黑体" w:hAnsi="宋体" w:eastAsia="黑体"/>
          <w:color w:val="000000"/>
          <w:sz w:val="24"/>
        </w:rPr>
      </w:pPr>
      <w:bookmarkStart w:id="299" w:name="_Toc114222773"/>
      <w:r>
        <w:rPr>
          <w:rFonts w:hint="eastAsia" w:ascii="黑体" w:hAnsi="宋体" w:eastAsia="黑体"/>
          <w:color w:val="000000"/>
          <w:sz w:val="24"/>
        </w:rPr>
        <w:t>附表A-2：形式评审记录表（系统自动生成）</w:t>
      </w:r>
      <w:bookmarkEnd w:id="299"/>
    </w:p>
    <w:p>
      <w:pPr>
        <w:jc w:val="center"/>
        <w:rPr>
          <w:rFonts w:ascii="黑体" w:eastAsia="黑体"/>
          <w:color w:val="000000"/>
          <w:sz w:val="28"/>
          <w:szCs w:val="28"/>
        </w:rPr>
      </w:pPr>
      <w:r>
        <w:rPr>
          <w:rFonts w:hint="eastAsia" w:ascii="黑体" w:eastAsia="黑体"/>
          <w:color w:val="000000"/>
          <w:sz w:val="28"/>
          <w:szCs w:val="28"/>
        </w:rPr>
        <w:t>形式评审记录表</w:t>
      </w:r>
    </w:p>
    <w:p>
      <w:pPr>
        <w:adjustRightInd w:val="0"/>
        <w:snapToGrid w:val="0"/>
        <w:spacing w:line="440" w:lineRule="exact"/>
        <w:rPr>
          <w:color w:val="000000"/>
          <w:szCs w:val="44"/>
        </w:rPr>
      </w:pPr>
      <w:r>
        <w:rPr>
          <w:rFonts w:hint="eastAsia"/>
          <w:color w:val="000000"/>
          <w:szCs w:val="44"/>
        </w:rPr>
        <w:t>项目名称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项目编号</w:t>
      </w:r>
    </w:p>
    <w:p>
      <w:pPr>
        <w:adjustRightInd w:val="0"/>
        <w:snapToGrid w:val="0"/>
        <w:spacing w:line="440" w:lineRule="exact"/>
        <w:rPr>
          <w:color w:val="000000"/>
          <w:szCs w:val="44"/>
        </w:rPr>
      </w:pPr>
      <w:r>
        <w:rPr>
          <w:rFonts w:hint="eastAsia"/>
          <w:color w:val="000000"/>
          <w:szCs w:val="44"/>
        </w:rPr>
        <w:t>标段名称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标段编号</w:t>
      </w:r>
    </w:p>
    <w:tbl>
      <w:tblPr>
        <w:tblStyle w:val="36"/>
        <w:tblW w:w="490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2"/>
        <w:gridCol w:w="1151"/>
        <w:gridCol w:w="729"/>
        <w:gridCol w:w="608"/>
        <w:gridCol w:w="788"/>
        <w:gridCol w:w="788"/>
        <w:gridCol w:w="788"/>
        <w:gridCol w:w="788"/>
        <w:gridCol w:w="788"/>
        <w:gridCol w:w="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0" w:hRule="atLeast"/>
        </w:trPr>
        <w:tc>
          <w:tcPr>
            <w:tcW w:w="932" w:type="pct"/>
            <w:shd w:val="clear" w:color="auto" w:fill="E0E0E0"/>
            <w:vAlign w:val="center"/>
          </w:tcPr>
          <w:p>
            <w:pPr>
              <w:jc w:val="center"/>
              <w:rPr>
                <w:rFonts w:ascii="宋体" w:hAnsi="宋体"/>
                <w:color w:val="000000"/>
                <w:szCs w:val="44"/>
              </w:rPr>
            </w:pPr>
            <w:r>
              <w:rPr>
                <w:rFonts w:hint="eastAsia" w:ascii="宋体" w:hAnsi="宋体"/>
                <w:color w:val="000000"/>
                <w:szCs w:val="44"/>
              </w:rPr>
              <w:t>评审项目</w:t>
            </w:r>
          </w:p>
        </w:tc>
        <w:tc>
          <w:tcPr>
            <w:tcW w:w="649" w:type="pct"/>
            <w:shd w:val="clear" w:color="auto" w:fill="E0E0E0"/>
            <w:vAlign w:val="center"/>
          </w:tcPr>
          <w:p>
            <w:pPr>
              <w:jc w:val="center"/>
              <w:rPr>
                <w:rFonts w:ascii="宋体" w:hAnsi="宋体"/>
                <w:color w:val="000000"/>
                <w:szCs w:val="44"/>
              </w:rPr>
            </w:pPr>
            <w:r>
              <w:rPr>
                <w:rFonts w:hint="eastAsia" w:ascii="宋体" w:hAnsi="宋体"/>
                <w:color w:val="000000"/>
                <w:szCs w:val="44"/>
              </w:rPr>
              <w:t>评审标准</w:t>
            </w:r>
          </w:p>
        </w:tc>
        <w:tc>
          <w:tcPr>
            <w:tcW w:w="411" w:type="pct"/>
            <w:shd w:val="clear" w:color="auto" w:fill="E0E0E0"/>
            <w:vAlign w:val="center"/>
          </w:tcPr>
          <w:p>
            <w:pPr>
              <w:jc w:val="center"/>
              <w:rPr>
                <w:rFonts w:ascii="宋体" w:hAnsi="宋体"/>
                <w:color w:val="000000"/>
                <w:szCs w:val="44"/>
              </w:rPr>
            </w:pPr>
          </w:p>
        </w:tc>
        <w:tc>
          <w:tcPr>
            <w:tcW w:w="343" w:type="pct"/>
            <w:shd w:val="clear" w:color="auto" w:fill="E0E0E0"/>
            <w:vAlign w:val="center"/>
          </w:tcPr>
          <w:p>
            <w:pPr>
              <w:jc w:val="center"/>
              <w:rPr>
                <w:rFonts w:ascii="宋体" w:hAnsi="宋体"/>
                <w:color w:val="000000"/>
                <w:szCs w:val="44"/>
              </w:rPr>
            </w:pPr>
          </w:p>
        </w:tc>
        <w:tc>
          <w:tcPr>
            <w:tcW w:w="444" w:type="pct"/>
            <w:shd w:val="clear" w:color="auto" w:fill="E0E0E0"/>
            <w:vAlign w:val="center"/>
          </w:tcPr>
          <w:p>
            <w:pPr>
              <w:jc w:val="center"/>
              <w:rPr>
                <w:rFonts w:ascii="宋体" w:hAnsi="宋体"/>
                <w:color w:val="000000"/>
                <w:szCs w:val="44"/>
              </w:rPr>
            </w:pPr>
          </w:p>
        </w:tc>
        <w:tc>
          <w:tcPr>
            <w:tcW w:w="444" w:type="pct"/>
            <w:shd w:val="clear" w:color="auto" w:fill="E0E0E0"/>
            <w:vAlign w:val="center"/>
          </w:tcPr>
          <w:p>
            <w:pPr>
              <w:jc w:val="center"/>
              <w:rPr>
                <w:rFonts w:ascii="宋体" w:hAnsi="宋体"/>
                <w:color w:val="000000"/>
                <w:szCs w:val="44"/>
              </w:rPr>
            </w:pPr>
          </w:p>
        </w:tc>
        <w:tc>
          <w:tcPr>
            <w:tcW w:w="444" w:type="pct"/>
            <w:shd w:val="clear" w:color="auto" w:fill="E0E0E0"/>
            <w:vAlign w:val="center"/>
          </w:tcPr>
          <w:p>
            <w:pPr>
              <w:jc w:val="center"/>
              <w:rPr>
                <w:rFonts w:ascii="宋体" w:hAnsi="宋体"/>
                <w:color w:val="000000"/>
                <w:szCs w:val="44"/>
              </w:rPr>
            </w:pPr>
          </w:p>
        </w:tc>
        <w:tc>
          <w:tcPr>
            <w:tcW w:w="444" w:type="pct"/>
            <w:shd w:val="clear" w:color="auto" w:fill="E0E0E0"/>
            <w:vAlign w:val="center"/>
          </w:tcPr>
          <w:p>
            <w:pPr>
              <w:jc w:val="center"/>
              <w:rPr>
                <w:rFonts w:ascii="宋体" w:hAnsi="宋体"/>
                <w:color w:val="000000"/>
                <w:szCs w:val="44"/>
              </w:rPr>
            </w:pPr>
          </w:p>
        </w:tc>
        <w:tc>
          <w:tcPr>
            <w:tcW w:w="444" w:type="pct"/>
            <w:shd w:val="clear" w:color="auto" w:fill="E0E0E0"/>
            <w:vAlign w:val="center"/>
          </w:tcPr>
          <w:p>
            <w:pPr>
              <w:jc w:val="center"/>
              <w:rPr>
                <w:rFonts w:ascii="宋体" w:hAnsi="宋体"/>
                <w:color w:val="000000"/>
                <w:szCs w:val="44"/>
              </w:rPr>
            </w:pPr>
          </w:p>
        </w:tc>
        <w:tc>
          <w:tcPr>
            <w:tcW w:w="444" w:type="pct"/>
            <w:shd w:val="clear" w:color="auto" w:fill="E0E0E0"/>
            <w:vAlign w:val="center"/>
          </w:tcPr>
          <w:p>
            <w:pPr>
              <w:jc w:val="center"/>
              <w:rPr>
                <w:rFonts w:ascii="宋体" w:hAnsi="宋体"/>
                <w:color w:val="000000"/>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932" w:type="pct"/>
            <w:shd w:val="clear" w:color="auto" w:fill="auto"/>
            <w:vAlign w:val="center"/>
          </w:tcPr>
          <w:p>
            <w:pPr>
              <w:jc w:val="center"/>
              <w:rPr>
                <w:rFonts w:ascii="宋体" w:hAnsi="宋体"/>
                <w:color w:val="000000"/>
                <w:szCs w:val="44"/>
              </w:rPr>
            </w:pPr>
            <w:permStart w:id="174" w:edGrp="everyone" w:colFirst="0" w:colLast="0"/>
            <w:permStart w:id="175" w:edGrp="everyone" w:colFirst="1" w:colLast="1"/>
            <w:r>
              <w:rPr>
                <w:rFonts w:hint="eastAsia" w:ascii="宋体" w:hAnsi="宋体"/>
                <w:color w:val="000000"/>
                <w:szCs w:val="44"/>
              </w:rPr>
              <w:t>投标人名称</w:t>
            </w:r>
          </w:p>
        </w:tc>
        <w:tc>
          <w:tcPr>
            <w:tcW w:w="649" w:type="pct"/>
            <w:shd w:val="clear" w:color="auto" w:fill="auto"/>
            <w:vAlign w:val="center"/>
          </w:tcPr>
          <w:p>
            <w:pPr>
              <w:jc w:val="center"/>
              <w:rPr>
                <w:rFonts w:ascii="宋体" w:hAnsi="宋体"/>
                <w:color w:val="000000"/>
                <w:szCs w:val="44"/>
              </w:rPr>
            </w:pPr>
            <w:r>
              <w:rPr>
                <w:rFonts w:hint="eastAsia" w:ascii="宋体" w:hAnsi="宋体"/>
                <w:color w:val="000000"/>
                <w:szCs w:val="44"/>
              </w:rPr>
              <w:t>与营业执照、资质证书、安全生产许可证一致</w:t>
            </w:r>
          </w:p>
        </w:tc>
        <w:tc>
          <w:tcPr>
            <w:tcW w:w="411" w:type="pct"/>
            <w:shd w:val="clear" w:color="auto" w:fill="auto"/>
            <w:vAlign w:val="center"/>
          </w:tcPr>
          <w:p>
            <w:pPr>
              <w:jc w:val="center"/>
              <w:rPr>
                <w:rFonts w:ascii="宋体" w:hAnsi="宋体"/>
                <w:color w:val="000000"/>
                <w:szCs w:val="44"/>
              </w:rPr>
            </w:pPr>
          </w:p>
        </w:tc>
        <w:tc>
          <w:tcPr>
            <w:tcW w:w="343"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r>
      <w:permEnd w:id="174"/>
      <w:permEnd w:id="17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932" w:type="pct"/>
            <w:shd w:val="clear" w:color="auto" w:fill="auto"/>
            <w:vAlign w:val="center"/>
          </w:tcPr>
          <w:p>
            <w:pPr>
              <w:jc w:val="center"/>
              <w:rPr>
                <w:rFonts w:ascii="宋体" w:hAnsi="宋体"/>
                <w:color w:val="000000"/>
                <w:szCs w:val="44"/>
              </w:rPr>
            </w:pPr>
            <w:permStart w:id="176" w:edGrp="everyone" w:colFirst="0" w:colLast="0"/>
            <w:permStart w:id="177" w:edGrp="everyone" w:colFirst="1" w:colLast="1"/>
            <w:r>
              <w:rPr>
                <w:rFonts w:hint="eastAsia" w:ascii="宋体" w:hAnsi="宋体"/>
                <w:color w:val="000000"/>
                <w:szCs w:val="44"/>
              </w:rPr>
              <w:t>投标函签字盖章</w:t>
            </w:r>
          </w:p>
        </w:tc>
        <w:tc>
          <w:tcPr>
            <w:tcW w:w="649" w:type="pct"/>
            <w:shd w:val="clear" w:color="auto" w:fill="auto"/>
            <w:vAlign w:val="center"/>
          </w:tcPr>
          <w:p>
            <w:pPr>
              <w:jc w:val="center"/>
              <w:rPr>
                <w:rFonts w:ascii="宋体" w:hAnsi="宋体"/>
                <w:color w:val="000000"/>
                <w:szCs w:val="44"/>
              </w:rPr>
            </w:pPr>
            <w:r>
              <w:rPr>
                <w:rFonts w:hint="eastAsia" w:ascii="宋体" w:hAnsi="宋体"/>
                <w:color w:val="000000"/>
                <w:szCs w:val="44"/>
              </w:rPr>
              <w:t>有法定代表人或其委托代理人签字并加盖单位章</w:t>
            </w:r>
          </w:p>
        </w:tc>
        <w:tc>
          <w:tcPr>
            <w:tcW w:w="411" w:type="pct"/>
            <w:shd w:val="clear" w:color="auto" w:fill="auto"/>
            <w:vAlign w:val="center"/>
          </w:tcPr>
          <w:p>
            <w:pPr>
              <w:jc w:val="center"/>
              <w:rPr>
                <w:rFonts w:ascii="宋体" w:hAnsi="宋体"/>
                <w:color w:val="000000"/>
                <w:szCs w:val="44"/>
              </w:rPr>
            </w:pPr>
          </w:p>
        </w:tc>
        <w:tc>
          <w:tcPr>
            <w:tcW w:w="343"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r>
      <w:permEnd w:id="176"/>
      <w:permEnd w:id="17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932" w:type="pct"/>
            <w:shd w:val="clear" w:color="auto" w:fill="auto"/>
            <w:vAlign w:val="center"/>
          </w:tcPr>
          <w:p>
            <w:pPr>
              <w:jc w:val="center"/>
              <w:rPr>
                <w:rFonts w:ascii="宋体" w:hAnsi="宋体"/>
                <w:color w:val="000000"/>
                <w:szCs w:val="44"/>
              </w:rPr>
            </w:pPr>
            <w:permStart w:id="178" w:edGrp="everyone" w:colFirst="0" w:colLast="0"/>
            <w:permStart w:id="179" w:edGrp="everyone" w:colFirst="1" w:colLast="1"/>
            <w:r>
              <w:rPr>
                <w:rFonts w:hint="eastAsia" w:ascii="宋体" w:hAnsi="宋体"/>
                <w:color w:val="000000"/>
                <w:szCs w:val="44"/>
              </w:rPr>
              <w:t>投标文件格式</w:t>
            </w:r>
          </w:p>
        </w:tc>
        <w:tc>
          <w:tcPr>
            <w:tcW w:w="649" w:type="pct"/>
            <w:shd w:val="clear" w:color="auto" w:fill="auto"/>
            <w:vAlign w:val="center"/>
          </w:tcPr>
          <w:p>
            <w:pPr>
              <w:jc w:val="center"/>
              <w:rPr>
                <w:rFonts w:ascii="宋体" w:hAnsi="宋体"/>
                <w:color w:val="000000"/>
                <w:szCs w:val="44"/>
              </w:rPr>
            </w:pPr>
            <w:r>
              <w:rPr>
                <w:rFonts w:hint="eastAsia" w:ascii="宋体" w:hAnsi="宋体"/>
                <w:color w:val="000000"/>
                <w:szCs w:val="44"/>
              </w:rPr>
              <w:t>符合第八章“投标文件格式”的要求</w:t>
            </w:r>
          </w:p>
        </w:tc>
        <w:tc>
          <w:tcPr>
            <w:tcW w:w="411" w:type="pct"/>
            <w:shd w:val="clear" w:color="auto" w:fill="auto"/>
            <w:vAlign w:val="center"/>
          </w:tcPr>
          <w:p>
            <w:pPr>
              <w:jc w:val="center"/>
              <w:rPr>
                <w:rFonts w:ascii="宋体" w:hAnsi="宋体"/>
                <w:color w:val="000000"/>
                <w:szCs w:val="44"/>
              </w:rPr>
            </w:pPr>
          </w:p>
        </w:tc>
        <w:tc>
          <w:tcPr>
            <w:tcW w:w="343"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r>
      <w:permEnd w:id="178"/>
      <w:permEnd w:id="17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932" w:type="pct"/>
            <w:shd w:val="clear" w:color="auto" w:fill="auto"/>
            <w:vAlign w:val="center"/>
          </w:tcPr>
          <w:p>
            <w:pPr>
              <w:jc w:val="center"/>
              <w:rPr>
                <w:rFonts w:ascii="宋体" w:hAnsi="宋体"/>
                <w:color w:val="000000"/>
                <w:szCs w:val="44"/>
              </w:rPr>
            </w:pPr>
            <w:permStart w:id="180" w:edGrp="everyone" w:colFirst="0" w:colLast="0"/>
            <w:permStart w:id="181" w:edGrp="everyone" w:colFirst="1" w:colLast="1"/>
            <w:r>
              <w:rPr>
                <w:rFonts w:hint="eastAsia" w:ascii="宋体" w:hAnsi="宋体"/>
                <w:color w:val="000000"/>
                <w:szCs w:val="44"/>
              </w:rPr>
              <w:t>联合体投标人（如有）</w:t>
            </w:r>
          </w:p>
        </w:tc>
        <w:tc>
          <w:tcPr>
            <w:tcW w:w="649" w:type="pct"/>
            <w:shd w:val="clear" w:color="auto" w:fill="auto"/>
            <w:vAlign w:val="center"/>
          </w:tcPr>
          <w:p>
            <w:pPr>
              <w:jc w:val="center"/>
              <w:rPr>
                <w:rFonts w:ascii="宋体" w:hAnsi="宋体"/>
                <w:color w:val="000000"/>
                <w:szCs w:val="44"/>
              </w:rPr>
            </w:pPr>
            <w:r>
              <w:rPr>
                <w:rFonts w:hint="eastAsia" w:ascii="宋体" w:hAnsi="宋体"/>
                <w:color w:val="000000"/>
                <w:szCs w:val="44"/>
              </w:rPr>
              <w:t>提交联合体协议书，并明确联合体牵头人</w:t>
            </w:r>
          </w:p>
        </w:tc>
        <w:tc>
          <w:tcPr>
            <w:tcW w:w="411" w:type="pct"/>
            <w:shd w:val="clear" w:color="auto" w:fill="auto"/>
            <w:vAlign w:val="center"/>
          </w:tcPr>
          <w:p>
            <w:pPr>
              <w:jc w:val="center"/>
              <w:rPr>
                <w:rFonts w:ascii="宋体" w:hAnsi="宋体"/>
                <w:color w:val="000000"/>
                <w:szCs w:val="44"/>
              </w:rPr>
            </w:pPr>
          </w:p>
        </w:tc>
        <w:tc>
          <w:tcPr>
            <w:tcW w:w="343"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r>
      <w:permEnd w:id="180"/>
      <w:permEnd w:id="18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932" w:type="pct"/>
            <w:shd w:val="clear" w:color="auto" w:fill="auto"/>
            <w:vAlign w:val="center"/>
          </w:tcPr>
          <w:p>
            <w:pPr>
              <w:jc w:val="center"/>
              <w:rPr>
                <w:rFonts w:ascii="宋体" w:hAnsi="宋体"/>
                <w:color w:val="000000"/>
                <w:szCs w:val="44"/>
              </w:rPr>
            </w:pPr>
            <w:permStart w:id="182" w:edGrp="everyone" w:colFirst="0" w:colLast="0"/>
            <w:permStart w:id="183" w:edGrp="everyone" w:colFirst="1" w:colLast="1"/>
            <w:r>
              <w:rPr>
                <w:rFonts w:hint="eastAsia" w:ascii="宋体" w:hAnsi="宋体"/>
                <w:color w:val="000000"/>
                <w:szCs w:val="44"/>
              </w:rPr>
              <w:t>报价唯一</w:t>
            </w:r>
          </w:p>
        </w:tc>
        <w:tc>
          <w:tcPr>
            <w:tcW w:w="649" w:type="pct"/>
            <w:shd w:val="clear" w:color="auto" w:fill="auto"/>
            <w:vAlign w:val="center"/>
          </w:tcPr>
          <w:p>
            <w:pPr>
              <w:jc w:val="center"/>
              <w:rPr>
                <w:rFonts w:ascii="宋体" w:hAnsi="宋体"/>
                <w:color w:val="000000"/>
                <w:szCs w:val="44"/>
              </w:rPr>
            </w:pPr>
            <w:r>
              <w:rPr>
                <w:rFonts w:hint="eastAsia" w:ascii="宋体" w:hAnsi="宋体"/>
                <w:color w:val="000000"/>
                <w:szCs w:val="44"/>
              </w:rPr>
              <w:t>只能有一个有效报价</w:t>
            </w:r>
          </w:p>
        </w:tc>
        <w:tc>
          <w:tcPr>
            <w:tcW w:w="411" w:type="pct"/>
            <w:shd w:val="clear" w:color="auto" w:fill="auto"/>
            <w:vAlign w:val="center"/>
          </w:tcPr>
          <w:p>
            <w:pPr>
              <w:jc w:val="center"/>
              <w:rPr>
                <w:rFonts w:ascii="宋体" w:hAnsi="宋体"/>
                <w:color w:val="000000"/>
                <w:szCs w:val="44"/>
              </w:rPr>
            </w:pPr>
          </w:p>
        </w:tc>
        <w:tc>
          <w:tcPr>
            <w:tcW w:w="343"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c>
          <w:tcPr>
            <w:tcW w:w="444" w:type="pct"/>
            <w:shd w:val="clear" w:color="auto" w:fill="auto"/>
            <w:vAlign w:val="center"/>
          </w:tcPr>
          <w:p>
            <w:pPr>
              <w:jc w:val="center"/>
              <w:rPr>
                <w:rFonts w:ascii="宋体" w:hAnsi="宋体"/>
                <w:color w:val="000000"/>
                <w:szCs w:val="44"/>
              </w:rPr>
            </w:pPr>
          </w:p>
        </w:tc>
      </w:tr>
      <w:permEnd w:id="182"/>
      <w:permEnd w:id="183"/>
    </w:tbl>
    <w:p>
      <w:pPr>
        <w:spacing w:after="312" w:afterLines="100"/>
        <w:ind w:right="420"/>
        <w:jc w:val="right"/>
        <w:rPr>
          <w:color w:val="000000"/>
          <w:szCs w:val="44"/>
        </w:rPr>
      </w:pPr>
      <w:r>
        <w:rPr>
          <w:rFonts w:hint="eastAsia"/>
          <w:color w:val="000000"/>
          <w:szCs w:val="44"/>
        </w:rPr>
        <w:t>全体评委签字：</w:t>
      </w:r>
      <w:r>
        <w:rPr>
          <w:color w:val="000000"/>
          <w:szCs w:val="44"/>
        </w:rPr>
        <w:tab/>
      </w:r>
    </w:p>
    <w:p>
      <w:pPr>
        <w:spacing w:after="312" w:afterLines="100"/>
        <w:ind w:right="840"/>
        <w:jc w:val="right"/>
        <w:rPr>
          <w:color w:val="000000"/>
          <w:szCs w:val="44"/>
        </w:rPr>
      </w:pPr>
      <w:r>
        <w:rPr>
          <w:rFonts w:hint="eastAsia"/>
          <w:color w:val="000000"/>
          <w:szCs w:val="44"/>
        </w:rPr>
        <w:t>年  月   日</w:t>
      </w:r>
    </w:p>
    <w:p>
      <w:pPr>
        <w:spacing w:before="312" w:beforeLines="100" w:after="249" w:afterLines="80" w:line="380" w:lineRule="exact"/>
        <w:outlineLvl w:val="2"/>
        <w:rPr>
          <w:rFonts w:ascii="黑体" w:hAnsi="宋体" w:eastAsia="黑体"/>
          <w:color w:val="000000"/>
          <w:sz w:val="24"/>
        </w:rPr>
      </w:pPr>
      <w:r>
        <w:rPr>
          <w:rFonts w:ascii="黑体" w:hAnsi="宋体" w:eastAsia="黑体"/>
          <w:color w:val="000000"/>
          <w:sz w:val="24"/>
        </w:rPr>
        <w:br w:type="page"/>
      </w:r>
      <w:bookmarkStart w:id="300" w:name="_Toc114222774"/>
      <w:r>
        <w:rPr>
          <w:rFonts w:hint="eastAsia" w:ascii="黑体" w:hAnsi="宋体" w:eastAsia="黑体"/>
          <w:color w:val="000000"/>
          <w:sz w:val="24"/>
        </w:rPr>
        <w:t>附表A-3：资格评审记录表（系统自动生成）</w:t>
      </w:r>
      <w:bookmarkEnd w:id="300"/>
    </w:p>
    <w:p>
      <w:pPr>
        <w:jc w:val="center"/>
        <w:rPr>
          <w:rFonts w:ascii="黑体" w:hAnsi="宋体" w:eastAsia="黑体"/>
          <w:color w:val="000000"/>
          <w:sz w:val="28"/>
          <w:szCs w:val="28"/>
        </w:rPr>
      </w:pPr>
      <w:r>
        <w:rPr>
          <w:rFonts w:hint="eastAsia" w:ascii="黑体" w:hAnsi="宋体" w:eastAsia="黑体"/>
          <w:color w:val="000000"/>
          <w:sz w:val="28"/>
          <w:szCs w:val="28"/>
        </w:rPr>
        <w:t>资格评审记录表</w:t>
      </w:r>
    </w:p>
    <w:p>
      <w:pPr>
        <w:adjustRightInd w:val="0"/>
        <w:snapToGrid w:val="0"/>
        <w:spacing w:line="440" w:lineRule="exact"/>
        <w:rPr>
          <w:color w:val="000000"/>
          <w:szCs w:val="44"/>
        </w:rPr>
      </w:pPr>
      <w:r>
        <w:rPr>
          <w:rFonts w:hint="eastAsia"/>
          <w:color w:val="000000"/>
          <w:szCs w:val="44"/>
        </w:rPr>
        <w:t>项目名称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项目编号</w:t>
      </w:r>
    </w:p>
    <w:p>
      <w:pPr>
        <w:rPr>
          <w:rFonts w:ascii="宋体" w:hAnsi="宋体"/>
          <w:color w:val="000000"/>
          <w:szCs w:val="44"/>
        </w:rPr>
      </w:pPr>
      <w:r>
        <w:rPr>
          <w:rFonts w:hint="eastAsia"/>
          <w:color w:val="000000"/>
          <w:szCs w:val="44"/>
        </w:rPr>
        <w:t>标段名称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标段编号</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74"/>
        <w:gridCol w:w="1492"/>
        <w:gridCol w:w="885"/>
        <w:gridCol w:w="886"/>
        <w:gridCol w:w="885"/>
        <w:gridCol w:w="886"/>
        <w:gridCol w:w="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2574" w:type="dxa"/>
            <w:shd w:val="clear" w:color="auto" w:fill="E0E0E0"/>
            <w:vAlign w:val="center"/>
          </w:tcPr>
          <w:p>
            <w:pPr>
              <w:jc w:val="center"/>
              <w:rPr>
                <w:rFonts w:ascii="宋体" w:hAnsi="宋体"/>
                <w:color w:val="000000"/>
                <w:szCs w:val="44"/>
              </w:rPr>
            </w:pPr>
            <w:r>
              <w:rPr>
                <w:rFonts w:hint="eastAsia" w:ascii="宋体" w:hAnsi="宋体"/>
                <w:color w:val="000000"/>
                <w:szCs w:val="44"/>
              </w:rPr>
              <w:t>评审项目</w:t>
            </w:r>
          </w:p>
        </w:tc>
        <w:tc>
          <w:tcPr>
            <w:tcW w:w="1492" w:type="dxa"/>
            <w:shd w:val="clear" w:color="auto" w:fill="E0E0E0"/>
            <w:vAlign w:val="center"/>
          </w:tcPr>
          <w:p>
            <w:pPr>
              <w:jc w:val="center"/>
              <w:rPr>
                <w:rFonts w:ascii="宋体" w:hAnsi="宋体"/>
                <w:color w:val="000000"/>
                <w:szCs w:val="44"/>
              </w:rPr>
            </w:pPr>
            <w:r>
              <w:rPr>
                <w:rFonts w:hint="eastAsia" w:ascii="宋体" w:hAnsi="宋体"/>
                <w:color w:val="000000"/>
                <w:szCs w:val="44"/>
              </w:rPr>
              <w:t>评审标准</w:t>
            </w:r>
          </w:p>
        </w:tc>
        <w:tc>
          <w:tcPr>
            <w:tcW w:w="885" w:type="dxa"/>
            <w:shd w:val="clear" w:color="auto" w:fill="E0E0E0"/>
            <w:vAlign w:val="center"/>
          </w:tcPr>
          <w:p>
            <w:pPr>
              <w:jc w:val="center"/>
              <w:rPr>
                <w:rFonts w:ascii="宋体" w:hAnsi="宋体"/>
                <w:color w:val="000000"/>
                <w:szCs w:val="44"/>
              </w:rPr>
            </w:pPr>
          </w:p>
        </w:tc>
        <w:tc>
          <w:tcPr>
            <w:tcW w:w="886" w:type="dxa"/>
            <w:shd w:val="clear" w:color="auto" w:fill="E0E0E0"/>
            <w:vAlign w:val="center"/>
          </w:tcPr>
          <w:p>
            <w:pPr>
              <w:jc w:val="center"/>
              <w:rPr>
                <w:rFonts w:ascii="宋体" w:hAnsi="宋体"/>
                <w:color w:val="000000"/>
                <w:szCs w:val="44"/>
              </w:rPr>
            </w:pPr>
          </w:p>
        </w:tc>
        <w:tc>
          <w:tcPr>
            <w:tcW w:w="885" w:type="dxa"/>
            <w:shd w:val="clear" w:color="auto" w:fill="E0E0E0"/>
            <w:vAlign w:val="center"/>
          </w:tcPr>
          <w:p>
            <w:pPr>
              <w:jc w:val="center"/>
              <w:rPr>
                <w:rFonts w:ascii="宋体" w:hAnsi="宋体"/>
                <w:color w:val="000000"/>
                <w:szCs w:val="44"/>
              </w:rPr>
            </w:pPr>
          </w:p>
        </w:tc>
        <w:tc>
          <w:tcPr>
            <w:tcW w:w="886" w:type="dxa"/>
            <w:shd w:val="clear" w:color="auto" w:fill="E0E0E0"/>
            <w:vAlign w:val="center"/>
          </w:tcPr>
          <w:p>
            <w:pPr>
              <w:jc w:val="center"/>
              <w:rPr>
                <w:rFonts w:ascii="宋体" w:hAnsi="宋体"/>
                <w:color w:val="000000"/>
                <w:szCs w:val="44"/>
              </w:rPr>
            </w:pPr>
          </w:p>
        </w:tc>
        <w:tc>
          <w:tcPr>
            <w:tcW w:w="886" w:type="dxa"/>
            <w:shd w:val="clear" w:color="auto" w:fill="E0E0E0"/>
            <w:vAlign w:val="center"/>
          </w:tcPr>
          <w:p>
            <w:pPr>
              <w:jc w:val="center"/>
              <w:rPr>
                <w:rFonts w:ascii="宋体" w:hAnsi="宋体"/>
                <w:color w:val="000000"/>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574" w:type="dxa"/>
            <w:vAlign w:val="center"/>
          </w:tcPr>
          <w:p>
            <w:pPr>
              <w:jc w:val="center"/>
              <w:rPr>
                <w:rFonts w:ascii="宋体" w:hAnsi="宋体"/>
                <w:color w:val="000000"/>
                <w:szCs w:val="44"/>
              </w:rPr>
            </w:pPr>
            <w:permStart w:id="184" w:edGrp="everyone"/>
            <w:permStart w:id="185" w:edGrp="everyone" w:colFirst="1" w:colLast="1"/>
            <w:r>
              <w:rPr>
                <w:rFonts w:hint="eastAsia" w:ascii="宋体" w:hAnsi="宋体"/>
                <w:color w:val="000000"/>
                <w:szCs w:val="44"/>
              </w:rPr>
              <w:t>营业执照</w:t>
            </w:r>
            <w:permEnd w:id="184"/>
          </w:p>
        </w:tc>
        <w:tc>
          <w:tcPr>
            <w:tcW w:w="1492" w:type="dxa"/>
            <w:vAlign w:val="center"/>
          </w:tcPr>
          <w:p>
            <w:pPr>
              <w:jc w:val="center"/>
              <w:rPr>
                <w:color w:val="000000"/>
              </w:rPr>
            </w:pPr>
            <w:r>
              <w:rPr>
                <w:rFonts w:hint="eastAsia" w:ascii="宋体" w:hAnsi="宋体"/>
                <w:color w:val="000000"/>
                <w:szCs w:val="44"/>
              </w:rPr>
              <w:t>具备有效的营业执照</w:t>
            </w:r>
          </w:p>
        </w:tc>
        <w:tc>
          <w:tcPr>
            <w:tcW w:w="885" w:type="dxa"/>
            <w:vAlign w:val="center"/>
          </w:tcPr>
          <w:p>
            <w:pPr>
              <w:jc w:val="center"/>
              <w:rPr>
                <w:rFonts w:ascii="宋体" w:hAnsi="宋体"/>
                <w:color w:val="000000"/>
                <w:szCs w:val="44"/>
              </w:rPr>
            </w:pPr>
          </w:p>
        </w:tc>
        <w:tc>
          <w:tcPr>
            <w:tcW w:w="886" w:type="dxa"/>
            <w:vAlign w:val="center"/>
          </w:tcPr>
          <w:p>
            <w:pPr>
              <w:jc w:val="center"/>
              <w:rPr>
                <w:rFonts w:ascii="宋体" w:hAnsi="宋体"/>
                <w:color w:val="000000"/>
                <w:szCs w:val="44"/>
              </w:rPr>
            </w:pPr>
          </w:p>
        </w:tc>
        <w:tc>
          <w:tcPr>
            <w:tcW w:w="885" w:type="dxa"/>
            <w:vAlign w:val="center"/>
          </w:tcPr>
          <w:p>
            <w:pPr>
              <w:jc w:val="center"/>
              <w:rPr>
                <w:rFonts w:ascii="宋体" w:hAnsi="宋体"/>
                <w:color w:val="000000"/>
                <w:szCs w:val="44"/>
              </w:rPr>
            </w:pPr>
          </w:p>
        </w:tc>
        <w:tc>
          <w:tcPr>
            <w:tcW w:w="886" w:type="dxa"/>
            <w:vAlign w:val="center"/>
          </w:tcPr>
          <w:p>
            <w:pPr>
              <w:jc w:val="center"/>
              <w:rPr>
                <w:rFonts w:ascii="宋体" w:hAnsi="宋体"/>
                <w:color w:val="000000"/>
                <w:szCs w:val="44"/>
              </w:rPr>
            </w:pPr>
          </w:p>
        </w:tc>
        <w:tc>
          <w:tcPr>
            <w:tcW w:w="886" w:type="dxa"/>
            <w:vAlign w:val="center"/>
          </w:tcPr>
          <w:p>
            <w:pPr>
              <w:jc w:val="center"/>
              <w:rPr>
                <w:rFonts w:ascii="宋体" w:hAnsi="宋体"/>
                <w:color w:val="000000"/>
                <w:szCs w:val="44"/>
              </w:rPr>
            </w:pPr>
          </w:p>
        </w:tc>
      </w:tr>
      <w:permEnd w:id="18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574" w:type="dxa"/>
            <w:vAlign w:val="center"/>
          </w:tcPr>
          <w:p>
            <w:pPr>
              <w:jc w:val="center"/>
              <w:rPr>
                <w:rFonts w:ascii="宋体" w:hAnsi="宋体"/>
                <w:color w:val="000000"/>
                <w:szCs w:val="44"/>
              </w:rPr>
            </w:pPr>
            <w:permStart w:id="186" w:edGrp="everyone" w:colFirst="0" w:colLast="0"/>
            <w:permStart w:id="187" w:edGrp="everyone" w:colFirst="1" w:colLast="1"/>
            <w:r>
              <w:rPr>
                <w:rFonts w:hint="eastAsia" w:ascii="宋体" w:hAnsi="宋体"/>
                <w:color w:val="000000"/>
                <w:szCs w:val="44"/>
              </w:rPr>
              <w:t>安全生产许可证</w:t>
            </w:r>
          </w:p>
        </w:tc>
        <w:tc>
          <w:tcPr>
            <w:tcW w:w="1492" w:type="dxa"/>
            <w:vAlign w:val="center"/>
          </w:tcPr>
          <w:p>
            <w:pPr>
              <w:jc w:val="center"/>
              <w:rPr>
                <w:color w:val="000000"/>
              </w:rPr>
            </w:pPr>
            <w:r>
              <w:rPr>
                <w:rFonts w:hint="eastAsia" w:ascii="宋体" w:hAnsi="宋体"/>
                <w:color w:val="000000"/>
                <w:szCs w:val="44"/>
              </w:rPr>
              <w:t>具备有效的安全生产许可证（园林类项目的施工单位无需提供）</w:t>
            </w:r>
          </w:p>
        </w:tc>
        <w:tc>
          <w:tcPr>
            <w:tcW w:w="885" w:type="dxa"/>
            <w:vAlign w:val="center"/>
          </w:tcPr>
          <w:p>
            <w:pPr>
              <w:jc w:val="center"/>
              <w:rPr>
                <w:rFonts w:ascii="宋体" w:hAnsi="宋体"/>
                <w:color w:val="000000"/>
                <w:szCs w:val="44"/>
              </w:rPr>
            </w:pPr>
          </w:p>
        </w:tc>
        <w:tc>
          <w:tcPr>
            <w:tcW w:w="886" w:type="dxa"/>
            <w:vAlign w:val="center"/>
          </w:tcPr>
          <w:p>
            <w:pPr>
              <w:jc w:val="center"/>
              <w:rPr>
                <w:rFonts w:ascii="宋体" w:hAnsi="宋体"/>
                <w:color w:val="000000"/>
                <w:szCs w:val="44"/>
              </w:rPr>
            </w:pPr>
          </w:p>
        </w:tc>
        <w:tc>
          <w:tcPr>
            <w:tcW w:w="885" w:type="dxa"/>
            <w:vAlign w:val="center"/>
          </w:tcPr>
          <w:p>
            <w:pPr>
              <w:jc w:val="center"/>
              <w:rPr>
                <w:rFonts w:ascii="宋体" w:hAnsi="宋体"/>
                <w:color w:val="000000"/>
                <w:szCs w:val="44"/>
              </w:rPr>
            </w:pPr>
          </w:p>
        </w:tc>
        <w:tc>
          <w:tcPr>
            <w:tcW w:w="886" w:type="dxa"/>
            <w:vAlign w:val="center"/>
          </w:tcPr>
          <w:p>
            <w:pPr>
              <w:jc w:val="center"/>
              <w:rPr>
                <w:rFonts w:ascii="宋体" w:hAnsi="宋体"/>
                <w:color w:val="000000"/>
                <w:szCs w:val="44"/>
              </w:rPr>
            </w:pPr>
          </w:p>
        </w:tc>
        <w:tc>
          <w:tcPr>
            <w:tcW w:w="886" w:type="dxa"/>
            <w:vAlign w:val="center"/>
          </w:tcPr>
          <w:p>
            <w:pPr>
              <w:jc w:val="center"/>
              <w:rPr>
                <w:rFonts w:ascii="宋体" w:hAnsi="宋体"/>
                <w:color w:val="000000"/>
                <w:szCs w:val="44"/>
              </w:rPr>
            </w:pPr>
          </w:p>
        </w:tc>
      </w:tr>
      <w:permEnd w:id="186"/>
      <w:permEnd w:id="18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574" w:type="dxa"/>
            <w:vAlign w:val="center"/>
          </w:tcPr>
          <w:p>
            <w:pPr>
              <w:jc w:val="center"/>
              <w:rPr>
                <w:rFonts w:ascii="宋体" w:hAnsi="宋体"/>
                <w:color w:val="000000"/>
                <w:szCs w:val="44"/>
              </w:rPr>
            </w:pPr>
            <w:permStart w:id="188" w:edGrp="everyone" w:colFirst="0" w:colLast="0"/>
            <w:permStart w:id="189" w:edGrp="everyone" w:colFirst="1" w:colLast="1"/>
            <w:r>
              <w:rPr>
                <w:rFonts w:hint="eastAsia" w:ascii="宋体" w:hAnsi="宋体"/>
                <w:color w:val="000000"/>
                <w:szCs w:val="44"/>
              </w:rPr>
              <w:t>资质等级</w:t>
            </w:r>
          </w:p>
        </w:tc>
        <w:tc>
          <w:tcPr>
            <w:tcW w:w="1492" w:type="dxa"/>
            <w:vAlign w:val="center"/>
          </w:tcPr>
          <w:p>
            <w:pPr>
              <w:jc w:val="center"/>
              <w:rPr>
                <w:color w:val="000000"/>
              </w:rPr>
            </w:pPr>
            <w:r>
              <w:rPr>
                <w:rFonts w:hint="eastAsia" w:ascii="宋体" w:hAnsi="宋体"/>
                <w:color w:val="000000"/>
                <w:szCs w:val="44"/>
              </w:rPr>
              <w:t>符合第二章“投标人须知”第1.4.1项规定</w:t>
            </w:r>
          </w:p>
        </w:tc>
        <w:tc>
          <w:tcPr>
            <w:tcW w:w="885" w:type="dxa"/>
            <w:vAlign w:val="center"/>
          </w:tcPr>
          <w:p>
            <w:pPr>
              <w:jc w:val="center"/>
              <w:rPr>
                <w:rFonts w:ascii="宋体" w:hAnsi="宋体"/>
                <w:color w:val="000000"/>
                <w:szCs w:val="44"/>
              </w:rPr>
            </w:pPr>
          </w:p>
        </w:tc>
        <w:tc>
          <w:tcPr>
            <w:tcW w:w="886" w:type="dxa"/>
            <w:vAlign w:val="center"/>
          </w:tcPr>
          <w:p>
            <w:pPr>
              <w:jc w:val="center"/>
              <w:rPr>
                <w:rFonts w:ascii="宋体" w:hAnsi="宋体"/>
                <w:color w:val="000000"/>
                <w:szCs w:val="44"/>
              </w:rPr>
            </w:pPr>
          </w:p>
        </w:tc>
        <w:tc>
          <w:tcPr>
            <w:tcW w:w="885" w:type="dxa"/>
            <w:vAlign w:val="center"/>
          </w:tcPr>
          <w:p>
            <w:pPr>
              <w:jc w:val="center"/>
              <w:rPr>
                <w:rFonts w:ascii="宋体" w:hAnsi="宋体"/>
                <w:color w:val="000000"/>
                <w:szCs w:val="44"/>
              </w:rPr>
            </w:pPr>
          </w:p>
        </w:tc>
        <w:tc>
          <w:tcPr>
            <w:tcW w:w="886" w:type="dxa"/>
            <w:vAlign w:val="center"/>
          </w:tcPr>
          <w:p>
            <w:pPr>
              <w:jc w:val="center"/>
              <w:rPr>
                <w:rFonts w:ascii="宋体" w:hAnsi="宋体"/>
                <w:color w:val="000000"/>
                <w:szCs w:val="44"/>
              </w:rPr>
            </w:pPr>
          </w:p>
        </w:tc>
        <w:tc>
          <w:tcPr>
            <w:tcW w:w="886" w:type="dxa"/>
            <w:vAlign w:val="center"/>
          </w:tcPr>
          <w:p>
            <w:pPr>
              <w:jc w:val="center"/>
              <w:rPr>
                <w:rFonts w:ascii="宋体" w:hAnsi="宋体"/>
                <w:color w:val="000000"/>
                <w:szCs w:val="44"/>
              </w:rPr>
            </w:pPr>
          </w:p>
        </w:tc>
      </w:tr>
      <w:permEnd w:id="188"/>
      <w:permEnd w:id="18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574" w:type="dxa"/>
            <w:vAlign w:val="center"/>
          </w:tcPr>
          <w:p>
            <w:pPr>
              <w:jc w:val="center"/>
              <w:rPr>
                <w:rFonts w:ascii="宋体" w:hAnsi="宋体"/>
                <w:color w:val="000000"/>
                <w:szCs w:val="44"/>
              </w:rPr>
            </w:pPr>
            <w:permStart w:id="190" w:edGrp="everyone" w:colFirst="0" w:colLast="0"/>
            <w:permStart w:id="191" w:edGrp="everyone" w:colFirst="1" w:colLast="1"/>
            <w:r>
              <w:rPr>
                <w:rFonts w:hint="eastAsia" w:ascii="宋体" w:hAnsi="宋体"/>
                <w:color w:val="000000"/>
                <w:szCs w:val="44"/>
              </w:rPr>
              <w:t>企业诚信</w:t>
            </w:r>
          </w:p>
        </w:tc>
        <w:tc>
          <w:tcPr>
            <w:tcW w:w="1492" w:type="dxa"/>
            <w:vAlign w:val="center"/>
          </w:tcPr>
          <w:p>
            <w:pPr>
              <w:jc w:val="center"/>
              <w:rPr>
                <w:color w:val="000000"/>
              </w:rPr>
            </w:pPr>
            <w:r>
              <w:rPr>
                <w:rFonts w:hint="eastAsia" w:ascii="宋体" w:hAnsi="宋体"/>
                <w:color w:val="000000"/>
                <w:szCs w:val="44"/>
              </w:rPr>
              <w:t>符合第二章“投标人须知”第1.4.1项规定</w:t>
            </w:r>
          </w:p>
        </w:tc>
        <w:tc>
          <w:tcPr>
            <w:tcW w:w="885" w:type="dxa"/>
            <w:vAlign w:val="center"/>
          </w:tcPr>
          <w:p>
            <w:pPr>
              <w:jc w:val="center"/>
              <w:rPr>
                <w:rFonts w:ascii="宋体" w:hAnsi="宋体"/>
                <w:color w:val="000000"/>
                <w:szCs w:val="44"/>
              </w:rPr>
            </w:pPr>
          </w:p>
        </w:tc>
        <w:tc>
          <w:tcPr>
            <w:tcW w:w="886" w:type="dxa"/>
            <w:vAlign w:val="center"/>
          </w:tcPr>
          <w:p>
            <w:pPr>
              <w:jc w:val="center"/>
              <w:rPr>
                <w:rFonts w:ascii="宋体" w:hAnsi="宋体"/>
                <w:color w:val="000000"/>
                <w:szCs w:val="44"/>
              </w:rPr>
            </w:pPr>
          </w:p>
        </w:tc>
        <w:tc>
          <w:tcPr>
            <w:tcW w:w="885" w:type="dxa"/>
            <w:vAlign w:val="center"/>
          </w:tcPr>
          <w:p>
            <w:pPr>
              <w:jc w:val="center"/>
              <w:rPr>
                <w:rFonts w:ascii="宋体" w:hAnsi="宋体"/>
                <w:color w:val="000000"/>
                <w:szCs w:val="44"/>
              </w:rPr>
            </w:pPr>
          </w:p>
        </w:tc>
        <w:tc>
          <w:tcPr>
            <w:tcW w:w="886" w:type="dxa"/>
            <w:vAlign w:val="center"/>
          </w:tcPr>
          <w:p>
            <w:pPr>
              <w:jc w:val="center"/>
              <w:rPr>
                <w:rFonts w:ascii="宋体" w:hAnsi="宋体"/>
                <w:color w:val="000000"/>
                <w:szCs w:val="44"/>
              </w:rPr>
            </w:pPr>
          </w:p>
        </w:tc>
        <w:tc>
          <w:tcPr>
            <w:tcW w:w="886" w:type="dxa"/>
            <w:vAlign w:val="center"/>
          </w:tcPr>
          <w:p>
            <w:pPr>
              <w:jc w:val="center"/>
              <w:rPr>
                <w:rFonts w:ascii="宋体" w:hAnsi="宋体"/>
                <w:color w:val="000000"/>
                <w:szCs w:val="44"/>
              </w:rPr>
            </w:pPr>
          </w:p>
        </w:tc>
      </w:tr>
      <w:permEnd w:id="190"/>
      <w:permEnd w:id="19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574" w:type="dxa"/>
            <w:vAlign w:val="center"/>
          </w:tcPr>
          <w:p>
            <w:pPr>
              <w:jc w:val="center"/>
              <w:rPr>
                <w:rFonts w:ascii="宋体" w:hAnsi="宋体"/>
                <w:color w:val="000000"/>
                <w:szCs w:val="44"/>
              </w:rPr>
            </w:pPr>
            <w:permStart w:id="192" w:edGrp="everyone" w:colFirst="0" w:colLast="0"/>
            <w:permStart w:id="193" w:edGrp="everyone" w:colFirst="1" w:colLast="1"/>
            <w:r>
              <w:rPr>
                <w:rFonts w:hint="eastAsia"/>
                <w:color w:val="000000"/>
              </w:rPr>
              <w:t>项目负责人（项目经理）</w:t>
            </w:r>
          </w:p>
        </w:tc>
        <w:tc>
          <w:tcPr>
            <w:tcW w:w="1492" w:type="dxa"/>
            <w:vAlign w:val="center"/>
          </w:tcPr>
          <w:p>
            <w:pPr>
              <w:jc w:val="center"/>
              <w:rPr>
                <w:color w:val="000000"/>
              </w:rPr>
            </w:pPr>
            <w:r>
              <w:rPr>
                <w:rFonts w:hint="eastAsia" w:ascii="宋体" w:hAnsi="宋体"/>
                <w:color w:val="000000"/>
                <w:szCs w:val="44"/>
              </w:rPr>
              <w:t>符合第二章“投标人须知”第1.4.1项规定</w:t>
            </w:r>
          </w:p>
        </w:tc>
        <w:tc>
          <w:tcPr>
            <w:tcW w:w="885" w:type="dxa"/>
            <w:vAlign w:val="center"/>
          </w:tcPr>
          <w:p>
            <w:pPr>
              <w:jc w:val="center"/>
              <w:rPr>
                <w:rFonts w:ascii="宋体" w:hAnsi="宋体"/>
                <w:color w:val="000000"/>
                <w:szCs w:val="44"/>
              </w:rPr>
            </w:pPr>
          </w:p>
        </w:tc>
        <w:tc>
          <w:tcPr>
            <w:tcW w:w="886" w:type="dxa"/>
            <w:vAlign w:val="center"/>
          </w:tcPr>
          <w:p>
            <w:pPr>
              <w:jc w:val="center"/>
              <w:rPr>
                <w:rFonts w:ascii="宋体" w:hAnsi="宋体"/>
                <w:color w:val="000000"/>
                <w:szCs w:val="44"/>
              </w:rPr>
            </w:pPr>
          </w:p>
        </w:tc>
        <w:tc>
          <w:tcPr>
            <w:tcW w:w="885" w:type="dxa"/>
            <w:vAlign w:val="center"/>
          </w:tcPr>
          <w:p>
            <w:pPr>
              <w:jc w:val="center"/>
              <w:rPr>
                <w:rFonts w:ascii="宋体" w:hAnsi="宋体"/>
                <w:color w:val="000000"/>
                <w:szCs w:val="44"/>
              </w:rPr>
            </w:pPr>
          </w:p>
        </w:tc>
        <w:tc>
          <w:tcPr>
            <w:tcW w:w="886" w:type="dxa"/>
            <w:vAlign w:val="center"/>
          </w:tcPr>
          <w:p>
            <w:pPr>
              <w:jc w:val="center"/>
              <w:rPr>
                <w:rFonts w:ascii="宋体" w:hAnsi="宋体"/>
                <w:color w:val="000000"/>
                <w:szCs w:val="44"/>
              </w:rPr>
            </w:pPr>
          </w:p>
        </w:tc>
        <w:tc>
          <w:tcPr>
            <w:tcW w:w="886" w:type="dxa"/>
            <w:vAlign w:val="center"/>
          </w:tcPr>
          <w:p>
            <w:pPr>
              <w:jc w:val="center"/>
              <w:rPr>
                <w:rFonts w:ascii="宋体" w:hAnsi="宋体"/>
                <w:color w:val="000000"/>
                <w:szCs w:val="44"/>
              </w:rPr>
            </w:pPr>
          </w:p>
        </w:tc>
      </w:tr>
      <w:permEnd w:id="192"/>
      <w:permEnd w:id="19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574" w:type="dxa"/>
            <w:vAlign w:val="center"/>
          </w:tcPr>
          <w:p>
            <w:pPr>
              <w:jc w:val="center"/>
              <w:rPr>
                <w:rFonts w:ascii="宋体" w:hAnsi="宋体"/>
                <w:color w:val="000000"/>
                <w:szCs w:val="44"/>
              </w:rPr>
            </w:pPr>
            <w:permStart w:id="194" w:edGrp="everyone" w:colFirst="0" w:colLast="0"/>
            <w:permStart w:id="195" w:edGrp="everyone" w:colFirst="1" w:colLast="1"/>
            <w:r>
              <w:rPr>
                <w:rFonts w:hint="eastAsia" w:ascii="宋体" w:hAnsi="宋体"/>
                <w:color w:val="000000"/>
                <w:szCs w:val="44"/>
              </w:rPr>
              <w:t>联合体投标人（如有）</w:t>
            </w:r>
          </w:p>
        </w:tc>
        <w:tc>
          <w:tcPr>
            <w:tcW w:w="1492" w:type="dxa"/>
            <w:vAlign w:val="center"/>
          </w:tcPr>
          <w:p>
            <w:pPr>
              <w:jc w:val="center"/>
              <w:rPr>
                <w:color w:val="000000"/>
              </w:rPr>
            </w:pPr>
            <w:r>
              <w:rPr>
                <w:rFonts w:hint="eastAsia" w:ascii="宋体" w:hAnsi="宋体"/>
                <w:color w:val="000000"/>
                <w:szCs w:val="44"/>
              </w:rPr>
              <w:t>符合第二章“投标人须知”第1.4.</w:t>
            </w:r>
            <w:r>
              <w:rPr>
                <w:rFonts w:ascii="宋体" w:hAnsi="宋体"/>
                <w:color w:val="000000"/>
                <w:szCs w:val="44"/>
              </w:rPr>
              <w:t>2</w:t>
            </w:r>
            <w:r>
              <w:rPr>
                <w:rFonts w:hint="eastAsia" w:ascii="宋体" w:hAnsi="宋体"/>
                <w:color w:val="000000"/>
                <w:szCs w:val="44"/>
              </w:rPr>
              <w:t>项规定</w:t>
            </w:r>
          </w:p>
        </w:tc>
        <w:tc>
          <w:tcPr>
            <w:tcW w:w="885" w:type="dxa"/>
            <w:vAlign w:val="center"/>
          </w:tcPr>
          <w:p>
            <w:pPr>
              <w:jc w:val="center"/>
              <w:rPr>
                <w:rFonts w:ascii="宋体" w:hAnsi="宋体"/>
                <w:color w:val="000000"/>
                <w:szCs w:val="44"/>
              </w:rPr>
            </w:pPr>
          </w:p>
        </w:tc>
        <w:tc>
          <w:tcPr>
            <w:tcW w:w="886" w:type="dxa"/>
            <w:vAlign w:val="center"/>
          </w:tcPr>
          <w:p>
            <w:pPr>
              <w:jc w:val="center"/>
              <w:rPr>
                <w:rFonts w:ascii="宋体" w:hAnsi="宋体"/>
                <w:color w:val="000000"/>
                <w:szCs w:val="44"/>
              </w:rPr>
            </w:pPr>
          </w:p>
        </w:tc>
        <w:tc>
          <w:tcPr>
            <w:tcW w:w="885" w:type="dxa"/>
            <w:vAlign w:val="center"/>
          </w:tcPr>
          <w:p>
            <w:pPr>
              <w:jc w:val="center"/>
              <w:rPr>
                <w:rFonts w:ascii="宋体" w:hAnsi="宋体"/>
                <w:color w:val="000000"/>
                <w:szCs w:val="44"/>
              </w:rPr>
            </w:pPr>
          </w:p>
        </w:tc>
        <w:tc>
          <w:tcPr>
            <w:tcW w:w="886" w:type="dxa"/>
            <w:vAlign w:val="center"/>
          </w:tcPr>
          <w:p>
            <w:pPr>
              <w:jc w:val="center"/>
              <w:rPr>
                <w:rFonts w:ascii="宋体" w:hAnsi="宋体"/>
                <w:color w:val="000000"/>
                <w:szCs w:val="44"/>
              </w:rPr>
            </w:pPr>
          </w:p>
        </w:tc>
        <w:tc>
          <w:tcPr>
            <w:tcW w:w="886" w:type="dxa"/>
            <w:vAlign w:val="center"/>
          </w:tcPr>
          <w:p>
            <w:pPr>
              <w:jc w:val="center"/>
              <w:rPr>
                <w:rFonts w:ascii="宋体" w:hAnsi="宋体"/>
                <w:color w:val="000000"/>
                <w:szCs w:val="44"/>
              </w:rPr>
            </w:pPr>
          </w:p>
        </w:tc>
      </w:tr>
      <w:permEnd w:id="194"/>
      <w:permEnd w:id="195"/>
    </w:tbl>
    <w:p>
      <w:pPr>
        <w:spacing w:after="312" w:afterLines="100"/>
        <w:ind w:right="420"/>
        <w:jc w:val="right"/>
        <w:rPr>
          <w:color w:val="000000"/>
          <w:szCs w:val="44"/>
        </w:rPr>
      </w:pPr>
      <w:r>
        <w:rPr>
          <w:rFonts w:hint="eastAsia"/>
          <w:color w:val="000000"/>
          <w:szCs w:val="44"/>
        </w:rPr>
        <w:t>全体评委签字：</w:t>
      </w:r>
      <w:r>
        <w:rPr>
          <w:color w:val="000000"/>
          <w:szCs w:val="44"/>
        </w:rPr>
        <w:tab/>
      </w:r>
    </w:p>
    <w:p>
      <w:pPr>
        <w:spacing w:after="312" w:afterLines="100"/>
        <w:ind w:right="840"/>
        <w:jc w:val="right"/>
        <w:rPr>
          <w:color w:val="000000"/>
          <w:szCs w:val="44"/>
        </w:rPr>
      </w:pPr>
      <w:r>
        <w:rPr>
          <w:rFonts w:hint="eastAsia"/>
          <w:color w:val="000000"/>
          <w:szCs w:val="44"/>
        </w:rPr>
        <w:t>年  月   日</w:t>
      </w:r>
    </w:p>
    <w:p>
      <w:pPr>
        <w:spacing w:before="312" w:beforeLines="100" w:after="249" w:afterLines="80" w:line="380" w:lineRule="exact"/>
        <w:outlineLvl w:val="2"/>
        <w:rPr>
          <w:rFonts w:ascii="黑体" w:hAnsi="宋体" w:eastAsia="黑体"/>
          <w:color w:val="000000"/>
          <w:sz w:val="24"/>
        </w:rPr>
      </w:pPr>
      <w:r>
        <w:rPr>
          <w:rFonts w:ascii="黑体" w:hAnsi="宋体" w:eastAsia="黑体"/>
          <w:color w:val="000000"/>
          <w:sz w:val="24"/>
        </w:rPr>
        <w:br w:type="page"/>
      </w:r>
      <w:bookmarkStart w:id="301" w:name="_Toc114222775"/>
      <w:r>
        <w:rPr>
          <w:rFonts w:hint="eastAsia" w:ascii="黑体" w:hAnsi="宋体" w:eastAsia="黑体"/>
          <w:color w:val="000000"/>
          <w:sz w:val="24"/>
        </w:rPr>
        <w:t>附表A-4：响应性评审记录表（系统自动生成）</w:t>
      </w:r>
      <w:bookmarkEnd w:id="301"/>
    </w:p>
    <w:p>
      <w:pPr>
        <w:jc w:val="center"/>
        <w:rPr>
          <w:rFonts w:ascii="黑体" w:hAnsi="宋体" w:eastAsia="黑体"/>
          <w:color w:val="000000"/>
          <w:sz w:val="28"/>
          <w:szCs w:val="28"/>
        </w:rPr>
      </w:pPr>
      <w:r>
        <w:rPr>
          <w:rFonts w:hint="eastAsia" w:ascii="黑体" w:hAnsi="宋体" w:eastAsia="黑体"/>
          <w:color w:val="000000"/>
          <w:sz w:val="28"/>
          <w:szCs w:val="28"/>
        </w:rPr>
        <w:t>响应性评审记录表</w:t>
      </w:r>
    </w:p>
    <w:p>
      <w:pPr>
        <w:adjustRightInd w:val="0"/>
        <w:snapToGrid w:val="0"/>
        <w:spacing w:line="440" w:lineRule="exact"/>
        <w:rPr>
          <w:color w:val="000000"/>
          <w:szCs w:val="44"/>
        </w:rPr>
      </w:pPr>
      <w:r>
        <w:rPr>
          <w:rFonts w:hint="eastAsia"/>
          <w:color w:val="000000"/>
          <w:szCs w:val="44"/>
        </w:rPr>
        <w:t>项目名称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项目编号</w:t>
      </w:r>
    </w:p>
    <w:p>
      <w:pPr>
        <w:rPr>
          <w:rFonts w:ascii="宋体" w:hAnsi="宋体"/>
          <w:color w:val="000000"/>
          <w:szCs w:val="44"/>
        </w:rPr>
      </w:pPr>
      <w:r>
        <w:rPr>
          <w:rFonts w:hint="eastAsia"/>
          <w:color w:val="000000"/>
          <w:szCs w:val="44"/>
        </w:rPr>
        <w:t>标段名称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标段编号</w:t>
      </w:r>
    </w:p>
    <w:p>
      <w:pPr>
        <w:rPr>
          <w:rFonts w:ascii="宋体" w:hAnsi="宋体"/>
          <w:color w:val="000000"/>
          <w:szCs w:val="44"/>
        </w:rPr>
      </w:pPr>
    </w:p>
    <w:tbl>
      <w:tblPr>
        <w:tblStyle w:val="36"/>
        <w:tblW w:w="97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2693"/>
        <w:gridCol w:w="264"/>
        <w:gridCol w:w="901"/>
        <w:gridCol w:w="901"/>
        <w:gridCol w:w="901"/>
        <w:gridCol w:w="901"/>
        <w:gridCol w:w="901"/>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42" w:hRule="atLeast"/>
        </w:trPr>
        <w:tc>
          <w:tcPr>
            <w:tcW w:w="1413" w:type="dxa"/>
            <w:shd w:val="clear" w:color="auto" w:fill="E0E0E0"/>
            <w:vAlign w:val="center"/>
          </w:tcPr>
          <w:p>
            <w:pPr>
              <w:jc w:val="center"/>
              <w:rPr>
                <w:rFonts w:ascii="宋体" w:hAnsi="宋体"/>
                <w:color w:val="000000"/>
                <w:szCs w:val="44"/>
              </w:rPr>
            </w:pPr>
            <w:r>
              <w:rPr>
                <w:rFonts w:hint="eastAsia" w:ascii="宋体" w:hAnsi="宋体"/>
                <w:color w:val="000000"/>
                <w:szCs w:val="44"/>
              </w:rPr>
              <w:t>评审项目</w:t>
            </w:r>
          </w:p>
        </w:tc>
        <w:tc>
          <w:tcPr>
            <w:tcW w:w="2693" w:type="dxa"/>
            <w:shd w:val="clear" w:color="auto" w:fill="E0E0E0"/>
            <w:vAlign w:val="center"/>
          </w:tcPr>
          <w:p>
            <w:pPr>
              <w:jc w:val="center"/>
              <w:rPr>
                <w:rFonts w:ascii="宋体" w:hAnsi="宋体"/>
                <w:color w:val="000000"/>
                <w:szCs w:val="44"/>
              </w:rPr>
            </w:pPr>
            <w:r>
              <w:rPr>
                <w:rFonts w:hint="eastAsia" w:ascii="宋体" w:hAnsi="宋体"/>
                <w:color w:val="000000"/>
                <w:szCs w:val="44"/>
              </w:rPr>
              <w:t>评审标准</w:t>
            </w:r>
          </w:p>
        </w:tc>
        <w:tc>
          <w:tcPr>
            <w:tcW w:w="264" w:type="dxa"/>
            <w:shd w:val="clear" w:color="auto" w:fill="E0E0E0"/>
            <w:vAlign w:val="center"/>
          </w:tcPr>
          <w:p>
            <w:pPr>
              <w:jc w:val="center"/>
              <w:rPr>
                <w:rFonts w:ascii="宋体" w:hAnsi="宋体"/>
                <w:color w:val="000000"/>
                <w:szCs w:val="44"/>
              </w:rPr>
            </w:pPr>
          </w:p>
        </w:tc>
        <w:tc>
          <w:tcPr>
            <w:tcW w:w="901" w:type="dxa"/>
            <w:shd w:val="clear" w:color="auto" w:fill="E0E0E0"/>
            <w:vAlign w:val="center"/>
          </w:tcPr>
          <w:p>
            <w:pPr>
              <w:jc w:val="center"/>
              <w:rPr>
                <w:rFonts w:ascii="宋体" w:hAnsi="宋体"/>
                <w:color w:val="000000"/>
                <w:szCs w:val="44"/>
              </w:rPr>
            </w:pPr>
          </w:p>
        </w:tc>
        <w:tc>
          <w:tcPr>
            <w:tcW w:w="901" w:type="dxa"/>
            <w:shd w:val="clear" w:color="auto" w:fill="E0E0E0"/>
            <w:vAlign w:val="center"/>
          </w:tcPr>
          <w:p>
            <w:pPr>
              <w:jc w:val="center"/>
              <w:rPr>
                <w:rFonts w:ascii="宋体" w:hAnsi="宋体"/>
                <w:color w:val="000000"/>
                <w:szCs w:val="44"/>
              </w:rPr>
            </w:pPr>
          </w:p>
        </w:tc>
        <w:tc>
          <w:tcPr>
            <w:tcW w:w="901" w:type="dxa"/>
            <w:shd w:val="clear" w:color="auto" w:fill="E0E0E0"/>
            <w:vAlign w:val="center"/>
          </w:tcPr>
          <w:p>
            <w:pPr>
              <w:jc w:val="center"/>
              <w:rPr>
                <w:rFonts w:ascii="宋体" w:hAnsi="宋体"/>
                <w:color w:val="000000"/>
                <w:szCs w:val="44"/>
              </w:rPr>
            </w:pPr>
          </w:p>
        </w:tc>
        <w:tc>
          <w:tcPr>
            <w:tcW w:w="901" w:type="dxa"/>
            <w:shd w:val="clear" w:color="auto" w:fill="E0E0E0"/>
            <w:vAlign w:val="center"/>
          </w:tcPr>
          <w:p>
            <w:pPr>
              <w:jc w:val="center"/>
              <w:rPr>
                <w:rFonts w:ascii="宋体" w:hAnsi="宋体"/>
                <w:color w:val="000000"/>
                <w:szCs w:val="44"/>
              </w:rPr>
            </w:pPr>
          </w:p>
        </w:tc>
        <w:tc>
          <w:tcPr>
            <w:tcW w:w="901" w:type="dxa"/>
            <w:shd w:val="clear" w:color="auto" w:fill="E0E0E0"/>
            <w:vAlign w:val="center"/>
          </w:tcPr>
          <w:p>
            <w:pPr>
              <w:jc w:val="center"/>
              <w:rPr>
                <w:rFonts w:ascii="宋体" w:hAnsi="宋体"/>
                <w:color w:val="000000"/>
                <w:szCs w:val="44"/>
              </w:rPr>
            </w:pPr>
          </w:p>
        </w:tc>
        <w:tc>
          <w:tcPr>
            <w:tcW w:w="899" w:type="dxa"/>
            <w:shd w:val="clear" w:color="auto" w:fill="E0E0E0"/>
            <w:vAlign w:val="center"/>
          </w:tcPr>
          <w:p>
            <w:pPr>
              <w:jc w:val="center"/>
              <w:rPr>
                <w:rFonts w:ascii="宋体" w:hAnsi="宋体"/>
                <w:color w:val="000000"/>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trPr>
        <w:tc>
          <w:tcPr>
            <w:tcW w:w="1413" w:type="dxa"/>
            <w:vAlign w:val="center"/>
          </w:tcPr>
          <w:p>
            <w:pPr>
              <w:jc w:val="center"/>
              <w:rPr>
                <w:rFonts w:ascii="宋体" w:hAnsi="宋体"/>
                <w:color w:val="000000"/>
                <w:szCs w:val="44"/>
              </w:rPr>
            </w:pPr>
            <w:permStart w:id="196" w:edGrp="everyone" w:colFirst="0" w:colLast="0"/>
            <w:permStart w:id="197" w:edGrp="everyone" w:colFirst="1" w:colLast="1"/>
            <w:r>
              <w:rPr>
                <w:rFonts w:hint="eastAsia" w:ascii="宋体" w:hAnsi="宋体"/>
                <w:color w:val="000000"/>
                <w:szCs w:val="44"/>
              </w:rPr>
              <w:t>投标内容</w:t>
            </w:r>
          </w:p>
        </w:tc>
        <w:tc>
          <w:tcPr>
            <w:tcW w:w="2693" w:type="dxa"/>
          </w:tcPr>
          <w:p>
            <w:pPr>
              <w:jc w:val="center"/>
              <w:rPr>
                <w:color w:val="000000"/>
              </w:rPr>
            </w:pPr>
            <w:r>
              <w:rPr>
                <w:rFonts w:hint="eastAsia" w:ascii="宋体" w:hAnsi="宋体"/>
                <w:color w:val="000000"/>
                <w:szCs w:val="44"/>
              </w:rPr>
              <w:t>符合第二章“投标人须知”第1.3.1项规定</w:t>
            </w:r>
          </w:p>
        </w:tc>
        <w:tc>
          <w:tcPr>
            <w:tcW w:w="264" w:type="dxa"/>
            <w:vAlign w:val="center"/>
          </w:tcPr>
          <w:p>
            <w:pPr>
              <w:jc w:val="center"/>
              <w:rPr>
                <w:rFonts w:ascii="宋体" w:hAnsi="宋体"/>
                <w:color w:val="000000"/>
                <w:szCs w:val="44"/>
              </w:rPr>
            </w:pPr>
          </w:p>
        </w:tc>
        <w:tc>
          <w:tcPr>
            <w:tcW w:w="901" w:type="dxa"/>
            <w:vAlign w:val="center"/>
          </w:tcPr>
          <w:p>
            <w:pPr>
              <w:jc w:val="center"/>
              <w:rPr>
                <w:rFonts w:ascii="宋体" w:hAnsi="宋体"/>
                <w:color w:val="000000"/>
                <w:szCs w:val="44"/>
              </w:rPr>
            </w:pPr>
          </w:p>
        </w:tc>
        <w:tc>
          <w:tcPr>
            <w:tcW w:w="901" w:type="dxa"/>
            <w:vAlign w:val="center"/>
          </w:tcPr>
          <w:p>
            <w:pPr>
              <w:jc w:val="center"/>
              <w:rPr>
                <w:rFonts w:ascii="宋体" w:hAnsi="宋体"/>
                <w:color w:val="000000"/>
                <w:szCs w:val="44"/>
              </w:rPr>
            </w:pPr>
          </w:p>
        </w:tc>
        <w:tc>
          <w:tcPr>
            <w:tcW w:w="901" w:type="dxa"/>
            <w:vAlign w:val="center"/>
          </w:tcPr>
          <w:p>
            <w:pPr>
              <w:jc w:val="center"/>
              <w:rPr>
                <w:rFonts w:ascii="宋体" w:hAnsi="宋体"/>
                <w:color w:val="000000"/>
                <w:szCs w:val="44"/>
              </w:rPr>
            </w:pPr>
          </w:p>
        </w:tc>
        <w:tc>
          <w:tcPr>
            <w:tcW w:w="901" w:type="dxa"/>
            <w:vAlign w:val="center"/>
          </w:tcPr>
          <w:p>
            <w:pPr>
              <w:jc w:val="center"/>
              <w:rPr>
                <w:rFonts w:ascii="宋体" w:hAnsi="宋体"/>
                <w:color w:val="000000"/>
                <w:szCs w:val="44"/>
              </w:rPr>
            </w:pPr>
          </w:p>
        </w:tc>
        <w:tc>
          <w:tcPr>
            <w:tcW w:w="901" w:type="dxa"/>
            <w:vAlign w:val="center"/>
          </w:tcPr>
          <w:p>
            <w:pPr>
              <w:jc w:val="center"/>
              <w:rPr>
                <w:rFonts w:ascii="宋体" w:hAnsi="宋体"/>
                <w:color w:val="000000"/>
                <w:szCs w:val="44"/>
              </w:rPr>
            </w:pPr>
          </w:p>
        </w:tc>
        <w:tc>
          <w:tcPr>
            <w:tcW w:w="899" w:type="dxa"/>
            <w:vAlign w:val="center"/>
          </w:tcPr>
          <w:p>
            <w:pPr>
              <w:jc w:val="center"/>
              <w:rPr>
                <w:rFonts w:ascii="宋体" w:hAnsi="宋体"/>
                <w:color w:val="000000"/>
                <w:szCs w:val="44"/>
              </w:rPr>
            </w:pPr>
          </w:p>
        </w:tc>
      </w:tr>
      <w:permEnd w:id="196"/>
      <w:permEnd w:id="19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trPr>
        <w:tc>
          <w:tcPr>
            <w:tcW w:w="1413" w:type="dxa"/>
            <w:vAlign w:val="center"/>
          </w:tcPr>
          <w:p>
            <w:pPr>
              <w:jc w:val="center"/>
              <w:rPr>
                <w:rFonts w:ascii="宋体" w:hAnsi="宋体"/>
                <w:color w:val="000000"/>
                <w:szCs w:val="44"/>
              </w:rPr>
            </w:pPr>
            <w:permStart w:id="198" w:edGrp="everyone" w:colFirst="0" w:colLast="0"/>
            <w:permStart w:id="199" w:edGrp="everyone" w:colFirst="1" w:colLast="1"/>
            <w:r>
              <w:rPr>
                <w:rFonts w:hint="eastAsia" w:ascii="宋体" w:hAnsi="宋体"/>
                <w:color w:val="000000"/>
                <w:szCs w:val="44"/>
              </w:rPr>
              <w:t>工期</w:t>
            </w:r>
          </w:p>
        </w:tc>
        <w:tc>
          <w:tcPr>
            <w:tcW w:w="2693" w:type="dxa"/>
          </w:tcPr>
          <w:p>
            <w:pPr>
              <w:jc w:val="center"/>
              <w:rPr>
                <w:color w:val="000000"/>
              </w:rPr>
            </w:pPr>
            <w:r>
              <w:rPr>
                <w:rFonts w:hint="eastAsia" w:ascii="宋体" w:hAnsi="宋体"/>
                <w:color w:val="000000"/>
                <w:szCs w:val="44"/>
              </w:rPr>
              <w:t>符合第二章“投标人须知”第1.3.2项规定</w:t>
            </w:r>
          </w:p>
        </w:tc>
        <w:tc>
          <w:tcPr>
            <w:tcW w:w="264" w:type="dxa"/>
            <w:vAlign w:val="center"/>
          </w:tcPr>
          <w:p>
            <w:pPr>
              <w:jc w:val="center"/>
              <w:rPr>
                <w:rFonts w:ascii="宋体" w:hAnsi="宋体"/>
                <w:color w:val="000000"/>
                <w:szCs w:val="44"/>
              </w:rPr>
            </w:pPr>
          </w:p>
        </w:tc>
        <w:tc>
          <w:tcPr>
            <w:tcW w:w="901" w:type="dxa"/>
            <w:vAlign w:val="center"/>
          </w:tcPr>
          <w:p>
            <w:pPr>
              <w:jc w:val="center"/>
              <w:rPr>
                <w:rFonts w:ascii="宋体" w:hAnsi="宋体"/>
                <w:color w:val="000000"/>
                <w:szCs w:val="44"/>
              </w:rPr>
            </w:pPr>
          </w:p>
        </w:tc>
        <w:tc>
          <w:tcPr>
            <w:tcW w:w="901" w:type="dxa"/>
            <w:vAlign w:val="center"/>
          </w:tcPr>
          <w:p>
            <w:pPr>
              <w:jc w:val="center"/>
              <w:rPr>
                <w:rFonts w:ascii="宋体" w:hAnsi="宋体"/>
                <w:color w:val="000000"/>
                <w:szCs w:val="44"/>
              </w:rPr>
            </w:pPr>
          </w:p>
        </w:tc>
        <w:tc>
          <w:tcPr>
            <w:tcW w:w="901" w:type="dxa"/>
            <w:vAlign w:val="center"/>
          </w:tcPr>
          <w:p>
            <w:pPr>
              <w:jc w:val="center"/>
              <w:rPr>
                <w:rFonts w:ascii="宋体" w:hAnsi="宋体"/>
                <w:color w:val="000000"/>
                <w:szCs w:val="44"/>
              </w:rPr>
            </w:pPr>
          </w:p>
        </w:tc>
        <w:tc>
          <w:tcPr>
            <w:tcW w:w="901" w:type="dxa"/>
            <w:vAlign w:val="center"/>
          </w:tcPr>
          <w:p>
            <w:pPr>
              <w:jc w:val="center"/>
              <w:rPr>
                <w:rFonts w:ascii="宋体" w:hAnsi="宋体"/>
                <w:color w:val="000000"/>
                <w:szCs w:val="44"/>
              </w:rPr>
            </w:pPr>
          </w:p>
        </w:tc>
        <w:tc>
          <w:tcPr>
            <w:tcW w:w="901" w:type="dxa"/>
            <w:vAlign w:val="center"/>
          </w:tcPr>
          <w:p>
            <w:pPr>
              <w:jc w:val="center"/>
              <w:rPr>
                <w:rFonts w:ascii="宋体" w:hAnsi="宋体"/>
                <w:color w:val="000000"/>
                <w:szCs w:val="44"/>
              </w:rPr>
            </w:pPr>
          </w:p>
        </w:tc>
        <w:tc>
          <w:tcPr>
            <w:tcW w:w="899" w:type="dxa"/>
            <w:vAlign w:val="center"/>
          </w:tcPr>
          <w:p>
            <w:pPr>
              <w:jc w:val="center"/>
              <w:rPr>
                <w:rFonts w:ascii="宋体" w:hAnsi="宋体"/>
                <w:color w:val="000000"/>
                <w:szCs w:val="44"/>
              </w:rPr>
            </w:pPr>
          </w:p>
        </w:tc>
      </w:tr>
      <w:permEnd w:id="198"/>
      <w:permEnd w:id="19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trPr>
        <w:tc>
          <w:tcPr>
            <w:tcW w:w="1413" w:type="dxa"/>
            <w:vAlign w:val="center"/>
          </w:tcPr>
          <w:p>
            <w:pPr>
              <w:jc w:val="center"/>
              <w:rPr>
                <w:rFonts w:ascii="宋体" w:hAnsi="宋体"/>
                <w:color w:val="000000"/>
                <w:szCs w:val="44"/>
              </w:rPr>
            </w:pPr>
            <w:permStart w:id="200" w:edGrp="everyone" w:colFirst="0" w:colLast="0"/>
            <w:permStart w:id="201" w:edGrp="everyone" w:colFirst="1" w:colLast="1"/>
            <w:r>
              <w:rPr>
                <w:rFonts w:hint="eastAsia" w:ascii="宋体" w:hAnsi="宋体"/>
                <w:color w:val="000000"/>
                <w:szCs w:val="44"/>
              </w:rPr>
              <w:t>工程质量</w:t>
            </w:r>
          </w:p>
        </w:tc>
        <w:tc>
          <w:tcPr>
            <w:tcW w:w="2693" w:type="dxa"/>
          </w:tcPr>
          <w:p>
            <w:pPr>
              <w:jc w:val="center"/>
              <w:rPr>
                <w:color w:val="000000"/>
              </w:rPr>
            </w:pPr>
            <w:r>
              <w:rPr>
                <w:rFonts w:hint="eastAsia" w:ascii="宋体" w:hAnsi="宋体"/>
                <w:color w:val="000000"/>
                <w:szCs w:val="44"/>
              </w:rPr>
              <w:t>符合第二章“投标人须知”第1.3.3项规定</w:t>
            </w:r>
          </w:p>
        </w:tc>
        <w:tc>
          <w:tcPr>
            <w:tcW w:w="264" w:type="dxa"/>
            <w:vAlign w:val="center"/>
          </w:tcPr>
          <w:p>
            <w:pPr>
              <w:jc w:val="center"/>
              <w:rPr>
                <w:rFonts w:ascii="宋体" w:hAnsi="宋体"/>
                <w:color w:val="000000"/>
                <w:szCs w:val="44"/>
              </w:rPr>
            </w:pPr>
          </w:p>
        </w:tc>
        <w:tc>
          <w:tcPr>
            <w:tcW w:w="901" w:type="dxa"/>
            <w:vAlign w:val="center"/>
          </w:tcPr>
          <w:p>
            <w:pPr>
              <w:jc w:val="center"/>
              <w:rPr>
                <w:rFonts w:ascii="宋体" w:hAnsi="宋体"/>
                <w:color w:val="000000"/>
                <w:szCs w:val="44"/>
              </w:rPr>
            </w:pPr>
          </w:p>
        </w:tc>
        <w:tc>
          <w:tcPr>
            <w:tcW w:w="901" w:type="dxa"/>
            <w:vAlign w:val="center"/>
          </w:tcPr>
          <w:p>
            <w:pPr>
              <w:jc w:val="center"/>
              <w:rPr>
                <w:rFonts w:ascii="宋体" w:hAnsi="宋体"/>
                <w:color w:val="000000"/>
                <w:szCs w:val="44"/>
              </w:rPr>
            </w:pPr>
          </w:p>
        </w:tc>
        <w:tc>
          <w:tcPr>
            <w:tcW w:w="901" w:type="dxa"/>
            <w:vAlign w:val="center"/>
          </w:tcPr>
          <w:p>
            <w:pPr>
              <w:jc w:val="center"/>
              <w:rPr>
                <w:rFonts w:ascii="宋体" w:hAnsi="宋体"/>
                <w:color w:val="000000"/>
                <w:szCs w:val="44"/>
              </w:rPr>
            </w:pPr>
          </w:p>
        </w:tc>
        <w:tc>
          <w:tcPr>
            <w:tcW w:w="901" w:type="dxa"/>
            <w:vAlign w:val="center"/>
          </w:tcPr>
          <w:p>
            <w:pPr>
              <w:jc w:val="center"/>
              <w:rPr>
                <w:rFonts w:ascii="宋体" w:hAnsi="宋体"/>
                <w:color w:val="000000"/>
                <w:szCs w:val="44"/>
              </w:rPr>
            </w:pPr>
          </w:p>
        </w:tc>
        <w:tc>
          <w:tcPr>
            <w:tcW w:w="901" w:type="dxa"/>
            <w:vAlign w:val="center"/>
          </w:tcPr>
          <w:p>
            <w:pPr>
              <w:jc w:val="center"/>
              <w:rPr>
                <w:rFonts w:ascii="宋体" w:hAnsi="宋体"/>
                <w:color w:val="000000"/>
                <w:szCs w:val="44"/>
              </w:rPr>
            </w:pPr>
          </w:p>
        </w:tc>
        <w:tc>
          <w:tcPr>
            <w:tcW w:w="899" w:type="dxa"/>
            <w:vAlign w:val="center"/>
          </w:tcPr>
          <w:p>
            <w:pPr>
              <w:jc w:val="center"/>
              <w:rPr>
                <w:rFonts w:ascii="宋体" w:hAnsi="宋体"/>
                <w:color w:val="000000"/>
                <w:szCs w:val="44"/>
              </w:rPr>
            </w:pPr>
          </w:p>
        </w:tc>
      </w:tr>
      <w:permEnd w:id="200"/>
      <w:permEnd w:id="20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trPr>
        <w:tc>
          <w:tcPr>
            <w:tcW w:w="1413" w:type="dxa"/>
            <w:vAlign w:val="center"/>
          </w:tcPr>
          <w:p>
            <w:pPr>
              <w:jc w:val="center"/>
              <w:rPr>
                <w:rFonts w:ascii="宋体" w:hAnsi="宋体"/>
                <w:color w:val="000000"/>
                <w:szCs w:val="44"/>
              </w:rPr>
            </w:pPr>
            <w:permStart w:id="202" w:edGrp="everyone" w:colFirst="0" w:colLast="0"/>
            <w:permStart w:id="203" w:edGrp="everyone" w:colFirst="1" w:colLast="1"/>
            <w:r>
              <w:rPr>
                <w:rFonts w:hint="eastAsia" w:ascii="宋体" w:hAnsi="宋体"/>
                <w:color w:val="000000"/>
                <w:szCs w:val="44"/>
              </w:rPr>
              <w:t>投标有效期</w:t>
            </w:r>
          </w:p>
        </w:tc>
        <w:tc>
          <w:tcPr>
            <w:tcW w:w="2693" w:type="dxa"/>
          </w:tcPr>
          <w:p>
            <w:pPr>
              <w:jc w:val="center"/>
              <w:rPr>
                <w:color w:val="000000"/>
              </w:rPr>
            </w:pPr>
            <w:r>
              <w:rPr>
                <w:rFonts w:hint="eastAsia" w:ascii="宋体" w:hAnsi="宋体"/>
                <w:color w:val="000000"/>
                <w:szCs w:val="44"/>
              </w:rPr>
              <w:t>符合第二章“投标人须知”第3.3.1项规定</w:t>
            </w:r>
          </w:p>
        </w:tc>
        <w:tc>
          <w:tcPr>
            <w:tcW w:w="264" w:type="dxa"/>
            <w:vAlign w:val="center"/>
          </w:tcPr>
          <w:p>
            <w:pPr>
              <w:jc w:val="center"/>
              <w:rPr>
                <w:rFonts w:ascii="宋体" w:hAnsi="宋体"/>
                <w:color w:val="000000"/>
                <w:szCs w:val="44"/>
              </w:rPr>
            </w:pPr>
          </w:p>
        </w:tc>
        <w:tc>
          <w:tcPr>
            <w:tcW w:w="901" w:type="dxa"/>
            <w:vAlign w:val="center"/>
          </w:tcPr>
          <w:p>
            <w:pPr>
              <w:jc w:val="center"/>
              <w:rPr>
                <w:rFonts w:ascii="宋体" w:hAnsi="宋体"/>
                <w:color w:val="000000"/>
                <w:szCs w:val="44"/>
              </w:rPr>
            </w:pPr>
          </w:p>
        </w:tc>
        <w:tc>
          <w:tcPr>
            <w:tcW w:w="901" w:type="dxa"/>
            <w:vAlign w:val="center"/>
          </w:tcPr>
          <w:p>
            <w:pPr>
              <w:jc w:val="center"/>
              <w:rPr>
                <w:rFonts w:ascii="宋体" w:hAnsi="宋体"/>
                <w:color w:val="000000"/>
                <w:szCs w:val="44"/>
              </w:rPr>
            </w:pPr>
          </w:p>
        </w:tc>
        <w:tc>
          <w:tcPr>
            <w:tcW w:w="901" w:type="dxa"/>
            <w:vAlign w:val="center"/>
          </w:tcPr>
          <w:p>
            <w:pPr>
              <w:jc w:val="center"/>
              <w:rPr>
                <w:rFonts w:ascii="宋体" w:hAnsi="宋体"/>
                <w:color w:val="000000"/>
                <w:szCs w:val="44"/>
              </w:rPr>
            </w:pPr>
          </w:p>
        </w:tc>
        <w:tc>
          <w:tcPr>
            <w:tcW w:w="901" w:type="dxa"/>
            <w:vAlign w:val="center"/>
          </w:tcPr>
          <w:p>
            <w:pPr>
              <w:jc w:val="center"/>
              <w:rPr>
                <w:rFonts w:ascii="宋体" w:hAnsi="宋体"/>
                <w:color w:val="000000"/>
                <w:szCs w:val="44"/>
              </w:rPr>
            </w:pPr>
          </w:p>
        </w:tc>
        <w:tc>
          <w:tcPr>
            <w:tcW w:w="901" w:type="dxa"/>
            <w:vAlign w:val="center"/>
          </w:tcPr>
          <w:p>
            <w:pPr>
              <w:jc w:val="center"/>
              <w:rPr>
                <w:rFonts w:ascii="宋体" w:hAnsi="宋体"/>
                <w:color w:val="000000"/>
                <w:szCs w:val="44"/>
              </w:rPr>
            </w:pPr>
          </w:p>
        </w:tc>
        <w:tc>
          <w:tcPr>
            <w:tcW w:w="899" w:type="dxa"/>
            <w:vAlign w:val="center"/>
          </w:tcPr>
          <w:p>
            <w:pPr>
              <w:jc w:val="center"/>
              <w:rPr>
                <w:rFonts w:ascii="宋体" w:hAnsi="宋体"/>
                <w:color w:val="000000"/>
                <w:szCs w:val="44"/>
              </w:rPr>
            </w:pPr>
          </w:p>
        </w:tc>
      </w:tr>
      <w:permEnd w:id="202"/>
      <w:permEnd w:id="20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trPr>
        <w:tc>
          <w:tcPr>
            <w:tcW w:w="1413" w:type="dxa"/>
            <w:vAlign w:val="center"/>
          </w:tcPr>
          <w:p>
            <w:pPr>
              <w:jc w:val="center"/>
              <w:rPr>
                <w:rFonts w:ascii="宋体" w:hAnsi="宋体"/>
                <w:color w:val="000000"/>
                <w:szCs w:val="44"/>
              </w:rPr>
            </w:pPr>
            <w:permStart w:id="204" w:edGrp="everyone" w:colFirst="0" w:colLast="0"/>
            <w:permStart w:id="205" w:edGrp="everyone" w:colFirst="1" w:colLast="1"/>
            <w:r>
              <w:rPr>
                <w:rFonts w:hint="eastAsia" w:ascii="宋体" w:hAnsi="宋体"/>
                <w:color w:val="000000"/>
                <w:szCs w:val="44"/>
              </w:rPr>
              <w:t>投标保证金</w:t>
            </w:r>
          </w:p>
        </w:tc>
        <w:tc>
          <w:tcPr>
            <w:tcW w:w="2693" w:type="dxa"/>
          </w:tcPr>
          <w:p>
            <w:pPr>
              <w:jc w:val="center"/>
              <w:rPr>
                <w:color w:val="000000"/>
              </w:rPr>
            </w:pPr>
            <w:r>
              <w:rPr>
                <w:rFonts w:hint="eastAsia" w:ascii="宋体" w:hAnsi="宋体"/>
                <w:color w:val="000000"/>
                <w:szCs w:val="44"/>
              </w:rPr>
              <w:t>符合第二章“投标人须知”第3.4.1项规定</w:t>
            </w:r>
          </w:p>
        </w:tc>
        <w:tc>
          <w:tcPr>
            <w:tcW w:w="264" w:type="dxa"/>
            <w:vAlign w:val="center"/>
          </w:tcPr>
          <w:p>
            <w:pPr>
              <w:jc w:val="center"/>
              <w:rPr>
                <w:rFonts w:ascii="宋体" w:hAnsi="宋体"/>
                <w:color w:val="000000"/>
                <w:szCs w:val="44"/>
              </w:rPr>
            </w:pPr>
          </w:p>
        </w:tc>
        <w:tc>
          <w:tcPr>
            <w:tcW w:w="901" w:type="dxa"/>
            <w:vAlign w:val="center"/>
          </w:tcPr>
          <w:p>
            <w:pPr>
              <w:jc w:val="center"/>
              <w:rPr>
                <w:rFonts w:ascii="宋体" w:hAnsi="宋体"/>
                <w:color w:val="000000"/>
                <w:szCs w:val="44"/>
              </w:rPr>
            </w:pPr>
          </w:p>
        </w:tc>
        <w:tc>
          <w:tcPr>
            <w:tcW w:w="901" w:type="dxa"/>
            <w:vAlign w:val="center"/>
          </w:tcPr>
          <w:p>
            <w:pPr>
              <w:jc w:val="center"/>
              <w:rPr>
                <w:rFonts w:ascii="宋体" w:hAnsi="宋体"/>
                <w:color w:val="000000"/>
                <w:szCs w:val="44"/>
              </w:rPr>
            </w:pPr>
          </w:p>
        </w:tc>
        <w:tc>
          <w:tcPr>
            <w:tcW w:w="901" w:type="dxa"/>
            <w:vAlign w:val="center"/>
          </w:tcPr>
          <w:p>
            <w:pPr>
              <w:jc w:val="center"/>
              <w:rPr>
                <w:rFonts w:ascii="宋体" w:hAnsi="宋体"/>
                <w:color w:val="000000"/>
                <w:szCs w:val="44"/>
              </w:rPr>
            </w:pPr>
          </w:p>
        </w:tc>
        <w:tc>
          <w:tcPr>
            <w:tcW w:w="901" w:type="dxa"/>
            <w:vAlign w:val="center"/>
          </w:tcPr>
          <w:p>
            <w:pPr>
              <w:jc w:val="center"/>
              <w:rPr>
                <w:rFonts w:ascii="宋体" w:hAnsi="宋体"/>
                <w:color w:val="000000"/>
                <w:szCs w:val="44"/>
              </w:rPr>
            </w:pPr>
          </w:p>
        </w:tc>
        <w:tc>
          <w:tcPr>
            <w:tcW w:w="901" w:type="dxa"/>
            <w:vAlign w:val="center"/>
          </w:tcPr>
          <w:p>
            <w:pPr>
              <w:jc w:val="center"/>
              <w:rPr>
                <w:rFonts w:ascii="宋体" w:hAnsi="宋体"/>
                <w:color w:val="000000"/>
                <w:szCs w:val="44"/>
              </w:rPr>
            </w:pPr>
          </w:p>
        </w:tc>
        <w:tc>
          <w:tcPr>
            <w:tcW w:w="899" w:type="dxa"/>
            <w:vAlign w:val="center"/>
          </w:tcPr>
          <w:p>
            <w:pPr>
              <w:jc w:val="center"/>
              <w:rPr>
                <w:rFonts w:ascii="宋体" w:hAnsi="宋体"/>
                <w:color w:val="000000"/>
                <w:szCs w:val="44"/>
              </w:rPr>
            </w:pPr>
          </w:p>
        </w:tc>
      </w:tr>
      <w:permEnd w:id="204"/>
      <w:permEnd w:id="20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trPr>
        <w:tc>
          <w:tcPr>
            <w:tcW w:w="1413" w:type="dxa"/>
            <w:vAlign w:val="center"/>
          </w:tcPr>
          <w:p>
            <w:pPr>
              <w:jc w:val="center"/>
              <w:rPr>
                <w:rFonts w:ascii="宋体" w:hAnsi="宋体"/>
                <w:color w:val="000000"/>
                <w:szCs w:val="44"/>
              </w:rPr>
            </w:pPr>
            <w:permStart w:id="206" w:edGrp="everyone" w:colFirst="0" w:colLast="0"/>
            <w:permStart w:id="207" w:edGrp="everyone" w:colFirst="1" w:colLast="1"/>
            <w:r>
              <w:rPr>
                <w:rFonts w:hint="eastAsia" w:ascii="宋体" w:hAnsi="宋体"/>
                <w:color w:val="000000"/>
                <w:szCs w:val="44"/>
              </w:rPr>
              <w:t>权利义务</w:t>
            </w:r>
          </w:p>
        </w:tc>
        <w:tc>
          <w:tcPr>
            <w:tcW w:w="2693" w:type="dxa"/>
          </w:tcPr>
          <w:p>
            <w:pPr>
              <w:jc w:val="center"/>
              <w:rPr>
                <w:color w:val="000000"/>
              </w:rPr>
            </w:pPr>
            <w:r>
              <w:rPr>
                <w:rFonts w:hint="eastAsia" w:ascii="宋体" w:hAnsi="宋体"/>
                <w:color w:val="000000"/>
                <w:szCs w:val="44"/>
              </w:rPr>
              <w:t>投标函附录中的相关承诺符合或优于第四章“合同条款及格式”的相关规定</w:t>
            </w:r>
          </w:p>
        </w:tc>
        <w:tc>
          <w:tcPr>
            <w:tcW w:w="264" w:type="dxa"/>
            <w:vAlign w:val="center"/>
          </w:tcPr>
          <w:p>
            <w:pPr>
              <w:jc w:val="center"/>
              <w:rPr>
                <w:rFonts w:ascii="宋体" w:hAnsi="宋体"/>
                <w:color w:val="000000"/>
                <w:szCs w:val="44"/>
              </w:rPr>
            </w:pPr>
          </w:p>
        </w:tc>
        <w:tc>
          <w:tcPr>
            <w:tcW w:w="901" w:type="dxa"/>
            <w:vAlign w:val="center"/>
          </w:tcPr>
          <w:p>
            <w:pPr>
              <w:jc w:val="center"/>
              <w:rPr>
                <w:rFonts w:ascii="宋体" w:hAnsi="宋体"/>
                <w:color w:val="000000"/>
                <w:szCs w:val="44"/>
              </w:rPr>
            </w:pPr>
          </w:p>
        </w:tc>
        <w:tc>
          <w:tcPr>
            <w:tcW w:w="901" w:type="dxa"/>
            <w:vAlign w:val="center"/>
          </w:tcPr>
          <w:p>
            <w:pPr>
              <w:jc w:val="center"/>
              <w:rPr>
                <w:rFonts w:ascii="宋体" w:hAnsi="宋体"/>
                <w:color w:val="000000"/>
                <w:szCs w:val="44"/>
              </w:rPr>
            </w:pPr>
          </w:p>
        </w:tc>
        <w:tc>
          <w:tcPr>
            <w:tcW w:w="901" w:type="dxa"/>
            <w:vAlign w:val="center"/>
          </w:tcPr>
          <w:p>
            <w:pPr>
              <w:jc w:val="center"/>
              <w:rPr>
                <w:rFonts w:ascii="宋体" w:hAnsi="宋体"/>
                <w:color w:val="000000"/>
                <w:szCs w:val="44"/>
              </w:rPr>
            </w:pPr>
          </w:p>
        </w:tc>
        <w:tc>
          <w:tcPr>
            <w:tcW w:w="901" w:type="dxa"/>
            <w:vAlign w:val="center"/>
          </w:tcPr>
          <w:p>
            <w:pPr>
              <w:jc w:val="center"/>
              <w:rPr>
                <w:rFonts w:ascii="宋体" w:hAnsi="宋体"/>
                <w:color w:val="000000"/>
                <w:szCs w:val="44"/>
              </w:rPr>
            </w:pPr>
          </w:p>
        </w:tc>
        <w:tc>
          <w:tcPr>
            <w:tcW w:w="901" w:type="dxa"/>
            <w:vAlign w:val="center"/>
          </w:tcPr>
          <w:p>
            <w:pPr>
              <w:jc w:val="center"/>
              <w:rPr>
                <w:rFonts w:ascii="宋体" w:hAnsi="宋体"/>
                <w:color w:val="000000"/>
                <w:szCs w:val="44"/>
              </w:rPr>
            </w:pPr>
          </w:p>
        </w:tc>
        <w:tc>
          <w:tcPr>
            <w:tcW w:w="899" w:type="dxa"/>
            <w:vAlign w:val="center"/>
          </w:tcPr>
          <w:p>
            <w:pPr>
              <w:jc w:val="center"/>
              <w:rPr>
                <w:rFonts w:ascii="宋体" w:hAnsi="宋体"/>
                <w:color w:val="000000"/>
                <w:szCs w:val="44"/>
              </w:rPr>
            </w:pPr>
          </w:p>
        </w:tc>
      </w:tr>
      <w:permEnd w:id="206"/>
      <w:permEnd w:id="20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trPr>
        <w:tc>
          <w:tcPr>
            <w:tcW w:w="1413" w:type="dxa"/>
            <w:vAlign w:val="center"/>
          </w:tcPr>
          <w:p>
            <w:pPr>
              <w:jc w:val="center"/>
              <w:rPr>
                <w:rFonts w:ascii="宋体" w:hAnsi="宋体"/>
                <w:color w:val="000000"/>
                <w:szCs w:val="44"/>
              </w:rPr>
            </w:pPr>
            <w:permStart w:id="208" w:edGrp="everyone" w:colFirst="0" w:colLast="0"/>
            <w:permStart w:id="209" w:edGrp="everyone" w:colFirst="1" w:colLast="1"/>
            <w:r>
              <w:rPr>
                <w:rFonts w:hint="eastAsia" w:ascii="宋体" w:hAnsi="宋体"/>
                <w:color w:val="000000"/>
                <w:szCs w:val="44"/>
              </w:rPr>
              <w:t>已标价工程量清单</w:t>
            </w:r>
          </w:p>
        </w:tc>
        <w:tc>
          <w:tcPr>
            <w:tcW w:w="2693" w:type="dxa"/>
          </w:tcPr>
          <w:p>
            <w:pPr>
              <w:jc w:val="center"/>
              <w:rPr>
                <w:color w:val="000000"/>
              </w:rPr>
            </w:pPr>
            <w:r>
              <w:rPr>
                <w:rFonts w:hint="eastAsia" w:ascii="宋体" w:hAnsi="宋体"/>
                <w:color w:val="000000"/>
                <w:szCs w:val="44"/>
              </w:rPr>
              <w:t>符合第二章“投标人须知”前附表第10.12.1项规定</w:t>
            </w:r>
          </w:p>
        </w:tc>
        <w:tc>
          <w:tcPr>
            <w:tcW w:w="264" w:type="dxa"/>
            <w:vAlign w:val="center"/>
          </w:tcPr>
          <w:p>
            <w:pPr>
              <w:jc w:val="center"/>
              <w:rPr>
                <w:rFonts w:ascii="宋体" w:hAnsi="宋体"/>
                <w:color w:val="000000"/>
                <w:szCs w:val="44"/>
              </w:rPr>
            </w:pPr>
          </w:p>
        </w:tc>
        <w:tc>
          <w:tcPr>
            <w:tcW w:w="901" w:type="dxa"/>
            <w:vAlign w:val="center"/>
          </w:tcPr>
          <w:p>
            <w:pPr>
              <w:jc w:val="center"/>
              <w:rPr>
                <w:rFonts w:ascii="宋体" w:hAnsi="宋体"/>
                <w:color w:val="000000"/>
                <w:szCs w:val="44"/>
              </w:rPr>
            </w:pPr>
          </w:p>
        </w:tc>
        <w:tc>
          <w:tcPr>
            <w:tcW w:w="901" w:type="dxa"/>
            <w:vAlign w:val="center"/>
          </w:tcPr>
          <w:p>
            <w:pPr>
              <w:jc w:val="center"/>
              <w:rPr>
                <w:rFonts w:ascii="宋体" w:hAnsi="宋体"/>
                <w:color w:val="000000"/>
                <w:szCs w:val="44"/>
              </w:rPr>
            </w:pPr>
          </w:p>
        </w:tc>
        <w:tc>
          <w:tcPr>
            <w:tcW w:w="901" w:type="dxa"/>
            <w:vAlign w:val="center"/>
          </w:tcPr>
          <w:p>
            <w:pPr>
              <w:jc w:val="center"/>
              <w:rPr>
                <w:rFonts w:ascii="宋体" w:hAnsi="宋体"/>
                <w:color w:val="000000"/>
                <w:szCs w:val="44"/>
              </w:rPr>
            </w:pPr>
          </w:p>
        </w:tc>
        <w:tc>
          <w:tcPr>
            <w:tcW w:w="901" w:type="dxa"/>
            <w:vAlign w:val="center"/>
          </w:tcPr>
          <w:p>
            <w:pPr>
              <w:jc w:val="center"/>
              <w:rPr>
                <w:rFonts w:ascii="宋体" w:hAnsi="宋体"/>
                <w:color w:val="000000"/>
                <w:szCs w:val="44"/>
              </w:rPr>
            </w:pPr>
          </w:p>
        </w:tc>
        <w:tc>
          <w:tcPr>
            <w:tcW w:w="901" w:type="dxa"/>
            <w:vAlign w:val="center"/>
          </w:tcPr>
          <w:p>
            <w:pPr>
              <w:jc w:val="center"/>
              <w:rPr>
                <w:rFonts w:ascii="宋体" w:hAnsi="宋体"/>
                <w:color w:val="000000"/>
                <w:szCs w:val="44"/>
              </w:rPr>
            </w:pPr>
          </w:p>
        </w:tc>
        <w:tc>
          <w:tcPr>
            <w:tcW w:w="899" w:type="dxa"/>
            <w:vAlign w:val="center"/>
          </w:tcPr>
          <w:p>
            <w:pPr>
              <w:jc w:val="center"/>
              <w:rPr>
                <w:rFonts w:ascii="宋体" w:hAnsi="宋体"/>
                <w:color w:val="000000"/>
                <w:szCs w:val="44"/>
              </w:rPr>
            </w:pPr>
          </w:p>
        </w:tc>
      </w:tr>
      <w:permEnd w:id="208"/>
      <w:permEnd w:id="20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trPr>
        <w:tc>
          <w:tcPr>
            <w:tcW w:w="1413" w:type="dxa"/>
            <w:vAlign w:val="center"/>
          </w:tcPr>
          <w:p>
            <w:pPr>
              <w:jc w:val="center"/>
              <w:rPr>
                <w:rFonts w:ascii="宋体" w:hAnsi="宋体"/>
                <w:color w:val="000000"/>
                <w:szCs w:val="44"/>
              </w:rPr>
            </w:pPr>
            <w:permStart w:id="210" w:edGrp="everyone" w:colFirst="0" w:colLast="0"/>
            <w:permStart w:id="211" w:edGrp="everyone" w:colFirst="1" w:colLast="1"/>
            <w:r>
              <w:rPr>
                <w:rFonts w:hint="eastAsia" w:ascii="宋体" w:hAnsi="宋体"/>
                <w:color w:val="000000"/>
                <w:szCs w:val="44"/>
              </w:rPr>
              <w:t>投标价格</w:t>
            </w:r>
          </w:p>
        </w:tc>
        <w:tc>
          <w:tcPr>
            <w:tcW w:w="2693" w:type="dxa"/>
          </w:tcPr>
          <w:p>
            <w:pPr>
              <w:jc w:val="center"/>
              <w:rPr>
                <w:rFonts w:ascii="宋体" w:hAnsi="宋体"/>
                <w:color w:val="000000"/>
                <w:szCs w:val="44"/>
              </w:rPr>
            </w:pPr>
            <w:r>
              <w:rPr>
                <w:rFonts w:hint="eastAsia" w:ascii="宋体" w:hAnsi="宋体"/>
                <w:color w:val="000000"/>
                <w:szCs w:val="44"/>
              </w:rPr>
              <w:t>（1）不超出（含等于）第二章“投标人须知”前附表第10.1项载明的招标控制价；</w:t>
            </w:r>
          </w:p>
          <w:p>
            <w:pPr>
              <w:jc w:val="center"/>
              <w:rPr>
                <w:color w:val="000000"/>
              </w:rPr>
            </w:pPr>
            <w:r>
              <w:rPr>
                <w:rFonts w:hint="eastAsia" w:ascii="宋体" w:hAnsi="宋体"/>
                <w:color w:val="000000"/>
                <w:szCs w:val="44"/>
              </w:rPr>
              <w:t>（2）如有工程成本价，则不低于招标人确定的工程成本价格。</w:t>
            </w:r>
          </w:p>
        </w:tc>
        <w:tc>
          <w:tcPr>
            <w:tcW w:w="264" w:type="dxa"/>
            <w:vAlign w:val="center"/>
          </w:tcPr>
          <w:p>
            <w:pPr>
              <w:jc w:val="center"/>
              <w:rPr>
                <w:rFonts w:ascii="宋体" w:hAnsi="宋体"/>
                <w:color w:val="000000"/>
                <w:szCs w:val="44"/>
              </w:rPr>
            </w:pPr>
          </w:p>
        </w:tc>
        <w:tc>
          <w:tcPr>
            <w:tcW w:w="901" w:type="dxa"/>
            <w:vAlign w:val="center"/>
          </w:tcPr>
          <w:p>
            <w:pPr>
              <w:jc w:val="center"/>
              <w:rPr>
                <w:rFonts w:ascii="宋体" w:hAnsi="宋体"/>
                <w:color w:val="000000"/>
                <w:szCs w:val="44"/>
              </w:rPr>
            </w:pPr>
          </w:p>
        </w:tc>
        <w:tc>
          <w:tcPr>
            <w:tcW w:w="901" w:type="dxa"/>
            <w:vAlign w:val="center"/>
          </w:tcPr>
          <w:p>
            <w:pPr>
              <w:jc w:val="center"/>
              <w:rPr>
                <w:rFonts w:ascii="宋体" w:hAnsi="宋体"/>
                <w:color w:val="000000"/>
                <w:szCs w:val="44"/>
              </w:rPr>
            </w:pPr>
          </w:p>
        </w:tc>
        <w:tc>
          <w:tcPr>
            <w:tcW w:w="901" w:type="dxa"/>
            <w:vAlign w:val="center"/>
          </w:tcPr>
          <w:p>
            <w:pPr>
              <w:jc w:val="center"/>
              <w:rPr>
                <w:rFonts w:ascii="宋体" w:hAnsi="宋体"/>
                <w:color w:val="000000"/>
                <w:szCs w:val="44"/>
              </w:rPr>
            </w:pPr>
          </w:p>
        </w:tc>
        <w:tc>
          <w:tcPr>
            <w:tcW w:w="901" w:type="dxa"/>
            <w:vAlign w:val="center"/>
          </w:tcPr>
          <w:p>
            <w:pPr>
              <w:jc w:val="center"/>
              <w:rPr>
                <w:rFonts w:ascii="宋体" w:hAnsi="宋体"/>
                <w:color w:val="000000"/>
                <w:szCs w:val="44"/>
              </w:rPr>
            </w:pPr>
          </w:p>
        </w:tc>
        <w:tc>
          <w:tcPr>
            <w:tcW w:w="901" w:type="dxa"/>
            <w:vAlign w:val="center"/>
          </w:tcPr>
          <w:p>
            <w:pPr>
              <w:jc w:val="center"/>
              <w:rPr>
                <w:rFonts w:ascii="宋体" w:hAnsi="宋体"/>
                <w:color w:val="000000"/>
                <w:szCs w:val="44"/>
              </w:rPr>
            </w:pPr>
          </w:p>
        </w:tc>
        <w:tc>
          <w:tcPr>
            <w:tcW w:w="899" w:type="dxa"/>
            <w:vAlign w:val="center"/>
          </w:tcPr>
          <w:p>
            <w:pPr>
              <w:jc w:val="center"/>
              <w:rPr>
                <w:rFonts w:ascii="宋体" w:hAnsi="宋体"/>
                <w:color w:val="000000"/>
                <w:szCs w:val="44"/>
              </w:rPr>
            </w:pPr>
          </w:p>
        </w:tc>
      </w:tr>
      <w:permEnd w:id="210"/>
      <w:permEnd w:id="21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trPr>
        <w:tc>
          <w:tcPr>
            <w:tcW w:w="1413" w:type="dxa"/>
            <w:vAlign w:val="center"/>
          </w:tcPr>
          <w:p>
            <w:pPr>
              <w:jc w:val="center"/>
              <w:rPr>
                <w:rFonts w:ascii="宋体" w:hAnsi="宋体"/>
                <w:color w:val="000000"/>
                <w:szCs w:val="44"/>
              </w:rPr>
            </w:pPr>
            <w:permStart w:id="212" w:edGrp="everyone"/>
            <w:r>
              <w:rPr>
                <w:rFonts w:hint="eastAsia" w:ascii="宋体" w:hAnsi="宋体"/>
                <w:color w:val="000000"/>
                <w:szCs w:val="44"/>
              </w:rPr>
              <w:t>分包计划</w:t>
            </w:r>
          </w:p>
        </w:tc>
        <w:tc>
          <w:tcPr>
            <w:tcW w:w="2693" w:type="dxa"/>
          </w:tcPr>
          <w:p>
            <w:pPr>
              <w:jc w:val="center"/>
              <w:rPr>
                <w:color w:val="000000"/>
              </w:rPr>
            </w:pPr>
            <w:r>
              <w:rPr>
                <w:rFonts w:hint="eastAsia" w:ascii="宋体" w:hAnsi="宋体"/>
                <w:color w:val="000000"/>
                <w:szCs w:val="44"/>
              </w:rPr>
              <w:t>符合第二章“投标人须知”第1.11款规定</w:t>
            </w:r>
          </w:p>
        </w:tc>
        <w:tc>
          <w:tcPr>
            <w:tcW w:w="264" w:type="dxa"/>
            <w:vAlign w:val="center"/>
          </w:tcPr>
          <w:p>
            <w:pPr>
              <w:jc w:val="center"/>
              <w:rPr>
                <w:rFonts w:ascii="宋体" w:hAnsi="宋体"/>
                <w:color w:val="000000"/>
                <w:szCs w:val="44"/>
              </w:rPr>
            </w:pPr>
          </w:p>
        </w:tc>
        <w:tc>
          <w:tcPr>
            <w:tcW w:w="901" w:type="dxa"/>
            <w:vAlign w:val="center"/>
          </w:tcPr>
          <w:p>
            <w:pPr>
              <w:jc w:val="center"/>
              <w:rPr>
                <w:rFonts w:ascii="宋体" w:hAnsi="宋体"/>
                <w:color w:val="000000"/>
                <w:szCs w:val="44"/>
              </w:rPr>
            </w:pPr>
          </w:p>
        </w:tc>
        <w:tc>
          <w:tcPr>
            <w:tcW w:w="901" w:type="dxa"/>
            <w:vAlign w:val="center"/>
          </w:tcPr>
          <w:p>
            <w:pPr>
              <w:jc w:val="center"/>
              <w:rPr>
                <w:rFonts w:ascii="宋体" w:hAnsi="宋体"/>
                <w:color w:val="000000"/>
                <w:szCs w:val="44"/>
              </w:rPr>
            </w:pPr>
          </w:p>
        </w:tc>
        <w:tc>
          <w:tcPr>
            <w:tcW w:w="901" w:type="dxa"/>
            <w:vAlign w:val="center"/>
          </w:tcPr>
          <w:p>
            <w:pPr>
              <w:jc w:val="center"/>
              <w:rPr>
                <w:rFonts w:ascii="宋体" w:hAnsi="宋体"/>
                <w:color w:val="000000"/>
                <w:szCs w:val="44"/>
              </w:rPr>
            </w:pPr>
          </w:p>
        </w:tc>
        <w:tc>
          <w:tcPr>
            <w:tcW w:w="901" w:type="dxa"/>
            <w:vAlign w:val="center"/>
          </w:tcPr>
          <w:p>
            <w:pPr>
              <w:jc w:val="center"/>
              <w:rPr>
                <w:rFonts w:ascii="宋体" w:hAnsi="宋体"/>
                <w:color w:val="000000"/>
                <w:szCs w:val="44"/>
              </w:rPr>
            </w:pPr>
          </w:p>
        </w:tc>
        <w:tc>
          <w:tcPr>
            <w:tcW w:w="901" w:type="dxa"/>
            <w:vAlign w:val="center"/>
          </w:tcPr>
          <w:p>
            <w:pPr>
              <w:jc w:val="center"/>
              <w:rPr>
                <w:rFonts w:ascii="宋体" w:hAnsi="宋体"/>
                <w:color w:val="000000"/>
                <w:szCs w:val="44"/>
              </w:rPr>
            </w:pPr>
          </w:p>
        </w:tc>
        <w:tc>
          <w:tcPr>
            <w:tcW w:w="899" w:type="dxa"/>
            <w:vAlign w:val="center"/>
          </w:tcPr>
          <w:p>
            <w:pPr>
              <w:jc w:val="center"/>
              <w:rPr>
                <w:rFonts w:ascii="宋体" w:hAnsi="宋体"/>
                <w:color w:val="000000"/>
                <w:szCs w:val="44"/>
              </w:rPr>
            </w:pPr>
          </w:p>
        </w:tc>
      </w:tr>
      <w:permEnd w:id="212"/>
    </w:tbl>
    <w:p>
      <w:pPr>
        <w:spacing w:after="312" w:afterLines="100"/>
        <w:ind w:right="420"/>
        <w:jc w:val="right"/>
        <w:rPr>
          <w:color w:val="000000"/>
          <w:szCs w:val="44"/>
        </w:rPr>
      </w:pPr>
      <w:bookmarkStart w:id="302" w:name="_Toc114222776"/>
      <w:r>
        <w:rPr>
          <w:rFonts w:hint="eastAsia"/>
          <w:color w:val="000000"/>
          <w:szCs w:val="44"/>
        </w:rPr>
        <w:t>全体评委签字：</w:t>
      </w:r>
      <w:r>
        <w:rPr>
          <w:color w:val="000000"/>
          <w:szCs w:val="44"/>
        </w:rPr>
        <w:tab/>
      </w:r>
    </w:p>
    <w:p>
      <w:pPr>
        <w:spacing w:after="312" w:afterLines="100"/>
        <w:ind w:right="840"/>
        <w:jc w:val="right"/>
        <w:rPr>
          <w:color w:val="000000"/>
          <w:szCs w:val="44"/>
        </w:rPr>
      </w:pPr>
      <w:r>
        <w:rPr>
          <w:rFonts w:hint="eastAsia"/>
          <w:color w:val="000000"/>
          <w:szCs w:val="44"/>
        </w:rPr>
        <w:t>年  月   日</w:t>
      </w:r>
    </w:p>
    <w:p>
      <w:pPr>
        <w:spacing w:after="312" w:afterLines="100"/>
        <w:ind w:right="840"/>
        <w:jc w:val="right"/>
        <w:rPr>
          <w:color w:val="000000"/>
          <w:szCs w:val="44"/>
        </w:rPr>
      </w:pPr>
    </w:p>
    <w:p>
      <w:pPr>
        <w:spacing w:after="312" w:afterLines="100"/>
        <w:ind w:right="840"/>
        <w:jc w:val="right"/>
        <w:rPr>
          <w:rFonts w:hint="eastAsia"/>
          <w:color w:val="000000"/>
          <w:szCs w:val="44"/>
        </w:rPr>
      </w:pPr>
    </w:p>
    <w:p>
      <w:pPr>
        <w:spacing w:before="312" w:beforeLines="100" w:after="249" w:afterLines="80" w:line="380" w:lineRule="exact"/>
        <w:outlineLvl w:val="2"/>
        <w:rPr>
          <w:rFonts w:ascii="黑体" w:hAnsi="宋体" w:eastAsia="黑体"/>
          <w:color w:val="000000"/>
          <w:sz w:val="24"/>
        </w:rPr>
      </w:pPr>
      <w:r>
        <w:rPr>
          <w:rFonts w:hint="eastAsia" w:ascii="黑体" w:hAnsi="宋体" w:eastAsia="黑体"/>
          <w:color w:val="000000"/>
          <w:sz w:val="24"/>
        </w:rPr>
        <w:t>附表A-</w:t>
      </w:r>
      <w:r>
        <w:rPr>
          <w:rFonts w:ascii="黑体" w:hAnsi="宋体" w:eastAsia="黑体"/>
          <w:color w:val="000000"/>
          <w:sz w:val="24"/>
        </w:rPr>
        <w:t>5</w:t>
      </w:r>
      <w:r>
        <w:rPr>
          <w:rFonts w:hint="eastAsia" w:ascii="黑体" w:hAnsi="宋体" w:eastAsia="黑体"/>
          <w:color w:val="000000"/>
          <w:sz w:val="24"/>
        </w:rPr>
        <w:t>：进入详细评审的合格有效投标人名单（系统自动生成）</w:t>
      </w:r>
      <w:bookmarkEnd w:id="302"/>
    </w:p>
    <w:p>
      <w:pPr>
        <w:jc w:val="center"/>
        <w:rPr>
          <w:rFonts w:ascii="宋体" w:hAnsi="宋体"/>
          <w:color w:val="000000"/>
          <w:sz w:val="28"/>
          <w:szCs w:val="28"/>
        </w:rPr>
      </w:pPr>
      <w:r>
        <w:rPr>
          <w:rFonts w:hint="eastAsia" w:ascii="宋体" w:hAnsi="宋体"/>
          <w:color w:val="000000"/>
          <w:sz w:val="28"/>
          <w:szCs w:val="28"/>
        </w:rPr>
        <w:t>进入详细评审的合格有效投标人名单</w:t>
      </w:r>
    </w:p>
    <w:p>
      <w:pPr>
        <w:adjustRightInd w:val="0"/>
        <w:snapToGrid w:val="0"/>
        <w:spacing w:line="440" w:lineRule="exact"/>
        <w:rPr>
          <w:color w:val="000000"/>
          <w:szCs w:val="44"/>
        </w:rPr>
      </w:pPr>
      <w:r>
        <w:rPr>
          <w:rFonts w:hint="eastAsia"/>
          <w:color w:val="000000"/>
          <w:szCs w:val="44"/>
        </w:rPr>
        <w:t>项目名称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项目编号</w:t>
      </w:r>
    </w:p>
    <w:p>
      <w:pPr>
        <w:rPr>
          <w:color w:val="000000"/>
          <w:szCs w:val="44"/>
        </w:rPr>
      </w:pPr>
      <w:r>
        <w:rPr>
          <w:rFonts w:hint="eastAsia"/>
          <w:color w:val="000000"/>
          <w:szCs w:val="44"/>
        </w:rPr>
        <w:t>标段名称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标段编号</w:t>
      </w:r>
    </w:p>
    <w:p>
      <w:pPr>
        <w:rPr>
          <w:rFonts w:ascii="宋体" w:hAnsi="宋体"/>
          <w:color w:val="000000"/>
          <w:szCs w:val="44"/>
        </w:rPr>
      </w:pPr>
      <w:r>
        <w:rPr>
          <w:rFonts w:hint="eastAsia"/>
          <w:color w:val="000000"/>
          <w:szCs w:val="44"/>
        </w:rPr>
        <w:t>评标基准价Pg：</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投标竞争率Fg</w:t>
      </w:r>
    </w:p>
    <w:p>
      <w:pPr>
        <w:rPr>
          <w:rFonts w:ascii="宋体" w:hAnsi="宋体"/>
          <w:color w:val="000000"/>
          <w:sz w:val="28"/>
          <w:szCs w:val="28"/>
        </w:rPr>
      </w:pPr>
      <w:r>
        <w:rPr>
          <w:rFonts w:hint="eastAsia"/>
          <w:color w:val="000000"/>
        </w:rPr>
        <w:t>单位：人民币元</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2683"/>
        <w:gridCol w:w="2450"/>
        <w:gridCol w:w="2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auto"/>
          </w:tcPr>
          <w:p>
            <w:pPr>
              <w:jc w:val="center"/>
              <w:rPr>
                <w:rFonts w:ascii="宋体" w:hAnsi="宋体"/>
                <w:color w:val="000000"/>
                <w:sz w:val="28"/>
                <w:szCs w:val="28"/>
              </w:rPr>
            </w:pPr>
            <w:r>
              <w:rPr>
                <w:rFonts w:hint="eastAsia" w:ascii="宋体" w:hAnsi="宋体"/>
                <w:color w:val="000000"/>
                <w:sz w:val="28"/>
                <w:szCs w:val="28"/>
              </w:rPr>
              <w:t>序号</w:t>
            </w:r>
          </w:p>
        </w:tc>
        <w:tc>
          <w:tcPr>
            <w:tcW w:w="2683" w:type="dxa"/>
            <w:shd w:val="clear" w:color="auto" w:fill="auto"/>
          </w:tcPr>
          <w:p>
            <w:pPr>
              <w:jc w:val="center"/>
              <w:rPr>
                <w:rFonts w:ascii="宋体" w:hAnsi="宋体"/>
                <w:color w:val="000000"/>
                <w:sz w:val="28"/>
                <w:szCs w:val="28"/>
              </w:rPr>
            </w:pPr>
            <w:r>
              <w:rPr>
                <w:rFonts w:hint="eastAsia" w:ascii="宋体" w:hAnsi="宋体"/>
                <w:color w:val="000000"/>
                <w:sz w:val="28"/>
                <w:szCs w:val="28"/>
              </w:rPr>
              <w:t>单位名称</w:t>
            </w:r>
          </w:p>
        </w:tc>
        <w:tc>
          <w:tcPr>
            <w:tcW w:w="2450" w:type="dxa"/>
            <w:shd w:val="clear" w:color="auto" w:fill="auto"/>
          </w:tcPr>
          <w:p>
            <w:pPr>
              <w:jc w:val="center"/>
              <w:rPr>
                <w:rFonts w:ascii="宋体" w:hAnsi="宋体"/>
                <w:color w:val="000000"/>
                <w:sz w:val="28"/>
                <w:szCs w:val="28"/>
              </w:rPr>
            </w:pPr>
            <w:r>
              <w:rPr>
                <w:rFonts w:hint="eastAsia" w:ascii="宋体" w:hAnsi="宋体"/>
                <w:color w:val="000000"/>
                <w:sz w:val="28"/>
                <w:szCs w:val="28"/>
              </w:rPr>
              <w:t>投标总报价</w:t>
            </w:r>
          </w:p>
        </w:tc>
        <w:tc>
          <w:tcPr>
            <w:tcW w:w="2901" w:type="dxa"/>
            <w:shd w:val="clear" w:color="auto" w:fill="auto"/>
          </w:tcPr>
          <w:p>
            <w:pPr>
              <w:jc w:val="center"/>
              <w:rPr>
                <w:rFonts w:ascii="宋体" w:hAnsi="宋体"/>
                <w:color w:val="000000"/>
                <w:sz w:val="28"/>
                <w:szCs w:val="28"/>
              </w:rPr>
            </w:pPr>
            <w:r>
              <w:rPr>
                <w:rFonts w:hint="eastAsia" w:ascii="宋体" w:hAnsi="宋体"/>
                <w:color w:val="000000"/>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auto"/>
          </w:tcPr>
          <w:p>
            <w:pPr>
              <w:jc w:val="center"/>
              <w:rPr>
                <w:rFonts w:ascii="宋体" w:hAnsi="宋体"/>
                <w:color w:val="000000"/>
                <w:sz w:val="28"/>
                <w:szCs w:val="28"/>
              </w:rPr>
            </w:pPr>
            <w:r>
              <w:rPr>
                <w:rFonts w:hint="eastAsia" w:ascii="宋体" w:hAnsi="宋体"/>
                <w:color w:val="000000"/>
                <w:sz w:val="28"/>
                <w:szCs w:val="28"/>
              </w:rPr>
              <w:t>1</w:t>
            </w:r>
          </w:p>
        </w:tc>
        <w:tc>
          <w:tcPr>
            <w:tcW w:w="0" w:type="auto"/>
            <w:shd w:val="clear" w:color="auto" w:fill="auto"/>
          </w:tcPr>
          <w:p>
            <w:pPr>
              <w:jc w:val="center"/>
              <w:rPr>
                <w:rFonts w:ascii="宋体" w:hAnsi="宋体"/>
                <w:color w:val="000000"/>
                <w:sz w:val="28"/>
                <w:szCs w:val="28"/>
              </w:rPr>
            </w:pPr>
          </w:p>
        </w:tc>
        <w:tc>
          <w:tcPr>
            <w:tcW w:w="2450" w:type="dxa"/>
            <w:shd w:val="clear" w:color="auto" w:fill="auto"/>
          </w:tcPr>
          <w:p>
            <w:pPr>
              <w:jc w:val="center"/>
              <w:rPr>
                <w:rFonts w:ascii="宋体" w:hAnsi="宋体"/>
                <w:color w:val="000000"/>
                <w:sz w:val="28"/>
                <w:szCs w:val="28"/>
              </w:rPr>
            </w:pPr>
          </w:p>
        </w:tc>
        <w:tc>
          <w:tcPr>
            <w:tcW w:w="2901" w:type="dxa"/>
            <w:shd w:val="clear" w:color="auto" w:fill="auto"/>
          </w:tcPr>
          <w:p>
            <w:pPr>
              <w:jc w:val="center"/>
              <w:rPr>
                <w:rFonts w:ascii="宋体" w:hAnsi="宋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auto"/>
          </w:tcPr>
          <w:p>
            <w:pPr>
              <w:jc w:val="center"/>
              <w:rPr>
                <w:rFonts w:ascii="宋体" w:hAnsi="宋体"/>
                <w:color w:val="000000"/>
                <w:sz w:val="28"/>
                <w:szCs w:val="28"/>
              </w:rPr>
            </w:pPr>
            <w:r>
              <w:rPr>
                <w:rFonts w:hint="eastAsia" w:ascii="宋体" w:hAnsi="宋体"/>
                <w:color w:val="000000"/>
                <w:sz w:val="28"/>
                <w:szCs w:val="28"/>
              </w:rPr>
              <w:t>2</w:t>
            </w:r>
          </w:p>
        </w:tc>
        <w:tc>
          <w:tcPr>
            <w:tcW w:w="0" w:type="auto"/>
            <w:shd w:val="clear" w:color="auto" w:fill="auto"/>
          </w:tcPr>
          <w:p>
            <w:pPr>
              <w:jc w:val="center"/>
              <w:rPr>
                <w:rFonts w:ascii="宋体" w:hAnsi="宋体"/>
                <w:color w:val="000000"/>
                <w:sz w:val="28"/>
                <w:szCs w:val="28"/>
              </w:rPr>
            </w:pPr>
          </w:p>
        </w:tc>
        <w:tc>
          <w:tcPr>
            <w:tcW w:w="2450" w:type="dxa"/>
            <w:shd w:val="clear" w:color="auto" w:fill="auto"/>
          </w:tcPr>
          <w:p>
            <w:pPr>
              <w:jc w:val="center"/>
              <w:rPr>
                <w:rFonts w:ascii="宋体" w:hAnsi="宋体"/>
                <w:color w:val="000000"/>
                <w:sz w:val="28"/>
                <w:szCs w:val="28"/>
              </w:rPr>
            </w:pPr>
          </w:p>
        </w:tc>
        <w:tc>
          <w:tcPr>
            <w:tcW w:w="2901" w:type="dxa"/>
            <w:shd w:val="clear" w:color="auto" w:fill="auto"/>
          </w:tcPr>
          <w:p>
            <w:pPr>
              <w:jc w:val="center"/>
              <w:rPr>
                <w:rFonts w:ascii="宋体" w:hAnsi="宋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auto"/>
          </w:tcPr>
          <w:p>
            <w:pPr>
              <w:jc w:val="center"/>
              <w:rPr>
                <w:rFonts w:ascii="宋体" w:hAnsi="宋体"/>
                <w:color w:val="000000"/>
                <w:sz w:val="28"/>
                <w:szCs w:val="28"/>
              </w:rPr>
            </w:pPr>
            <w:r>
              <w:rPr>
                <w:rFonts w:hint="eastAsia" w:ascii="宋体" w:hAnsi="宋体"/>
                <w:color w:val="000000"/>
                <w:sz w:val="28"/>
                <w:szCs w:val="28"/>
              </w:rPr>
              <w:t>3</w:t>
            </w:r>
          </w:p>
        </w:tc>
        <w:tc>
          <w:tcPr>
            <w:tcW w:w="0" w:type="auto"/>
            <w:shd w:val="clear" w:color="auto" w:fill="auto"/>
          </w:tcPr>
          <w:p>
            <w:pPr>
              <w:jc w:val="center"/>
              <w:rPr>
                <w:rFonts w:ascii="宋体" w:hAnsi="宋体"/>
                <w:color w:val="000000"/>
                <w:sz w:val="28"/>
                <w:szCs w:val="28"/>
              </w:rPr>
            </w:pPr>
          </w:p>
        </w:tc>
        <w:tc>
          <w:tcPr>
            <w:tcW w:w="2450" w:type="dxa"/>
            <w:shd w:val="clear" w:color="auto" w:fill="auto"/>
          </w:tcPr>
          <w:p>
            <w:pPr>
              <w:jc w:val="center"/>
              <w:rPr>
                <w:rFonts w:ascii="宋体" w:hAnsi="宋体"/>
                <w:color w:val="000000"/>
                <w:sz w:val="28"/>
                <w:szCs w:val="28"/>
              </w:rPr>
            </w:pPr>
          </w:p>
        </w:tc>
        <w:tc>
          <w:tcPr>
            <w:tcW w:w="2901" w:type="dxa"/>
            <w:shd w:val="clear" w:color="auto" w:fill="auto"/>
          </w:tcPr>
          <w:p>
            <w:pPr>
              <w:jc w:val="center"/>
              <w:rPr>
                <w:rFonts w:ascii="宋体" w:hAnsi="宋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auto"/>
          </w:tcPr>
          <w:p>
            <w:pPr>
              <w:jc w:val="center"/>
              <w:rPr>
                <w:rFonts w:ascii="宋体" w:hAnsi="宋体"/>
                <w:color w:val="000000"/>
                <w:sz w:val="28"/>
                <w:szCs w:val="28"/>
              </w:rPr>
            </w:pPr>
            <w:r>
              <w:rPr>
                <w:rFonts w:hint="eastAsia" w:ascii="宋体" w:hAnsi="宋体"/>
                <w:color w:val="000000"/>
                <w:sz w:val="28"/>
                <w:szCs w:val="28"/>
              </w:rPr>
              <w:t>4</w:t>
            </w:r>
          </w:p>
        </w:tc>
        <w:tc>
          <w:tcPr>
            <w:tcW w:w="0" w:type="auto"/>
            <w:shd w:val="clear" w:color="auto" w:fill="auto"/>
          </w:tcPr>
          <w:p>
            <w:pPr>
              <w:jc w:val="center"/>
              <w:rPr>
                <w:rFonts w:ascii="宋体" w:hAnsi="宋体"/>
                <w:color w:val="000000"/>
                <w:sz w:val="28"/>
                <w:szCs w:val="28"/>
              </w:rPr>
            </w:pPr>
          </w:p>
        </w:tc>
        <w:tc>
          <w:tcPr>
            <w:tcW w:w="2450" w:type="dxa"/>
            <w:shd w:val="clear" w:color="auto" w:fill="auto"/>
          </w:tcPr>
          <w:p>
            <w:pPr>
              <w:jc w:val="center"/>
              <w:rPr>
                <w:rFonts w:ascii="宋体" w:hAnsi="宋体"/>
                <w:color w:val="000000"/>
                <w:sz w:val="28"/>
                <w:szCs w:val="28"/>
              </w:rPr>
            </w:pPr>
          </w:p>
        </w:tc>
        <w:tc>
          <w:tcPr>
            <w:tcW w:w="2901" w:type="dxa"/>
            <w:shd w:val="clear" w:color="auto" w:fill="auto"/>
          </w:tcPr>
          <w:p>
            <w:pPr>
              <w:jc w:val="center"/>
              <w:rPr>
                <w:rFonts w:ascii="宋体" w:hAnsi="宋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auto"/>
          </w:tcPr>
          <w:p>
            <w:pPr>
              <w:jc w:val="center"/>
              <w:rPr>
                <w:rFonts w:ascii="宋体" w:hAnsi="宋体"/>
                <w:color w:val="000000"/>
                <w:sz w:val="28"/>
                <w:szCs w:val="28"/>
              </w:rPr>
            </w:pPr>
            <w:r>
              <w:rPr>
                <w:rFonts w:hint="eastAsia" w:ascii="宋体" w:hAnsi="宋体"/>
                <w:color w:val="000000"/>
                <w:sz w:val="28"/>
                <w:szCs w:val="28"/>
              </w:rPr>
              <w:t>5</w:t>
            </w:r>
          </w:p>
        </w:tc>
        <w:tc>
          <w:tcPr>
            <w:tcW w:w="0" w:type="auto"/>
            <w:shd w:val="clear" w:color="auto" w:fill="auto"/>
          </w:tcPr>
          <w:p>
            <w:pPr>
              <w:jc w:val="center"/>
              <w:rPr>
                <w:rFonts w:ascii="宋体" w:hAnsi="宋体"/>
                <w:color w:val="000000"/>
                <w:sz w:val="28"/>
                <w:szCs w:val="28"/>
              </w:rPr>
            </w:pPr>
          </w:p>
        </w:tc>
        <w:tc>
          <w:tcPr>
            <w:tcW w:w="2450" w:type="dxa"/>
            <w:shd w:val="clear" w:color="auto" w:fill="auto"/>
          </w:tcPr>
          <w:p>
            <w:pPr>
              <w:jc w:val="center"/>
              <w:rPr>
                <w:rFonts w:ascii="宋体" w:hAnsi="宋体"/>
                <w:color w:val="000000"/>
                <w:sz w:val="28"/>
                <w:szCs w:val="28"/>
              </w:rPr>
            </w:pPr>
          </w:p>
        </w:tc>
        <w:tc>
          <w:tcPr>
            <w:tcW w:w="2901" w:type="dxa"/>
            <w:shd w:val="clear" w:color="auto" w:fill="auto"/>
          </w:tcPr>
          <w:p>
            <w:pPr>
              <w:jc w:val="center"/>
              <w:rPr>
                <w:rFonts w:ascii="宋体" w:hAnsi="宋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auto"/>
          </w:tcPr>
          <w:p>
            <w:pPr>
              <w:jc w:val="center"/>
              <w:rPr>
                <w:rFonts w:ascii="宋体" w:hAnsi="宋体"/>
                <w:color w:val="000000"/>
                <w:sz w:val="28"/>
                <w:szCs w:val="28"/>
              </w:rPr>
            </w:pPr>
            <w:r>
              <w:rPr>
                <w:rFonts w:ascii="宋体" w:hAnsi="宋体"/>
                <w:color w:val="000000"/>
                <w:sz w:val="28"/>
                <w:szCs w:val="28"/>
              </w:rPr>
              <w:t>……</w:t>
            </w:r>
          </w:p>
        </w:tc>
        <w:tc>
          <w:tcPr>
            <w:tcW w:w="0" w:type="auto"/>
            <w:shd w:val="clear" w:color="auto" w:fill="auto"/>
          </w:tcPr>
          <w:p>
            <w:pPr>
              <w:jc w:val="center"/>
              <w:rPr>
                <w:rFonts w:ascii="宋体" w:hAnsi="宋体"/>
                <w:color w:val="000000"/>
                <w:sz w:val="28"/>
                <w:szCs w:val="28"/>
              </w:rPr>
            </w:pPr>
          </w:p>
        </w:tc>
        <w:tc>
          <w:tcPr>
            <w:tcW w:w="2450" w:type="dxa"/>
            <w:shd w:val="clear" w:color="auto" w:fill="auto"/>
          </w:tcPr>
          <w:p>
            <w:pPr>
              <w:jc w:val="center"/>
              <w:rPr>
                <w:rFonts w:ascii="宋体" w:hAnsi="宋体"/>
                <w:color w:val="000000"/>
                <w:sz w:val="28"/>
                <w:szCs w:val="28"/>
              </w:rPr>
            </w:pPr>
          </w:p>
        </w:tc>
        <w:tc>
          <w:tcPr>
            <w:tcW w:w="2901" w:type="dxa"/>
            <w:shd w:val="clear" w:color="auto" w:fill="auto"/>
          </w:tcPr>
          <w:p>
            <w:pPr>
              <w:jc w:val="center"/>
              <w:rPr>
                <w:rFonts w:ascii="宋体" w:hAnsi="宋体"/>
                <w:color w:val="000000"/>
                <w:sz w:val="28"/>
                <w:szCs w:val="28"/>
              </w:rPr>
            </w:pPr>
          </w:p>
        </w:tc>
      </w:tr>
    </w:tbl>
    <w:p>
      <w:pPr>
        <w:spacing w:after="312" w:afterLines="100"/>
        <w:ind w:right="420"/>
        <w:jc w:val="right"/>
        <w:rPr>
          <w:color w:val="000000"/>
          <w:szCs w:val="44"/>
        </w:rPr>
      </w:pPr>
      <w:r>
        <w:rPr>
          <w:rFonts w:hint="eastAsia"/>
          <w:color w:val="000000"/>
          <w:szCs w:val="44"/>
        </w:rPr>
        <w:t>全体评委签字：</w:t>
      </w:r>
      <w:r>
        <w:rPr>
          <w:color w:val="000000"/>
          <w:szCs w:val="44"/>
        </w:rPr>
        <w:tab/>
      </w:r>
    </w:p>
    <w:p>
      <w:pPr>
        <w:spacing w:after="312" w:afterLines="100"/>
        <w:ind w:right="840"/>
        <w:jc w:val="right"/>
        <w:rPr>
          <w:color w:val="000000"/>
          <w:szCs w:val="44"/>
        </w:rPr>
      </w:pPr>
      <w:r>
        <w:rPr>
          <w:rFonts w:hint="eastAsia"/>
          <w:color w:val="000000"/>
          <w:szCs w:val="44"/>
        </w:rPr>
        <w:t>年  月   日</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rFonts w:ascii="黑体" w:hAnsi="宋体" w:eastAsia="黑体"/>
          <w:color w:val="000000"/>
          <w:sz w:val="24"/>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bookmarkStart w:id="303" w:name="_Toc114222777"/>
    </w:p>
    <w:p>
      <w:pPr>
        <w:spacing w:before="312" w:beforeLines="100" w:after="249" w:afterLines="80" w:line="380" w:lineRule="exact"/>
        <w:outlineLvl w:val="2"/>
        <w:rPr>
          <w:rFonts w:ascii="黑体" w:hAnsi="宋体" w:eastAsia="黑体"/>
          <w:color w:val="000000"/>
          <w:sz w:val="24"/>
        </w:rPr>
      </w:pPr>
      <w:r>
        <w:rPr>
          <w:rFonts w:hint="eastAsia" w:ascii="黑体" w:hAnsi="宋体" w:eastAsia="黑体"/>
          <w:color w:val="000000"/>
          <w:sz w:val="24"/>
        </w:rPr>
        <w:t>附表A-</w:t>
      </w:r>
      <w:r>
        <w:rPr>
          <w:rFonts w:ascii="黑体" w:hAnsi="宋体" w:eastAsia="黑体"/>
          <w:color w:val="000000"/>
          <w:sz w:val="24"/>
        </w:rPr>
        <w:t>6</w:t>
      </w:r>
      <w:r>
        <w:rPr>
          <w:rFonts w:hint="eastAsia" w:ascii="黑体" w:hAnsi="宋体" w:eastAsia="黑体"/>
          <w:color w:val="000000"/>
          <w:sz w:val="24"/>
        </w:rPr>
        <w:t>：未进入详细评审的有效投标人名单（系统自动生成）</w:t>
      </w:r>
      <w:bookmarkEnd w:id="303"/>
    </w:p>
    <w:p>
      <w:pPr>
        <w:jc w:val="center"/>
        <w:rPr>
          <w:rFonts w:ascii="宋体" w:hAnsi="宋体"/>
          <w:color w:val="000000"/>
          <w:sz w:val="28"/>
          <w:szCs w:val="28"/>
        </w:rPr>
      </w:pPr>
      <w:r>
        <w:rPr>
          <w:rFonts w:hint="eastAsia" w:ascii="宋体" w:hAnsi="宋体"/>
          <w:color w:val="000000"/>
          <w:sz w:val="28"/>
          <w:szCs w:val="28"/>
        </w:rPr>
        <w:t>未进入详细评审的有效投标人名单</w:t>
      </w:r>
    </w:p>
    <w:p>
      <w:pPr>
        <w:adjustRightInd w:val="0"/>
        <w:snapToGrid w:val="0"/>
        <w:spacing w:line="440" w:lineRule="exact"/>
        <w:rPr>
          <w:color w:val="000000"/>
          <w:szCs w:val="44"/>
        </w:rPr>
      </w:pPr>
      <w:r>
        <w:rPr>
          <w:rFonts w:hint="eastAsia"/>
          <w:color w:val="000000"/>
          <w:szCs w:val="44"/>
        </w:rPr>
        <w:t>项目名称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项目编号</w:t>
      </w:r>
    </w:p>
    <w:p>
      <w:pPr>
        <w:rPr>
          <w:color w:val="000000"/>
          <w:szCs w:val="44"/>
        </w:rPr>
      </w:pPr>
      <w:r>
        <w:rPr>
          <w:rFonts w:hint="eastAsia"/>
          <w:color w:val="000000"/>
          <w:szCs w:val="44"/>
        </w:rPr>
        <w:t>标段名称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标段编号</w:t>
      </w:r>
    </w:p>
    <w:p>
      <w:pPr>
        <w:rPr>
          <w:rFonts w:ascii="宋体" w:hAnsi="宋体"/>
          <w:color w:val="000000"/>
          <w:sz w:val="28"/>
          <w:szCs w:val="28"/>
        </w:rPr>
      </w:pPr>
      <w:r>
        <w:rPr>
          <w:rFonts w:hint="eastAsia"/>
          <w:color w:val="000000"/>
        </w:rPr>
        <w:t>单位：人民币元</w:t>
      </w:r>
    </w:p>
    <w:p>
      <w:pPr>
        <w:ind w:left="10080" w:firstLine="420"/>
        <w:jc w:val="center"/>
        <w:rPr>
          <w:rFonts w:ascii="宋体" w:hAnsi="宋体"/>
          <w:color w:val="000000"/>
          <w:sz w:val="28"/>
          <w:szCs w:val="28"/>
        </w:rPr>
      </w:pPr>
      <w:r>
        <w:rPr>
          <w:rFonts w:hint="eastAsia"/>
          <w:color w:val="000000"/>
        </w:rPr>
        <w:t>位</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2336"/>
        <w:gridCol w:w="10"/>
        <w:gridCol w:w="2791"/>
        <w:gridCol w:w="2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6" w:type="dxa"/>
            <w:shd w:val="clear" w:color="auto" w:fill="auto"/>
          </w:tcPr>
          <w:p>
            <w:pPr>
              <w:jc w:val="center"/>
              <w:rPr>
                <w:rFonts w:ascii="宋体" w:hAnsi="宋体"/>
                <w:color w:val="000000"/>
                <w:sz w:val="28"/>
                <w:szCs w:val="28"/>
              </w:rPr>
            </w:pPr>
            <w:r>
              <w:rPr>
                <w:rFonts w:hint="eastAsia" w:ascii="宋体" w:hAnsi="宋体"/>
                <w:color w:val="000000"/>
                <w:sz w:val="28"/>
                <w:szCs w:val="28"/>
              </w:rPr>
              <w:t>序号</w:t>
            </w:r>
          </w:p>
        </w:tc>
        <w:tc>
          <w:tcPr>
            <w:tcW w:w="2346" w:type="dxa"/>
            <w:gridSpan w:val="2"/>
            <w:shd w:val="clear" w:color="auto" w:fill="auto"/>
          </w:tcPr>
          <w:p>
            <w:pPr>
              <w:jc w:val="center"/>
              <w:rPr>
                <w:rFonts w:ascii="宋体" w:hAnsi="宋体"/>
                <w:color w:val="000000"/>
                <w:sz w:val="28"/>
                <w:szCs w:val="28"/>
              </w:rPr>
            </w:pPr>
            <w:r>
              <w:rPr>
                <w:rFonts w:hint="eastAsia" w:ascii="宋体" w:hAnsi="宋体"/>
                <w:color w:val="000000"/>
                <w:sz w:val="28"/>
                <w:szCs w:val="28"/>
              </w:rPr>
              <w:t>单位名称</w:t>
            </w:r>
          </w:p>
        </w:tc>
        <w:tc>
          <w:tcPr>
            <w:tcW w:w="2791" w:type="dxa"/>
            <w:shd w:val="clear" w:color="auto" w:fill="auto"/>
          </w:tcPr>
          <w:p>
            <w:pPr>
              <w:jc w:val="center"/>
              <w:rPr>
                <w:rFonts w:ascii="宋体" w:hAnsi="宋体"/>
                <w:color w:val="000000"/>
                <w:sz w:val="28"/>
                <w:szCs w:val="28"/>
              </w:rPr>
            </w:pPr>
            <w:r>
              <w:rPr>
                <w:rFonts w:hint="eastAsia" w:ascii="宋体" w:hAnsi="宋体"/>
                <w:color w:val="000000"/>
                <w:sz w:val="28"/>
                <w:szCs w:val="28"/>
              </w:rPr>
              <w:t>投标总报价</w:t>
            </w:r>
          </w:p>
        </w:tc>
        <w:tc>
          <w:tcPr>
            <w:tcW w:w="2897" w:type="dxa"/>
          </w:tcPr>
          <w:p>
            <w:pPr>
              <w:jc w:val="center"/>
              <w:rPr>
                <w:rFonts w:ascii="宋体" w:hAnsi="宋体"/>
                <w:color w:val="000000"/>
                <w:sz w:val="28"/>
                <w:szCs w:val="28"/>
              </w:rPr>
            </w:pPr>
            <w:r>
              <w:rPr>
                <w:rFonts w:hint="eastAsia" w:ascii="宋体" w:hAnsi="宋体"/>
                <w:color w:val="000000"/>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6" w:type="dxa"/>
            <w:shd w:val="clear" w:color="auto" w:fill="auto"/>
          </w:tcPr>
          <w:p>
            <w:pPr>
              <w:jc w:val="center"/>
              <w:rPr>
                <w:rFonts w:ascii="宋体" w:hAnsi="宋体"/>
                <w:color w:val="000000"/>
                <w:sz w:val="28"/>
                <w:szCs w:val="28"/>
              </w:rPr>
            </w:pPr>
            <w:r>
              <w:rPr>
                <w:rFonts w:hint="eastAsia" w:ascii="宋体" w:hAnsi="宋体"/>
                <w:color w:val="000000"/>
                <w:sz w:val="28"/>
                <w:szCs w:val="28"/>
              </w:rPr>
              <w:t>1</w:t>
            </w:r>
          </w:p>
        </w:tc>
        <w:tc>
          <w:tcPr>
            <w:tcW w:w="2336" w:type="dxa"/>
            <w:shd w:val="clear" w:color="auto" w:fill="auto"/>
          </w:tcPr>
          <w:p>
            <w:pPr>
              <w:jc w:val="center"/>
              <w:rPr>
                <w:rFonts w:ascii="宋体" w:hAnsi="宋体"/>
                <w:color w:val="000000"/>
                <w:sz w:val="28"/>
                <w:szCs w:val="28"/>
              </w:rPr>
            </w:pPr>
          </w:p>
        </w:tc>
        <w:tc>
          <w:tcPr>
            <w:tcW w:w="2801" w:type="dxa"/>
            <w:gridSpan w:val="2"/>
            <w:shd w:val="clear" w:color="auto" w:fill="auto"/>
          </w:tcPr>
          <w:p>
            <w:pPr>
              <w:jc w:val="center"/>
              <w:rPr>
                <w:rFonts w:ascii="宋体" w:hAnsi="宋体"/>
                <w:color w:val="000000"/>
                <w:sz w:val="28"/>
                <w:szCs w:val="28"/>
              </w:rPr>
            </w:pPr>
          </w:p>
        </w:tc>
        <w:tc>
          <w:tcPr>
            <w:tcW w:w="2897" w:type="dxa"/>
          </w:tcPr>
          <w:p>
            <w:pPr>
              <w:jc w:val="center"/>
              <w:rPr>
                <w:rFonts w:ascii="宋体" w:hAnsi="宋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6" w:type="dxa"/>
            <w:shd w:val="clear" w:color="auto" w:fill="auto"/>
          </w:tcPr>
          <w:p>
            <w:pPr>
              <w:jc w:val="center"/>
              <w:rPr>
                <w:rFonts w:ascii="宋体" w:hAnsi="宋体"/>
                <w:color w:val="000000"/>
                <w:sz w:val="28"/>
                <w:szCs w:val="28"/>
              </w:rPr>
            </w:pPr>
            <w:r>
              <w:rPr>
                <w:rFonts w:hint="eastAsia" w:ascii="宋体" w:hAnsi="宋体"/>
                <w:color w:val="000000"/>
                <w:sz w:val="28"/>
                <w:szCs w:val="28"/>
              </w:rPr>
              <w:t>2</w:t>
            </w:r>
          </w:p>
        </w:tc>
        <w:tc>
          <w:tcPr>
            <w:tcW w:w="2336" w:type="dxa"/>
            <w:shd w:val="clear" w:color="auto" w:fill="auto"/>
          </w:tcPr>
          <w:p>
            <w:pPr>
              <w:jc w:val="center"/>
              <w:rPr>
                <w:rFonts w:ascii="宋体" w:hAnsi="宋体"/>
                <w:color w:val="000000"/>
                <w:sz w:val="28"/>
                <w:szCs w:val="28"/>
              </w:rPr>
            </w:pPr>
          </w:p>
        </w:tc>
        <w:tc>
          <w:tcPr>
            <w:tcW w:w="2801" w:type="dxa"/>
            <w:gridSpan w:val="2"/>
            <w:shd w:val="clear" w:color="auto" w:fill="auto"/>
          </w:tcPr>
          <w:p>
            <w:pPr>
              <w:jc w:val="center"/>
              <w:rPr>
                <w:rFonts w:ascii="宋体" w:hAnsi="宋体"/>
                <w:color w:val="000000"/>
                <w:sz w:val="28"/>
                <w:szCs w:val="28"/>
              </w:rPr>
            </w:pPr>
          </w:p>
        </w:tc>
        <w:tc>
          <w:tcPr>
            <w:tcW w:w="2897" w:type="dxa"/>
          </w:tcPr>
          <w:p>
            <w:pPr>
              <w:jc w:val="center"/>
              <w:rPr>
                <w:rFonts w:ascii="宋体" w:hAnsi="宋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6" w:type="dxa"/>
            <w:shd w:val="clear" w:color="auto" w:fill="auto"/>
          </w:tcPr>
          <w:p>
            <w:pPr>
              <w:jc w:val="center"/>
              <w:rPr>
                <w:rFonts w:ascii="宋体" w:hAnsi="宋体"/>
                <w:color w:val="000000"/>
                <w:sz w:val="28"/>
                <w:szCs w:val="28"/>
              </w:rPr>
            </w:pPr>
            <w:r>
              <w:rPr>
                <w:rFonts w:hint="eastAsia" w:ascii="宋体" w:hAnsi="宋体"/>
                <w:color w:val="000000"/>
                <w:sz w:val="28"/>
                <w:szCs w:val="28"/>
              </w:rPr>
              <w:t>3</w:t>
            </w:r>
          </w:p>
        </w:tc>
        <w:tc>
          <w:tcPr>
            <w:tcW w:w="2336" w:type="dxa"/>
            <w:shd w:val="clear" w:color="auto" w:fill="auto"/>
          </w:tcPr>
          <w:p>
            <w:pPr>
              <w:jc w:val="center"/>
              <w:rPr>
                <w:rFonts w:ascii="宋体" w:hAnsi="宋体"/>
                <w:color w:val="000000"/>
                <w:sz w:val="28"/>
                <w:szCs w:val="28"/>
              </w:rPr>
            </w:pPr>
          </w:p>
        </w:tc>
        <w:tc>
          <w:tcPr>
            <w:tcW w:w="2801" w:type="dxa"/>
            <w:gridSpan w:val="2"/>
            <w:shd w:val="clear" w:color="auto" w:fill="auto"/>
          </w:tcPr>
          <w:p>
            <w:pPr>
              <w:jc w:val="center"/>
              <w:rPr>
                <w:rFonts w:ascii="宋体" w:hAnsi="宋体"/>
                <w:color w:val="000000"/>
                <w:sz w:val="28"/>
                <w:szCs w:val="28"/>
              </w:rPr>
            </w:pPr>
          </w:p>
        </w:tc>
        <w:tc>
          <w:tcPr>
            <w:tcW w:w="2897" w:type="dxa"/>
          </w:tcPr>
          <w:p>
            <w:pPr>
              <w:jc w:val="center"/>
              <w:rPr>
                <w:rFonts w:ascii="宋体" w:hAnsi="宋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6" w:type="dxa"/>
            <w:shd w:val="clear" w:color="auto" w:fill="auto"/>
          </w:tcPr>
          <w:p>
            <w:pPr>
              <w:jc w:val="center"/>
              <w:rPr>
                <w:rFonts w:ascii="宋体" w:hAnsi="宋体"/>
                <w:color w:val="000000"/>
                <w:sz w:val="28"/>
                <w:szCs w:val="28"/>
              </w:rPr>
            </w:pPr>
            <w:r>
              <w:rPr>
                <w:rFonts w:hint="eastAsia" w:ascii="宋体" w:hAnsi="宋体"/>
                <w:color w:val="000000"/>
                <w:sz w:val="28"/>
                <w:szCs w:val="28"/>
              </w:rPr>
              <w:t>4</w:t>
            </w:r>
          </w:p>
        </w:tc>
        <w:tc>
          <w:tcPr>
            <w:tcW w:w="2336" w:type="dxa"/>
            <w:shd w:val="clear" w:color="auto" w:fill="auto"/>
          </w:tcPr>
          <w:p>
            <w:pPr>
              <w:jc w:val="center"/>
              <w:rPr>
                <w:rFonts w:ascii="宋体" w:hAnsi="宋体"/>
                <w:color w:val="000000"/>
                <w:sz w:val="28"/>
                <w:szCs w:val="28"/>
              </w:rPr>
            </w:pPr>
          </w:p>
        </w:tc>
        <w:tc>
          <w:tcPr>
            <w:tcW w:w="2801" w:type="dxa"/>
            <w:gridSpan w:val="2"/>
            <w:shd w:val="clear" w:color="auto" w:fill="auto"/>
          </w:tcPr>
          <w:p>
            <w:pPr>
              <w:jc w:val="center"/>
              <w:rPr>
                <w:rFonts w:ascii="宋体" w:hAnsi="宋体"/>
                <w:color w:val="000000"/>
                <w:sz w:val="28"/>
                <w:szCs w:val="28"/>
              </w:rPr>
            </w:pPr>
          </w:p>
        </w:tc>
        <w:tc>
          <w:tcPr>
            <w:tcW w:w="2897" w:type="dxa"/>
          </w:tcPr>
          <w:p>
            <w:pPr>
              <w:jc w:val="center"/>
              <w:rPr>
                <w:rFonts w:ascii="宋体" w:hAnsi="宋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6" w:type="dxa"/>
            <w:shd w:val="clear" w:color="auto" w:fill="auto"/>
          </w:tcPr>
          <w:p>
            <w:pPr>
              <w:jc w:val="center"/>
              <w:rPr>
                <w:rFonts w:ascii="宋体" w:hAnsi="宋体"/>
                <w:color w:val="000000"/>
                <w:sz w:val="28"/>
                <w:szCs w:val="28"/>
              </w:rPr>
            </w:pPr>
            <w:r>
              <w:rPr>
                <w:rFonts w:hint="eastAsia" w:ascii="宋体" w:hAnsi="宋体"/>
                <w:color w:val="000000"/>
                <w:sz w:val="28"/>
                <w:szCs w:val="28"/>
              </w:rPr>
              <w:t>5</w:t>
            </w:r>
          </w:p>
        </w:tc>
        <w:tc>
          <w:tcPr>
            <w:tcW w:w="2336" w:type="dxa"/>
            <w:shd w:val="clear" w:color="auto" w:fill="auto"/>
          </w:tcPr>
          <w:p>
            <w:pPr>
              <w:jc w:val="center"/>
              <w:rPr>
                <w:rFonts w:ascii="宋体" w:hAnsi="宋体"/>
                <w:color w:val="000000"/>
                <w:sz w:val="28"/>
                <w:szCs w:val="28"/>
              </w:rPr>
            </w:pPr>
          </w:p>
        </w:tc>
        <w:tc>
          <w:tcPr>
            <w:tcW w:w="2801" w:type="dxa"/>
            <w:gridSpan w:val="2"/>
            <w:shd w:val="clear" w:color="auto" w:fill="auto"/>
          </w:tcPr>
          <w:p>
            <w:pPr>
              <w:jc w:val="center"/>
              <w:rPr>
                <w:rFonts w:ascii="宋体" w:hAnsi="宋体"/>
                <w:color w:val="000000"/>
                <w:sz w:val="28"/>
                <w:szCs w:val="28"/>
              </w:rPr>
            </w:pPr>
          </w:p>
        </w:tc>
        <w:tc>
          <w:tcPr>
            <w:tcW w:w="2897" w:type="dxa"/>
          </w:tcPr>
          <w:p>
            <w:pPr>
              <w:jc w:val="center"/>
              <w:rPr>
                <w:rFonts w:ascii="宋体" w:hAnsi="宋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6" w:type="dxa"/>
            <w:shd w:val="clear" w:color="auto" w:fill="auto"/>
          </w:tcPr>
          <w:p>
            <w:pPr>
              <w:jc w:val="center"/>
              <w:rPr>
                <w:rFonts w:ascii="宋体" w:hAnsi="宋体"/>
                <w:color w:val="000000"/>
                <w:sz w:val="28"/>
                <w:szCs w:val="28"/>
              </w:rPr>
            </w:pPr>
            <w:r>
              <w:rPr>
                <w:rFonts w:ascii="宋体" w:hAnsi="宋体"/>
                <w:color w:val="000000"/>
                <w:sz w:val="28"/>
                <w:szCs w:val="28"/>
              </w:rPr>
              <w:t>……</w:t>
            </w:r>
          </w:p>
        </w:tc>
        <w:tc>
          <w:tcPr>
            <w:tcW w:w="2336" w:type="dxa"/>
            <w:shd w:val="clear" w:color="auto" w:fill="auto"/>
          </w:tcPr>
          <w:p>
            <w:pPr>
              <w:jc w:val="center"/>
              <w:rPr>
                <w:rFonts w:ascii="宋体" w:hAnsi="宋体"/>
                <w:color w:val="000000"/>
                <w:sz w:val="28"/>
                <w:szCs w:val="28"/>
              </w:rPr>
            </w:pPr>
          </w:p>
        </w:tc>
        <w:tc>
          <w:tcPr>
            <w:tcW w:w="2801" w:type="dxa"/>
            <w:gridSpan w:val="2"/>
            <w:shd w:val="clear" w:color="auto" w:fill="auto"/>
          </w:tcPr>
          <w:p>
            <w:pPr>
              <w:jc w:val="center"/>
              <w:rPr>
                <w:rFonts w:ascii="宋体" w:hAnsi="宋体"/>
                <w:color w:val="000000"/>
                <w:sz w:val="28"/>
                <w:szCs w:val="28"/>
              </w:rPr>
            </w:pPr>
          </w:p>
        </w:tc>
        <w:tc>
          <w:tcPr>
            <w:tcW w:w="2897" w:type="dxa"/>
          </w:tcPr>
          <w:p>
            <w:pPr>
              <w:jc w:val="center"/>
              <w:rPr>
                <w:rFonts w:ascii="宋体" w:hAnsi="宋体"/>
                <w:color w:val="000000"/>
                <w:sz w:val="28"/>
                <w:szCs w:val="28"/>
              </w:rPr>
            </w:pPr>
          </w:p>
        </w:tc>
      </w:tr>
    </w:tbl>
    <w:p>
      <w:pPr>
        <w:spacing w:after="312" w:afterLines="100"/>
        <w:ind w:right="420"/>
        <w:jc w:val="right"/>
        <w:rPr>
          <w:color w:val="000000"/>
          <w:szCs w:val="44"/>
        </w:rPr>
      </w:pPr>
      <w:bookmarkStart w:id="304" w:name="_Toc114222778"/>
      <w:r>
        <w:rPr>
          <w:rFonts w:hint="eastAsia"/>
          <w:color w:val="000000"/>
          <w:szCs w:val="44"/>
        </w:rPr>
        <w:t>全体评委签字：</w:t>
      </w:r>
      <w:r>
        <w:rPr>
          <w:color w:val="000000"/>
          <w:szCs w:val="44"/>
        </w:rPr>
        <w:tab/>
      </w:r>
    </w:p>
    <w:p>
      <w:pPr>
        <w:spacing w:after="312" w:afterLines="100"/>
        <w:ind w:right="840"/>
        <w:jc w:val="right"/>
        <w:rPr>
          <w:color w:val="000000"/>
          <w:szCs w:val="44"/>
        </w:rPr>
      </w:pPr>
      <w:r>
        <w:rPr>
          <w:rFonts w:hint="eastAsia"/>
          <w:color w:val="000000"/>
          <w:szCs w:val="44"/>
        </w:rPr>
        <w:t>年  月   日</w:t>
      </w:r>
    </w:p>
    <w:p/>
    <w:p>
      <w:pPr>
        <w:widowControl/>
        <w:jc w:val="left"/>
        <w:rPr>
          <w:rFonts w:ascii="黑体" w:hAnsi="宋体" w:eastAsia="黑体"/>
          <w:color w:val="000000"/>
          <w:sz w:val="24"/>
        </w:rPr>
      </w:pPr>
      <w:r>
        <w:rPr>
          <w:rFonts w:ascii="黑体" w:hAnsi="宋体" w:eastAsia="黑体"/>
          <w:color w:val="000000"/>
          <w:sz w:val="24"/>
        </w:rPr>
        <w:br w:type="page"/>
      </w:r>
    </w:p>
    <w:p>
      <w:pPr>
        <w:spacing w:before="312" w:beforeLines="100" w:after="249" w:afterLines="80" w:line="380" w:lineRule="exact"/>
        <w:outlineLvl w:val="2"/>
        <w:rPr>
          <w:rFonts w:ascii="黑体" w:hAnsi="宋体" w:eastAsia="黑体"/>
          <w:color w:val="000000"/>
          <w:sz w:val="24"/>
        </w:rPr>
      </w:pPr>
      <w:r>
        <w:rPr>
          <w:rFonts w:hint="eastAsia" w:ascii="黑体" w:hAnsi="宋体" w:eastAsia="黑体"/>
          <w:color w:val="000000"/>
          <w:sz w:val="24"/>
        </w:rPr>
        <w:t>附表A-</w:t>
      </w:r>
      <w:r>
        <w:rPr>
          <w:rFonts w:ascii="黑体" w:hAnsi="宋体" w:eastAsia="黑体"/>
          <w:color w:val="000000"/>
          <w:sz w:val="24"/>
        </w:rPr>
        <w:t>7</w:t>
      </w:r>
      <w:r>
        <w:rPr>
          <w:rFonts w:hint="eastAsia" w:ascii="黑体" w:hAnsi="宋体" w:eastAsia="黑体"/>
          <w:color w:val="000000"/>
          <w:sz w:val="24"/>
        </w:rPr>
        <w:t>：工程量清单总报价得分表（系统自动生成）</w:t>
      </w:r>
      <w:bookmarkEnd w:id="304"/>
    </w:p>
    <w:p>
      <w:pPr>
        <w:jc w:val="center"/>
        <w:rPr>
          <w:rFonts w:ascii="宋体" w:hAnsi="宋体"/>
          <w:color w:val="000000"/>
          <w:szCs w:val="21"/>
        </w:rPr>
      </w:pPr>
      <w:r>
        <w:rPr>
          <w:rFonts w:hint="eastAsia" w:ascii="黑体" w:eastAsia="黑体"/>
          <w:color w:val="000000"/>
          <w:sz w:val="28"/>
          <w:szCs w:val="28"/>
        </w:rPr>
        <w:t>工程量清单总报价得分表</w:t>
      </w:r>
    </w:p>
    <w:p>
      <w:pPr>
        <w:adjustRightInd w:val="0"/>
        <w:snapToGrid w:val="0"/>
        <w:spacing w:line="440" w:lineRule="exact"/>
        <w:rPr>
          <w:color w:val="000000"/>
          <w:szCs w:val="44"/>
        </w:rPr>
      </w:pPr>
      <w:r>
        <w:rPr>
          <w:rFonts w:hint="eastAsia"/>
          <w:color w:val="000000"/>
          <w:szCs w:val="44"/>
        </w:rPr>
        <w:t>项目名称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项目编号</w:t>
      </w:r>
    </w:p>
    <w:p>
      <w:pPr>
        <w:spacing w:after="93" w:afterLines="30" w:line="440" w:lineRule="exact"/>
        <w:rPr>
          <w:rFonts w:hint="eastAsia"/>
          <w:color w:val="000000"/>
          <w:szCs w:val="44"/>
        </w:rPr>
      </w:pPr>
      <w:r>
        <w:rPr>
          <w:rFonts w:hint="eastAsia"/>
          <w:color w:val="000000"/>
          <w:szCs w:val="44"/>
        </w:rPr>
        <w:t>标段名称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标段编号</w:t>
      </w:r>
    </w:p>
    <w:p>
      <w:pPr>
        <w:spacing w:after="93" w:afterLines="30" w:line="440" w:lineRule="exact"/>
        <w:rPr>
          <w:color w:val="000000"/>
          <w:szCs w:val="44"/>
        </w:rPr>
      </w:pPr>
      <w:r>
        <w:rPr>
          <w:rFonts w:hint="eastAsia"/>
          <w:color w:val="000000"/>
          <w:szCs w:val="44"/>
        </w:rPr>
        <w:t>单位：人民币元</w:t>
      </w:r>
    </w:p>
    <w:tbl>
      <w:tblPr>
        <w:tblStyle w:val="36"/>
        <w:tblW w:w="92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1771"/>
        <w:gridCol w:w="1293"/>
        <w:gridCol w:w="1409"/>
        <w:gridCol w:w="1171"/>
        <w:gridCol w:w="2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4" w:hRule="atLeast"/>
        </w:trPr>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r>
              <w:rPr>
                <w:rFonts w:hint="eastAsia" w:ascii="宋体" w:hAnsi="宋体"/>
                <w:color w:val="000000"/>
                <w:sz w:val="28"/>
                <w:szCs w:val="28"/>
              </w:rPr>
              <w:t>序号</w:t>
            </w:r>
          </w:p>
        </w:tc>
        <w:tc>
          <w:tcPr>
            <w:tcW w:w="177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r>
              <w:rPr>
                <w:rFonts w:hint="eastAsia" w:ascii="宋体" w:hAnsi="宋体"/>
                <w:color w:val="000000"/>
                <w:sz w:val="28"/>
                <w:szCs w:val="28"/>
              </w:rPr>
              <w:t>投标单位</w:t>
            </w:r>
          </w:p>
        </w:tc>
        <w:tc>
          <w:tcPr>
            <w:tcW w:w="129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r>
              <w:rPr>
                <w:rFonts w:hint="eastAsia" w:ascii="宋体" w:hAnsi="宋体"/>
                <w:color w:val="000000"/>
                <w:sz w:val="28"/>
                <w:szCs w:val="28"/>
              </w:rPr>
              <w:t>投标报价</w:t>
            </w:r>
          </w:p>
        </w:tc>
        <w:tc>
          <w:tcPr>
            <w:tcW w:w="140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r>
              <w:rPr>
                <w:rFonts w:hint="eastAsia" w:ascii="宋体" w:hAnsi="宋体"/>
                <w:color w:val="000000"/>
                <w:sz w:val="28"/>
                <w:szCs w:val="28"/>
              </w:rPr>
              <w:t>评标价</w:t>
            </w:r>
          </w:p>
        </w:tc>
        <w:tc>
          <w:tcPr>
            <w:tcW w:w="117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r>
              <w:rPr>
                <w:rFonts w:hint="eastAsia" w:ascii="宋体" w:hAnsi="宋体"/>
                <w:color w:val="000000"/>
                <w:sz w:val="28"/>
                <w:szCs w:val="28"/>
              </w:rPr>
              <w:t>偏差率</w:t>
            </w:r>
          </w:p>
        </w:tc>
        <w:tc>
          <w:tcPr>
            <w:tcW w:w="201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r>
              <w:rPr>
                <w:rFonts w:hint="eastAsia" w:ascii="宋体" w:hAnsi="宋体"/>
                <w:color w:val="000000"/>
                <w:sz w:val="28"/>
                <w:szCs w:val="2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4" w:hRule="atLeast"/>
        </w:trPr>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r>
              <w:rPr>
                <w:rFonts w:hint="eastAsia" w:ascii="宋体" w:hAnsi="宋体"/>
                <w:color w:val="000000"/>
                <w:sz w:val="28"/>
                <w:szCs w:val="28"/>
              </w:rPr>
              <w:t>1</w:t>
            </w:r>
          </w:p>
        </w:tc>
        <w:tc>
          <w:tcPr>
            <w:tcW w:w="177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p>
        </w:tc>
        <w:tc>
          <w:tcPr>
            <w:tcW w:w="129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p>
        </w:tc>
        <w:tc>
          <w:tcPr>
            <w:tcW w:w="140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p>
        </w:tc>
        <w:tc>
          <w:tcPr>
            <w:tcW w:w="117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p>
        </w:tc>
        <w:tc>
          <w:tcPr>
            <w:tcW w:w="201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4" w:hRule="atLeast"/>
        </w:trPr>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r>
              <w:rPr>
                <w:rFonts w:hint="eastAsia" w:ascii="宋体" w:hAnsi="宋体"/>
                <w:color w:val="000000"/>
                <w:sz w:val="28"/>
                <w:szCs w:val="28"/>
              </w:rPr>
              <w:t>2</w:t>
            </w:r>
          </w:p>
        </w:tc>
        <w:tc>
          <w:tcPr>
            <w:tcW w:w="177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p>
        </w:tc>
        <w:tc>
          <w:tcPr>
            <w:tcW w:w="129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p>
        </w:tc>
        <w:tc>
          <w:tcPr>
            <w:tcW w:w="140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p>
        </w:tc>
        <w:tc>
          <w:tcPr>
            <w:tcW w:w="117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p>
        </w:tc>
        <w:tc>
          <w:tcPr>
            <w:tcW w:w="201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4" w:hRule="atLeast"/>
        </w:trPr>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r>
              <w:rPr>
                <w:rFonts w:hint="eastAsia" w:ascii="宋体" w:hAnsi="宋体"/>
                <w:color w:val="000000"/>
                <w:sz w:val="28"/>
                <w:szCs w:val="28"/>
              </w:rPr>
              <w:t>3</w:t>
            </w:r>
          </w:p>
        </w:tc>
        <w:tc>
          <w:tcPr>
            <w:tcW w:w="177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p>
        </w:tc>
        <w:tc>
          <w:tcPr>
            <w:tcW w:w="129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p>
        </w:tc>
        <w:tc>
          <w:tcPr>
            <w:tcW w:w="140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p>
        </w:tc>
        <w:tc>
          <w:tcPr>
            <w:tcW w:w="117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p>
        </w:tc>
        <w:tc>
          <w:tcPr>
            <w:tcW w:w="201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4" w:hRule="atLeast"/>
        </w:trPr>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r>
              <w:rPr>
                <w:rFonts w:ascii="宋体" w:hAnsi="宋体"/>
                <w:color w:val="000000"/>
                <w:sz w:val="28"/>
                <w:szCs w:val="28"/>
              </w:rPr>
              <w:t>……</w:t>
            </w:r>
          </w:p>
        </w:tc>
        <w:tc>
          <w:tcPr>
            <w:tcW w:w="177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p>
        </w:tc>
        <w:tc>
          <w:tcPr>
            <w:tcW w:w="129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p>
        </w:tc>
        <w:tc>
          <w:tcPr>
            <w:tcW w:w="140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p>
        </w:tc>
        <w:tc>
          <w:tcPr>
            <w:tcW w:w="117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p>
        </w:tc>
        <w:tc>
          <w:tcPr>
            <w:tcW w:w="201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8"/>
                <w:szCs w:val="28"/>
              </w:rPr>
            </w:pPr>
          </w:p>
        </w:tc>
      </w:tr>
    </w:tbl>
    <w:p>
      <w:pPr>
        <w:spacing w:line="440" w:lineRule="exact"/>
        <w:rPr>
          <w:color w:val="000000"/>
        </w:rPr>
      </w:pPr>
    </w:p>
    <w:p>
      <w:pPr>
        <w:spacing w:after="312" w:afterLines="100"/>
        <w:ind w:right="420"/>
        <w:jc w:val="right"/>
        <w:rPr>
          <w:color w:val="000000"/>
          <w:szCs w:val="44"/>
        </w:rPr>
      </w:pPr>
      <w:r>
        <w:rPr>
          <w:rFonts w:hint="eastAsia"/>
          <w:color w:val="000000"/>
          <w:szCs w:val="44"/>
        </w:rPr>
        <w:t>全体评委签字：</w:t>
      </w:r>
      <w:r>
        <w:rPr>
          <w:color w:val="000000"/>
          <w:szCs w:val="44"/>
        </w:rPr>
        <w:tab/>
      </w:r>
    </w:p>
    <w:p>
      <w:pPr>
        <w:spacing w:after="312" w:afterLines="100"/>
        <w:ind w:right="840"/>
        <w:jc w:val="right"/>
        <w:rPr>
          <w:color w:val="000000"/>
          <w:szCs w:val="44"/>
        </w:rPr>
      </w:pPr>
      <w:r>
        <w:rPr>
          <w:rFonts w:hint="eastAsia"/>
          <w:color w:val="000000"/>
          <w:szCs w:val="44"/>
        </w:rPr>
        <w:t>年  月   日</w:t>
      </w:r>
    </w:p>
    <w:p>
      <w:pPr>
        <w:widowControl/>
        <w:jc w:val="left"/>
        <w:rPr>
          <w:rFonts w:ascii="黑体" w:eastAsia="黑体"/>
          <w:color w:val="000000"/>
          <w:sz w:val="24"/>
        </w:rPr>
      </w:pPr>
      <w:r>
        <w:rPr>
          <w:rFonts w:ascii="黑体" w:eastAsia="黑体"/>
          <w:color w:val="000000"/>
          <w:sz w:val="24"/>
        </w:rPr>
        <w:br w:type="page"/>
      </w:r>
    </w:p>
    <w:p>
      <w:pPr>
        <w:spacing w:before="312" w:beforeLines="100" w:after="249" w:afterLines="80" w:line="380" w:lineRule="exact"/>
        <w:outlineLvl w:val="2"/>
        <w:rPr>
          <w:rFonts w:ascii="黑体" w:hAnsi="宋体" w:eastAsia="黑体"/>
          <w:color w:val="000000"/>
          <w:sz w:val="24"/>
        </w:rPr>
      </w:pPr>
      <w:bookmarkStart w:id="305" w:name="_Toc114222779"/>
      <w:r>
        <w:rPr>
          <w:rFonts w:hint="eastAsia" w:ascii="黑体" w:hAnsi="宋体" w:eastAsia="黑体"/>
          <w:color w:val="000000"/>
          <w:sz w:val="24"/>
        </w:rPr>
        <w:t>附表A-</w:t>
      </w:r>
      <w:r>
        <w:rPr>
          <w:rFonts w:ascii="黑体" w:hAnsi="宋体" w:eastAsia="黑体"/>
          <w:color w:val="000000"/>
          <w:sz w:val="24"/>
        </w:rPr>
        <w:t>8</w:t>
      </w:r>
      <w:r>
        <w:rPr>
          <w:rFonts w:hint="eastAsia" w:ascii="黑体" w:hAnsi="宋体" w:eastAsia="黑体"/>
          <w:color w:val="000000"/>
          <w:sz w:val="24"/>
        </w:rPr>
        <w:t>：分部分项清单综合单价评分表（系统自动生成）</w:t>
      </w:r>
      <w:bookmarkEnd w:id="305"/>
    </w:p>
    <w:p>
      <w:pPr>
        <w:jc w:val="center"/>
        <w:rPr>
          <w:rFonts w:ascii="宋体" w:hAnsi="宋体"/>
          <w:color w:val="000000"/>
          <w:sz w:val="28"/>
          <w:szCs w:val="28"/>
        </w:rPr>
      </w:pPr>
      <w:r>
        <w:rPr>
          <w:rFonts w:hint="eastAsia" w:ascii="宋体" w:hAnsi="宋体"/>
          <w:color w:val="000000"/>
          <w:sz w:val="28"/>
          <w:szCs w:val="28"/>
        </w:rPr>
        <w:t>分部分项清单综合单价评分表</w:t>
      </w:r>
    </w:p>
    <w:p>
      <w:pPr>
        <w:adjustRightInd w:val="0"/>
        <w:snapToGrid w:val="0"/>
        <w:spacing w:line="440" w:lineRule="exact"/>
        <w:rPr>
          <w:color w:val="000000"/>
          <w:szCs w:val="44"/>
        </w:rPr>
      </w:pPr>
      <w:r>
        <w:rPr>
          <w:rFonts w:hint="eastAsia"/>
          <w:color w:val="000000"/>
          <w:szCs w:val="44"/>
        </w:rPr>
        <w:t>项目名称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项目编号</w:t>
      </w:r>
    </w:p>
    <w:p>
      <w:pPr>
        <w:spacing w:after="93" w:afterLines="30" w:line="440" w:lineRule="exact"/>
        <w:rPr>
          <w:color w:val="000000"/>
          <w:szCs w:val="44"/>
        </w:rPr>
      </w:pPr>
      <w:r>
        <w:rPr>
          <w:rFonts w:hint="eastAsia"/>
          <w:color w:val="000000"/>
          <w:szCs w:val="44"/>
        </w:rPr>
        <w:t>标段名称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标段编号</w:t>
      </w:r>
    </w:p>
    <w:p>
      <w:pPr>
        <w:spacing w:after="93" w:afterLines="30" w:line="440" w:lineRule="exact"/>
        <w:rPr>
          <w:rFonts w:ascii="宋体" w:hAnsi="宋体"/>
          <w:color w:val="000000"/>
        </w:rPr>
      </w:pPr>
      <w:r>
        <w:rPr>
          <w:rFonts w:hint="eastAsia"/>
          <w:color w:val="000000"/>
          <w:szCs w:val="44"/>
        </w:rPr>
        <w:t>下浮率</w:t>
      </w:r>
      <w:r>
        <w:rPr>
          <w:color w:val="000000"/>
          <w:szCs w:val="44"/>
        </w:rPr>
        <w:tab/>
      </w:r>
      <w:r>
        <w:rPr>
          <w:color w:val="000000"/>
          <w:szCs w:val="44"/>
        </w:rPr>
        <w:tab/>
      </w:r>
      <w:r>
        <w:rPr>
          <w:rFonts w:hint="eastAsia"/>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单位：人民币元</w:t>
      </w:r>
    </w:p>
    <w:tbl>
      <w:tblPr>
        <w:tblStyle w:val="36"/>
        <w:tblW w:w="9967" w:type="dxa"/>
        <w:tblInd w:w="0" w:type="dxa"/>
        <w:tblLayout w:type="autofit"/>
        <w:tblCellMar>
          <w:top w:w="0" w:type="dxa"/>
          <w:left w:w="108" w:type="dxa"/>
          <w:bottom w:w="0" w:type="dxa"/>
          <w:right w:w="108" w:type="dxa"/>
        </w:tblCellMar>
      </w:tblPr>
      <w:tblGrid>
        <w:gridCol w:w="696"/>
        <w:gridCol w:w="556"/>
        <w:gridCol w:w="515"/>
        <w:gridCol w:w="600"/>
        <w:gridCol w:w="738"/>
        <w:gridCol w:w="738"/>
        <w:gridCol w:w="738"/>
        <w:gridCol w:w="738"/>
        <w:gridCol w:w="862"/>
        <w:gridCol w:w="17"/>
        <w:gridCol w:w="524"/>
        <w:gridCol w:w="723"/>
        <w:gridCol w:w="605"/>
        <w:gridCol w:w="634"/>
        <w:gridCol w:w="651"/>
        <w:gridCol w:w="622"/>
        <w:gridCol w:w="10"/>
      </w:tblGrid>
      <w:tr>
        <w:trPr>
          <w:trHeight w:val="379" w:hRule="atLeast"/>
        </w:trPr>
        <w:tc>
          <w:tcPr>
            <w:tcW w:w="69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4"/>
                <w:szCs w:val="24"/>
              </w:rPr>
            </w:pPr>
            <w:r>
              <w:rPr>
                <w:rFonts w:hint="eastAsia" w:ascii="宋体" w:hAnsi="宋体"/>
                <w:color w:val="000000"/>
                <w:sz w:val="24"/>
                <w:szCs w:val="24"/>
              </w:rPr>
              <w:t>序号</w:t>
            </w:r>
          </w:p>
        </w:tc>
        <w:tc>
          <w:tcPr>
            <w:tcW w:w="556" w:type="dxa"/>
            <w:vMerge w:val="restart"/>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24"/>
                <w:szCs w:val="24"/>
              </w:rPr>
            </w:pPr>
            <w:r>
              <w:rPr>
                <w:rFonts w:hint="eastAsia" w:ascii="宋体" w:hAnsi="宋体"/>
                <w:color w:val="000000"/>
                <w:sz w:val="24"/>
                <w:szCs w:val="24"/>
              </w:rPr>
              <w:t>清单编号</w:t>
            </w:r>
          </w:p>
        </w:tc>
        <w:tc>
          <w:tcPr>
            <w:tcW w:w="515" w:type="dxa"/>
            <w:vMerge w:val="restart"/>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24"/>
                <w:szCs w:val="24"/>
              </w:rPr>
            </w:pPr>
            <w:r>
              <w:rPr>
                <w:rFonts w:hint="eastAsia" w:ascii="宋体" w:hAnsi="宋体"/>
                <w:color w:val="000000"/>
                <w:sz w:val="24"/>
                <w:szCs w:val="24"/>
              </w:rPr>
              <w:t>清单名称</w:t>
            </w:r>
          </w:p>
        </w:tc>
        <w:tc>
          <w:tcPr>
            <w:tcW w:w="60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4"/>
                <w:szCs w:val="24"/>
              </w:rPr>
            </w:pPr>
            <w:r>
              <w:rPr>
                <w:rFonts w:hint="eastAsia" w:ascii="宋体" w:hAnsi="宋体"/>
                <w:color w:val="000000"/>
                <w:sz w:val="24"/>
                <w:szCs w:val="24"/>
              </w:rPr>
              <w:t>清单单价</w:t>
            </w:r>
          </w:p>
        </w:tc>
        <w:tc>
          <w:tcPr>
            <w:tcW w:w="73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olor w:val="000000"/>
                <w:sz w:val="24"/>
                <w:szCs w:val="24"/>
              </w:rPr>
            </w:pPr>
            <w:r>
              <w:rPr>
                <w:rFonts w:hint="eastAsia" w:ascii="宋体" w:hAnsi="宋体"/>
                <w:color w:val="000000"/>
                <w:sz w:val="24"/>
                <w:szCs w:val="24"/>
              </w:rPr>
              <w:t>修正后的清单单价Qx</w:t>
            </w:r>
          </w:p>
        </w:tc>
        <w:tc>
          <w:tcPr>
            <w:tcW w:w="738" w:type="dxa"/>
            <w:vMerge w:val="restart"/>
            <w:tcBorders>
              <w:top w:val="single" w:color="auto" w:sz="4" w:space="0"/>
              <w:left w:val="nil"/>
              <w:right w:val="single" w:color="auto" w:sz="4" w:space="0"/>
            </w:tcBorders>
            <w:shd w:val="clear" w:color="auto" w:fill="auto"/>
            <w:noWrap/>
            <w:vAlign w:val="center"/>
          </w:tcPr>
          <w:p>
            <w:pPr>
              <w:jc w:val="center"/>
              <w:rPr>
                <w:rFonts w:hint="eastAsia" w:ascii="宋体" w:hAnsi="宋体"/>
                <w:color w:val="000000"/>
                <w:sz w:val="24"/>
                <w:szCs w:val="24"/>
              </w:rPr>
            </w:pPr>
            <w:r>
              <w:rPr>
                <w:rFonts w:hint="eastAsia" w:ascii="宋体" w:hAnsi="宋体"/>
                <w:color w:val="000000"/>
                <w:sz w:val="24"/>
                <w:szCs w:val="24"/>
                <w:lang w:val="en-US" w:eastAsia="zh-CN"/>
              </w:rPr>
              <w:t>清单最高投标限价</w:t>
            </w:r>
          </w:p>
        </w:tc>
        <w:tc>
          <w:tcPr>
            <w:tcW w:w="738" w:type="dxa"/>
            <w:vMerge w:val="restart"/>
            <w:tcBorders>
              <w:top w:val="single" w:color="auto" w:sz="4" w:space="0"/>
              <w:left w:val="nil"/>
              <w:right w:val="single" w:color="auto" w:sz="4" w:space="0"/>
            </w:tcBorders>
            <w:shd w:val="clear" w:color="auto" w:fill="auto"/>
            <w:noWrap/>
            <w:vAlign w:val="center"/>
          </w:tcPr>
          <w:p>
            <w:pPr>
              <w:jc w:val="center"/>
              <w:rPr>
                <w:rFonts w:hint="eastAsia" w:ascii="宋体" w:hAnsi="宋体"/>
                <w:color w:val="000000"/>
                <w:sz w:val="24"/>
                <w:szCs w:val="24"/>
              </w:rPr>
            </w:pPr>
            <w:r>
              <w:rPr>
                <w:rFonts w:hint="eastAsia" w:ascii="宋体" w:hAnsi="宋体"/>
                <w:color w:val="000000"/>
                <w:sz w:val="24"/>
                <w:szCs w:val="24"/>
                <w:lang w:val="en-US" w:eastAsia="zh-CN"/>
              </w:rPr>
              <w:t>修正后综合单价Qb</w:t>
            </w:r>
          </w:p>
        </w:tc>
        <w:tc>
          <w:tcPr>
            <w:tcW w:w="738" w:type="dxa"/>
            <w:vMerge w:val="restart"/>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24"/>
                <w:szCs w:val="24"/>
              </w:rPr>
            </w:pPr>
            <w:r>
              <w:rPr>
                <w:rFonts w:hint="eastAsia" w:ascii="宋体" w:hAnsi="宋体"/>
                <w:color w:val="000000"/>
                <w:sz w:val="24"/>
                <w:szCs w:val="24"/>
              </w:rPr>
              <w:t>基准价</w:t>
            </w:r>
          </w:p>
        </w:tc>
        <w:tc>
          <w:tcPr>
            <w:tcW w:w="862" w:type="dxa"/>
            <w:vMerge w:val="restart"/>
            <w:tcBorders>
              <w:top w:val="single" w:color="auto" w:sz="4" w:space="0"/>
              <w:left w:val="nil"/>
              <w:bottom w:val="single" w:color="auto" w:sz="4" w:space="0"/>
              <w:right w:val="nil"/>
            </w:tcBorders>
            <w:shd w:val="clear" w:color="auto" w:fill="auto"/>
            <w:noWrap/>
            <w:vAlign w:val="center"/>
          </w:tcPr>
          <w:p>
            <w:pPr>
              <w:jc w:val="center"/>
              <w:rPr>
                <w:rFonts w:ascii="宋体" w:hAnsi="宋体"/>
                <w:color w:val="000000"/>
                <w:sz w:val="24"/>
                <w:szCs w:val="24"/>
              </w:rPr>
            </w:pPr>
            <w:r>
              <w:rPr>
                <w:rFonts w:hint="eastAsia" w:ascii="宋体" w:hAnsi="宋体"/>
                <w:color w:val="000000"/>
                <w:sz w:val="24"/>
                <w:szCs w:val="24"/>
              </w:rPr>
              <w:t>标准分</w:t>
            </w:r>
          </w:p>
        </w:tc>
        <w:tc>
          <w:tcPr>
            <w:tcW w:w="1869"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4"/>
                <w:szCs w:val="24"/>
              </w:rPr>
            </w:pPr>
          </w:p>
        </w:tc>
        <w:tc>
          <w:tcPr>
            <w:tcW w:w="1917" w:type="dxa"/>
            <w:gridSpan w:val="4"/>
            <w:tcBorders>
              <w:top w:val="single" w:color="auto" w:sz="4" w:space="0"/>
              <w:left w:val="single" w:color="auto" w:sz="4" w:space="0"/>
              <w:bottom w:val="single" w:color="auto" w:sz="4" w:space="0"/>
              <w:right w:val="single" w:color="auto" w:sz="4" w:space="0"/>
            </w:tcBorders>
          </w:tcPr>
          <w:p>
            <w:pPr>
              <w:jc w:val="center"/>
              <w:rPr>
                <w:rFonts w:ascii="宋体" w:hAnsi="宋体"/>
                <w:color w:val="000000"/>
                <w:sz w:val="24"/>
                <w:szCs w:val="24"/>
              </w:rPr>
            </w:pPr>
          </w:p>
        </w:tc>
      </w:tr>
      <w:tr>
        <w:trPr>
          <w:gridAfter w:val="1"/>
          <w:wAfter w:w="10" w:type="dxa"/>
          <w:trHeight w:val="1270" w:hRule="atLeast"/>
        </w:trPr>
        <w:tc>
          <w:tcPr>
            <w:tcW w:w="69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 w:val="24"/>
                <w:szCs w:val="24"/>
              </w:rPr>
            </w:pPr>
          </w:p>
        </w:tc>
        <w:tc>
          <w:tcPr>
            <w:tcW w:w="556" w:type="dxa"/>
            <w:vMerge w:val="continue"/>
            <w:tcBorders>
              <w:top w:val="single" w:color="auto" w:sz="4" w:space="0"/>
              <w:left w:val="nil"/>
              <w:bottom w:val="single" w:color="auto" w:sz="4" w:space="0"/>
              <w:right w:val="single" w:color="auto" w:sz="4" w:space="0"/>
            </w:tcBorders>
            <w:vAlign w:val="center"/>
          </w:tcPr>
          <w:p>
            <w:pPr>
              <w:jc w:val="center"/>
              <w:rPr>
                <w:rFonts w:ascii="宋体" w:hAnsi="宋体"/>
                <w:color w:val="000000"/>
                <w:sz w:val="24"/>
                <w:szCs w:val="24"/>
              </w:rPr>
            </w:pPr>
          </w:p>
        </w:tc>
        <w:tc>
          <w:tcPr>
            <w:tcW w:w="515" w:type="dxa"/>
            <w:vMerge w:val="continue"/>
            <w:tcBorders>
              <w:top w:val="single" w:color="auto" w:sz="4" w:space="0"/>
              <w:left w:val="nil"/>
              <w:bottom w:val="single" w:color="auto" w:sz="4" w:space="0"/>
              <w:right w:val="single" w:color="auto" w:sz="4" w:space="0"/>
            </w:tcBorders>
            <w:vAlign w:val="center"/>
          </w:tcPr>
          <w:p>
            <w:pPr>
              <w:jc w:val="center"/>
              <w:rPr>
                <w:rFonts w:ascii="宋体" w:hAnsi="宋体"/>
                <w:color w:val="000000"/>
                <w:sz w:val="24"/>
                <w:szCs w:val="24"/>
              </w:rPr>
            </w:pPr>
          </w:p>
        </w:tc>
        <w:tc>
          <w:tcPr>
            <w:tcW w:w="60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 w:val="24"/>
                <w:szCs w:val="24"/>
              </w:rPr>
            </w:pPr>
          </w:p>
        </w:tc>
        <w:tc>
          <w:tcPr>
            <w:tcW w:w="73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sz w:val="24"/>
                <w:szCs w:val="24"/>
              </w:rPr>
            </w:pPr>
          </w:p>
        </w:tc>
        <w:tc>
          <w:tcPr>
            <w:tcW w:w="738" w:type="dxa"/>
            <w:vMerge w:val="continue"/>
            <w:tcBorders>
              <w:left w:val="nil"/>
              <w:bottom w:val="single" w:color="auto" w:sz="4" w:space="0"/>
              <w:right w:val="single" w:color="auto" w:sz="4" w:space="0"/>
            </w:tcBorders>
            <w:vAlign w:val="center"/>
          </w:tcPr>
          <w:p>
            <w:pPr>
              <w:jc w:val="center"/>
              <w:rPr>
                <w:rFonts w:ascii="宋体" w:hAnsi="宋体"/>
                <w:color w:val="000000"/>
                <w:sz w:val="24"/>
                <w:szCs w:val="24"/>
              </w:rPr>
            </w:pPr>
          </w:p>
        </w:tc>
        <w:tc>
          <w:tcPr>
            <w:tcW w:w="738" w:type="dxa"/>
            <w:vMerge w:val="continue"/>
            <w:tcBorders>
              <w:left w:val="nil"/>
              <w:bottom w:val="single" w:color="auto" w:sz="4" w:space="0"/>
              <w:right w:val="single" w:color="auto" w:sz="4" w:space="0"/>
            </w:tcBorders>
            <w:vAlign w:val="center"/>
          </w:tcPr>
          <w:p>
            <w:pPr>
              <w:jc w:val="center"/>
              <w:rPr>
                <w:rFonts w:ascii="宋体" w:hAnsi="宋体"/>
                <w:color w:val="000000"/>
                <w:sz w:val="24"/>
                <w:szCs w:val="24"/>
              </w:rPr>
            </w:pPr>
          </w:p>
        </w:tc>
        <w:tc>
          <w:tcPr>
            <w:tcW w:w="738" w:type="dxa"/>
            <w:vMerge w:val="continue"/>
            <w:tcBorders>
              <w:top w:val="single" w:color="auto" w:sz="4" w:space="0"/>
              <w:left w:val="nil"/>
              <w:bottom w:val="single" w:color="auto" w:sz="4" w:space="0"/>
              <w:right w:val="single" w:color="auto" w:sz="4" w:space="0"/>
            </w:tcBorders>
            <w:vAlign w:val="center"/>
          </w:tcPr>
          <w:p>
            <w:pPr>
              <w:jc w:val="center"/>
              <w:rPr>
                <w:rFonts w:ascii="宋体" w:hAnsi="宋体"/>
                <w:color w:val="000000"/>
                <w:sz w:val="24"/>
                <w:szCs w:val="24"/>
              </w:rPr>
            </w:pPr>
          </w:p>
        </w:tc>
        <w:tc>
          <w:tcPr>
            <w:tcW w:w="862" w:type="dxa"/>
            <w:vMerge w:val="continue"/>
            <w:tcBorders>
              <w:top w:val="single" w:color="auto" w:sz="4" w:space="0"/>
              <w:left w:val="nil"/>
              <w:bottom w:val="single" w:color="auto" w:sz="4" w:space="0"/>
              <w:right w:val="nil"/>
            </w:tcBorders>
            <w:vAlign w:val="center"/>
          </w:tcPr>
          <w:p>
            <w:pPr>
              <w:jc w:val="center"/>
              <w:rPr>
                <w:rFonts w:ascii="宋体" w:hAnsi="宋体"/>
                <w:color w:val="000000"/>
                <w:sz w:val="24"/>
                <w:szCs w:val="24"/>
              </w:rPr>
            </w:pPr>
          </w:p>
        </w:tc>
        <w:tc>
          <w:tcPr>
            <w:tcW w:w="54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4"/>
                <w:szCs w:val="24"/>
              </w:rPr>
            </w:pPr>
            <w:r>
              <w:rPr>
                <w:rFonts w:hint="eastAsia" w:ascii="宋体" w:hAnsi="宋体"/>
                <w:color w:val="000000"/>
                <w:sz w:val="24"/>
                <w:szCs w:val="24"/>
              </w:rPr>
              <w:t>清单报价</w:t>
            </w:r>
          </w:p>
        </w:tc>
        <w:tc>
          <w:tcPr>
            <w:tcW w:w="723"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24"/>
                <w:szCs w:val="24"/>
              </w:rPr>
            </w:pPr>
            <w:r>
              <w:rPr>
                <w:rFonts w:hint="eastAsia" w:ascii="宋体" w:hAnsi="宋体"/>
                <w:color w:val="000000"/>
                <w:sz w:val="24"/>
                <w:szCs w:val="24"/>
              </w:rPr>
              <w:t>偏差率</w:t>
            </w:r>
          </w:p>
        </w:tc>
        <w:tc>
          <w:tcPr>
            <w:tcW w:w="60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24"/>
                <w:szCs w:val="24"/>
              </w:rPr>
            </w:pPr>
            <w:r>
              <w:rPr>
                <w:rFonts w:hint="eastAsia" w:ascii="宋体" w:hAnsi="宋体"/>
                <w:color w:val="000000"/>
                <w:sz w:val="24"/>
                <w:szCs w:val="24"/>
              </w:rPr>
              <w:t>得分</w:t>
            </w:r>
          </w:p>
        </w:tc>
        <w:tc>
          <w:tcPr>
            <w:tcW w:w="634" w:type="dxa"/>
            <w:tcBorders>
              <w:top w:val="single" w:color="auto" w:sz="4" w:space="0"/>
              <w:left w:val="nil"/>
              <w:bottom w:val="single" w:color="auto" w:sz="4" w:space="0"/>
              <w:right w:val="single" w:color="auto" w:sz="4" w:space="0"/>
            </w:tcBorders>
            <w:vAlign w:val="center"/>
          </w:tcPr>
          <w:p>
            <w:pPr>
              <w:jc w:val="center"/>
              <w:rPr>
                <w:rFonts w:ascii="宋体" w:hAnsi="宋体"/>
                <w:color w:val="000000"/>
                <w:sz w:val="24"/>
                <w:szCs w:val="24"/>
              </w:rPr>
            </w:pPr>
            <w:r>
              <w:rPr>
                <w:rFonts w:hint="eastAsia" w:ascii="宋体" w:hAnsi="宋体"/>
                <w:color w:val="000000"/>
                <w:sz w:val="24"/>
                <w:szCs w:val="24"/>
              </w:rPr>
              <w:t>清单报价</w:t>
            </w:r>
          </w:p>
        </w:tc>
        <w:tc>
          <w:tcPr>
            <w:tcW w:w="651" w:type="dxa"/>
            <w:tcBorders>
              <w:top w:val="single" w:color="auto" w:sz="4" w:space="0"/>
              <w:left w:val="nil"/>
              <w:bottom w:val="single" w:color="auto" w:sz="4" w:space="0"/>
              <w:right w:val="single" w:color="auto" w:sz="4" w:space="0"/>
            </w:tcBorders>
            <w:vAlign w:val="center"/>
          </w:tcPr>
          <w:p>
            <w:pPr>
              <w:jc w:val="center"/>
              <w:rPr>
                <w:rFonts w:ascii="宋体" w:hAnsi="宋体"/>
                <w:color w:val="000000"/>
                <w:sz w:val="24"/>
                <w:szCs w:val="24"/>
              </w:rPr>
            </w:pPr>
            <w:r>
              <w:rPr>
                <w:rFonts w:hint="eastAsia" w:ascii="宋体" w:hAnsi="宋体"/>
                <w:color w:val="000000"/>
                <w:sz w:val="24"/>
                <w:szCs w:val="24"/>
              </w:rPr>
              <w:t>偏差率</w:t>
            </w:r>
          </w:p>
        </w:tc>
        <w:tc>
          <w:tcPr>
            <w:tcW w:w="622" w:type="dxa"/>
            <w:tcBorders>
              <w:top w:val="single" w:color="auto" w:sz="4" w:space="0"/>
              <w:left w:val="nil"/>
              <w:bottom w:val="single" w:color="auto" w:sz="4" w:space="0"/>
              <w:right w:val="single" w:color="auto" w:sz="4" w:space="0"/>
            </w:tcBorders>
            <w:vAlign w:val="center"/>
          </w:tcPr>
          <w:p>
            <w:pPr>
              <w:jc w:val="center"/>
              <w:rPr>
                <w:rFonts w:ascii="宋体" w:hAnsi="宋体"/>
                <w:color w:val="000000"/>
                <w:sz w:val="24"/>
                <w:szCs w:val="24"/>
              </w:rPr>
            </w:pPr>
            <w:r>
              <w:rPr>
                <w:rFonts w:hint="eastAsia" w:ascii="宋体" w:hAnsi="宋体"/>
                <w:color w:val="000000"/>
                <w:sz w:val="24"/>
                <w:szCs w:val="24"/>
              </w:rPr>
              <w:t>得分</w:t>
            </w:r>
          </w:p>
        </w:tc>
      </w:tr>
      <w:tr>
        <w:trPr>
          <w:gridAfter w:val="1"/>
          <w:wAfter w:w="10" w:type="dxa"/>
          <w:trHeight w:val="520" w:hRule="atLeast"/>
        </w:trPr>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4"/>
                <w:szCs w:val="24"/>
              </w:rPr>
            </w:pPr>
            <w:r>
              <w:rPr>
                <w:rFonts w:hint="eastAsia" w:ascii="宋体" w:hAnsi="宋体"/>
                <w:color w:val="000000"/>
                <w:sz w:val="24"/>
                <w:szCs w:val="24"/>
              </w:rPr>
              <w:t>1</w:t>
            </w:r>
          </w:p>
        </w:tc>
        <w:tc>
          <w:tcPr>
            <w:tcW w:w="55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24"/>
                <w:szCs w:val="24"/>
              </w:rPr>
            </w:pPr>
          </w:p>
        </w:tc>
        <w:tc>
          <w:tcPr>
            <w:tcW w:w="51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24"/>
                <w:szCs w:val="24"/>
              </w:rPr>
            </w:pPr>
          </w:p>
        </w:tc>
        <w:tc>
          <w:tcPr>
            <w:tcW w:w="60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24"/>
                <w:szCs w:val="24"/>
              </w:rPr>
            </w:pPr>
          </w:p>
        </w:tc>
        <w:tc>
          <w:tcPr>
            <w:tcW w:w="73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24"/>
                <w:szCs w:val="24"/>
              </w:rPr>
            </w:pPr>
          </w:p>
        </w:tc>
        <w:tc>
          <w:tcPr>
            <w:tcW w:w="73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24"/>
                <w:szCs w:val="24"/>
              </w:rPr>
            </w:pPr>
          </w:p>
        </w:tc>
        <w:tc>
          <w:tcPr>
            <w:tcW w:w="73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24"/>
                <w:szCs w:val="24"/>
              </w:rPr>
            </w:pPr>
          </w:p>
        </w:tc>
        <w:tc>
          <w:tcPr>
            <w:tcW w:w="73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24"/>
                <w:szCs w:val="24"/>
              </w:rPr>
            </w:pPr>
          </w:p>
        </w:tc>
        <w:tc>
          <w:tcPr>
            <w:tcW w:w="86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4"/>
                <w:szCs w:val="24"/>
              </w:rPr>
            </w:pPr>
          </w:p>
        </w:tc>
        <w:tc>
          <w:tcPr>
            <w:tcW w:w="541" w:type="dxa"/>
            <w:gridSpan w:val="2"/>
            <w:tcBorders>
              <w:top w:val="single" w:color="auto" w:sz="4" w:space="0"/>
              <w:left w:val="nil"/>
              <w:bottom w:val="single" w:color="auto" w:sz="4" w:space="0"/>
              <w:right w:val="single" w:color="auto" w:sz="4" w:space="0"/>
            </w:tcBorders>
            <w:shd w:val="clear" w:color="auto" w:fill="auto"/>
            <w:noWrap/>
            <w:vAlign w:val="center"/>
          </w:tcPr>
          <w:p>
            <w:pPr>
              <w:jc w:val="left"/>
              <w:rPr>
                <w:rFonts w:ascii="宋体" w:hAnsi="宋体"/>
                <w:color w:val="000000"/>
                <w:sz w:val="24"/>
                <w:szCs w:val="24"/>
              </w:rPr>
            </w:pPr>
          </w:p>
        </w:tc>
        <w:tc>
          <w:tcPr>
            <w:tcW w:w="723" w:type="dxa"/>
            <w:tcBorders>
              <w:top w:val="single" w:color="auto" w:sz="4" w:space="0"/>
              <w:left w:val="nil"/>
              <w:bottom w:val="single" w:color="auto" w:sz="4" w:space="0"/>
              <w:right w:val="single" w:color="auto" w:sz="4" w:space="0"/>
            </w:tcBorders>
            <w:shd w:val="clear" w:color="auto" w:fill="auto"/>
            <w:noWrap/>
            <w:vAlign w:val="center"/>
          </w:tcPr>
          <w:p>
            <w:pPr>
              <w:jc w:val="left"/>
              <w:rPr>
                <w:rFonts w:ascii="宋体" w:hAnsi="宋体"/>
                <w:color w:val="000000"/>
                <w:sz w:val="24"/>
                <w:szCs w:val="24"/>
              </w:rPr>
            </w:pPr>
          </w:p>
        </w:tc>
        <w:tc>
          <w:tcPr>
            <w:tcW w:w="605" w:type="dxa"/>
            <w:tcBorders>
              <w:top w:val="single" w:color="auto" w:sz="4" w:space="0"/>
              <w:left w:val="nil"/>
              <w:bottom w:val="single" w:color="auto" w:sz="4" w:space="0"/>
              <w:right w:val="single" w:color="auto" w:sz="4" w:space="0"/>
            </w:tcBorders>
            <w:shd w:val="clear" w:color="auto" w:fill="auto"/>
            <w:noWrap/>
            <w:vAlign w:val="center"/>
          </w:tcPr>
          <w:p>
            <w:pPr>
              <w:jc w:val="left"/>
              <w:rPr>
                <w:rFonts w:ascii="宋体" w:hAnsi="宋体"/>
                <w:color w:val="000000"/>
                <w:sz w:val="24"/>
                <w:szCs w:val="24"/>
              </w:rPr>
            </w:pPr>
          </w:p>
        </w:tc>
        <w:tc>
          <w:tcPr>
            <w:tcW w:w="634" w:type="dxa"/>
            <w:tcBorders>
              <w:top w:val="single" w:color="auto" w:sz="4" w:space="0"/>
              <w:left w:val="nil"/>
              <w:bottom w:val="single" w:color="auto" w:sz="4" w:space="0"/>
              <w:right w:val="single" w:color="auto" w:sz="4" w:space="0"/>
            </w:tcBorders>
          </w:tcPr>
          <w:p>
            <w:pPr>
              <w:jc w:val="left"/>
              <w:rPr>
                <w:rFonts w:ascii="宋体" w:hAnsi="宋体"/>
                <w:color w:val="000000"/>
                <w:sz w:val="24"/>
                <w:szCs w:val="24"/>
              </w:rPr>
            </w:pPr>
          </w:p>
        </w:tc>
        <w:tc>
          <w:tcPr>
            <w:tcW w:w="651" w:type="dxa"/>
            <w:tcBorders>
              <w:top w:val="single" w:color="auto" w:sz="4" w:space="0"/>
              <w:left w:val="nil"/>
              <w:bottom w:val="single" w:color="auto" w:sz="4" w:space="0"/>
              <w:right w:val="single" w:color="auto" w:sz="4" w:space="0"/>
            </w:tcBorders>
          </w:tcPr>
          <w:p>
            <w:pPr>
              <w:jc w:val="left"/>
              <w:rPr>
                <w:rFonts w:ascii="宋体" w:hAnsi="宋体"/>
                <w:color w:val="000000"/>
                <w:sz w:val="24"/>
                <w:szCs w:val="24"/>
              </w:rPr>
            </w:pPr>
          </w:p>
        </w:tc>
        <w:tc>
          <w:tcPr>
            <w:tcW w:w="622" w:type="dxa"/>
            <w:tcBorders>
              <w:top w:val="single" w:color="auto" w:sz="4" w:space="0"/>
              <w:left w:val="nil"/>
              <w:bottom w:val="single" w:color="auto" w:sz="4" w:space="0"/>
              <w:right w:val="single" w:color="auto" w:sz="4" w:space="0"/>
            </w:tcBorders>
          </w:tcPr>
          <w:p>
            <w:pPr>
              <w:jc w:val="left"/>
              <w:rPr>
                <w:rFonts w:ascii="宋体" w:hAnsi="宋体"/>
                <w:color w:val="000000"/>
                <w:sz w:val="24"/>
                <w:szCs w:val="24"/>
              </w:rPr>
            </w:pPr>
          </w:p>
        </w:tc>
      </w:tr>
      <w:tr>
        <w:trPr>
          <w:gridAfter w:val="1"/>
          <w:wAfter w:w="10" w:type="dxa"/>
          <w:trHeight w:val="520" w:hRule="atLeast"/>
        </w:trPr>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4"/>
                <w:szCs w:val="24"/>
              </w:rPr>
            </w:pPr>
            <w:r>
              <w:rPr>
                <w:rFonts w:hint="eastAsia" w:ascii="宋体" w:hAnsi="宋体"/>
                <w:color w:val="000000"/>
                <w:sz w:val="24"/>
                <w:szCs w:val="24"/>
              </w:rPr>
              <w:t>2</w:t>
            </w:r>
          </w:p>
        </w:tc>
        <w:tc>
          <w:tcPr>
            <w:tcW w:w="55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24"/>
                <w:szCs w:val="24"/>
              </w:rPr>
            </w:pPr>
          </w:p>
        </w:tc>
        <w:tc>
          <w:tcPr>
            <w:tcW w:w="51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24"/>
                <w:szCs w:val="24"/>
              </w:rPr>
            </w:pPr>
          </w:p>
        </w:tc>
        <w:tc>
          <w:tcPr>
            <w:tcW w:w="60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24"/>
                <w:szCs w:val="24"/>
              </w:rPr>
            </w:pPr>
          </w:p>
        </w:tc>
        <w:tc>
          <w:tcPr>
            <w:tcW w:w="73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24"/>
                <w:szCs w:val="24"/>
              </w:rPr>
            </w:pPr>
          </w:p>
        </w:tc>
        <w:tc>
          <w:tcPr>
            <w:tcW w:w="73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24"/>
                <w:szCs w:val="24"/>
              </w:rPr>
            </w:pPr>
          </w:p>
        </w:tc>
        <w:tc>
          <w:tcPr>
            <w:tcW w:w="73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24"/>
                <w:szCs w:val="24"/>
              </w:rPr>
            </w:pPr>
          </w:p>
        </w:tc>
        <w:tc>
          <w:tcPr>
            <w:tcW w:w="73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24"/>
                <w:szCs w:val="24"/>
              </w:rPr>
            </w:pPr>
          </w:p>
        </w:tc>
        <w:tc>
          <w:tcPr>
            <w:tcW w:w="86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4"/>
                <w:szCs w:val="24"/>
              </w:rPr>
            </w:pPr>
          </w:p>
        </w:tc>
        <w:tc>
          <w:tcPr>
            <w:tcW w:w="541" w:type="dxa"/>
            <w:gridSpan w:val="2"/>
            <w:tcBorders>
              <w:top w:val="single" w:color="auto" w:sz="4" w:space="0"/>
              <w:left w:val="nil"/>
              <w:bottom w:val="single" w:color="auto" w:sz="4" w:space="0"/>
              <w:right w:val="single" w:color="auto" w:sz="4" w:space="0"/>
            </w:tcBorders>
            <w:shd w:val="clear" w:color="auto" w:fill="auto"/>
            <w:noWrap/>
            <w:vAlign w:val="center"/>
          </w:tcPr>
          <w:p>
            <w:pPr>
              <w:jc w:val="left"/>
              <w:rPr>
                <w:rFonts w:ascii="宋体" w:hAnsi="宋体"/>
                <w:color w:val="000000"/>
                <w:sz w:val="24"/>
                <w:szCs w:val="24"/>
              </w:rPr>
            </w:pPr>
          </w:p>
        </w:tc>
        <w:tc>
          <w:tcPr>
            <w:tcW w:w="723" w:type="dxa"/>
            <w:tcBorders>
              <w:top w:val="single" w:color="auto" w:sz="4" w:space="0"/>
              <w:left w:val="nil"/>
              <w:bottom w:val="single" w:color="auto" w:sz="4" w:space="0"/>
              <w:right w:val="single" w:color="auto" w:sz="4" w:space="0"/>
            </w:tcBorders>
            <w:shd w:val="clear" w:color="auto" w:fill="auto"/>
            <w:noWrap/>
            <w:vAlign w:val="center"/>
          </w:tcPr>
          <w:p>
            <w:pPr>
              <w:jc w:val="left"/>
              <w:rPr>
                <w:rFonts w:ascii="宋体" w:hAnsi="宋体"/>
                <w:color w:val="000000"/>
                <w:sz w:val="24"/>
                <w:szCs w:val="24"/>
              </w:rPr>
            </w:pPr>
          </w:p>
        </w:tc>
        <w:tc>
          <w:tcPr>
            <w:tcW w:w="605" w:type="dxa"/>
            <w:tcBorders>
              <w:top w:val="single" w:color="auto" w:sz="4" w:space="0"/>
              <w:left w:val="nil"/>
              <w:bottom w:val="single" w:color="auto" w:sz="4" w:space="0"/>
              <w:right w:val="single" w:color="auto" w:sz="4" w:space="0"/>
            </w:tcBorders>
            <w:shd w:val="clear" w:color="auto" w:fill="auto"/>
            <w:noWrap/>
            <w:vAlign w:val="center"/>
          </w:tcPr>
          <w:p>
            <w:pPr>
              <w:jc w:val="left"/>
              <w:rPr>
                <w:rFonts w:ascii="宋体" w:hAnsi="宋体"/>
                <w:color w:val="000000"/>
                <w:sz w:val="24"/>
                <w:szCs w:val="24"/>
              </w:rPr>
            </w:pPr>
          </w:p>
        </w:tc>
        <w:tc>
          <w:tcPr>
            <w:tcW w:w="634" w:type="dxa"/>
            <w:tcBorders>
              <w:top w:val="single" w:color="auto" w:sz="4" w:space="0"/>
              <w:left w:val="nil"/>
              <w:bottom w:val="single" w:color="auto" w:sz="4" w:space="0"/>
              <w:right w:val="single" w:color="auto" w:sz="4" w:space="0"/>
            </w:tcBorders>
          </w:tcPr>
          <w:p>
            <w:pPr>
              <w:jc w:val="left"/>
              <w:rPr>
                <w:rFonts w:ascii="宋体" w:hAnsi="宋体"/>
                <w:color w:val="000000"/>
                <w:sz w:val="24"/>
                <w:szCs w:val="24"/>
              </w:rPr>
            </w:pPr>
          </w:p>
        </w:tc>
        <w:tc>
          <w:tcPr>
            <w:tcW w:w="651" w:type="dxa"/>
            <w:tcBorders>
              <w:top w:val="single" w:color="auto" w:sz="4" w:space="0"/>
              <w:left w:val="nil"/>
              <w:bottom w:val="single" w:color="auto" w:sz="4" w:space="0"/>
              <w:right w:val="single" w:color="auto" w:sz="4" w:space="0"/>
            </w:tcBorders>
          </w:tcPr>
          <w:p>
            <w:pPr>
              <w:jc w:val="left"/>
              <w:rPr>
                <w:rFonts w:ascii="宋体" w:hAnsi="宋体"/>
                <w:color w:val="000000"/>
                <w:sz w:val="24"/>
                <w:szCs w:val="24"/>
              </w:rPr>
            </w:pPr>
          </w:p>
        </w:tc>
        <w:tc>
          <w:tcPr>
            <w:tcW w:w="622" w:type="dxa"/>
            <w:tcBorders>
              <w:top w:val="single" w:color="auto" w:sz="4" w:space="0"/>
              <w:left w:val="nil"/>
              <w:bottom w:val="single" w:color="auto" w:sz="4" w:space="0"/>
              <w:right w:val="single" w:color="auto" w:sz="4" w:space="0"/>
            </w:tcBorders>
          </w:tcPr>
          <w:p>
            <w:pPr>
              <w:jc w:val="left"/>
              <w:rPr>
                <w:rFonts w:ascii="宋体" w:hAnsi="宋体"/>
                <w:color w:val="000000"/>
                <w:sz w:val="24"/>
                <w:szCs w:val="24"/>
              </w:rPr>
            </w:pPr>
          </w:p>
        </w:tc>
      </w:tr>
      <w:tr>
        <w:trPr>
          <w:gridAfter w:val="1"/>
          <w:wAfter w:w="10" w:type="dxa"/>
          <w:trHeight w:val="520" w:hRule="atLeast"/>
        </w:trPr>
        <w:tc>
          <w:tcPr>
            <w:tcW w:w="69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4"/>
                <w:szCs w:val="24"/>
              </w:rPr>
            </w:pPr>
            <w:r>
              <w:rPr>
                <w:rFonts w:ascii="宋体" w:hAnsi="宋体"/>
                <w:color w:val="000000"/>
                <w:sz w:val="24"/>
                <w:szCs w:val="24"/>
              </w:rPr>
              <w:t>……</w:t>
            </w:r>
          </w:p>
        </w:tc>
        <w:tc>
          <w:tcPr>
            <w:tcW w:w="55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24"/>
                <w:szCs w:val="24"/>
              </w:rPr>
            </w:pPr>
          </w:p>
        </w:tc>
        <w:tc>
          <w:tcPr>
            <w:tcW w:w="51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24"/>
                <w:szCs w:val="24"/>
              </w:rPr>
            </w:pPr>
          </w:p>
        </w:tc>
        <w:tc>
          <w:tcPr>
            <w:tcW w:w="60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24"/>
                <w:szCs w:val="24"/>
              </w:rPr>
            </w:pPr>
          </w:p>
        </w:tc>
        <w:tc>
          <w:tcPr>
            <w:tcW w:w="73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24"/>
                <w:szCs w:val="24"/>
              </w:rPr>
            </w:pPr>
          </w:p>
        </w:tc>
        <w:tc>
          <w:tcPr>
            <w:tcW w:w="73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24"/>
                <w:szCs w:val="24"/>
              </w:rPr>
            </w:pPr>
          </w:p>
        </w:tc>
        <w:tc>
          <w:tcPr>
            <w:tcW w:w="73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24"/>
                <w:szCs w:val="24"/>
              </w:rPr>
            </w:pPr>
          </w:p>
        </w:tc>
        <w:tc>
          <w:tcPr>
            <w:tcW w:w="73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olor w:val="000000"/>
                <w:sz w:val="24"/>
                <w:szCs w:val="24"/>
              </w:rPr>
            </w:pPr>
          </w:p>
        </w:tc>
        <w:tc>
          <w:tcPr>
            <w:tcW w:w="862"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000000"/>
                <w:sz w:val="24"/>
                <w:szCs w:val="24"/>
              </w:rPr>
            </w:pPr>
          </w:p>
        </w:tc>
        <w:tc>
          <w:tcPr>
            <w:tcW w:w="541" w:type="dxa"/>
            <w:gridSpan w:val="2"/>
            <w:tcBorders>
              <w:top w:val="single" w:color="auto" w:sz="4" w:space="0"/>
              <w:left w:val="nil"/>
              <w:bottom w:val="single" w:color="auto" w:sz="4" w:space="0"/>
              <w:right w:val="single" w:color="auto" w:sz="4" w:space="0"/>
            </w:tcBorders>
            <w:shd w:val="clear" w:color="auto" w:fill="auto"/>
            <w:noWrap/>
            <w:vAlign w:val="center"/>
          </w:tcPr>
          <w:p>
            <w:pPr>
              <w:jc w:val="left"/>
              <w:rPr>
                <w:rFonts w:ascii="宋体" w:hAnsi="宋体"/>
                <w:color w:val="000000"/>
                <w:sz w:val="24"/>
                <w:szCs w:val="24"/>
              </w:rPr>
            </w:pPr>
          </w:p>
        </w:tc>
        <w:tc>
          <w:tcPr>
            <w:tcW w:w="723" w:type="dxa"/>
            <w:tcBorders>
              <w:top w:val="single" w:color="auto" w:sz="4" w:space="0"/>
              <w:left w:val="nil"/>
              <w:bottom w:val="single" w:color="auto" w:sz="4" w:space="0"/>
              <w:right w:val="single" w:color="auto" w:sz="4" w:space="0"/>
            </w:tcBorders>
            <w:shd w:val="clear" w:color="auto" w:fill="auto"/>
            <w:noWrap/>
            <w:vAlign w:val="center"/>
          </w:tcPr>
          <w:p>
            <w:pPr>
              <w:jc w:val="left"/>
              <w:rPr>
                <w:rFonts w:ascii="宋体" w:hAnsi="宋体"/>
                <w:color w:val="000000"/>
                <w:sz w:val="24"/>
                <w:szCs w:val="24"/>
              </w:rPr>
            </w:pPr>
          </w:p>
        </w:tc>
        <w:tc>
          <w:tcPr>
            <w:tcW w:w="605" w:type="dxa"/>
            <w:tcBorders>
              <w:top w:val="single" w:color="auto" w:sz="4" w:space="0"/>
              <w:left w:val="nil"/>
              <w:bottom w:val="single" w:color="auto" w:sz="4" w:space="0"/>
              <w:right w:val="single" w:color="auto" w:sz="4" w:space="0"/>
            </w:tcBorders>
            <w:shd w:val="clear" w:color="auto" w:fill="auto"/>
            <w:noWrap/>
            <w:vAlign w:val="center"/>
          </w:tcPr>
          <w:p>
            <w:pPr>
              <w:jc w:val="left"/>
              <w:rPr>
                <w:rFonts w:ascii="宋体" w:hAnsi="宋体"/>
                <w:color w:val="000000"/>
                <w:sz w:val="24"/>
                <w:szCs w:val="24"/>
              </w:rPr>
            </w:pPr>
          </w:p>
        </w:tc>
        <w:tc>
          <w:tcPr>
            <w:tcW w:w="634" w:type="dxa"/>
            <w:tcBorders>
              <w:top w:val="single" w:color="auto" w:sz="4" w:space="0"/>
              <w:left w:val="nil"/>
              <w:bottom w:val="single" w:color="auto" w:sz="4" w:space="0"/>
              <w:right w:val="single" w:color="auto" w:sz="4" w:space="0"/>
            </w:tcBorders>
          </w:tcPr>
          <w:p>
            <w:pPr>
              <w:jc w:val="left"/>
              <w:rPr>
                <w:rFonts w:ascii="宋体" w:hAnsi="宋体"/>
                <w:color w:val="000000"/>
                <w:sz w:val="24"/>
                <w:szCs w:val="24"/>
              </w:rPr>
            </w:pPr>
          </w:p>
        </w:tc>
        <w:tc>
          <w:tcPr>
            <w:tcW w:w="651" w:type="dxa"/>
            <w:tcBorders>
              <w:top w:val="single" w:color="auto" w:sz="4" w:space="0"/>
              <w:left w:val="nil"/>
              <w:bottom w:val="single" w:color="auto" w:sz="4" w:space="0"/>
              <w:right w:val="single" w:color="auto" w:sz="4" w:space="0"/>
            </w:tcBorders>
          </w:tcPr>
          <w:p>
            <w:pPr>
              <w:jc w:val="left"/>
              <w:rPr>
                <w:rFonts w:ascii="宋体" w:hAnsi="宋体"/>
                <w:color w:val="000000"/>
                <w:sz w:val="24"/>
                <w:szCs w:val="24"/>
              </w:rPr>
            </w:pPr>
          </w:p>
        </w:tc>
        <w:tc>
          <w:tcPr>
            <w:tcW w:w="622" w:type="dxa"/>
            <w:tcBorders>
              <w:top w:val="single" w:color="auto" w:sz="4" w:space="0"/>
              <w:left w:val="nil"/>
              <w:bottom w:val="single" w:color="auto" w:sz="4" w:space="0"/>
              <w:right w:val="single" w:color="auto" w:sz="4" w:space="0"/>
            </w:tcBorders>
          </w:tcPr>
          <w:p>
            <w:pPr>
              <w:jc w:val="left"/>
              <w:rPr>
                <w:rFonts w:ascii="宋体" w:hAnsi="宋体"/>
                <w:color w:val="000000"/>
                <w:sz w:val="24"/>
                <w:szCs w:val="24"/>
              </w:rPr>
            </w:pPr>
          </w:p>
        </w:tc>
      </w:tr>
      <w:tr>
        <w:trPr>
          <w:trHeight w:val="520" w:hRule="atLeast"/>
        </w:trPr>
        <w:tc>
          <w:tcPr>
            <w:tcW w:w="6198" w:type="dxa"/>
            <w:gridSpan w:val="10"/>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color w:val="000000"/>
                <w:sz w:val="24"/>
                <w:szCs w:val="24"/>
              </w:rPr>
            </w:pPr>
            <w:r>
              <w:rPr>
                <w:rFonts w:hint="eastAsia" w:ascii="宋体" w:hAnsi="宋体"/>
                <w:color w:val="000000"/>
                <w:sz w:val="24"/>
                <w:szCs w:val="24"/>
              </w:rPr>
              <w:t>超过工程量清单最高投标限价的清单数量</w:t>
            </w:r>
          </w:p>
        </w:tc>
        <w:tc>
          <w:tcPr>
            <w:tcW w:w="1852" w:type="dxa"/>
            <w:gridSpan w:val="3"/>
            <w:tcBorders>
              <w:top w:val="single" w:color="auto" w:sz="4" w:space="0"/>
              <w:left w:val="single" w:color="auto" w:sz="4" w:space="0"/>
              <w:bottom w:val="single" w:color="auto" w:sz="4" w:space="0"/>
              <w:right w:val="single" w:color="auto" w:sz="4" w:space="0"/>
            </w:tcBorders>
          </w:tcPr>
          <w:p>
            <w:pPr>
              <w:jc w:val="center"/>
              <w:rPr>
                <w:rFonts w:ascii="宋体" w:hAnsi="宋体"/>
                <w:color w:val="000000"/>
                <w:sz w:val="24"/>
                <w:szCs w:val="24"/>
              </w:rPr>
            </w:pPr>
          </w:p>
        </w:tc>
        <w:tc>
          <w:tcPr>
            <w:tcW w:w="1917"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4"/>
                <w:szCs w:val="24"/>
              </w:rPr>
            </w:pPr>
          </w:p>
        </w:tc>
      </w:tr>
      <w:tr>
        <w:trPr>
          <w:trHeight w:val="530" w:hRule="atLeast"/>
        </w:trPr>
        <w:tc>
          <w:tcPr>
            <w:tcW w:w="6198" w:type="dxa"/>
            <w:gridSpan w:val="10"/>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color w:val="000000"/>
                <w:sz w:val="24"/>
                <w:szCs w:val="24"/>
              </w:rPr>
            </w:pPr>
            <w:r>
              <w:rPr>
                <w:rFonts w:hint="eastAsia" w:ascii="宋体" w:hAnsi="宋体"/>
                <w:color w:val="000000"/>
                <w:sz w:val="24"/>
                <w:szCs w:val="24"/>
              </w:rPr>
              <w:t>分部分项总得分（B）</w:t>
            </w:r>
          </w:p>
        </w:tc>
        <w:tc>
          <w:tcPr>
            <w:tcW w:w="1852" w:type="dxa"/>
            <w:gridSpan w:val="3"/>
            <w:tcBorders>
              <w:top w:val="single" w:color="auto" w:sz="4" w:space="0"/>
              <w:left w:val="single" w:color="auto" w:sz="4" w:space="0"/>
              <w:bottom w:val="single" w:color="auto" w:sz="4" w:space="0"/>
              <w:right w:val="single" w:color="auto" w:sz="4" w:space="0"/>
            </w:tcBorders>
          </w:tcPr>
          <w:p>
            <w:pPr>
              <w:jc w:val="center"/>
              <w:rPr>
                <w:rFonts w:ascii="宋体" w:hAnsi="宋体"/>
                <w:color w:val="000000"/>
                <w:sz w:val="24"/>
                <w:szCs w:val="24"/>
              </w:rPr>
            </w:pPr>
          </w:p>
        </w:tc>
        <w:tc>
          <w:tcPr>
            <w:tcW w:w="1917"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olor w:val="000000"/>
                <w:sz w:val="24"/>
                <w:szCs w:val="24"/>
              </w:rPr>
            </w:pPr>
          </w:p>
        </w:tc>
      </w:tr>
    </w:tbl>
    <w:p>
      <w:pPr>
        <w:jc w:val="left"/>
        <w:rPr>
          <w:color w:val="000000"/>
        </w:rPr>
      </w:pPr>
    </w:p>
    <w:p>
      <w:pPr>
        <w:spacing w:after="312" w:afterLines="100"/>
        <w:ind w:right="420"/>
        <w:jc w:val="right"/>
        <w:rPr>
          <w:color w:val="000000"/>
          <w:szCs w:val="44"/>
        </w:rPr>
      </w:pPr>
      <w:bookmarkStart w:id="306" w:name="_Toc114222780"/>
      <w:r>
        <w:rPr>
          <w:rFonts w:hint="eastAsia"/>
          <w:color w:val="000000"/>
          <w:szCs w:val="44"/>
        </w:rPr>
        <w:t>全体评委签字：</w:t>
      </w:r>
      <w:r>
        <w:rPr>
          <w:color w:val="000000"/>
          <w:szCs w:val="44"/>
        </w:rPr>
        <w:tab/>
      </w:r>
    </w:p>
    <w:p>
      <w:pPr>
        <w:spacing w:after="312" w:afterLines="100"/>
        <w:ind w:right="840"/>
        <w:jc w:val="right"/>
        <w:rPr>
          <w:color w:val="000000"/>
          <w:szCs w:val="44"/>
        </w:rPr>
      </w:pPr>
      <w:r>
        <w:rPr>
          <w:rFonts w:hint="eastAsia"/>
          <w:color w:val="000000"/>
          <w:szCs w:val="44"/>
        </w:rPr>
        <w:t>年  月   日</w:t>
      </w:r>
    </w:p>
    <w:p>
      <w:pPr>
        <w:spacing w:after="312" w:afterLines="100"/>
        <w:ind w:right="840"/>
        <w:jc w:val="right"/>
        <w:rPr>
          <w:color w:val="000000"/>
          <w:szCs w:val="44"/>
        </w:rPr>
      </w:pPr>
    </w:p>
    <w:p>
      <w:pPr>
        <w:spacing w:after="312" w:afterLines="100"/>
        <w:ind w:right="840"/>
        <w:jc w:val="right"/>
        <w:rPr>
          <w:color w:val="000000"/>
          <w:szCs w:val="44"/>
        </w:rPr>
      </w:pPr>
    </w:p>
    <w:p>
      <w:pPr>
        <w:spacing w:after="312" w:afterLines="100"/>
        <w:ind w:right="840"/>
        <w:jc w:val="right"/>
        <w:rPr>
          <w:color w:val="000000"/>
          <w:szCs w:val="44"/>
        </w:rPr>
      </w:pPr>
    </w:p>
    <w:p>
      <w:pPr>
        <w:spacing w:after="312" w:afterLines="100"/>
        <w:ind w:right="840"/>
        <w:jc w:val="right"/>
        <w:rPr>
          <w:color w:val="000000"/>
          <w:szCs w:val="44"/>
        </w:rPr>
      </w:pPr>
    </w:p>
    <w:p>
      <w:pPr>
        <w:spacing w:after="312" w:afterLines="100"/>
        <w:ind w:right="840"/>
        <w:jc w:val="right"/>
        <w:rPr>
          <w:color w:val="000000"/>
          <w:szCs w:val="44"/>
        </w:rPr>
      </w:pPr>
    </w:p>
    <w:p>
      <w:pPr>
        <w:spacing w:after="312" w:afterLines="100"/>
        <w:ind w:right="840"/>
        <w:jc w:val="right"/>
        <w:rPr>
          <w:color w:val="000000"/>
          <w:szCs w:val="44"/>
        </w:rPr>
      </w:pPr>
    </w:p>
    <w:p>
      <w:pPr>
        <w:spacing w:after="312" w:afterLines="100"/>
        <w:ind w:right="840"/>
        <w:jc w:val="right"/>
        <w:rPr>
          <w:color w:val="000000"/>
          <w:szCs w:val="44"/>
        </w:rPr>
      </w:pPr>
    </w:p>
    <w:p>
      <w:pPr>
        <w:spacing w:after="312" w:afterLines="100"/>
        <w:ind w:right="840"/>
        <w:jc w:val="right"/>
        <w:rPr>
          <w:rFonts w:hint="eastAsia"/>
          <w:color w:val="000000"/>
          <w:szCs w:val="44"/>
        </w:rPr>
      </w:pPr>
    </w:p>
    <w:p>
      <w:pPr>
        <w:spacing w:before="312" w:beforeLines="100" w:after="249" w:afterLines="80" w:line="380" w:lineRule="exact"/>
        <w:outlineLvl w:val="2"/>
        <w:rPr>
          <w:rFonts w:ascii="黑体" w:hAnsi="宋体" w:eastAsia="黑体"/>
          <w:color w:val="000000"/>
          <w:sz w:val="24"/>
        </w:rPr>
      </w:pPr>
      <w:r>
        <w:rPr>
          <w:rFonts w:hint="eastAsia" w:ascii="黑体" w:hAnsi="宋体" w:eastAsia="黑体"/>
          <w:color w:val="000000"/>
          <w:sz w:val="24"/>
        </w:rPr>
        <w:t>附表A-</w:t>
      </w:r>
      <w:r>
        <w:rPr>
          <w:rFonts w:ascii="黑体" w:hAnsi="宋体" w:eastAsia="黑体"/>
          <w:color w:val="000000"/>
          <w:sz w:val="24"/>
        </w:rPr>
        <w:t>9</w:t>
      </w:r>
      <w:r>
        <w:rPr>
          <w:rFonts w:hint="eastAsia" w:ascii="黑体" w:hAnsi="宋体" w:eastAsia="黑体"/>
          <w:color w:val="000000"/>
          <w:sz w:val="24"/>
        </w:rPr>
        <w:t>：主要材料评分表</w:t>
      </w:r>
      <w:bookmarkEnd w:id="306"/>
    </w:p>
    <w:p>
      <w:pPr>
        <w:jc w:val="center"/>
        <w:rPr>
          <w:rFonts w:ascii="宋体" w:hAnsi="宋体"/>
          <w:color w:val="000000"/>
          <w:sz w:val="28"/>
          <w:szCs w:val="28"/>
        </w:rPr>
      </w:pPr>
      <w:r>
        <w:rPr>
          <w:rFonts w:hint="eastAsia" w:ascii="宋体" w:hAnsi="宋体"/>
          <w:color w:val="000000"/>
          <w:sz w:val="28"/>
          <w:szCs w:val="28"/>
        </w:rPr>
        <w:t>主要材料评分表</w:t>
      </w:r>
      <w:r>
        <w:rPr>
          <w:rFonts w:hint="eastAsia" w:ascii="黑体" w:hAnsi="宋体" w:eastAsia="黑体"/>
          <w:color w:val="000000"/>
          <w:sz w:val="24"/>
        </w:rPr>
        <w:t>（系统自动生成）</w:t>
      </w:r>
    </w:p>
    <w:p>
      <w:pPr>
        <w:adjustRightInd w:val="0"/>
        <w:snapToGrid w:val="0"/>
        <w:spacing w:line="440" w:lineRule="exact"/>
        <w:rPr>
          <w:color w:val="000000"/>
          <w:szCs w:val="44"/>
        </w:rPr>
      </w:pPr>
      <w:r>
        <w:rPr>
          <w:rFonts w:hint="eastAsia"/>
          <w:color w:val="000000"/>
          <w:szCs w:val="44"/>
        </w:rPr>
        <w:t>项目名称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项目编号</w:t>
      </w:r>
    </w:p>
    <w:p>
      <w:pPr>
        <w:spacing w:after="93" w:afterLines="30" w:line="440" w:lineRule="exact"/>
        <w:rPr>
          <w:color w:val="000000"/>
          <w:szCs w:val="44"/>
        </w:rPr>
      </w:pPr>
      <w:r>
        <w:rPr>
          <w:rFonts w:hint="eastAsia"/>
          <w:color w:val="000000"/>
          <w:szCs w:val="44"/>
        </w:rPr>
        <w:t>标段名称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标段编号</w:t>
      </w:r>
    </w:p>
    <w:p>
      <w:pPr>
        <w:spacing w:after="93" w:afterLines="30" w:line="440" w:lineRule="exact"/>
        <w:rPr>
          <w:rFonts w:ascii="宋体" w:hAnsi="宋体"/>
          <w:color w:val="000000"/>
          <w:szCs w:val="44"/>
        </w:rPr>
      </w:pPr>
      <w:r>
        <w:rPr>
          <w:rFonts w:hint="eastAsia"/>
          <w:color w:val="000000"/>
          <w:szCs w:val="44"/>
        </w:rPr>
        <w:t>下浮率</w:t>
      </w:r>
      <w:r>
        <w:rPr>
          <w:color w:val="000000"/>
          <w:szCs w:val="44"/>
        </w:rPr>
        <w:tab/>
      </w:r>
      <w:r>
        <w:rPr>
          <w:color w:val="000000"/>
          <w:szCs w:val="44"/>
        </w:rPr>
        <w:tab/>
      </w:r>
      <w:r>
        <w:rPr>
          <w:rFonts w:hint="eastAsia"/>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单位：人民币元</w:t>
      </w:r>
    </w:p>
    <w:tbl>
      <w:tblPr>
        <w:tblStyle w:val="36"/>
        <w:tblW w:w="9036" w:type="dxa"/>
        <w:tblInd w:w="0" w:type="dxa"/>
        <w:tblLayout w:type="autofit"/>
        <w:tblCellMar>
          <w:top w:w="0" w:type="dxa"/>
          <w:left w:w="108" w:type="dxa"/>
          <w:bottom w:w="0" w:type="dxa"/>
          <w:right w:w="108" w:type="dxa"/>
        </w:tblCellMar>
      </w:tblPr>
      <w:tblGrid>
        <w:gridCol w:w="695"/>
        <w:gridCol w:w="455"/>
        <w:gridCol w:w="750"/>
        <w:gridCol w:w="751"/>
        <w:gridCol w:w="751"/>
        <w:gridCol w:w="646"/>
        <w:gridCol w:w="646"/>
        <w:gridCol w:w="647"/>
        <w:gridCol w:w="754"/>
        <w:gridCol w:w="456"/>
        <w:gridCol w:w="456"/>
        <w:gridCol w:w="493"/>
        <w:gridCol w:w="528"/>
        <w:gridCol w:w="456"/>
        <w:gridCol w:w="552"/>
      </w:tblGrid>
      <w:tr>
        <w:trPr>
          <w:trHeight w:val="383" w:hRule="atLeast"/>
        </w:trPr>
        <w:tc>
          <w:tcPr>
            <w:tcW w:w="69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45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主材编号</w:t>
            </w:r>
          </w:p>
        </w:tc>
        <w:tc>
          <w:tcPr>
            <w:tcW w:w="75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主材名称</w:t>
            </w:r>
          </w:p>
        </w:tc>
        <w:tc>
          <w:tcPr>
            <w:tcW w:w="75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主材单价</w:t>
            </w:r>
          </w:p>
        </w:tc>
        <w:tc>
          <w:tcPr>
            <w:tcW w:w="7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修正后的主材单价Cx</w:t>
            </w:r>
          </w:p>
        </w:tc>
        <w:tc>
          <w:tcPr>
            <w:tcW w:w="646" w:type="dxa"/>
            <w:vMerge w:val="restart"/>
            <w:tcBorders>
              <w:top w:val="single" w:color="auto" w:sz="4" w:space="0"/>
              <w:left w:val="single" w:color="auto" w:sz="4" w:space="0"/>
              <w:right w:val="single" w:color="auto" w:sz="4" w:space="0"/>
            </w:tcBorders>
            <w:shd w:val="clear" w:color="auto" w:fill="auto"/>
            <w:noWrap/>
            <w:vAlign w:val="center"/>
          </w:tcPr>
          <w:p>
            <w:pPr>
              <w:keepNext w:val="0"/>
              <w:keepLines w:val="0"/>
              <w:widowControl/>
              <w:suppressLineNumbers w:val="0"/>
              <w:wordWrap/>
              <w:spacing w:line="240" w:lineRule="auto"/>
              <w:jc w:val="center"/>
              <w:textAlignment w:val="center"/>
              <w:rPr>
                <w:rFonts w:hint="eastAsia" w:ascii="宋体" w:hAnsi="宋体" w:eastAsia="宋体" w:cs="宋体"/>
                <w:b w:val="0"/>
                <w:bCs w:val="0"/>
                <w:color w:val="000000"/>
                <w:sz w:val="21"/>
                <w:szCs w:val="21"/>
              </w:rPr>
            </w:pPr>
            <w:r>
              <w:rPr>
                <w:rFonts w:hint="eastAsia" w:ascii="宋体" w:hAnsi="宋体" w:eastAsia="宋体" w:cs="宋体"/>
                <w:b w:val="0"/>
                <w:bCs w:val="0"/>
                <w:color w:val="555555"/>
                <w:kern w:val="0"/>
                <w:sz w:val="21"/>
                <w:szCs w:val="21"/>
                <w:lang w:val="en-US" w:eastAsia="zh-CN" w:bidi="ar"/>
              </w:rPr>
              <w:t>主材最高投标限价</w:t>
            </w:r>
          </w:p>
        </w:tc>
        <w:tc>
          <w:tcPr>
            <w:tcW w:w="646" w:type="dxa"/>
            <w:vMerge w:val="restart"/>
            <w:tcBorders>
              <w:top w:val="single" w:color="auto" w:sz="4" w:space="0"/>
              <w:left w:val="single" w:color="auto" w:sz="4" w:space="0"/>
              <w:right w:val="single" w:color="auto" w:sz="4" w:space="0"/>
            </w:tcBorders>
            <w:shd w:val="clear" w:color="auto" w:fill="auto"/>
            <w:noWrap/>
            <w:vAlign w:val="center"/>
          </w:tcPr>
          <w:p>
            <w:pPr>
              <w:keepNext w:val="0"/>
              <w:keepLines w:val="0"/>
              <w:widowControl/>
              <w:suppressLineNumbers w:val="0"/>
              <w:wordWrap/>
              <w:spacing w:line="240" w:lineRule="auto"/>
              <w:jc w:val="center"/>
              <w:textAlignment w:val="center"/>
              <w:rPr>
                <w:rFonts w:hint="eastAsia" w:ascii="宋体" w:hAnsi="宋体" w:eastAsia="宋体" w:cs="宋体"/>
                <w:b w:val="0"/>
                <w:bCs w:val="0"/>
                <w:color w:val="000000"/>
                <w:sz w:val="21"/>
                <w:szCs w:val="21"/>
              </w:rPr>
            </w:pPr>
            <w:r>
              <w:rPr>
                <w:rFonts w:hint="eastAsia" w:ascii="宋体" w:hAnsi="宋体" w:eastAsia="宋体" w:cs="宋体"/>
                <w:b w:val="0"/>
                <w:bCs w:val="0"/>
                <w:color w:val="555555"/>
                <w:kern w:val="0"/>
                <w:sz w:val="21"/>
                <w:szCs w:val="21"/>
                <w:lang w:val="en-US" w:eastAsia="zh-CN" w:bidi="ar"/>
              </w:rPr>
              <w:t>修正后主材报价Cb</w:t>
            </w:r>
          </w:p>
        </w:tc>
        <w:tc>
          <w:tcPr>
            <w:tcW w:w="64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评标基准价</w:t>
            </w:r>
          </w:p>
        </w:tc>
        <w:tc>
          <w:tcPr>
            <w:tcW w:w="75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标准分</w:t>
            </w:r>
          </w:p>
        </w:tc>
        <w:tc>
          <w:tcPr>
            <w:tcW w:w="1405"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sz w:val="21"/>
                <w:szCs w:val="21"/>
              </w:rPr>
            </w:pPr>
          </w:p>
        </w:tc>
        <w:tc>
          <w:tcPr>
            <w:tcW w:w="1536"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sz w:val="21"/>
                <w:szCs w:val="21"/>
              </w:rPr>
            </w:pPr>
          </w:p>
        </w:tc>
      </w:tr>
      <w:tr>
        <w:trPr>
          <w:trHeight w:val="1265" w:hRule="atLeast"/>
        </w:trPr>
        <w:tc>
          <w:tcPr>
            <w:tcW w:w="69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sz w:val="21"/>
                <w:szCs w:val="21"/>
              </w:rPr>
            </w:pPr>
          </w:p>
        </w:tc>
        <w:tc>
          <w:tcPr>
            <w:tcW w:w="455" w:type="dxa"/>
            <w:vMerge w:val="continue"/>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000000"/>
                <w:sz w:val="21"/>
                <w:szCs w:val="21"/>
              </w:rPr>
            </w:pPr>
          </w:p>
        </w:tc>
        <w:tc>
          <w:tcPr>
            <w:tcW w:w="750" w:type="dxa"/>
            <w:vMerge w:val="continue"/>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000000"/>
                <w:sz w:val="21"/>
                <w:szCs w:val="21"/>
              </w:rPr>
            </w:pPr>
          </w:p>
        </w:tc>
        <w:tc>
          <w:tcPr>
            <w:tcW w:w="75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sz w:val="21"/>
                <w:szCs w:val="21"/>
              </w:rPr>
            </w:pPr>
          </w:p>
        </w:tc>
        <w:tc>
          <w:tcPr>
            <w:tcW w:w="75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sz w:val="21"/>
                <w:szCs w:val="21"/>
              </w:rPr>
            </w:pPr>
          </w:p>
        </w:tc>
        <w:tc>
          <w:tcPr>
            <w:tcW w:w="646" w:type="dxa"/>
            <w:vMerge w:val="continue"/>
            <w:tcBorders>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sz w:val="21"/>
                <w:szCs w:val="21"/>
              </w:rPr>
            </w:pPr>
          </w:p>
        </w:tc>
        <w:tc>
          <w:tcPr>
            <w:tcW w:w="646" w:type="dxa"/>
            <w:vMerge w:val="continue"/>
            <w:tcBorders>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sz w:val="21"/>
                <w:szCs w:val="21"/>
              </w:rPr>
            </w:pPr>
          </w:p>
        </w:tc>
        <w:tc>
          <w:tcPr>
            <w:tcW w:w="647" w:type="dxa"/>
            <w:vMerge w:val="continue"/>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000000"/>
                <w:sz w:val="21"/>
                <w:szCs w:val="21"/>
              </w:rPr>
            </w:pPr>
          </w:p>
        </w:tc>
        <w:tc>
          <w:tcPr>
            <w:tcW w:w="754" w:type="dxa"/>
            <w:vMerge w:val="continue"/>
            <w:tcBorders>
              <w:top w:val="single" w:color="auto" w:sz="4" w:space="0"/>
              <w:left w:val="nil"/>
              <w:bottom w:val="single" w:color="auto" w:sz="4" w:space="0"/>
              <w:right w:val="nil"/>
            </w:tcBorders>
            <w:vAlign w:val="center"/>
          </w:tcPr>
          <w:p>
            <w:pPr>
              <w:jc w:val="center"/>
              <w:rPr>
                <w:rFonts w:hint="eastAsia" w:ascii="宋体" w:hAnsi="宋体" w:eastAsia="宋体" w:cs="宋体"/>
                <w:color w:val="000000"/>
                <w:sz w:val="21"/>
                <w:szCs w:val="21"/>
              </w:rPr>
            </w:pPr>
          </w:p>
        </w:tc>
        <w:tc>
          <w:tcPr>
            <w:tcW w:w="45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主材报价</w:t>
            </w:r>
          </w:p>
        </w:tc>
        <w:tc>
          <w:tcPr>
            <w:tcW w:w="456"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偏差率</w:t>
            </w:r>
          </w:p>
        </w:tc>
        <w:tc>
          <w:tcPr>
            <w:tcW w:w="493"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得分</w:t>
            </w:r>
          </w:p>
        </w:tc>
        <w:tc>
          <w:tcPr>
            <w:tcW w:w="528"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主材报价</w:t>
            </w:r>
          </w:p>
        </w:tc>
        <w:tc>
          <w:tcPr>
            <w:tcW w:w="456"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偏差率</w:t>
            </w:r>
          </w:p>
        </w:tc>
        <w:tc>
          <w:tcPr>
            <w:tcW w:w="552"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得分</w:t>
            </w:r>
          </w:p>
        </w:tc>
      </w:tr>
      <w:tr>
        <w:trPr>
          <w:trHeight w:val="526" w:hRule="atLeast"/>
        </w:trPr>
        <w:tc>
          <w:tcPr>
            <w:tcW w:w="69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455"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sz w:val="21"/>
                <w:szCs w:val="21"/>
              </w:rPr>
            </w:pPr>
          </w:p>
        </w:tc>
        <w:tc>
          <w:tcPr>
            <w:tcW w:w="750"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sz w:val="21"/>
                <w:szCs w:val="21"/>
              </w:rPr>
            </w:pPr>
          </w:p>
        </w:tc>
        <w:tc>
          <w:tcPr>
            <w:tcW w:w="751"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sz w:val="21"/>
                <w:szCs w:val="21"/>
              </w:rPr>
            </w:pPr>
          </w:p>
        </w:tc>
        <w:tc>
          <w:tcPr>
            <w:tcW w:w="751"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sz w:val="21"/>
                <w:szCs w:val="21"/>
              </w:rPr>
            </w:pPr>
          </w:p>
        </w:tc>
        <w:tc>
          <w:tcPr>
            <w:tcW w:w="646"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sz w:val="21"/>
                <w:szCs w:val="21"/>
              </w:rPr>
            </w:pPr>
          </w:p>
        </w:tc>
        <w:tc>
          <w:tcPr>
            <w:tcW w:w="646"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sz w:val="21"/>
                <w:szCs w:val="21"/>
              </w:rPr>
            </w:pPr>
          </w:p>
        </w:tc>
        <w:tc>
          <w:tcPr>
            <w:tcW w:w="647"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sz w:val="21"/>
                <w:szCs w:val="21"/>
              </w:rPr>
            </w:pPr>
          </w:p>
        </w:tc>
        <w:tc>
          <w:tcPr>
            <w:tcW w:w="754" w:type="dxa"/>
            <w:tcBorders>
              <w:top w:val="single" w:color="auto" w:sz="4" w:space="0"/>
              <w:left w:val="nil"/>
              <w:bottom w:val="single" w:color="auto" w:sz="4" w:space="0"/>
              <w:right w:val="nil"/>
            </w:tcBorders>
            <w:shd w:val="clear" w:color="auto" w:fill="auto"/>
            <w:noWrap/>
            <w:vAlign w:val="center"/>
          </w:tcPr>
          <w:p>
            <w:pPr>
              <w:jc w:val="center"/>
              <w:rPr>
                <w:rFonts w:hint="eastAsia" w:ascii="宋体" w:hAnsi="宋体" w:eastAsia="宋体" w:cs="宋体"/>
                <w:color w:val="000000"/>
                <w:sz w:val="21"/>
                <w:szCs w:val="21"/>
              </w:rPr>
            </w:pPr>
          </w:p>
        </w:tc>
        <w:tc>
          <w:tcPr>
            <w:tcW w:w="45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left"/>
              <w:rPr>
                <w:rFonts w:hint="eastAsia" w:ascii="宋体" w:hAnsi="宋体" w:eastAsia="宋体" w:cs="宋体"/>
                <w:color w:val="000000"/>
                <w:sz w:val="21"/>
                <w:szCs w:val="21"/>
              </w:rPr>
            </w:pPr>
          </w:p>
        </w:tc>
        <w:tc>
          <w:tcPr>
            <w:tcW w:w="456" w:type="dxa"/>
            <w:tcBorders>
              <w:top w:val="single" w:color="auto" w:sz="4" w:space="0"/>
              <w:left w:val="nil"/>
              <w:bottom w:val="single" w:color="auto" w:sz="4" w:space="0"/>
              <w:right w:val="single" w:color="auto" w:sz="4" w:space="0"/>
            </w:tcBorders>
            <w:shd w:val="clear" w:color="auto" w:fill="auto"/>
            <w:noWrap/>
            <w:vAlign w:val="center"/>
          </w:tcPr>
          <w:p>
            <w:pPr>
              <w:jc w:val="left"/>
              <w:rPr>
                <w:rFonts w:hint="eastAsia" w:ascii="宋体" w:hAnsi="宋体" w:eastAsia="宋体" w:cs="宋体"/>
                <w:color w:val="000000"/>
                <w:sz w:val="21"/>
                <w:szCs w:val="21"/>
              </w:rPr>
            </w:pPr>
          </w:p>
        </w:tc>
        <w:tc>
          <w:tcPr>
            <w:tcW w:w="493" w:type="dxa"/>
            <w:tcBorders>
              <w:top w:val="single" w:color="auto" w:sz="4" w:space="0"/>
              <w:left w:val="nil"/>
              <w:bottom w:val="single" w:color="auto" w:sz="4" w:space="0"/>
              <w:right w:val="single" w:color="auto" w:sz="4" w:space="0"/>
            </w:tcBorders>
            <w:shd w:val="clear" w:color="auto" w:fill="auto"/>
            <w:noWrap/>
            <w:vAlign w:val="center"/>
          </w:tcPr>
          <w:p>
            <w:pPr>
              <w:jc w:val="left"/>
              <w:rPr>
                <w:rFonts w:hint="eastAsia" w:ascii="宋体" w:hAnsi="宋体" w:eastAsia="宋体" w:cs="宋体"/>
                <w:color w:val="000000"/>
                <w:sz w:val="21"/>
                <w:szCs w:val="21"/>
              </w:rPr>
            </w:pPr>
          </w:p>
        </w:tc>
        <w:tc>
          <w:tcPr>
            <w:tcW w:w="528" w:type="dxa"/>
            <w:tcBorders>
              <w:top w:val="single" w:color="auto" w:sz="4" w:space="0"/>
              <w:left w:val="nil"/>
              <w:bottom w:val="single" w:color="auto" w:sz="4" w:space="0"/>
              <w:right w:val="single" w:color="auto" w:sz="4" w:space="0"/>
            </w:tcBorders>
            <w:shd w:val="clear" w:color="auto" w:fill="auto"/>
            <w:noWrap/>
            <w:vAlign w:val="center"/>
          </w:tcPr>
          <w:p>
            <w:pPr>
              <w:jc w:val="left"/>
              <w:rPr>
                <w:rFonts w:hint="eastAsia" w:ascii="宋体" w:hAnsi="宋体" w:eastAsia="宋体" w:cs="宋体"/>
                <w:color w:val="000000"/>
                <w:sz w:val="21"/>
                <w:szCs w:val="21"/>
              </w:rPr>
            </w:pPr>
          </w:p>
        </w:tc>
        <w:tc>
          <w:tcPr>
            <w:tcW w:w="456" w:type="dxa"/>
            <w:tcBorders>
              <w:top w:val="single" w:color="auto" w:sz="4" w:space="0"/>
              <w:left w:val="nil"/>
              <w:bottom w:val="single" w:color="auto" w:sz="4" w:space="0"/>
              <w:right w:val="single" w:color="auto" w:sz="4" w:space="0"/>
            </w:tcBorders>
            <w:shd w:val="clear" w:color="auto" w:fill="auto"/>
            <w:noWrap/>
            <w:vAlign w:val="center"/>
          </w:tcPr>
          <w:p>
            <w:pPr>
              <w:jc w:val="left"/>
              <w:rPr>
                <w:rFonts w:hint="eastAsia" w:ascii="宋体" w:hAnsi="宋体" w:eastAsia="宋体" w:cs="宋体"/>
                <w:color w:val="000000"/>
                <w:sz w:val="21"/>
                <w:szCs w:val="21"/>
              </w:rPr>
            </w:pPr>
          </w:p>
        </w:tc>
        <w:tc>
          <w:tcPr>
            <w:tcW w:w="552" w:type="dxa"/>
            <w:tcBorders>
              <w:top w:val="single" w:color="auto" w:sz="4" w:space="0"/>
              <w:left w:val="nil"/>
              <w:bottom w:val="single" w:color="auto" w:sz="4" w:space="0"/>
              <w:right w:val="single" w:color="auto" w:sz="4" w:space="0"/>
            </w:tcBorders>
            <w:shd w:val="clear" w:color="auto" w:fill="auto"/>
            <w:noWrap/>
            <w:vAlign w:val="center"/>
          </w:tcPr>
          <w:p>
            <w:pPr>
              <w:jc w:val="left"/>
              <w:rPr>
                <w:rFonts w:hint="eastAsia" w:ascii="宋体" w:hAnsi="宋体" w:eastAsia="宋体" w:cs="宋体"/>
                <w:color w:val="000000"/>
                <w:sz w:val="21"/>
                <w:szCs w:val="21"/>
              </w:rPr>
            </w:pPr>
          </w:p>
        </w:tc>
      </w:tr>
      <w:tr>
        <w:trPr>
          <w:trHeight w:val="526" w:hRule="atLeast"/>
        </w:trPr>
        <w:tc>
          <w:tcPr>
            <w:tcW w:w="69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2</w:t>
            </w:r>
          </w:p>
        </w:tc>
        <w:tc>
          <w:tcPr>
            <w:tcW w:w="455"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sz w:val="21"/>
                <w:szCs w:val="21"/>
              </w:rPr>
            </w:pPr>
          </w:p>
        </w:tc>
        <w:tc>
          <w:tcPr>
            <w:tcW w:w="750"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sz w:val="21"/>
                <w:szCs w:val="21"/>
              </w:rPr>
            </w:pPr>
          </w:p>
        </w:tc>
        <w:tc>
          <w:tcPr>
            <w:tcW w:w="751"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sz w:val="21"/>
                <w:szCs w:val="21"/>
              </w:rPr>
            </w:pPr>
          </w:p>
        </w:tc>
        <w:tc>
          <w:tcPr>
            <w:tcW w:w="751"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sz w:val="21"/>
                <w:szCs w:val="21"/>
              </w:rPr>
            </w:pPr>
          </w:p>
        </w:tc>
        <w:tc>
          <w:tcPr>
            <w:tcW w:w="646"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sz w:val="21"/>
                <w:szCs w:val="21"/>
              </w:rPr>
            </w:pPr>
          </w:p>
        </w:tc>
        <w:tc>
          <w:tcPr>
            <w:tcW w:w="646"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sz w:val="21"/>
                <w:szCs w:val="21"/>
              </w:rPr>
            </w:pPr>
          </w:p>
        </w:tc>
        <w:tc>
          <w:tcPr>
            <w:tcW w:w="647"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sz w:val="21"/>
                <w:szCs w:val="21"/>
              </w:rPr>
            </w:pPr>
          </w:p>
        </w:tc>
        <w:tc>
          <w:tcPr>
            <w:tcW w:w="754" w:type="dxa"/>
            <w:tcBorders>
              <w:top w:val="single" w:color="auto" w:sz="4" w:space="0"/>
              <w:left w:val="nil"/>
              <w:bottom w:val="single" w:color="auto" w:sz="4" w:space="0"/>
              <w:right w:val="nil"/>
            </w:tcBorders>
            <w:shd w:val="clear" w:color="auto" w:fill="auto"/>
            <w:noWrap/>
            <w:vAlign w:val="center"/>
          </w:tcPr>
          <w:p>
            <w:pPr>
              <w:jc w:val="center"/>
              <w:rPr>
                <w:rFonts w:hint="eastAsia" w:ascii="宋体" w:hAnsi="宋体" w:eastAsia="宋体" w:cs="宋体"/>
                <w:color w:val="000000"/>
                <w:sz w:val="21"/>
                <w:szCs w:val="21"/>
              </w:rPr>
            </w:pPr>
          </w:p>
        </w:tc>
        <w:tc>
          <w:tcPr>
            <w:tcW w:w="45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left"/>
              <w:rPr>
                <w:rFonts w:hint="eastAsia" w:ascii="宋体" w:hAnsi="宋体" w:eastAsia="宋体" w:cs="宋体"/>
                <w:color w:val="000000"/>
                <w:sz w:val="21"/>
                <w:szCs w:val="21"/>
              </w:rPr>
            </w:pPr>
          </w:p>
        </w:tc>
        <w:tc>
          <w:tcPr>
            <w:tcW w:w="456" w:type="dxa"/>
            <w:tcBorders>
              <w:top w:val="single" w:color="auto" w:sz="4" w:space="0"/>
              <w:left w:val="nil"/>
              <w:bottom w:val="single" w:color="auto" w:sz="4" w:space="0"/>
              <w:right w:val="single" w:color="auto" w:sz="4" w:space="0"/>
            </w:tcBorders>
            <w:shd w:val="clear" w:color="auto" w:fill="auto"/>
            <w:noWrap/>
            <w:vAlign w:val="center"/>
          </w:tcPr>
          <w:p>
            <w:pPr>
              <w:jc w:val="left"/>
              <w:rPr>
                <w:rFonts w:hint="eastAsia" w:ascii="宋体" w:hAnsi="宋体" w:eastAsia="宋体" w:cs="宋体"/>
                <w:color w:val="000000"/>
                <w:sz w:val="21"/>
                <w:szCs w:val="21"/>
              </w:rPr>
            </w:pPr>
          </w:p>
        </w:tc>
        <w:tc>
          <w:tcPr>
            <w:tcW w:w="493" w:type="dxa"/>
            <w:tcBorders>
              <w:top w:val="single" w:color="auto" w:sz="4" w:space="0"/>
              <w:left w:val="nil"/>
              <w:bottom w:val="single" w:color="auto" w:sz="4" w:space="0"/>
              <w:right w:val="single" w:color="auto" w:sz="4" w:space="0"/>
            </w:tcBorders>
            <w:shd w:val="clear" w:color="auto" w:fill="auto"/>
            <w:noWrap/>
            <w:vAlign w:val="center"/>
          </w:tcPr>
          <w:p>
            <w:pPr>
              <w:jc w:val="left"/>
              <w:rPr>
                <w:rFonts w:hint="eastAsia" w:ascii="宋体" w:hAnsi="宋体" w:eastAsia="宋体" w:cs="宋体"/>
                <w:color w:val="000000"/>
                <w:sz w:val="21"/>
                <w:szCs w:val="21"/>
              </w:rPr>
            </w:pPr>
          </w:p>
        </w:tc>
        <w:tc>
          <w:tcPr>
            <w:tcW w:w="528" w:type="dxa"/>
            <w:tcBorders>
              <w:top w:val="single" w:color="auto" w:sz="4" w:space="0"/>
              <w:left w:val="nil"/>
              <w:bottom w:val="single" w:color="auto" w:sz="4" w:space="0"/>
              <w:right w:val="single" w:color="auto" w:sz="4" w:space="0"/>
            </w:tcBorders>
            <w:shd w:val="clear" w:color="auto" w:fill="auto"/>
            <w:noWrap/>
            <w:vAlign w:val="center"/>
          </w:tcPr>
          <w:p>
            <w:pPr>
              <w:jc w:val="left"/>
              <w:rPr>
                <w:rFonts w:hint="eastAsia" w:ascii="宋体" w:hAnsi="宋体" w:eastAsia="宋体" w:cs="宋体"/>
                <w:color w:val="000000"/>
                <w:sz w:val="21"/>
                <w:szCs w:val="21"/>
              </w:rPr>
            </w:pPr>
          </w:p>
        </w:tc>
        <w:tc>
          <w:tcPr>
            <w:tcW w:w="456" w:type="dxa"/>
            <w:tcBorders>
              <w:top w:val="single" w:color="auto" w:sz="4" w:space="0"/>
              <w:left w:val="nil"/>
              <w:bottom w:val="single" w:color="auto" w:sz="4" w:space="0"/>
              <w:right w:val="single" w:color="auto" w:sz="4" w:space="0"/>
            </w:tcBorders>
            <w:shd w:val="clear" w:color="auto" w:fill="auto"/>
            <w:noWrap/>
            <w:vAlign w:val="center"/>
          </w:tcPr>
          <w:p>
            <w:pPr>
              <w:jc w:val="left"/>
              <w:rPr>
                <w:rFonts w:hint="eastAsia" w:ascii="宋体" w:hAnsi="宋体" w:eastAsia="宋体" w:cs="宋体"/>
                <w:color w:val="000000"/>
                <w:sz w:val="21"/>
                <w:szCs w:val="21"/>
              </w:rPr>
            </w:pPr>
          </w:p>
        </w:tc>
        <w:tc>
          <w:tcPr>
            <w:tcW w:w="552" w:type="dxa"/>
            <w:tcBorders>
              <w:top w:val="single" w:color="auto" w:sz="4" w:space="0"/>
              <w:left w:val="nil"/>
              <w:bottom w:val="single" w:color="auto" w:sz="4" w:space="0"/>
              <w:right w:val="single" w:color="auto" w:sz="4" w:space="0"/>
            </w:tcBorders>
            <w:shd w:val="clear" w:color="auto" w:fill="auto"/>
            <w:noWrap/>
            <w:vAlign w:val="center"/>
          </w:tcPr>
          <w:p>
            <w:pPr>
              <w:jc w:val="left"/>
              <w:rPr>
                <w:rFonts w:hint="eastAsia" w:ascii="宋体" w:hAnsi="宋体" w:eastAsia="宋体" w:cs="宋体"/>
                <w:color w:val="000000"/>
                <w:sz w:val="21"/>
                <w:szCs w:val="21"/>
              </w:rPr>
            </w:pPr>
          </w:p>
        </w:tc>
      </w:tr>
      <w:tr>
        <w:trPr>
          <w:trHeight w:val="526" w:hRule="atLeast"/>
        </w:trPr>
        <w:tc>
          <w:tcPr>
            <w:tcW w:w="69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w:t>
            </w:r>
          </w:p>
        </w:tc>
        <w:tc>
          <w:tcPr>
            <w:tcW w:w="455"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sz w:val="21"/>
                <w:szCs w:val="21"/>
              </w:rPr>
            </w:pPr>
          </w:p>
        </w:tc>
        <w:tc>
          <w:tcPr>
            <w:tcW w:w="750"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sz w:val="21"/>
                <w:szCs w:val="21"/>
              </w:rPr>
            </w:pPr>
          </w:p>
        </w:tc>
        <w:tc>
          <w:tcPr>
            <w:tcW w:w="751"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sz w:val="21"/>
                <w:szCs w:val="21"/>
              </w:rPr>
            </w:pPr>
          </w:p>
        </w:tc>
        <w:tc>
          <w:tcPr>
            <w:tcW w:w="751"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sz w:val="21"/>
                <w:szCs w:val="21"/>
              </w:rPr>
            </w:pPr>
          </w:p>
        </w:tc>
        <w:tc>
          <w:tcPr>
            <w:tcW w:w="646"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sz w:val="21"/>
                <w:szCs w:val="21"/>
              </w:rPr>
            </w:pPr>
          </w:p>
        </w:tc>
        <w:tc>
          <w:tcPr>
            <w:tcW w:w="646"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sz w:val="21"/>
                <w:szCs w:val="21"/>
              </w:rPr>
            </w:pPr>
          </w:p>
        </w:tc>
        <w:tc>
          <w:tcPr>
            <w:tcW w:w="647"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sz w:val="21"/>
                <w:szCs w:val="21"/>
              </w:rPr>
            </w:pPr>
          </w:p>
        </w:tc>
        <w:tc>
          <w:tcPr>
            <w:tcW w:w="754" w:type="dxa"/>
            <w:tcBorders>
              <w:top w:val="single" w:color="auto" w:sz="4" w:space="0"/>
              <w:left w:val="nil"/>
              <w:bottom w:val="single" w:color="auto" w:sz="4" w:space="0"/>
              <w:right w:val="nil"/>
            </w:tcBorders>
            <w:shd w:val="clear" w:color="auto" w:fill="auto"/>
            <w:noWrap/>
            <w:vAlign w:val="center"/>
          </w:tcPr>
          <w:p>
            <w:pPr>
              <w:jc w:val="center"/>
              <w:rPr>
                <w:rFonts w:hint="eastAsia" w:ascii="宋体" w:hAnsi="宋体" w:eastAsia="宋体" w:cs="宋体"/>
                <w:color w:val="000000"/>
                <w:sz w:val="21"/>
                <w:szCs w:val="21"/>
              </w:rPr>
            </w:pPr>
          </w:p>
        </w:tc>
        <w:tc>
          <w:tcPr>
            <w:tcW w:w="45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left"/>
              <w:rPr>
                <w:rFonts w:hint="eastAsia" w:ascii="宋体" w:hAnsi="宋体" w:eastAsia="宋体" w:cs="宋体"/>
                <w:color w:val="000000"/>
                <w:sz w:val="21"/>
                <w:szCs w:val="21"/>
              </w:rPr>
            </w:pPr>
          </w:p>
        </w:tc>
        <w:tc>
          <w:tcPr>
            <w:tcW w:w="456" w:type="dxa"/>
            <w:tcBorders>
              <w:top w:val="single" w:color="auto" w:sz="4" w:space="0"/>
              <w:left w:val="nil"/>
              <w:bottom w:val="single" w:color="auto" w:sz="4" w:space="0"/>
              <w:right w:val="single" w:color="auto" w:sz="4" w:space="0"/>
            </w:tcBorders>
            <w:shd w:val="clear" w:color="auto" w:fill="auto"/>
            <w:noWrap/>
            <w:vAlign w:val="center"/>
          </w:tcPr>
          <w:p>
            <w:pPr>
              <w:jc w:val="left"/>
              <w:rPr>
                <w:rFonts w:hint="eastAsia" w:ascii="宋体" w:hAnsi="宋体" w:eastAsia="宋体" w:cs="宋体"/>
                <w:color w:val="000000"/>
                <w:sz w:val="21"/>
                <w:szCs w:val="21"/>
              </w:rPr>
            </w:pPr>
          </w:p>
        </w:tc>
        <w:tc>
          <w:tcPr>
            <w:tcW w:w="493" w:type="dxa"/>
            <w:tcBorders>
              <w:top w:val="single" w:color="auto" w:sz="4" w:space="0"/>
              <w:left w:val="nil"/>
              <w:bottom w:val="single" w:color="auto" w:sz="4" w:space="0"/>
              <w:right w:val="single" w:color="auto" w:sz="4" w:space="0"/>
            </w:tcBorders>
            <w:shd w:val="clear" w:color="auto" w:fill="auto"/>
            <w:noWrap/>
            <w:vAlign w:val="center"/>
          </w:tcPr>
          <w:p>
            <w:pPr>
              <w:jc w:val="left"/>
              <w:rPr>
                <w:rFonts w:hint="eastAsia" w:ascii="宋体" w:hAnsi="宋体" w:eastAsia="宋体" w:cs="宋体"/>
                <w:color w:val="000000"/>
                <w:sz w:val="21"/>
                <w:szCs w:val="21"/>
              </w:rPr>
            </w:pPr>
          </w:p>
        </w:tc>
        <w:tc>
          <w:tcPr>
            <w:tcW w:w="528" w:type="dxa"/>
            <w:tcBorders>
              <w:top w:val="single" w:color="auto" w:sz="4" w:space="0"/>
              <w:left w:val="nil"/>
              <w:bottom w:val="single" w:color="auto" w:sz="4" w:space="0"/>
              <w:right w:val="single" w:color="auto" w:sz="4" w:space="0"/>
            </w:tcBorders>
            <w:shd w:val="clear" w:color="auto" w:fill="auto"/>
            <w:noWrap/>
            <w:vAlign w:val="center"/>
          </w:tcPr>
          <w:p>
            <w:pPr>
              <w:jc w:val="left"/>
              <w:rPr>
                <w:rFonts w:hint="eastAsia" w:ascii="宋体" w:hAnsi="宋体" w:eastAsia="宋体" w:cs="宋体"/>
                <w:color w:val="000000"/>
                <w:sz w:val="21"/>
                <w:szCs w:val="21"/>
              </w:rPr>
            </w:pPr>
          </w:p>
        </w:tc>
        <w:tc>
          <w:tcPr>
            <w:tcW w:w="456" w:type="dxa"/>
            <w:tcBorders>
              <w:top w:val="single" w:color="auto" w:sz="4" w:space="0"/>
              <w:left w:val="nil"/>
              <w:bottom w:val="single" w:color="auto" w:sz="4" w:space="0"/>
              <w:right w:val="single" w:color="auto" w:sz="4" w:space="0"/>
            </w:tcBorders>
            <w:shd w:val="clear" w:color="auto" w:fill="auto"/>
            <w:noWrap/>
            <w:vAlign w:val="center"/>
          </w:tcPr>
          <w:p>
            <w:pPr>
              <w:jc w:val="left"/>
              <w:rPr>
                <w:rFonts w:hint="eastAsia" w:ascii="宋体" w:hAnsi="宋体" w:eastAsia="宋体" w:cs="宋体"/>
                <w:color w:val="000000"/>
                <w:sz w:val="21"/>
                <w:szCs w:val="21"/>
              </w:rPr>
            </w:pPr>
          </w:p>
        </w:tc>
        <w:tc>
          <w:tcPr>
            <w:tcW w:w="552" w:type="dxa"/>
            <w:tcBorders>
              <w:top w:val="single" w:color="auto" w:sz="4" w:space="0"/>
              <w:left w:val="nil"/>
              <w:bottom w:val="single" w:color="auto" w:sz="4" w:space="0"/>
              <w:right w:val="single" w:color="auto" w:sz="4" w:space="0"/>
            </w:tcBorders>
            <w:shd w:val="clear" w:color="auto" w:fill="auto"/>
            <w:noWrap/>
            <w:vAlign w:val="center"/>
          </w:tcPr>
          <w:p>
            <w:pPr>
              <w:jc w:val="left"/>
              <w:rPr>
                <w:rFonts w:hint="eastAsia" w:ascii="宋体" w:hAnsi="宋体" w:eastAsia="宋体" w:cs="宋体"/>
                <w:color w:val="000000"/>
                <w:sz w:val="21"/>
                <w:szCs w:val="21"/>
              </w:rPr>
            </w:pPr>
          </w:p>
        </w:tc>
      </w:tr>
      <w:tr>
        <w:trPr>
          <w:trHeight w:val="526" w:hRule="atLeast"/>
        </w:trPr>
        <w:tc>
          <w:tcPr>
            <w:tcW w:w="6095" w:type="dxa"/>
            <w:gridSpan w:val="9"/>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低于-10%，高于+20%的主材数量</w:t>
            </w:r>
          </w:p>
        </w:tc>
        <w:tc>
          <w:tcPr>
            <w:tcW w:w="45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left"/>
              <w:rPr>
                <w:rFonts w:hint="eastAsia" w:ascii="宋体" w:hAnsi="宋体" w:eastAsia="宋体" w:cs="宋体"/>
                <w:color w:val="000000"/>
                <w:sz w:val="21"/>
                <w:szCs w:val="21"/>
              </w:rPr>
            </w:pPr>
          </w:p>
        </w:tc>
        <w:tc>
          <w:tcPr>
            <w:tcW w:w="45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left"/>
              <w:rPr>
                <w:rFonts w:hint="eastAsia" w:ascii="宋体" w:hAnsi="宋体" w:eastAsia="宋体" w:cs="宋体"/>
                <w:color w:val="000000"/>
                <w:sz w:val="21"/>
                <w:szCs w:val="21"/>
              </w:rPr>
            </w:pPr>
          </w:p>
        </w:tc>
        <w:tc>
          <w:tcPr>
            <w:tcW w:w="49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left"/>
              <w:rPr>
                <w:rFonts w:hint="eastAsia" w:ascii="宋体" w:hAnsi="宋体" w:eastAsia="宋体" w:cs="宋体"/>
                <w:color w:val="000000"/>
                <w:sz w:val="21"/>
                <w:szCs w:val="21"/>
              </w:rPr>
            </w:pPr>
          </w:p>
        </w:tc>
        <w:tc>
          <w:tcPr>
            <w:tcW w:w="52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left"/>
              <w:rPr>
                <w:rFonts w:hint="eastAsia" w:ascii="宋体" w:hAnsi="宋体" w:eastAsia="宋体" w:cs="宋体"/>
                <w:color w:val="000000"/>
                <w:sz w:val="21"/>
                <w:szCs w:val="21"/>
              </w:rPr>
            </w:pPr>
          </w:p>
        </w:tc>
        <w:tc>
          <w:tcPr>
            <w:tcW w:w="45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left"/>
              <w:rPr>
                <w:rFonts w:hint="eastAsia" w:ascii="宋体" w:hAnsi="宋体" w:eastAsia="宋体" w:cs="宋体"/>
                <w:color w:val="000000"/>
                <w:sz w:val="21"/>
                <w:szCs w:val="21"/>
              </w:rPr>
            </w:pPr>
          </w:p>
        </w:tc>
        <w:tc>
          <w:tcPr>
            <w:tcW w:w="55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left"/>
              <w:rPr>
                <w:rFonts w:hint="eastAsia" w:ascii="宋体" w:hAnsi="宋体" w:eastAsia="宋体" w:cs="宋体"/>
                <w:color w:val="000000"/>
                <w:sz w:val="21"/>
                <w:szCs w:val="21"/>
              </w:rPr>
            </w:pPr>
          </w:p>
        </w:tc>
      </w:tr>
      <w:tr>
        <w:trPr>
          <w:trHeight w:val="536" w:hRule="atLeast"/>
        </w:trPr>
        <w:tc>
          <w:tcPr>
            <w:tcW w:w="6095" w:type="dxa"/>
            <w:gridSpan w:val="9"/>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主要材料报价总得分（C）</w:t>
            </w:r>
          </w:p>
        </w:tc>
        <w:tc>
          <w:tcPr>
            <w:tcW w:w="1405"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sz w:val="21"/>
                <w:szCs w:val="21"/>
              </w:rPr>
            </w:pPr>
          </w:p>
        </w:tc>
        <w:tc>
          <w:tcPr>
            <w:tcW w:w="1536"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sz w:val="21"/>
                <w:szCs w:val="21"/>
              </w:rPr>
            </w:pPr>
          </w:p>
        </w:tc>
      </w:tr>
    </w:tbl>
    <w:p>
      <w:pPr>
        <w:spacing w:after="312" w:afterLines="100"/>
        <w:ind w:right="420"/>
        <w:jc w:val="right"/>
        <w:rPr>
          <w:color w:val="000000"/>
          <w:szCs w:val="44"/>
        </w:rPr>
      </w:pPr>
      <w:r>
        <w:rPr>
          <w:rFonts w:hint="eastAsia"/>
          <w:color w:val="000000"/>
          <w:szCs w:val="44"/>
        </w:rPr>
        <w:t>全体评委签字：</w:t>
      </w:r>
      <w:r>
        <w:rPr>
          <w:color w:val="000000"/>
          <w:szCs w:val="44"/>
        </w:rPr>
        <w:tab/>
      </w:r>
    </w:p>
    <w:p>
      <w:pPr>
        <w:spacing w:after="312" w:afterLines="100"/>
        <w:ind w:right="840"/>
        <w:jc w:val="right"/>
        <w:rPr>
          <w:color w:val="000000"/>
          <w:szCs w:val="44"/>
        </w:rPr>
      </w:pPr>
      <w:r>
        <w:rPr>
          <w:rFonts w:hint="eastAsia"/>
          <w:color w:val="000000"/>
          <w:szCs w:val="44"/>
        </w:rPr>
        <w:t>年  月   日</w:t>
      </w:r>
    </w:p>
    <w:p>
      <w:pPr>
        <w:rPr>
          <w:color w:val="000000"/>
        </w:rPr>
      </w:pPr>
    </w:p>
    <w:p>
      <w:pPr>
        <w:spacing w:before="312" w:beforeLines="100" w:after="249" w:afterLines="80" w:line="380" w:lineRule="exact"/>
        <w:outlineLvl w:val="2"/>
        <w:rPr>
          <w:rFonts w:ascii="黑体" w:hAnsi="宋体" w:eastAsia="黑体"/>
          <w:color w:val="000000"/>
          <w:sz w:val="24"/>
        </w:rPr>
      </w:pPr>
      <w:r>
        <w:rPr>
          <w:color w:val="000000"/>
        </w:rPr>
        <w:br w:type="page"/>
      </w:r>
      <w:bookmarkStart w:id="307" w:name="_Toc114222781"/>
      <w:r>
        <w:rPr>
          <w:rFonts w:hint="eastAsia" w:ascii="黑体" w:hAnsi="宋体" w:eastAsia="黑体"/>
          <w:color w:val="000000"/>
          <w:sz w:val="24"/>
        </w:rPr>
        <w:t>附表A-</w:t>
      </w:r>
      <w:r>
        <w:rPr>
          <w:rFonts w:ascii="黑体" w:hAnsi="宋体" w:eastAsia="黑体"/>
          <w:color w:val="000000"/>
          <w:sz w:val="24"/>
        </w:rPr>
        <w:t>10</w:t>
      </w:r>
      <w:r>
        <w:rPr>
          <w:rFonts w:hint="eastAsia" w:ascii="黑体" w:hAnsi="宋体" w:eastAsia="黑体"/>
          <w:color w:val="000000"/>
          <w:sz w:val="24"/>
        </w:rPr>
        <w:t>：商务标评分结果汇总表（系统自动生成）</w:t>
      </w:r>
      <w:bookmarkEnd w:id="307"/>
    </w:p>
    <w:p>
      <w:pPr>
        <w:spacing w:after="312" w:afterLines="100"/>
        <w:jc w:val="center"/>
        <w:rPr>
          <w:rFonts w:ascii="宋体" w:hAnsi="宋体"/>
          <w:color w:val="000000"/>
          <w:sz w:val="28"/>
          <w:szCs w:val="28"/>
        </w:rPr>
      </w:pPr>
      <w:r>
        <w:rPr>
          <w:rFonts w:hint="eastAsia" w:ascii="宋体" w:hAnsi="宋体"/>
          <w:color w:val="000000"/>
          <w:sz w:val="28"/>
          <w:szCs w:val="28"/>
        </w:rPr>
        <w:t>商务标评分结果汇总表</w:t>
      </w:r>
    </w:p>
    <w:p>
      <w:pPr>
        <w:adjustRightInd w:val="0"/>
        <w:snapToGrid w:val="0"/>
        <w:spacing w:line="440" w:lineRule="exact"/>
        <w:rPr>
          <w:color w:val="000000"/>
          <w:szCs w:val="44"/>
        </w:rPr>
      </w:pPr>
      <w:r>
        <w:rPr>
          <w:rFonts w:hint="eastAsia"/>
          <w:color w:val="000000"/>
          <w:szCs w:val="44"/>
        </w:rPr>
        <w:t>项目名称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项目编号</w:t>
      </w:r>
    </w:p>
    <w:p>
      <w:pPr>
        <w:spacing w:after="93" w:afterLines="30" w:line="440" w:lineRule="exact"/>
        <w:rPr>
          <w:rFonts w:hint="eastAsia"/>
          <w:color w:val="000000"/>
          <w:szCs w:val="44"/>
        </w:rPr>
      </w:pPr>
      <w:r>
        <w:rPr>
          <w:rFonts w:hint="eastAsia"/>
          <w:color w:val="000000"/>
          <w:szCs w:val="44"/>
        </w:rPr>
        <w:t>标段名称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标段编号</w:t>
      </w:r>
    </w:p>
    <w:tbl>
      <w:tblPr>
        <w:tblStyle w:val="36"/>
        <w:tblW w:w="8715" w:type="dxa"/>
        <w:tblInd w:w="-5" w:type="dxa"/>
        <w:tblLayout w:type="autofit"/>
        <w:tblCellMar>
          <w:top w:w="0" w:type="dxa"/>
          <w:left w:w="108" w:type="dxa"/>
          <w:bottom w:w="0" w:type="dxa"/>
          <w:right w:w="108" w:type="dxa"/>
        </w:tblCellMar>
      </w:tblPr>
      <w:tblGrid>
        <w:gridCol w:w="689"/>
        <w:gridCol w:w="2515"/>
        <w:gridCol w:w="2031"/>
        <w:gridCol w:w="1865"/>
        <w:gridCol w:w="1615"/>
      </w:tblGrid>
      <w:tr>
        <w:trPr>
          <w:trHeight w:val="406" w:hRule="atLeast"/>
        </w:trPr>
        <w:tc>
          <w:tcPr>
            <w:tcW w:w="689"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r>
              <w:rPr>
                <w:rFonts w:hint="eastAsia"/>
                <w:color w:val="000000"/>
              </w:rPr>
              <w:t>序号</w:t>
            </w:r>
          </w:p>
        </w:tc>
        <w:tc>
          <w:tcPr>
            <w:tcW w:w="2515"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r>
              <w:rPr>
                <w:rFonts w:hint="eastAsia"/>
                <w:color w:val="000000"/>
              </w:rPr>
              <w:t>投标单位</w:t>
            </w:r>
          </w:p>
        </w:tc>
        <w:tc>
          <w:tcPr>
            <w:tcW w:w="2031"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r>
              <w:rPr>
                <w:rFonts w:hint="eastAsia"/>
                <w:color w:val="000000"/>
              </w:rPr>
              <w:t>工程量清单总报价得分</w:t>
            </w:r>
          </w:p>
        </w:tc>
        <w:tc>
          <w:tcPr>
            <w:tcW w:w="1865"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r>
              <w:rPr>
                <w:rFonts w:hint="eastAsia"/>
                <w:color w:val="000000"/>
              </w:rPr>
              <w:t>分部分项工程量清单报价</w:t>
            </w:r>
            <w:r>
              <w:rPr>
                <w:rFonts w:hint="eastAsia"/>
                <w:color w:val="000000"/>
                <w:lang w:eastAsia="zh-CN"/>
              </w:rPr>
              <w:t>的</w:t>
            </w:r>
            <w:r>
              <w:rPr>
                <w:rFonts w:hint="eastAsia"/>
                <w:color w:val="000000"/>
              </w:rPr>
              <w:t>分</w:t>
            </w:r>
          </w:p>
        </w:tc>
        <w:tc>
          <w:tcPr>
            <w:tcW w:w="1615"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r>
              <w:rPr>
                <w:rFonts w:hint="eastAsia"/>
                <w:color w:val="000000"/>
              </w:rPr>
              <w:t>总得分</w:t>
            </w:r>
          </w:p>
        </w:tc>
      </w:tr>
      <w:tr>
        <w:trPr>
          <w:trHeight w:val="406" w:hRule="atLeast"/>
        </w:trPr>
        <w:tc>
          <w:tcPr>
            <w:tcW w:w="689"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r>
              <w:rPr>
                <w:rFonts w:hint="eastAsia"/>
                <w:color w:val="000000"/>
              </w:rPr>
              <w:t>1</w:t>
            </w:r>
          </w:p>
        </w:tc>
        <w:tc>
          <w:tcPr>
            <w:tcW w:w="2515"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c>
          <w:tcPr>
            <w:tcW w:w="2031"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c>
          <w:tcPr>
            <w:tcW w:w="1865"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c>
          <w:tcPr>
            <w:tcW w:w="1615"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r>
      <w:tr>
        <w:trPr>
          <w:trHeight w:val="406" w:hRule="atLeast"/>
        </w:trPr>
        <w:tc>
          <w:tcPr>
            <w:tcW w:w="689"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r>
              <w:rPr>
                <w:rFonts w:hint="eastAsia"/>
                <w:color w:val="000000"/>
              </w:rPr>
              <w:t>2</w:t>
            </w:r>
          </w:p>
        </w:tc>
        <w:tc>
          <w:tcPr>
            <w:tcW w:w="2515"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c>
          <w:tcPr>
            <w:tcW w:w="2031"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c>
          <w:tcPr>
            <w:tcW w:w="1865"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c>
          <w:tcPr>
            <w:tcW w:w="1615"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r>
      <w:tr>
        <w:trPr>
          <w:trHeight w:val="406" w:hRule="atLeast"/>
        </w:trPr>
        <w:tc>
          <w:tcPr>
            <w:tcW w:w="689"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r>
              <w:rPr>
                <w:rFonts w:hint="eastAsia"/>
                <w:color w:val="000000"/>
              </w:rPr>
              <w:t>3</w:t>
            </w:r>
          </w:p>
        </w:tc>
        <w:tc>
          <w:tcPr>
            <w:tcW w:w="2515"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c>
          <w:tcPr>
            <w:tcW w:w="2031"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c>
          <w:tcPr>
            <w:tcW w:w="1865"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c>
          <w:tcPr>
            <w:tcW w:w="1615"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r>
      <w:tr>
        <w:trPr>
          <w:trHeight w:val="406" w:hRule="atLeast"/>
        </w:trPr>
        <w:tc>
          <w:tcPr>
            <w:tcW w:w="689"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r>
              <w:rPr>
                <w:rFonts w:hint="eastAsia"/>
                <w:color w:val="000000"/>
              </w:rPr>
              <w:t>4</w:t>
            </w:r>
          </w:p>
        </w:tc>
        <w:tc>
          <w:tcPr>
            <w:tcW w:w="2515"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c>
          <w:tcPr>
            <w:tcW w:w="2031"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c>
          <w:tcPr>
            <w:tcW w:w="1865"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c>
          <w:tcPr>
            <w:tcW w:w="1615"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r>
      <w:tr>
        <w:trPr>
          <w:trHeight w:val="406" w:hRule="atLeast"/>
        </w:trPr>
        <w:tc>
          <w:tcPr>
            <w:tcW w:w="689"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r>
              <w:rPr>
                <w:rFonts w:hint="eastAsia"/>
                <w:color w:val="000000"/>
              </w:rPr>
              <w:t>5</w:t>
            </w:r>
          </w:p>
        </w:tc>
        <w:tc>
          <w:tcPr>
            <w:tcW w:w="2515"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c>
          <w:tcPr>
            <w:tcW w:w="2031"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c>
          <w:tcPr>
            <w:tcW w:w="1865"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c>
          <w:tcPr>
            <w:tcW w:w="1615"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r>
      <w:tr>
        <w:trPr>
          <w:trHeight w:val="406" w:hRule="atLeast"/>
        </w:trPr>
        <w:tc>
          <w:tcPr>
            <w:tcW w:w="689"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r>
              <w:rPr>
                <w:rFonts w:hint="eastAsia"/>
                <w:color w:val="000000"/>
              </w:rPr>
              <w:t>6</w:t>
            </w:r>
          </w:p>
        </w:tc>
        <w:tc>
          <w:tcPr>
            <w:tcW w:w="2515"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c>
          <w:tcPr>
            <w:tcW w:w="2031"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c>
          <w:tcPr>
            <w:tcW w:w="1865"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c>
          <w:tcPr>
            <w:tcW w:w="1615"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r>
      <w:tr>
        <w:trPr>
          <w:trHeight w:val="406" w:hRule="atLeast"/>
        </w:trPr>
        <w:tc>
          <w:tcPr>
            <w:tcW w:w="689"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r>
              <w:rPr>
                <w:color w:val="000000"/>
              </w:rPr>
              <w:t>……</w:t>
            </w:r>
          </w:p>
        </w:tc>
        <w:tc>
          <w:tcPr>
            <w:tcW w:w="2515"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c>
          <w:tcPr>
            <w:tcW w:w="2031"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c>
          <w:tcPr>
            <w:tcW w:w="1865"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c>
          <w:tcPr>
            <w:tcW w:w="1615"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p>
        </w:tc>
      </w:tr>
    </w:tbl>
    <w:p>
      <w:pPr>
        <w:spacing w:after="312" w:afterLines="100"/>
        <w:ind w:right="420"/>
        <w:jc w:val="right"/>
        <w:rPr>
          <w:color w:val="000000"/>
          <w:szCs w:val="44"/>
        </w:rPr>
      </w:pPr>
      <w:r>
        <w:rPr>
          <w:rFonts w:hint="eastAsia"/>
          <w:color w:val="000000"/>
          <w:szCs w:val="44"/>
        </w:rPr>
        <w:t>全体评委签字：</w:t>
      </w:r>
      <w:r>
        <w:rPr>
          <w:color w:val="000000"/>
          <w:szCs w:val="44"/>
        </w:rPr>
        <w:tab/>
      </w:r>
    </w:p>
    <w:p>
      <w:pPr>
        <w:spacing w:after="312" w:afterLines="100"/>
        <w:ind w:right="840"/>
        <w:jc w:val="right"/>
        <w:rPr>
          <w:color w:val="000000"/>
          <w:szCs w:val="44"/>
        </w:rPr>
      </w:pPr>
      <w:r>
        <w:rPr>
          <w:rFonts w:hint="eastAsia"/>
          <w:color w:val="000000"/>
          <w:szCs w:val="44"/>
        </w:rPr>
        <w:t>年  月   日</w:t>
      </w:r>
    </w:p>
    <w:p>
      <w:pPr>
        <w:spacing w:before="312" w:beforeLines="100" w:after="249" w:afterLines="80" w:line="380" w:lineRule="exact"/>
        <w:outlineLvl w:val="2"/>
        <w:rPr>
          <w:rFonts w:ascii="黑体" w:hAnsi="宋体" w:eastAsia="黑体"/>
          <w:color w:val="000000"/>
          <w:sz w:val="24"/>
        </w:rPr>
      </w:pPr>
      <w:r>
        <w:rPr>
          <w:color w:val="000000"/>
        </w:rPr>
        <w:br w:type="page"/>
      </w:r>
      <w:bookmarkStart w:id="308" w:name="_Toc114222782"/>
      <w:r>
        <w:rPr>
          <w:rFonts w:hint="eastAsia" w:ascii="黑体" w:hAnsi="宋体" w:eastAsia="黑体"/>
          <w:color w:val="000000"/>
          <w:sz w:val="24"/>
        </w:rPr>
        <w:t>附表A-1</w:t>
      </w:r>
      <w:r>
        <w:rPr>
          <w:rFonts w:ascii="黑体" w:hAnsi="宋体" w:eastAsia="黑体"/>
          <w:color w:val="000000"/>
          <w:sz w:val="24"/>
        </w:rPr>
        <w:t>1</w:t>
      </w:r>
      <w:r>
        <w:rPr>
          <w:rFonts w:hint="eastAsia" w:ascii="黑体" w:hAnsi="宋体" w:eastAsia="黑体"/>
          <w:color w:val="000000"/>
          <w:sz w:val="24"/>
        </w:rPr>
        <w:t>：评标结果汇总表（系统自动生成）</w:t>
      </w:r>
      <w:bookmarkEnd w:id="308"/>
    </w:p>
    <w:p>
      <w:pPr>
        <w:jc w:val="center"/>
        <w:rPr>
          <w:rFonts w:ascii="黑体" w:eastAsia="黑体"/>
          <w:color w:val="000000"/>
          <w:sz w:val="32"/>
          <w:szCs w:val="32"/>
        </w:rPr>
      </w:pPr>
      <w:r>
        <w:rPr>
          <w:rFonts w:hint="eastAsia" w:ascii="黑体" w:eastAsia="黑体"/>
          <w:color w:val="000000"/>
          <w:sz w:val="32"/>
          <w:szCs w:val="32"/>
        </w:rPr>
        <w:t>评标结果汇总表</w:t>
      </w:r>
    </w:p>
    <w:p>
      <w:pPr>
        <w:adjustRightInd w:val="0"/>
        <w:snapToGrid w:val="0"/>
        <w:spacing w:line="440" w:lineRule="exact"/>
        <w:rPr>
          <w:color w:val="000000"/>
          <w:szCs w:val="44"/>
        </w:rPr>
      </w:pPr>
      <w:r>
        <w:rPr>
          <w:rFonts w:hint="eastAsia"/>
          <w:color w:val="000000"/>
          <w:szCs w:val="44"/>
        </w:rPr>
        <w:t>项目名称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项目编号</w:t>
      </w:r>
    </w:p>
    <w:p>
      <w:pPr>
        <w:rPr>
          <w:rFonts w:ascii="宋体" w:hAnsi="宋体"/>
          <w:color w:val="000000"/>
          <w:szCs w:val="44"/>
        </w:rPr>
      </w:pPr>
      <w:r>
        <w:rPr>
          <w:rFonts w:hint="eastAsia"/>
          <w:color w:val="000000"/>
          <w:szCs w:val="44"/>
        </w:rPr>
        <w:t>标段名称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标段编号</w:t>
      </w:r>
    </w:p>
    <w:tbl>
      <w:tblPr>
        <w:tblStyle w:val="36"/>
        <w:tblW w:w="87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3"/>
        <w:gridCol w:w="1427"/>
        <w:gridCol w:w="1139"/>
        <w:gridCol w:w="864"/>
        <w:gridCol w:w="1084"/>
        <w:gridCol w:w="1084"/>
        <w:gridCol w:w="1084"/>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2" w:hRule="atLeast"/>
        </w:trPr>
        <w:tc>
          <w:tcPr>
            <w:tcW w:w="1043" w:type="dxa"/>
            <w:shd w:val="clear" w:color="auto" w:fill="auto"/>
            <w:noWrap/>
            <w:vAlign w:val="center"/>
          </w:tcPr>
          <w:p>
            <w:pPr>
              <w:jc w:val="center"/>
              <w:rPr>
                <w:color w:val="000000"/>
              </w:rPr>
            </w:pPr>
            <w:r>
              <w:rPr>
                <w:rFonts w:hint="eastAsia"/>
                <w:color w:val="000000"/>
              </w:rPr>
              <w:t>序号</w:t>
            </w:r>
          </w:p>
        </w:tc>
        <w:tc>
          <w:tcPr>
            <w:tcW w:w="1427" w:type="dxa"/>
            <w:shd w:val="clear" w:color="auto" w:fill="auto"/>
            <w:noWrap/>
            <w:vAlign w:val="center"/>
          </w:tcPr>
          <w:p>
            <w:pPr>
              <w:jc w:val="center"/>
              <w:rPr>
                <w:color w:val="000000"/>
              </w:rPr>
            </w:pPr>
            <w:r>
              <w:rPr>
                <w:rFonts w:hint="eastAsia"/>
                <w:color w:val="000000"/>
              </w:rPr>
              <w:t>投标单位</w:t>
            </w:r>
          </w:p>
        </w:tc>
        <w:tc>
          <w:tcPr>
            <w:tcW w:w="1139" w:type="dxa"/>
            <w:shd w:val="clear" w:color="auto" w:fill="auto"/>
            <w:noWrap/>
            <w:vAlign w:val="center"/>
          </w:tcPr>
          <w:p>
            <w:pPr>
              <w:jc w:val="center"/>
              <w:rPr>
                <w:color w:val="000000"/>
              </w:rPr>
            </w:pPr>
            <w:r>
              <w:rPr>
                <w:rFonts w:hint="eastAsia"/>
                <w:color w:val="000000"/>
              </w:rPr>
              <w:t>项目经理</w:t>
            </w:r>
          </w:p>
        </w:tc>
        <w:tc>
          <w:tcPr>
            <w:tcW w:w="864" w:type="dxa"/>
            <w:shd w:val="clear" w:color="auto" w:fill="auto"/>
            <w:noWrap/>
            <w:vAlign w:val="center"/>
          </w:tcPr>
          <w:p>
            <w:pPr>
              <w:jc w:val="center"/>
              <w:rPr>
                <w:color w:val="000000"/>
              </w:rPr>
            </w:pPr>
            <w:r>
              <w:rPr>
                <w:rFonts w:hint="eastAsia"/>
                <w:color w:val="000000"/>
              </w:rPr>
              <w:t>投标报价</w:t>
            </w:r>
          </w:p>
        </w:tc>
        <w:tc>
          <w:tcPr>
            <w:tcW w:w="1084" w:type="dxa"/>
            <w:shd w:val="clear" w:color="auto" w:fill="auto"/>
            <w:noWrap/>
            <w:vAlign w:val="center"/>
          </w:tcPr>
          <w:p>
            <w:pPr>
              <w:jc w:val="center"/>
              <w:rPr>
                <w:color w:val="000000"/>
              </w:rPr>
            </w:pPr>
            <w:r>
              <w:rPr>
                <w:rFonts w:hint="eastAsia"/>
                <w:color w:val="000000"/>
              </w:rPr>
              <w:t>最终得分</w:t>
            </w:r>
          </w:p>
        </w:tc>
        <w:tc>
          <w:tcPr>
            <w:tcW w:w="1084" w:type="dxa"/>
            <w:shd w:val="clear" w:color="auto" w:fill="auto"/>
            <w:noWrap/>
            <w:vAlign w:val="center"/>
          </w:tcPr>
          <w:p>
            <w:pPr>
              <w:jc w:val="center"/>
              <w:rPr>
                <w:color w:val="000000"/>
              </w:rPr>
            </w:pPr>
            <w:r>
              <w:rPr>
                <w:rFonts w:hint="eastAsia"/>
                <w:color w:val="000000"/>
              </w:rPr>
              <w:t>得分排名</w:t>
            </w:r>
          </w:p>
        </w:tc>
        <w:tc>
          <w:tcPr>
            <w:tcW w:w="1084" w:type="dxa"/>
            <w:shd w:val="clear" w:color="auto" w:fill="auto"/>
            <w:noWrap/>
            <w:vAlign w:val="center"/>
          </w:tcPr>
          <w:p>
            <w:pPr>
              <w:jc w:val="center"/>
              <w:rPr>
                <w:color w:val="000000"/>
              </w:rPr>
            </w:pPr>
            <w:r>
              <w:rPr>
                <w:rFonts w:hint="eastAsia"/>
                <w:color w:val="000000"/>
              </w:rPr>
              <w:t>推荐中标候选人</w:t>
            </w:r>
          </w:p>
        </w:tc>
        <w:tc>
          <w:tcPr>
            <w:tcW w:w="1056" w:type="dxa"/>
            <w:shd w:val="clear" w:color="auto" w:fill="auto"/>
            <w:noWrap/>
            <w:vAlign w:val="center"/>
          </w:tcPr>
          <w:p>
            <w:pPr>
              <w:jc w:val="center"/>
              <w:rPr>
                <w:color w:val="000000"/>
              </w:rPr>
            </w:pPr>
            <w:r>
              <w:rPr>
                <w:rFonts w:hint="eastAsia"/>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1" w:hRule="atLeast"/>
        </w:trPr>
        <w:tc>
          <w:tcPr>
            <w:tcW w:w="1043" w:type="dxa"/>
            <w:shd w:val="clear" w:color="auto" w:fill="auto"/>
            <w:noWrap/>
            <w:vAlign w:val="center"/>
          </w:tcPr>
          <w:p>
            <w:pPr>
              <w:jc w:val="center"/>
              <w:rPr>
                <w:color w:val="000000"/>
              </w:rPr>
            </w:pPr>
            <w:r>
              <w:rPr>
                <w:rFonts w:hint="eastAsia"/>
                <w:color w:val="000000"/>
              </w:rPr>
              <w:t>1</w:t>
            </w:r>
          </w:p>
        </w:tc>
        <w:tc>
          <w:tcPr>
            <w:tcW w:w="1427" w:type="dxa"/>
            <w:shd w:val="clear" w:color="auto" w:fill="auto"/>
            <w:noWrap/>
            <w:vAlign w:val="center"/>
          </w:tcPr>
          <w:p>
            <w:pPr>
              <w:jc w:val="center"/>
              <w:rPr>
                <w:color w:val="000000"/>
              </w:rPr>
            </w:pPr>
          </w:p>
        </w:tc>
        <w:tc>
          <w:tcPr>
            <w:tcW w:w="1139" w:type="dxa"/>
            <w:shd w:val="clear" w:color="auto" w:fill="auto"/>
            <w:noWrap/>
            <w:vAlign w:val="center"/>
          </w:tcPr>
          <w:p>
            <w:pPr>
              <w:jc w:val="center"/>
              <w:rPr>
                <w:color w:val="000000"/>
              </w:rPr>
            </w:pPr>
          </w:p>
        </w:tc>
        <w:tc>
          <w:tcPr>
            <w:tcW w:w="864" w:type="dxa"/>
            <w:shd w:val="clear" w:color="auto" w:fill="auto"/>
            <w:noWrap/>
            <w:vAlign w:val="center"/>
          </w:tcPr>
          <w:p>
            <w:pPr>
              <w:jc w:val="center"/>
              <w:rPr>
                <w:color w:val="000000"/>
              </w:rPr>
            </w:pPr>
          </w:p>
        </w:tc>
        <w:tc>
          <w:tcPr>
            <w:tcW w:w="1084" w:type="dxa"/>
            <w:shd w:val="clear" w:color="auto" w:fill="auto"/>
            <w:noWrap/>
            <w:vAlign w:val="center"/>
          </w:tcPr>
          <w:p>
            <w:pPr>
              <w:jc w:val="center"/>
              <w:rPr>
                <w:color w:val="000000"/>
              </w:rPr>
            </w:pPr>
          </w:p>
        </w:tc>
        <w:tc>
          <w:tcPr>
            <w:tcW w:w="1084" w:type="dxa"/>
            <w:shd w:val="clear" w:color="auto" w:fill="auto"/>
            <w:noWrap/>
            <w:vAlign w:val="center"/>
          </w:tcPr>
          <w:p>
            <w:pPr>
              <w:jc w:val="center"/>
              <w:rPr>
                <w:color w:val="000000"/>
              </w:rPr>
            </w:pPr>
          </w:p>
        </w:tc>
        <w:tc>
          <w:tcPr>
            <w:tcW w:w="1084" w:type="dxa"/>
            <w:shd w:val="clear" w:color="auto" w:fill="auto"/>
            <w:noWrap/>
            <w:vAlign w:val="center"/>
          </w:tcPr>
          <w:p>
            <w:pPr>
              <w:jc w:val="center"/>
              <w:rPr>
                <w:color w:val="000000"/>
              </w:rPr>
            </w:pPr>
          </w:p>
        </w:tc>
        <w:tc>
          <w:tcPr>
            <w:tcW w:w="1056" w:type="dxa"/>
            <w:shd w:val="clear" w:color="auto" w:fill="auto"/>
            <w:noWrap/>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1" w:hRule="atLeast"/>
        </w:trPr>
        <w:tc>
          <w:tcPr>
            <w:tcW w:w="1043" w:type="dxa"/>
            <w:shd w:val="clear" w:color="auto" w:fill="auto"/>
            <w:noWrap/>
            <w:vAlign w:val="center"/>
          </w:tcPr>
          <w:p>
            <w:pPr>
              <w:jc w:val="center"/>
              <w:rPr>
                <w:color w:val="000000"/>
              </w:rPr>
            </w:pPr>
            <w:r>
              <w:rPr>
                <w:rFonts w:hint="eastAsia"/>
                <w:color w:val="000000"/>
              </w:rPr>
              <w:t>2</w:t>
            </w:r>
          </w:p>
        </w:tc>
        <w:tc>
          <w:tcPr>
            <w:tcW w:w="1427" w:type="dxa"/>
            <w:shd w:val="clear" w:color="auto" w:fill="auto"/>
            <w:noWrap/>
            <w:vAlign w:val="center"/>
          </w:tcPr>
          <w:p>
            <w:pPr>
              <w:jc w:val="center"/>
              <w:rPr>
                <w:color w:val="000000"/>
              </w:rPr>
            </w:pPr>
          </w:p>
        </w:tc>
        <w:tc>
          <w:tcPr>
            <w:tcW w:w="1139" w:type="dxa"/>
            <w:shd w:val="clear" w:color="auto" w:fill="auto"/>
            <w:noWrap/>
            <w:vAlign w:val="center"/>
          </w:tcPr>
          <w:p>
            <w:pPr>
              <w:jc w:val="center"/>
              <w:rPr>
                <w:color w:val="000000"/>
              </w:rPr>
            </w:pPr>
          </w:p>
        </w:tc>
        <w:tc>
          <w:tcPr>
            <w:tcW w:w="864" w:type="dxa"/>
            <w:shd w:val="clear" w:color="auto" w:fill="auto"/>
            <w:noWrap/>
            <w:vAlign w:val="center"/>
          </w:tcPr>
          <w:p>
            <w:pPr>
              <w:jc w:val="center"/>
              <w:rPr>
                <w:color w:val="000000"/>
              </w:rPr>
            </w:pPr>
          </w:p>
        </w:tc>
        <w:tc>
          <w:tcPr>
            <w:tcW w:w="1084" w:type="dxa"/>
            <w:shd w:val="clear" w:color="auto" w:fill="auto"/>
            <w:noWrap/>
            <w:vAlign w:val="center"/>
          </w:tcPr>
          <w:p>
            <w:pPr>
              <w:jc w:val="center"/>
              <w:rPr>
                <w:color w:val="000000"/>
              </w:rPr>
            </w:pPr>
          </w:p>
        </w:tc>
        <w:tc>
          <w:tcPr>
            <w:tcW w:w="1084" w:type="dxa"/>
            <w:shd w:val="clear" w:color="auto" w:fill="auto"/>
            <w:noWrap/>
            <w:vAlign w:val="center"/>
          </w:tcPr>
          <w:p>
            <w:pPr>
              <w:jc w:val="center"/>
              <w:rPr>
                <w:color w:val="000000"/>
              </w:rPr>
            </w:pPr>
          </w:p>
        </w:tc>
        <w:tc>
          <w:tcPr>
            <w:tcW w:w="1084" w:type="dxa"/>
            <w:shd w:val="clear" w:color="auto" w:fill="auto"/>
            <w:noWrap/>
            <w:vAlign w:val="center"/>
          </w:tcPr>
          <w:p>
            <w:pPr>
              <w:jc w:val="center"/>
              <w:rPr>
                <w:color w:val="000000"/>
              </w:rPr>
            </w:pPr>
          </w:p>
        </w:tc>
        <w:tc>
          <w:tcPr>
            <w:tcW w:w="1056" w:type="dxa"/>
            <w:shd w:val="clear" w:color="auto" w:fill="auto"/>
            <w:noWrap/>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1" w:hRule="atLeast"/>
        </w:trPr>
        <w:tc>
          <w:tcPr>
            <w:tcW w:w="1043" w:type="dxa"/>
            <w:shd w:val="clear" w:color="auto" w:fill="auto"/>
            <w:noWrap/>
            <w:vAlign w:val="center"/>
          </w:tcPr>
          <w:p>
            <w:pPr>
              <w:jc w:val="center"/>
              <w:rPr>
                <w:color w:val="000000"/>
              </w:rPr>
            </w:pPr>
            <w:r>
              <w:rPr>
                <w:rFonts w:hint="eastAsia"/>
                <w:color w:val="000000"/>
              </w:rPr>
              <w:t>3</w:t>
            </w:r>
          </w:p>
        </w:tc>
        <w:tc>
          <w:tcPr>
            <w:tcW w:w="1427" w:type="dxa"/>
            <w:shd w:val="clear" w:color="auto" w:fill="auto"/>
            <w:noWrap/>
            <w:vAlign w:val="center"/>
          </w:tcPr>
          <w:p>
            <w:pPr>
              <w:jc w:val="center"/>
              <w:rPr>
                <w:color w:val="000000"/>
              </w:rPr>
            </w:pPr>
          </w:p>
        </w:tc>
        <w:tc>
          <w:tcPr>
            <w:tcW w:w="1139" w:type="dxa"/>
            <w:shd w:val="clear" w:color="auto" w:fill="auto"/>
            <w:noWrap/>
            <w:vAlign w:val="center"/>
          </w:tcPr>
          <w:p>
            <w:pPr>
              <w:jc w:val="center"/>
              <w:rPr>
                <w:color w:val="000000"/>
              </w:rPr>
            </w:pPr>
          </w:p>
        </w:tc>
        <w:tc>
          <w:tcPr>
            <w:tcW w:w="864" w:type="dxa"/>
            <w:shd w:val="clear" w:color="auto" w:fill="auto"/>
            <w:noWrap/>
            <w:vAlign w:val="center"/>
          </w:tcPr>
          <w:p>
            <w:pPr>
              <w:jc w:val="center"/>
              <w:rPr>
                <w:color w:val="000000"/>
              </w:rPr>
            </w:pPr>
          </w:p>
        </w:tc>
        <w:tc>
          <w:tcPr>
            <w:tcW w:w="1084" w:type="dxa"/>
            <w:shd w:val="clear" w:color="auto" w:fill="auto"/>
            <w:noWrap/>
            <w:vAlign w:val="center"/>
          </w:tcPr>
          <w:p>
            <w:pPr>
              <w:jc w:val="center"/>
              <w:rPr>
                <w:color w:val="000000"/>
              </w:rPr>
            </w:pPr>
          </w:p>
        </w:tc>
        <w:tc>
          <w:tcPr>
            <w:tcW w:w="1084" w:type="dxa"/>
            <w:shd w:val="clear" w:color="auto" w:fill="auto"/>
            <w:noWrap/>
            <w:vAlign w:val="center"/>
          </w:tcPr>
          <w:p>
            <w:pPr>
              <w:jc w:val="center"/>
              <w:rPr>
                <w:color w:val="000000"/>
              </w:rPr>
            </w:pPr>
          </w:p>
        </w:tc>
        <w:tc>
          <w:tcPr>
            <w:tcW w:w="1084" w:type="dxa"/>
            <w:shd w:val="clear" w:color="auto" w:fill="auto"/>
            <w:noWrap/>
            <w:vAlign w:val="center"/>
          </w:tcPr>
          <w:p>
            <w:pPr>
              <w:jc w:val="center"/>
              <w:rPr>
                <w:color w:val="000000"/>
              </w:rPr>
            </w:pPr>
          </w:p>
        </w:tc>
        <w:tc>
          <w:tcPr>
            <w:tcW w:w="1056" w:type="dxa"/>
            <w:shd w:val="clear" w:color="auto" w:fill="auto"/>
            <w:noWrap/>
            <w:vAlign w:val="center"/>
          </w:tcPr>
          <w:p>
            <w:pPr>
              <w:jc w:val="center"/>
              <w:rPr>
                <w:color w:val="000000"/>
              </w:rPr>
            </w:pPr>
          </w:p>
        </w:tc>
      </w:tr>
    </w:tbl>
    <w:p>
      <w:pPr>
        <w:rPr>
          <w:rFonts w:ascii="宋体" w:hAnsi="宋体"/>
          <w:color w:val="000000"/>
          <w:szCs w:val="44"/>
        </w:rPr>
      </w:pPr>
    </w:p>
    <w:p>
      <w:pPr>
        <w:spacing w:after="312" w:afterLines="100"/>
        <w:ind w:right="420"/>
        <w:jc w:val="right"/>
        <w:rPr>
          <w:color w:val="000000"/>
          <w:szCs w:val="44"/>
        </w:rPr>
      </w:pPr>
      <w:r>
        <w:rPr>
          <w:rFonts w:hint="eastAsia"/>
          <w:color w:val="000000"/>
          <w:szCs w:val="44"/>
        </w:rPr>
        <w:t>全体评委签字：</w:t>
      </w:r>
      <w:r>
        <w:rPr>
          <w:color w:val="000000"/>
          <w:szCs w:val="44"/>
        </w:rPr>
        <w:tab/>
      </w:r>
    </w:p>
    <w:p>
      <w:pPr>
        <w:spacing w:after="312" w:afterLines="100"/>
        <w:ind w:right="840"/>
        <w:jc w:val="right"/>
        <w:rPr>
          <w:color w:val="000000"/>
          <w:szCs w:val="44"/>
        </w:rPr>
      </w:pPr>
      <w:r>
        <w:rPr>
          <w:rFonts w:hint="eastAsia"/>
          <w:color w:val="000000"/>
          <w:szCs w:val="44"/>
        </w:rPr>
        <w:t>年  月   日</w:t>
      </w:r>
    </w:p>
    <w:p>
      <w:pPr>
        <w:spacing w:before="312" w:beforeLines="100" w:after="249" w:afterLines="80" w:line="380" w:lineRule="exact"/>
        <w:outlineLvl w:val="2"/>
        <w:rPr>
          <w:rFonts w:ascii="黑体" w:hAnsi="宋体" w:eastAsia="黑体"/>
          <w:color w:val="000000"/>
          <w:sz w:val="24"/>
        </w:rPr>
      </w:pPr>
      <w:r>
        <w:rPr>
          <w:rFonts w:ascii="宋体" w:hAnsi="宋体"/>
          <w:color w:val="000000"/>
          <w:szCs w:val="21"/>
        </w:rPr>
        <w:br w:type="page"/>
      </w:r>
      <w:bookmarkStart w:id="309" w:name="_Toc114222783"/>
      <w:r>
        <w:rPr>
          <w:rFonts w:hint="eastAsia" w:ascii="黑体" w:hAnsi="宋体" w:eastAsia="黑体"/>
          <w:color w:val="000000"/>
          <w:sz w:val="24"/>
        </w:rPr>
        <w:t>附表A-1</w:t>
      </w:r>
      <w:r>
        <w:rPr>
          <w:rFonts w:ascii="黑体" w:hAnsi="宋体" w:eastAsia="黑体"/>
          <w:color w:val="000000"/>
          <w:sz w:val="24"/>
        </w:rPr>
        <w:t>2</w:t>
      </w:r>
      <w:r>
        <w:rPr>
          <w:rFonts w:hint="eastAsia" w:ascii="黑体" w:hAnsi="宋体" w:eastAsia="黑体"/>
          <w:color w:val="000000"/>
          <w:sz w:val="24"/>
        </w:rPr>
        <w:t>：否决投标的情况记录表（系统自动生成）</w:t>
      </w:r>
      <w:bookmarkEnd w:id="309"/>
    </w:p>
    <w:p>
      <w:pPr>
        <w:jc w:val="center"/>
        <w:rPr>
          <w:rFonts w:ascii="黑体" w:eastAsia="黑体"/>
          <w:color w:val="000000"/>
          <w:sz w:val="28"/>
          <w:szCs w:val="28"/>
        </w:rPr>
      </w:pPr>
      <w:r>
        <w:rPr>
          <w:rFonts w:hint="eastAsia" w:ascii="黑体" w:eastAsia="黑体"/>
          <w:color w:val="000000"/>
          <w:sz w:val="28"/>
          <w:szCs w:val="28"/>
        </w:rPr>
        <w:t>否决投标的情况记录表</w:t>
      </w:r>
    </w:p>
    <w:p>
      <w:pPr>
        <w:adjustRightInd w:val="0"/>
        <w:snapToGrid w:val="0"/>
        <w:spacing w:line="440" w:lineRule="exact"/>
        <w:rPr>
          <w:color w:val="000000"/>
          <w:szCs w:val="44"/>
        </w:rPr>
      </w:pPr>
      <w:r>
        <w:rPr>
          <w:rFonts w:hint="eastAsia"/>
          <w:color w:val="000000"/>
          <w:szCs w:val="44"/>
        </w:rPr>
        <w:t>项目名称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项目编号</w:t>
      </w:r>
    </w:p>
    <w:p>
      <w:pPr>
        <w:rPr>
          <w:rFonts w:ascii="宋体" w:hAnsi="宋体"/>
          <w:color w:val="000000"/>
          <w:szCs w:val="44"/>
        </w:rPr>
      </w:pPr>
      <w:r>
        <w:rPr>
          <w:rFonts w:hint="eastAsia"/>
          <w:color w:val="000000"/>
          <w:szCs w:val="44"/>
        </w:rPr>
        <w:t>标段名称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标段编号</w:t>
      </w:r>
    </w:p>
    <w:p>
      <w:pPr>
        <w:ind w:firstLine="525" w:firstLineChars="250"/>
        <w:jc w:val="left"/>
        <w:rPr>
          <w:rFonts w:ascii="宋体" w:hAnsi="宋体"/>
          <w:color w:val="000000"/>
          <w:szCs w:val="44"/>
        </w:rPr>
      </w:pPr>
    </w:p>
    <w:tbl>
      <w:tblPr>
        <w:tblStyle w:val="36"/>
        <w:tblW w:w="87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
        <w:gridCol w:w="1971"/>
        <w:gridCol w:w="1971"/>
        <w:gridCol w:w="1729"/>
        <w:gridCol w:w="1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trPr>
        <w:tc>
          <w:tcPr>
            <w:tcW w:w="1062" w:type="dxa"/>
            <w:shd w:val="clear" w:color="auto" w:fill="auto"/>
            <w:noWrap/>
            <w:vAlign w:val="center"/>
          </w:tcPr>
          <w:p>
            <w:pPr>
              <w:jc w:val="center"/>
              <w:rPr>
                <w:color w:val="000000"/>
              </w:rPr>
            </w:pPr>
            <w:r>
              <w:rPr>
                <w:rFonts w:hint="eastAsia"/>
                <w:color w:val="000000"/>
              </w:rPr>
              <w:t>序号</w:t>
            </w:r>
          </w:p>
        </w:tc>
        <w:tc>
          <w:tcPr>
            <w:tcW w:w="1971" w:type="dxa"/>
            <w:shd w:val="clear" w:color="auto" w:fill="auto"/>
            <w:noWrap/>
            <w:vAlign w:val="center"/>
          </w:tcPr>
          <w:p>
            <w:pPr>
              <w:jc w:val="center"/>
              <w:rPr>
                <w:color w:val="000000"/>
              </w:rPr>
            </w:pPr>
            <w:r>
              <w:rPr>
                <w:rFonts w:hint="eastAsia"/>
                <w:color w:val="000000"/>
              </w:rPr>
              <w:t>投标人名称</w:t>
            </w:r>
          </w:p>
        </w:tc>
        <w:tc>
          <w:tcPr>
            <w:tcW w:w="1971" w:type="dxa"/>
            <w:shd w:val="clear" w:color="auto" w:fill="auto"/>
            <w:noWrap/>
            <w:vAlign w:val="center"/>
          </w:tcPr>
          <w:p>
            <w:pPr>
              <w:jc w:val="center"/>
              <w:rPr>
                <w:color w:val="000000"/>
              </w:rPr>
            </w:pPr>
            <w:r>
              <w:rPr>
                <w:rFonts w:hint="eastAsia"/>
                <w:color w:val="000000"/>
              </w:rPr>
              <w:t>评审阶段</w:t>
            </w:r>
          </w:p>
        </w:tc>
        <w:tc>
          <w:tcPr>
            <w:tcW w:w="1729" w:type="dxa"/>
            <w:shd w:val="clear" w:color="auto" w:fill="auto"/>
            <w:noWrap/>
            <w:vAlign w:val="center"/>
          </w:tcPr>
          <w:p>
            <w:pPr>
              <w:jc w:val="center"/>
              <w:rPr>
                <w:color w:val="000000"/>
              </w:rPr>
            </w:pPr>
            <w:r>
              <w:rPr>
                <w:rFonts w:hint="eastAsia"/>
                <w:color w:val="000000"/>
              </w:rPr>
              <w:t>评委意见</w:t>
            </w:r>
          </w:p>
        </w:tc>
        <w:tc>
          <w:tcPr>
            <w:tcW w:w="1971" w:type="dxa"/>
            <w:shd w:val="clear" w:color="auto" w:fill="auto"/>
            <w:noWrap/>
            <w:vAlign w:val="center"/>
          </w:tcPr>
          <w:p>
            <w:pPr>
              <w:jc w:val="center"/>
              <w:rPr>
                <w:color w:val="000000"/>
              </w:rPr>
            </w:pPr>
            <w:r>
              <w:rPr>
                <w:rFonts w:hint="eastAsia"/>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8" w:hRule="atLeast"/>
        </w:trPr>
        <w:tc>
          <w:tcPr>
            <w:tcW w:w="1062" w:type="dxa"/>
            <w:shd w:val="clear" w:color="auto" w:fill="auto"/>
            <w:noWrap/>
            <w:vAlign w:val="center"/>
          </w:tcPr>
          <w:p>
            <w:pPr>
              <w:jc w:val="center"/>
              <w:rPr>
                <w:color w:val="000000"/>
              </w:rPr>
            </w:pPr>
            <w:r>
              <w:rPr>
                <w:rFonts w:hint="eastAsia"/>
                <w:color w:val="000000"/>
              </w:rPr>
              <w:t>1</w:t>
            </w:r>
          </w:p>
        </w:tc>
        <w:tc>
          <w:tcPr>
            <w:tcW w:w="1971" w:type="dxa"/>
            <w:shd w:val="clear" w:color="auto" w:fill="auto"/>
            <w:noWrap/>
            <w:vAlign w:val="center"/>
          </w:tcPr>
          <w:p>
            <w:pPr>
              <w:jc w:val="center"/>
              <w:rPr>
                <w:color w:val="000000"/>
              </w:rPr>
            </w:pPr>
          </w:p>
        </w:tc>
        <w:tc>
          <w:tcPr>
            <w:tcW w:w="1971" w:type="dxa"/>
            <w:shd w:val="clear" w:color="auto" w:fill="auto"/>
            <w:noWrap/>
            <w:vAlign w:val="center"/>
          </w:tcPr>
          <w:p>
            <w:pPr>
              <w:jc w:val="center"/>
              <w:rPr>
                <w:color w:val="000000"/>
              </w:rPr>
            </w:pPr>
          </w:p>
        </w:tc>
        <w:tc>
          <w:tcPr>
            <w:tcW w:w="1729" w:type="dxa"/>
            <w:shd w:val="clear" w:color="auto" w:fill="auto"/>
            <w:noWrap/>
            <w:vAlign w:val="center"/>
          </w:tcPr>
          <w:p>
            <w:pPr>
              <w:jc w:val="center"/>
              <w:rPr>
                <w:color w:val="000000"/>
              </w:rPr>
            </w:pPr>
          </w:p>
        </w:tc>
        <w:tc>
          <w:tcPr>
            <w:tcW w:w="1971" w:type="dxa"/>
            <w:shd w:val="clear" w:color="auto" w:fill="auto"/>
            <w:noWrap/>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8" w:hRule="atLeast"/>
        </w:trPr>
        <w:tc>
          <w:tcPr>
            <w:tcW w:w="1062" w:type="dxa"/>
            <w:shd w:val="clear" w:color="auto" w:fill="auto"/>
            <w:noWrap/>
            <w:vAlign w:val="center"/>
          </w:tcPr>
          <w:p>
            <w:pPr>
              <w:jc w:val="center"/>
              <w:rPr>
                <w:color w:val="000000"/>
              </w:rPr>
            </w:pPr>
            <w:r>
              <w:rPr>
                <w:rFonts w:hint="eastAsia"/>
                <w:color w:val="000000"/>
              </w:rPr>
              <w:t>2</w:t>
            </w:r>
          </w:p>
        </w:tc>
        <w:tc>
          <w:tcPr>
            <w:tcW w:w="1971" w:type="dxa"/>
            <w:shd w:val="clear" w:color="auto" w:fill="auto"/>
            <w:noWrap/>
            <w:vAlign w:val="center"/>
          </w:tcPr>
          <w:p>
            <w:pPr>
              <w:jc w:val="center"/>
              <w:rPr>
                <w:color w:val="000000"/>
              </w:rPr>
            </w:pPr>
          </w:p>
        </w:tc>
        <w:tc>
          <w:tcPr>
            <w:tcW w:w="1971" w:type="dxa"/>
            <w:shd w:val="clear" w:color="auto" w:fill="auto"/>
            <w:noWrap/>
            <w:vAlign w:val="center"/>
          </w:tcPr>
          <w:p>
            <w:pPr>
              <w:jc w:val="center"/>
              <w:rPr>
                <w:color w:val="000000"/>
              </w:rPr>
            </w:pPr>
          </w:p>
        </w:tc>
        <w:tc>
          <w:tcPr>
            <w:tcW w:w="1729" w:type="dxa"/>
            <w:shd w:val="clear" w:color="auto" w:fill="auto"/>
            <w:noWrap/>
            <w:vAlign w:val="center"/>
          </w:tcPr>
          <w:p>
            <w:pPr>
              <w:jc w:val="center"/>
              <w:rPr>
                <w:color w:val="000000"/>
              </w:rPr>
            </w:pPr>
          </w:p>
        </w:tc>
        <w:tc>
          <w:tcPr>
            <w:tcW w:w="1971" w:type="dxa"/>
            <w:shd w:val="clear" w:color="auto" w:fill="auto"/>
            <w:noWrap/>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8" w:hRule="atLeast"/>
        </w:trPr>
        <w:tc>
          <w:tcPr>
            <w:tcW w:w="1062" w:type="dxa"/>
            <w:shd w:val="clear" w:color="auto" w:fill="auto"/>
            <w:noWrap/>
            <w:vAlign w:val="center"/>
          </w:tcPr>
          <w:p>
            <w:pPr>
              <w:jc w:val="center"/>
              <w:rPr>
                <w:color w:val="000000"/>
              </w:rPr>
            </w:pPr>
            <w:r>
              <w:rPr>
                <w:color w:val="000000"/>
              </w:rPr>
              <w:t>……</w:t>
            </w:r>
          </w:p>
        </w:tc>
        <w:tc>
          <w:tcPr>
            <w:tcW w:w="1971" w:type="dxa"/>
            <w:shd w:val="clear" w:color="auto" w:fill="auto"/>
            <w:noWrap/>
            <w:vAlign w:val="center"/>
          </w:tcPr>
          <w:p>
            <w:pPr>
              <w:jc w:val="center"/>
              <w:rPr>
                <w:color w:val="000000"/>
              </w:rPr>
            </w:pPr>
          </w:p>
        </w:tc>
        <w:tc>
          <w:tcPr>
            <w:tcW w:w="1971" w:type="dxa"/>
            <w:shd w:val="clear" w:color="auto" w:fill="auto"/>
            <w:noWrap/>
            <w:vAlign w:val="center"/>
          </w:tcPr>
          <w:p>
            <w:pPr>
              <w:jc w:val="center"/>
              <w:rPr>
                <w:color w:val="000000"/>
              </w:rPr>
            </w:pPr>
          </w:p>
        </w:tc>
        <w:tc>
          <w:tcPr>
            <w:tcW w:w="1729" w:type="dxa"/>
            <w:shd w:val="clear" w:color="auto" w:fill="auto"/>
            <w:noWrap/>
            <w:vAlign w:val="center"/>
          </w:tcPr>
          <w:p>
            <w:pPr>
              <w:jc w:val="center"/>
              <w:rPr>
                <w:color w:val="000000"/>
              </w:rPr>
            </w:pPr>
          </w:p>
        </w:tc>
        <w:tc>
          <w:tcPr>
            <w:tcW w:w="1971" w:type="dxa"/>
            <w:shd w:val="clear" w:color="auto" w:fill="auto"/>
            <w:noWrap/>
            <w:vAlign w:val="center"/>
          </w:tcPr>
          <w:p>
            <w:pPr>
              <w:jc w:val="center"/>
              <w:rPr>
                <w:color w:val="000000"/>
              </w:rPr>
            </w:pPr>
          </w:p>
        </w:tc>
      </w:tr>
    </w:tbl>
    <w:p>
      <w:pPr>
        <w:ind w:firstLine="525" w:firstLineChars="250"/>
        <w:jc w:val="left"/>
        <w:rPr>
          <w:rFonts w:ascii="宋体" w:hAnsi="宋体"/>
          <w:color w:val="000000"/>
          <w:szCs w:val="44"/>
        </w:rPr>
      </w:pPr>
    </w:p>
    <w:p>
      <w:pPr>
        <w:spacing w:after="312" w:afterLines="100"/>
        <w:ind w:right="420"/>
        <w:jc w:val="right"/>
        <w:rPr>
          <w:color w:val="000000"/>
          <w:szCs w:val="44"/>
        </w:rPr>
      </w:pPr>
      <w:r>
        <w:rPr>
          <w:rFonts w:hint="eastAsia"/>
          <w:color w:val="000000"/>
          <w:szCs w:val="44"/>
        </w:rPr>
        <w:t>全体评委签字：</w:t>
      </w:r>
      <w:r>
        <w:rPr>
          <w:color w:val="000000"/>
          <w:szCs w:val="44"/>
        </w:rPr>
        <w:tab/>
      </w:r>
    </w:p>
    <w:p>
      <w:pPr>
        <w:spacing w:after="312" w:afterLines="100"/>
        <w:ind w:right="840"/>
        <w:jc w:val="right"/>
        <w:rPr>
          <w:color w:val="000000"/>
          <w:szCs w:val="44"/>
        </w:rPr>
      </w:pPr>
      <w:r>
        <w:rPr>
          <w:rFonts w:hint="eastAsia"/>
          <w:color w:val="000000"/>
          <w:szCs w:val="44"/>
        </w:rPr>
        <w:t>年  月   日</w:t>
      </w:r>
    </w:p>
    <w:p>
      <w:pPr>
        <w:spacing w:before="312" w:beforeLines="100" w:after="249" w:afterLines="80" w:line="380" w:lineRule="exact"/>
        <w:outlineLvl w:val="2"/>
        <w:rPr>
          <w:rFonts w:ascii="黑体" w:hAnsi="宋体" w:eastAsia="黑体"/>
          <w:color w:val="000000"/>
          <w:sz w:val="24"/>
        </w:rPr>
      </w:pPr>
      <w:r>
        <w:rPr>
          <w:rFonts w:ascii="黑体" w:hAnsi="宋体" w:eastAsia="黑体"/>
          <w:color w:val="000000"/>
          <w:sz w:val="24"/>
        </w:rPr>
        <w:br w:type="page"/>
      </w:r>
      <w:bookmarkStart w:id="310" w:name="_Toc114222784"/>
      <w:r>
        <w:rPr>
          <w:rFonts w:hint="eastAsia" w:ascii="黑体" w:hAnsi="宋体" w:eastAsia="黑体"/>
          <w:color w:val="000000"/>
          <w:sz w:val="24"/>
        </w:rPr>
        <w:t>附表A-1</w:t>
      </w:r>
      <w:r>
        <w:rPr>
          <w:rFonts w:ascii="黑体" w:hAnsi="宋体" w:eastAsia="黑体"/>
          <w:color w:val="000000"/>
          <w:sz w:val="24"/>
        </w:rPr>
        <w:t>3</w:t>
      </w:r>
      <w:r>
        <w:rPr>
          <w:rFonts w:hint="eastAsia" w:ascii="黑体" w:hAnsi="宋体" w:eastAsia="黑体"/>
          <w:color w:val="000000"/>
          <w:sz w:val="24"/>
        </w:rPr>
        <w:t>：评标委员会复核意见表</w:t>
      </w:r>
      <w:bookmarkEnd w:id="310"/>
    </w:p>
    <w:p>
      <w:pPr>
        <w:adjustRightInd w:val="0"/>
        <w:snapToGrid w:val="0"/>
        <w:spacing w:line="440" w:lineRule="exact"/>
        <w:ind w:left="2940" w:firstLine="420"/>
        <w:rPr>
          <w:rFonts w:ascii="黑体" w:eastAsia="黑体"/>
          <w:color w:val="000000"/>
          <w:sz w:val="28"/>
          <w:szCs w:val="28"/>
        </w:rPr>
      </w:pPr>
      <w:r>
        <w:rPr>
          <w:rFonts w:hint="eastAsia" w:ascii="黑体" w:eastAsia="黑体"/>
          <w:color w:val="000000"/>
          <w:sz w:val="28"/>
          <w:szCs w:val="28"/>
        </w:rPr>
        <w:t>评标委员会复核意见</w:t>
      </w:r>
    </w:p>
    <w:p>
      <w:pPr>
        <w:adjustRightInd w:val="0"/>
        <w:snapToGrid w:val="0"/>
        <w:spacing w:line="440" w:lineRule="exact"/>
        <w:rPr>
          <w:color w:val="000000"/>
          <w:szCs w:val="44"/>
        </w:rPr>
      </w:pPr>
      <w:r>
        <w:rPr>
          <w:rFonts w:hint="eastAsia"/>
          <w:color w:val="000000"/>
          <w:szCs w:val="44"/>
        </w:rPr>
        <w:t>项目名称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项目编号</w:t>
      </w:r>
    </w:p>
    <w:p>
      <w:pPr>
        <w:rPr>
          <w:rFonts w:ascii="宋体" w:hAnsi="宋体"/>
          <w:color w:val="000000"/>
          <w:szCs w:val="44"/>
        </w:rPr>
      </w:pPr>
      <w:r>
        <w:rPr>
          <w:rFonts w:hint="eastAsia"/>
          <w:color w:val="000000"/>
          <w:szCs w:val="44"/>
        </w:rPr>
        <w:t>标段名称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标段编号</w:t>
      </w:r>
    </w:p>
    <w:p>
      <w:pPr>
        <w:jc w:val="left"/>
        <w:rPr>
          <w:rFonts w:hint="eastAsia" w:ascii="宋体" w:hAnsi="宋体"/>
          <w:color w:val="000000"/>
          <w:szCs w:val="44"/>
        </w:rPr>
      </w:pPr>
    </w:p>
    <w:tbl>
      <w:tblPr>
        <w:tblStyle w:val="36"/>
        <w:tblW w:w="8643" w:type="dxa"/>
        <w:tblInd w:w="137" w:type="dxa"/>
        <w:tblLayout w:type="fixed"/>
        <w:tblCellMar>
          <w:top w:w="15" w:type="dxa"/>
          <w:left w:w="108" w:type="dxa"/>
          <w:bottom w:w="15" w:type="dxa"/>
          <w:right w:w="108" w:type="dxa"/>
        </w:tblCellMar>
      </w:tblPr>
      <w:tblGrid>
        <w:gridCol w:w="930"/>
        <w:gridCol w:w="1330"/>
        <w:gridCol w:w="1197"/>
        <w:gridCol w:w="1063"/>
        <w:gridCol w:w="1063"/>
        <w:gridCol w:w="1063"/>
        <w:gridCol w:w="1063"/>
        <w:gridCol w:w="934"/>
      </w:tblGrid>
      <w:tr>
        <w:trPr>
          <w:trHeight w:val="372" w:hRule="atLeast"/>
        </w:trPr>
        <w:tc>
          <w:tcPr>
            <w:tcW w:w="930" w:type="dxa"/>
            <w:tcBorders>
              <w:top w:val="single" w:color="auto" w:sz="4" w:space="0"/>
              <w:left w:val="single" w:color="auto"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宋体" w:hAnsi="宋体"/>
                <w:color w:val="000000"/>
                <w:szCs w:val="44"/>
              </w:rPr>
              <w:t xml:space="preserve">                                              </w:t>
            </w:r>
            <w:r>
              <w:rPr>
                <w:rFonts w:hint="eastAsia" w:ascii="楷体" w:hAnsi="楷体" w:eastAsia="楷体" w:cs="宋体"/>
                <w:sz w:val="24"/>
              </w:rPr>
              <w:t>序号</w:t>
            </w:r>
          </w:p>
        </w:tc>
        <w:tc>
          <w:tcPr>
            <w:tcW w:w="1330" w:type="dxa"/>
            <w:tcBorders>
              <w:top w:val="single" w:color="auto" w:sz="4" w:space="0"/>
              <w:left w:val="single" w:color="000000"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投标人名称</w:t>
            </w:r>
          </w:p>
        </w:tc>
        <w:tc>
          <w:tcPr>
            <w:tcW w:w="6383" w:type="dxa"/>
            <w:gridSpan w:val="6"/>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复核意见</w:t>
            </w:r>
          </w:p>
          <w:p>
            <w:pPr>
              <w:tabs>
                <w:tab w:val="left" w:pos="-315"/>
              </w:tabs>
              <w:snapToGrid w:val="0"/>
              <w:spacing w:line="160" w:lineRule="atLeast"/>
              <w:jc w:val="center"/>
              <w:rPr>
                <w:rFonts w:ascii="楷体" w:hAnsi="楷体" w:eastAsia="楷体" w:cs="宋体"/>
                <w:sz w:val="24"/>
              </w:rPr>
            </w:pPr>
          </w:p>
        </w:tc>
      </w:tr>
      <w:tr>
        <w:trPr>
          <w:trHeight w:val="597" w:hRule="atLeast"/>
        </w:trPr>
        <w:tc>
          <w:tcPr>
            <w:tcW w:w="930" w:type="dxa"/>
            <w:tcBorders>
              <w:top w:val="single" w:color="auto" w:sz="4" w:space="0"/>
              <w:left w:val="single" w:color="auto"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1</w:t>
            </w:r>
          </w:p>
        </w:tc>
        <w:tc>
          <w:tcPr>
            <w:tcW w:w="1330" w:type="dxa"/>
            <w:tcBorders>
              <w:top w:val="single" w:color="auto" w:sz="4" w:space="0"/>
              <w:left w:val="single" w:color="000000"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p>
        </w:tc>
        <w:tc>
          <w:tcPr>
            <w:tcW w:w="1197"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专家1</w:t>
            </w:r>
          </w:p>
        </w:tc>
        <w:tc>
          <w:tcPr>
            <w:tcW w:w="1063"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w:t>
            </w:r>
            <w:r>
              <w:rPr>
                <w:rFonts w:ascii="楷体" w:hAnsi="楷体" w:eastAsia="楷体" w:cs="宋体"/>
                <w:sz w:val="24"/>
              </w:rPr>
              <w:t>2</w:t>
            </w:r>
          </w:p>
        </w:tc>
        <w:tc>
          <w:tcPr>
            <w:tcW w:w="1063"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w:t>
            </w:r>
            <w:r>
              <w:rPr>
                <w:rFonts w:ascii="楷体" w:hAnsi="楷体" w:eastAsia="楷体" w:cs="宋体"/>
                <w:sz w:val="24"/>
              </w:rPr>
              <w:t>3</w:t>
            </w:r>
          </w:p>
        </w:tc>
        <w:tc>
          <w:tcPr>
            <w:tcW w:w="1063"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w:t>
            </w:r>
            <w:r>
              <w:rPr>
                <w:rFonts w:ascii="楷体" w:hAnsi="楷体" w:eastAsia="楷体" w:cs="宋体"/>
                <w:sz w:val="24"/>
              </w:rPr>
              <w:t>4</w:t>
            </w:r>
          </w:p>
        </w:tc>
        <w:tc>
          <w:tcPr>
            <w:tcW w:w="1063"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w:t>
            </w:r>
            <w:r>
              <w:rPr>
                <w:rFonts w:ascii="楷体" w:hAnsi="楷体" w:eastAsia="楷体" w:cs="宋体"/>
                <w:sz w:val="24"/>
              </w:rPr>
              <w:t>5</w:t>
            </w:r>
          </w:p>
        </w:tc>
        <w:tc>
          <w:tcPr>
            <w:tcW w:w="930"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w:t>
            </w:r>
          </w:p>
        </w:tc>
      </w:tr>
      <w:tr>
        <w:trPr>
          <w:trHeight w:val="751" w:hRule="atLeast"/>
        </w:trPr>
        <w:tc>
          <w:tcPr>
            <w:tcW w:w="930" w:type="dxa"/>
            <w:tcBorders>
              <w:top w:val="single" w:color="auto" w:sz="4" w:space="0"/>
              <w:left w:val="single" w:color="auto"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p>
        </w:tc>
        <w:tc>
          <w:tcPr>
            <w:tcW w:w="1330" w:type="dxa"/>
            <w:tcBorders>
              <w:top w:val="single" w:color="auto" w:sz="4" w:space="0"/>
              <w:left w:val="single" w:color="000000"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p>
        </w:tc>
        <w:tc>
          <w:tcPr>
            <w:tcW w:w="1197"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（通过/不通过）</w:t>
            </w:r>
          </w:p>
        </w:tc>
        <w:tc>
          <w:tcPr>
            <w:tcW w:w="1063"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（通过/不通过）</w:t>
            </w:r>
          </w:p>
        </w:tc>
        <w:tc>
          <w:tcPr>
            <w:tcW w:w="1063"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（通过/不通过）</w:t>
            </w:r>
          </w:p>
        </w:tc>
        <w:tc>
          <w:tcPr>
            <w:tcW w:w="1063"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（通过/不通过）</w:t>
            </w:r>
          </w:p>
        </w:tc>
        <w:tc>
          <w:tcPr>
            <w:tcW w:w="1063"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（通过/不通过）</w:t>
            </w:r>
          </w:p>
        </w:tc>
        <w:tc>
          <w:tcPr>
            <w:tcW w:w="930"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p>
        </w:tc>
      </w:tr>
      <w:tr>
        <w:trPr>
          <w:trHeight w:val="617" w:hRule="atLeast"/>
        </w:trPr>
        <w:tc>
          <w:tcPr>
            <w:tcW w:w="930" w:type="dxa"/>
            <w:tcBorders>
              <w:top w:val="single" w:color="auto" w:sz="4" w:space="0"/>
              <w:left w:val="single" w:color="auto"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2</w:t>
            </w:r>
          </w:p>
        </w:tc>
        <w:tc>
          <w:tcPr>
            <w:tcW w:w="1330" w:type="dxa"/>
            <w:tcBorders>
              <w:top w:val="single" w:color="auto" w:sz="4" w:space="0"/>
              <w:left w:val="single" w:color="000000"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p>
        </w:tc>
        <w:tc>
          <w:tcPr>
            <w:tcW w:w="1197"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专家1</w:t>
            </w:r>
          </w:p>
        </w:tc>
        <w:tc>
          <w:tcPr>
            <w:tcW w:w="1063"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w:t>
            </w:r>
            <w:r>
              <w:rPr>
                <w:rFonts w:ascii="楷体" w:hAnsi="楷体" w:eastAsia="楷体" w:cs="宋体"/>
                <w:sz w:val="24"/>
              </w:rPr>
              <w:t>2</w:t>
            </w:r>
          </w:p>
        </w:tc>
        <w:tc>
          <w:tcPr>
            <w:tcW w:w="1063"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w:t>
            </w:r>
            <w:r>
              <w:rPr>
                <w:rFonts w:ascii="楷体" w:hAnsi="楷体" w:eastAsia="楷体" w:cs="宋体"/>
                <w:sz w:val="24"/>
              </w:rPr>
              <w:t>3</w:t>
            </w:r>
          </w:p>
        </w:tc>
        <w:tc>
          <w:tcPr>
            <w:tcW w:w="1063"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w:t>
            </w:r>
            <w:r>
              <w:rPr>
                <w:rFonts w:ascii="楷体" w:hAnsi="楷体" w:eastAsia="楷体" w:cs="宋体"/>
                <w:sz w:val="24"/>
              </w:rPr>
              <w:t>4</w:t>
            </w:r>
          </w:p>
        </w:tc>
        <w:tc>
          <w:tcPr>
            <w:tcW w:w="1063"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w:t>
            </w:r>
            <w:r>
              <w:rPr>
                <w:rFonts w:ascii="楷体" w:hAnsi="楷体" w:eastAsia="楷体" w:cs="宋体"/>
                <w:sz w:val="24"/>
              </w:rPr>
              <w:t>5</w:t>
            </w:r>
          </w:p>
        </w:tc>
        <w:tc>
          <w:tcPr>
            <w:tcW w:w="930"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w:t>
            </w:r>
          </w:p>
        </w:tc>
      </w:tr>
      <w:tr>
        <w:trPr>
          <w:trHeight w:val="617" w:hRule="atLeast"/>
        </w:trPr>
        <w:tc>
          <w:tcPr>
            <w:tcW w:w="930" w:type="dxa"/>
            <w:tcBorders>
              <w:top w:val="single" w:color="auto" w:sz="4" w:space="0"/>
              <w:left w:val="single" w:color="auto"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p>
        </w:tc>
        <w:tc>
          <w:tcPr>
            <w:tcW w:w="1330" w:type="dxa"/>
            <w:tcBorders>
              <w:top w:val="single" w:color="auto" w:sz="4" w:space="0"/>
              <w:left w:val="single" w:color="000000"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p>
        </w:tc>
        <w:tc>
          <w:tcPr>
            <w:tcW w:w="1197"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（通过/不通过）</w:t>
            </w:r>
          </w:p>
        </w:tc>
        <w:tc>
          <w:tcPr>
            <w:tcW w:w="1063"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（通过/不通过）</w:t>
            </w:r>
          </w:p>
        </w:tc>
        <w:tc>
          <w:tcPr>
            <w:tcW w:w="1063"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（通过/不通过）</w:t>
            </w:r>
          </w:p>
        </w:tc>
        <w:tc>
          <w:tcPr>
            <w:tcW w:w="1063"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（通过/不通过）</w:t>
            </w:r>
          </w:p>
        </w:tc>
        <w:tc>
          <w:tcPr>
            <w:tcW w:w="1063"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（通过/不通过）</w:t>
            </w:r>
          </w:p>
        </w:tc>
        <w:tc>
          <w:tcPr>
            <w:tcW w:w="930"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p>
        </w:tc>
      </w:tr>
      <w:tr>
        <w:trPr>
          <w:trHeight w:val="1182" w:hRule="atLeast"/>
        </w:trPr>
        <w:tc>
          <w:tcPr>
            <w:tcW w:w="930" w:type="dxa"/>
            <w:tcBorders>
              <w:top w:val="single" w:color="auto" w:sz="4" w:space="0"/>
              <w:left w:val="single" w:color="auto"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3</w:t>
            </w:r>
          </w:p>
        </w:tc>
        <w:tc>
          <w:tcPr>
            <w:tcW w:w="1330" w:type="dxa"/>
            <w:tcBorders>
              <w:top w:val="single" w:color="auto" w:sz="4" w:space="0"/>
              <w:left w:val="single" w:color="000000"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p>
        </w:tc>
        <w:tc>
          <w:tcPr>
            <w:tcW w:w="1197"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专家1</w:t>
            </w:r>
          </w:p>
        </w:tc>
        <w:tc>
          <w:tcPr>
            <w:tcW w:w="1063"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w:t>
            </w:r>
            <w:r>
              <w:rPr>
                <w:rFonts w:ascii="楷体" w:hAnsi="楷体" w:eastAsia="楷体" w:cs="宋体"/>
                <w:sz w:val="24"/>
              </w:rPr>
              <w:t>2</w:t>
            </w:r>
          </w:p>
        </w:tc>
        <w:tc>
          <w:tcPr>
            <w:tcW w:w="1063"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w:t>
            </w:r>
            <w:r>
              <w:rPr>
                <w:rFonts w:ascii="楷体" w:hAnsi="楷体" w:eastAsia="楷体" w:cs="宋体"/>
                <w:sz w:val="24"/>
              </w:rPr>
              <w:t>3</w:t>
            </w:r>
          </w:p>
        </w:tc>
        <w:tc>
          <w:tcPr>
            <w:tcW w:w="1063"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w:t>
            </w:r>
            <w:r>
              <w:rPr>
                <w:rFonts w:ascii="楷体" w:hAnsi="楷体" w:eastAsia="楷体" w:cs="宋体"/>
                <w:sz w:val="24"/>
              </w:rPr>
              <w:t>4</w:t>
            </w:r>
          </w:p>
        </w:tc>
        <w:tc>
          <w:tcPr>
            <w:tcW w:w="1063"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w:t>
            </w:r>
            <w:r>
              <w:rPr>
                <w:rFonts w:ascii="楷体" w:hAnsi="楷体" w:eastAsia="楷体" w:cs="宋体"/>
                <w:sz w:val="24"/>
              </w:rPr>
              <w:t>5</w:t>
            </w:r>
          </w:p>
        </w:tc>
        <w:tc>
          <w:tcPr>
            <w:tcW w:w="930"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w:t>
            </w:r>
          </w:p>
        </w:tc>
      </w:tr>
      <w:tr>
        <w:trPr>
          <w:trHeight w:val="1182" w:hRule="atLeast"/>
        </w:trPr>
        <w:tc>
          <w:tcPr>
            <w:tcW w:w="930" w:type="dxa"/>
            <w:tcBorders>
              <w:top w:val="single" w:color="auto" w:sz="4" w:space="0"/>
              <w:left w:val="single" w:color="auto"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p>
        </w:tc>
        <w:tc>
          <w:tcPr>
            <w:tcW w:w="1330" w:type="dxa"/>
            <w:tcBorders>
              <w:top w:val="single" w:color="auto" w:sz="4" w:space="0"/>
              <w:left w:val="single" w:color="000000"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p>
        </w:tc>
        <w:tc>
          <w:tcPr>
            <w:tcW w:w="1197"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（通过/不通过）</w:t>
            </w:r>
          </w:p>
        </w:tc>
        <w:tc>
          <w:tcPr>
            <w:tcW w:w="1063"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（通过/不通过）</w:t>
            </w:r>
          </w:p>
        </w:tc>
        <w:tc>
          <w:tcPr>
            <w:tcW w:w="1063"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（通过/不通过）</w:t>
            </w:r>
          </w:p>
        </w:tc>
        <w:tc>
          <w:tcPr>
            <w:tcW w:w="1063"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（通过/不通过）</w:t>
            </w:r>
          </w:p>
        </w:tc>
        <w:tc>
          <w:tcPr>
            <w:tcW w:w="1063"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（通过/不通过）</w:t>
            </w:r>
          </w:p>
        </w:tc>
        <w:tc>
          <w:tcPr>
            <w:tcW w:w="930"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p>
        </w:tc>
      </w:tr>
    </w:tbl>
    <w:p>
      <w:pPr>
        <w:ind w:firstLine="525" w:firstLineChars="250"/>
        <w:jc w:val="left"/>
        <w:rPr>
          <w:rFonts w:ascii="宋体" w:hAnsi="宋体"/>
          <w:color w:val="000000"/>
          <w:szCs w:val="44"/>
        </w:rPr>
      </w:pPr>
    </w:p>
    <w:p>
      <w:pPr>
        <w:spacing w:after="312" w:afterLines="100"/>
        <w:ind w:right="420"/>
        <w:jc w:val="right"/>
        <w:rPr>
          <w:color w:val="000000"/>
          <w:szCs w:val="44"/>
        </w:rPr>
      </w:pPr>
      <w:r>
        <w:rPr>
          <w:rFonts w:hint="eastAsia"/>
          <w:color w:val="000000"/>
          <w:szCs w:val="44"/>
        </w:rPr>
        <w:t>全体评委签字：</w:t>
      </w:r>
      <w:r>
        <w:rPr>
          <w:color w:val="000000"/>
          <w:szCs w:val="44"/>
        </w:rPr>
        <w:tab/>
      </w:r>
    </w:p>
    <w:p>
      <w:pPr>
        <w:spacing w:after="312" w:afterLines="100"/>
        <w:ind w:right="840"/>
        <w:jc w:val="right"/>
        <w:rPr>
          <w:color w:val="000000"/>
          <w:szCs w:val="44"/>
        </w:rPr>
      </w:pPr>
      <w:r>
        <w:rPr>
          <w:rFonts w:hint="eastAsia"/>
          <w:color w:val="000000"/>
          <w:szCs w:val="44"/>
        </w:rPr>
        <w:t>年  月   日</w:t>
      </w:r>
    </w:p>
    <w:p/>
    <w:p/>
    <w:p/>
    <w:p/>
    <w:p>
      <w:pPr>
        <w:rPr>
          <w:rFonts w:hint="eastAsia"/>
        </w:rPr>
      </w:pPr>
    </w:p>
    <w:p/>
    <w:p/>
    <w:p/>
    <w:p/>
    <w:p/>
    <w:p/>
    <w:p>
      <w:pPr>
        <w:spacing w:before="312" w:beforeLines="100" w:after="249" w:afterLines="80" w:line="380" w:lineRule="exact"/>
        <w:outlineLvl w:val="2"/>
        <w:rPr>
          <w:rFonts w:ascii="黑体" w:hAnsi="宋体" w:eastAsia="黑体"/>
          <w:color w:val="000000"/>
          <w:sz w:val="24"/>
        </w:rPr>
      </w:pPr>
      <w:bookmarkStart w:id="311" w:name="_Toc114222785"/>
      <w:r>
        <w:rPr>
          <w:rFonts w:hint="eastAsia" w:ascii="黑体" w:hAnsi="宋体" w:eastAsia="黑体"/>
          <w:color w:val="000000"/>
          <w:sz w:val="24"/>
        </w:rPr>
        <w:t>附表A-1</w:t>
      </w:r>
      <w:r>
        <w:rPr>
          <w:rFonts w:ascii="黑体" w:hAnsi="宋体" w:eastAsia="黑体"/>
          <w:color w:val="000000"/>
          <w:sz w:val="24"/>
        </w:rPr>
        <w:t>4</w:t>
      </w:r>
      <w:r>
        <w:rPr>
          <w:rFonts w:hint="eastAsia" w:ascii="黑体" w:hAnsi="宋体" w:eastAsia="黑体"/>
          <w:color w:val="000000"/>
          <w:sz w:val="24"/>
        </w:rPr>
        <w:t>：评标委员会复核否决投标情况说明</w:t>
      </w:r>
      <w:bookmarkEnd w:id="311"/>
    </w:p>
    <w:p>
      <w:pPr>
        <w:adjustRightInd w:val="0"/>
        <w:snapToGrid w:val="0"/>
        <w:spacing w:line="440" w:lineRule="exact"/>
        <w:jc w:val="center"/>
        <w:rPr>
          <w:rFonts w:ascii="黑体" w:eastAsia="黑体"/>
          <w:color w:val="000000"/>
          <w:sz w:val="28"/>
          <w:szCs w:val="28"/>
        </w:rPr>
      </w:pPr>
      <w:r>
        <w:rPr>
          <w:rFonts w:hint="eastAsia" w:ascii="黑体" w:eastAsia="黑体"/>
          <w:color w:val="000000"/>
          <w:sz w:val="28"/>
          <w:szCs w:val="28"/>
        </w:rPr>
        <w:t>评标委员会复核否决投标情况说明</w:t>
      </w:r>
    </w:p>
    <w:p>
      <w:pPr>
        <w:adjustRightInd w:val="0"/>
        <w:snapToGrid w:val="0"/>
        <w:spacing w:line="440" w:lineRule="exact"/>
        <w:rPr>
          <w:color w:val="000000"/>
          <w:szCs w:val="44"/>
        </w:rPr>
      </w:pPr>
      <w:r>
        <w:rPr>
          <w:rFonts w:hint="eastAsia"/>
          <w:color w:val="000000"/>
          <w:szCs w:val="44"/>
        </w:rPr>
        <w:t>项目名称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项目编号</w:t>
      </w:r>
    </w:p>
    <w:p>
      <w:pPr>
        <w:rPr>
          <w:rFonts w:ascii="宋体" w:hAnsi="宋体"/>
          <w:color w:val="000000"/>
          <w:szCs w:val="44"/>
        </w:rPr>
      </w:pPr>
      <w:r>
        <w:rPr>
          <w:rFonts w:hint="eastAsia"/>
          <w:color w:val="000000"/>
          <w:szCs w:val="44"/>
        </w:rPr>
        <w:t>标段名称</w:t>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color w:val="000000"/>
          <w:szCs w:val="44"/>
        </w:rPr>
        <w:tab/>
      </w:r>
      <w:r>
        <w:rPr>
          <w:rFonts w:hint="eastAsia"/>
          <w:color w:val="000000"/>
          <w:szCs w:val="44"/>
        </w:rPr>
        <w:t>标段编号</w:t>
      </w:r>
    </w:p>
    <w:p>
      <w:pPr>
        <w:ind w:firstLine="525" w:firstLineChars="250"/>
        <w:jc w:val="left"/>
        <w:rPr>
          <w:rFonts w:ascii="宋体" w:hAnsi="宋体"/>
          <w:color w:val="000000"/>
          <w:szCs w:val="44"/>
        </w:rPr>
      </w:pPr>
    </w:p>
    <w:tbl>
      <w:tblPr>
        <w:tblStyle w:val="36"/>
        <w:tblW w:w="8528" w:type="dxa"/>
        <w:tblInd w:w="137" w:type="dxa"/>
        <w:tblLayout w:type="fixed"/>
        <w:tblCellMar>
          <w:top w:w="15" w:type="dxa"/>
          <w:left w:w="108" w:type="dxa"/>
          <w:bottom w:w="15" w:type="dxa"/>
          <w:right w:w="108" w:type="dxa"/>
        </w:tblCellMar>
      </w:tblPr>
      <w:tblGrid>
        <w:gridCol w:w="540"/>
        <w:gridCol w:w="588"/>
        <w:gridCol w:w="1003"/>
        <w:gridCol w:w="1253"/>
        <w:gridCol w:w="1505"/>
        <w:gridCol w:w="1129"/>
        <w:gridCol w:w="877"/>
        <w:gridCol w:w="1003"/>
        <w:gridCol w:w="630"/>
      </w:tblGrid>
      <w:tr>
        <w:trPr>
          <w:trHeight w:val="303" w:hRule="atLeast"/>
        </w:trPr>
        <w:tc>
          <w:tcPr>
            <w:tcW w:w="540" w:type="dxa"/>
            <w:tcBorders>
              <w:top w:val="single" w:color="auto" w:sz="4" w:space="0"/>
              <w:left w:val="single" w:color="auto"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宋体" w:hAnsi="宋体"/>
                <w:color w:val="000000"/>
                <w:szCs w:val="44"/>
              </w:rPr>
              <w:t xml:space="preserve">                                                </w:t>
            </w:r>
            <w:r>
              <w:rPr>
                <w:rFonts w:hint="eastAsia" w:ascii="楷体" w:hAnsi="楷体" w:eastAsia="楷体" w:cs="宋体"/>
                <w:sz w:val="24"/>
              </w:rPr>
              <w:t>序号</w:t>
            </w:r>
          </w:p>
        </w:tc>
        <w:tc>
          <w:tcPr>
            <w:tcW w:w="588" w:type="dxa"/>
            <w:tcBorders>
              <w:top w:val="single" w:color="auto" w:sz="4" w:space="0"/>
              <w:left w:val="single" w:color="000000"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投标人名称</w:t>
            </w:r>
          </w:p>
        </w:tc>
        <w:tc>
          <w:tcPr>
            <w:tcW w:w="1003" w:type="dxa"/>
            <w:tcBorders>
              <w:top w:val="single" w:color="auto" w:sz="4" w:space="0"/>
              <w:left w:val="single" w:color="000000"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否决投标原因</w:t>
            </w:r>
          </w:p>
        </w:tc>
        <w:tc>
          <w:tcPr>
            <w:tcW w:w="6397" w:type="dxa"/>
            <w:gridSpan w:val="6"/>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专家签名</w:t>
            </w:r>
          </w:p>
          <w:p>
            <w:pPr>
              <w:tabs>
                <w:tab w:val="left" w:pos="-315"/>
              </w:tabs>
              <w:snapToGrid w:val="0"/>
              <w:spacing w:line="160" w:lineRule="atLeast"/>
              <w:jc w:val="center"/>
              <w:rPr>
                <w:rFonts w:ascii="楷体" w:hAnsi="楷体" w:eastAsia="楷体" w:cs="宋体"/>
                <w:sz w:val="24"/>
              </w:rPr>
            </w:pPr>
          </w:p>
        </w:tc>
      </w:tr>
      <w:tr>
        <w:trPr>
          <w:trHeight w:val="486" w:hRule="atLeast"/>
        </w:trPr>
        <w:tc>
          <w:tcPr>
            <w:tcW w:w="540" w:type="dxa"/>
            <w:tcBorders>
              <w:top w:val="single" w:color="auto" w:sz="4" w:space="0"/>
              <w:left w:val="single" w:color="auto"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1</w:t>
            </w:r>
          </w:p>
        </w:tc>
        <w:tc>
          <w:tcPr>
            <w:tcW w:w="588" w:type="dxa"/>
            <w:tcBorders>
              <w:top w:val="single" w:color="auto" w:sz="4" w:space="0"/>
              <w:left w:val="single" w:color="000000"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p>
        </w:tc>
        <w:tc>
          <w:tcPr>
            <w:tcW w:w="1003" w:type="dxa"/>
            <w:tcBorders>
              <w:top w:val="single" w:color="auto" w:sz="4" w:space="0"/>
              <w:left w:val="single" w:color="000000"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p>
        </w:tc>
        <w:tc>
          <w:tcPr>
            <w:tcW w:w="1253"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专家1</w:t>
            </w:r>
          </w:p>
        </w:tc>
        <w:tc>
          <w:tcPr>
            <w:tcW w:w="1505"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w:t>
            </w:r>
            <w:r>
              <w:rPr>
                <w:rFonts w:ascii="楷体" w:hAnsi="楷体" w:eastAsia="楷体" w:cs="宋体"/>
                <w:sz w:val="24"/>
              </w:rPr>
              <w:t>2</w:t>
            </w:r>
          </w:p>
        </w:tc>
        <w:tc>
          <w:tcPr>
            <w:tcW w:w="1129"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w:t>
            </w:r>
            <w:r>
              <w:rPr>
                <w:rFonts w:ascii="楷体" w:hAnsi="楷体" w:eastAsia="楷体" w:cs="宋体"/>
                <w:sz w:val="24"/>
              </w:rPr>
              <w:t>3</w:t>
            </w:r>
          </w:p>
        </w:tc>
        <w:tc>
          <w:tcPr>
            <w:tcW w:w="877"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w:t>
            </w:r>
            <w:r>
              <w:rPr>
                <w:rFonts w:ascii="楷体" w:hAnsi="楷体" w:eastAsia="楷体" w:cs="宋体"/>
                <w:sz w:val="24"/>
              </w:rPr>
              <w:t>4</w:t>
            </w:r>
          </w:p>
        </w:tc>
        <w:tc>
          <w:tcPr>
            <w:tcW w:w="1003"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w:t>
            </w:r>
            <w:r>
              <w:rPr>
                <w:rFonts w:ascii="楷体" w:hAnsi="楷体" w:eastAsia="楷体" w:cs="宋体"/>
                <w:sz w:val="24"/>
              </w:rPr>
              <w:t>5</w:t>
            </w:r>
          </w:p>
        </w:tc>
        <w:tc>
          <w:tcPr>
            <w:tcW w:w="627"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w:t>
            </w:r>
          </w:p>
        </w:tc>
      </w:tr>
      <w:tr>
        <w:trPr>
          <w:trHeight w:val="611" w:hRule="atLeast"/>
        </w:trPr>
        <w:tc>
          <w:tcPr>
            <w:tcW w:w="540" w:type="dxa"/>
            <w:tcBorders>
              <w:top w:val="single" w:color="auto" w:sz="4" w:space="0"/>
              <w:left w:val="single" w:color="auto"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p>
        </w:tc>
        <w:tc>
          <w:tcPr>
            <w:tcW w:w="588" w:type="dxa"/>
            <w:tcBorders>
              <w:top w:val="single" w:color="auto" w:sz="4" w:space="0"/>
              <w:left w:val="single" w:color="000000"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p>
        </w:tc>
        <w:tc>
          <w:tcPr>
            <w:tcW w:w="1003" w:type="dxa"/>
            <w:tcBorders>
              <w:top w:val="single" w:color="auto" w:sz="4" w:space="0"/>
              <w:left w:val="single" w:color="000000"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p>
        </w:tc>
        <w:tc>
          <w:tcPr>
            <w:tcW w:w="1253"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p>
        </w:tc>
        <w:tc>
          <w:tcPr>
            <w:tcW w:w="1505"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p>
        </w:tc>
        <w:tc>
          <w:tcPr>
            <w:tcW w:w="1129"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p>
        </w:tc>
        <w:tc>
          <w:tcPr>
            <w:tcW w:w="877"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p>
        </w:tc>
        <w:tc>
          <w:tcPr>
            <w:tcW w:w="1003"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p>
        </w:tc>
        <w:tc>
          <w:tcPr>
            <w:tcW w:w="627"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p>
        </w:tc>
      </w:tr>
      <w:tr>
        <w:trPr>
          <w:trHeight w:val="502" w:hRule="atLeast"/>
        </w:trPr>
        <w:tc>
          <w:tcPr>
            <w:tcW w:w="540" w:type="dxa"/>
            <w:tcBorders>
              <w:top w:val="single" w:color="auto" w:sz="4" w:space="0"/>
              <w:left w:val="single" w:color="auto"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2</w:t>
            </w:r>
          </w:p>
        </w:tc>
        <w:tc>
          <w:tcPr>
            <w:tcW w:w="588" w:type="dxa"/>
            <w:tcBorders>
              <w:top w:val="single" w:color="auto" w:sz="4" w:space="0"/>
              <w:left w:val="single" w:color="000000"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p>
        </w:tc>
        <w:tc>
          <w:tcPr>
            <w:tcW w:w="1003" w:type="dxa"/>
            <w:tcBorders>
              <w:top w:val="single" w:color="auto" w:sz="4" w:space="0"/>
              <w:left w:val="single" w:color="000000"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p>
        </w:tc>
        <w:tc>
          <w:tcPr>
            <w:tcW w:w="1253"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专家1</w:t>
            </w:r>
          </w:p>
        </w:tc>
        <w:tc>
          <w:tcPr>
            <w:tcW w:w="1505"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w:t>
            </w:r>
            <w:r>
              <w:rPr>
                <w:rFonts w:ascii="楷体" w:hAnsi="楷体" w:eastAsia="楷体" w:cs="宋体"/>
                <w:sz w:val="24"/>
              </w:rPr>
              <w:t>2</w:t>
            </w:r>
          </w:p>
        </w:tc>
        <w:tc>
          <w:tcPr>
            <w:tcW w:w="1129"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w:t>
            </w:r>
            <w:r>
              <w:rPr>
                <w:rFonts w:ascii="楷体" w:hAnsi="楷体" w:eastAsia="楷体" w:cs="宋体"/>
                <w:sz w:val="24"/>
              </w:rPr>
              <w:t>3</w:t>
            </w:r>
          </w:p>
        </w:tc>
        <w:tc>
          <w:tcPr>
            <w:tcW w:w="877"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w:t>
            </w:r>
            <w:r>
              <w:rPr>
                <w:rFonts w:ascii="楷体" w:hAnsi="楷体" w:eastAsia="楷体" w:cs="宋体"/>
                <w:sz w:val="24"/>
              </w:rPr>
              <w:t>4</w:t>
            </w:r>
          </w:p>
        </w:tc>
        <w:tc>
          <w:tcPr>
            <w:tcW w:w="1003"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w:t>
            </w:r>
            <w:r>
              <w:rPr>
                <w:rFonts w:ascii="楷体" w:hAnsi="楷体" w:eastAsia="楷体" w:cs="宋体"/>
                <w:sz w:val="24"/>
              </w:rPr>
              <w:t>5</w:t>
            </w:r>
          </w:p>
        </w:tc>
        <w:tc>
          <w:tcPr>
            <w:tcW w:w="627"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w:t>
            </w:r>
          </w:p>
        </w:tc>
      </w:tr>
      <w:tr>
        <w:trPr>
          <w:trHeight w:val="502" w:hRule="atLeast"/>
        </w:trPr>
        <w:tc>
          <w:tcPr>
            <w:tcW w:w="540" w:type="dxa"/>
            <w:tcBorders>
              <w:top w:val="single" w:color="auto" w:sz="4" w:space="0"/>
              <w:left w:val="single" w:color="auto"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p>
        </w:tc>
        <w:tc>
          <w:tcPr>
            <w:tcW w:w="588" w:type="dxa"/>
            <w:tcBorders>
              <w:top w:val="single" w:color="auto" w:sz="4" w:space="0"/>
              <w:left w:val="single" w:color="000000"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p>
        </w:tc>
        <w:tc>
          <w:tcPr>
            <w:tcW w:w="1003" w:type="dxa"/>
            <w:tcBorders>
              <w:top w:val="single" w:color="auto" w:sz="4" w:space="0"/>
              <w:left w:val="single" w:color="000000"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p>
        </w:tc>
        <w:tc>
          <w:tcPr>
            <w:tcW w:w="1253"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p>
        </w:tc>
        <w:tc>
          <w:tcPr>
            <w:tcW w:w="1505"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p>
        </w:tc>
        <w:tc>
          <w:tcPr>
            <w:tcW w:w="1129"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p>
        </w:tc>
        <w:tc>
          <w:tcPr>
            <w:tcW w:w="877"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p>
        </w:tc>
        <w:tc>
          <w:tcPr>
            <w:tcW w:w="1003"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p>
        </w:tc>
        <w:tc>
          <w:tcPr>
            <w:tcW w:w="627"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p>
        </w:tc>
      </w:tr>
      <w:tr>
        <w:trPr>
          <w:trHeight w:val="963" w:hRule="atLeast"/>
        </w:trPr>
        <w:tc>
          <w:tcPr>
            <w:tcW w:w="540" w:type="dxa"/>
            <w:tcBorders>
              <w:top w:val="single" w:color="auto" w:sz="4" w:space="0"/>
              <w:left w:val="single" w:color="auto"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3</w:t>
            </w:r>
          </w:p>
        </w:tc>
        <w:tc>
          <w:tcPr>
            <w:tcW w:w="588" w:type="dxa"/>
            <w:tcBorders>
              <w:top w:val="single" w:color="auto" w:sz="4" w:space="0"/>
              <w:left w:val="single" w:color="000000"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p>
        </w:tc>
        <w:tc>
          <w:tcPr>
            <w:tcW w:w="1003" w:type="dxa"/>
            <w:tcBorders>
              <w:top w:val="single" w:color="auto" w:sz="4" w:space="0"/>
              <w:left w:val="single" w:color="000000"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p>
        </w:tc>
        <w:tc>
          <w:tcPr>
            <w:tcW w:w="1253"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专家1</w:t>
            </w:r>
          </w:p>
        </w:tc>
        <w:tc>
          <w:tcPr>
            <w:tcW w:w="1505"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w:t>
            </w:r>
            <w:r>
              <w:rPr>
                <w:rFonts w:ascii="楷体" w:hAnsi="楷体" w:eastAsia="楷体" w:cs="宋体"/>
                <w:sz w:val="24"/>
              </w:rPr>
              <w:t>2</w:t>
            </w:r>
          </w:p>
        </w:tc>
        <w:tc>
          <w:tcPr>
            <w:tcW w:w="1129"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w:t>
            </w:r>
            <w:r>
              <w:rPr>
                <w:rFonts w:ascii="楷体" w:hAnsi="楷体" w:eastAsia="楷体" w:cs="宋体"/>
                <w:sz w:val="24"/>
              </w:rPr>
              <w:t>3</w:t>
            </w:r>
          </w:p>
        </w:tc>
        <w:tc>
          <w:tcPr>
            <w:tcW w:w="877"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w:t>
            </w:r>
            <w:r>
              <w:rPr>
                <w:rFonts w:ascii="楷体" w:hAnsi="楷体" w:eastAsia="楷体" w:cs="宋体"/>
                <w:sz w:val="24"/>
              </w:rPr>
              <w:t>4</w:t>
            </w:r>
          </w:p>
        </w:tc>
        <w:tc>
          <w:tcPr>
            <w:tcW w:w="1003"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专家</w:t>
            </w:r>
            <w:r>
              <w:rPr>
                <w:rFonts w:ascii="楷体" w:hAnsi="楷体" w:eastAsia="楷体" w:cs="宋体"/>
                <w:sz w:val="24"/>
              </w:rPr>
              <w:t>5</w:t>
            </w:r>
          </w:p>
        </w:tc>
        <w:tc>
          <w:tcPr>
            <w:tcW w:w="627"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r>
              <w:rPr>
                <w:rFonts w:hint="eastAsia" w:ascii="楷体" w:hAnsi="楷体" w:eastAsia="楷体" w:cs="宋体"/>
                <w:sz w:val="24"/>
              </w:rPr>
              <w:t>…</w:t>
            </w:r>
          </w:p>
        </w:tc>
      </w:tr>
      <w:tr>
        <w:trPr>
          <w:trHeight w:val="963" w:hRule="atLeast"/>
        </w:trPr>
        <w:tc>
          <w:tcPr>
            <w:tcW w:w="540" w:type="dxa"/>
            <w:tcBorders>
              <w:top w:val="single" w:color="auto" w:sz="4" w:space="0"/>
              <w:left w:val="single" w:color="auto"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p>
        </w:tc>
        <w:tc>
          <w:tcPr>
            <w:tcW w:w="588" w:type="dxa"/>
            <w:tcBorders>
              <w:top w:val="single" w:color="auto" w:sz="4" w:space="0"/>
              <w:left w:val="single" w:color="000000"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p>
        </w:tc>
        <w:tc>
          <w:tcPr>
            <w:tcW w:w="1003" w:type="dxa"/>
            <w:tcBorders>
              <w:top w:val="single" w:color="auto" w:sz="4" w:space="0"/>
              <w:left w:val="single" w:color="000000" w:sz="4" w:space="0"/>
              <w:bottom w:val="single" w:color="auto" w:sz="4" w:space="0"/>
              <w:right w:val="single" w:color="000000" w:sz="4" w:space="0"/>
            </w:tcBorders>
            <w:vAlign w:val="center"/>
          </w:tcPr>
          <w:p>
            <w:pPr>
              <w:tabs>
                <w:tab w:val="left" w:pos="-315"/>
              </w:tabs>
              <w:snapToGrid w:val="0"/>
              <w:spacing w:line="160" w:lineRule="atLeast"/>
              <w:jc w:val="center"/>
              <w:rPr>
                <w:rFonts w:ascii="楷体" w:hAnsi="楷体" w:eastAsia="楷体" w:cs="宋体"/>
                <w:sz w:val="24"/>
              </w:rPr>
            </w:pPr>
          </w:p>
        </w:tc>
        <w:tc>
          <w:tcPr>
            <w:tcW w:w="1253"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p>
        </w:tc>
        <w:tc>
          <w:tcPr>
            <w:tcW w:w="1505"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p>
        </w:tc>
        <w:tc>
          <w:tcPr>
            <w:tcW w:w="1129"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p>
        </w:tc>
        <w:tc>
          <w:tcPr>
            <w:tcW w:w="877"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p>
        </w:tc>
        <w:tc>
          <w:tcPr>
            <w:tcW w:w="1003"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p>
        </w:tc>
        <w:tc>
          <w:tcPr>
            <w:tcW w:w="627" w:type="dxa"/>
            <w:tcBorders>
              <w:top w:val="single" w:color="auto" w:sz="4" w:space="0"/>
              <w:left w:val="single" w:color="000000" w:sz="4" w:space="0"/>
              <w:bottom w:val="single" w:color="auto" w:sz="4" w:space="0"/>
              <w:right w:val="single" w:color="auto" w:sz="4" w:space="0"/>
            </w:tcBorders>
            <w:vAlign w:val="center"/>
          </w:tcPr>
          <w:p>
            <w:pPr>
              <w:tabs>
                <w:tab w:val="left" w:pos="-315"/>
              </w:tabs>
              <w:snapToGrid w:val="0"/>
              <w:spacing w:line="160" w:lineRule="atLeast"/>
              <w:jc w:val="center"/>
              <w:rPr>
                <w:rFonts w:ascii="楷体" w:hAnsi="楷体" w:eastAsia="楷体" w:cs="宋体"/>
                <w:sz w:val="24"/>
              </w:rPr>
            </w:pPr>
          </w:p>
        </w:tc>
      </w:tr>
    </w:tbl>
    <w:p>
      <w:pPr>
        <w:ind w:firstLine="525" w:firstLineChars="250"/>
        <w:jc w:val="left"/>
        <w:rPr>
          <w:rFonts w:ascii="宋体" w:hAnsi="宋体"/>
          <w:color w:val="000000"/>
          <w:szCs w:val="44"/>
        </w:rPr>
      </w:pPr>
    </w:p>
    <w:p>
      <w:pPr>
        <w:spacing w:after="312" w:afterLines="100"/>
        <w:ind w:right="420"/>
        <w:jc w:val="right"/>
        <w:rPr>
          <w:color w:val="000000"/>
          <w:szCs w:val="44"/>
        </w:rPr>
      </w:pPr>
      <w:r>
        <w:rPr>
          <w:rFonts w:hint="eastAsia"/>
          <w:color w:val="000000"/>
          <w:szCs w:val="44"/>
        </w:rPr>
        <w:t>全体评委签字：</w:t>
      </w:r>
      <w:r>
        <w:rPr>
          <w:color w:val="000000"/>
          <w:szCs w:val="44"/>
        </w:rPr>
        <w:tab/>
      </w:r>
    </w:p>
    <w:p>
      <w:pPr>
        <w:spacing w:after="312" w:afterLines="100"/>
        <w:ind w:right="840"/>
        <w:jc w:val="right"/>
        <w:rPr>
          <w:color w:val="000000"/>
          <w:szCs w:val="44"/>
        </w:rPr>
      </w:pPr>
      <w:r>
        <w:rPr>
          <w:rFonts w:hint="eastAsia"/>
          <w:color w:val="000000"/>
          <w:szCs w:val="44"/>
        </w:rPr>
        <w:t>年  月   日</w:t>
      </w:r>
    </w:p>
    <w:p>
      <w:pPr>
        <w:jc w:val="left"/>
        <w:rPr>
          <w:rFonts w:ascii="黑体" w:hAnsi="宋体" w:eastAsia="黑体"/>
          <w:color w:val="000000"/>
          <w:sz w:val="24"/>
        </w:rPr>
      </w:pPr>
      <w:r>
        <w:rPr>
          <w:rFonts w:ascii="黑体" w:hAnsi="宋体" w:eastAsia="黑体"/>
          <w:color w:val="000000"/>
          <w:sz w:val="24"/>
        </w:rPr>
        <w:br w:type="page"/>
      </w:r>
    </w:p>
    <w:p>
      <w:pPr>
        <w:jc w:val="center"/>
        <w:outlineLvl w:val="1"/>
        <w:rPr>
          <w:rFonts w:ascii="黑体" w:eastAsia="黑体"/>
          <w:color w:val="000000"/>
          <w:sz w:val="32"/>
          <w:szCs w:val="32"/>
        </w:rPr>
      </w:pPr>
      <w:bookmarkStart w:id="312" w:name="_Toc295812215"/>
      <w:bookmarkStart w:id="313" w:name="_Toc114222786"/>
      <w:r>
        <w:rPr>
          <w:rFonts w:hint="eastAsia" w:ascii="黑体" w:eastAsia="黑体"/>
          <w:color w:val="000000"/>
          <w:sz w:val="32"/>
          <w:szCs w:val="32"/>
        </w:rPr>
        <w:t>第四章  合同条款及格式</w:t>
      </w:r>
      <w:bookmarkEnd w:id="312"/>
      <w:bookmarkEnd w:id="313"/>
    </w:p>
    <w:p>
      <w:pPr>
        <w:pStyle w:val="4"/>
        <w:jc w:val="center"/>
        <w:rPr>
          <w:rFonts w:ascii="宋体" w:hAnsi="宋体"/>
          <w:b w:val="0"/>
          <w:color w:val="000000"/>
          <w:sz w:val="30"/>
          <w:szCs w:val="30"/>
        </w:rPr>
      </w:pPr>
      <w:r>
        <w:rPr>
          <w:rFonts w:hint="eastAsia" w:ascii="黑体"/>
          <w:color w:val="000000"/>
          <w:sz w:val="30"/>
          <w:szCs w:val="30"/>
        </w:rPr>
        <w:br w:type="page"/>
      </w:r>
      <w:bookmarkStart w:id="314" w:name="_Toc362623151"/>
      <w:bookmarkStart w:id="315" w:name="_Toc114222787"/>
      <w:r>
        <w:rPr>
          <w:rFonts w:hint="eastAsia" w:ascii="宋体" w:hAnsi="宋体"/>
          <w:color w:val="000000"/>
          <w:sz w:val="30"/>
          <w:szCs w:val="30"/>
        </w:rPr>
        <w:t>第一节  合同协议书</w:t>
      </w:r>
      <w:bookmarkEnd w:id="314"/>
      <w:bookmarkEnd w:id="315"/>
    </w:p>
    <w:p>
      <w:pPr>
        <w:spacing w:line="360" w:lineRule="auto"/>
        <w:rPr>
          <w:rFonts w:ascii="宋体" w:hAnsi="宋体"/>
          <w:b/>
          <w:color w:val="000000"/>
          <w:szCs w:val="21"/>
          <w:u w:val="single"/>
        </w:rPr>
      </w:pPr>
      <w:r>
        <w:rPr>
          <w:rFonts w:hint="eastAsia" w:ascii="宋体" w:hAnsi="宋体"/>
          <w:b/>
          <w:color w:val="000000"/>
          <w:szCs w:val="21"/>
        </w:rPr>
        <w:t>发包人（全称）：</w:t>
      </w:r>
      <w:permStart w:id="213" w:edGrp="everyone"/>
      <w:r>
        <w:rPr>
          <w:rFonts w:hint="eastAsia" w:ascii="宋体" w:hAnsi="宋体" w:cs="仿宋_GB2312"/>
          <w:b/>
          <w:color w:val="000000"/>
          <w:szCs w:val="21"/>
          <w:u w:val="single"/>
        </w:rPr>
        <w:t></w:t>
      </w:r>
      <w:r>
        <w:rPr>
          <w:rFonts w:ascii="宋体" w:hAnsi="宋体"/>
          <w:b/>
          <w:color w:val="000000"/>
          <w:szCs w:val="21"/>
          <w:u w:val="single"/>
        </w:rPr>
        <w:t xml:space="preserve">                     </w:t>
      </w:r>
      <w:r>
        <w:rPr>
          <w:rFonts w:hint="eastAsia" w:ascii="宋体" w:hAnsi="宋体" w:cs="仿宋_GB2312"/>
          <w:b/>
          <w:color w:val="000000"/>
          <w:szCs w:val="21"/>
          <w:u w:val="single"/>
        </w:rPr>
        <w:t></w:t>
      </w:r>
      <w:permEnd w:id="213"/>
    </w:p>
    <w:p>
      <w:pPr>
        <w:spacing w:line="360" w:lineRule="auto"/>
        <w:rPr>
          <w:rFonts w:ascii="宋体" w:hAnsi="宋体"/>
          <w:b/>
          <w:color w:val="000000"/>
          <w:szCs w:val="21"/>
          <w:u w:val="single"/>
        </w:rPr>
      </w:pPr>
      <w:r>
        <w:rPr>
          <w:rFonts w:hint="eastAsia" w:ascii="宋体" w:hAnsi="宋体"/>
          <w:b/>
          <w:color w:val="000000"/>
          <w:szCs w:val="21"/>
        </w:rPr>
        <w:t>承包人（全称）：</w:t>
      </w:r>
      <w:permStart w:id="214" w:edGrp="everyone"/>
      <w:r>
        <w:rPr>
          <w:rFonts w:hint="eastAsia" w:ascii="宋体" w:hAnsi="宋体" w:cs="仿宋_GB2312"/>
          <w:b/>
          <w:color w:val="000000"/>
          <w:szCs w:val="21"/>
          <w:u w:val="single"/>
        </w:rPr>
        <w:t></w:t>
      </w:r>
      <w:r>
        <w:rPr>
          <w:rFonts w:ascii="宋体" w:hAnsi="宋体"/>
          <w:b/>
          <w:color w:val="000000"/>
          <w:szCs w:val="21"/>
          <w:u w:val="single"/>
        </w:rPr>
        <w:t xml:space="preserve">                    </w:t>
      </w:r>
      <w:r>
        <w:rPr>
          <w:rFonts w:hint="eastAsia" w:ascii="宋体" w:hAnsi="宋体" w:cs="仿宋_GB2312"/>
          <w:b/>
          <w:color w:val="000000"/>
          <w:szCs w:val="21"/>
          <w:u w:val="single"/>
        </w:rPr>
        <w:t></w:t>
      </w:r>
    </w:p>
    <w:permEnd w:id="214"/>
    <w:p>
      <w:pPr>
        <w:ind w:firstLine="420" w:firstLineChars="200"/>
        <w:rPr>
          <w:rFonts w:ascii="宋体" w:hAnsi="宋体"/>
          <w:color w:val="000000"/>
          <w:szCs w:val="21"/>
        </w:rPr>
      </w:pPr>
      <w:r>
        <w:rPr>
          <w:rFonts w:hint="eastAsia" w:ascii="宋体" w:hAnsi="宋体"/>
          <w:color w:val="000000"/>
          <w:szCs w:val="21"/>
        </w:rPr>
        <w:t>根据《中华人民共和国合同法</w:t>
      </w:r>
      <w:r>
        <w:rPr>
          <w:rFonts w:hint="eastAsia" w:ascii="宋体" w:hAnsi="宋体"/>
          <w:color w:val="000000"/>
          <w:szCs w:val="21"/>
          <w:lang w:eastAsia="zh-CN"/>
        </w:rPr>
        <w:t>》《</w:t>
      </w:r>
      <w:r>
        <w:rPr>
          <w:rFonts w:hint="eastAsia" w:ascii="宋体" w:hAnsi="宋体"/>
          <w:color w:val="000000"/>
          <w:szCs w:val="21"/>
        </w:rPr>
        <w:t>中华人民共和国建筑法》及有关法律规定，遵循平等、自愿、公平和诚实信用的原则，双方就</w:t>
      </w:r>
      <w:permStart w:id="215" w:edGrp="everyone"/>
      <w:permEnd w:id="215"/>
      <w:r>
        <w:rPr>
          <w:rFonts w:hint="eastAsia" w:ascii="宋体" w:hAnsi="宋体"/>
          <w:color w:val="000000"/>
          <w:szCs w:val="21"/>
        </w:rPr>
        <w:t>工程施工及有关事项协商一致，共同达成如下协议：</w:t>
      </w:r>
    </w:p>
    <w:p>
      <w:pPr>
        <w:pStyle w:val="5"/>
        <w:spacing w:before="120" w:after="120" w:line="240" w:lineRule="auto"/>
        <w:rPr>
          <w:rFonts w:ascii="黑体" w:hAnsi="黑体"/>
          <w:bCs w:val="0"/>
          <w:color w:val="000000"/>
          <w:sz w:val="21"/>
          <w:szCs w:val="21"/>
        </w:rPr>
      </w:pPr>
      <w:bookmarkStart w:id="316" w:name="_Toc362623152"/>
      <w:bookmarkStart w:id="317" w:name="_Toc114222788"/>
      <w:r>
        <w:rPr>
          <w:rFonts w:hint="eastAsia" w:ascii="黑体" w:hAnsi="黑体"/>
          <w:b w:val="0"/>
          <w:color w:val="000000"/>
          <w:sz w:val="21"/>
          <w:szCs w:val="21"/>
        </w:rPr>
        <w:t>一、工程概况</w:t>
      </w:r>
      <w:bookmarkEnd w:id="316"/>
      <w:bookmarkEnd w:id="317"/>
    </w:p>
    <w:p>
      <w:pPr>
        <w:ind w:firstLine="411" w:firstLineChars="196"/>
        <w:rPr>
          <w:rFonts w:ascii="宋体" w:hAnsi="宋体"/>
          <w:color w:val="000000"/>
          <w:szCs w:val="21"/>
          <w:u w:val="single"/>
        </w:rPr>
      </w:pPr>
      <w:r>
        <w:rPr>
          <w:rFonts w:ascii="宋体" w:hAnsi="宋体"/>
          <w:bCs/>
          <w:color w:val="000000"/>
          <w:szCs w:val="21"/>
        </w:rPr>
        <w:t>1.</w:t>
      </w:r>
      <w:r>
        <w:rPr>
          <w:rFonts w:hint="eastAsia" w:ascii="宋体" w:hAnsi="宋体"/>
          <w:bCs/>
          <w:color w:val="000000"/>
          <w:szCs w:val="21"/>
        </w:rPr>
        <w:t>工程名称</w:t>
      </w:r>
      <w:r>
        <w:rPr>
          <w:rFonts w:hint="eastAsia" w:ascii="宋体" w:hAnsi="宋体"/>
          <w:color w:val="000000"/>
          <w:szCs w:val="21"/>
        </w:rPr>
        <w:t>：</w:t>
      </w:r>
      <w:permStart w:id="216" w:edGrp="everyone"/>
      <w:r>
        <w:rPr>
          <w:rFonts w:hint="eastAsia" w:ascii="宋体" w:hAnsi="宋体" w:cs="仿宋_GB2312"/>
          <w:color w:val="000000"/>
          <w:szCs w:val="21"/>
          <w:u w:val="single"/>
        </w:rPr>
        <w:t></w:t>
      </w:r>
      <w:r>
        <w:rPr>
          <w:rFonts w:hint="eastAsia" w:ascii="宋体" w:hAnsi="宋体"/>
          <w:color w:val="000000"/>
          <w:szCs w:val="21"/>
        </w:rPr>
        <w:t>。</w:t>
      </w:r>
    </w:p>
    <w:permEnd w:id="216"/>
    <w:p>
      <w:pPr>
        <w:ind w:firstLine="411" w:firstLineChars="196"/>
        <w:rPr>
          <w:rFonts w:ascii="宋体" w:hAnsi="宋体"/>
          <w:bCs/>
          <w:color w:val="000000"/>
          <w:szCs w:val="21"/>
        </w:rPr>
      </w:pPr>
      <w:r>
        <w:rPr>
          <w:rFonts w:ascii="宋体" w:hAnsi="宋体"/>
          <w:bCs/>
          <w:color w:val="000000"/>
          <w:szCs w:val="21"/>
        </w:rPr>
        <w:t>2.</w:t>
      </w:r>
      <w:r>
        <w:rPr>
          <w:rFonts w:hint="eastAsia" w:ascii="宋体" w:hAnsi="宋体"/>
          <w:bCs/>
          <w:color w:val="000000"/>
          <w:szCs w:val="21"/>
        </w:rPr>
        <w:t>工程地点：</w:t>
      </w:r>
      <w:permStart w:id="217" w:edGrp="everyone"/>
      <w:r>
        <w:rPr>
          <w:rFonts w:hint="eastAsia" w:ascii="宋体" w:hAnsi="宋体" w:cs="仿宋_GB2312"/>
          <w:color w:val="000000"/>
          <w:szCs w:val="21"/>
          <w:u w:val="single"/>
        </w:rPr>
        <w:t></w:t>
      </w:r>
      <w:r>
        <w:rPr>
          <w:rFonts w:hint="eastAsia" w:ascii="宋体" w:hAnsi="宋体"/>
          <w:color w:val="000000"/>
          <w:szCs w:val="21"/>
        </w:rPr>
        <w:t>。</w:t>
      </w:r>
      <w:permEnd w:id="217"/>
    </w:p>
    <w:p>
      <w:pPr>
        <w:ind w:firstLine="411" w:firstLineChars="196"/>
        <w:rPr>
          <w:rFonts w:ascii="宋体" w:hAnsi="宋体"/>
          <w:bCs/>
          <w:color w:val="000000"/>
          <w:szCs w:val="21"/>
        </w:rPr>
      </w:pPr>
      <w:r>
        <w:rPr>
          <w:rFonts w:ascii="宋体" w:hAnsi="宋体"/>
          <w:bCs/>
          <w:color w:val="000000"/>
          <w:szCs w:val="21"/>
        </w:rPr>
        <w:t>3.</w:t>
      </w:r>
      <w:r>
        <w:rPr>
          <w:rFonts w:hint="eastAsia" w:ascii="宋体" w:hAnsi="宋体"/>
          <w:bCs/>
          <w:color w:val="000000"/>
          <w:szCs w:val="21"/>
        </w:rPr>
        <w:t>工程立项批准文号：</w:t>
      </w:r>
      <w:permStart w:id="218" w:edGrp="everyone"/>
      <w:r>
        <w:rPr>
          <w:rFonts w:hint="eastAsia" w:ascii="宋体" w:hAnsi="宋体" w:cs="仿宋_GB2312"/>
          <w:color w:val="000000"/>
          <w:szCs w:val="21"/>
          <w:u w:val="single"/>
        </w:rPr>
        <w:t></w:t>
      </w:r>
      <w:r>
        <w:rPr>
          <w:rFonts w:hint="eastAsia" w:ascii="宋体" w:hAnsi="宋体"/>
          <w:bCs/>
          <w:color w:val="000000"/>
          <w:szCs w:val="21"/>
        </w:rPr>
        <w:t>。</w:t>
      </w:r>
      <w:permEnd w:id="218"/>
    </w:p>
    <w:p>
      <w:pPr>
        <w:ind w:firstLine="411" w:firstLineChars="196"/>
        <w:rPr>
          <w:rFonts w:ascii="宋体" w:hAnsi="宋体"/>
          <w:bCs/>
          <w:color w:val="000000"/>
          <w:szCs w:val="21"/>
        </w:rPr>
      </w:pPr>
      <w:r>
        <w:rPr>
          <w:rFonts w:ascii="宋体" w:hAnsi="宋体"/>
          <w:bCs/>
          <w:color w:val="000000"/>
          <w:szCs w:val="21"/>
        </w:rPr>
        <w:t>4.</w:t>
      </w:r>
      <w:r>
        <w:rPr>
          <w:rFonts w:hint="eastAsia" w:ascii="宋体" w:hAnsi="宋体"/>
          <w:bCs/>
          <w:color w:val="000000"/>
          <w:szCs w:val="21"/>
        </w:rPr>
        <w:t>资金来源：</w:t>
      </w:r>
      <w:permStart w:id="219" w:edGrp="everyone"/>
      <w:r>
        <w:rPr>
          <w:rFonts w:hint="eastAsia" w:ascii="宋体" w:hAnsi="宋体" w:cs="仿宋_GB2312"/>
          <w:color w:val="000000"/>
          <w:szCs w:val="21"/>
          <w:u w:val="single"/>
        </w:rPr>
        <w:t></w:t>
      </w:r>
      <w:r>
        <w:rPr>
          <w:rFonts w:hint="eastAsia" w:ascii="宋体" w:hAnsi="宋体"/>
          <w:bCs/>
          <w:color w:val="000000"/>
          <w:szCs w:val="21"/>
        </w:rPr>
        <w:t>。</w:t>
      </w:r>
      <w:permEnd w:id="219"/>
    </w:p>
    <w:p>
      <w:pPr>
        <w:ind w:firstLine="411" w:firstLineChars="196"/>
        <w:rPr>
          <w:rFonts w:ascii="宋体" w:hAnsi="宋体"/>
          <w:bCs/>
          <w:color w:val="000000"/>
          <w:szCs w:val="21"/>
        </w:rPr>
      </w:pPr>
      <w:r>
        <w:rPr>
          <w:rFonts w:ascii="宋体" w:hAnsi="宋体"/>
          <w:bCs/>
          <w:color w:val="000000"/>
          <w:szCs w:val="21"/>
        </w:rPr>
        <w:t>5.</w:t>
      </w:r>
      <w:r>
        <w:rPr>
          <w:rFonts w:hint="eastAsia" w:ascii="宋体" w:hAnsi="宋体"/>
          <w:bCs/>
          <w:color w:val="000000"/>
          <w:szCs w:val="21"/>
        </w:rPr>
        <w:t>工程内容：</w:t>
      </w:r>
      <w:permStart w:id="220" w:edGrp="everyone"/>
      <w:r>
        <w:rPr>
          <w:rFonts w:hint="eastAsia" w:ascii="宋体" w:hAnsi="宋体" w:cs="仿宋_GB2312"/>
          <w:color w:val="000000"/>
          <w:szCs w:val="21"/>
          <w:u w:val="single"/>
        </w:rPr>
        <w:t></w:t>
      </w:r>
      <w:r>
        <w:rPr>
          <w:rFonts w:hint="eastAsia" w:ascii="宋体" w:hAnsi="宋体"/>
          <w:bCs/>
          <w:color w:val="000000"/>
          <w:szCs w:val="21"/>
        </w:rPr>
        <w:t>。</w:t>
      </w:r>
      <w:permEnd w:id="220"/>
    </w:p>
    <w:p>
      <w:pPr>
        <w:ind w:firstLine="411" w:firstLineChars="196"/>
        <w:rPr>
          <w:rFonts w:ascii="宋体" w:hAnsi="宋体"/>
          <w:bCs/>
          <w:color w:val="000000"/>
          <w:szCs w:val="21"/>
        </w:rPr>
      </w:pPr>
      <w:r>
        <w:rPr>
          <w:rFonts w:hint="eastAsia" w:ascii="宋体" w:hAnsi="宋体"/>
          <w:color w:val="000000"/>
          <w:szCs w:val="21"/>
        </w:rPr>
        <w:t>群体工程应附《承包人承揽工程项目一览表》（附件</w:t>
      </w:r>
      <w:r>
        <w:rPr>
          <w:rFonts w:ascii="宋体" w:hAnsi="宋体"/>
          <w:color w:val="000000"/>
          <w:szCs w:val="21"/>
        </w:rPr>
        <w:t>1</w:t>
      </w:r>
      <w:r>
        <w:rPr>
          <w:rFonts w:hint="eastAsia" w:ascii="宋体" w:hAnsi="宋体"/>
          <w:color w:val="000000"/>
          <w:szCs w:val="21"/>
        </w:rPr>
        <w:t>）。</w:t>
      </w:r>
    </w:p>
    <w:p>
      <w:pPr>
        <w:ind w:firstLine="411" w:firstLineChars="196"/>
        <w:rPr>
          <w:rFonts w:ascii="宋体" w:hAnsi="宋体"/>
          <w:bCs/>
          <w:color w:val="000000"/>
          <w:szCs w:val="21"/>
        </w:rPr>
      </w:pPr>
      <w:r>
        <w:rPr>
          <w:rFonts w:ascii="宋体" w:hAnsi="宋体"/>
          <w:bCs/>
          <w:color w:val="000000"/>
          <w:szCs w:val="21"/>
        </w:rPr>
        <w:t>6.</w:t>
      </w:r>
      <w:r>
        <w:rPr>
          <w:rFonts w:hint="eastAsia" w:ascii="宋体" w:hAnsi="宋体"/>
          <w:bCs/>
          <w:color w:val="000000"/>
          <w:szCs w:val="21"/>
        </w:rPr>
        <w:t>工程承包范围：</w:t>
      </w:r>
    </w:p>
    <w:p>
      <w:pPr>
        <w:ind w:firstLine="405" w:firstLineChars="193"/>
        <w:rPr>
          <w:rFonts w:ascii="宋体" w:hAnsi="宋体"/>
          <w:color w:val="000000"/>
          <w:szCs w:val="21"/>
        </w:rPr>
      </w:pPr>
      <w:permStart w:id="221" w:edGrp="everyone"/>
      <w:r>
        <w:rPr>
          <w:rFonts w:hint="eastAsia" w:ascii="宋体" w:hAnsi="宋体" w:cs="仿宋_GB2312"/>
          <w:color w:val="000000"/>
          <w:szCs w:val="21"/>
          <w:u w:val="single"/>
        </w:rPr>
        <w:t></w:t>
      </w:r>
    </w:p>
    <w:p>
      <w:pPr>
        <w:ind w:firstLine="420" w:firstLineChars="200"/>
        <w:rPr>
          <w:rFonts w:ascii="宋体" w:hAnsi="宋体"/>
          <w:color w:val="000000"/>
          <w:szCs w:val="21"/>
        </w:rPr>
      </w:pPr>
      <w:r>
        <w:rPr>
          <w:rFonts w:hint="eastAsia" w:ascii="宋体" w:hAnsi="宋体" w:cs="仿宋_GB2312"/>
          <w:color w:val="000000"/>
          <w:szCs w:val="21"/>
          <w:u w:val="single"/>
        </w:rPr>
        <w:t></w:t>
      </w:r>
      <w:r>
        <w:rPr>
          <w:rFonts w:hint="eastAsia" w:ascii="宋体" w:hAnsi="宋体"/>
          <w:color w:val="000000"/>
          <w:szCs w:val="21"/>
        </w:rPr>
        <w:t>。</w:t>
      </w:r>
    </w:p>
    <w:permEnd w:id="221"/>
    <w:p>
      <w:pPr>
        <w:pStyle w:val="5"/>
        <w:spacing w:before="120" w:after="120" w:line="360" w:lineRule="auto"/>
        <w:rPr>
          <w:rFonts w:ascii="黑体" w:hAnsi="黑体"/>
          <w:b w:val="0"/>
          <w:color w:val="000000"/>
          <w:sz w:val="21"/>
          <w:szCs w:val="21"/>
        </w:rPr>
      </w:pPr>
      <w:bookmarkStart w:id="318" w:name="_Toc362623153"/>
      <w:bookmarkStart w:id="319" w:name="_Toc114222789"/>
      <w:r>
        <w:rPr>
          <w:rFonts w:hint="eastAsia" w:ascii="黑体" w:hAnsi="黑体"/>
          <w:b w:val="0"/>
          <w:color w:val="000000"/>
          <w:sz w:val="21"/>
          <w:szCs w:val="21"/>
        </w:rPr>
        <w:t>二、合同工期</w:t>
      </w:r>
      <w:bookmarkEnd w:id="318"/>
      <w:bookmarkEnd w:id="319"/>
    </w:p>
    <w:p>
      <w:pPr>
        <w:ind w:firstLine="459"/>
        <w:rPr>
          <w:rFonts w:ascii="宋体" w:hAnsi="宋体"/>
          <w:color w:val="000000"/>
          <w:szCs w:val="21"/>
        </w:rPr>
      </w:pPr>
      <w:r>
        <w:rPr>
          <w:rFonts w:hint="eastAsia" w:ascii="宋体" w:hAnsi="宋体"/>
          <w:color w:val="000000"/>
          <w:szCs w:val="21"/>
        </w:rPr>
        <w:t>计划开工日期：</w:t>
      </w:r>
      <w:permStart w:id="222" w:edGrp="everyone"/>
      <w:r>
        <w:rPr>
          <w:rFonts w:hint="eastAsia" w:ascii="宋体" w:hAnsi="宋体" w:cs="仿宋_GB2312"/>
          <w:color w:val="000000"/>
          <w:szCs w:val="21"/>
          <w:u w:val="single"/>
        </w:rPr>
        <w:t></w:t>
      </w:r>
      <w:permEnd w:id="222"/>
      <w:r>
        <w:rPr>
          <w:rFonts w:hint="eastAsia" w:ascii="宋体" w:hAnsi="宋体"/>
          <w:color w:val="000000"/>
          <w:szCs w:val="21"/>
        </w:rPr>
        <w:t>年</w:t>
      </w:r>
      <w:permStart w:id="223" w:edGrp="everyone"/>
      <w:r>
        <w:rPr>
          <w:rFonts w:hint="eastAsia" w:ascii="宋体" w:hAnsi="宋体" w:cs="仿宋_GB2312"/>
          <w:color w:val="000000"/>
          <w:szCs w:val="21"/>
          <w:u w:val="single"/>
        </w:rPr>
        <w:t></w:t>
      </w:r>
      <w:permEnd w:id="223"/>
      <w:r>
        <w:rPr>
          <w:rFonts w:hint="eastAsia" w:ascii="宋体" w:hAnsi="宋体"/>
          <w:color w:val="000000"/>
          <w:szCs w:val="21"/>
        </w:rPr>
        <w:t>月</w:t>
      </w:r>
      <w:permStart w:id="224" w:edGrp="everyone"/>
      <w:r>
        <w:rPr>
          <w:rFonts w:hint="eastAsia" w:ascii="宋体" w:hAnsi="宋体" w:cs="仿宋_GB2312"/>
          <w:color w:val="000000"/>
          <w:szCs w:val="21"/>
          <w:u w:val="single"/>
        </w:rPr>
        <w:t></w:t>
      </w:r>
      <w:permEnd w:id="224"/>
      <w:r>
        <w:rPr>
          <w:rFonts w:hint="eastAsia" w:ascii="宋体" w:hAnsi="宋体"/>
          <w:color w:val="000000"/>
          <w:szCs w:val="21"/>
        </w:rPr>
        <w:t>日。</w:t>
      </w:r>
    </w:p>
    <w:p>
      <w:pPr>
        <w:ind w:firstLine="459"/>
        <w:rPr>
          <w:rFonts w:ascii="宋体" w:hAnsi="宋体"/>
          <w:color w:val="000000"/>
          <w:szCs w:val="21"/>
        </w:rPr>
      </w:pPr>
      <w:r>
        <w:rPr>
          <w:rFonts w:hint="eastAsia" w:ascii="宋体" w:hAnsi="宋体"/>
          <w:color w:val="000000"/>
          <w:szCs w:val="21"/>
        </w:rPr>
        <w:t>计划竣工日期：</w:t>
      </w:r>
      <w:permStart w:id="225" w:edGrp="everyone"/>
      <w:r>
        <w:rPr>
          <w:rFonts w:hint="eastAsia" w:ascii="宋体" w:hAnsi="宋体" w:cs="仿宋_GB2312"/>
          <w:color w:val="000000"/>
          <w:szCs w:val="21"/>
          <w:u w:val="single"/>
        </w:rPr>
        <w:t></w:t>
      </w:r>
      <w:permEnd w:id="225"/>
      <w:r>
        <w:rPr>
          <w:rFonts w:hint="eastAsia" w:ascii="宋体" w:hAnsi="宋体"/>
          <w:color w:val="000000"/>
          <w:szCs w:val="21"/>
        </w:rPr>
        <w:t>年</w:t>
      </w:r>
      <w:permStart w:id="226" w:edGrp="everyone"/>
      <w:r>
        <w:rPr>
          <w:rFonts w:hint="eastAsia" w:ascii="宋体" w:hAnsi="宋体" w:cs="仿宋_GB2312"/>
          <w:color w:val="000000"/>
          <w:szCs w:val="21"/>
          <w:u w:val="single"/>
        </w:rPr>
        <w:t></w:t>
      </w:r>
      <w:permEnd w:id="226"/>
      <w:r>
        <w:rPr>
          <w:rFonts w:hint="eastAsia" w:ascii="宋体" w:hAnsi="宋体"/>
          <w:color w:val="000000"/>
          <w:szCs w:val="21"/>
        </w:rPr>
        <w:t>月</w:t>
      </w:r>
      <w:permStart w:id="227" w:edGrp="everyone"/>
      <w:r>
        <w:rPr>
          <w:rFonts w:hint="eastAsia" w:ascii="宋体" w:hAnsi="宋体" w:cs="仿宋_GB2312"/>
          <w:color w:val="000000"/>
          <w:szCs w:val="21"/>
          <w:u w:val="single"/>
        </w:rPr>
        <w:t></w:t>
      </w:r>
      <w:permEnd w:id="227"/>
      <w:r>
        <w:rPr>
          <w:rFonts w:hint="eastAsia" w:ascii="宋体" w:hAnsi="宋体"/>
          <w:color w:val="000000"/>
          <w:szCs w:val="21"/>
        </w:rPr>
        <w:t>日。</w:t>
      </w:r>
    </w:p>
    <w:p>
      <w:pPr>
        <w:ind w:firstLine="459"/>
        <w:rPr>
          <w:rFonts w:ascii="宋体" w:hAnsi="宋体"/>
          <w:color w:val="000000"/>
          <w:szCs w:val="21"/>
        </w:rPr>
      </w:pPr>
      <w:r>
        <w:rPr>
          <w:rFonts w:hint="eastAsia" w:ascii="宋体" w:hAnsi="宋体"/>
          <w:color w:val="000000"/>
          <w:szCs w:val="21"/>
        </w:rPr>
        <w:t>工期总日历天数：</w:t>
      </w:r>
      <w:permStart w:id="228" w:edGrp="everyone"/>
      <w:r>
        <w:rPr>
          <w:rFonts w:hint="eastAsia" w:ascii="宋体" w:hAnsi="宋体" w:cs="仿宋_GB2312"/>
          <w:color w:val="000000"/>
          <w:szCs w:val="21"/>
          <w:u w:val="single"/>
        </w:rPr>
        <w:t></w:t>
      </w:r>
      <w:permEnd w:id="228"/>
      <w:r>
        <w:rPr>
          <w:rFonts w:hint="eastAsia" w:ascii="宋体" w:hAnsi="宋体"/>
          <w:color w:val="000000"/>
          <w:szCs w:val="21"/>
        </w:rPr>
        <w:t>天。工期总日历天数与根据前述计划开竣工日期计算的工期天数不一致的，以工期总日历天数为准。</w:t>
      </w:r>
    </w:p>
    <w:p>
      <w:pPr>
        <w:pStyle w:val="5"/>
        <w:spacing w:before="120" w:after="120" w:line="360" w:lineRule="auto"/>
        <w:rPr>
          <w:rFonts w:ascii="黑体" w:hAnsi="黑体"/>
          <w:bCs w:val="0"/>
          <w:color w:val="000000"/>
          <w:sz w:val="21"/>
          <w:szCs w:val="21"/>
        </w:rPr>
      </w:pPr>
      <w:bookmarkStart w:id="320" w:name="_Toc114222790"/>
      <w:bookmarkStart w:id="321" w:name="_Toc362623154"/>
      <w:r>
        <w:rPr>
          <w:rFonts w:hint="eastAsia" w:ascii="黑体" w:hAnsi="黑体"/>
          <w:b w:val="0"/>
          <w:color w:val="000000"/>
          <w:sz w:val="21"/>
          <w:szCs w:val="21"/>
        </w:rPr>
        <w:t>三、质量标准</w:t>
      </w:r>
      <w:bookmarkEnd w:id="320"/>
      <w:bookmarkEnd w:id="321"/>
    </w:p>
    <w:p>
      <w:pPr>
        <w:ind w:firstLine="459"/>
        <w:rPr>
          <w:rFonts w:ascii="宋体" w:hAnsi="宋体"/>
          <w:color w:val="000000"/>
          <w:szCs w:val="21"/>
        </w:rPr>
      </w:pPr>
      <w:r>
        <w:rPr>
          <w:rFonts w:hint="eastAsia" w:ascii="宋体" w:hAnsi="宋体"/>
          <w:color w:val="000000"/>
          <w:szCs w:val="21"/>
        </w:rPr>
        <w:t>工程质量符合</w:t>
      </w:r>
      <w:permStart w:id="229" w:edGrp="everyone"/>
      <w:r>
        <w:rPr>
          <w:rFonts w:hint="eastAsia" w:ascii="宋体" w:hAnsi="宋体" w:cs="仿宋_GB2312"/>
          <w:color w:val="000000"/>
          <w:szCs w:val="21"/>
          <w:u w:val="single"/>
        </w:rPr>
        <w:t></w:t>
      </w:r>
      <w:permEnd w:id="229"/>
      <w:r>
        <w:rPr>
          <w:rFonts w:hint="eastAsia" w:ascii="宋体" w:hAnsi="宋体"/>
          <w:color w:val="000000"/>
          <w:szCs w:val="21"/>
        </w:rPr>
        <w:t>标准。</w:t>
      </w:r>
    </w:p>
    <w:p>
      <w:pPr>
        <w:pStyle w:val="5"/>
        <w:spacing w:before="120" w:after="120" w:line="360" w:lineRule="auto"/>
        <w:rPr>
          <w:rFonts w:ascii="黑体" w:hAnsi="黑体"/>
          <w:bCs w:val="0"/>
          <w:color w:val="000000"/>
          <w:sz w:val="21"/>
          <w:szCs w:val="21"/>
        </w:rPr>
      </w:pPr>
      <w:bookmarkStart w:id="322" w:name="_Toc362623155"/>
      <w:bookmarkStart w:id="323" w:name="_Toc114222791"/>
      <w:r>
        <w:rPr>
          <w:rFonts w:hint="eastAsia" w:ascii="黑体" w:hAnsi="黑体"/>
          <w:b w:val="0"/>
          <w:color w:val="000000"/>
          <w:sz w:val="21"/>
          <w:szCs w:val="21"/>
        </w:rPr>
        <w:t>四、签约合同价与合同价格形式</w:t>
      </w:r>
      <w:bookmarkEnd w:id="322"/>
      <w:bookmarkEnd w:id="323"/>
      <w:r>
        <w:rPr>
          <w:rFonts w:ascii="黑体" w:hAnsi="黑体"/>
          <w:b w:val="0"/>
          <w:color w:val="000000"/>
          <w:sz w:val="21"/>
          <w:szCs w:val="21"/>
        </w:rPr>
        <w:tab/>
      </w:r>
    </w:p>
    <w:p>
      <w:pPr>
        <w:ind w:firstLine="420" w:firstLineChars="200"/>
        <w:rPr>
          <w:rFonts w:ascii="宋体" w:hAnsi="宋体"/>
          <w:color w:val="000000"/>
          <w:szCs w:val="21"/>
        </w:rPr>
      </w:pPr>
      <w:r>
        <w:rPr>
          <w:rFonts w:ascii="宋体" w:hAnsi="宋体"/>
          <w:color w:val="000000"/>
          <w:szCs w:val="21"/>
        </w:rPr>
        <w:t>1.</w:t>
      </w:r>
      <w:r>
        <w:rPr>
          <w:rFonts w:hint="eastAsia" w:ascii="宋体" w:hAnsi="宋体"/>
          <w:color w:val="000000"/>
          <w:szCs w:val="21"/>
        </w:rPr>
        <w:t>签约合同价为：</w:t>
      </w:r>
    </w:p>
    <w:p>
      <w:pPr>
        <w:ind w:firstLine="525" w:firstLineChars="250"/>
        <w:rPr>
          <w:rFonts w:ascii="宋体" w:hAnsi="宋体"/>
          <w:color w:val="000000"/>
          <w:szCs w:val="21"/>
        </w:rPr>
      </w:pPr>
      <w:r>
        <w:rPr>
          <w:rFonts w:hint="eastAsia" w:ascii="宋体" w:hAnsi="宋体"/>
          <w:color w:val="000000"/>
          <w:szCs w:val="21"/>
        </w:rPr>
        <w:t>人民币（大写）</w:t>
      </w:r>
      <w:permStart w:id="230" w:edGrp="everyone"/>
      <w:r>
        <w:rPr>
          <w:rFonts w:hint="eastAsia" w:ascii="宋体" w:hAnsi="宋体"/>
          <w:color w:val="000000"/>
          <w:szCs w:val="21"/>
        </w:rPr>
        <w:t xml:space="preserve">     </w:t>
      </w:r>
      <w:permEnd w:id="230"/>
      <w:r>
        <w:rPr>
          <w:rFonts w:ascii="宋体" w:hAnsi="宋体"/>
          <w:color w:val="000000"/>
          <w:szCs w:val="21"/>
        </w:rPr>
        <w:t>(¥</w:t>
      </w:r>
      <w:permStart w:id="231" w:edGrp="everyone"/>
      <w:r>
        <w:rPr>
          <w:rFonts w:ascii="宋体" w:hAnsi="宋体"/>
          <w:color w:val="000000"/>
          <w:szCs w:val="21"/>
        </w:rPr>
        <w:t xml:space="preserve">              </w:t>
      </w:r>
      <w:permEnd w:id="231"/>
      <w:r>
        <w:rPr>
          <w:rFonts w:hint="eastAsia" w:ascii="宋体" w:hAnsi="宋体"/>
          <w:color w:val="000000"/>
          <w:szCs w:val="21"/>
        </w:rPr>
        <w:t>元</w:t>
      </w:r>
      <w:r>
        <w:rPr>
          <w:rFonts w:hint="eastAsia" w:ascii="宋体" w:hAnsi="宋体"/>
          <w:color w:val="000000"/>
          <w:szCs w:val="21"/>
          <w:lang w:eastAsia="zh-CN"/>
        </w:rPr>
        <w:t>）</w:t>
      </w:r>
      <w:r>
        <w:rPr>
          <w:rFonts w:hint="eastAsia" w:ascii="宋体" w:hAnsi="宋体"/>
          <w:color w:val="000000"/>
          <w:szCs w:val="21"/>
        </w:rPr>
        <w:t>；</w:t>
      </w:r>
    </w:p>
    <w:p>
      <w:pPr>
        <w:ind w:firstLine="420" w:firstLineChars="200"/>
        <w:rPr>
          <w:rFonts w:ascii="宋体" w:hAnsi="宋体"/>
          <w:color w:val="000000"/>
          <w:szCs w:val="21"/>
        </w:rPr>
      </w:pPr>
      <w:r>
        <w:rPr>
          <w:rFonts w:hint="eastAsia" w:ascii="宋体" w:hAnsi="宋体"/>
          <w:color w:val="000000"/>
          <w:szCs w:val="21"/>
        </w:rPr>
        <w:t>其中：</w:t>
      </w:r>
    </w:p>
    <w:p>
      <w:pPr>
        <w:ind w:firstLine="420" w:firstLineChars="200"/>
        <w:rPr>
          <w:rFonts w:ascii="宋体" w:hAns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）安全文明施工费：</w:t>
      </w:r>
    </w:p>
    <w:p>
      <w:pPr>
        <w:ind w:firstLine="945" w:firstLineChars="450"/>
        <w:rPr>
          <w:rFonts w:ascii="宋体" w:hAnsi="宋体"/>
          <w:color w:val="000000"/>
          <w:szCs w:val="21"/>
        </w:rPr>
      </w:pPr>
      <w:r>
        <w:rPr>
          <w:rFonts w:hint="eastAsia" w:ascii="宋体" w:hAnsi="宋体"/>
          <w:color w:val="000000"/>
          <w:szCs w:val="21"/>
        </w:rPr>
        <w:t>人民币（大写）</w:t>
      </w:r>
      <w:permStart w:id="232" w:edGrp="everyone"/>
      <w:r>
        <w:rPr>
          <w:rFonts w:hint="eastAsia" w:ascii="宋体" w:hAnsi="宋体"/>
          <w:color w:val="000000"/>
          <w:szCs w:val="21"/>
        </w:rPr>
        <w:t xml:space="preserve">             </w:t>
      </w:r>
      <w:permEnd w:id="232"/>
      <w:r>
        <w:rPr>
          <w:rFonts w:ascii="宋体" w:hAnsi="宋体"/>
          <w:color w:val="000000"/>
          <w:szCs w:val="21"/>
        </w:rPr>
        <w:t>(¥</w:t>
      </w:r>
      <w:permStart w:id="233" w:edGrp="everyone"/>
      <w:r>
        <w:rPr>
          <w:rFonts w:ascii="宋体" w:hAnsi="宋体"/>
          <w:color w:val="000000"/>
          <w:szCs w:val="21"/>
        </w:rPr>
        <w:t xml:space="preserve">             </w:t>
      </w:r>
      <w:permEnd w:id="233"/>
      <w:r>
        <w:rPr>
          <w:rFonts w:hint="eastAsia" w:ascii="宋体" w:hAnsi="宋体"/>
          <w:color w:val="000000"/>
          <w:szCs w:val="21"/>
        </w:rPr>
        <w:t>元</w:t>
      </w:r>
      <w:r>
        <w:rPr>
          <w:rFonts w:hint="eastAsia" w:ascii="宋体" w:hAnsi="宋体"/>
          <w:color w:val="000000"/>
          <w:szCs w:val="21"/>
          <w:lang w:eastAsia="zh-CN"/>
        </w:rPr>
        <w:t>）</w:t>
      </w:r>
      <w:r>
        <w:rPr>
          <w:rFonts w:hint="eastAsia" w:ascii="宋体" w:hAnsi="宋体"/>
          <w:color w:val="000000"/>
          <w:szCs w:val="21"/>
        </w:rPr>
        <w:t>；</w:t>
      </w:r>
    </w:p>
    <w:p>
      <w:pPr>
        <w:ind w:firstLine="420" w:firstLineChars="200"/>
        <w:rPr>
          <w:rFonts w:ascii="宋体" w:hAns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）材料和工程设备暂估价金额：</w:t>
      </w:r>
    </w:p>
    <w:p>
      <w:pPr>
        <w:ind w:firstLine="945" w:firstLineChars="450"/>
        <w:rPr>
          <w:rFonts w:ascii="宋体" w:hAnsi="宋体"/>
          <w:color w:val="000000"/>
          <w:szCs w:val="21"/>
        </w:rPr>
      </w:pPr>
      <w:r>
        <w:rPr>
          <w:rFonts w:hint="eastAsia" w:ascii="宋体" w:hAnsi="宋体"/>
          <w:color w:val="000000"/>
          <w:szCs w:val="21"/>
        </w:rPr>
        <w:t>人民币（大写）</w:t>
      </w:r>
      <w:permStart w:id="234" w:edGrp="everyone"/>
      <w:r>
        <w:rPr>
          <w:rFonts w:hint="eastAsia" w:ascii="宋体" w:hAnsi="宋体"/>
          <w:color w:val="000000"/>
          <w:szCs w:val="21"/>
        </w:rPr>
        <w:t xml:space="preserve">              </w:t>
      </w:r>
      <w:permEnd w:id="234"/>
      <w:r>
        <w:rPr>
          <w:rFonts w:ascii="宋体" w:hAnsi="宋体"/>
          <w:color w:val="000000"/>
          <w:szCs w:val="21"/>
        </w:rPr>
        <w:t xml:space="preserve"> (¥</w:t>
      </w:r>
      <w:permStart w:id="235" w:edGrp="everyone"/>
      <w:r>
        <w:rPr>
          <w:rFonts w:ascii="宋体" w:hAnsi="宋体"/>
          <w:color w:val="000000"/>
          <w:szCs w:val="21"/>
        </w:rPr>
        <w:t xml:space="preserve">               </w:t>
      </w:r>
      <w:r>
        <w:rPr>
          <w:rFonts w:hint="eastAsia" w:ascii="宋体" w:hAnsi="宋体"/>
          <w:color w:val="000000"/>
          <w:szCs w:val="21"/>
        </w:rPr>
        <w:t>元</w:t>
      </w:r>
      <w:r>
        <w:rPr>
          <w:rFonts w:hint="eastAsia" w:ascii="宋体" w:hAnsi="宋体"/>
          <w:color w:val="000000"/>
          <w:szCs w:val="21"/>
          <w:lang w:eastAsia="zh-CN"/>
        </w:rPr>
        <w:t>）</w:t>
      </w:r>
      <w:permEnd w:id="235"/>
      <w:r>
        <w:rPr>
          <w:rFonts w:hint="eastAsia" w:ascii="宋体" w:hAnsi="宋体"/>
          <w:color w:val="000000"/>
          <w:szCs w:val="21"/>
        </w:rPr>
        <w:t>；</w:t>
      </w:r>
    </w:p>
    <w:p>
      <w:pPr>
        <w:ind w:firstLine="420" w:firstLineChars="200"/>
        <w:rPr>
          <w:rFonts w:ascii="宋体" w:hAns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）专业工程暂估价金额：</w:t>
      </w:r>
    </w:p>
    <w:p>
      <w:pPr>
        <w:ind w:firstLine="945" w:firstLineChars="450"/>
        <w:rPr>
          <w:rFonts w:ascii="宋体" w:hAnsi="宋体"/>
          <w:color w:val="000000"/>
          <w:szCs w:val="21"/>
        </w:rPr>
      </w:pPr>
      <w:r>
        <w:rPr>
          <w:rFonts w:hint="eastAsia" w:ascii="宋体" w:hAnsi="宋体"/>
          <w:color w:val="000000"/>
          <w:szCs w:val="21"/>
        </w:rPr>
        <w:t>人民币（大写）</w:t>
      </w:r>
      <w:permStart w:id="236" w:edGrp="everyone"/>
      <w:r>
        <w:rPr>
          <w:rFonts w:hint="eastAsia" w:ascii="宋体" w:hAnsi="宋体"/>
          <w:color w:val="000000"/>
          <w:szCs w:val="21"/>
        </w:rPr>
        <w:t xml:space="preserve">               </w:t>
      </w:r>
      <w:permEnd w:id="236"/>
      <w:r>
        <w:rPr>
          <w:rFonts w:ascii="宋体" w:hAnsi="宋体"/>
          <w:color w:val="000000"/>
          <w:szCs w:val="21"/>
        </w:rPr>
        <w:t>(</w:t>
      </w:r>
      <w:permStart w:id="237" w:edGrp="everyone"/>
      <w:r>
        <w:rPr>
          <w:rFonts w:ascii="宋体" w:hAnsi="宋体"/>
          <w:color w:val="000000"/>
          <w:szCs w:val="21"/>
        </w:rPr>
        <w:t xml:space="preserve">¥                          </w:t>
      </w:r>
      <w:r>
        <w:rPr>
          <w:rFonts w:hint="eastAsia" w:ascii="宋体" w:hAnsi="宋体"/>
          <w:color w:val="000000"/>
          <w:szCs w:val="21"/>
        </w:rPr>
        <w:t>元</w:t>
      </w:r>
      <w:r>
        <w:rPr>
          <w:rFonts w:hint="eastAsia" w:ascii="宋体" w:hAnsi="宋体"/>
          <w:color w:val="000000"/>
          <w:szCs w:val="21"/>
          <w:lang w:eastAsia="zh-CN"/>
        </w:rPr>
        <w:t>）</w:t>
      </w:r>
      <w:permEnd w:id="237"/>
      <w:r>
        <w:rPr>
          <w:rFonts w:hint="eastAsia" w:ascii="宋体" w:hAnsi="宋体"/>
          <w:color w:val="000000"/>
          <w:szCs w:val="21"/>
        </w:rPr>
        <w:t>；</w:t>
      </w:r>
    </w:p>
    <w:p>
      <w:pPr>
        <w:ind w:firstLine="420" w:firstLineChars="200"/>
        <w:rPr>
          <w:rFonts w:ascii="宋体" w:hAnsi="宋体"/>
          <w:color w:val="000000"/>
          <w:szCs w:val="21"/>
        </w:rPr>
      </w:pPr>
      <w:r>
        <w:rPr>
          <w:rFonts w:hint="eastAsia" w:ascii="宋体" w:hAnsi="宋体"/>
          <w:color w:val="000000"/>
          <w:szCs w:val="21"/>
        </w:rPr>
        <w:t>（</w:t>
      </w:r>
      <w:r>
        <w:rPr>
          <w:rFonts w:ascii="宋体" w:hAnsi="宋体"/>
          <w:color w:val="000000"/>
          <w:szCs w:val="21"/>
        </w:rPr>
        <w:t>4</w:t>
      </w:r>
      <w:r>
        <w:rPr>
          <w:rFonts w:hint="eastAsia" w:ascii="宋体" w:hAnsi="宋体"/>
          <w:color w:val="000000"/>
          <w:szCs w:val="21"/>
        </w:rPr>
        <w:t>）暂列金额：</w:t>
      </w:r>
    </w:p>
    <w:p>
      <w:pPr>
        <w:ind w:firstLine="945" w:firstLineChars="450"/>
        <w:rPr>
          <w:rFonts w:ascii="宋体" w:hAnsi="宋体"/>
          <w:color w:val="000000"/>
          <w:szCs w:val="21"/>
        </w:rPr>
      </w:pPr>
      <w:r>
        <w:rPr>
          <w:rFonts w:hint="eastAsia" w:ascii="宋体" w:hAnsi="宋体"/>
          <w:color w:val="000000"/>
          <w:szCs w:val="21"/>
        </w:rPr>
        <w:t>人民币（大写）</w:t>
      </w:r>
      <w:permStart w:id="238" w:edGrp="everyone"/>
      <w:r>
        <w:rPr>
          <w:rFonts w:hint="eastAsia" w:ascii="宋体" w:hAnsi="宋体"/>
          <w:color w:val="000000"/>
          <w:szCs w:val="21"/>
        </w:rPr>
        <w:t xml:space="preserve">               </w:t>
      </w:r>
      <w:permEnd w:id="238"/>
      <w:r>
        <w:rPr>
          <w:rFonts w:ascii="宋体" w:hAnsi="宋体"/>
          <w:color w:val="000000"/>
          <w:szCs w:val="21"/>
        </w:rPr>
        <w:t>(¥</w:t>
      </w:r>
      <w:permStart w:id="239" w:edGrp="everyone"/>
      <w:r>
        <w:rPr>
          <w:rFonts w:ascii="宋体" w:hAnsi="宋体"/>
          <w:color w:val="000000"/>
          <w:szCs w:val="21"/>
        </w:rPr>
        <w:t xml:space="preserve">                       </w:t>
      </w:r>
      <w:permEnd w:id="239"/>
      <w:r>
        <w:rPr>
          <w:rFonts w:hint="eastAsia" w:ascii="宋体" w:hAnsi="宋体"/>
          <w:color w:val="000000"/>
          <w:szCs w:val="21"/>
        </w:rPr>
        <w:t>元</w:t>
      </w:r>
      <w:r>
        <w:rPr>
          <w:rFonts w:hint="eastAsia" w:ascii="宋体" w:hAnsi="宋体"/>
          <w:color w:val="000000"/>
          <w:szCs w:val="21"/>
          <w:lang w:eastAsia="zh-CN"/>
        </w:rPr>
        <w:t>）</w:t>
      </w:r>
      <w:r>
        <w:rPr>
          <w:rFonts w:hint="eastAsia" w:ascii="宋体" w:hAnsi="宋体"/>
          <w:color w:val="000000"/>
          <w:szCs w:val="21"/>
        </w:rPr>
        <w:t>。</w:t>
      </w:r>
    </w:p>
    <w:p>
      <w:pPr>
        <w:ind w:firstLine="420" w:firstLineChars="200"/>
        <w:rPr>
          <w:rFonts w:ascii="宋体" w:hAnsi="宋体"/>
          <w:color w:val="000000"/>
          <w:szCs w:val="21"/>
        </w:rPr>
      </w:pPr>
      <w:r>
        <w:rPr>
          <w:rFonts w:ascii="宋体" w:hAnsi="宋体"/>
          <w:color w:val="000000"/>
          <w:szCs w:val="21"/>
        </w:rPr>
        <w:t>2.</w:t>
      </w:r>
      <w:r>
        <w:rPr>
          <w:rFonts w:hint="eastAsia" w:ascii="宋体" w:hAnsi="宋体"/>
          <w:color w:val="000000"/>
          <w:szCs w:val="21"/>
        </w:rPr>
        <w:t>合同价格形式：</w:t>
      </w:r>
      <w:permStart w:id="240" w:edGrp="everyone"/>
      <w:r>
        <w:rPr>
          <w:rFonts w:hint="eastAsia" w:ascii="宋体" w:hAnsi="宋体" w:cs="仿宋_GB2312"/>
          <w:color w:val="000000"/>
          <w:szCs w:val="21"/>
          <w:u w:val="single"/>
        </w:rPr>
        <w:t></w:t>
      </w:r>
      <w:r>
        <w:rPr>
          <w:rFonts w:ascii="宋体" w:hAnsi="宋体"/>
          <w:color w:val="000000"/>
          <w:szCs w:val="21"/>
          <w:u w:val="single"/>
        </w:rPr>
        <w:t xml:space="preserve">      </w:t>
      </w:r>
      <w:r>
        <w:rPr>
          <w:rFonts w:hint="eastAsia" w:ascii="宋体" w:hAnsi="宋体"/>
          <w:color w:val="000000"/>
          <w:szCs w:val="21"/>
        </w:rPr>
        <w:t>。</w:t>
      </w:r>
    </w:p>
    <w:permEnd w:id="240"/>
    <w:p>
      <w:pPr>
        <w:pStyle w:val="5"/>
        <w:spacing w:before="120" w:after="120" w:line="360" w:lineRule="auto"/>
        <w:rPr>
          <w:rFonts w:ascii="黑体" w:hAnsi="黑体"/>
          <w:b w:val="0"/>
          <w:color w:val="000000"/>
          <w:sz w:val="21"/>
          <w:szCs w:val="21"/>
        </w:rPr>
      </w:pPr>
      <w:bookmarkStart w:id="324" w:name="_Toc362623156"/>
      <w:bookmarkStart w:id="325" w:name="_Toc114222792"/>
      <w:r>
        <w:rPr>
          <w:rFonts w:hint="eastAsia" w:ascii="黑体" w:hAnsi="黑体"/>
          <w:b w:val="0"/>
          <w:color w:val="000000"/>
          <w:sz w:val="21"/>
          <w:szCs w:val="21"/>
        </w:rPr>
        <w:t>五、项目经理</w:t>
      </w:r>
      <w:bookmarkEnd w:id="324"/>
      <w:bookmarkEnd w:id="325"/>
    </w:p>
    <w:p>
      <w:pPr>
        <w:ind w:firstLine="420" w:firstLineChars="200"/>
        <w:rPr>
          <w:rFonts w:ascii="宋体" w:hAnsi="宋体"/>
          <w:color w:val="000000"/>
          <w:szCs w:val="21"/>
        </w:rPr>
      </w:pPr>
      <w:r>
        <w:rPr>
          <w:rFonts w:hint="eastAsia" w:ascii="宋体" w:hAnsi="宋体"/>
          <w:color w:val="000000"/>
          <w:szCs w:val="21"/>
        </w:rPr>
        <w:t>承包人项目经理：</w:t>
      </w:r>
      <w:permStart w:id="241" w:edGrp="everyone"/>
      <w:r>
        <w:rPr>
          <w:rFonts w:hint="eastAsia" w:ascii="宋体" w:hAnsi="宋体" w:cs="仿宋_GB2312"/>
          <w:color w:val="000000"/>
          <w:szCs w:val="21"/>
          <w:u w:val="single"/>
        </w:rPr>
        <w:t></w:t>
      </w:r>
      <w:r>
        <w:rPr>
          <w:rFonts w:ascii="宋体" w:hAnsi="宋体"/>
          <w:color w:val="000000"/>
          <w:szCs w:val="21"/>
          <w:u w:val="single"/>
        </w:rPr>
        <w:t xml:space="preserve">    </w:t>
      </w:r>
      <w:permEnd w:id="241"/>
      <w:r>
        <w:rPr>
          <w:rFonts w:hint="eastAsia" w:ascii="宋体" w:hAnsi="宋体"/>
          <w:color w:val="000000"/>
          <w:szCs w:val="21"/>
        </w:rPr>
        <w:t>。</w:t>
      </w:r>
    </w:p>
    <w:p>
      <w:pPr>
        <w:pStyle w:val="5"/>
        <w:spacing w:before="120" w:after="120" w:line="360" w:lineRule="auto"/>
        <w:rPr>
          <w:rFonts w:ascii="黑体" w:hAnsi="黑体"/>
          <w:bCs w:val="0"/>
          <w:color w:val="000000"/>
          <w:sz w:val="21"/>
          <w:szCs w:val="21"/>
        </w:rPr>
      </w:pPr>
      <w:bookmarkStart w:id="326" w:name="_Toc362623157"/>
      <w:bookmarkStart w:id="327" w:name="_Toc114222793"/>
      <w:r>
        <w:rPr>
          <w:rFonts w:hint="eastAsia" w:ascii="黑体" w:hAnsi="黑体"/>
          <w:b w:val="0"/>
          <w:color w:val="000000"/>
          <w:sz w:val="21"/>
          <w:szCs w:val="21"/>
        </w:rPr>
        <w:t>六、合同文件构成</w:t>
      </w:r>
      <w:bookmarkEnd w:id="326"/>
      <w:bookmarkEnd w:id="327"/>
    </w:p>
    <w:p>
      <w:pPr>
        <w:ind w:firstLine="420" w:firstLineChars="200"/>
        <w:rPr>
          <w:rFonts w:ascii="宋体" w:hAnsi="宋体"/>
          <w:bCs/>
          <w:color w:val="000000"/>
          <w:szCs w:val="21"/>
        </w:rPr>
      </w:pPr>
      <w:r>
        <w:rPr>
          <w:rFonts w:hint="eastAsia" w:ascii="宋体" w:hAnsi="宋体"/>
          <w:bCs/>
          <w:color w:val="000000"/>
          <w:szCs w:val="21"/>
        </w:rPr>
        <w:t>本协议书与下列文件一起构成合同文件：</w:t>
      </w:r>
    </w:p>
    <w:p>
      <w:pPr>
        <w:autoSpaceDE w:val="0"/>
        <w:autoSpaceDN w:val="0"/>
        <w:adjustRightInd w:val="0"/>
        <w:ind w:firstLine="420" w:firstLineChars="200"/>
        <w:jc w:val="left"/>
        <w:rPr>
          <w:rFonts w:ascii="宋体" w:hAns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）中标通知书（如果有）；</w:t>
      </w:r>
    </w:p>
    <w:p>
      <w:pPr>
        <w:autoSpaceDE w:val="0"/>
        <w:autoSpaceDN w:val="0"/>
        <w:adjustRightInd w:val="0"/>
        <w:ind w:firstLine="420" w:firstLineChars="200"/>
        <w:jc w:val="left"/>
        <w:rPr>
          <w:rFonts w:ascii="宋体" w:hAns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）投标函及其附录（如果有）；</w:t>
      </w:r>
    </w:p>
    <w:p>
      <w:pPr>
        <w:autoSpaceDE w:val="0"/>
        <w:autoSpaceDN w:val="0"/>
        <w:adjustRightInd w:val="0"/>
        <w:ind w:firstLine="420" w:firstLineChars="200"/>
        <w:jc w:val="left"/>
        <w:rPr>
          <w:rFonts w:ascii="宋体" w:hAns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）专用合同条款及其附件；</w:t>
      </w:r>
    </w:p>
    <w:p>
      <w:pPr>
        <w:autoSpaceDE w:val="0"/>
        <w:autoSpaceDN w:val="0"/>
        <w:adjustRightInd w:val="0"/>
        <w:ind w:firstLine="420" w:firstLineChars="200"/>
        <w:jc w:val="left"/>
        <w:rPr>
          <w:rFonts w:ascii="宋体" w:hAnsi="宋体"/>
          <w:color w:val="000000"/>
          <w:szCs w:val="21"/>
        </w:rPr>
      </w:pPr>
      <w:r>
        <w:rPr>
          <w:rFonts w:hint="eastAsia" w:ascii="宋体" w:hAnsi="宋体"/>
          <w:color w:val="000000"/>
          <w:szCs w:val="21"/>
        </w:rPr>
        <w:t>（</w:t>
      </w:r>
      <w:r>
        <w:rPr>
          <w:rFonts w:ascii="宋体" w:hAnsi="宋体"/>
          <w:color w:val="000000"/>
          <w:szCs w:val="21"/>
        </w:rPr>
        <w:t>4</w:t>
      </w:r>
      <w:r>
        <w:rPr>
          <w:rFonts w:hint="eastAsia" w:ascii="宋体" w:hAnsi="宋体"/>
          <w:color w:val="000000"/>
          <w:szCs w:val="21"/>
        </w:rPr>
        <w:t>）通用合同条款；</w:t>
      </w:r>
    </w:p>
    <w:p>
      <w:pPr>
        <w:autoSpaceDE w:val="0"/>
        <w:autoSpaceDN w:val="0"/>
        <w:adjustRightInd w:val="0"/>
        <w:ind w:firstLine="420" w:firstLineChars="200"/>
        <w:jc w:val="left"/>
        <w:rPr>
          <w:rFonts w:ascii="宋体" w:hAnsi="宋体"/>
          <w:color w:val="000000"/>
          <w:szCs w:val="21"/>
        </w:rPr>
      </w:pPr>
      <w:r>
        <w:rPr>
          <w:rFonts w:hint="eastAsia" w:ascii="宋体" w:hAnsi="宋体"/>
          <w:color w:val="000000"/>
          <w:szCs w:val="21"/>
        </w:rPr>
        <w:t>（</w:t>
      </w:r>
      <w:r>
        <w:rPr>
          <w:rFonts w:ascii="宋体" w:hAnsi="宋体"/>
          <w:color w:val="000000"/>
          <w:szCs w:val="21"/>
        </w:rPr>
        <w:t>5</w:t>
      </w:r>
      <w:r>
        <w:rPr>
          <w:rFonts w:hint="eastAsia" w:ascii="宋体" w:hAnsi="宋体"/>
          <w:color w:val="000000"/>
          <w:szCs w:val="21"/>
        </w:rPr>
        <w:t>）技术标准和要求；</w:t>
      </w:r>
    </w:p>
    <w:p>
      <w:pPr>
        <w:autoSpaceDE w:val="0"/>
        <w:autoSpaceDN w:val="0"/>
        <w:adjustRightInd w:val="0"/>
        <w:ind w:firstLine="420" w:firstLineChars="200"/>
        <w:jc w:val="left"/>
        <w:rPr>
          <w:rFonts w:ascii="宋体" w:hAnsi="宋体"/>
          <w:color w:val="000000"/>
          <w:szCs w:val="21"/>
        </w:rPr>
      </w:pPr>
      <w:r>
        <w:rPr>
          <w:rFonts w:hint="eastAsia" w:ascii="宋体" w:hAnsi="宋体"/>
          <w:color w:val="000000"/>
          <w:szCs w:val="21"/>
        </w:rPr>
        <w:t>（</w:t>
      </w:r>
      <w:r>
        <w:rPr>
          <w:rFonts w:ascii="宋体" w:hAnsi="宋体"/>
          <w:color w:val="000000"/>
          <w:szCs w:val="21"/>
        </w:rPr>
        <w:t>6</w:t>
      </w:r>
      <w:r>
        <w:rPr>
          <w:rFonts w:hint="eastAsia" w:ascii="宋体" w:hAnsi="宋体"/>
          <w:color w:val="000000"/>
          <w:szCs w:val="21"/>
        </w:rPr>
        <w:t>）图纸；</w:t>
      </w:r>
    </w:p>
    <w:p>
      <w:pPr>
        <w:autoSpaceDE w:val="0"/>
        <w:autoSpaceDN w:val="0"/>
        <w:adjustRightInd w:val="0"/>
        <w:ind w:firstLine="420" w:firstLineChars="200"/>
        <w:jc w:val="left"/>
        <w:rPr>
          <w:rFonts w:ascii="宋体" w:hAnsi="宋体"/>
          <w:color w:val="000000"/>
          <w:szCs w:val="21"/>
        </w:rPr>
      </w:pPr>
      <w:r>
        <w:rPr>
          <w:rFonts w:hint="eastAsia" w:ascii="宋体" w:hAnsi="宋体"/>
          <w:color w:val="000000"/>
          <w:szCs w:val="21"/>
        </w:rPr>
        <w:t>（</w:t>
      </w:r>
      <w:r>
        <w:rPr>
          <w:rFonts w:ascii="宋体" w:hAnsi="宋体"/>
          <w:color w:val="000000"/>
          <w:szCs w:val="21"/>
        </w:rPr>
        <w:t>7</w:t>
      </w:r>
      <w:r>
        <w:rPr>
          <w:rFonts w:hint="eastAsia" w:ascii="宋体" w:hAnsi="宋体"/>
          <w:color w:val="000000"/>
          <w:szCs w:val="21"/>
        </w:rPr>
        <w:t>）已标价工程量清单或预算书；</w:t>
      </w:r>
    </w:p>
    <w:p>
      <w:pPr>
        <w:autoSpaceDE w:val="0"/>
        <w:autoSpaceDN w:val="0"/>
        <w:adjustRightInd w:val="0"/>
        <w:ind w:firstLine="420" w:firstLineChars="200"/>
        <w:jc w:val="left"/>
        <w:rPr>
          <w:rFonts w:ascii="宋体" w:hAnsi="宋体"/>
          <w:color w:val="000000"/>
          <w:szCs w:val="21"/>
        </w:rPr>
      </w:pPr>
      <w:r>
        <w:rPr>
          <w:rFonts w:hint="eastAsia" w:ascii="宋体" w:hAnsi="宋体"/>
          <w:color w:val="000000"/>
          <w:szCs w:val="21"/>
        </w:rPr>
        <w:t>（</w:t>
      </w:r>
      <w:r>
        <w:rPr>
          <w:rFonts w:ascii="宋体" w:hAnsi="宋体"/>
          <w:color w:val="000000"/>
          <w:szCs w:val="21"/>
        </w:rPr>
        <w:t>8</w:t>
      </w:r>
      <w:r>
        <w:rPr>
          <w:rFonts w:hint="eastAsia" w:ascii="宋体" w:hAnsi="宋体"/>
          <w:color w:val="000000"/>
          <w:szCs w:val="21"/>
        </w:rPr>
        <w:t>）其他合同文件。</w:t>
      </w:r>
    </w:p>
    <w:p>
      <w:pPr>
        <w:autoSpaceDE w:val="0"/>
        <w:autoSpaceDN w:val="0"/>
        <w:adjustRightInd w:val="0"/>
        <w:ind w:firstLine="420" w:firstLineChars="200"/>
        <w:jc w:val="left"/>
        <w:rPr>
          <w:rFonts w:ascii="宋体" w:hAnsi="宋体"/>
          <w:color w:val="000000"/>
          <w:szCs w:val="21"/>
        </w:rPr>
      </w:pPr>
      <w:r>
        <w:rPr>
          <w:rFonts w:hint="eastAsia" w:ascii="宋体" w:hAnsi="宋体"/>
          <w:color w:val="000000"/>
          <w:szCs w:val="21"/>
        </w:rPr>
        <w:t>在合同订立及履行过程中形成的与合同有关的文件均构成合同文件组成部分。</w:t>
      </w:r>
    </w:p>
    <w:p>
      <w:pPr>
        <w:autoSpaceDE w:val="0"/>
        <w:autoSpaceDN w:val="0"/>
        <w:adjustRightInd w:val="0"/>
        <w:ind w:firstLine="420" w:firstLineChars="200"/>
        <w:jc w:val="left"/>
        <w:rPr>
          <w:rFonts w:ascii="宋体" w:hAnsi="宋体"/>
          <w:color w:val="000000"/>
          <w:szCs w:val="21"/>
        </w:rPr>
      </w:pPr>
      <w:r>
        <w:rPr>
          <w:rFonts w:hint="eastAsia" w:ascii="宋体" w:hAnsi="宋体"/>
          <w:color w:val="000000"/>
          <w:szCs w:val="21"/>
        </w:rPr>
        <w:t>上述各项合同文件包括合同当事人就该项合同文件所作出的补充和修改，属于同一类内容的文件，应以最新签署的为准。专用合同条款及其附件须经合同当事人签字或盖章。</w:t>
      </w:r>
    </w:p>
    <w:p>
      <w:pPr>
        <w:pStyle w:val="5"/>
        <w:spacing w:before="120" w:after="120" w:line="360" w:lineRule="auto"/>
        <w:rPr>
          <w:rFonts w:ascii="黑体" w:hAnsi="黑体"/>
          <w:b w:val="0"/>
          <w:bCs w:val="0"/>
          <w:color w:val="000000"/>
          <w:sz w:val="21"/>
          <w:szCs w:val="21"/>
        </w:rPr>
      </w:pPr>
      <w:bookmarkStart w:id="328" w:name="_Toc362623158"/>
      <w:bookmarkStart w:id="329" w:name="_Toc114222794"/>
      <w:r>
        <w:rPr>
          <w:rFonts w:hint="eastAsia" w:ascii="黑体" w:hAnsi="黑体"/>
          <w:b w:val="0"/>
          <w:color w:val="000000"/>
          <w:sz w:val="21"/>
          <w:szCs w:val="21"/>
        </w:rPr>
        <w:t>七、承诺</w:t>
      </w:r>
      <w:bookmarkEnd w:id="328"/>
      <w:bookmarkEnd w:id="329"/>
    </w:p>
    <w:p>
      <w:pPr>
        <w:ind w:firstLine="420" w:firstLineChars="200"/>
        <w:rPr>
          <w:rFonts w:ascii="宋体" w:hAnsi="宋体"/>
          <w:bCs/>
          <w:color w:val="000000"/>
          <w:szCs w:val="21"/>
        </w:rPr>
      </w:pPr>
      <w:r>
        <w:rPr>
          <w:rFonts w:ascii="宋体" w:hAnsi="宋体"/>
          <w:bCs/>
          <w:color w:val="000000"/>
          <w:szCs w:val="21"/>
        </w:rPr>
        <w:t>1.</w:t>
      </w:r>
      <w:r>
        <w:rPr>
          <w:rFonts w:hint="eastAsia" w:ascii="宋体" w:hAnsi="宋体"/>
          <w:bCs/>
          <w:color w:val="000000"/>
          <w:szCs w:val="21"/>
        </w:rPr>
        <w:t>发包人承诺按照法律规定履行项目审批手续、筹集工程建设资金并按照合同约定的期限和方式支付合同价款。</w:t>
      </w:r>
    </w:p>
    <w:p>
      <w:pPr>
        <w:ind w:firstLine="420" w:firstLineChars="200"/>
        <w:rPr>
          <w:rFonts w:ascii="宋体" w:hAnsi="宋体"/>
          <w:bCs/>
          <w:color w:val="000000"/>
          <w:szCs w:val="21"/>
        </w:rPr>
      </w:pPr>
      <w:r>
        <w:rPr>
          <w:rFonts w:ascii="宋体" w:hAnsi="宋体"/>
          <w:bCs/>
          <w:color w:val="000000"/>
          <w:szCs w:val="21"/>
        </w:rPr>
        <w:t>2.</w:t>
      </w:r>
      <w:r>
        <w:rPr>
          <w:rFonts w:hint="eastAsia" w:ascii="宋体" w:hAnsi="宋体"/>
          <w:bCs/>
          <w:color w:val="000000"/>
          <w:szCs w:val="21"/>
        </w:rPr>
        <w:t>承包人承诺按照法律规定及合同约定组织完成工程施工，确保工程质量和安全，不进行转包及违法分包，并在缺陷责任期及保修期内承担相应的工程维修责任。</w:t>
      </w:r>
    </w:p>
    <w:p>
      <w:pPr>
        <w:ind w:firstLine="420" w:firstLineChars="200"/>
        <w:rPr>
          <w:rFonts w:ascii="宋体" w:hAnsi="宋体"/>
          <w:bCs/>
          <w:color w:val="000000"/>
          <w:szCs w:val="21"/>
        </w:rPr>
      </w:pPr>
      <w:r>
        <w:rPr>
          <w:rFonts w:ascii="宋体" w:hAnsi="宋体"/>
          <w:bCs/>
          <w:color w:val="000000"/>
          <w:szCs w:val="21"/>
        </w:rPr>
        <w:t>3.</w:t>
      </w:r>
      <w:r>
        <w:rPr>
          <w:rFonts w:hint="eastAsia" w:ascii="宋体" w:hAnsi="宋体"/>
          <w:bCs/>
          <w:color w:val="000000"/>
          <w:szCs w:val="21"/>
        </w:rPr>
        <w:t>发包人和承包人通过招投标形式签订合同的，双方理解并承诺不再就同一工程另行签订与合同实质性内容相背离的协议。</w:t>
      </w:r>
    </w:p>
    <w:p>
      <w:pPr>
        <w:pStyle w:val="5"/>
        <w:spacing w:before="120" w:after="120" w:line="360" w:lineRule="auto"/>
        <w:rPr>
          <w:rFonts w:ascii="黑体" w:hAnsi="黑体"/>
          <w:b w:val="0"/>
          <w:color w:val="000000"/>
          <w:sz w:val="21"/>
          <w:szCs w:val="21"/>
        </w:rPr>
      </w:pPr>
      <w:bookmarkStart w:id="330" w:name="_Toc362623159"/>
      <w:bookmarkStart w:id="331" w:name="_Toc114222795"/>
      <w:r>
        <w:rPr>
          <w:rFonts w:hint="eastAsia" w:ascii="黑体" w:hAnsi="黑体"/>
          <w:b w:val="0"/>
          <w:color w:val="000000"/>
          <w:sz w:val="21"/>
          <w:szCs w:val="21"/>
        </w:rPr>
        <w:t>八、词语含义</w:t>
      </w:r>
      <w:bookmarkEnd w:id="330"/>
      <w:bookmarkEnd w:id="331"/>
    </w:p>
    <w:p>
      <w:pPr>
        <w:ind w:firstLine="420" w:firstLineChars="200"/>
        <w:rPr>
          <w:rFonts w:ascii="宋体" w:hAnsi="宋体"/>
          <w:bCs/>
          <w:color w:val="000000"/>
          <w:szCs w:val="21"/>
        </w:rPr>
      </w:pPr>
      <w:r>
        <w:rPr>
          <w:rFonts w:hint="eastAsia" w:ascii="宋体" w:hAnsi="宋体"/>
          <w:bCs/>
          <w:color w:val="000000"/>
          <w:szCs w:val="21"/>
        </w:rPr>
        <w:t>本协议书中词语含义与第二部分通用合同条款中赋予的含义相同。</w:t>
      </w:r>
    </w:p>
    <w:p>
      <w:pPr>
        <w:pStyle w:val="5"/>
        <w:spacing w:before="120" w:after="120" w:line="360" w:lineRule="auto"/>
        <w:rPr>
          <w:rFonts w:ascii="黑体" w:hAnsi="黑体"/>
          <w:bCs w:val="0"/>
          <w:color w:val="000000"/>
          <w:sz w:val="21"/>
          <w:szCs w:val="21"/>
        </w:rPr>
      </w:pPr>
      <w:bookmarkStart w:id="332" w:name="_Toc362623160"/>
      <w:bookmarkStart w:id="333" w:name="_Toc114222796"/>
      <w:r>
        <w:rPr>
          <w:rFonts w:hint="eastAsia" w:ascii="黑体" w:hAnsi="黑体"/>
          <w:b w:val="0"/>
          <w:color w:val="000000"/>
          <w:sz w:val="21"/>
          <w:szCs w:val="21"/>
        </w:rPr>
        <w:t>九、签订时间</w:t>
      </w:r>
      <w:bookmarkEnd w:id="332"/>
      <w:bookmarkEnd w:id="333"/>
    </w:p>
    <w:p>
      <w:pPr>
        <w:ind w:firstLine="420" w:firstLineChars="200"/>
        <w:rPr>
          <w:rFonts w:ascii="宋体" w:hAnsi="宋体"/>
          <w:bCs/>
          <w:color w:val="000000"/>
          <w:szCs w:val="21"/>
        </w:rPr>
      </w:pPr>
      <w:r>
        <w:rPr>
          <w:rFonts w:hint="eastAsia" w:ascii="宋体" w:hAnsi="宋体"/>
          <w:bCs/>
          <w:color w:val="000000"/>
          <w:szCs w:val="21"/>
        </w:rPr>
        <w:t>本合同于</w:t>
      </w:r>
      <w:permStart w:id="242" w:edGrp="everyone"/>
      <w:r>
        <w:rPr>
          <w:rFonts w:hint="eastAsia" w:ascii="宋体" w:hAnsi="宋体"/>
          <w:bCs/>
          <w:color w:val="000000"/>
          <w:szCs w:val="21"/>
        </w:rPr>
        <w:t xml:space="preserve">    年   月   日</w:t>
      </w:r>
      <w:permEnd w:id="242"/>
      <w:r>
        <w:rPr>
          <w:rFonts w:hint="eastAsia" w:ascii="宋体" w:hAnsi="宋体"/>
          <w:bCs/>
          <w:color w:val="000000"/>
          <w:szCs w:val="21"/>
        </w:rPr>
        <w:t>签订。</w:t>
      </w:r>
    </w:p>
    <w:p>
      <w:pPr>
        <w:pStyle w:val="5"/>
        <w:spacing w:before="120" w:after="120" w:line="360" w:lineRule="auto"/>
        <w:rPr>
          <w:rFonts w:ascii="黑体" w:hAnsi="黑体"/>
          <w:bCs w:val="0"/>
          <w:color w:val="000000"/>
          <w:sz w:val="21"/>
          <w:szCs w:val="21"/>
        </w:rPr>
      </w:pPr>
      <w:bookmarkStart w:id="334" w:name="_Toc114222797"/>
      <w:bookmarkStart w:id="335" w:name="_Toc362623161"/>
      <w:r>
        <w:rPr>
          <w:rFonts w:hint="eastAsia" w:ascii="黑体" w:hAnsi="黑体"/>
          <w:b w:val="0"/>
          <w:color w:val="000000"/>
          <w:sz w:val="21"/>
          <w:szCs w:val="21"/>
        </w:rPr>
        <w:t>十、签订地点</w:t>
      </w:r>
      <w:bookmarkEnd w:id="334"/>
      <w:bookmarkEnd w:id="335"/>
    </w:p>
    <w:p>
      <w:pPr>
        <w:ind w:firstLine="420" w:firstLineChars="200"/>
        <w:rPr>
          <w:rFonts w:ascii="宋体" w:hAnsi="宋体"/>
          <w:bCs/>
          <w:color w:val="000000"/>
          <w:szCs w:val="21"/>
        </w:rPr>
      </w:pPr>
      <w:r>
        <w:rPr>
          <w:rFonts w:hint="eastAsia" w:ascii="宋体" w:hAnsi="宋体"/>
          <w:bCs/>
          <w:color w:val="000000"/>
          <w:szCs w:val="21"/>
        </w:rPr>
        <w:t>本合同在</w:t>
      </w:r>
      <w:permStart w:id="243" w:edGrp="everyone"/>
      <w:r>
        <w:rPr>
          <w:rFonts w:hint="eastAsia" w:ascii="宋体" w:hAnsi="宋体"/>
          <w:bCs/>
          <w:color w:val="000000"/>
          <w:szCs w:val="21"/>
        </w:rPr>
        <w:t xml:space="preserve">             </w:t>
      </w:r>
      <w:permEnd w:id="243"/>
      <w:r>
        <w:rPr>
          <w:rFonts w:hint="eastAsia" w:ascii="宋体" w:hAnsi="宋体"/>
          <w:bCs/>
          <w:color w:val="000000"/>
          <w:szCs w:val="21"/>
        </w:rPr>
        <w:t>签订。</w:t>
      </w:r>
    </w:p>
    <w:p>
      <w:pPr>
        <w:pStyle w:val="5"/>
        <w:spacing w:before="120" w:after="120" w:line="360" w:lineRule="auto"/>
        <w:rPr>
          <w:rFonts w:ascii="黑体" w:hAnsi="黑体"/>
          <w:bCs w:val="0"/>
          <w:color w:val="000000"/>
          <w:sz w:val="21"/>
          <w:szCs w:val="21"/>
        </w:rPr>
      </w:pPr>
      <w:bookmarkStart w:id="336" w:name="_Toc114222798"/>
      <w:bookmarkStart w:id="337" w:name="_Toc362623162"/>
      <w:r>
        <w:rPr>
          <w:rFonts w:hint="eastAsia" w:ascii="黑体" w:hAnsi="黑体"/>
          <w:b w:val="0"/>
          <w:color w:val="000000"/>
          <w:sz w:val="21"/>
          <w:szCs w:val="21"/>
        </w:rPr>
        <w:t>十一、补充协议</w:t>
      </w:r>
      <w:bookmarkEnd w:id="336"/>
      <w:bookmarkEnd w:id="337"/>
    </w:p>
    <w:p>
      <w:pPr>
        <w:ind w:firstLine="420" w:firstLineChars="200"/>
        <w:rPr>
          <w:rFonts w:ascii="宋体" w:hAnsi="宋体"/>
          <w:b/>
          <w:bCs/>
          <w:color w:val="000000"/>
          <w:szCs w:val="21"/>
        </w:rPr>
      </w:pPr>
      <w:r>
        <w:rPr>
          <w:rFonts w:hint="eastAsia" w:ascii="宋体" w:hAnsi="宋体"/>
          <w:bCs/>
          <w:color w:val="000000"/>
          <w:szCs w:val="21"/>
        </w:rPr>
        <w:t>合同未尽事宜，合同当事人另行签订补充协议，补充协议是合同的组成部分。</w:t>
      </w:r>
    </w:p>
    <w:p>
      <w:pPr>
        <w:pStyle w:val="5"/>
        <w:spacing w:before="120" w:after="120" w:line="360" w:lineRule="auto"/>
        <w:rPr>
          <w:rFonts w:ascii="黑体" w:hAnsi="黑体"/>
          <w:bCs w:val="0"/>
          <w:color w:val="000000"/>
          <w:sz w:val="21"/>
          <w:szCs w:val="21"/>
        </w:rPr>
      </w:pPr>
      <w:bookmarkStart w:id="338" w:name="_Toc114222799"/>
      <w:bookmarkStart w:id="339" w:name="_Toc362623163"/>
      <w:r>
        <w:rPr>
          <w:rFonts w:hint="eastAsia" w:ascii="黑体" w:hAnsi="黑体"/>
          <w:b w:val="0"/>
          <w:color w:val="000000"/>
          <w:sz w:val="21"/>
          <w:szCs w:val="21"/>
        </w:rPr>
        <w:t>十二、合同生效</w:t>
      </w:r>
      <w:bookmarkEnd w:id="338"/>
      <w:bookmarkEnd w:id="339"/>
    </w:p>
    <w:p>
      <w:pPr>
        <w:ind w:firstLine="420" w:firstLineChars="200"/>
        <w:rPr>
          <w:rFonts w:ascii="宋体" w:hAnsi="宋体"/>
          <w:bCs/>
          <w:color w:val="000000"/>
          <w:szCs w:val="21"/>
        </w:rPr>
      </w:pPr>
      <w:r>
        <w:rPr>
          <w:rFonts w:hint="eastAsia" w:ascii="宋体" w:hAnsi="宋体"/>
          <w:bCs/>
          <w:color w:val="000000"/>
          <w:szCs w:val="21"/>
        </w:rPr>
        <w:t>本合同自</w:t>
      </w:r>
      <w:permStart w:id="244" w:edGrp="everyone"/>
      <w:r>
        <w:rPr>
          <w:rFonts w:hint="eastAsia" w:ascii="宋体" w:hAnsi="宋体"/>
          <w:bCs/>
          <w:color w:val="000000"/>
          <w:szCs w:val="21"/>
        </w:rPr>
        <w:t xml:space="preserve">                 </w:t>
      </w:r>
      <w:permEnd w:id="244"/>
      <w:r>
        <w:rPr>
          <w:rFonts w:hint="eastAsia" w:ascii="宋体" w:hAnsi="宋体"/>
          <w:bCs/>
          <w:color w:val="000000"/>
          <w:szCs w:val="21"/>
        </w:rPr>
        <w:t>生效。</w:t>
      </w:r>
    </w:p>
    <w:p>
      <w:pPr>
        <w:pStyle w:val="5"/>
        <w:spacing w:before="120" w:after="120" w:line="360" w:lineRule="auto"/>
        <w:rPr>
          <w:rFonts w:ascii="黑体" w:hAnsi="黑体"/>
          <w:bCs w:val="0"/>
          <w:color w:val="000000"/>
          <w:sz w:val="21"/>
          <w:szCs w:val="21"/>
        </w:rPr>
      </w:pPr>
      <w:bookmarkStart w:id="340" w:name="_Toc362623164"/>
      <w:bookmarkStart w:id="341" w:name="_Toc114222800"/>
      <w:r>
        <w:rPr>
          <w:rFonts w:hint="eastAsia" w:ascii="黑体" w:hAnsi="黑体"/>
          <w:b w:val="0"/>
          <w:color w:val="000000"/>
          <w:sz w:val="21"/>
          <w:szCs w:val="21"/>
        </w:rPr>
        <w:t>十三、合同份数</w:t>
      </w:r>
      <w:bookmarkEnd w:id="340"/>
      <w:bookmarkEnd w:id="341"/>
    </w:p>
    <w:p>
      <w:pPr>
        <w:ind w:firstLine="420" w:firstLineChars="200"/>
        <w:rPr>
          <w:rFonts w:ascii="宋体" w:hAnsi="宋体"/>
          <w:bCs/>
          <w:color w:val="000000"/>
          <w:szCs w:val="21"/>
        </w:rPr>
      </w:pPr>
      <w:r>
        <w:rPr>
          <w:rFonts w:hint="eastAsia" w:ascii="宋体" w:hAnsi="宋体"/>
          <w:bCs/>
          <w:color w:val="000000"/>
          <w:szCs w:val="21"/>
        </w:rPr>
        <w:t>本合同一式</w:t>
      </w:r>
      <w:permStart w:id="245" w:edGrp="everyone"/>
      <w:r>
        <w:rPr>
          <w:rFonts w:hint="eastAsia" w:ascii="宋体" w:hAnsi="宋体"/>
          <w:bCs/>
          <w:color w:val="000000"/>
          <w:szCs w:val="21"/>
        </w:rPr>
        <w:t xml:space="preserve">          </w:t>
      </w:r>
      <w:permEnd w:id="245"/>
      <w:r>
        <w:rPr>
          <w:rFonts w:hint="eastAsia" w:ascii="宋体" w:hAnsi="宋体"/>
          <w:bCs/>
          <w:color w:val="000000"/>
          <w:szCs w:val="21"/>
        </w:rPr>
        <w:t>份，均具有同等法律效力，发包人执</w:t>
      </w:r>
      <w:permStart w:id="246" w:edGrp="everyone"/>
      <w:r>
        <w:rPr>
          <w:rFonts w:hint="eastAsia" w:ascii="宋体" w:hAnsi="宋体"/>
          <w:bCs/>
          <w:color w:val="000000"/>
          <w:szCs w:val="21"/>
        </w:rPr>
        <w:t xml:space="preserve">     </w:t>
      </w:r>
      <w:permEnd w:id="246"/>
      <w:r>
        <w:rPr>
          <w:rFonts w:hint="eastAsia" w:ascii="宋体" w:hAnsi="宋体"/>
          <w:bCs/>
          <w:color w:val="000000"/>
          <w:szCs w:val="21"/>
        </w:rPr>
        <w:t>份，承包人执</w:t>
      </w:r>
      <w:permStart w:id="247" w:edGrp="everyone"/>
      <w:r>
        <w:rPr>
          <w:rFonts w:hint="eastAsia" w:ascii="宋体" w:hAnsi="宋体"/>
          <w:bCs/>
          <w:color w:val="000000"/>
          <w:szCs w:val="21"/>
        </w:rPr>
        <w:t xml:space="preserve">       </w:t>
      </w:r>
      <w:permEnd w:id="247"/>
      <w:r>
        <w:rPr>
          <w:rFonts w:hint="eastAsia" w:ascii="宋体" w:hAnsi="宋体"/>
          <w:bCs/>
          <w:color w:val="000000"/>
          <w:szCs w:val="21"/>
        </w:rPr>
        <w:t>份。</w:t>
      </w:r>
    </w:p>
    <w:p>
      <w:pPr>
        <w:rPr>
          <w:rFonts w:ascii="宋体" w:hAnsi="宋体"/>
          <w:color w:val="000000"/>
          <w:szCs w:val="21"/>
        </w:rPr>
      </w:pPr>
    </w:p>
    <w:p>
      <w:pPr>
        <w:rPr>
          <w:rFonts w:ascii="宋体" w:hAnsi="宋体"/>
          <w:color w:val="000000"/>
          <w:szCs w:val="21"/>
        </w:rPr>
      </w:pPr>
    </w:p>
    <w:p>
      <w:pPr>
        <w:rPr>
          <w:rFonts w:ascii="宋体" w:hAnsi="宋体"/>
          <w:color w:val="000000"/>
          <w:szCs w:val="21"/>
        </w:rPr>
      </w:pPr>
      <w:r>
        <w:rPr>
          <w:rFonts w:hint="eastAsia" w:ascii="宋体" w:hAnsi="宋体"/>
          <w:color w:val="000000"/>
          <w:szCs w:val="21"/>
        </w:rPr>
        <w:t>发包人：</w:t>
      </w:r>
      <w:r>
        <w:rPr>
          <w:rFonts w:ascii="宋体" w:hAnsi="宋体"/>
          <w:color w:val="000000"/>
          <w:szCs w:val="21"/>
        </w:rPr>
        <w:t xml:space="preserve">  </w:t>
      </w:r>
      <w:r>
        <w:rPr>
          <w:rFonts w:hint="eastAsia" w:ascii="宋体" w:hAnsi="宋体"/>
          <w:color w:val="000000"/>
          <w:szCs w:val="21"/>
          <w:lang w:eastAsia="zh-CN"/>
        </w:rPr>
        <w:t>（</w:t>
      </w:r>
      <w:r>
        <w:rPr>
          <w:rFonts w:hint="eastAsia" w:ascii="宋体" w:hAnsi="宋体"/>
          <w:color w:val="000000"/>
          <w:szCs w:val="21"/>
        </w:rPr>
        <w:t>公章</w:t>
      </w:r>
      <w:r>
        <w:rPr>
          <w:rFonts w:hint="eastAsia" w:ascii="宋体" w:hAnsi="宋体"/>
          <w:color w:val="000000"/>
          <w:szCs w:val="21"/>
          <w:lang w:eastAsia="zh-CN"/>
        </w:rPr>
        <w:t>）</w:t>
      </w:r>
      <w:r>
        <w:rPr>
          <w:rFonts w:ascii="宋体" w:hAnsi="宋体"/>
          <w:color w:val="000000"/>
          <w:szCs w:val="21"/>
        </w:rPr>
        <w:t xml:space="preserve">          </w:t>
      </w:r>
      <w:r>
        <w:rPr>
          <w:rFonts w:hint="eastAsia" w:ascii="宋体" w:hAnsi="宋体"/>
          <w:color w:val="000000"/>
          <w:szCs w:val="21"/>
        </w:rPr>
        <w:t>承包人：</w:t>
      </w:r>
      <w:r>
        <w:rPr>
          <w:rFonts w:ascii="宋体" w:hAnsi="宋体"/>
          <w:color w:val="000000"/>
          <w:szCs w:val="21"/>
        </w:rPr>
        <w:t xml:space="preserve">  </w:t>
      </w:r>
      <w:r>
        <w:rPr>
          <w:rFonts w:hint="eastAsia" w:ascii="宋体" w:hAnsi="宋体"/>
          <w:color w:val="000000"/>
          <w:szCs w:val="21"/>
          <w:lang w:eastAsia="zh-CN"/>
        </w:rPr>
        <w:t>（</w:t>
      </w:r>
      <w:r>
        <w:rPr>
          <w:rFonts w:hint="eastAsia" w:ascii="宋体" w:hAnsi="宋体"/>
          <w:color w:val="000000"/>
          <w:szCs w:val="21"/>
        </w:rPr>
        <w:t>公章</w:t>
      </w:r>
      <w:r>
        <w:rPr>
          <w:rFonts w:hint="eastAsia" w:ascii="宋体" w:hAnsi="宋体"/>
          <w:color w:val="000000"/>
          <w:szCs w:val="21"/>
          <w:lang w:eastAsia="zh-CN"/>
        </w:rPr>
        <w:t>）</w:t>
      </w:r>
    </w:p>
    <w:p>
      <w:pPr>
        <w:rPr>
          <w:rFonts w:ascii="宋体" w:hAnsi="宋体"/>
          <w:color w:val="000000"/>
          <w:szCs w:val="21"/>
        </w:rPr>
      </w:pPr>
    </w:p>
    <w:p>
      <w:pPr>
        <w:rPr>
          <w:rFonts w:ascii="宋体" w:hAnsi="宋体"/>
          <w:color w:val="000000"/>
          <w:szCs w:val="21"/>
        </w:rPr>
      </w:pPr>
    </w:p>
    <w:p>
      <w:pPr>
        <w:rPr>
          <w:rFonts w:ascii="宋体" w:hAnsi="宋体"/>
          <w:color w:val="000000"/>
          <w:szCs w:val="21"/>
          <w:u w:val="single"/>
        </w:rPr>
      </w:pPr>
    </w:p>
    <w:p>
      <w:pPr>
        <w:rPr>
          <w:rFonts w:ascii="宋体" w:hAnsi="宋体"/>
          <w:color w:val="000000"/>
          <w:szCs w:val="21"/>
        </w:rPr>
      </w:pPr>
      <w:r>
        <w:rPr>
          <w:rFonts w:hint="eastAsia" w:ascii="宋体" w:hAnsi="宋体"/>
          <w:color w:val="000000"/>
          <w:szCs w:val="21"/>
        </w:rPr>
        <w:t>法定代表人或其委托代理人：          法定代表人或其委托代理人：</w:t>
      </w:r>
    </w:p>
    <w:p>
      <w:pPr>
        <w:ind w:firstLine="840" w:firstLineChars="400"/>
        <w:rPr>
          <w:rFonts w:ascii="宋体" w:hAnsi="宋体"/>
          <w:color w:val="000000"/>
          <w:szCs w:val="21"/>
        </w:rPr>
      </w:pPr>
      <w:r>
        <w:rPr>
          <w:rFonts w:hint="eastAsia" w:ascii="宋体" w:hAnsi="宋体"/>
          <w:color w:val="000000"/>
          <w:szCs w:val="21"/>
        </w:rPr>
        <w:t>（签字或盖章）      （签字或盖章）</w:t>
      </w:r>
    </w:p>
    <w:p>
      <w:pPr>
        <w:rPr>
          <w:rFonts w:ascii="宋体" w:hAnsi="宋体"/>
          <w:color w:val="000000"/>
          <w:szCs w:val="21"/>
          <w:u w:val="single"/>
        </w:rPr>
      </w:pPr>
    </w:p>
    <w:p>
      <w:pPr>
        <w:rPr>
          <w:rFonts w:ascii="宋体" w:hAnsi="宋体"/>
          <w:color w:val="000000"/>
          <w:szCs w:val="21"/>
          <w:u w:val="single"/>
        </w:rPr>
      </w:pPr>
    </w:p>
    <w:p>
      <w:pPr>
        <w:rPr>
          <w:rFonts w:ascii="宋体" w:hAnsi="宋体"/>
          <w:color w:val="000000"/>
          <w:szCs w:val="21"/>
          <w:u w:val="single"/>
        </w:rPr>
      </w:pPr>
    </w:p>
    <w:p>
      <w:pPr>
        <w:tabs>
          <w:tab w:val="left" w:pos="4410"/>
        </w:tabs>
        <w:rPr>
          <w:rFonts w:ascii="宋体" w:hAnsi="宋体"/>
          <w:color w:val="000000"/>
          <w:szCs w:val="21"/>
        </w:rPr>
      </w:pPr>
      <w:r>
        <w:rPr>
          <w:rFonts w:hint="eastAsia" w:ascii="宋体" w:hAnsi="宋体"/>
          <w:color w:val="000000"/>
          <w:szCs w:val="21"/>
        </w:rPr>
        <w:t>组织机构代码：</w:t>
      </w:r>
      <w:permStart w:id="248" w:edGrp="everyone"/>
      <w:r>
        <w:rPr>
          <w:rFonts w:hint="eastAsia" w:ascii="宋体" w:hAnsi="宋体" w:cs="仿宋_GB2312"/>
          <w:color w:val="000000"/>
          <w:szCs w:val="21"/>
          <w:u w:val="single"/>
        </w:rPr>
        <w:t></w:t>
      </w:r>
      <w:permEnd w:id="248"/>
      <w:r>
        <w:rPr>
          <w:rFonts w:hint="eastAsia" w:ascii="宋体" w:hAnsi="宋体"/>
          <w:color w:val="000000"/>
          <w:szCs w:val="21"/>
        </w:rPr>
        <w:t>组织机构代码：</w:t>
      </w:r>
      <w:permStart w:id="249" w:edGrp="everyone"/>
      <w:r>
        <w:rPr>
          <w:rFonts w:hint="eastAsia" w:ascii="宋体" w:hAnsi="宋体" w:cs="仿宋_GB2312"/>
          <w:color w:val="000000"/>
          <w:szCs w:val="21"/>
          <w:u w:val="single"/>
        </w:rPr>
        <w:t></w:t>
      </w:r>
      <w:permEnd w:id="249"/>
    </w:p>
    <w:p>
      <w:pPr>
        <w:rPr>
          <w:rFonts w:ascii="宋体" w:hAnsi="宋体"/>
          <w:color w:val="000000"/>
          <w:szCs w:val="21"/>
        </w:rPr>
      </w:pPr>
      <w:r>
        <w:rPr>
          <w:rFonts w:hint="eastAsia" w:ascii="宋体" w:hAnsi="宋体"/>
          <w:color w:val="000000"/>
          <w:szCs w:val="21"/>
        </w:rPr>
        <w:t>地址：</w:t>
      </w:r>
      <w:permStart w:id="250" w:edGrp="everyone"/>
      <w:r>
        <w:rPr>
          <w:rFonts w:ascii="宋体" w:hAnsi="宋体"/>
          <w:color w:val="000000"/>
          <w:szCs w:val="21"/>
          <w:u w:val="single"/>
        </w:rPr>
        <w:t xml:space="preserve">     </w:t>
      </w:r>
      <w:permEnd w:id="250"/>
      <w:r>
        <w:rPr>
          <w:rFonts w:hint="eastAsia" w:ascii="宋体" w:hAnsi="宋体"/>
          <w:color w:val="000000"/>
          <w:szCs w:val="21"/>
        </w:rPr>
        <w:t>地址：</w:t>
      </w:r>
      <w:permStart w:id="251" w:edGrp="everyone"/>
      <w:r>
        <w:rPr>
          <w:rFonts w:hint="eastAsia" w:ascii="宋体" w:hAnsi="宋体" w:cs="仿宋_GB2312"/>
          <w:color w:val="000000"/>
          <w:szCs w:val="21"/>
          <w:u w:val="single"/>
        </w:rPr>
        <w:t></w:t>
      </w:r>
    </w:p>
    <w:permEnd w:id="251"/>
    <w:p>
      <w:pPr>
        <w:rPr>
          <w:rFonts w:ascii="宋体" w:hAnsi="宋体"/>
          <w:color w:val="000000"/>
          <w:szCs w:val="21"/>
        </w:rPr>
      </w:pPr>
      <w:r>
        <w:rPr>
          <w:rFonts w:hint="eastAsia" w:ascii="宋体" w:hAnsi="宋体"/>
          <w:color w:val="000000"/>
          <w:szCs w:val="21"/>
        </w:rPr>
        <w:t>邮政编码：</w:t>
      </w:r>
      <w:permStart w:id="252" w:edGrp="everyone"/>
      <w:r>
        <w:rPr>
          <w:rFonts w:ascii="宋体" w:hAnsi="宋体"/>
          <w:color w:val="000000"/>
          <w:szCs w:val="21"/>
          <w:u w:val="single"/>
        </w:rPr>
        <w:t xml:space="preserve">  </w:t>
      </w:r>
      <w:r>
        <w:rPr>
          <w:rFonts w:hint="eastAsia" w:ascii="宋体" w:hAnsi="宋体" w:cs="仿宋_GB2312"/>
          <w:color w:val="000000"/>
          <w:szCs w:val="21"/>
          <w:u w:val="single"/>
        </w:rPr>
        <w:t></w:t>
      </w:r>
      <w:permEnd w:id="252"/>
      <w:r>
        <w:rPr>
          <w:rFonts w:hint="eastAsia" w:ascii="宋体" w:hAnsi="宋体"/>
          <w:color w:val="000000"/>
          <w:szCs w:val="21"/>
        </w:rPr>
        <w:t>邮政编码：</w:t>
      </w:r>
      <w:permStart w:id="253" w:edGrp="everyone"/>
      <w:r>
        <w:rPr>
          <w:rFonts w:hint="eastAsia" w:ascii="宋体" w:hAnsi="宋体" w:cs="仿宋_GB2312"/>
          <w:color w:val="000000"/>
          <w:szCs w:val="21"/>
          <w:u w:val="single"/>
        </w:rPr>
        <w:t></w:t>
      </w:r>
      <w:permEnd w:id="253"/>
    </w:p>
    <w:p>
      <w:pPr>
        <w:rPr>
          <w:rFonts w:ascii="宋体" w:hAnsi="宋体"/>
          <w:color w:val="000000"/>
          <w:szCs w:val="21"/>
        </w:rPr>
      </w:pPr>
      <w:r>
        <w:rPr>
          <w:rFonts w:hint="eastAsia" w:ascii="宋体" w:hAnsi="宋体"/>
          <w:color w:val="000000"/>
          <w:szCs w:val="21"/>
        </w:rPr>
        <w:t>法定代表人：</w:t>
      </w:r>
      <w:permStart w:id="254" w:edGrp="everyone"/>
      <w:r>
        <w:rPr>
          <w:rFonts w:hint="eastAsia" w:ascii="宋体" w:hAnsi="宋体" w:cs="仿宋_GB2312"/>
          <w:color w:val="000000"/>
          <w:szCs w:val="21"/>
          <w:u w:val="single"/>
        </w:rPr>
        <w:t></w:t>
      </w:r>
      <w:permEnd w:id="254"/>
      <w:r>
        <w:rPr>
          <w:rFonts w:hint="eastAsia" w:ascii="宋体" w:hAnsi="宋体"/>
          <w:color w:val="000000"/>
          <w:szCs w:val="21"/>
        </w:rPr>
        <w:t>法定代表人：</w:t>
      </w:r>
      <w:permStart w:id="255" w:edGrp="everyone"/>
      <w:r>
        <w:rPr>
          <w:rFonts w:hint="eastAsia" w:ascii="宋体" w:hAnsi="宋体" w:cs="仿宋_GB2312"/>
          <w:color w:val="000000"/>
          <w:szCs w:val="21"/>
          <w:u w:val="single"/>
        </w:rPr>
        <w:t></w:t>
      </w:r>
      <w:permEnd w:id="255"/>
    </w:p>
    <w:p>
      <w:pPr>
        <w:rPr>
          <w:rFonts w:ascii="宋体" w:hAnsi="宋体"/>
          <w:color w:val="000000"/>
          <w:szCs w:val="21"/>
        </w:rPr>
      </w:pPr>
      <w:r>
        <w:rPr>
          <w:rFonts w:hint="eastAsia" w:ascii="宋体" w:hAnsi="宋体"/>
          <w:color w:val="000000"/>
          <w:szCs w:val="21"/>
        </w:rPr>
        <w:t>委托代理人：</w:t>
      </w:r>
      <w:permStart w:id="256" w:edGrp="everyone"/>
      <w:r>
        <w:rPr>
          <w:rFonts w:hint="eastAsia" w:ascii="宋体" w:hAnsi="宋体" w:cs="仿宋_GB2312"/>
          <w:color w:val="000000"/>
          <w:szCs w:val="21"/>
          <w:u w:val="single"/>
        </w:rPr>
        <w:t></w:t>
      </w:r>
      <w:permEnd w:id="256"/>
      <w:r>
        <w:rPr>
          <w:rFonts w:hint="eastAsia" w:ascii="宋体" w:hAnsi="宋体"/>
          <w:color w:val="000000"/>
          <w:szCs w:val="21"/>
        </w:rPr>
        <w:t>委托代理人：</w:t>
      </w:r>
      <w:permStart w:id="257" w:edGrp="everyone"/>
      <w:r>
        <w:rPr>
          <w:rFonts w:hint="eastAsia" w:ascii="宋体" w:hAnsi="宋体" w:cs="仿宋_GB2312"/>
          <w:color w:val="000000"/>
          <w:szCs w:val="21"/>
          <w:u w:val="single"/>
        </w:rPr>
        <w:t></w:t>
      </w:r>
      <w:permEnd w:id="257"/>
    </w:p>
    <w:p>
      <w:pPr>
        <w:rPr>
          <w:rFonts w:ascii="宋体" w:hAnsi="宋体"/>
          <w:color w:val="000000"/>
          <w:szCs w:val="21"/>
        </w:rPr>
      </w:pPr>
      <w:r>
        <w:rPr>
          <w:rFonts w:hint="eastAsia" w:ascii="宋体" w:hAnsi="宋体"/>
          <w:color w:val="000000"/>
          <w:szCs w:val="21"/>
        </w:rPr>
        <w:t>电话：</w:t>
      </w:r>
      <w:permStart w:id="258" w:edGrp="everyone"/>
      <w:r>
        <w:rPr>
          <w:rFonts w:hint="eastAsia" w:ascii="宋体" w:hAnsi="宋体" w:cs="仿宋_GB2312"/>
          <w:color w:val="000000"/>
          <w:szCs w:val="21"/>
          <w:u w:val="single"/>
        </w:rPr>
        <w:t></w:t>
      </w:r>
      <w:permEnd w:id="258"/>
      <w:r>
        <w:rPr>
          <w:rFonts w:hint="eastAsia" w:ascii="宋体" w:hAnsi="宋体"/>
          <w:color w:val="000000"/>
          <w:szCs w:val="21"/>
        </w:rPr>
        <w:t>电话：</w:t>
      </w:r>
      <w:permStart w:id="259" w:edGrp="everyone"/>
      <w:r>
        <w:rPr>
          <w:rFonts w:hint="eastAsia" w:ascii="宋体" w:hAnsi="宋体" w:cs="仿宋_GB2312"/>
          <w:color w:val="000000"/>
          <w:szCs w:val="21"/>
          <w:u w:val="single"/>
        </w:rPr>
        <w:t></w:t>
      </w:r>
      <w:permEnd w:id="259"/>
    </w:p>
    <w:p>
      <w:pPr>
        <w:rPr>
          <w:rFonts w:ascii="宋体" w:hAnsi="宋体"/>
          <w:color w:val="000000"/>
          <w:szCs w:val="21"/>
        </w:rPr>
      </w:pPr>
      <w:r>
        <w:rPr>
          <w:rFonts w:hint="eastAsia" w:ascii="宋体" w:hAnsi="宋体"/>
          <w:color w:val="000000"/>
          <w:szCs w:val="21"/>
        </w:rPr>
        <w:t>传真：</w:t>
      </w:r>
      <w:permStart w:id="260" w:edGrp="everyone"/>
      <w:r>
        <w:rPr>
          <w:rFonts w:hint="eastAsia" w:ascii="宋体" w:hAnsi="宋体" w:cs="仿宋_GB2312"/>
          <w:color w:val="000000"/>
          <w:szCs w:val="21"/>
          <w:u w:val="single"/>
        </w:rPr>
        <w:t></w:t>
      </w:r>
      <w:permEnd w:id="260"/>
      <w:r>
        <w:rPr>
          <w:rFonts w:hint="eastAsia" w:ascii="宋体" w:hAnsi="宋体"/>
          <w:color w:val="000000"/>
          <w:szCs w:val="21"/>
        </w:rPr>
        <w:t>传真：</w:t>
      </w:r>
      <w:permStart w:id="261" w:edGrp="everyone"/>
      <w:r>
        <w:rPr>
          <w:rFonts w:hint="eastAsia" w:ascii="宋体" w:hAnsi="宋体" w:cs="仿宋_GB2312"/>
          <w:color w:val="000000"/>
          <w:szCs w:val="21"/>
          <w:u w:val="single"/>
        </w:rPr>
        <w:t></w:t>
      </w:r>
      <w:permEnd w:id="261"/>
    </w:p>
    <w:p>
      <w:pPr>
        <w:rPr>
          <w:rFonts w:ascii="宋体" w:hAnsi="宋体"/>
          <w:color w:val="000000"/>
          <w:szCs w:val="21"/>
        </w:rPr>
      </w:pPr>
      <w:r>
        <w:rPr>
          <w:rFonts w:hint="eastAsia" w:ascii="宋体" w:hAnsi="宋体"/>
          <w:color w:val="000000"/>
          <w:szCs w:val="21"/>
        </w:rPr>
        <w:t>电子信箱：</w:t>
      </w:r>
      <w:permStart w:id="262" w:edGrp="everyone"/>
      <w:permEnd w:id="262"/>
      <w:r>
        <w:rPr>
          <w:rFonts w:hint="eastAsia" w:ascii="宋体" w:hAnsi="宋体"/>
          <w:color w:val="000000"/>
          <w:szCs w:val="21"/>
        </w:rPr>
        <w:t>电子信箱：</w:t>
      </w:r>
      <w:permStart w:id="263" w:edGrp="everyone"/>
      <w:r>
        <w:rPr>
          <w:rFonts w:hint="eastAsia" w:ascii="宋体" w:hAnsi="宋体" w:cs="仿宋_GB2312"/>
          <w:color w:val="000000"/>
          <w:szCs w:val="21"/>
          <w:u w:val="single"/>
        </w:rPr>
        <w:t></w:t>
      </w:r>
      <w:permEnd w:id="263"/>
    </w:p>
    <w:p>
      <w:pPr>
        <w:rPr>
          <w:rFonts w:ascii="宋体" w:hAnsi="宋体"/>
          <w:color w:val="000000"/>
          <w:szCs w:val="21"/>
        </w:rPr>
      </w:pPr>
      <w:r>
        <w:rPr>
          <w:rFonts w:hint="eastAsia" w:ascii="宋体" w:hAnsi="宋体"/>
          <w:color w:val="000000"/>
          <w:szCs w:val="21"/>
        </w:rPr>
        <w:t>开户银行：</w:t>
      </w:r>
      <w:permStart w:id="264" w:edGrp="everyone"/>
      <w:r>
        <w:rPr>
          <w:rFonts w:hint="eastAsia" w:ascii="宋体" w:hAnsi="宋体" w:cs="仿宋_GB2312"/>
          <w:color w:val="000000"/>
          <w:szCs w:val="21"/>
          <w:u w:val="single"/>
        </w:rPr>
        <w:t></w:t>
      </w:r>
      <w:permEnd w:id="264"/>
      <w:r>
        <w:rPr>
          <w:rFonts w:hint="eastAsia" w:ascii="宋体" w:hAnsi="宋体"/>
          <w:color w:val="000000"/>
          <w:szCs w:val="21"/>
        </w:rPr>
        <w:t>开户银行：</w:t>
      </w:r>
      <w:permStart w:id="265" w:edGrp="everyone"/>
      <w:r>
        <w:rPr>
          <w:rFonts w:hint="eastAsia" w:ascii="宋体" w:hAnsi="宋体" w:cs="仿宋_GB2312"/>
          <w:color w:val="000000"/>
          <w:szCs w:val="21"/>
          <w:u w:val="single"/>
        </w:rPr>
        <w:t></w:t>
      </w:r>
      <w:permEnd w:id="265"/>
    </w:p>
    <w:p>
      <w:pPr>
        <w:rPr>
          <w:rFonts w:ascii="宋体" w:hAnsi="宋体"/>
          <w:color w:val="000000"/>
          <w:szCs w:val="21"/>
        </w:rPr>
      </w:pPr>
      <w:r>
        <w:rPr>
          <w:rFonts w:hint="eastAsia" w:ascii="宋体" w:hAnsi="宋体"/>
          <w:color w:val="000000"/>
          <w:szCs w:val="21"/>
        </w:rPr>
        <w:t>账号：</w:t>
      </w:r>
      <w:permStart w:id="266" w:edGrp="everyone"/>
      <w:r>
        <w:rPr>
          <w:rFonts w:hint="eastAsia" w:ascii="宋体" w:hAnsi="宋体" w:cs="仿宋_GB2312"/>
          <w:color w:val="000000"/>
          <w:szCs w:val="21"/>
          <w:u w:val="single"/>
        </w:rPr>
        <w:t></w:t>
      </w:r>
      <w:r>
        <w:rPr>
          <w:rFonts w:ascii="宋体" w:hAnsi="宋体"/>
          <w:color w:val="000000"/>
          <w:szCs w:val="21"/>
          <w:u w:val="single"/>
        </w:rPr>
        <w:t xml:space="preserve">       </w:t>
      </w:r>
      <w:permEnd w:id="266"/>
      <w:r>
        <w:rPr>
          <w:rFonts w:hint="eastAsia" w:ascii="宋体" w:hAnsi="宋体"/>
          <w:color w:val="000000"/>
          <w:szCs w:val="21"/>
        </w:rPr>
        <w:t>账号：</w:t>
      </w:r>
      <w:permStart w:id="267" w:edGrp="everyone"/>
      <w:r>
        <w:rPr>
          <w:rFonts w:hint="eastAsia" w:ascii="宋体" w:hAnsi="宋体" w:cs="仿宋_GB2312"/>
          <w:color w:val="000000"/>
          <w:szCs w:val="21"/>
          <w:u w:val="single"/>
        </w:rPr>
        <w:t></w:t>
      </w:r>
      <w:permEnd w:id="267"/>
    </w:p>
    <w:p>
      <w:pPr>
        <w:pStyle w:val="4"/>
        <w:jc w:val="center"/>
        <w:rPr>
          <w:rFonts w:ascii="黑体" w:hAnsi="宋体" w:eastAsia="黑体"/>
          <w:b w:val="0"/>
          <w:color w:val="000000"/>
          <w:sz w:val="28"/>
          <w:szCs w:val="28"/>
        </w:rPr>
      </w:pPr>
      <w:r>
        <w:rPr>
          <w:rFonts w:ascii="宋体" w:hAnsi="宋体"/>
          <w:color w:val="000000"/>
          <w:sz w:val="21"/>
          <w:szCs w:val="21"/>
        </w:rPr>
        <w:br w:type="page"/>
      </w:r>
      <w:bookmarkStart w:id="342" w:name="_Toc362623165"/>
      <w:bookmarkStart w:id="343" w:name="_Toc114222801"/>
      <w:r>
        <w:rPr>
          <w:rFonts w:hint="eastAsia" w:ascii="黑体" w:hAnsi="宋体" w:eastAsia="黑体"/>
          <w:b w:val="0"/>
          <w:color w:val="000000"/>
          <w:sz w:val="28"/>
          <w:szCs w:val="28"/>
        </w:rPr>
        <w:t xml:space="preserve">第二节 </w:t>
      </w:r>
      <w:r>
        <w:rPr>
          <w:rFonts w:ascii="黑体" w:hAnsi="宋体" w:eastAsia="黑体"/>
          <w:b w:val="0"/>
          <w:color w:val="000000"/>
          <w:sz w:val="28"/>
          <w:szCs w:val="28"/>
        </w:rPr>
        <w:t xml:space="preserve"> </w:t>
      </w:r>
      <w:r>
        <w:rPr>
          <w:rFonts w:hint="eastAsia" w:ascii="黑体" w:hAnsi="宋体" w:eastAsia="黑体"/>
          <w:b w:val="0"/>
          <w:color w:val="000000"/>
          <w:sz w:val="28"/>
          <w:szCs w:val="28"/>
        </w:rPr>
        <w:t>通用合同条款</w:t>
      </w:r>
      <w:bookmarkEnd w:id="342"/>
      <w:bookmarkEnd w:id="343"/>
      <w:bookmarkStart w:id="344" w:name="_Toc337558727"/>
    </w:p>
    <w:p>
      <w:pPr>
        <w:pStyle w:val="5"/>
        <w:spacing w:before="120" w:after="120" w:line="360" w:lineRule="auto"/>
        <w:rPr>
          <w:rFonts w:ascii="黑体" w:hAnsi="黑体"/>
          <w:b w:val="0"/>
          <w:color w:val="000000"/>
        </w:rPr>
      </w:pPr>
      <w:bookmarkStart w:id="345" w:name="_Toc362623166"/>
      <w:bookmarkStart w:id="346" w:name="_Toc114222802"/>
      <w:r>
        <w:rPr>
          <w:rFonts w:ascii="黑体" w:hAnsi="黑体"/>
          <w:b w:val="0"/>
          <w:color w:val="000000"/>
        </w:rPr>
        <w:t>1.</w:t>
      </w:r>
      <w:bookmarkStart w:id="347" w:name="_Toc303538976"/>
      <w:bookmarkEnd w:id="347"/>
      <w:bookmarkStart w:id="348" w:name="_Toc303538974"/>
      <w:bookmarkEnd w:id="348"/>
      <w:bookmarkStart w:id="349" w:name="_Toc303538975"/>
      <w:bookmarkEnd w:id="349"/>
      <w:bookmarkStart w:id="350" w:name="_Toc303538973"/>
      <w:bookmarkEnd w:id="350"/>
      <w:bookmarkStart w:id="351" w:name="_Toc303538972"/>
      <w:bookmarkEnd w:id="351"/>
      <w:bookmarkStart w:id="352" w:name="_Toc296503027"/>
      <w:bookmarkStart w:id="353" w:name="_Toc296346528"/>
      <w:r>
        <w:rPr>
          <w:rFonts w:hint="eastAsia" w:ascii="黑体" w:hAnsi="黑体"/>
          <w:b w:val="0"/>
          <w:color w:val="000000"/>
        </w:rPr>
        <w:t>一般约定</w:t>
      </w:r>
      <w:bookmarkEnd w:id="344"/>
      <w:bookmarkEnd w:id="345"/>
      <w:bookmarkEnd w:id="346"/>
      <w:bookmarkEnd w:id="352"/>
      <w:bookmarkEnd w:id="353"/>
    </w:p>
    <w:p>
      <w:pPr>
        <w:rPr>
          <w:rFonts w:ascii="黑体" w:hAnsi="黑体" w:eastAsia="黑体"/>
          <w:color w:val="000000"/>
        </w:rPr>
      </w:pPr>
      <w:bookmarkStart w:id="354" w:name="_Toc296346529"/>
      <w:bookmarkStart w:id="355" w:name="_Toc296503028"/>
      <w:bookmarkStart w:id="356" w:name="_Toc337558728"/>
      <w:r>
        <w:rPr>
          <w:rFonts w:ascii="黑体" w:hAnsi="黑体" w:eastAsia="黑体"/>
          <w:color w:val="000000"/>
        </w:rPr>
        <w:t>1.1</w:t>
      </w:r>
      <w:r>
        <w:rPr>
          <w:rFonts w:hint="eastAsia" w:ascii="黑体" w:hAnsi="黑体" w:eastAsia="黑体"/>
          <w:color w:val="000000"/>
        </w:rPr>
        <w:t>词语定义</w:t>
      </w:r>
      <w:bookmarkEnd w:id="354"/>
      <w:bookmarkEnd w:id="355"/>
      <w:bookmarkEnd w:id="356"/>
      <w:r>
        <w:rPr>
          <w:rFonts w:hint="eastAsia" w:ascii="黑体" w:hAnsi="黑体" w:eastAsia="黑体"/>
          <w:color w:val="000000"/>
        </w:rPr>
        <w:t>与解释</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合同协议书、通用合同条款、专用合同条款中的下列词语具有本款所赋予的含义：</w:t>
      </w:r>
    </w:p>
    <w:p>
      <w:pPr>
        <w:autoSpaceDE w:val="0"/>
        <w:autoSpaceDN w:val="0"/>
        <w:adjustRightInd w:val="0"/>
        <w:spacing w:line="360" w:lineRule="auto"/>
        <w:jc w:val="left"/>
        <w:rPr>
          <w:rFonts w:ascii="宋体" w:hAnsi="宋体"/>
          <w:color w:val="000000"/>
          <w:kern w:val="0"/>
          <w:szCs w:val="21"/>
        </w:rPr>
      </w:pPr>
      <w:r>
        <w:rPr>
          <w:rFonts w:ascii="宋体" w:hAnsi="宋体"/>
          <w:color w:val="000000"/>
          <w:kern w:val="0"/>
          <w:szCs w:val="21"/>
        </w:rPr>
        <w:t xml:space="preserve">    1.1.1 </w:t>
      </w:r>
      <w:r>
        <w:rPr>
          <w:rFonts w:hint="eastAsia" w:ascii="宋体" w:hAnsi="宋体"/>
          <w:color w:val="000000"/>
          <w:kern w:val="0"/>
          <w:szCs w:val="21"/>
        </w:rPr>
        <w:t>合同</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1.1.1.1 </w:t>
      </w:r>
      <w:r>
        <w:rPr>
          <w:rFonts w:hint="eastAsia" w:ascii="宋体" w:hAnsi="宋体"/>
          <w:color w:val="000000"/>
          <w:kern w:val="0"/>
          <w:szCs w:val="21"/>
        </w:rPr>
        <w:t>合同：是指根据法律规定和合同当事人约定具有约束力的文件，构成合同的文件包括合同协议书、中标通知书（如果有）、投标函及其附录（如果有）、专用合同条款</w:t>
      </w:r>
      <w:r>
        <w:rPr>
          <w:rFonts w:hint="eastAsia" w:ascii="宋体" w:hAnsi="宋体"/>
          <w:color w:val="000000"/>
          <w:szCs w:val="21"/>
        </w:rPr>
        <w:t>及其附件</w:t>
      </w:r>
      <w:r>
        <w:rPr>
          <w:rFonts w:hint="eastAsia" w:ascii="宋体" w:hAnsi="宋体"/>
          <w:color w:val="000000"/>
          <w:kern w:val="0"/>
          <w:szCs w:val="21"/>
        </w:rPr>
        <w:t>、通用合同条款、技术标准和要求、图纸、已标价工程量清单或预算书以及其他合同文件。</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1.1.1.2 </w:t>
      </w:r>
      <w:r>
        <w:rPr>
          <w:rFonts w:hint="eastAsia" w:ascii="宋体" w:hAnsi="宋体"/>
          <w:color w:val="000000"/>
          <w:kern w:val="0"/>
          <w:szCs w:val="21"/>
        </w:rPr>
        <w:t>合同协议书：是指构成合同的由发包人和承包人共同签署的称为</w:t>
      </w:r>
      <w:r>
        <w:rPr>
          <w:rFonts w:ascii="宋体" w:hAnsi="宋体"/>
          <w:color w:val="000000"/>
          <w:kern w:val="0"/>
          <w:szCs w:val="21"/>
        </w:rPr>
        <w:t>“</w:t>
      </w:r>
      <w:r>
        <w:rPr>
          <w:rFonts w:hint="eastAsia" w:ascii="宋体" w:hAnsi="宋体"/>
          <w:color w:val="000000"/>
          <w:kern w:val="0"/>
          <w:szCs w:val="21"/>
        </w:rPr>
        <w:t>合同协议书</w:t>
      </w:r>
      <w:r>
        <w:rPr>
          <w:rFonts w:ascii="宋体" w:hAnsi="宋体"/>
          <w:color w:val="000000"/>
          <w:kern w:val="0"/>
          <w:szCs w:val="21"/>
        </w:rPr>
        <w:t>”</w:t>
      </w:r>
      <w:r>
        <w:rPr>
          <w:rFonts w:hint="eastAsia" w:ascii="宋体" w:hAnsi="宋体"/>
          <w:color w:val="000000"/>
          <w:kern w:val="0"/>
          <w:szCs w:val="21"/>
        </w:rPr>
        <w:t>的书面文件。</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1.1.1.3 </w:t>
      </w:r>
      <w:r>
        <w:rPr>
          <w:rFonts w:hint="eastAsia" w:ascii="宋体" w:hAnsi="宋体"/>
          <w:color w:val="000000"/>
          <w:kern w:val="0"/>
          <w:szCs w:val="21"/>
        </w:rPr>
        <w:t>中标通知书：是指构成合同的由发包人通知承包人中标的书面文件。</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1.1.1.4 </w:t>
      </w:r>
      <w:r>
        <w:rPr>
          <w:rFonts w:hint="eastAsia" w:ascii="宋体" w:hAnsi="宋体"/>
          <w:color w:val="000000"/>
          <w:kern w:val="0"/>
          <w:szCs w:val="21"/>
        </w:rPr>
        <w:t>投标函：是指构成合同的由承包人填写并签署的用于投标的称为</w:t>
      </w:r>
      <w:r>
        <w:rPr>
          <w:rFonts w:ascii="宋体" w:hAnsi="宋体"/>
          <w:color w:val="000000"/>
          <w:kern w:val="0"/>
          <w:szCs w:val="21"/>
        </w:rPr>
        <w:t>“</w:t>
      </w:r>
      <w:r>
        <w:rPr>
          <w:rFonts w:hint="eastAsia" w:ascii="宋体" w:hAnsi="宋体"/>
          <w:color w:val="000000"/>
          <w:kern w:val="0"/>
          <w:szCs w:val="21"/>
        </w:rPr>
        <w:t>投标函</w:t>
      </w:r>
      <w:r>
        <w:rPr>
          <w:rFonts w:ascii="宋体" w:hAnsi="宋体"/>
          <w:color w:val="000000"/>
          <w:kern w:val="0"/>
          <w:szCs w:val="21"/>
        </w:rPr>
        <w:t>”</w:t>
      </w:r>
      <w:r>
        <w:rPr>
          <w:rFonts w:hint="eastAsia" w:ascii="宋体" w:hAnsi="宋体"/>
          <w:color w:val="000000"/>
          <w:kern w:val="0"/>
          <w:szCs w:val="21"/>
        </w:rPr>
        <w:t>的文件。</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1.1.1.5 </w:t>
      </w:r>
      <w:r>
        <w:rPr>
          <w:rFonts w:hint="eastAsia" w:ascii="宋体" w:hAnsi="宋体"/>
          <w:color w:val="000000"/>
          <w:kern w:val="0"/>
          <w:szCs w:val="21"/>
        </w:rPr>
        <w:t>投标函附录：是指构成合同的附在投标函后的称为</w:t>
      </w:r>
      <w:r>
        <w:rPr>
          <w:rFonts w:ascii="宋体" w:hAnsi="宋体"/>
          <w:color w:val="000000"/>
          <w:kern w:val="0"/>
          <w:szCs w:val="21"/>
        </w:rPr>
        <w:t>“</w:t>
      </w:r>
      <w:r>
        <w:rPr>
          <w:rFonts w:hint="eastAsia" w:ascii="宋体" w:hAnsi="宋体"/>
          <w:color w:val="000000"/>
          <w:kern w:val="0"/>
          <w:szCs w:val="21"/>
        </w:rPr>
        <w:t>投标函附录</w:t>
      </w:r>
      <w:r>
        <w:rPr>
          <w:rFonts w:ascii="宋体" w:hAnsi="宋体"/>
          <w:color w:val="000000"/>
          <w:kern w:val="0"/>
          <w:szCs w:val="21"/>
        </w:rPr>
        <w:t>”</w:t>
      </w:r>
      <w:r>
        <w:rPr>
          <w:rFonts w:hint="eastAsia" w:ascii="宋体" w:hAnsi="宋体"/>
          <w:color w:val="000000"/>
          <w:kern w:val="0"/>
          <w:szCs w:val="21"/>
        </w:rPr>
        <w:t>的文件。</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1.1.1.6 </w:t>
      </w:r>
      <w:r>
        <w:rPr>
          <w:rFonts w:hint="eastAsia" w:ascii="宋体" w:hAnsi="宋体"/>
          <w:color w:val="000000"/>
          <w:kern w:val="0"/>
          <w:szCs w:val="21"/>
        </w:rPr>
        <w:t>技术标准和要求：是指构成合同的施工应当遵守的或指导施工的国家、行业或地方的技术标准和要求，以及合同约定的技术标准和要求。</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1.1.1.7 </w:t>
      </w:r>
      <w:r>
        <w:rPr>
          <w:rFonts w:hint="eastAsia" w:ascii="宋体" w:hAnsi="宋体"/>
          <w:color w:val="000000"/>
          <w:kern w:val="0"/>
          <w:szCs w:val="21"/>
        </w:rPr>
        <w:t>图纸：是指构成合同的图纸，包括由发包人按照合同约定提供或经发包人批准的设计文件、施工图、鸟瞰图及模型等，以及在合同履行过程中形成的图纸文件。图纸应当按照法律规定审查合格。</w:t>
      </w:r>
    </w:p>
    <w:p>
      <w:pPr>
        <w:autoSpaceDE w:val="0"/>
        <w:autoSpaceDN w:val="0"/>
        <w:adjustRightInd w:val="0"/>
        <w:spacing w:line="360" w:lineRule="auto"/>
        <w:ind w:firstLine="409" w:firstLineChars="195"/>
        <w:jc w:val="left"/>
        <w:rPr>
          <w:rFonts w:ascii="宋体" w:hAnsi="宋体"/>
          <w:color w:val="000000"/>
          <w:kern w:val="0"/>
          <w:szCs w:val="21"/>
        </w:rPr>
      </w:pPr>
      <w:r>
        <w:rPr>
          <w:rFonts w:ascii="宋体" w:hAnsi="宋体"/>
          <w:color w:val="000000"/>
          <w:kern w:val="0"/>
          <w:szCs w:val="21"/>
        </w:rPr>
        <w:t xml:space="preserve">1.1.1.8 </w:t>
      </w:r>
      <w:r>
        <w:rPr>
          <w:rFonts w:hint="eastAsia" w:ascii="宋体" w:hAnsi="宋体"/>
          <w:color w:val="000000"/>
          <w:kern w:val="0"/>
          <w:szCs w:val="21"/>
        </w:rPr>
        <w:t>已标价工程量清单：是指构成合同的由承包人按照规定的格式和要求填写并标明价格的工程量清单，包括说明和表格。</w:t>
      </w:r>
    </w:p>
    <w:p>
      <w:pPr>
        <w:autoSpaceDE w:val="0"/>
        <w:autoSpaceDN w:val="0"/>
        <w:adjustRightInd w:val="0"/>
        <w:spacing w:line="360" w:lineRule="auto"/>
        <w:ind w:firstLine="409" w:firstLineChars="195"/>
        <w:jc w:val="left"/>
        <w:rPr>
          <w:rFonts w:ascii="宋体" w:hAnsi="宋体"/>
          <w:color w:val="000000"/>
          <w:kern w:val="0"/>
          <w:szCs w:val="21"/>
        </w:rPr>
      </w:pPr>
      <w:r>
        <w:rPr>
          <w:rFonts w:ascii="宋体" w:hAnsi="宋体"/>
          <w:color w:val="000000"/>
          <w:kern w:val="0"/>
          <w:szCs w:val="21"/>
        </w:rPr>
        <w:t xml:space="preserve">1.1.1.9 </w:t>
      </w:r>
      <w:r>
        <w:rPr>
          <w:rFonts w:hint="eastAsia" w:ascii="宋体" w:hAnsi="宋体"/>
          <w:color w:val="000000"/>
          <w:kern w:val="0"/>
          <w:szCs w:val="21"/>
        </w:rPr>
        <w:t>预算书：是指构成合同的由承包人按照发包人规定的格式和要求编制的工程预算文件。</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1.1.1.10 </w:t>
      </w:r>
      <w:r>
        <w:rPr>
          <w:rFonts w:hint="eastAsia" w:ascii="宋体" w:hAnsi="宋体"/>
          <w:color w:val="000000"/>
          <w:kern w:val="0"/>
          <w:szCs w:val="21"/>
        </w:rPr>
        <w:t>其他合同文件：是指经合同当事人约定的与工程施工有关的具有合同约束力的文件或书面协议。合同当事人可以在专用合同条款中进行约定。</w:t>
      </w:r>
    </w:p>
    <w:p>
      <w:pPr>
        <w:autoSpaceDE w:val="0"/>
        <w:autoSpaceDN w:val="0"/>
        <w:adjustRightInd w:val="0"/>
        <w:spacing w:line="360" w:lineRule="auto"/>
        <w:jc w:val="left"/>
        <w:rPr>
          <w:rFonts w:ascii="宋体" w:hAnsi="宋体"/>
          <w:color w:val="000000"/>
          <w:kern w:val="0"/>
          <w:szCs w:val="21"/>
        </w:rPr>
      </w:pPr>
      <w:r>
        <w:rPr>
          <w:rFonts w:ascii="宋体" w:hAnsi="宋体"/>
          <w:color w:val="000000"/>
          <w:kern w:val="0"/>
          <w:szCs w:val="21"/>
        </w:rPr>
        <w:t xml:space="preserve">    1.1.2 </w:t>
      </w:r>
      <w:r>
        <w:rPr>
          <w:rFonts w:hint="eastAsia" w:ascii="宋体" w:hAnsi="宋体"/>
          <w:color w:val="000000"/>
          <w:kern w:val="0"/>
          <w:szCs w:val="21"/>
        </w:rPr>
        <w:t>合同当事人及其他相关方</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1.1.2.1 </w:t>
      </w:r>
      <w:r>
        <w:rPr>
          <w:rFonts w:hint="eastAsia" w:ascii="宋体" w:hAnsi="宋体"/>
          <w:color w:val="000000"/>
          <w:kern w:val="0"/>
          <w:szCs w:val="21"/>
        </w:rPr>
        <w:t>合同当事人：是指发包人和（或）承包人。</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1.1.2.2 </w:t>
      </w:r>
      <w:r>
        <w:rPr>
          <w:rFonts w:hint="eastAsia" w:ascii="宋体" w:hAnsi="宋体"/>
          <w:color w:val="000000"/>
          <w:kern w:val="0"/>
          <w:szCs w:val="21"/>
        </w:rPr>
        <w:t>发包人：是指与承包人签订合同协议书的当事人及取得该当事人资格的合法继承人。</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1.1.2.3 </w:t>
      </w:r>
      <w:r>
        <w:rPr>
          <w:rFonts w:hint="eastAsia" w:ascii="宋体" w:hAnsi="宋体"/>
          <w:color w:val="000000"/>
          <w:kern w:val="0"/>
          <w:szCs w:val="21"/>
        </w:rPr>
        <w:t>承包人：是指与发包人签订合同协议书的，具有相应工程施工承包资质的当事人及取得该当事人资格的合法继承人。</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1.1.2.4 </w:t>
      </w:r>
      <w:r>
        <w:rPr>
          <w:rFonts w:hint="eastAsia" w:ascii="宋体" w:hAnsi="宋体"/>
          <w:color w:val="000000"/>
          <w:kern w:val="0"/>
          <w:szCs w:val="21"/>
        </w:rPr>
        <w:t>监理人：是指在专用合同条款中指明的，受发包人委托按照法律规定进行工程监督管理的法人或其他组织。</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1.1.2.5 </w:t>
      </w:r>
      <w:r>
        <w:rPr>
          <w:rFonts w:hint="eastAsia" w:ascii="宋体" w:hAnsi="宋体"/>
          <w:color w:val="000000"/>
          <w:kern w:val="0"/>
          <w:szCs w:val="21"/>
        </w:rPr>
        <w:t>设计人：是指在专用合同条款中指明的，受发包人委托负责工程设计并具备相应工程设计资质的法人或其他组织。</w:t>
      </w:r>
    </w:p>
    <w:p>
      <w:pPr>
        <w:spacing w:line="360" w:lineRule="auto"/>
        <w:ind w:firstLine="409" w:firstLineChars="195"/>
        <w:jc w:val="left"/>
        <w:rPr>
          <w:rFonts w:ascii="宋体" w:hAnsi="宋体"/>
          <w:color w:val="000000"/>
          <w:kern w:val="0"/>
          <w:szCs w:val="21"/>
        </w:rPr>
      </w:pPr>
      <w:r>
        <w:rPr>
          <w:rFonts w:ascii="宋体" w:hAnsi="宋体"/>
          <w:color w:val="000000"/>
          <w:kern w:val="0"/>
          <w:szCs w:val="21"/>
        </w:rPr>
        <w:t xml:space="preserve">1.1.2.6 </w:t>
      </w:r>
      <w:r>
        <w:rPr>
          <w:rFonts w:hint="eastAsia" w:ascii="宋体" w:hAnsi="宋体"/>
          <w:color w:val="000000"/>
          <w:kern w:val="0"/>
          <w:szCs w:val="21"/>
        </w:rPr>
        <w:t>分包人：</w:t>
      </w:r>
      <w:bookmarkStart w:id="357" w:name="BM_go5"/>
      <w:bookmarkEnd w:id="357"/>
      <w:r>
        <w:rPr>
          <w:rFonts w:hint="eastAsia" w:ascii="宋体" w:hAnsi="宋体"/>
          <w:color w:val="000000"/>
          <w:kern w:val="0"/>
          <w:szCs w:val="21"/>
        </w:rPr>
        <w:t>是指按照法律规定和合同约定，分包部分工程或工作，并与承包人签订分包合同的具有相应资质的法人。</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1.1.2.7 </w:t>
      </w:r>
      <w:r>
        <w:rPr>
          <w:rFonts w:hint="eastAsia" w:ascii="宋体" w:hAnsi="宋体"/>
          <w:color w:val="000000"/>
          <w:kern w:val="0"/>
          <w:szCs w:val="21"/>
        </w:rPr>
        <w:t>发包人代表：是指由发包人任命并派驻施工现场在发包人授权范围内行使发包人权利的人。</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1.1.2.8 </w:t>
      </w:r>
      <w:r>
        <w:rPr>
          <w:rFonts w:hint="eastAsia" w:ascii="宋体" w:hAnsi="宋体"/>
          <w:color w:val="000000"/>
          <w:kern w:val="0"/>
          <w:szCs w:val="21"/>
        </w:rPr>
        <w:t>项目经理：是指由承包人任命并派驻施工现场，在承包人授权范围内负责合同履行，且按照法律规定具有相应资格的项目负责人。</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1.1.2.9 </w:t>
      </w:r>
      <w:r>
        <w:rPr>
          <w:rFonts w:hint="eastAsia" w:ascii="宋体" w:hAnsi="宋体"/>
          <w:color w:val="000000"/>
          <w:kern w:val="0"/>
          <w:szCs w:val="21"/>
        </w:rPr>
        <w:t>总监理工程师：是指由监理人任命并派驻施工现场进行工程监理的总负责人。</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1.1.3 </w:t>
      </w:r>
      <w:r>
        <w:rPr>
          <w:rFonts w:hint="eastAsia" w:ascii="宋体" w:hAnsi="宋体"/>
          <w:color w:val="000000"/>
          <w:kern w:val="0"/>
          <w:szCs w:val="21"/>
        </w:rPr>
        <w:t>工程和设备</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1.1.3.1 </w:t>
      </w:r>
      <w:r>
        <w:rPr>
          <w:rFonts w:hint="eastAsia" w:ascii="宋体" w:hAnsi="宋体"/>
          <w:color w:val="000000"/>
          <w:kern w:val="0"/>
          <w:szCs w:val="21"/>
        </w:rPr>
        <w:t>工程：是指与合同协议书中工程承包范围对应的永久工程和（或）临时工程。</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1.1.3.2 </w:t>
      </w:r>
      <w:r>
        <w:rPr>
          <w:rFonts w:hint="eastAsia" w:ascii="宋体" w:hAnsi="宋体"/>
          <w:color w:val="000000"/>
          <w:kern w:val="0"/>
          <w:szCs w:val="21"/>
        </w:rPr>
        <w:t>永久工程：是指按合同约定建造并移交给发包人的工程，包括工程设备。</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1.1.3.3 </w:t>
      </w:r>
      <w:r>
        <w:rPr>
          <w:rFonts w:hint="eastAsia" w:ascii="宋体" w:hAnsi="宋体"/>
          <w:color w:val="000000"/>
          <w:kern w:val="0"/>
          <w:szCs w:val="21"/>
        </w:rPr>
        <w:t>临时工程：是指为完成合同约定的永久工程所修建的各类临时性工程，不包括施工设备。</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1.1.3.4 </w:t>
      </w:r>
      <w:r>
        <w:rPr>
          <w:rFonts w:hint="eastAsia" w:ascii="宋体" w:hAnsi="宋体"/>
          <w:color w:val="000000"/>
          <w:kern w:val="0"/>
          <w:szCs w:val="21"/>
        </w:rPr>
        <w:t>单位工程：是指在合同协议书中指明的，具备独立施工条件并能形成独立使用功能的永久工程。</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1.1.3.5 </w:t>
      </w:r>
      <w:r>
        <w:rPr>
          <w:rFonts w:hint="eastAsia" w:ascii="宋体" w:hAnsi="宋体"/>
          <w:color w:val="000000"/>
          <w:kern w:val="0"/>
          <w:szCs w:val="21"/>
        </w:rPr>
        <w:t>工程设备：是指构成永久工程的机电设备、金属结构设备、仪器及其他类似的设备和装置。</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1.1.3.6 </w:t>
      </w:r>
      <w:r>
        <w:rPr>
          <w:rFonts w:hint="eastAsia" w:ascii="宋体" w:hAnsi="宋体"/>
          <w:color w:val="000000"/>
          <w:kern w:val="0"/>
          <w:szCs w:val="21"/>
        </w:rPr>
        <w:t>施工设备：是指为完成合同约定的各项工作所需的设备、器具和其他物品，但不包括工程设备、临时工程和材料。</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1.1.3.7 </w:t>
      </w:r>
      <w:r>
        <w:rPr>
          <w:rFonts w:hint="eastAsia" w:ascii="宋体" w:hAnsi="宋体"/>
          <w:color w:val="000000"/>
          <w:kern w:val="0"/>
          <w:szCs w:val="21"/>
        </w:rPr>
        <w:t>施工现场：是指用于工程施工的场所，以及在专用合同条款中指明作为施工场所组成部分的其他场所，包括永久占地和临时占地。</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1.1.3.8</w:t>
      </w:r>
      <w:r>
        <w:rPr>
          <w:rFonts w:hint="eastAsia" w:ascii="宋体" w:hAnsi="宋体"/>
          <w:color w:val="000000"/>
          <w:kern w:val="0"/>
          <w:szCs w:val="21"/>
        </w:rPr>
        <w:t>临时设施：是指为完成合同约定的各项工作所服务的临时性生产和生活设施。</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1.1.3.9 </w:t>
      </w:r>
      <w:r>
        <w:rPr>
          <w:rFonts w:hint="eastAsia" w:ascii="宋体" w:hAnsi="宋体"/>
          <w:color w:val="000000"/>
          <w:kern w:val="0"/>
          <w:szCs w:val="21"/>
        </w:rPr>
        <w:t>永久占地：是指专用合同条款中指明为实施工程需永久占用的土地。</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1.1.3.10 </w:t>
      </w:r>
      <w:r>
        <w:rPr>
          <w:rFonts w:hint="eastAsia" w:ascii="宋体" w:hAnsi="宋体"/>
          <w:color w:val="000000"/>
          <w:kern w:val="0"/>
          <w:szCs w:val="21"/>
        </w:rPr>
        <w:t>临时占地：是指专用合同条款中指明为实施工程需要临时占用的土地。</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1.1.4 </w:t>
      </w:r>
      <w:r>
        <w:rPr>
          <w:rFonts w:hint="eastAsia" w:ascii="宋体" w:hAnsi="宋体"/>
          <w:color w:val="000000"/>
          <w:kern w:val="0"/>
          <w:szCs w:val="21"/>
        </w:rPr>
        <w:t>日期和期限</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1.1.4.1 </w:t>
      </w:r>
      <w:r>
        <w:rPr>
          <w:rFonts w:hint="eastAsia" w:ascii="宋体" w:hAnsi="宋体"/>
          <w:color w:val="000000"/>
          <w:kern w:val="0"/>
          <w:szCs w:val="21"/>
        </w:rPr>
        <w:t>开工日期：包括计划开工日期和实际开工日期。计划开工日期是指合同协议书约定的开工日期；实际开工日期是指监理人按照第</w:t>
      </w:r>
      <w:r>
        <w:rPr>
          <w:rFonts w:ascii="宋体" w:hAnsi="宋体"/>
          <w:color w:val="000000"/>
          <w:kern w:val="0"/>
          <w:szCs w:val="21"/>
        </w:rPr>
        <w:t>7.3.2</w:t>
      </w:r>
      <w:r>
        <w:rPr>
          <w:rFonts w:hint="eastAsia" w:ascii="宋体" w:hAnsi="宋体"/>
          <w:color w:val="000000"/>
          <w:kern w:val="0"/>
          <w:szCs w:val="21"/>
        </w:rPr>
        <w:t>项〔开工通知〕约定发出的符合法律规定的开工通知中载明的开工日期。</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1.1.4.2 </w:t>
      </w:r>
      <w:r>
        <w:rPr>
          <w:rFonts w:hint="eastAsia" w:ascii="宋体" w:hAnsi="宋体"/>
          <w:color w:val="000000"/>
          <w:kern w:val="0"/>
          <w:szCs w:val="21"/>
        </w:rPr>
        <w:t>竣工日期：包括计划竣工日期和实际竣工日期。计划竣工日期是指合同协议书约定的竣工日期；实际竣工日期按照第</w:t>
      </w:r>
      <w:r>
        <w:rPr>
          <w:rFonts w:ascii="宋体" w:hAnsi="宋体"/>
          <w:color w:val="000000"/>
          <w:kern w:val="0"/>
          <w:szCs w:val="21"/>
        </w:rPr>
        <w:t>13.2.3</w:t>
      </w:r>
      <w:r>
        <w:rPr>
          <w:rFonts w:hint="eastAsia" w:ascii="宋体" w:hAnsi="宋体"/>
          <w:color w:val="000000"/>
          <w:kern w:val="0"/>
          <w:szCs w:val="21"/>
        </w:rPr>
        <w:t>项〔竣工日期〕的约定确定。</w:t>
      </w:r>
    </w:p>
    <w:p>
      <w:pPr>
        <w:spacing w:line="360" w:lineRule="auto"/>
        <w:ind w:firstLine="426" w:firstLineChars="203"/>
        <w:rPr>
          <w:rFonts w:ascii="宋体" w:hAnsi="宋体"/>
          <w:color w:val="000000"/>
          <w:szCs w:val="21"/>
        </w:rPr>
      </w:pPr>
      <w:r>
        <w:rPr>
          <w:rFonts w:ascii="宋体" w:hAnsi="宋体"/>
          <w:color w:val="000000"/>
          <w:kern w:val="0"/>
          <w:szCs w:val="21"/>
        </w:rPr>
        <w:t xml:space="preserve">1.1.4.3 </w:t>
      </w:r>
      <w:r>
        <w:rPr>
          <w:rFonts w:hint="eastAsia" w:ascii="宋体" w:hAnsi="宋体"/>
          <w:color w:val="000000"/>
          <w:kern w:val="0"/>
          <w:szCs w:val="21"/>
        </w:rPr>
        <w:t>工期：是指在合同协议书约定的承包人完成工程所需的期限，包括按照合同约定所作的期限变更。</w:t>
      </w:r>
    </w:p>
    <w:p>
      <w:pPr>
        <w:spacing w:line="360" w:lineRule="auto"/>
        <w:ind w:firstLine="420" w:firstLineChars="200"/>
        <w:jc w:val="left"/>
        <w:rPr>
          <w:rFonts w:eastAsia="仿宋_GB2312"/>
          <w:color w:val="000000"/>
          <w:kern w:val="0"/>
          <w:sz w:val="30"/>
          <w:szCs w:val="32"/>
        </w:rPr>
      </w:pPr>
      <w:r>
        <w:rPr>
          <w:rFonts w:ascii="宋体" w:hAnsi="宋体"/>
          <w:color w:val="000000"/>
          <w:kern w:val="0"/>
          <w:szCs w:val="21"/>
        </w:rPr>
        <w:t>1.1.4.4缺陷责任期：是指承包人按照合同约定承担缺陷修复义务，且发包人</w:t>
      </w:r>
      <w:r>
        <w:rPr>
          <w:rFonts w:hint="eastAsia" w:ascii="宋体" w:hAnsi="宋体"/>
          <w:color w:val="000000"/>
          <w:kern w:val="0"/>
          <w:szCs w:val="21"/>
        </w:rPr>
        <w:t>预</w:t>
      </w:r>
      <w:r>
        <w:rPr>
          <w:rFonts w:ascii="宋体" w:hAnsi="宋体"/>
          <w:color w:val="000000"/>
          <w:kern w:val="0"/>
          <w:szCs w:val="21"/>
        </w:rPr>
        <w:t>留质量保证金</w:t>
      </w:r>
      <w:r>
        <w:rPr>
          <w:rFonts w:hint="eastAsia" w:ascii="宋体" w:hAnsi="宋体"/>
          <w:color w:val="000000"/>
          <w:kern w:val="0"/>
          <w:szCs w:val="21"/>
        </w:rPr>
        <w:t>（已</w:t>
      </w:r>
      <w:r>
        <w:rPr>
          <w:rFonts w:ascii="宋体" w:hAnsi="宋体"/>
          <w:color w:val="000000"/>
          <w:kern w:val="0"/>
          <w:szCs w:val="21"/>
        </w:rPr>
        <w:t>缴纳履约保证金的除外</w:t>
      </w:r>
      <w:r>
        <w:rPr>
          <w:rFonts w:hint="eastAsia" w:ascii="宋体" w:hAnsi="宋体"/>
          <w:color w:val="000000"/>
          <w:kern w:val="0"/>
          <w:szCs w:val="21"/>
        </w:rPr>
        <w:t>）</w:t>
      </w:r>
      <w:r>
        <w:rPr>
          <w:rFonts w:ascii="宋体" w:hAnsi="宋体"/>
          <w:color w:val="000000"/>
          <w:kern w:val="0"/>
          <w:szCs w:val="21"/>
        </w:rPr>
        <w:t>的期限，</w:t>
      </w:r>
      <w:r>
        <w:rPr>
          <w:rFonts w:hint="eastAsia" w:ascii="宋体" w:hAnsi="宋体"/>
          <w:color w:val="000000"/>
          <w:kern w:val="0"/>
          <w:szCs w:val="21"/>
        </w:rPr>
        <w:t>自</w:t>
      </w:r>
      <w:r>
        <w:rPr>
          <w:rFonts w:ascii="宋体" w:hAnsi="宋体"/>
          <w:color w:val="000000"/>
          <w:kern w:val="0"/>
          <w:szCs w:val="21"/>
        </w:rPr>
        <w:t>工程</w:t>
      </w:r>
      <w:r>
        <w:rPr>
          <w:rFonts w:hint="eastAsia" w:ascii="宋体" w:hAnsi="宋体"/>
          <w:color w:val="000000"/>
          <w:kern w:val="0"/>
          <w:szCs w:val="21"/>
        </w:rPr>
        <w:t>实际竣工日期</w:t>
      </w:r>
      <w:r>
        <w:rPr>
          <w:rFonts w:ascii="宋体" w:hAnsi="宋体"/>
          <w:color w:val="000000"/>
          <w:kern w:val="0"/>
          <w:szCs w:val="21"/>
        </w:rPr>
        <w:t>起计算</w:t>
      </w:r>
      <w:r>
        <w:rPr>
          <w:rFonts w:hint="eastAsia" w:ascii="宋体" w:hAnsi="宋体"/>
          <w:color w:val="000000"/>
          <w:kern w:val="0"/>
          <w:szCs w:val="21"/>
        </w:rPr>
        <w:t>。</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1.1.4.5 </w:t>
      </w:r>
      <w:r>
        <w:rPr>
          <w:rFonts w:hint="eastAsia" w:ascii="宋体" w:hAnsi="宋体"/>
          <w:color w:val="000000"/>
          <w:kern w:val="0"/>
          <w:szCs w:val="21"/>
        </w:rPr>
        <w:t>保修期：是指承包人按照合同约定对工程承担保修责任的期限，从工程竣工验收合格之日起计算。</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1.1.4.6 </w:t>
      </w:r>
      <w:r>
        <w:rPr>
          <w:rFonts w:hint="eastAsia" w:ascii="宋体" w:hAnsi="宋体"/>
          <w:color w:val="000000"/>
          <w:kern w:val="0"/>
          <w:szCs w:val="21"/>
        </w:rPr>
        <w:t>基准日期：招标发包的工程以投标截止日前</w:t>
      </w:r>
      <w:r>
        <w:rPr>
          <w:rFonts w:ascii="宋体" w:hAnsi="宋体"/>
          <w:color w:val="000000"/>
          <w:kern w:val="0"/>
          <w:szCs w:val="21"/>
        </w:rPr>
        <w:t>28</w:t>
      </w:r>
      <w:r>
        <w:rPr>
          <w:rFonts w:hint="eastAsia" w:ascii="宋体" w:hAnsi="宋体"/>
          <w:color w:val="000000"/>
          <w:kern w:val="0"/>
          <w:szCs w:val="21"/>
        </w:rPr>
        <w:t>天的日期为基准日期，直接发包的工程以合同签订日前</w:t>
      </w:r>
      <w:r>
        <w:rPr>
          <w:rFonts w:ascii="宋体" w:hAnsi="宋体"/>
          <w:color w:val="000000"/>
          <w:kern w:val="0"/>
          <w:szCs w:val="21"/>
        </w:rPr>
        <w:t>28</w:t>
      </w:r>
      <w:r>
        <w:rPr>
          <w:rFonts w:hint="eastAsia" w:ascii="宋体" w:hAnsi="宋体"/>
          <w:color w:val="000000"/>
          <w:kern w:val="0"/>
          <w:szCs w:val="21"/>
        </w:rPr>
        <w:t>天的日期为基准日期。</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1.1.4.7 </w:t>
      </w:r>
      <w:r>
        <w:rPr>
          <w:rFonts w:hint="eastAsia" w:ascii="宋体" w:hAnsi="宋体"/>
          <w:color w:val="000000"/>
          <w:kern w:val="0"/>
          <w:szCs w:val="21"/>
        </w:rPr>
        <w:t>天：除特别指明外，均指日历天。合同中按天计算时间的，开始当天不计入，从次日开始计算，期限最后一天的截止时间为当天</w:t>
      </w:r>
      <w:r>
        <w:rPr>
          <w:rFonts w:ascii="宋体" w:hAnsi="宋体"/>
          <w:color w:val="000000"/>
          <w:kern w:val="0"/>
          <w:szCs w:val="21"/>
        </w:rPr>
        <w:t>24:00</w:t>
      </w:r>
      <w:r>
        <w:rPr>
          <w:rFonts w:hint="eastAsia" w:ascii="宋体" w:hAnsi="宋体"/>
          <w:color w:val="000000"/>
          <w:kern w:val="0"/>
          <w:szCs w:val="21"/>
        </w:rPr>
        <w:t>时。</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1.1.5 </w:t>
      </w:r>
      <w:r>
        <w:rPr>
          <w:rFonts w:hint="eastAsia" w:ascii="宋体" w:hAnsi="宋体"/>
          <w:color w:val="000000"/>
          <w:kern w:val="0"/>
          <w:szCs w:val="21"/>
        </w:rPr>
        <w:t>合同价格和费用</w:t>
      </w:r>
    </w:p>
    <w:p>
      <w:pPr>
        <w:spacing w:line="360" w:lineRule="auto"/>
        <w:ind w:firstLine="420" w:firstLineChars="200"/>
        <w:jc w:val="left"/>
        <w:rPr>
          <w:rFonts w:ascii="宋体" w:hAnsi="宋体"/>
          <w:color w:val="000000"/>
          <w:szCs w:val="21"/>
        </w:rPr>
      </w:pPr>
      <w:r>
        <w:rPr>
          <w:rFonts w:ascii="宋体" w:hAnsi="宋体"/>
          <w:color w:val="000000"/>
          <w:kern w:val="0"/>
          <w:szCs w:val="21"/>
        </w:rPr>
        <w:t xml:space="preserve">1.1.5.1 </w:t>
      </w:r>
      <w:r>
        <w:rPr>
          <w:rFonts w:hint="eastAsia" w:ascii="宋体" w:hAnsi="宋体"/>
          <w:color w:val="000000"/>
          <w:kern w:val="0"/>
          <w:szCs w:val="21"/>
        </w:rPr>
        <w:t>签约合同价：是指</w:t>
      </w:r>
      <w:r>
        <w:rPr>
          <w:rFonts w:hint="eastAsia" w:ascii="宋体" w:hAnsi="宋体"/>
          <w:color w:val="000000"/>
          <w:szCs w:val="21"/>
        </w:rPr>
        <w:t>发包人和承包人在合同协议书中确定的总金额，包括安全文明施工费、暂估价及暂列金额等。</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1.1.5.2 </w:t>
      </w:r>
      <w:r>
        <w:rPr>
          <w:rFonts w:hint="eastAsia" w:ascii="宋体" w:hAnsi="宋体"/>
          <w:color w:val="000000"/>
          <w:kern w:val="0"/>
          <w:szCs w:val="21"/>
        </w:rPr>
        <w:t>合同价格：是指发包人用于支付承包人按照合同约定完成承包范围内全部工作的金额，包括合同履行过程中按合同约定发生的价格变化。</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1.1.5.3 </w:t>
      </w:r>
      <w:r>
        <w:rPr>
          <w:rFonts w:hint="eastAsia" w:ascii="宋体" w:hAnsi="宋体"/>
          <w:color w:val="000000"/>
          <w:kern w:val="0"/>
          <w:szCs w:val="21"/>
        </w:rPr>
        <w:t>费用：是指为履行合同所发生的或将要发生的所有必需的开支，包括管理费和应分摊的其他费用，但不包括利润。</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1.1.5.4 </w:t>
      </w:r>
      <w:r>
        <w:rPr>
          <w:rFonts w:hint="eastAsia" w:ascii="宋体" w:hAnsi="宋体"/>
          <w:color w:val="000000"/>
          <w:kern w:val="0"/>
          <w:szCs w:val="21"/>
        </w:rPr>
        <w:t>暂估价：是指发包人在工程量清单或预算书中提供的用于支付必然发生但暂时不能确定价格的材料、工程设备的单价、专业工程以及服务工作的金额。</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1.1.5.5 </w:t>
      </w:r>
      <w:r>
        <w:rPr>
          <w:rFonts w:hint="eastAsia" w:ascii="宋体" w:hAnsi="宋体"/>
          <w:color w:val="000000"/>
          <w:kern w:val="0"/>
          <w:szCs w:val="21"/>
        </w:rPr>
        <w:t>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1.1.5.6 </w:t>
      </w:r>
      <w:r>
        <w:rPr>
          <w:rFonts w:hint="eastAsia" w:ascii="宋体" w:hAnsi="宋体"/>
          <w:color w:val="000000"/>
          <w:kern w:val="0"/>
          <w:szCs w:val="21"/>
        </w:rPr>
        <w:t>计日工：是指合同履行过程中，承包人完成发包人提出的零星工作或需要采用计日工计价的变更工作时，按合同中约定的单价计价的一种方式。</w:t>
      </w:r>
    </w:p>
    <w:p>
      <w:pPr>
        <w:spacing w:line="360" w:lineRule="auto"/>
        <w:ind w:firstLine="420" w:firstLineChars="200"/>
        <w:jc w:val="left"/>
        <w:rPr>
          <w:rFonts w:ascii="宋体" w:hAnsi="宋体"/>
          <w:color w:val="000000"/>
          <w:szCs w:val="21"/>
        </w:rPr>
      </w:pPr>
      <w:r>
        <w:rPr>
          <w:rFonts w:ascii="宋体" w:hAnsi="宋体"/>
          <w:color w:val="000000"/>
          <w:kern w:val="0"/>
          <w:szCs w:val="21"/>
        </w:rPr>
        <w:t xml:space="preserve">1.1.5.7 </w:t>
      </w:r>
      <w:r>
        <w:rPr>
          <w:rFonts w:hint="eastAsia" w:ascii="宋体" w:hAnsi="宋体"/>
          <w:color w:val="000000"/>
          <w:kern w:val="0"/>
          <w:szCs w:val="21"/>
        </w:rPr>
        <w:t>质量保证金</w:t>
      </w:r>
      <w:bookmarkStart w:id="358" w:name="BM_go2"/>
      <w:bookmarkEnd w:id="358"/>
      <w:r>
        <w:rPr>
          <w:rFonts w:hint="eastAsia" w:ascii="宋体" w:hAnsi="宋体"/>
          <w:color w:val="000000"/>
          <w:kern w:val="0"/>
          <w:szCs w:val="21"/>
        </w:rPr>
        <w:t>：是指按照第</w:t>
      </w:r>
      <w:r>
        <w:rPr>
          <w:rFonts w:ascii="宋体" w:hAnsi="宋体"/>
          <w:color w:val="000000"/>
          <w:kern w:val="0"/>
          <w:szCs w:val="21"/>
        </w:rPr>
        <w:t>15.3</w:t>
      </w:r>
      <w:r>
        <w:rPr>
          <w:rFonts w:hint="eastAsia" w:ascii="宋体" w:hAnsi="宋体"/>
          <w:color w:val="000000"/>
          <w:kern w:val="0"/>
          <w:szCs w:val="21"/>
        </w:rPr>
        <w:t>款〔质量保证金〕约定承包人用于保证其在缺陷责任期内履行缺陷修补义务的担保</w:t>
      </w:r>
      <w:r>
        <w:rPr>
          <w:rFonts w:hint="eastAsia" w:ascii="宋体" w:hAnsi="宋体"/>
          <w:color w:val="000000"/>
          <w:szCs w:val="21"/>
        </w:rPr>
        <w:t>。</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1.1.5.8 </w:t>
      </w:r>
      <w:r>
        <w:rPr>
          <w:rFonts w:hint="eastAsia" w:ascii="宋体" w:hAnsi="宋体"/>
          <w:color w:val="000000"/>
          <w:kern w:val="0"/>
          <w:szCs w:val="21"/>
        </w:rPr>
        <w:t>总价项目：是指在现行国家、行业以及地方的计量规则中无工程量计算规则，在已标价工程量清单或预算书中以总价或以费率形式计算的项目。</w:t>
      </w:r>
    </w:p>
    <w:p>
      <w:pPr>
        <w:spacing w:line="360" w:lineRule="auto"/>
        <w:ind w:firstLine="420" w:firstLineChars="200"/>
        <w:jc w:val="left"/>
        <w:rPr>
          <w:rFonts w:ascii="宋体" w:hAnsi="宋体"/>
          <w:color w:val="000000"/>
          <w:szCs w:val="21"/>
        </w:rPr>
      </w:pPr>
      <w:r>
        <w:rPr>
          <w:rFonts w:ascii="宋体" w:hAnsi="宋体"/>
          <w:color w:val="000000"/>
          <w:szCs w:val="21"/>
        </w:rPr>
        <w:t xml:space="preserve">1.1.6 </w:t>
      </w:r>
      <w:r>
        <w:rPr>
          <w:rFonts w:hint="eastAsia" w:ascii="宋体" w:hAnsi="宋体"/>
          <w:color w:val="000000"/>
          <w:szCs w:val="21"/>
        </w:rPr>
        <w:t>其他</w:t>
      </w:r>
    </w:p>
    <w:p>
      <w:pPr>
        <w:spacing w:line="360" w:lineRule="auto"/>
        <w:ind w:firstLine="420" w:firstLineChars="200"/>
        <w:jc w:val="left"/>
        <w:rPr>
          <w:rFonts w:ascii="宋体" w:hAnsi="宋体"/>
          <w:color w:val="000000"/>
          <w:szCs w:val="21"/>
        </w:rPr>
      </w:pPr>
      <w:r>
        <w:rPr>
          <w:rFonts w:ascii="宋体" w:hAnsi="宋体"/>
          <w:color w:val="000000"/>
          <w:szCs w:val="21"/>
        </w:rPr>
        <w:t xml:space="preserve">1.1.6.1 </w:t>
      </w:r>
      <w:r>
        <w:rPr>
          <w:rFonts w:hint="eastAsia" w:ascii="宋体" w:hAnsi="宋体"/>
          <w:color w:val="000000"/>
          <w:szCs w:val="21"/>
        </w:rPr>
        <w:t>书面形式：是指合同文件、信函、电报、传真等可以有形地表现所载内容的形式。</w:t>
      </w:r>
    </w:p>
    <w:p>
      <w:pPr>
        <w:rPr>
          <w:rFonts w:ascii="黑体" w:hAnsi="黑体" w:eastAsia="黑体"/>
          <w:color w:val="000000"/>
        </w:rPr>
      </w:pPr>
      <w:bookmarkStart w:id="359" w:name="_Toc337558729"/>
      <w:bookmarkStart w:id="360" w:name="_Toc296346530"/>
      <w:bookmarkStart w:id="361" w:name="_Toc296503029"/>
      <w:r>
        <w:rPr>
          <w:rFonts w:ascii="黑体" w:hAnsi="黑体" w:eastAsia="黑体"/>
          <w:color w:val="000000"/>
        </w:rPr>
        <w:t>1.2</w:t>
      </w:r>
      <w:r>
        <w:rPr>
          <w:rFonts w:hint="eastAsia" w:ascii="黑体" w:hAnsi="黑体" w:eastAsia="黑体"/>
          <w:color w:val="000000"/>
        </w:rPr>
        <w:t>语言文字</w:t>
      </w:r>
      <w:bookmarkEnd w:id="359"/>
      <w:bookmarkEnd w:id="360"/>
      <w:bookmarkEnd w:id="361"/>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合同以中国的汉语简体文字编写、解释和说明。合同当事人在专用合同条款中约定使用两种以上语言时，汉语为优先解释和说明合同的语言。</w:t>
      </w:r>
    </w:p>
    <w:p>
      <w:pPr>
        <w:rPr>
          <w:rFonts w:ascii="黑体" w:hAnsi="黑体" w:eastAsia="黑体"/>
          <w:color w:val="000000"/>
        </w:rPr>
      </w:pPr>
      <w:bookmarkStart w:id="362" w:name="_Toc337558730"/>
      <w:bookmarkStart w:id="363" w:name="_Toc296346531"/>
      <w:bookmarkStart w:id="364" w:name="_Toc296503030"/>
      <w:r>
        <w:rPr>
          <w:rFonts w:ascii="黑体" w:hAnsi="黑体" w:eastAsia="黑体"/>
          <w:color w:val="000000"/>
        </w:rPr>
        <w:t>1.3</w:t>
      </w:r>
      <w:r>
        <w:rPr>
          <w:rFonts w:hint="eastAsia" w:ascii="黑体" w:hAnsi="黑体" w:eastAsia="黑体"/>
          <w:color w:val="000000"/>
        </w:rPr>
        <w:t>法律</w:t>
      </w:r>
      <w:bookmarkEnd w:id="362"/>
      <w:bookmarkEnd w:id="363"/>
      <w:bookmarkEnd w:id="364"/>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合同所称法律是指中华人民共和国法律、行政法规、部门规章，以及工程所在地的地方性法规、自治条例、单行条例和地方政府规章等。</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合同当事人可以在专用合同条款中约定合同适用的其他规范性文件。</w:t>
      </w:r>
    </w:p>
    <w:p>
      <w:pPr>
        <w:rPr>
          <w:rFonts w:ascii="黑体" w:hAnsi="黑体" w:eastAsia="黑体"/>
          <w:color w:val="000000"/>
        </w:rPr>
      </w:pPr>
      <w:r>
        <w:rPr>
          <w:rFonts w:ascii="黑体" w:hAnsi="黑体" w:eastAsia="黑体"/>
          <w:color w:val="000000"/>
        </w:rPr>
        <w:t xml:space="preserve">1.4 </w:t>
      </w:r>
      <w:r>
        <w:rPr>
          <w:rFonts w:hint="eastAsia" w:ascii="黑体" w:hAnsi="黑体" w:eastAsia="黑体"/>
          <w:color w:val="000000"/>
        </w:rPr>
        <w:t>标准和规范</w:t>
      </w:r>
    </w:p>
    <w:p>
      <w:pPr>
        <w:autoSpaceDE w:val="0"/>
        <w:autoSpaceDN w:val="0"/>
        <w:adjustRightInd w:val="0"/>
        <w:spacing w:line="360" w:lineRule="auto"/>
        <w:ind w:firstLine="640"/>
        <w:jc w:val="left"/>
        <w:rPr>
          <w:rFonts w:ascii="宋体" w:hAnsi="宋体"/>
          <w:color w:val="000000"/>
          <w:kern w:val="0"/>
          <w:szCs w:val="21"/>
        </w:rPr>
      </w:pPr>
      <w:r>
        <w:rPr>
          <w:rFonts w:ascii="宋体" w:hAnsi="宋体"/>
          <w:color w:val="000000"/>
          <w:kern w:val="0"/>
          <w:szCs w:val="21"/>
        </w:rPr>
        <w:t xml:space="preserve">1.4.1 </w:t>
      </w:r>
      <w:r>
        <w:rPr>
          <w:rFonts w:hint="eastAsia" w:ascii="宋体" w:hAnsi="宋体"/>
          <w:color w:val="000000"/>
          <w:kern w:val="0"/>
          <w:szCs w:val="21"/>
        </w:rPr>
        <w:t>适用于工程的国家标准、行业标准、工程所在地的地方性标准，以及相应的规范、规程等，合同当事人有特别要求的，应在专用合同条款中约定。</w:t>
      </w:r>
    </w:p>
    <w:p>
      <w:pPr>
        <w:autoSpaceDE w:val="0"/>
        <w:autoSpaceDN w:val="0"/>
        <w:adjustRightInd w:val="0"/>
        <w:spacing w:line="360" w:lineRule="auto"/>
        <w:ind w:firstLine="640"/>
        <w:jc w:val="left"/>
        <w:rPr>
          <w:rFonts w:ascii="宋体" w:hAnsi="宋体"/>
          <w:color w:val="000000"/>
          <w:kern w:val="0"/>
          <w:szCs w:val="21"/>
        </w:rPr>
      </w:pPr>
      <w:r>
        <w:rPr>
          <w:rFonts w:ascii="宋体" w:hAnsi="宋体"/>
          <w:color w:val="000000"/>
          <w:kern w:val="0"/>
          <w:szCs w:val="21"/>
        </w:rPr>
        <w:t xml:space="preserve">1.4.2 </w:t>
      </w:r>
      <w:r>
        <w:rPr>
          <w:rFonts w:hint="eastAsia" w:ascii="宋体" w:hAnsi="宋体"/>
          <w:color w:val="000000"/>
          <w:kern w:val="0"/>
          <w:szCs w:val="21"/>
        </w:rPr>
        <w:t>发包人要求使用国外标准、规范的，发包人负责提供原文版本和中文译本，并在专用合同条款中约定提供标准规范的名称、份数和时间。</w:t>
      </w:r>
    </w:p>
    <w:p>
      <w:pPr>
        <w:autoSpaceDE w:val="0"/>
        <w:autoSpaceDN w:val="0"/>
        <w:adjustRightInd w:val="0"/>
        <w:spacing w:line="360" w:lineRule="auto"/>
        <w:ind w:firstLine="640"/>
        <w:jc w:val="left"/>
        <w:rPr>
          <w:rFonts w:ascii="宋体" w:hAnsi="宋体"/>
          <w:color w:val="000000"/>
          <w:kern w:val="0"/>
          <w:szCs w:val="21"/>
        </w:rPr>
      </w:pPr>
      <w:r>
        <w:rPr>
          <w:rFonts w:ascii="宋体" w:hAnsi="宋体"/>
          <w:color w:val="000000"/>
          <w:kern w:val="0"/>
          <w:szCs w:val="21"/>
        </w:rPr>
        <w:t xml:space="preserve">1.4.3 </w:t>
      </w:r>
      <w:r>
        <w:rPr>
          <w:rFonts w:hint="eastAsia" w:ascii="宋体" w:hAnsi="宋体"/>
          <w:color w:val="000000"/>
          <w:kern w:val="0"/>
          <w:szCs w:val="21"/>
        </w:rPr>
        <w:t>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pPr>
        <w:rPr>
          <w:color w:val="000000"/>
        </w:rPr>
      </w:pPr>
      <w:r>
        <w:rPr>
          <w:color w:val="000000"/>
        </w:rPr>
        <w:t>1</w:t>
      </w:r>
      <w:bookmarkStart w:id="365" w:name="_Toc296346532"/>
      <w:bookmarkStart w:id="366" w:name="_Toc296503031"/>
      <w:bookmarkStart w:id="367" w:name="_Toc337558731"/>
      <w:r>
        <w:rPr>
          <w:color w:val="000000"/>
        </w:rPr>
        <w:t xml:space="preserve">.5 </w:t>
      </w:r>
      <w:r>
        <w:rPr>
          <w:rFonts w:hint="eastAsia"/>
          <w:color w:val="000000"/>
        </w:rPr>
        <w:t>合同文件的优先顺序</w:t>
      </w:r>
    </w:p>
    <w:bookmarkEnd w:id="365"/>
    <w:bookmarkEnd w:id="366"/>
    <w:bookmarkEnd w:id="367"/>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组成合同的各项文件应互相解释，互为说明。除专用合同条款另有约定外，解释合同文件的优先顺序如下：</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）合同协议书；</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）中标通知书（如果有）；</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3</w:t>
      </w:r>
      <w:r>
        <w:rPr>
          <w:rFonts w:hint="eastAsia" w:ascii="宋体" w:hAnsi="宋体"/>
          <w:color w:val="000000"/>
          <w:kern w:val="0"/>
          <w:szCs w:val="21"/>
        </w:rPr>
        <w:t>）投标函及其附录（如果有）；</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4</w:t>
      </w:r>
      <w:r>
        <w:rPr>
          <w:rFonts w:hint="eastAsia" w:ascii="宋体" w:hAnsi="宋体"/>
          <w:color w:val="000000"/>
          <w:kern w:val="0"/>
          <w:szCs w:val="21"/>
        </w:rPr>
        <w:t>）专用合同条款</w:t>
      </w:r>
      <w:r>
        <w:rPr>
          <w:rFonts w:hint="eastAsia" w:ascii="宋体" w:hAnsi="宋体"/>
          <w:color w:val="000000"/>
          <w:szCs w:val="21"/>
        </w:rPr>
        <w:t>及其附件</w:t>
      </w:r>
      <w:r>
        <w:rPr>
          <w:rFonts w:hint="eastAsia" w:ascii="宋体" w:hAnsi="宋体"/>
          <w:color w:val="000000"/>
          <w:kern w:val="0"/>
          <w:szCs w:val="21"/>
        </w:rPr>
        <w:t>；</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5</w:t>
      </w:r>
      <w:r>
        <w:rPr>
          <w:rFonts w:hint="eastAsia" w:ascii="宋体" w:hAnsi="宋体"/>
          <w:color w:val="000000"/>
          <w:kern w:val="0"/>
          <w:szCs w:val="21"/>
        </w:rPr>
        <w:t>）通用合同条款；</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6</w:t>
      </w:r>
      <w:r>
        <w:rPr>
          <w:rFonts w:hint="eastAsia" w:ascii="宋体" w:hAnsi="宋体"/>
          <w:color w:val="000000"/>
          <w:kern w:val="0"/>
          <w:szCs w:val="21"/>
        </w:rPr>
        <w:t>）技术标准和要求；</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7</w:t>
      </w:r>
      <w:r>
        <w:rPr>
          <w:rFonts w:hint="eastAsia" w:ascii="宋体" w:hAnsi="宋体"/>
          <w:color w:val="000000"/>
          <w:kern w:val="0"/>
          <w:szCs w:val="21"/>
        </w:rPr>
        <w:t>）图纸；</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8</w:t>
      </w:r>
      <w:r>
        <w:rPr>
          <w:rFonts w:hint="eastAsia" w:ascii="宋体" w:hAnsi="宋体"/>
          <w:color w:val="000000"/>
          <w:kern w:val="0"/>
          <w:szCs w:val="21"/>
        </w:rPr>
        <w:t>）已标价工程量清单或预算书；</w:t>
      </w:r>
    </w:p>
    <w:p>
      <w:pPr>
        <w:autoSpaceDE w:val="0"/>
        <w:autoSpaceDN w:val="0"/>
        <w:adjustRightInd w:val="0"/>
        <w:spacing w:line="360" w:lineRule="auto"/>
        <w:ind w:firstLine="420" w:firstLineChars="200"/>
        <w:jc w:val="left"/>
        <w:rPr>
          <w:rFonts w:ascii="宋体" w:hAnsi="宋体"/>
          <w:color w:val="000000"/>
          <w:szCs w:val="21"/>
        </w:rPr>
      </w:pPr>
      <w:r>
        <w:rPr>
          <w:rFonts w:hint="eastAsia" w:ascii="宋体" w:hAnsi="宋体"/>
          <w:color w:val="000000"/>
          <w:kern w:val="0"/>
          <w:szCs w:val="21"/>
        </w:rPr>
        <w:t>（</w:t>
      </w:r>
      <w:r>
        <w:rPr>
          <w:rFonts w:ascii="宋体" w:hAnsi="宋体"/>
          <w:color w:val="000000"/>
          <w:kern w:val="0"/>
          <w:szCs w:val="21"/>
        </w:rPr>
        <w:t>9</w:t>
      </w:r>
      <w:r>
        <w:rPr>
          <w:rFonts w:hint="eastAsia" w:ascii="宋体" w:hAnsi="宋体"/>
          <w:color w:val="000000"/>
          <w:kern w:val="0"/>
          <w:szCs w:val="21"/>
        </w:rPr>
        <w:t>）其他合同文件。</w:t>
      </w:r>
    </w:p>
    <w:p>
      <w:pPr>
        <w:spacing w:line="360" w:lineRule="auto"/>
        <w:ind w:firstLine="447" w:firstLineChars="213"/>
        <w:rPr>
          <w:rFonts w:ascii="宋体" w:hAnsi="宋体"/>
          <w:color w:val="000000"/>
          <w:szCs w:val="21"/>
        </w:rPr>
      </w:pPr>
      <w:r>
        <w:rPr>
          <w:rFonts w:hint="eastAsia" w:ascii="宋体" w:hAnsi="宋体"/>
          <w:color w:val="000000"/>
          <w:szCs w:val="21"/>
        </w:rPr>
        <w:t>上述各项合同文件包括合同当事人就该项合同文件所作出的补充和修改，属于同一类内容的文件，应以最新签署的为准。</w:t>
      </w:r>
    </w:p>
    <w:p>
      <w:pPr>
        <w:spacing w:line="360" w:lineRule="auto"/>
        <w:ind w:firstLine="447" w:firstLineChars="213"/>
        <w:rPr>
          <w:rFonts w:ascii="宋体" w:hAnsi="宋体"/>
          <w:color w:val="000000"/>
          <w:szCs w:val="21"/>
        </w:rPr>
      </w:pPr>
      <w:r>
        <w:rPr>
          <w:rFonts w:hint="eastAsia" w:ascii="宋体" w:hAnsi="宋体"/>
          <w:color w:val="000000"/>
          <w:szCs w:val="21"/>
        </w:rPr>
        <w:t>在合同订立及履行过程中形成的与合同有关的文件均构成合同文件组成部分，并根据其性质确定优先解释顺序。</w:t>
      </w:r>
    </w:p>
    <w:p>
      <w:pPr>
        <w:rPr>
          <w:rFonts w:ascii="黑体" w:hAnsi="黑体" w:eastAsia="黑体"/>
          <w:color w:val="000000"/>
        </w:rPr>
      </w:pPr>
      <w:r>
        <w:rPr>
          <w:rFonts w:ascii="黑体" w:hAnsi="黑体" w:eastAsia="黑体"/>
          <w:color w:val="000000"/>
        </w:rPr>
        <w:t>1</w:t>
      </w:r>
      <w:bookmarkStart w:id="368" w:name="_Toc296346533"/>
      <w:bookmarkStart w:id="369" w:name="_Toc296503032"/>
      <w:bookmarkStart w:id="370" w:name="_Toc337558732"/>
      <w:r>
        <w:rPr>
          <w:rFonts w:ascii="黑体" w:hAnsi="黑体" w:eastAsia="黑体"/>
          <w:color w:val="000000"/>
        </w:rPr>
        <w:t>.6</w:t>
      </w:r>
      <w:r>
        <w:rPr>
          <w:rFonts w:hint="eastAsia" w:ascii="黑体" w:hAnsi="黑体" w:eastAsia="黑体"/>
          <w:color w:val="000000"/>
        </w:rPr>
        <w:t>图纸和承包人文件</w:t>
      </w:r>
    </w:p>
    <w:bookmarkEnd w:id="368"/>
    <w:bookmarkEnd w:id="369"/>
    <w:bookmarkEnd w:id="370"/>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1.6.1 </w:t>
      </w:r>
      <w:r>
        <w:rPr>
          <w:rFonts w:hint="eastAsia" w:ascii="宋体" w:hAnsi="宋体"/>
          <w:color w:val="000000"/>
          <w:kern w:val="0"/>
          <w:szCs w:val="21"/>
        </w:rPr>
        <w:t>图纸的提供和交底</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发包人应按照专用合同条款约定的期限、数量和内容向承包人免费提供图纸，并组织承包人、监理人和设计人进行图纸会审和设计交底。发包人至迟不得晚于第</w:t>
      </w:r>
      <w:r>
        <w:rPr>
          <w:rFonts w:ascii="宋体" w:hAnsi="宋体"/>
          <w:color w:val="000000"/>
          <w:kern w:val="0"/>
          <w:szCs w:val="21"/>
        </w:rPr>
        <w:t>7.3.2</w:t>
      </w:r>
      <w:r>
        <w:rPr>
          <w:rFonts w:hint="eastAsia" w:ascii="宋体" w:hAnsi="宋体"/>
          <w:color w:val="000000"/>
          <w:kern w:val="0"/>
          <w:szCs w:val="21"/>
        </w:rPr>
        <w:t>项〔开工通知〕载明的开工日期前</w:t>
      </w:r>
      <w:r>
        <w:rPr>
          <w:rFonts w:ascii="宋体" w:hAnsi="宋体"/>
          <w:color w:val="000000"/>
          <w:kern w:val="0"/>
          <w:szCs w:val="21"/>
        </w:rPr>
        <w:t>14</w:t>
      </w:r>
      <w:r>
        <w:rPr>
          <w:rFonts w:hint="eastAsia" w:ascii="宋体" w:hAnsi="宋体"/>
          <w:color w:val="000000"/>
          <w:kern w:val="0"/>
          <w:szCs w:val="21"/>
        </w:rPr>
        <w:t>天向承包人提供图纸。</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因发包人未按合同约定提供图纸导致承包人费用增加和（或）工期延误的，按照第</w:t>
      </w:r>
      <w:r>
        <w:rPr>
          <w:rFonts w:ascii="宋体" w:hAnsi="宋体"/>
          <w:color w:val="000000"/>
          <w:kern w:val="0"/>
          <w:szCs w:val="21"/>
        </w:rPr>
        <w:t>7.5.1</w:t>
      </w:r>
      <w:r>
        <w:rPr>
          <w:rFonts w:hint="eastAsia" w:ascii="宋体" w:hAnsi="宋体"/>
          <w:color w:val="000000"/>
          <w:kern w:val="0"/>
          <w:szCs w:val="21"/>
        </w:rPr>
        <w:t>项〔因发包人原因导致工期延误〕约定办理。</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1.6.2 </w:t>
      </w:r>
      <w:r>
        <w:rPr>
          <w:rFonts w:hint="eastAsia" w:ascii="宋体" w:hAnsi="宋体"/>
          <w:color w:val="000000"/>
          <w:kern w:val="0"/>
          <w:szCs w:val="21"/>
        </w:rPr>
        <w:t>图纸的错误</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1.6.3 </w:t>
      </w:r>
      <w:r>
        <w:rPr>
          <w:rFonts w:hint="eastAsia" w:ascii="宋体" w:hAnsi="宋体"/>
          <w:color w:val="000000"/>
          <w:kern w:val="0"/>
          <w:szCs w:val="21"/>
        </w:rPr>
        <w:t>图纸的修改和补充</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图纸需要修改和补充的，应经图纸原设计人及审批部门同意，并由监理人在工程或工程相应部位施工前将修改后的图纸或补充图纸提交给承包人，承包人应按修改或补充后的图纸施工。</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1.6.4 </w:t>
      </w:r>
      <w:r>
        <w:rPr>
          <w:rFonts w:hint="eastAsia" w:ascii="宋体" w:hAnsi="宋体"/>
          <w:color w:val="000000"/>
          <w:kern w:val="0"/>
          <w:szCs w:val="21"/>
        </w:rPr>
        <w:t>承包人文件</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承包人应按照专用合同条款的约定提供应当由其编制的与工程施工有关的文件，并按照专用合同条款约定的期限、数量和形式提交监理人，并由监理人报送发包人。</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除专用合同条款另有约定外，监理人应在收到承包人文件后</w:t>
      </w:r>
      <w:r>
        <w:rPr>
          <w:rFonts w:ascii="宋体" w:hAnsi="宋体"/>
          <w:color w:val="000000"/>
          <w:kern w:val="0"/>
          <w:szCs w:val="21"/>
        </w:rPr>
        <w:t>7</w:t>
      </w:r>
      <w:r>
        <w:rPr>
          <w:rFonts w:hint="eastAsia" w:ascii="宋体" w:hAnsi="宋体"/>
          <w:color w:val="000000"/>
          <w:kern w:val="0"/>
          <w:szCs w:val="21"/>
        </w:rPr>
        <w:t>天内审查完毕，监理人对承包人文件有异议的，承包人应予以修改，并重新报送监理人。监理人的审查并不减轻或免除承包人根据合同约定应当承担的责任。</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1.6.5 </w:t>
      </w:r>
      <w:r>
        <w:rPr>
          <w:rFonts w:hint="eastAsia" w:ascii="宋体" w:hAnsi="宋体"/>
          <w:color w:val="000000"/>
          <w:kern w:val="0"/>
          <w:szCs w:val="21"/>
        </w:rPr>
        <w:t>图纸和承包人文件的保管</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除专用合同条款另有约定外，承包人应在施工现场另外保存一套完整的图纸和承包人文件，供发包人、监理人及有关人员进行工程检查时使用。</w:t>
      </w:r>
    </w:p>
    <w:p>
      <w:pPr>
        <w:rPr>
          <w:rFonts w:ascii="黑体" w:hAnsi="黑体" w:eastAsia="黑体"/>
          <w:color w:val="000000"/>
        </w:rPr>
      </w:pPr>
      <w:r>
        <w:rPr>
          <w:rFonts w:ascii="黑体" w:hAnsi="黑体" w:eastAsia="黑体"/>
          <w:color w:val="000000"/>
        </w:rPr>
        <w:t>1</w:t>
      </w:r>
      <w:bookmarkStart w:id="371" w:name="_Toc296503033"/>
      <w:bookmarkStart w:id="372" w:name="_Toc296346534"/>
      <w:bookmarkStart w:id="373" w:name="_Toc337558733"/>
      <w:r>
        <w:rPr>
          <w:rFonts w:ascii="黑体" w:hAnsi="黑体" w:eastAsia="黑体"/>
          <w:color w:val="000000"/>
        </w:rPr>
        <w:t>.7</w:t>
      </w:r>
      <w:r>
        <w:rPr>
          <w:rFonts w:hint="eastAsia" w:ascii="黑体" w:hAnsi="黑体" w:eastAsia="黑体"/>
          <w:color w:val="000000"/>
        </w:rPr>
        <w:t>联络</w:t>
      </w:r>
    </w:p>
    <w:bookmarkEnd w:id="371"/>
    <w:bookmarkEnd w:id="372"/>
    <w:bookmarkEnd w:id="373"/>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1.7.1 </w:t>
      </w:r>
      <w:r>
        <w:rPr>
          <w:rFonts w:hint="eastAsia" w:ascii="宋体" w:hAnsi="宋体"/>
          <w:color w:val="000000"/>
          <w:kern w:val="0"/>
          <w:szCs w:val="21"/>
        </w:rPr>
        <w:t>与合同有关的通知、批准、证明、证书、指示、指令、要求、请求、同意、意见、确定和决定等，均应采用书面形式，并应在合同约定的期限内送达接收人和送达地点。</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1.7.2 </w:t>
      </w:r>
      <w:r>
        <w:rPr>
          <w:rFonts w:hint="eastAsia" w:ascii="宋体" w:hAnsi="宋体"/>
          <w:color w:val="000000"/>
          <w:kern w:val="0"/>
          <w:szCs w:val="21"/>
        </w:rPr>
        <w:t>发包人和承包人应在专用合同条款中约定各自的送达接收人和送达地点。任何一方合同当事人指定的接收人或送达地点发生变动的，应提前</w:t>
      </w:r>
      <w:r>
        <w:rPr>
          <w:rFonts w:ascii="宋体" w:hAnsi="宋体"/>
          <w:color w:val="000000"/>
          <w:kern w:val="0"/>
          <w:szCs w:val="21"/>
        </w:rPr>
        <w:t>3</w:t>
      </w:r>
      <w:r>
        <w:rPr>
          <w:rFonts w:hint="eastAsia" w:ascii="宋体" w:hAnsi="宋体"/>
          <w:color w:val="000000"/>
          <w:kern w:val="0"/>
          <w:szCs w:val="21"/>
        </w:rPr>
        <w:t>天以书面形式通知对方。</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1.7.3 </w:t>
      </w:r>
      <w:r>
        <w:rPr>
          <w:rFonts w:hint="eastAsia" w:ascii="宋体" w:hAnsi="宋体"/>
          <w:color w:val="000000"/>
          <w:kern w:val="0"/>
          <w:szCs w:val="21"/>
        </w:rPr>
        <w:t>发包人和承包人应当及时签收另一方送达至送达地点和指定接收人的来往信函。拒不签收的，由此增加的费用和（或）延误的工期由拒绝接收一方承担。</w:t>
      </w:r>
    </w:p>
    <w:p>
      <w:pPr>
        <w:rPr>
          <w:rFonts w:ascii="黑体" w:hAnsi="黑体" w:eastAsia="黑体"/>
          <w:color w:val="000000"/>
        </w:rPr>
      </w:pPr>
      <w:r>
        <w:rPr>
          <w:rFonts w:ascii="黑体" w:hAnsi="黑体" w:eastAsia="黑体"/>
          <w:color w:val="000000"/>
        </w:rPr>
        <w:t>1</w:t>
      </w:r>
      <w:bookmarkStart w:id="374" w:name="_Toc337558734"/>
      <w:bookmarkStart w:id="375" w:name="_Toc296346536"/>
      <w:bookmarkStart w:id="376" w:name="_Toc296503035"/>
      <w:r>
        <w:rPr>
          <w:rFonts w:ascii="黑体" w:hAnsi="黑体" w:eastAsia="黑体"/>
          <w:color w:val="000000"/>
        </w:rPr>
        <w:t>.8</w:t>
      </w:r>
      <w:r>
        <w:rPr>
          <w:rFonts w:hint="eastAsia" w:ascii="黑体" w:hAnsi="黑体" w:eastAsia="黑体"/>
          <w:color w:val="000000"/>
        </w:rPr>
        <w:t>严禁贿赂</w:t>
      </w:r>
    </w:p>
    <w:bookmarkEnd w:id="374"/>
    <w:bookmarkEnd w:id="375"/>
    <w:bookmarkEnd w:id="376"/>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合同当事人不得以贿赂或变相贿赂的方式，谋取非法利益或损害对方权益。因一方合同当事人的贿赂造成对方损失的，应赔偿损失，并承担相应的法律责任。</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承包人不得与监理人或发包人聘请的第三方串通损害发包人利益。未经发包人书面同意，承包人不得为监理人提供合同约定以外的通讯设备、交通工具及其他任何形式的利益，不得向监理人支付报酬。</w:t>
      </w:r>
    </w:p>
    <w:p>
      <w:pPr>
        <w:rPr>
          <w:rFonts w:ascii="黑体" w:hAnsi="黑体" w:eastAsia="黑体"/>
          <w:color w:val="000000"/>
        </w:rPr>
      </w:pPr>
      <w:r>
        <w:rPr>
          <w:rFonts w:ascii="黑体" w:hAnsi="黑体" w:eastAsia="黑体"/>
          <w:color w:val="000000"/>
        </w:rPr>
        <w:t>1</w:t>
      </w:r>
      <w:bookmarkStart w:id="377" w:name="_Toc296503036"/>
      <w:bookmarkStart w:id="378" w:name="_Toc337558735"/>
      <w:bookmarkStart w:id="379" w:name="_Toc296346537"/>
      <w:r>
        <w:rPr>
          <w:rFonts w:ascii="黑体" w:hAnsi="黑体" w:eastAsia="黑体"/>
          <w:color w:val="000000"/>
        </w:rPr>
        <w:t>.9</w:t>
      </w:r>
      <w:r>
        <w:rPr>
          <w:rFonts w:hint="eastAsia" w:ascii="黑体" w:hAnsi="黑体" w:eastAsia="黑体"/>
          <w:color w:val="000000"/>
        </w:rPr>
        <w:t>化石、文物</w:t>
      </w:r>
    </w:p>
    <w:bookmarkEnd w:id="377"/>
    <w:bookmarkEnd w:id="378"/>
    <w:bookmarkEnd w:id="379"/>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发包人、监理人和承包人应按有关政府行政管理部门要求采取妥善的保护措施，由此增加的费用和（或）延误的工期由发包人承担。</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承包人发现文物后不及时报告或隐瞒不报，致使文物丢失或损坏的，应赔偿损失，并承担相应的法律责任。</w:t>
      </w:r>
    </w:p>
    <w:p>
      <w:pPr>
        <w:rPr>
          <w:rFonts w:ascii="黑体" w:hAnsi="黑体" w:eastAsia="黑体"/>
          <w:color w:val="000000"/>
        </w:rPr>
      </w:pPr>
      <w:r>
        <w:rPr>
          <w:rFonts w:ascii="黑体" w:hAnsi="黑体" w:eastAsia="黑体"/>
          <w:color w:val="000000"/>
        </w:rPr>
        <w:t>1</w:t>
      </w:r>
      <w:bookmarkStart w:id="380" w:name="_Toc337558736"/>
      <w:r>
        <w:rPr>
          <w:rFonts w:ascii="黑体" w:hAnsi="黑体" w:eastAsia="黑体"/>
          <w:color w:val="000000"/>
        </w:rPr>
        <w:t>.10</w:t>
      </w:r>
      <w:r>
        <w:rPr>
          <w:rFonts w:hint="eastAsia" w:ascii="黑体" w:hAnsi="黑体" w:eastAsia="黑体"/>
          <w:color w:val="000000"/>
        </w:rPr>
        <w:t>交通运输</w:t>
      </w:r>
    </w:p>
    <w:bookmarkEnd w:id="380"/>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1.10.1 </w:t>
      </w:r>
      <w:r>
        <w:rPr>
          <w:rFonts w:hint="eastAsia" w:ascii="宋体" w:hAnsi="宋体"/>
          <w:color w:val="000000"/>
          <w:kern w:val="0"/>
          <w:szCs w:val="21"/>
        </w:rPr>
        <w:t>出入现场的权利</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承包人应在订立合同前查勘施工现场，并根据工程规模及技术参数合理预见工程施工所需的进出施工现场的方式、手段、路径等。因承包人未合理预见所增加的费用和（或）延误的工期由承包人承担。</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1.10.2 </w:t>
      </w:r>
      <w:r>
        <w:rPr>
          <w:rFonts w:hint="eastAsia" w:ascii="宋体" w:hAnsi="宋体"/>
          <w:color w:val="000000"/>
          <w:kern w:val="0"/>
          <w:szCs w:val="21"/>
        </w:rPr>
        <w:t>场外交通</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1.10.3</w:t>
      </w:r>
      <w:r>
        <w:rPr>
          <w:rFonts w:hint="eastAsia" w:ascii="宋体" w:hAnsi="宋体"/>
          <w:color w:val="000000"/>
          <w:kern w:val="0"/>
          <w:szCs w:val="21"/>
        </w:rPr>
        <w:t>场内交通</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场外交通和场内交通的边界由合同当事人在专用合同条款中约定。</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1.10.4 </w:t>
      </w:r>
      <w:r>
        <w:rPr>
          <w:rFonts w:hint="eastAsia" w:ascii="宋体" w:hAnsi="宋体"/>
          <w:color w:val="000000"/>
          <w:kern w:val="0"/>
          <w:szCs w:val="21"/>
        </w:rPr>
        <w:t>超大件和超重件的运输</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1.10.5 </w:t>
      </w:r>
      <w:r>
        <w:rPr>
          <w:rFonts w:hint="eastAsia" w:ascii="宋体" w:hAnsi="宋体"/>
          <w:color w:val="000000"/>
          <w:kern w:val="0"/>
          <w:szCs w:val="21"/>
        </w:rPr>
        <w:t>道路和桥梁的损坏责任</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因承包人运输造成施工场地内外公共道路和桥梁损坏的，由承包人承担修复损坏的全部费用和可能引起的赔偿。</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1.10.6 </w:t>
      </w:r>
      <w:r>
        <w:rPr>
          <w:rFonts w:hint="eastAsia" w:ascii="宋体" w:hAnsi="宋体"/>
          <w:color w:val="000000"/>
          <w:kern w:val="0"/>
          <w:szCs w:val="21"/>
        </w:rPr>
        <w:t>水路和航空运输</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本款前述各项的内容适用于水路运输和航空运输，其中</w:t>
      </w:r>
      <w:r>
        <w:rPr>
          <w:rFonts w:ascii="宋体" w:hAnsi="宋体"/>
          <w:color w:val="000000"/>
          <w:kern w:val="0"/>
          <w:szCs w:val="21"/>
        </w:rPr>
        <w:t>“</w:t>
      </w:r>
      <w:r>
        <w:rPr>
          <w:rFonts w:hint="eastAsia" w:ascii="宋体" w:hAnsi="宋体"/>
          <w:color w:val="000000"/>
          <w:kern w:val="0"/>
          <w:szCs w:val="21"/>
        </w:rPr>
        <w:t>道路</w:t>
      </w:r>
      <w:r>
        <w:rPr>
          <w:rFonts w:ascii="宋体" w:hAnsi="宋体"/>
          <w:color w:val="000000"/>
          <w:kern w:val="0"/>
          <w:szCs w:val="21"/>
        </w:rPr>
        <w:t>”</w:t>
      </w:r>
      <w:r>
        <w:rPr>
          <w:rFonts w:hint="eastAsia" w:ascii="宋体" w:hAnsi="宋体"/>
          <w:color w:val="000000"/>
          <w:kern w:val="0"/>
          <w:szCs w:val="21"/>
        </w:rPr>
        <w:t>一词的涵义包括河道、航线、船闸、机场、码头、堤防以及水路或航空运输中其他相似结构物；</w:t>
      </w:r>
      <w:r>
        <w:rPr>
          <w:rFonts w:ascii="宋体" w:hAnsi="宋体"/>
          <w:color w:val="000000"/>
          <w:kern w:val="0"/>
          <w:szCs w:val="21"/>
        </w:rPr>
        <w:t>“</w:t>
      </w:r>
      <w:r>
        <w:rPr>
          <w:rFonts w:hint="eastAsia" w:ascii="宋体" w:hAnsi="宋体"/>
          <w:color w:val="000000"/>
          <w:kern w:val="0"/>
          <w:szCs w:val="21"/>
        </w:rPr>
        <w:t>车辆</w:t>
      </w:r>
      <w:r>
        <w:rPr>
          <w:rFonts w:ascii="宋体" w:hAnsi="宋体"/>
          <w:color w:val="000000"/>
          <w:kern w:val="0"/>
          <w:szCs w:val="21"/>
        </w:rPr>
        <w:t>”</w:t>
      </w:r>
      <w:r>
        <w:rPr>
          <w:rFonts w:hint="eastAsia" w:ascii="宋体" w:hAnsi="宋体"/>
          <w:color w:val="000000"/>
          <w:kern w:val="0"/>
          <w:szCs w:val="21"/>
        </w:rPr>
        <w:t>一词的涵义包括船舶和飞机等。</w:t>
      </w:r>
    </w:p>
    <w:p>
      <w:pPr>
        <w:rPr>
          <w:rFonts w:ascii="黑体" w:hAnsi="黑体" w:eastAsia="黑体"/>
          <w:color w:val="000000"/>
        </w:rPr>
      </w:pPr>
      <w:r>
        <w:rPr>
          <w:rFonts w:ascii="黑体" w:hAnsi="黑体" w:eastAsia="黑体"/>
          <w:color w:val="000000"/>
        </w:rPr>
        <w:t>1</w:t>
      </w:r>
      <w:bookmarkStart w:id="381" w:name="_Toc337558737"/>
      <w:bookmarkStart w:id="382" w:name="_Toc296503037"/>
      <w:bookmarkStart w:id="383" w:name="_Toc296346538"/>
      <w:r>
        <w:rPr>
          <w:rFonts w:ascii="黑体" w:hAnsi="黑体" w:eastAsia="黑体"/>
          <w:color w:val="000000"/>
        </w:rPr>
        <w:t>.11</w:t>
      </w:r>
      <w:r>
        <w:rPr>
          <w:rFonts w:hint="eastAsia" w:ascii="黑体" w:hAnsi="黑体" w:eastAsia="黑体"/>
          <w:color w:val="000000"/>
        </w:rPr>
        <w:t>知识产权</w:t>
      </w:r>
      <w:bookmarkEnd w:id="381"/>
    </w:p>
    <w:bookmarkEnd w:id="382"/>
    <w:bookmarkEnd w:id="383"/>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1.11.1 </w:t>
      </w:r>
      <w:r>
        <w:rPr>
          <w:rFonts w:hint="eastAsia" w:ascii="宋体" w:hAnsi="宋体"/>
          <w:color w:val="000000"/>
          <w:kern w:val="0"/>
          <w:szCs w:val="21"/>
        </w:rPr>
        <w:t>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1.11.2 </w:t>
      </w:r>
      <w:r>
        <w:rPr>
          <w:rFonts w:hint="eastAsia" w:ascii="宋体" w:hAnsi="宋体"/>
          <w:color w:val="000000"/>
          <w:kern w:val="0"/>
          <w:szCs w:val="21"/>
        </w:rPr>
        <w:t>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1.11.3 </w:t>
      </w:r>
      <w:r>
        <w:rPr>
          <w:rFonts w:hint="eastAsia" w:ascii="宋体" w:hAnsi="宋体"/>
          <w:color w:val="000000"/>
          <w:kern w:val="0"/>
          <w:szCs w:val="21"/>
        </w:rPr>
        <w:t>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pPr>
        <w:rPr>
          <w:rFonts w:ascii="宋体" w:hAnsi="宋体"/>
          <w:color w:val="000000"/>
          <w:szCs w:val="21"/>
        </w:rPr>
      </w:pPr>
      <w:r>
        <w:rPr>
          <w:rFonts w:ascii="宋体" w:hAnsi="宋体"/>
          <w:color w:val="000000"/>
          <w:szCs w:val="21"/>
        </w:rPr>
        <w:t xml:space="preserve">1.11.4 </w:t>
      </w:r>
      <w:r>
        <w:rPr>
          <w:rFonts w:hint="eastAsia" w:ascii="宋体" w:hAnsi="宋体"/>
          <w:color w:val="000000"/>
          <w:szCs w:val="21"/>
        </w:rPr>
        <w:t>除专用合同条款另有约定外，承包人在合同签订前和签订时已确定采用的专利、专有技术、技术秘密的使用费已包含在签约合同价中。</w:t>
      </w:r>
    </w:p>
    <w:p>
      <w:pPr>
        <w:rPr>
          <w:rFonts w:ascii="黑体" w:hAnsi="黑体" w:eastAsia="黑体"/>
          <w:color w:val="000000"/>
        </w:rPr>
      </w:pPr>
      <w:r>
        <w:rPr>
          <w:rFonts w:ascii="黑体" w:hAnsi="黑体" w:eastAsia="黑体"/>
          <w:color w:val="000000"/>
        </w:rPr>
        <w:t>1</w:t>
      </w:r>
      <w:bookmarkStart w:id="384" w:name="_Toc337558738"/>
      <w:r>
        <w:rPr>
          <w:rFonts w:ascii="黑体" w:hAnsi="黑体" w:eastAsia="黑体"/>
          <w:color w:val="000000"/>
        </w:rPr>
        <w:t>.12</w:t>
      </w:r>
      <w:r>
        <w:rPr>
          <w:rFonts w:hint="eastAsia" w:ascii="黑体" w:hAnsi="黑体" w:eastAsia="黑体"/>
          <w:color w:val="000000"/>
        </w:rPr>
        <w:t>保密</w:t>
      </w:r>
    </w:p>
    <w:bookmarkEnd w:id="384"/>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除法律规定或合同另有约定外，未经发包人同意，承包人不得将发包人提供的图纸、文件以及声明需要保密的资料信息等商业秘密泄露给第三方。</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除法律规定或合同另有约定外，未经承包人同意，发包人不得将承包人提供的技术秘密及声明需要保密的资料信息等商业秘密泄露给第三方。</w:t>
      </w:r>
    </w:p>
    <w:p>
      <w:pPr>
        <w:rPr>
          <w:rFonts w:ascii="黑体" w:hAnsi="黑体" w:eastAsia="黑体"/>
          <w:color w:val="000000"/>
        </w:rPr>
      </w:pPr>
      <w:r>
        <w:rPr>
          <w:rFonts w:ascii="黑体" w:hAnsi="黑体" w:eastAsia="黑体"/>
          <w:color w:val="000000"/>
        </w:rPr>
        <w:t>1.13</w:t>
      </w:r>
      <w:r>
        <w:rPr>
          <w:rFonts w:hint="eastAsia" w:ascii="黑体" w:hAnsi="黑体" w:eastAsia="黑体"/>
          <w:color w:val="000000"/>
        </w:rPr>
        <w:t>工程量清单错误的修正</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除专用合同条款另有约定外，发包人提供的工程量清单，应被认为是准确的和完整的。出现下列情形之一时，发包人应予以修正，并相应调整合同价格：</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）工程量清单存在缺项、漏项的；</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）工程量清单偏差超出专用合同条款约定的工程量偏差范围的；</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3</w:t>
      </w:r>
      <w:r>
        <w:rPr>
          <w:rFonts w:hint="eastAsia" w:ascii="宋体" w:hAnsi="宋体"/>
          <w:color w:val="000000"/>
          <w:kern w:val="0"/>
          <w:szCs w:val="21"/>
        </w:rPr>
        <w:t>）未按照国家现行计量规范强制性规定计量的。</w:t>
      </w:r>
    </w:p>
    <w:p>
      <w:pPr>
        <w:pStyle w:val="5"/>
        <w:spacing w:before="120" w:after="120" w:line="360" w:lineRule="auto"/>
        <w:rPr>
          <w:rFonts w:ascii="黑体" w:hAnsi="黑体"/>
          <w:b w:val="0"/>
          <w:color w:val="000000"/>
        </w:rPr>
      </w:pPr>
      <w:bookmarkStart w:id="385" w:name="_Toc114222803"/>
      <w:bookmarkStart w:id="386" w:name="_Toc362623167"/>
      <w:r>
        <w:rPr>
          <w:rFonts w:ascii="黑体" w:hAnsi="黑体"/>
          <w:b w:val="0"/>
          <w:color w:val="000000"/>
        </w:rPr>
        <w:t>2</w:t>
      </w:r>
      <w:bookmarkStart w:id="387" w:name="_Toc337558739"/>
      <w:bookmarkStart w:id="388" w:name="_Toc296503038"/>
      <w:bookmarkStart w:id="389" w:name="_Toc296346539"/>
      <w:bookmarkStart w:id="390" w:name="OLE_LINK2"/>
      <w:bookmarkStart w:id="391" w:name="OLE_LINK1"/>
      <w:r>
        <w:rPr>
          <w:rFonts w:ascii="黑体" w:hAnsi="黑体"/>
          <w:b w:val="0"/>
          <w:color w:val="000000"/>
        </w:rPr>
        <w:t xml:space="preserve">. </w:t>
      </w:r>
      <w:r>
        <w:rPr>
          <w:rFonts w:hint="eastAsia" w:ascii="黑体" w:hAnsi="黑体"/>
          <w:b w:val="0"/>
          <w:color w:val="000000"/>
        </w:rPr>
        <w:t>发包人</w:t>
      </w:r>
      <w:bookmarkEnd w:id="385"/>
      <w:bookmarkEnd w:id="386"/>
    </w:p>
    <w:bookmarkEnd w:id="387"/>
    <w:bookmarkEnd w:id="388"/>
    <w:bookmarkEnd w:id="389"/>
    <w:p>
      <w:pPr>
        <w:rPr>
          <w:rFonts w:ascii="黑体" w:hAnsi="黑体" w:eastAsia="黑体"/>
          <w:color w:val="000000"/>
        </w:rPr>
      </w:pPr>
      <w:r>
        <w:rPr>
          <w:rFonts w:ascii="黑体" w:hAnsi="黑体" w:eastAsia="黑体"/>
          <w:color w:val="000000"/>
        </w:rPr>
        <w:t>2</w:t>
      </w:r>
      <w:bookmarkStart w:id="392" w:name="_Toc337558740"/>
      <w:bookmarkStart w:id="393" w:name="_Toc296503039"/>
      <w:bookmarkStart w:id="394" w:name="_Toc296346540"/>
      <w:r>
        <w:rPr>
          <w:rFonts w:ascii="黑体" w:hAnsi="黑体" w:eastAsia="黑体"/>
          <w:color w:val="000000"/>
        </w:rPr>
        <w:t xml:space="preserve">.1 </w:t>
      </w:r>
      <w:r>
        <w:rPr>
          <w:rFonts w:hint="eastAsia" w:ascii="黑体" w:hAnsi="黑体" w:eastAsia="黑体"/>
          <w:color w:val="000000"/>
        </w:rPr>
        <w:t>许可或批准</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因发包人原因未能及时办理完毕前述许可、批准或备案，由发包人承担由此增加的费用和（或）延误的工期，并支付承包人合理的利润。</w:t>
      </w:r>
    </w:p>
    <w:p>
      <w:pPr>
        <w:rPr>
          <w:rFonts w:ascii="黑体" w:hAnsi="黑体" w:eastAsia="黑体"/>
          <w:color w:val="000000"/>
        </w:rPr>
      </w:pPr>
      <w:r>
        <w:rPr>
          <w:rFonts w:ascii="黑体" w:hAnsi="黑体" w:eastAsia="黑体"/>
          <w:color w:val="000000"/>
        </w:rPr>
        <w:t xml:space="preserve">2.2 </w:t>
      </w:r>
      <w:r>
        <w:rPr>
          <w:rFonts w:hint="eastAsia" w:ascii="黑体" w:hAnsi="黑体" w:eastAsia="黑体"/>
          <w:color w:val="000000"/>
        </w:rPr>
        <w:t>发包人代表</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w:t>
      </w:r>
      <w:r>
        <w:rPr>
          <w:rFonts w:ascii="宋体" w:hAnsi="宋体"/>
          <w:color w:val="000000"/>
          <w:kern w:val="0"/>
          <w:szCs w:val="21"/>
        </w:rPr>
        <w:t>7</w:t>
      </w:r>
      <w:r>
        <w:rPr>
          <w:rFonts w:hint="eastAsia" w:ascii="宋体" w:hAnsi="宋体"/>
          <w:color w:val="000000"/>
          <w:kern w:val="0"/>
          <w:szCs w:val="21"/>
        </w:rPr>
        <w:t>天书面通知承包人。</w:t>
      </w:r>
    </w:p>
    <w:p>
      <w:pPr>
        <w:ind w:firstLine="420" w:firstLineChars="200"/>
        <w:rPr>
          <w:rFonts w:ascii="宋体" w:hAnsi="宋体"/>
          <w:color w:val="000000"/>
          <w:kern w:val="0"/>
          <w:szCs w:val="21"/>
        </w:rPr>
      </w:pPr>
      <w:r>
        <w:rPr>
          <w:rFonts w:hint="eastAsia" w:ascii="宋体" w:hAnsi="宋体"/>
          <w:color w:val="000000"/>
          <w:kern w:val="0"/>
          <w:szCs w:val="21"/>
        </w:rPr>
        <w:t>发包人代表不能按照合同约定履行其职责及义务，并导致合同无法继续正常履行的，承包人可以要求发包人撤换发包人代表。</w:t>
      </w:r>
    </w:p>
    <w:p>
      <w:pPr>
        <w:ind w:firstLine="420" w:firstLineChars="200"/>
        <w:rPr>
          <w:rFonts w:ascii="宋体" w:hAnsi="宋体"/>
          <w:color w:val="000000"/>
          <w:szCs w:val="21"/>
        </w:rPr>
      </w:pPr>
      <w:r>
        <w:rPr>
          <w:rFonts w:hint="eastAsia" w:ascii="宋体" w:hAnsi="宋体"/>
          <w:color w:val="000000"/>
          <w:kern w:val="0"/>
          <w:szCs w:val="21"/>
        </w:rPr>
        <w:t>不属于法定必须监理的工程，监理人的职权可以由发包人代表或发包人指定的其他人员行使。</w:t>
      </w:r>
    </w:p>
    <w:p>
      <w:pPr>
        <w:rPr>
          <w:rFonts w:ascii="黑体" w:hAnsi="黑体" w:eastAsia="黑体"/>
          <w:color w:val="000000"/>
        </w:rPr>
      </w:pPr>
      <w:r>
        <w:rPr>
          <w:rFonts w:ascii="黑体" w:hAnsi="黑体" w:eastAsia="黑体"/>
          <w:color w:val="000000"/>
        </w:rPr>
        <w:t xml:space="preserve">2.3 </w:t>
      </w:r>
      <w:r>
        <w:rPr>
          <w:rFonts w:hint="eastAsia" w:ascii="黑体" w:hAnsi="黑体" w:eastAsia="黑体"/>
          <w:color w:val="000000"/>
        </w:rPr>
        <w:t>发包人人员</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发包人应要求在施工现场的发包人人员遵守法律及有关安全、质量、环境保护、文明施工等规定，并保障承包人免于承受因发包人人员未遵守上述要求给承包人造成的损失和责任。</w:t>
      </w:r>
    </w:p>
    <w:p>
      <w:pPr>
        <w:spacing w:line="360" w:lineRule="auto"/>
        <w:ind w:firstLine="640"/>
        <w:jc w:val="left"/>
        <w:rPr>
          <w:rFonts w:ascii="宋体" w:hAnsi="宋体"/>
          <w:color w:val="000000"/>
          <w:kern w:val="0"/>
          <w:szCs w:val="21"/>
        </w:rPr>
      </w:pPr>
      <w:r>
        <w:rPr>
          <w:rFonts w:hint="eastAsia" w:ascii="宋体" w:hAnsi="宋体"/>
          <w:color w:val="000000"/>
          <w:kern w:val="0"/>
          <w:szCs w:val="21"/>
        </w:rPr>
        <w:t>发包人人员包括发包人代表及其他由发包人派驻施工现场的人员。</w:t>
      </w:r>
      <w:bookmarkEnd w:id="392"/>
      <w:bookmarkEnd w:id="393"/>
      <w:bookmarkEnd w:id="394"/>
    </w:p>
    <w:p>
      <w:pPr>
        <w:rPr>
          <w:rFonts w:ascii="黑体" w:hAnsi="黑体" w:eastAsia="黑体"/>
          <w:color w:val="000000"/>
        </w:rPr>
      </w:pPr>
      <w:r>
        <w:rPr>
          <w:rFonts w:ascii="黑体" w:hAnsi="黑体" w:eastAsia="黑体"/>
          <w:color w:val="000000"/>
        </w:rPr>
        <w:t>2</w:t>
      </w:r>
      <w:bookmarkStart w:id="395" w:name="_Toc296503040"/>
      <w:bookmarkStart w:id="396" w:name="_Toc337558741"/>
      <w:bookmarkStart w:id="397" w:name="_Toc296346541"/>
      <w:r>
        <w:rPr>
          <w:rFonts w:ascii="黑体" w:hAnsi="黑体" w:eastAsia="黑体"/>
          <w:color w:val="000000"/>
        </w:rPr>
        <w:t xml:space="preserve">.4 </w:t>
      </w:r>
      <w:r>
        <w:rPr>
          <w:rFonts w:hint="eastAsia" w:ascii="黑体" w:hAnsi="黑体" w:eastAsia="黑体"/>
          <w:color w:val="000000"/>
        </w:rPr>
        <w:t>施工现场、施工条件和基础资料的提供</w:t>
      </w:r>
      <w:bookmarkEnd w:id="395"/>
      <w:bookmarkEnd w:id="396"/>
      <w:bookmarkEnd w:id="397"/>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2.4.1 </w:t>
      </w:r>
      <w:r>
        <w:rPr>
          <w:rFonts w:hint="eastAsia" w:ascii="宋体" w:hAnsi="宋体"/>
          <w:color w:val="000000"/>
          <w:kern w:val="0"/>
          <w:szCs w:val="21"/>
        </w:rPr>
        <w:t>提供施工现场</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除</w:t>
      </w:r>
      <w:bookmarkEnd w:id="390"/>
      <w:bookmarkEnd w:id="391"/>
      <w:r>
        <w:rPr>
          <w:rFonts w:hint="eastAsia" w:ascii="宋体" w:hAnsi="宋体"/>
          <w:color w:val="000000"/>
          <w:kern w:val="0"/>
          <w:szCs w:val="21"/>
        </w:rPr>
        <w:t>专用合同条款另有约定外，发包人应最迟于开工日期</w:t>
      </w:r>
      <w:r>
        <w:rPr>
          <w:rFonts w:ascii="宋体" w:hAnsi="宋体"/>
          <w:color w:val="000000"/>
          <w:kern w:val="0"/>
          <w:szCs w:val="21"/>
        </w:rPr>
        <w:t>7</w:t>
      </w:r>
      <w:r>
        <w:rPr>
          <w:rFonts w:hint="eastAsia" w:ascii="宋体" w:hAnsi="宋体"/>
          <w:color w:val="000000"/>
          <w:kern w:val="0"/>
          <w:szCs w:val="21"/>
        </w:rPr>
        <w:t>天前向承包人移交施工现场。</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2.4.2 </w:t>
      </w:r>
      <w:r>
        <w:rPr>
          <w:rFonts w:hint="eastAsia" w:ascii="宋体" w:hAnsi="宋体"/>
          <w:color w:val="000000"/>
          <w:kern w:val="0"/>
          <w:szCs w:val="21"/>
        </w:rPr>
        <w:t>提供施工条件</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除专用合同条款另有约定外，发包人应负责提供施工所需要的条件，包括：</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）将施工用水、电力、通讯线路等施工所必需的条件接至施工现场内；</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）保证向承包人提供正常施工所需要的进入施工现场的交通条件；</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3</w:t>
      </w:r>
      <w:r>
        <w:rPr>
          <w:rFonts w:hint="eastAsia" w:ascii="宋体" w:hAnsi="宋体"/>
          <w:color w:val="000000"/>
          <w:kern w:val="0"/>
          <w:szCs w:val="21"/>
        </w:rPr>
        <w:t>）协调处理施工现场周围地下管线和邻近建筑物、构筑物、古树名木的保护工作，并承担相关费用；</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4</w:t>
      </w:r>
      <w:r>
        <w:rPr>
          <w:rFonts w:hint="eastAsia" w:ascii="宋体" w:hAnsi="宋体"/>
          <w:color w:val="000000"/>
          <w:kern w:val="0"/>
          <w:szCs w:val="21"/>
        </w:rPr>
        <w:t>）按照专用合同条款约定应提供的其他设施和条件。</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kern w:val="0"/>
          <w:szCs w:val="21"/>
        </w:rPr>
        <w:t xml:space="preserve">2.4.3 </w:t>
      </w:r>
      <w:r>
        <w:rPr>
          <w:rFonts w:hint="eastAsia" w:ascii="宋体" w:hAnsi="宋体"/>
          <w:color w:val="000000"/>
          <w:kern w:val="0"/>
          <w:szCs w:val="21"/>
        </w:rPr>
        <w:t>提供基础资料</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按照法律规定确需在开工后方能提供的基础资料，发包人应尽其努力及时地在相应工程施工前的合理期限内提供，合理期限应以不影响承包人的正常施工为限。</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2.4.4 </w:t>
      </w:r>
      <w:r>
        <w:rPr>
          <w:rFonts w:hint="eastAsia" w:ascii="宋体" w:hAnsi="宋体"/>
          <w:color w:val="000000"/>
          <w:kern w:val="0"/>
          <w:szCs w:val="21"/>
        </w:rPr>
        <w:t>逾期提供的责任</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因发包人原因未能按合同约定及时向承包人提供施工现场、施工条件、基础资料的，由发包人承担由此增加的费用和（或）延误的工期。</w:t>
      </w:r>
    </w:p>
    <w:p>
      <w:pPr>
        <w:rPr>
          <w:rFonts w:ascii="黑体" w:hAnsi="黑体" w:eastAsia="黑体"/>
          <w:color w:val="000000"/>
        </w:rPr>
      </w:pPr>
      <w:r>
        <w:rPr>
          <w:rFonts w:ascii="黑体" w:hAnsi="黑体" w:eastAsia="黑体"/>
          <w:color w:val="000000"/>
        </w:rPr>
        <w:t>2</w:t>
      </w:r>
      <w:bookmarkStart w:id="398" w:name="_Toc337558745"/>
      <w:bookmarkStart w:id="399" w:name="_Toc296346543"/>
      <w:bookmarkStart w:id="400" w:name="_Toc296503042"/>
      <w:r>
        <w:rPr>
          <w:rFonts w:ascii="黑体" w:hAnsi="黑体" w:eastAsia="黑体"/>
          <w:color w:val="000000"/>
        </w:rPr>
        <w:t xml:space="preserve">.5 </w:t>
      </w:r>
      <w:r>
        <w:rPr>
          <w:rFonts w:hint="eastAsia" w:ascii="黑体" w:hAnsi="黑体" w:eastAsia="黑体"/>
          <w:color w:val="000000"/>
        </w:rPr>
        <w:t>资</w:t>
      </w:r>
      <w:bookmarkEnd w:id="398"/>
      <w:bookmarkEnd w:id="399"/>
      <w:bookmarkEnd w:id="400"/>
      <w:r>
        <w:rPr>
          <w:rFonts w:hint="eastAsia" w:ascii="黑体" w:hAnsi="黑体" w:eastAsia="黑体"/>
          <w:color w:val="000000"/>
        </w:rPr>
        <w:t>金来源证明及支付担保</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除专用合同条款另有约定外，发包人应在收到承包人要求提供资金来源证明的书面通知后</w:t>
      </w:r>
      <w:r>
        <w:rPr>
          <w:rFonts w:ascii="宋体" w:hAnsi="宋体"/>
          <w:color w:val="000000"/>
          <w:kern w:val="0"/>
          <w:szCs w:val="21"/>
        </w:rPr>
        <w:t>28</w:t>
      </w:r>
      <w:r>
        <w:rPr>
          <w:rFonts w:hint="eastAsia" w:ascii="宋体" w:hAnsi="宋体"/>
          <w:color w:val="000000"/>
          <w:kern w:val="0"/>
          <w:szCs w:val="21"/>
        </w:rPr>
        <w:t>天内，向承包人提供能够按照合同约定支付合同价款的相应资金来源证明。</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除专用合同条款另有约定外，发包人要求承包人提供履约担保的，发包人应当向承包人提供支付担保。支付担保可以采用银行保函或担保公司担保等形式，具体由合同当事人在专用合同条款中约定。</w:t>
      </w:r>
    </w:p>
    <w:p>
      <w:pPr>
        <w:rPr>
          <w:rFonts w:ascii="黑体" w:hAnsi="黑体" w:eastAsia="黑体"/>
          <w:color w:val="000000"/>
        </w:rPr>
      </w:pPr>
      <w:r>
        <w:rPr>
          <w:rFonts w:ascii="黑体" w:hAnsi="黑体" w:eastAsia="黑体"/>
          <w:color w:val="000000"/>
        </w:rPr>
        <w:t xml:space="preserve">2.6 </w:t>
      </w:r>
      <w:r>
        <w:rPr>
          <w:rFonts w:hint="eastAsia" w:ascii="黑体" w:hAnsi="黑体" w:eastAsia="黑体"/>
          <w:color w:val="000000"/>
        </w:rPr>
        <w:t>支付合同价款</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发包人应按合同约定向承包人及时支付合同价款。</w:t>
      </w:r>
    </w:p>
    <w:p>
      <w:pPr>
        <w:rPr>
          <w:rFonts w:ascii="黑体" w:hAnsi="黑体" w:eastAsia="黑体"/>
          <w:color w:val="000000"/>
        </w:rPr>
      </w:pPr>
      <w:r>
        <w:rPr>
          <w:rFonts w:ascii="黑体" w:hAnsi="黑体" w:eastAsia="黑体"/>
          <w:color w:val="000000"/>
        </w:rPr>
        <w:t xml:space="preserve">2.7 </w:t>
      </w:r>
      <w:r>
        <w:rPr>
          <w:rFonts w:hint="eastAsia" w:ascii="黑体" w:hAnsi="黑体" w:eastAsia="黑体"/>
          <w:color w:val="000000"/>
        </w:rPr>
        <w:t>组织竣工验收</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发包人应按合同约定及时组织竣工验收。</w:t>
      </w:r>
    </w:p>
    <w:p>
      <w:pPr>
        <w:rPr>
          <w:rFonts w:ascii="黑体" w:hAnsi="黑体" w:eastAsia="黑体"/>
          <w:color w:val="000000"/>
        </w:rPr>
      </w:pPr>
      <w:r>
        <w:rPr>
          <w:rFonts w:ascii="黑体" w:hAnsi="黑体" w:eastAsia="黑体"/>
          <w:color w:val="000000"/>
        </w:rPr>
        <w:t xml:space="preserve">2.8 </w:t>
      </w:r>
      <w:r>
        <w:rPr>
          <w:rFonts w:hint="eastAsia" w:ascii="黑体" w:hAnsi="黑体" w:eastAsia="黑体"/>
          <w:color w:val="000000"/>
        </w:rPr>
        <w:t>现场统一管理协议</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发包人应与承包人、由发包人直接发包的专业工程的承包人签订施工现场统一管理协议，明确各方的权利义务。施工现场统一管理协议作为专用合同条款的附件。</w:t>
      </w:r>
    </w:p>
    <w:p>
      <w:pPr>
        <w:pStyle w:val="5"/>
        <w:spacing w:before="120" w:after="120" w:line="360" w:lineRule="auto"/>
        <w:rPr>
          <w:rFonts w:ascii="黑体" w:hAnsi="黑体"/>
          <w:b w:val="0"/>
          <w:color w:val="000000"/>
        </w:rPr>
      </w:pPr>
      <w:bookmarkStart w:id="401" w:name="_Toc362623168"/>
      <w:bookmarkStart w:id="402" w:name="_Toc114222804"/>
      <w:r>
        <w:rPr>
          <w:rFonts w:ascii="黑体" w:hAnsi="黑体"/>
          <w:b w:val="0"/>
          <w:color w:val="000000"/>
        </w:rPr>
        <w:t>3</w:t>
      </w:r>
      <w:bookmarkStart w:id="403" w:name="_Toc296346546"/>
      <w:bookmarkStart w:id="404" w:name="_Toc337558746"/>
      <w:bookmarkStart w:id="405" w:name="_Toc296503045"/>
      <w:r>
        <w:rPr>
          <w:rFonts w:ascii="黑体" w:hAnsi="黑体"/>
          <w:b w:val="0"/>
          <w:color w:val="000000"/>
        </w:rPr>
        <w:t xml:space="preserve">. </w:t>
      </w:r>
      <w:r>
        <w:rPr>
          <w:rFonts w:hint="eastAsia" w:ascii="黑体" w:hAnsi="黑体"/>
          <w:b w:val="0"/>
          <w:color w:val="000000"/>
        </w:rPr>
        <w:t>承包人</w:t>
      </w:r>
      <w:bookmarkEnd w:id="401"/>
      <w:bookmarkEnd w:id="402"/>
    </w:p>
    <w:bookmarkEnd w:id="403"/>
    <w:bookmarkEnd w:id="404"/>
    <w:bookmarkEnd w:id="405"/>
    <w:p>
      <w:pPr>
        <w:rPr>
          <w:rFonts w:ascii="黑体" w:hAnsi="黑体" w:eastAsia="黑体"/>
          <w:color w:val="000000"/>
        </w:rPr>
      </w:pPr>
      <w:r>
        <w:rPr>
          <w:rFonts w:ascii="黑体" w:hAnsi="黑体" w:eastAsia="黑体"/>
          <w:color w:val="000000"/>
        </w:rPr>
        <w:t>3</w:t>
      </w:r>
      <w:bookmarkStart w:id="406" w:name="_Toc296503046"/>
      <w:bookmarkStart w:id="407" w:name="_Toc337558747"/>
      <w:bookmarkStart w:id="408" w:name="_Toc296346547"/>
      <w:r>
        <w:rPr>
          <w:rFonts w:ascii="黑体" w:hAnsi="黑体" w:eastAsia="黑体"/>
          <w:color w:val="000000"/>
        </w:rPr>
        <w:t xml:space="preserve">.1 </w:t>
      </w:r>
      <w:r>
        <w:rPr>
          <w:rFonts w:hint="eastAsia" w:ascii="黑体" w:hAnsi="黑体" w:eastAsia="黑体"/>
          <w:color w:val="000000"/>
        </w:rPr>
        <w:t>承包人的一般义务</w:t>
      </w:r>
    </w:p>
    <w:bookmarkEnd w:id="406"/>
    <w:bookmarkEnd w:id="407"/>
    <w:bookmarkEnd w:id="408"/>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承包人在履行合同过程中应遵守法律和工程建设标准规范，并履行以下义务：</w:t>
      </w:r>
    </w:p>
    <w:p>
      <w:pPr>
        <w:numPr>
          <w:ilvl w:val="0"/>
          <w:numId w:val="3"/>
        </w:num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办理法律规定应由承包人办理的许可和批准，并将办理结果书面报送发包人留存；</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）按法律规定和合同约定完成工程，并在保修期内承担保修义务；</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3</w:t>
      </w:r>
      <w:r>
        <w:rPr>
          <w:rFonts w:hint="eastAsia" w:ascii="宋体" w:hAnsi="宋体"/>
          <w:color w:val="000000"/>
          <w:kern w:val="0"/>
          <w:szCs w:val="21"/>
        </w:rPr>
        <w:t>）按法律规定和合同约定采取施工安全和环境保护措施，办理工伤保险，确保工程及人员、材料、设备和设施的安全；</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4</w:t>
      </w:r>
      <w:r>
        <w:rPr>
          <w:rFonts w:hint="eastAsia" w:ascii="宋体" w:hAnsi="宋体"/>
          <w:color w:val="000000"/>
          <w:kern w:val="0"/>
          <w:szCs w:val="21"/>
        </w:rPr>
        <w:t>）按合同约定的工作内容和施工进度要求，编制施工组织设计和施工措施计划，并对所有施工作业和施工方法的完备性和安全可靠性负责；</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5</w:t>
      </w:r>
      <w:r>
        <w:rPr>
          <w:rFonts w:hint="eastAsia" w:ascii="宋体" w:hAnsi="宋体"/>
          <w:color w:val="000000"/>
          <w:kern w:val="0"/>
          <w:szCs w:val="21"/>
        </w:rPr>
        <w:t>）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6</w:t>
      </w:r>
      <w:r>
        <w:rPr>
          <w:rFonts w:hint="eastAsia" w:ascii="宋体" w:hAnsi="宋体"/>
          <w:color w:val="000000"/>
          <w:kern w:val="0"/>
          <w:szCs w:val="21"/>
        </w:rPr>
        <w:t>）按照第</w:t>
      </w:r>
      <w:r>
        <w:rPr>
          <w:rFonts w:ascii="宋体" w:hAnsi="宋体"/>
          <w:color w:val="000000"/>
          <w:kern w:val="0"/>
          <w:szCs w:val="21"/>
        </w:rPr>
        <w:t>6.3</w:t>
      </w:r>
      <w:r>
        <w:rPr>
          <w:rFonts w:hint="eastAsia" w:ascii="宋体" w:hAnsi="宋体"/>
          <w:color w:val="000000"/>
          <w:kern w:val="0"/>
          <w:szCs w:val="21"/>
        </w:rPr>
        <w:t>款〔环境保护〕约定负责施工场地及其周边环境与生态的保护工作；</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7</w:t>
      </w:r>
      <w:r>
        <w:rPr>
          <w:rFonts w:hint="eastAsia" w:ascii="宋体" w:hAnsi="宋体"/>
          <w:color w:val="000000"/>
          <w:kern w:val="0"/>
          <w:szCs w:val="21"/>
        </w:rPr>
        <w:t>）按第</w:t>
      </w:r>
      <w:r>
        <w:rPr>
          <w:rFonts w:ascii="宋体" w:hAnsi="宋体"/>
          <w:color w:val="000000"/>
          <w:kern w:val="0"/>
          <w:szCs w:val="21"/>
        </w:rPr>
        <w:t>6.1</w:t>
      </w:r>
      <w:r>
        <w:rPr>
          <w:rFonts w:hint="eastAsia" w:ascii="宋体" w:hAnsi="宋体"/>
          <w:color w:val="000000"/>
          <w:kern w:val="0"/>
          <w:szCs w:val="21"/>
        </w:rPr>
        <w:t>款〔安全文明施工〕约定采取施工安全措施，确保工程及其人员、材料、设备和设施的安全，防止因工程施工造成的人身伤害和财产损失；</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8</w:t>
      </w:r>
      <w:r>
        <w:rPr>
          <w:rFonts w:hint="eastAsia" w:ascii="宋体" w:hAnsi="宋体"/>
          <w:color w:val="000000"/>
          <w:kern w:val="0"/>
          <w:szCs w:val="21"/>
        </w:rPr>
        <w:t>）将发包人按合同约定支付的各项价款专用于合同工程，且应及时支付其雇用人员工资，并及时向分包人支付合同价款；</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9</w:t>
      </w:r>
      <w:r>
        <w:rPr>
          <w:rFonts w:hint="eastAsia" w:ascii="宋体" w:hAnsi="宋体"/>
          <w:color w:val="000000"/>
          <w:kern w:val="0"/>
          <w:szCs w:val="21"/>
        </w:rPr>
        <w:t>）按照法律规定和合同约定编制竣工资料，完成竣工资料立卷及归档，并按专用合同条款约定的竣工资料的套数、内容、时间等要求移交发包人；</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10</w:t>
      </w:r>
      <w:r>
        <w:rPr>
          <w:rFonts w:hint="eastAsia" w:ascii="宋体" w:hAnsi="宋体"/>
          <w:color w:val="000000"/>
          <w:kern w:val="0"/>
          <w:szCs w:val="21"/>
        </w:rPr>
        <w:t>）应履行的其他义务。</w:t>
      </w:r>
    </w:p>
    <w:p>
      <w:pPr>
        <w:rPr>
          <w:rFonts w:ascii="黑体" w:hAnsi="黑体" w:eastAsia="黑体"/>
          <w:color w:val="000000"/>
        </w:rPr>
      </w:pPr>
      <w:r>
        <w:rPr>
          <w:rFonts w:ascii="黑体" w:hAnsi="黑体" w:eastAsia="黑体"/>
          <w:color w:val="000000"/>
        </w:rPr>
        <w:t>3</w:t>
      </w:r>
      <w:bookmarkStart w:id="409" w:name="_Toc296503047"/>
      <w:bookmarkStart w:id="410" w:name="_Toc296346548"/>
      <w:bookmarkStart w:id="411" w:name="_Toc337558748"/>
      <w:r>
        <w:rPr>
          <w:rFonts w:ascii="黑体" w:hAnsi="黑体" w:eastAsia="黑体"/>
          <w:color w:val="000000"/>
        </w:rPr>
        <w:t xml:space="preserve">.2 </w:t>
      </w:r>
      <w:r>
        <w:rPr>
          <w:rFonts w:hint="eastAsia" w:ascii="黑体" w:hAnsi="黑体" w:eastAsia="黑体"/>
          <w:color w:val="000000"/>
        </w:rPr>
        <w:t>项目经理</w:t>
      </w:r>
    </w:p>
    <w:bookmarkEnd w:id="409"/>
    <w:bookmarkEnd w:id="410"/>
    <w:bookmarkEnd w:id="411"/>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3.2.1 </w:t>
      </w:r>
      <w:r>
        <w:rPr>
          <w:rFonts w:hint="eastAsia" w:ascii="宋体" w:hAnsi="宋体"/>
          <w:color w:val="000000"/>
          <w:kern w:val="0"/>
          <w:szCs w:val="21"/>
        </w:rPr>
        <w:t>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承包人违反上述约定的，应按照专用合同条款的约定，承担违约责任。</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3.2.2 </w:t>
      </w:r>
      <w:r>
        <w:rPr>
          <w:rFonts w:hint="eastAsia" w:ascii="宋体" w:hAnsi="宋体"/>
          <w:color w:val="000000"/>
          <w:kern w:val="0"/>
          <w:szCs w:val="21"/>
        </w:rPr>
        <w:t>项目经理按合同约定组织工程实施。在紧急情况下为确保施工安全和人员安全，在无法与发包人代表和总监理工程师及时取得联系时，项目经理有权采取必要的措施保证与工程有关的人身、财产和工程的安全，但应在</w:t>
      </w:r>
      <w:r>
        <w:rPr>
          <w:rFonts w:ascii="宋体" w:hAnsi="宋体"/>
          <w:color w:val="000000"/>
          <w:kern w:val="0"/>
          <w:szCs w:val="21"/>
        </w:rPr>
        <w:t>48</w:t>
      </w:r>
      <w:r>
        <w:rPr>
          <w:rFonts w:hint="eastAsia" w:ascii="宋体" w:hAnsi="宋体"/>
          <w:color w:val="000000"/>
          <w:kern w:val="0"/>
          <w:szCs w:val="21"/>
        </w:rPr>
        <w:t>小时内向发包人代表和总监理工程师提交书面报告。</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3.2.3 </w:t>
      </w:r>
      <w:r>
        <w:rPr>
          <w:rFonts w:hint="eastAsia" w:ascii="宋体" w:hAnsi="宋体"/>
          <w:color w:val="000000"/>
          <w:kern w:val="0"/>
          <w:szCs w:val="21"/>
        </w:rPr>
        <w:t>承包人需要更换项目经理的，应提前</w:t>
      </w:r>
      <w:r>
        <w:rPr>
          <w:rFonts w:ascii="宋体" w:hAnsi="宋体"/>
          <w:color w:val="000000"/>
          <w:kern w:val="0"/>
          <w:szCs w:val="21"/>
        </w:rPr>
        <w:t>14</w:t>
      </w:r>
      <w:r>
        <w:rPr>
          <w:rFonts w:hint="eastAsia" w:ascii="宋体" w:hAnsi="宋体"/>
          <w:color w:val="000000"/>
          <w:kern w:val="0"/>
          <w:szCs w:val="21"/>
        </w:rPr>
        <w:t>天书面通知发包人和监理人，并征得发包人书面同意。通知中应当载明继任项目经理的注册执业资格、管理经验等资料，继任项目经理继续履行第</w:t>
      </w:r>
      <w:r>
        <w:rPr>
          <w:rFonts w:ascii="宋体" w:hAnsi="宋体"/>
          <w:color w:val="000000"/>
          <w:kern w:val="0"/>
          <w:szCs w:val="21"/>
        </w:rPr>
        <w:t>3.2.1</w:t>
      </w:r>
      <w:r>
        <w:rPr>
          <w:rFonts w:hint="eastAsia" w:ascii="宋体" w:hAnsi="宋体"/>
          <w:color w:val="000000"/>
          <w:kern w:val="0"/>
          <w:szCs w:val="21"/>
        </w:rPr>
        <w:t>项约定的职责。未经发包人书面同意，承包人不得擅自更换项目经理。承包人擅自更换项目经理的，应按照专用合同条款的约定承担违约责任。</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3.2.4 </w:t>
      </w:r>
      <w:r>
        <w:rPr>
          <w:rFonts w:hint="eastAsia" w:ascii="宋体" w:hAnsi="宋体"/>
          <w:color w:val="000000"/>
          <w:kern w:val="0"/>
          <w:szCs w:val="21"/>
        </w:rPr>
        <w:t>发包人有权书面通知承包人更换其认为不称职的项目经理，通知中应当载明要求更换的理由。承包人应在接到更换通知后</w:t>
      </w:r>
      <w:r>
        <w:rPr>
          <w:rFonts w:ascii="宋体" w:hAnsi="宋体"/>
          <w:color w:val="000000"/>
          <w:kern w:val="0"/>
          <w:szCs w:val="21"/>
        </w:rPr>
        <w:t>14</w:t>
      </w:r>
      <w:r>
        <w:rPr>
          <w:rFonts w:hint="eastAsia" w:ascii="宋体" w:hAnsi="宋体"/>
          <w:color w:val="000000"/>
          <w:kern w:val="0"/>
          <w:szCs w:val="21"/>
        </w:rPr>
        <w:t>天内向发包人提出书面的改进报告。发包人收到改进报告后仍要求更换的，承包人应在接到第二次更换通知的</w:t>
      </w:r>
      <w:r>
        <w:rPr>
          <w:rFonts w:ascii="宋体" w:hAnsi="宋体"/>
          <w:color w:val="000000"/>
          <w:kern w:val="0"/>
          <w:szCs w:val="21"/>
        </w:rPr>
        <w:t>28</w:t>
      </w:r>
      <w:r>
        <w:rPr>
          <w:rFonts w:hint="eastAsia" w:ascii="宋体" w:hAnsi="宋体"/>
          <w:color w:val="000000"/>
          <w:kern w:val="0"/>
          <w:szCs w:val="21"/>
        </w:rPr>
        <w:t>天内进行更换，并将新任命的项目经理的注册执业资格、管理经验等资料书面通知发包人。继任项目经理继续履行第</w:t>
      </w:r>
      <w:r>
        <w:rPr>
          <w:rFonts w:ascii="宋体" w:hAnsi="宋体"/>
          <w:color w:val="000000"/>
          <w:kern w:val="0"/>
          <w:szCs w:val="21"/>
        </w:rPr>
        <w:t>3.2.1</w:t>
      </w:r>
      <w:r>
        <w:rPr>
          <w:rFonts w:hint="eastAsia" w:ascii="宋体" w:hAnsi="宋体"/>
          <w:color w:val="000000"/>
          <w:kern w:val="0"/>
          <w:szCs w:val="21"/>
        </w:rPr>
        <w:t>项约定的职责。承包人无正当理由拒绝更换项目经理的，应按照专用合同条款的约定承担违约责任。</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3.2.5 </w:t>
      </w:r>
      <w:r>
        <w:rPr>
          <w:rFonts w:hint="eastAsia" w:ascii="宋体" w:hAnsi="宋体"/>
          <w:color w:val="000000"/>
          <w:kern w:val="0"/>
          <w:szCs w:val="21"/>
        </w:rPr>
        <w:t>项目经理因特殊情况授权其下属人员履行其某项工作职责的，该下属人员应具备履行相应职责的能力，并应提前</w:t>
      </w:r>
      <w:r>
        <w:rPr>
          <w:rFonts w:ascii="宋体" w:hAnsi="宋体"/>
          <w:color w:val="000000"/>
          <w:kern w:val="0"/>
          <w:szCs w:val="21"/>
        </w:rPr>
        <w:t>7</w:t>
      </w:r>
      <w:r>
        <w:rPr>
          <w:rFonts w:hint="eastAsia" w:ascii="宋体" w:hAnsi="宋体"/>
          <w:color w:val="000000"/>
          <w:kern w:val="0"/>
          <w:szCs w:val="21"/>
        </w:rPr>
        <w:t>天将上述人员的姓名和授权范围书面通知监理人，并征得发包人书面同意。</w:t>
      </w:r>
    </w:p>
    <w:p>
      <w:pPr>
        <w:rPr>
          <w:rFonts w:ascii="黑体" w:hAnsi="黑体" w:eastAsia="黑体"/>
          <w:color w:val="000000"/>
        </w:rPr>
      </w:pPr>
      <w:r>
        <w:rPr>
          <w:rFonts w:ascii="黑体" w:hAnsi="黑体" w:eastAsia="黑体"/>
          <w:color w:val="000000"/>
        </w:rPr>
        <w:t>3</w:t>
      </w:r>
      <w:bookmarkStart w:id="412" w:name="_Toc296346549"/>
      <w:bookmarkStart w:id="413" w:name="_Toc296503048"/>
      <w:bookmarkStart w:id="414" w:name="_Toc337558749"/>
      <w:r>
        <w:rPr>
          <w:rFonts w:ascii="黑体" w:hAnsi="黑体" w:eastAsia="黑体"/>
          <w:color w:val="000000"/>
        </w:rPr>
        <w:t xml:space="preserve">.3 </w:t>
      </w:r>
      <w:bookmarkEnd w:id="412"/>
      <w:bookmarkEnd w:id="413"/>
      <w:r>
        <w:rPr>
          <w:rFonts w:hint="eastAsia" w:ascii="黑体" w:hAnsi="黑体" w:eastAsia="黑体"/>
          <w:color w:val="000000"/>
        </w:rPr>
        <w:t>承包人人员</w:t>
      </w:r>
    </w:p>
    <w:bookmarkEnd w:id="414"/>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3.3.1 </w:t>
      </w:r>
      <w:r>
        <w:rPr>
          <w:rFonts w:hint="eastAsia" w:ascii="宋体" w:hAnsi="宋体"/>
          <w:color w:val="000000"/>
          <w:kern w:val="0"/>
          <w:szCs w:val="21"/>
        </w:rPr>
        <w:t>除专用合同条款另有约定外，承包人应在接到开工通知后</w:t>
      </w:r>
      <w:r>
        <w:rPr>
          <w:rFonts w:ascii="宋体" w:hAnsi="宋体"/>
          <w:color w:val="000000"/>
          <w:kern w:val="0"/>
          <w:szCs w:val="21"/>
        </w:rPr>
        <w:t>7</w:t>
      </w:r>
      <w:r>
        <w:rPr>
          <w:rFonts w:hint="eastAsia" w:ascii="宋体" w:hAnsi="宋体"/>
          <w:color w:val="000000"/>
          <w:kern w:val="0"/>
          <w:szCs w:val="21"/>
        </w:rPr>
        <w:t>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3.3.2 </w:t>
      </w:r>
      <w:r>
        <w:rPr>
          <w:rFonts w:hint="eastAsia" w:ascii="宋体" w:hAnsi="宋体"/>
          <w:color w:val="000000"/>
          <w:kern w:val="0"/>
          <w:szCs w:val="21"/>
        </w:rPr>
        <w:t>承包人派驻到施工现场的主要施工管理人员应相对稳定。施工过程中如有变动，承包人应及时向监理人提交施工现场人员变动情况的报告。承包人更换主要施工管理人员时，应提前</w:t>
      </w:r>
      <w:r>
        <w:rPr>
          <w:rFonts w:ascii="宋体" w:hAnsi="宋体"/>
          <w:color w:val="000000"/>
          <w:kern w:val="0"/>
          <w:szCs w:val="21"/>
        </w:rPr>
        <w:t>7</w:t>
      </w:r>
      <w:r>
        <w:rPr>
          <w:rFonts w:hint="eastAsia" w:ascii="宋体" w:hAnsi="宋体"/>
          <w:color w:val="000000"/>
          <w:kern w:val="0"/>
          <w:szCs w:val="21"/>
        </w:rPr>
        <w:t>天书面通知监理人，并征得发包人书面同意。通知中应当载明继任人员的注册执业资格、管理经验等资料。</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特殊工种作业人员均应持有相应的资格证明，监理人可以随时检查。</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3.3.3 </w:t>
      </w:r>
      <w:r>
        <w:rPr>
          <w:rFonts w:hint="eastAsia" w:ascii="宋体" w:hAnsi="宋体"/>
          <w:color w:val="000000"/>
          <w:kern w:val="0"/>
          <w:szCs w:val="21"/>
        </w:rPr>
        <w:t>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3.3.4 </w:t>
      </w:r>
      <w:r>
        <w:rPr>
          <w:rFonts w:hint="eastAsia" w:ascii="宋体" w:hAnsi="宋体"/>
          <w:color w:val="000000"/>
          <w:kern w:val="0"/>
          <w:szCs w:val="21"/>
        </w:rPr>
        <w:t>除专用合同条款另有约定外，承包人的主要施工管理人员离开施工现场每月累计不超过</w:t>
      </w:r>
      <w:r>
        <w:rPr>
          <w:rFonts w:ascii="宋体" w:hAnsi="宋体"/>
          <w:color w:val="000000"/>
          <w:kern w:val="0"/>
          <w:szCs w:val="21"/>
        </w:rPr>
        <w:t>5</w:t>
      </w:r>
      <w:r>
        <w:rPr>
          <w:rFonts w:hint="eastAsia" w:ascii="宋体" w:hAnsi="宋体"/>
          <w:color w:val="000000"/>
          <w:kern w:val="0"/>
          <w:szCs w:val="21"/>
        </w:rPr>
        <w:t>天的，应报监理人同意；离开施工现场每月累计超过</w:t>
      </w:r>
      <w:r>
        <w:rPr>
          <w:rFonts w:ascii="宋体" w:hAnsi="宋体"/>
          <w:color w:val="000000"/>
          <w:kern w:val="0"/>
          <w:szCs w:val="21"/>
        </w:rPr>
        <w:t>5</w:t>
      </w:r>
      <w:r>
        <w:rPr>
          <w:rFonts w:hint="eastAsia" w:ascii="宋体" w:hAnsi="宋体"/>
          <w:color w:val="000000"/>
          <w:kern w:val="0"/>
          <w:szCs w:val="21"/>
        </w:rPr>
        <w:t>天的，应通知监理人，并征得发包人书面同意。主要施工管理人员离开施工现场前应指定一名有经验的人员临时代行其职责，该人员应具备履行相应职责的资格和能力，且应征得监理人或发包人的同意。</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3.3.5 </w:t>
      </w:r>
      <w:r>
        <w:rPr>
          <w:rFonts w:hint="eastAsia" w:ascii="宋体" w:hAnsi="宋体"/>
          <w:color w:val="000000"/>
          <w:kern w:val="0"/>
          <w:szCs w:val="21"/>
        </w:rPr>
        <w:t>承包人擅自更换主要施工管理人员，或前述人员未经监理人或发包人同意擅自离开施工现场的，应按照专用合同条款约定承担违约责任。</w:t>
      </w:r>
    </w:p>
    <w:p>
      <w:pPr>
        <w:rPr>
          <w:rFonts w:ascii="黑体" w:hAnsi="黑体" w:eastAsia="黑体"/>
          <w:color w:val="000000"/>
        </w:rPr>
      </w:pPr>
      <w:r>
        <w:rPr>
          <w:rFonts w:ascii="黑体" w:hAnsi="黑体" w:eastAsia="黑体"/>
          <w:color w:val="000000"/>
        </w:rPr>
        <w:t>3</w:t>
      </w:r>
      <w:bookmarkStart w:id="415" w:name="_Toc296503050"/>
      <w:bookmarkStart w:id="416" w:name="_Toc337558750"/>
      <w:bookmarkStart w:id="417" w:name="_Toc296346551"/>
      <w:r>
        <w:rPr>
          <w:rFonts w:ascii="黑体" w:hAnsi="黑体" w:eastAsia="黑体"/>
          <w:color w:val="000000"/>
        </w:rPr>
        <w:t xml:space="preserve">.4 </w:t>
      </w:r>
      <w:r>
        <w:rPr>
          <w:rFonts w:hint="eastAsia" w:ascii="黑体" w:hAnsi="黑体" w:eastAsia="黑体"/>
          <w:color w:val="000000"/>
        </w:rPr>
        <w:t>承包人现场查勘</w:t>
      </w:r>
    </w:p>
    <w:bookmarkEnd w:id="415"/>
    <w:bookmarkEnd w:id="416"/>
    <w:bookmarkEnd w:id="417"/>
    <w:p>
      <w:pPr>
        <w:autoSpaceDE w:val="0"/>
        <w:autoSpaceDN w:val="0"/>
        <w:adjustRightInd w:val="0"/>
        <w:spacing w:line="360" w:lineRule="auto"/>
        <w:ind w:firstLine="420" w:firstLineChars="200"/>
        <w:jc w:val="left"/>
        <w:rPr>
          <w:rFonts w:ascii="宋体" w:hAnsi="宋体"/>
          <w:color w:val="000000"/>
          <w:szCs w:val="21"/>
        </w:rPr>
      </w:pPr>
      <w:r>
        <w:rPr>
          <w:rFonts w:hint="eastAsia" w:ascii="宋体" w:hAnsi="宋体"/>
          <w:color w:val="000000"/>
          <w:kern w:val="0"/>
          <w:szCs w:val="21"/>
        </w:rPr>
        <w:t>承包人应对基于发包人按照第</w:t>
      </w:r>
      <w:r>
        <w:rPr>
          <w:rFonts w:ascii="宋体" w:hAnsi="宋体"/>
          <w:color w:val="000000"/>
          <w:kern w:val="0"/>
          <w:szCs w:val="21"/>
        </w:rPr>
        <w:t>2.4.3</w:t>
      </w:r>
      <w:r>
        <w:rPr>
          <w:rFonts w:hint="eastAsia" w:ascii="宋体" w:hAnsi="宋体"/>
          <w:color w:val="000000"/>
          <w:kern w:val="0"/>
          <w:szCs w:val="21"/>
        </w:rPr>
        <w:t>项〔提供基础资料〕提交的基础资料所做出的解释和推断负责，但因基础资料存在错误、遗漏导致承包人解释或推断失实的，由发包人承担责任。</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pPr>
        <w:rPr>
          <w:rFonts w:ascii="黑体" w:hAnsi="黑体" w:eastAsia="黑体"/>
          <w:color w:val="000000"/>
        </w:rPr>
      </w:pPr>
      <w:r>
        <w:rPr>
          <w:rFonts w:ascii="黑体" w:hAnsi="黑体" w:eastAsia="黑体"/>
          <w:color w:val="000000"/>
        </w:rPr>
        <w:t>3</w:t>
      </w:r>
      <w:bookmarkStart w:id="418" w:name="_Toc296346552"/>
      <w:bookmarkStart w:id="419" w:name="_Toc337558751"/>
      <w:bookmarkStart w:id="420" w:name="_Toc296503051"/>
      <w:r>
        <w:rPr>
          <w:rFonts w:ascii="黑体" w:hAnsi="黑体" w:eastAsia="黑体"/>
          <w:color w:val="000000"/>
        </w:rPr>
        <w:t xml:space="preserve">.5 </w:t>
      </w:r>
      <w:r>
        <w:rPr>
          <w:rFonts w:hint="eastAsia" w:ascii="黑体" w:hAnsi="黑体" w:eastAsia="黑体"/>
          <w:color w:val="000000"/>
        </w:rPr>
        <w:t>分包</w:t>
      </w:r>
    </w:p>
    <w:bookmarkEnd w:id="418"/>
    <w:bookmarkEnd w:id="419"/>
    <w:bookmarkEnd w:id="420"/>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3.5.1 </w:t>
      </w:r>
      <w:r>
        <w:rPr>
          <w:rFonts w:hint="eastAsia" w:ascii="宋体" w:hAnsi="宋体"/>
          <w:color w:val="000000"/>
          <w:kern w:val="0"/>
          <w:szCs w:val="21"/>
        </w:rPr>
        <w:t>分包的一般约定</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承包人不得以劳务分包的名义转包或违法分包工程。</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3.5.2 </w:t>
      </w:r>
      <w:r>
        <w:rPr>
          <w:rFonts w:hint="eastAsia" w:ascii="宋体" w:hAnsi="宋体"/>
          <w:color w:val="000000"/>
          <w:kern w:val="0"/>
          <w:szCs w:val="21"/>
        </w:rPr>
        <w:t>分包的确定</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承包人应按专用合同条款的约定进行分包，确定分包人。已标价工程量清单或预算书中给定暂估价的专业工程，按照第</w:t>
      </w:r>
      <w:r>
        <w:rPr>
          <w:rFonts w:ascii="宋体" w:hAnsi="宋体"/>
          <w:color w:val="000000"/>
          <w:kern w:val="0"/>
          <w:szCs w:val="21"/>
        </w:rPr>
        <w:t>10.7</w:t>
      </w:r>
      <w:r>
        <w:rPr>
          <w:rFonts w:hint="eastAsia" w:ascii="宋体" w:hAnsi="宋体"/>
          <w:color w:val="000000"/>
          <w:kern w:val="0"/>
          <w:szCs w:val="21"/>
        </w:rPr>
        <w:t>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w:t>
      </w:r>
      <w:r>
        <w:rPr>
          <w:rFonts w:ascii="宋体" w:hAnsi="宋体"/>
          <w:color w:val="000000"/>
          <w:kern w:val="0"/>
          <w:szCs w:val="21"/>
        </w:rPr>
        <w:t>7</w:t>
      </w:r>
      <w:r>
        <w:rPr>
          <w:rFonts w:hint="eastAsia" w:ascii="宋体" w:hAnsi="宋体"/>
          <w:color w:val="000000"/>
          <w:kern w:val="0"/>
          <w:szCs w:val="21"/>
        </w:rPr>
        <w:t>天内向发包人和监理人提交分包合同副本。</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3.5.3 </w:t>
      </w:r>
      <w:r>
        <w:rPr>
          <w:rFonts w:hint="eastAsia" w:ascii="宋体" w:hAnsi="宋体"/>
          <w:color w:val="000000"/>
          <w:kern w:val="0"/>
          <w:szCs w:val="21"/>
        </w:rPr>
        <w:t>分包管理</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承包人应向监理人提交分包人的主要施工管理人员表，并对分包人的施工人员进行实名制管理，包括但不限于进出场管理、登记造册以及各种证照的办理。</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3.5.4 </w:t>
      </w:r>
      <w:r>
        <w:rPr>
          <w:rFonts w:hint="eastAsia" w:ascii="宋体" w:hAnsi="宋体"/>
          <w:color w:val="000000"/>
          <w:kern w:val="0"/>
          <w:szCs w:val="21"/>
        </w:rPr>
        <w:t>分包合同价款</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）除本项第（</w:t>
      </w:r>
      <w:r>
        <w:rPr>
          <w:rFonts w:ascii="宋体" w:hAnsi="宋体"/>
          <w:color w:val="000000"/>
          <w:kern w:val="0"/>
          <w:szCs w:val="21"/>
        </w:rPr>
        <w:t>2</w:t>
      </w:r>
      <w:r>
        <w:rPr>
          <w:rFonts w:hint="eastAsia" w:ascii="宋体" w:hAnsi="宋体"/>
          <w:color w:val="000000"/>
          <w:kern w:val="0"/>
          <w:szCs w:val="21"/>
        </w:rPr>
        <w:t>）目约定的情况或专用合同条款另有约定外，分包合同价款由承包人与分包人结算，未经承包人同意，发包人不得向分包人支付分包工程价款；</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）生效法律文书要求发包人向分包人支付分包合同价款的，发包人有权从应付承包人工程款中扣除该部分款项。</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3.5.5 </w:t>
      </w:r>
      <w:r>
        <w:rPr>
          <w:rFonts w:hint="eastAsia" w:ascii="宋体" w:hAnsi="宋体"/>
          <w:color w:val="000000"/>
          <w:kern w:val="0"/>
          <w:szCs w:val="21"/>
        </w:rPr>
        <w:t>分包合同权益的转让</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p>
    <w:p>
      <w:pPr>
        <w:rPr>
          <w:rFonts w:ascii="黑体" w:hAnsi="黑体" w:eastAsia="黑体"/>
          <w:color w:val="000000"/>
        </w:rPr>
      </w:pPr>
      <w:r>
        <w:rPr>
          <w:rFonts w:ascii="黑体" w:hAnsi="黑体" w:eastAsia="黑体"/>
          <w:color w:val="000000"/>
        </w:rPr>
        <w:t xml:space="preserve">3.6 </w:t>
      </w:r>
      <w:r>
        <w:rPr>
          <w:rFonts w:hint="eastAsia" w:ascii="黑体" w:hAnsi="黑体" w:eastAsia="黑体"/>
          <w:color w:val="000000"/>
        </w:rPr>
        <w:t>工程照管与成品、半成品保护</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）除专用合同条款另有约定外，自发包人向承包人移交施工现场之日起，承包人应负责照管工程及工程相关的材料、工程设备，直到颁发工程接收证书之日止。</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）在承包人负责照管期间，因承包人原因造成工程、材料、工程设备损坏的，由承包人负责修复或更换，并承担由此增加的费用和（或）延误的工期。</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3</w:t>
      </w:r>
      <w:r>
        <w:rPr>
          <w:rFonts w:hint="eastAsia" w:ascii="宋体" w:hAnsi="宋体"/>
          <w:color w:val="000000"/>
          <w:kern w:val="0"/>
          <w:szCs w:val="21"/>
        </w:rPr>
        <w:t>）对合同内分期完成的成品和半成品，在工程接收证书颁发前，由承包人承担保护责任。因承包人原因造成成品或半成品损坏的，由承包人负责修复或更换，并承担由此增加的费用和（或）延误的工期。</w:t>
      </w:r>
    </w:p>
    <w:p>
      <w:pPr>
        <w:rPr>
          <w:rFonts w:ascii="黑体" w:hAnsi="黑体" w:eastAsia="黑体"/>
          <w:color w:val="000000"/>
        </w:rPr>
      </w:pPr>
      <w:r>
        <w:rPr>
          <w:rFonts w:ascii="黑体" w:hAnsi="黑体" w:eastAsia="黑体"/>
          <w:color w:val="000000"/>
        </w:rPr>
        <w:t>3</w:t>
      </w:r>
      <w:bookmarkStart w:id="421" w:name="_Toc296346553"/>
      <w:bookmarkStart w:id="422" w:name="_Toc337558752"/>
      <w:bookmarkStart w:id="423" w:name="_Toc296503052"/>
      <w:r>
        <w:rPr>
          <w:rFonts w:ascii="黑体" w:hAnsi="黑体" w:eastAsia="黑体"/>
          <w:color w:val="000000"/>
        </w:rPr>
        <w:t xml:space="preserve">.7 </w:t>
      </w:r>
      <w:r>
        <w:rPr>
          <w:rFonts w:hint="eastAsia" w:ascii="黑体" w:hAnsi="黑体" w:eastAsia="黑体"/>
          <w:color w:val="000000"/>
        </w:rPr>
        <w:t>履约担保</w:t>
      </w:r>
    </w:p>
    <w:bookmarkEnd w:id="421"/>
    <w:bookmarkEnd w:id="422"/>
    <w:bookmarkEnd w:id="423"/>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发包人需要承包人提供履约担保的，由合同当事人在专用合同条款中约定履约担保的方式、金额及期限等。履约担保可以采用银行保函或担保公司担保等形式，具体由合同当事人在专用合同条款中约定。</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因承包人原因导致工期延长的，继续提供履约担保所增加的费用由承包人承担；非因承包人原因导致工期延长的，继续提供履约担保所增加的费用由发包人承担。</w:t>
      </w:r>
    </w:p>
    <w:p>
      <w:pPr>
        <w:rPr>
          <w:rFonts w:ascii="黑体" w:hAnsi="黑体" w:eastAsia="黑体"/>
          <w:color w:val="000000"/>
        </w:rPr>
      </w:pPr>
      <w:r>
        <w:rPr>
          <w:rFonts w:ascii="黑体" w:hAnsi="黑体" w:eastAsia="黑体"/>
          <w:color w:val="000000"/>
        </w:rPr>
        <w:t xml:space="preserve">3.8 </w:t>
      </w:r>
      <w:r>
        <w:rPr>
          <w:rFonts w:hint="eastAsia" w:ascii="黑体" w:hAnsi="黑体" w:eastAsia="黑体"/>
          <w:color w:val="000000"/>
        </w:rPr>
        <w:t>联合体</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3.8.1 </w:t>
      </w:r>
      <w:r>
        <w:rPr>
          <w:rFonts w:hint="eastAsia" w:ascii="宋体" w:hAnsi="宋体"/>
          <w:color w:val="000000"/>
          <w:kern w:val="0"/>
          <w:szCs w:val="21"/>
        </w:rPr>
        <w:t>联合体各方应共同与发包人签订合同协议书。联合体各方应为履行合同向发包人承担连带责任。</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3.8.2 </w:t>
      </w:r>
      <w:r>
        <w:rPr>
          <w:rFonts w:hint="eastAsia" w:ascii="宋体" w:hAnsi="宋体"/>
          <w:color w:val="000000"/>
          <w:kern w:val="0"/>
          <w:szCs w:val="21"/>
        </w:rPr>
        <w:t>联合体协议经发包人确认后作为合同附件。在履行合同过程中，未经发包人同意，不得修改联合体协议。</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3.8.3 </w:t>
      </w:r>
      <w:r>
        <w:rPr>
          <w:rFonts w:hint="eastAsia" w:ascii="宋体" w:hAnsi="宋体"/>
          <w:color w:val="000000"/>
          <w:kern w:val="0"/>
          <w:szCs w:val="21"/>
        </w:rPr>
        <w:t>联合体牵头人负责与发包人和监理人联系，并接受指示，负责组织联合体各成员全面履行合同。</w:t>
      </w:r>
    </w:p>
    <w:p>
      <w:pPr>
        <w:pStyle w:val="5"/>
        <w:spacing w:before="120" w:after="120" w:line="360" w:lineRule="auto"/>
        <w:rPr>
          <w:rFonts w:ascii="黑体" w:hAnsi="黑体"/>
          <w:b w:val="0"/>
          <w:color w:val="000000"/>
        </w:rPr>
      </w:pPr>
      <w:bookmarkStart w:id="424" w:name="_Toc362623169"/>
      <w:bookmarkStart w:id="425" w:name="_Toc114222805"/>
      <w:r>
        <w:rPr>
          <w:rFonts w:ascii="黑体" w:hAnsi="黑体"/>
          <w:b w:val="0"/>
          <w:color w:val="000000"/>
        </w:rPr>
        <w:t>4</w:t>
      </w:r>
      <w:bookmarkStart w:id="426" w:name="_Toc296346554"/>
      <w:bookmarkStart w:id="427" w:name="_Toc296503053"/>
      <w:bookmarkStart w:id="428" w:name="_Toc337558753"/>
      <w:r>
        <w:rPr>
          <w:rFonts w:ascii="黑体" w:hAnsi="黑体"/>
          <w:b w:val="0"/>
          <w:color w:val="000000"/>
        </w:rPr>
        <w:t xml:space="preserve">. </w:t>
      </w:r>
      <w:r>
        <w:rPr>
          <w:rFonts w:hint="eastAsia" w:ascii="黑体" w:hAnsi="黑体"/>
          <w:b w:val="0"/>
          <w:color w:val="000000"/>
        </w:rPr>
        <w:t>监</w:t>
      </w:r>
      <w:bookmarkEnd w:id="426"/>
      <w:bookmarkEnd w:id="427"/>
      <w:r>
        <w:rPr>
          <w:rFonts w:hint="eastAsia" w:ascii="黑体" w:hAnsi="黑体"/>
          <w:b w:val="0"/>
          <w:color w:val="000000"/>
        </w:rPr>
        <w:t>理人</w:t>
      </w:r>
      <w:bookmarkEnd w:id="424"/>
      <w:bookmarkEnd w:id="425"/>
    </w:p>
    <w:bookmarkEnd w:id="428"/>
    <w:p>
      <w:pPr>
        <w:rPr>
          <w:rFonts w:ascii="黑体" w:hAnsi="黑体" w:eastAsia="黑体"/>
          <w:color w:val="000000"/>
        </w:rPr>
      </w:pPr>
      <w:r>
        <w:rPr>
          <w:rFonts w:ascii="黑体" w:hAnsi="黑体" w:eastAsia="黑体"/>
          <w:color w:val="000000"/>
        </w:rPr>
        <w:t>4</w:t>
      </w:r>
      <w:bookmarkStart w:id="429" w:name="_Toc337558754"/>
      <w:bookmarkStart w:id="430" w:name="_Toc296503054"/>
      <w:bookmarkStart w:id="431" w:name="_Toc296346555"/>
      <w:r>
        <w:rPr>
          <w:rFonts w:ascii="黑体" w:hAnsi="黑体" w:eastAsia="黑体"/>
          <w:color w:val="000000"/>
        </w:rPr>
        <w:t>.1</w:t>
      </w:r>
      <w:r>
        <w:rPr>
          <w:rFonts w:hint="eastAsia" w:ascii="黑体" w:hAnsi="黑体" w:eastAsia="黑体"/>
          <w:color w:val="000000"/>
        </w:rPr>
        <w:t>监理人的一般规定</w:t>
      </w:r>
    </w:p>
    <w:bookmarkEnd w:id="429"/>
    <w:bookmarkEnd w:id="430"/>
    <w:bookmarkEnd w:id="431"/>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除专用合同条款另有约定外，监理人在施工现场的办公场所、生活场所由承包人提供，所发生的费用由发包人承担。</w:t>
      </w:r>
    </w:p>
    <w:p>
      <w:pPr>
        <w:rPr>
          <w:rFonts w:ascii="黑体" w:hAnsi="黑体" w:eastAsia="黑体"/>
          <w:color w:val="000000"/>
        </w:rPr>
      </w:pPr>
      <w:r>
        <w:rPr>
          <w:rFonts w:ascii="黑体" w:hAnsi="黑体" w:eastAsia="黑体"/>
          <w:color w:val="000000"/>
        </w:rPr>
        <w:t>4</w:t>
      </w:r>
      <w:bookmarkStart w:id="432" w:name="_Toc337558755"/>
      <w:r>
        <w:rPr>
          <w:rFonts w:ascii="黑体" w:hAnsi="黑体" w:eastAsia="黑体"/>
          <w:color w:val="000000"/>
        </w:rPr>
        <w:t>.2</w:t>
      </w:r>
      <w:r>
        <w:rPr>
          <w:rFonts w:hint="eastAsia" w:ascii="黑体" w:hAnsi="黑体" w:eastAsia="黑体"/>
          <w:color w:val="000000"/>
        </w:rPr>
        <w:t>监理人员</w:t>
      </w:r>
    </w:p>
    <w:bookmarkEnd w:id="432"/>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w:t>
      </w:r>
      <w:r>
        <w:rPr>
          <w:rFonts w:ascii="宋体" w:hAnsi="宋体"/>
          <w:color w:val="000000"/>
          <w:kern w:val="0"/>
          <w:szCs w:val="21"/>
        </w:rPr>
        <w:t>7</w:t>
      </w:r>
      <w:r>
        <w:rPr>
          <w:rFonts w:hint="eastAsia" w:ascii="宋体" w:hAnsi="宋体"/>
          <w:color w:val="000000"/>
          <w:kern w:val="0"/>
          <w:szCs w:val="21"/>
        </w:rPr>
        <w:t>天书面通知承包人；更换其他监理人员，监理人应提前</w:t>
      </w:r>
      <w:r>
        <w:rPr>
          <w:rFonts w:ascii="宋体" w:hAnsi="宋体"/>
          <w:color w:val="000000"/>
          <w:kern w:val="0"/>
          <w:szCs w:val="21"/>
        </w:rPr>
        <w:t>48</w:t>
      </w:r>
      <w:r>
        <w:rPr>
          <w:rFonts w:hint="eastAsia" w:ascii="宋体" w:hAnsi="宋体"/>
          <w:color w:val="000000"/>
          <w:kern w:val="0"/>
          <w:szCs w:val="21"/>
        </w:rPr>
        <w:t>小时书面通知承包人。</w:t>
      </w:r>
    </w:p>
    <w:p>
      <w:pPr>
        <w:rPr>
          <w:rFonts w:ascii="黑体" w:hAnsi="黑体" w:eastAsia="黑体"/>
          <w:color w:val="000000"/>
        </w:rPr>
      </w:pPr>
      <w:r>
        <w:rPr>
          <w:rFonts w:ascii="黑体" w:hAnsi="黑体" w:eastAsia="黑体"/>
          <w:color w:val="000000"/>
        </w:rPr>
        <w:t>4</w:t>
      </w:r>
      <w:bookmarkStart w:id="433" w:name="_Toc296346556"/>
      <w:bookmarkStart w:id="434" w:name="_Toc296503055"/>
      <w:bookmarkStart w:id="435" w:name="_Toc337558756"/>
      <w:r>
        <w:rPr>
          <w:rFonts w:ascii="黑体" w:hAnsi="黑体" w:eastAsia="黑体"/>
          <w:color w:val="000000"/>
        </w:rPr>
        <w:t>.3</w:t>
      </w:r>
      <w:bookmarkEnd w:id="433"/>
      <w:bookmarkEnd w:id="434"/>
      <w:r>
        <w:rPr>
          <w:rFonts w:hint="eastAsia" w:ascii="黑体" w:hAnsi="黑体" w:eastAsia="黑体"/>
          <w:color w:val="000000"/>
        </w:rPr>
        <w:t>监理人的指</w:t>
      </w:r>
      <w:bookmarkEnd w:id="435"/>
      <w:r>
        <w:rPr>
          <w:rFonts w:hint="eastAsia" w:ascii="黑体" w:hAnsi="黑体" w:eastAsia="黑体"/>
          <w:color w:val="000000"/>
        </w:rPr>
        <w:t>示</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w:t>
      </w:r>
      <w:r>
        <w:rPr>
          <w:rFonts w:ascii="宋体" w:hAnsi="宋体"/>
          <w:color w:val="000000"/>
          <w:kern w:val="0"/>
          <w:szCs w:val="21"/>
        </w:rPr>
        <w:t>24</w:t>
      </w:r>
      <w:r>
        <w:rPr>
          <w:rFonts w:hint="eastAsia" w:ascii="宋体" w:hAnsi="宋体"/>
          <w:color w:val="000000"/>
          <w:kern w:val="0"/>
          <w:szCs w:val="21"/>
        </w:rPr>
        <w:t>小时内补发书面监理指示，补发的书面监理指示应与口头指示一致。</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w:t>
      </w:r>
      <w:r>
        <w:rPr>
          <w:rFonts w:ascii="宋体" w:hAnsi="宋体"/>
          <w:color w:val="000000"/>
          <w:kern w:val="0"/>
          <w:szCs w:val="21"/>
        </w:rPr>
        <w:t>4.4</w:t>
      </w:r>
      <w:r>
        <w:rPr>
          <w:rFonts w:hint="eastAsia" w:ascii="宋体" w:hAnsi="宋体"/>
          <w:color w:val="000000"/>
          <w:kern w:val="0"/>
          <w:szCs w:val="21"/>
        </w:rPr>
        <w:t>款〔商定或确定〕约定应由总监理工程师作出确定的权力授权或委托给其他监理人员。</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承包人对监理人发出的指示有疑问的，应向监理人提出书面异议，监理人应在</w:t>
      </w:r>
      <w:r>
        <w:rPr>
          <w:rFonts w:ascii="宋体" w:hAnsi="宋体"/>
          <w:color w:val="000000"/>
          <w:kern w:val="0"/>
          <w:szCs w:val="21"/>
        </w:rPr>
        <w:t>48</w:t>
      </w:r>
      <w:r>
        <w:rPr>
          <w:rFonts w:hint="eastAsia" w:ascii="宋体" w:hAnsi="宋体"/>
          <w:color w:val="000000"/>
          <w:kern w:val="0"/>
          <w:szCs w:val="21"/>
        </w:rPr>
        <w:t>小时内对该指示予以确认、更改或撤销，监理人逾期未回复的，承包人有权拒绝执行上述指示。</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监理人对承包人的任何工作、工程或其采用的材料和工程设备未在约定的或合理期限内提出意见的，视为批准，但不免除或减轻承包人对该工作、工程、材料、工程设备等应承担的责任和义务。</w:t>
      </w:r>
    </w:p>
    <w:p>
      <w:pPr>
        <w:rPr>
          <w:rFonts w:ascii="黑体" w:hAnsi="黑体" w:eastAsia="黑体"/>
          <w:color w:val="000000"/>
        </w:rPr>
      </w:pPr>
      <w:r>
        <w:rPr>
          <w:rFonts w:ascii="黑体" w:hAnsi="黑体" w:eastAsia="黑体"/>
          <w:color w:val="000000"/>
        </w:rPr>
        <w:t>4</w:t>
      </w:r>
      <w:bookmarkStart w:id="436" w:name="_Toc296346558"/>
      <w:bookmarkStart w:id="437" w:name="_Toc296503057"/>
      <w:bookmarkStart w:id="438" w:name="_Toc337558757"/>
      <w:r>
        <w:rPr>
          <w:rFonts w:ascii="黑体" w:hAnsi="黑体" w:eastAsia="黑体"/>
          <w:color w:val="000000"/>
        </w:rPr>
        <w:t xml:space="preserve">.4 </w:t>
      </w:r>
      <w:r>
        <w:rPr>
          <w:rFonts w:hint="eastAsia" w:ascii="黑体" w:hAnsi="黑体" w:eastAsia="黑体"/>
          <w:color w:val="000000"/>
        </w:rPr>
        <w:t>商定或确定</w:t>
      </w:r>
    </w:p>
    <w:bookmarkEnd w:id="436"/>
    <w:bookmarkEnd w:id="437"/>
    <w:bookmarkEnd w:id="438"/>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合同当事人进行商定或确定时，总监理工程师应当会同合同当事人尽量通过协商达成一致，不能达成一致的，由总监理工程师按照合同约定审慎</w:t>
      </w:r>
      <w:r>
        <w:rPr>
          <w:rFonts w:hint="eastAsia" w:ascii="宋体" w:hAnsi="宋体"/>
          <w:color w:val="000000"/>
          <w:kern w:val="0"/>
          <w:szCs w:val="21"/>
          <w:lang w:eastAsia="zh-CN"/>
        </w:rPr>
        <w:t>作出</w:t>
      </w:r>
      <w:r>
        <w:rPr>
          <w:rFonts w:hint="eastAsia" w:ascii="宋体" w:hAnsi="宋体"/>
          <w:color w:val="000000"/>
          <w:kern w:val="0"/>
          <w:szCs w:val="21"/>
        </w:rPr>
        <w:t>公正的确定。</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总监理工程师应将确定以书面形式通知发包人和承包人，并附详细依据。合同当事人对总监理工程师的确定没有异议的，按照总监理工程师的确定执行。任何一方合同当事人有异议，按照第</w:t>
      </w:r>
      <w:r>
        <w:rPr>
          <w:rFonts w:ascii="宋体" w:hAnsi="宋体"/>
          <w:color w:val="000000"/>
          <w:kern w:val="0"/>
          <w:szCs w:val="21"/>
        </w:rPr>
        <w:t>20</w:t>
      </w:r>
      <w:r>
        <w:rPr>
          <w:rFonts w:hint="eastAsia" w:ascii="宋体" w:hAnsi="宋体"/>
          <w:color w:val="000000"/>
          <w:kern w:val="0"/>
          <w:szCs w:val="21"/>
        </w:rPr>
        <w:t>条〔争议解决〕约定处理。争议解决前，合同当事人暂按总监理工程师的确定执行；争议解决后，争议解决的结果与总监理工程师的确定不一致的，按照争议解决的结果执行，由此造成的损失由责任人承担。</w:t>
      </w:r>
    </w:p>
    <w:p>
      <w:pPr>
        <w:pStyle w:val="5"/>
        <w:spacing w:before="120" w:after="120" w:line="360" w:lineRule="auto"/>
        <w:rPr>
          <w:rFonts w:ascii="黑体" w:hAnsi="黑体"/>
          <w:b w:val="0"/>
          <w:color w:val="000000"/>
        </w:rPr>
      </w:pPr>
      <w:bookmarkStart w:id="439" w:name="_Toc362623170"/>
      <w:bookmarkStart w:id="440" w:name="_Toc114222806"/>
      <w:r>
        <w:rPr>
          <w:rFonts w:ascii="黑体" w:hAnsi="黑体"/>
          <w:b w:val="0"/>
          <w:color w:val="000000"/>
        </w:rPr>
        <w:t>5</w:t>
      </w:r>
      <w:bookmarkStart w:id="441" w:name="_Toc337558758"/>
      <w:r>
        <w:rPr>
          <w:rFonts w:ascii="黑体" w:hAnsi="黑体"/>
          <w:b w:val="0"/>
          <w:color w:val="000000"/>
        </w:rPr>
        <w:t xml:space="preserve">. </w:t>
      </w:r>
      <w:r>
        <w:rPr>
          <w:rFonts w:hint="eastAsia" w:ascii="黑体" w:hAnsi="黑体"/>
          <w:b w:val="0"/>
          <w:color w:val="000000"/>
        </w:rPr>
        <w:t>工程质量</w:t>
      </w:r>
      <w:bookmarkEnd w:id="439"/>
      <w:bookmarkEnd w:id="440"/>
    </w:p>
    <w:bookmarkEnd w:id="441"/>
    <w:p>
      <w:pPr>
        <w:rPr>
          <w:rFonts w:ascii="黑体" w:hAnsi="黑体" w:eastAsia="黑体"/>
          <w:color w:val="000000"/>
          <w:szCs w:val="21"/>
        </w:rPr>
      </w:pPr>
      <w:r>
        <w:rPr>
          <w:rFonts w:ascii="黑体" w:hAnsi="黑体" w:eastAsia="黑体"/>
          <w:color w:val="000000"/>
          <w:szCs w:val="21"/>
        </w:rPr>
        <w:t>5</w:t>
      </w:r>
      <w:bookmarkStart w:id="442" w:name="_Toc337558759"/>
      <w:r>
        <w:rPr>
          <w:rFonts w:ascii="黑体" w:hAnsi="黑体" w:eastAsia="黑体"/>
          <w:color w:val="000000"/>
          <w:szCs w:val="21"/>
        </w:rPr>
        <w:t>.1</w:t>
      </w:r>
      <w:r>
        <w:rPr>
          <w:rFonts w:hint="eastAsia" w:ascii="黑体" w:hAnsi="黑体" w:eastAsia="黑体"/>
          <w:color w:val="000000"/>
          <w:szCs w:val="21"/>
        </w:rPr>
        <w:t>质量要求</w:t>
      </w:r>
    </w:p>
    <w:bookmarkEnd w:id="442"/>
    <w:p>
      <w:pPr>
        <w:rPr>
          <w:rFonts w:ascii="宋体" w:hAnsi="宋体"/>
          <w:color w:val="000000"/>
          <w:kern w:val="0"/>
          <w:szCs w:val="21"/>
        </w:rPr>
      </w:pPr>
      <w:r>
        <w:rPr>
          <w:rFonts w:ascii="宋体" w:hAnsi="宋体"/>
          <w:color w:val="000000"/>
          <w:kern w:val="0"/>
          <w:szCs w:val="21"/>
        </w:rPr>
        <w:t xml:space="preserve">5.1.1 </w:t>
      </w:r>
      <w:r>
        <w:rPr>
          <w:rFonts w:hint="eastAsia" w:ascii="宋体" w:hAnsi="宋体"/>
          <w:color w:val="000000"/>
          <w:kern w:val="0"/>
          <w:szCs w:val="21"/>
        </w:rPr>
        <w:t>工程质量标准必须符合现行国家有关工程施工质量验收规范和标准的要求。有关工程质量的特殊标准或要求由合同当事人在专用合同条款中约定。</w:t>
      </w:r>
    </w:p>
    <w:p>
      <w:pPr>
        <w:rPr>
          <w:rFonts w:ascii="宋体" w:hAnsi="宋体"/>
          <w:color w:val="000000"/>
          <w:kern w:val="0"/>
          <w:szCs w:val="21"/>
        </w:rPr>
      </w:pPr>
      <w:r>
        <w:rPr>
          <w:rFonts w:ascii="宋体" w:hAnsi="宋体"/>
          <w:color w:val="000000"/>
          <w:kern w:val="0"/>
          <w:szCs w:val="21"/>
        </w:rPr>
        <w:t xml:space="preserve">5.1.2 </w:t>
      </w:r>
      <w:r>
        <w:rPr>
          <w:rFonts w:hint="eastAsia" w:ascii="宋体" w:hAnsi="宋体"/>
          <w:color w:val="000000"/>
          <w:kern w:val="0"/>
          <w:szCs w:val="21"/>
        </w:rPr>
        <w:t>因发包人原因造成工程质量未达到合同约定标准的，由发包人承担由此增加的费用和（或）延误的工期，并支付承包人合理的利润。</w:t>
      </w:r>
    </w:p>
    <w:p>
      <w:pPr>
        <w:rPr>
          <w:rFonts w:ascii="宋体" w:hAnsi="宋体"/>
          <w:color w:val="000000"/>
          <w:kern w:val="0"/>
          <w:szCs w:val="21"/>
        </w:rPr>
      </w:pPr>
      <w:r>
        <w:rPr>
          <w:rFonts w:ascii="宋体" w:hAnsi="宋体"/>
          <w:color w:val="000000"/>
          <w:kern w:val="0"/>
          <w:szCs w:val="21"/>
        </w:rPr>
        <w:t xml:space="preserve">5.1.3 </w:t>
      </w:r>
      <w:r>
        <w:rPr>
          <w:rFonts w:hint="eastAsia" w:ascii="宋体" w:hAnsi="宋体"/>
          <w:color w:val="000000"/>
          <w:kern w:val="0"/>
          <w:szCs w:val="21"/>
        </w:rPr>
        <w:t>因承包人原因造成工程质量未达到合同约定标准的，发包人有权要求承包人返工直至工程质量达到合同约定的标准为止，并由承包人承担由此增加的费用和（或）延误的工期。</w:t>
      </w:r>
    </w:p>
    <w:p>
      <w:pPr>
        <w:rPr>
          <w:rFonts w:ascii="黑体" w:hAnsi="黑体" w:eastAsia="黑体"/>
          <w:color w:val="000000"/>
        </w:rPr>
      </w:pPr>
      <w:r>
        <w:rPr>
          <w:rFonts w:ascii="黑体" w:hAnsi="黑体" w:eastAsia="黑体"/>
          <w:color w:val="000000"/>
        </w:rPr>
        <w:t>5</w:t>
      </w:r>
      <w:bookmarkStart w:id="443" w:name="_Toc337558760"/>
      <w:r>
        <w:rPr>
          <w:rFonts w:ascii="黑体" w:hAnsi="黑体" w:eastAsia="黑体"/>
          <w:color w:val="000000"/>
        </w:rPr>
        <w:t>.2</w:t>
      </w:r>
      <w:r>
        <w:rPr>
          <w:rFonts w:hint="eastAsia" w:ascii="黑体" w:hAnsi="黑体" w:eastAsia="黑体"/>
          <w:color w:val="000000"/>
        </w:rPr>
        <w:t>质量保证措施</w:t>
      </w:r>
    </w:p>
    <w:bookmarkEnd w:id="443"/>
    <w:p>
      <w:pPr>
        <w:rPr>
          <w:rFonts w:ascii="宋体" w:hAnsi="宋体"/>
          <w:color w:val="000000"/>
          <w:kern w:val="0"/>
          <w:szCs w:val="21"/>
        </w:rPr>
      </w:pPr>
      <w:r>
        <w:rPr>
          <w:rFonts w:ascii="宋体" w:hAnsi="宋体"/>
          <w:color w:val="000000"/>
          <w:kern w:val="0"/>
          <w:szCs w:val="21"/>
        </w:rPr>
        <w:t xml:space="preserve">5.2.1 </w:t>
      </w:r>
      <w:r>
        <w:rPr>
          <w:rFonts w:hint="eastAsia" w:ascii="宋体" w:hAnsi="宋体"/>
          <w:color w:val="000000"/>
          <w:kern w:val="0"/>
          <w:szCs w:val="21"/>
        </w:rPr>
        <w:t>发包人的质量管理</w:t>
      </w:r>
    </w:p>
    <w:p>
      <w:pPr>
        <w:rPr>
          <w:rFonts w:ascii="宋体" w:hAnsi="宋体"/>
          <w:color w:val="000000"/>
          <w:kern w:val="0"/>
          <w:szCs w:val="21"/>
        </w:rPr>
      </w:pPr>
      <w:r>
        <w:rPr>
          <w:rFonts w:hint="eastAsia" w:ascii="宋体" w:hAnsi="宋体"/>
          <w:color w:val="000000"/>
          <w:kern w:val="0"/>
          <w:szCs w:val="21"/>
        </w:rPr>
        <w:t>发包人应按照法律规定及合同约定完成与工程质量有关的各项工作。</w:t>
      </w:r>
    </w:p>
    <w:p>
      <w:pPr>
        <w:rPr>
          <w:rFonts w:ascii="宋体" w:hAnsi="宋体"/>
          <w:color w:val="000000"/>
          <w:kern w:val="0"/>
          <w:szCs w:val="21"/>
        </w:rPr>
      </w:pPr>
      <w:r>
        <w:rPr>
          <w:rFonts w:ascii="宋体" w:hAnsi="宋体"/>
          <w:color w:val="000000"/>
          <w:kern w:val="0"/>
          <w:szCs w:val="21"/>
        </w:rPr>
        <w:t xml:space="preserve">5.2.2 </w:t>
      </w:r>
      <w:r>
        <w:rPr>
          <w:rFonts w:hint="eastAsia" w:ascii="宋体" w:hAnsi="宋体"/>
          <w:color w:val="000000"/>
          <w:kern w:val="0"/>
          <w:szCs w:val="21"/>
        </w:rPr>
        <w:t>承包人的质量管理</w:t>
      </w:r>
    </w:p>
    <w:p>
      <w:pPr>
        <w:rPr>
          <w:rFonts w:ascii="宋体" w:hAnsi="宋体"/>
          <w:color w:val="000000"/>
          <w:kern w:val="0"/>
          <w:szCs w:val="21"/>
        </w:rPr>
      </w:pPr>
      <w:r>
        <w:rPr>
          <w:rFonts w:hint="eastAsia" w:ascii="宋体" w:hAnsi="宋体"/>
          <w:color w:val="000000"/>
          <w:kern w:val="0"/>
          <w:szCs w:val="21"/>
        </w:rPr>
        <w:t>承包人按照第</w:t>
      </w:r>
      <w:r>
        <w:rPr>
          <w:rFonts w:ascii="宋体" w:hAnsi="宋体"/>
          <w:color w:val="000000"/>
          <w:kern w:val="0"/>
          <w:szCs w:val="21"/>
        </w:rPr>
        <w:t>7.1</w:t>
      </w:r>
      <w:r>
        <w:rPr>
          <w:rFonts w:hint="eastAsia" w:ascii="宋体" w:hAnsi="宋体"/>
          <w:color w:val="000000"/>
          <w:kern w:val="0"/>
          <w:szCs w:val="21"/>
        </w:rPr>
        <w:t>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pPr>
        <w:rPr>
          <w:rFonts w:ascii="宋体" w:hAnsi="宋体"/>
          <w:color w:val="000000"/>
          <w:kern w:val="0"/>
          <w:szCs w:val="21"/>
        </w:rPr>
      </w:pPr>
      <w:r>
        <w:rPr>
          <w:rFonts w:hint="eastAsia" w:ascii="宋体" w:hAnsi="宋体"/>
          <w:color w:val="000000"/>
          <w:kern w:val="0"/>
          <w:szCs w:val="21"/>
        </w:rPr>
        <w:t>承包人应对施工人员进行质量教育和技术培训，定期考核施工人员的劳动技能，严格执行施工规范和操作规程。</w:t>
      </w:r>
    </w:p>
    <w:p>
      <w:pPr>
        <w:rPr>
          <w:rFonts w:ascii="宋体" w:hAnsi="宋体"/>
          <w:color w:val="000000"/>
          <w:kern w:val="0"/>
          <w:szCs w:val="21"/>
        </w:rPr>
      </w:pPr>
      <w:r>
        <w:rPr>
          <w:rFonts w:hint="eastAsia" w:ascii="宋体" w:hAnsi="宋体"/>
          <w:color w:val="000000"/>
          <w:kern w:val="0"/>
          <w:szCs w:val="21"/>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pPr>
        <w:rPr>
          <w:rFonts w:ascii="宋体" w:hAnsi="宋体"/>
          <w:color w:val="000000"/>
          <w:kern w:val="0"/>
          <w:szCs w:val="21"/>
        </w:rPr>
      </w:pPr>
      <w:r>
        <w:rPr>
          <w:rFonts w:ascii="宋体" w:hAnsi="宋体"/>
          <w:color w:val="000000"/>
          <w:kern w:val="0"/>
          <w:szCs w:val="21"/>
        </w:rPr>
        <w:t xml:space="preserve">5.2.3 </w:t>
      </w:r>
      <w:r>
        <w:rPr>
          <w:rFonts w:hint="eastAsia" w:ascii="宋体" w:hAnsi="宋体"/>
          <w:color w:val="000000"/>
          <w:kern w:val="0"/>
          <w:szCs w:val="21"/>
        </w:rPr>
        <w:t>监理人的质量检查和检验</w:t>
      </w:r>
    </w:p>
    <w:p>
      <w:pPr>
        <w:rPr>
          <w:rFonts w:ascii="宋体" w:hAnsi="宋体"/>
          <w:color w:val="000000"/>
          <w:kern w:val="0"/>
          <w:szCs w:val="21"/>
        </w:rPr>
      </w:pPr>
      <w:r>
        <w:rPr>
          <w:rFonts w:hint="eastAsia" w:ascii="宋体" w:hAnsi="宋体"/>
          <w:color w:val="000000"/>
          <w:kern w:val="0"/>
          <w:szCs w:val="21"/>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pPr>
        <w:rPr>
          <w:rFonts w:ascii="宋体" w:hAnsi="宋体"/>
          <w:color w:val="000000"/>
          <w:kern w:val="0"/>
          <w:szCs w:val="21"/>
        </w:rPr>
      </w:pPr>
      <w:r>
        <w:rPr>
          <w:rFonts w:hint="eastAsia" w:ascii="宋体" w:hAnsi="宋体"/>
          <w:color w:val="000000"/>
          <w:kern w:val="0"/>
          <w:szCs w:val="21"/>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pPr>
        <w:rPr>
          <w:rFonts w:ascii="黑体" w:hAnsi="黑体" w:eastAsia="黑体"/>
          <w:color w:val="000000"/>
          <w:szCs w:val="21"/>
        </w:rPr>
      </w:pPr>
      <w:r>
        <w:rPr>
          <w:rFonts w:ascii="黑体" w:hAnsi="黑体" w:eastAsia="黑体"/>
          <w:color w:val="000000"/>
          <w:szCs w:val="21"/>
        </w:rPr>
        <w:t>5</w:t>
      </w:r>
      <w:bookmarkStart w:id="444" w:name="_Toc337558761"/>
      <w:r>
        <w:rPr>
          <w:rFonts w:ascii="黑体" w:hAnsi="黑体" w:eastAsia="黑体"/>
          <w:color w:val="000000"/>
          <w:szCs w:val="21"/>
        </w:rPr>
        <w:t xml:space="preserve">.3 </w:t>
      </w:r>
      <w:r>
        <w:rPr>
          <w:rFonts w:hint="eastAsia" w:ascii="黑体" w:hAnsi="黑体" w:eastAsia="黑体"/>
          <w:color w:val="000000"/>
          <w:szCs w:val="21"/>
        </w:rPr>
        <w:t>隐蔽工程检查</w:t>
      </w:r>
    </w:p>
    <w:bookmarkEnd w:id="444"/>
    <w:p>
      <w:pPr>
        <w:rPr>
          <w:rFonts w:ascii="宋体" w:hAnsi="宋体"/>
          <w:color w:val="000000"/>
          <w:kern w:val="0"/>
          <w:szCs w:val="21"/>
        </w:rPr>
      </w:pPr>
      <w:r>
        <w:rPr>
          <w:rFonts w:ascii="宋体" w:hAnsi="宋体"/>
          <w:color w:val="000000"/>
          <w:kern w:val="0"/>
          <w:szCs w:val="21"/>
        </w:rPr>
        <w:t>5.3.1</w:t>
      </w:r>
      <w:r>
        <w:rPr>
          <w:rFonts w:hint="eastAsia" w:ascii="宋体" w:hAnsi="宋体"/>
          <w:color w:val="000000"/>
          <w:kern w:val="0"/>
          <w:szCs w:val="21"/>
        </w:rPr>
        <w:t>承包人自检</w:t>
      </w:r>
    </w:p>
    <w:p>
      <w:pPr>
        <w:rPr>
          <w:rFonts w:ascii="宋体" w:hAnsi="宋体"/>
          <w:color w:val="000000"/>
          <w:kern w:val="0"/>
          <w:szCs w:val="21"/>
        </w:rPr>
      </w:pPr>
      <w:r>
        <w:rPr>
          <w:rFonts w:hint="eastAsia" w:ascii="宋体" w:hAnsi="宋体"/>
          <w:color w:val="000000"/>
          <w:kern w:val="0"/>
          <w:szCs w:val="21"/>
        </w:rPr>
        <w:t>承包人应当对工程隐蔽部位进行自检，并经自检确认是否具备覆盖条件。</w:t>
      </w:r>
    </w:p>
    <w:p>
      <w:pPr>
        <w:rPr>
          <w:rFonts w:ascii="宋体" w:hAnsi="宋体"/>
          <w:color w:val="000000"/>
          <w:kern w:val="0"/>
          <w:szCs w:val="21"/>
        </w:rPr>
      </w:pPr>
      <w:r>
        <w:rPr>
          <w:rFonts w:ascii="宋体" w:hAnsi="宋体"/>
          <w:color w:val="000000"/>
          <w:kern w:val="0"/>
          <w:szCs w:val="21"/>
        </w:rPr>
        <w:t>5.3.2</w:t>
      </w:r>
      <w:r>
        <w:rPr>
          <w:rFonts w:hint="eastAsia" w:ascii="宋体" w:hAnsi="宋体"/>
          <w:color w:val="000000"/>
          <w:kern w:val="0"/>
          <w:szCs w:val="21"/>
        </w:rPr>
        <w:t>检查程序</w:t>
      </w:r>
    </w:p>
    <w:p>
      <w:pPr>
        <w:rPr>
          <w:rFonts w:ascii="宋体" w:hAnsi="宋体"/>
          <w:color w:val="000000"/>
          <w:kern w:val="0"/>
          <w:szCs w:val="21"/>
        </w:rPr>
      </w:pPr>
      <w:r>
        <w:rPr>
          <w:rFonts w:hint="eastAsia" w:ascii="宋体" w:hAnsi="宋体"/>
          <w:color w:val="000000"/>
          <w:kern w:val="0"/>
          <w:szCs w:val="21"/>
        </w:rPr>
        <w:t>除专用合同条款另有约定外，工程隐蔽部位经承包人自检确认具备覆盖条件的，承包人应在共同检查前</w:t>
      </w:r>
      <w:r>
        <w:rPr>
          <w:rFonts w:ascii="宋体" w:hAnsi="宋体"/>
          <w:color w:val="000000"/>
          <w:kern w:val="0"/>
          <w:szCs w:val="21"/>
        </w:rPr>
        <w:t>48</w:t>
      </w:r>
      <w:r>
        <w:rPr>
          <w:rFonts w:hint="eastAsia" w:ascii="宋体" w:hAnsi="宋体"/>
          <w:color w:val="000000"/>
          <w:kern w:val="0"/>
          <w:szCs w:val="21"/>
        </w:rPr>
        <w:t>小时书面通知监理人检查，通知中应载明隐蔽检查的内容、时间和地点，并应附有自检记录和必要的检查资料。</w:t>
      </w:r>
    </w:p>
    <w:p>
      <w:pPr>
        <w:rPr>
          <w:rFonts w:ascii="宋体" w:hAnsi="宋体"/>
          <w:color w:val="000000"/>
          <w:kern w:val="0"/>
          <w:szCs w:val="21"/>
        </w:rPr>
      </w:pPr>
      <w:r>
        <w:rPr>
          <w:rFonts w:hint="eastAsia" w:ascii="宋体" w:hAnsi="宋体"/>
          <w:color w:val="000000"/>
          <w:kern w:val="0"/>
          <w:szCs w:val="21"/>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pPr>
        <w:rPr>
          <w:rFonts w:ascii="宋体" w:hAnsi="宋体"/>
          <w:color w:val="000000"/>
          <w:kern w:val="0"/>
          <w:szCs w:val="21"/>
        </w:rPr>
      </w:pPr>
      <w:r>
        <w:rPr>
          <w:rFonts w:hint="eastAsia" w:ascii="宋体" w:hAnsi="宋体"/>
          <w:color w:val="000000"/>
          <w:kern w:val="0"/>
          <w:szCs w:val="21"/>
        </w:rPr>
        <w:t>除专用合同条款另有约定外，监理人不能按时进行检查的，应在检查前</w:t>
      </w:r>
      <w:r>
        <w:rPr>
          <w:rFonts w:ascii="宋体" w:hAnsi="宋体"/>
          <w:color w:val="000000"/>
          <w:kern w:val="0"/>
          <w:szCs w:val="21"/>
        </w:rPr>
        <w:t>24</w:t>
      </w:r>
      <w:r>
        <w:rPr>
          <w:rFonts w:hint="eastAsia" w:ascii="宋体" w:hAnsi="宋体"/>
          <w:color w:val="000000"/>
          <w:kern w:val="0"/>
          <w:szCs w:val="21"/>
        </w:rPr>
        <w:t>小时向承包人提交书面延期要求，但延期不能超过</w:t>
      </w:r>
      <w:r>
        <w:rPr>
          <w:rFonts w:ascii="宋体" w:hAnsi="宋体"/>
          <w:color w:val="000000"/>
          <w:kern w:val="0"/>
          <w:szCs w:val="21"/>
        </w:rPr>
        <w:t>48</w:t>
      </w:r>
      <w:r>
        <w:rPr>
          <w:rFonts w:hint="eastAsia" w:ascii="宋体" w:hAnsi="宋体"/>
          <w:color w:val="000000"/>
          <w:kern w:val="0"/>
          <w:szCs w:val="21"/>
        </w:rPr>
        <w:t>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w:t>
      </w:r>
      <w:r>
        <w:rPr>
          <w:rFonts w:ascii="宋体" w:hAnsi="宋体"/>
          <w:color w:val="000000"/>
          <w:kern w:val="0"/>
          <w:szCs w:val="21"/>
        </w:rPr>
        <w:t>5.3.3</w:t>
      </w:r>
      <w:r>
        <w:rPr>
          <w:rFonts w:hint="eastAsia" w:ascii="宋体" w:hAnsi="宋体"/>
          <w:color w:val="000000"/>
          <w:kern w:val="0"/>
          <w:szCs w:val="21"/>
        </w:rPr>
        <w:t>项〔重新检查〕的约定重新检查。</w:t>
      </w:r>
    </w:p>
    <w:p>
      <w:pPr>
        <w:rPr>
          <w:rFonts w:ascii="宋体" w:hAnsi="宋体"/>
          <w:color w:val="000000"/>
          <w:kern w:val="0"/>
          <w:szCs w:val="21"/>
        </w:rPr>
      </w:pPr>
      <w:r>
        <w:rPr>
          <w:rFonts w:ascii="宋体" w:hAnsi="宋体"/>
          <w:color w:val="000000"/>
          <w:kern w:val="0"/>
          <w:szCs w:val="21"/>
        </w:rPr>
        <w:t xml:space="preserve">5.3.3 </w:t>
      </w:r>
      <w:r>
        <w:rPr>
          <w:rFonts w:hint="eastAsia" w:ascii="宋体" w:hAnsi="宋体"/>
          <w:color w:val="000000"/>
          <w:kern w:val="0"/>
          <w:szCs w:val="21"/>
        </w:rPr>
        <w:t>重新检查</w:t>
      </w:r>
    </w:p>
    <w:p>
      <w:pPr>
        <w:rPr>
          <w:rFonts w:ascii="宋体" w:hAnsi="宋体"/>
          <w:color w:val="000000"/>
          <w:kern w:val="0"/>
          <w:szCs w:val="21"/>
        </w:rPr>
      </w:pPr>
      <w:r>
        <w:rPr>
          <w:rFonts w:hint="eastAsia" w:ascii="宋体" w:hAnsi="宋体"/>
          <w:color w:val="000000"/>
          <w:kern w:val="0"/>
          <w:szCs w:val="21"/>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pPr>
        <w:rPr>
          <w:rFonts w:ascii="宋体" w:hAnsi="宋体"/>
          <w:color w:val="000000"/>
          <w:kern w:val="0"/>
          <w:szCs w:val="21"/>
        </w:rPr>
      </w:pPr>
      <w:r>
        <w:rPr>
          <w:rFonts w:ascii="宋体" w:hAnsi="宋体"/>
          <w:color w:val="000000"/>
          <w:kern w:val="0"/>
          <w:szCs w:val="21"/>
        </w:rPr>
        <w:t xml:space="preserve">5.3.4 </w:t>
      </w:r>
      <w:r>
        <w:rPr>
          <w:rFonts w:hint="eastAsia" w:ascii="宋体" w:hAnsi="宋体"/>
          <w:color w:val="000000"/>
          <w:kern w:val="0"/>
          <w:szCs w:val="21"/>
        </w:rPr>
        <w:t>承包人私自覆盖</w:t>
      </w:r>
    </w:p>
    <w:p>
      <w:pPr>
        <w:rPr>
          <w:rFonts w:ascii="宋体" w:hAnsi="宋体"/>
          <w:color w:val="000000"/>
          <w:szCs w:val="21"/>
        </w:rPr>
      </w:pPr>
      <w:r>
        <w:rPr>
          <w:rFonts w:hint="eastAsia" w:ascii="宋体" w:hAnsi="宋体"/>
          <w:color w:val="000000"/>
          <w:kern w:val="0"/>
          <w:szCs w:val="21"/>
        </w:rPr>
        <w:t>承包人未通知监理人到场检查，私自将工程隐蔽部位覆盖的，监理人有权指示承包人钻孔探测或揭开检查，无论工程隐蔽部位质量是否合格，由此增加的费用和（或）延误的工期均由承包人承担。</w:t>
      </w:r>
    </w:p>
    <w:p>
      <w:pPr>
        <w:rPr>
          <w:rFonts w:ascii="黑体" w:hAnsi="黑体" w:eastAsia="黑体"/>
          <w:color w:val="000000"/>
          <w:szCs w:val="21"/>
        </w:rPr>
      </w:pPr>
      <w:r>
        <w:rPr>
          <w:rFonts w:ascii="黑体" w:hAnsi="黑体" w:eastAsia="黑体"/>
          <w:color w:val="000000"/>
          <w:szCs w:val="21"/>
        </w:rPr>
        <w:t>5</w:t>
      </w:r>
      <w:bookmarkStart w:id="445" w:name="_Toc337558762"/>
      <w:r>
        <w:rPr>
          <w:rFonts w:ascii="黑体" w:hAnsi="黑体" w:eastAsia="黑体"/>
          <w:color w:val="000000"/>
          <w:szCs w:val="21"/>
        </w:rPr>
        <w:t>.4</w:t>
      </w:r>
      <w:r>
        <w:rPr>
          <w:rFonts w:hint="eastAsia" w:ascii="黑体" w:hAnsi="黑体" w:eastAsia="黑体"/>
          <w:color w:val="000000"/>
          <w:szCs w:val="21"/>
        </w:rPr>
        <w:t>不合格工程的处理</w:t>
      </w:r>
    </w:p>
    <w:bookmarkEnd w:id="445"/>
    <w:p>
      <w:pPr>
        <w:rPr>
          <w:rFonts w:ascii="宋体" w:hAnsi="宋体"/>
          <w:color w:val="000000"/>
          <w:kern w:val="0"/>
          <w:szCs w:val="21"/>
        </w:rPr>
      </w:pPr>
      <w:r>
        <w:rPr>
          <w:rFonts w:ascii="宋体" w:hAnsi="宋体"/>
          <w:color w:val="000000"/>
          <w:kern w:val="0"/>
          <w:szCs w:val="21"/>
        </w:rPr>
        <w:t xml:space="preserve">5.4.1 </w:t>
      </w:r>
      <w:r>
        <w:rPr>
          <w:rFonts w:hint="eastAsia" w:ascii="宋体" w:hAnsi="宋体"/>
          <w:color w:val="000000"/>
          <w:kern w:val="0"/>
          <w:szCs w:val="21"/>
        </w:rPr>
        <w:t>因承包人原因造成工程不合格的，发包人有权随时要求承包人采取补救措施，直至达到合同要求的质量标准，由此增加的费用和（或）延误的工期由承包人承担。无法补救的，按照第</w:t>
      </w:r>
      <w:r>
        <w:rPr>
          <w:rFonts w:ascii="宋体" w:hAnsi="宋体"/>
          <w:color w:val="000000"/>
          <w:kern w:val="0"/>
          <w:szCs w:val="21"/>
        </w:rPr>
        <w:t>13.2.4</w:t>
      </w:r>
      <w:r>
        <w:rPr>
          <w:rFonts w:hint="eastAsia" w:ascii="宋体" w:hAnsi="宋体"/>
          <w:color w:val="000000"/>
          <w:kern w:val="0"/>
          <w:szCs w:val="21"/>
        </w:rPr>
        <w:t>项〔拒绝接收全部或部分工程〕约定执行。</w:t>
      </w:r>
    </w:p>
    <w:p>
      <w:pPr>
        <w:rPr>
          <w:rFonts w:ascii="宋体" w:hAnsi="宋体"/>
          <w:color w:val="000000"/>
          <w:kern w:val="0"/>
          <w:szCs w:val="21"/>
        </w:rPr>
      </w:pPr>
      <w:r>
        <w:rPr>
          <w:rFonts w:ascii="宋体" w:hAnsi="宋体"/>
          <w:color w:val="000000"/>
          <w:kern w:val="0"/>
          <w:szCs w:val="21"/>
        </w:rPr>
        <w:t xml:space="preserve">5.4.2 </w:t>
      </w:r>
      <w:r>
        <w:rPr>
          <w:rFonts w:hint="eastAsia" w:ascii="宋体" w:hAnsi="宋体"/>
          <w:color w:val="000000"/>
          <w:kern w:val="0"/>
          <w:szCs w:val="21"/>
        </w:rPr>
        <w:t>因发包人原因造成工程不合格的，由此增加的费用和（或）延误的工期由发包人承担，并支付承包人合理的利润。</w:t>
      </w:r>
    </w:p>
    <w:p>
      <w:pPr>
        <w:rPr>
          <w:rFonts w:ascii="黑体" w:hAnsi="黑体" w:eastAsia="黑体"/>
          <w:color w:val="000000"/>
          <w:szCs w:val="21"/>
        </w:rPr>
      </w:pPr>
      <w:r>
        <w:rPr>
          <w:rFonts w:ascii="黑体" w:hAnsi="黑体" w:eastAsia="黑体"/>
          <w:color w:val="000000"/>
          <w:szCs w:val="21"/>
        </w:rPr>
        <w:t xml:space="preserve">5.5 </w:t>
      </w:r>
      <w:r>
        <w:rPr>
          <w:rFonts w:hint="eastAsia" w:ascii="黑体" w:hAnsi="黑体" w:eastAsia="黑体"/>
          <w:color w:val="000000"/>
          <w:szCs w:val="21"/>
        </w:rPr>
        <w:t>质量争议检测</w:t>
      </w:r>
    </w:p>
    <w:p>
      <w:pPr>
        <w:rPr>
          <w:rFonts w:ascii="宋体" w:hAnsi="宋体"/>
          <w:color w:val="000000"/>
          <w:kern w:val="0"/>
          <w:szCs w:val="21"/>
        </w:rPr>
      </w:pPr>
      <w:r>
        <w:rPr>
          <w:rFonts w:hint="eastAsia" w:ascii="宋体" w:hAnsi="宋体"/>
          <w:color w:val="000000"/>
          <w:kern w:val="0"/>
          <w:szCs w:val="21"/>
        </w:rPr>
        <w:t>合同当事人对工程质量有争议的，由双方协商确定的工程质量检测机构鉴定，由此产生的费用及因此造成的损失，由责任方承担。</w:t>
      </w:r>
    </w:p>
    <w:p>
      <w:pPr>
        <w:rPr>
          <w:rFonts w:ascii="宋体" w:hAnsi="宋体"/>
          <w:color w:val="000000"/>
          <w:kern w:val="0"/>
          <w:szCs w:val="21"/>
        </w:rPr>
      </w:pPr>
      <w:r>
        <w:rPr>
          <w:rFonts w:hint="eastAsia" w:ascii="宋体" w:hAnsi="宋体"/>
          <w:color w:val="000000"/>
          <w:kern w:val="0"/>
          <w:szCs w:val="21"/>
        </w:rPr>
        <w:t>合同当事人均有责任的，由双方根据其责任分别承担。合同当事人无法达成一致的，按照第</w:t>
      </w:r>
      <w:r>
        <w:rPr>
          <w:rFonts w:ascii="宋体" w:hAnsi="宋体"/>
          <w:color w:val="000000"/>
          <w:kern w:val="0"/>
          <w:szCs w:val="21"/>
        </w:rPr>
        <w:t>4.4</w:t>
      </w:r>
      <w:r>
        <w:rPr>
          <w:rFonts w:hint="eastAsia" w:ascii="宋体" w:hAnsi="宋体"/>
          <w:color w:val="000000"/>
          <w:kern w:val="0"/>
          <w:szCs w:val="21"/>
        </w:rPr>
        <w:t>款〔商定或确定〕执行。</w:t>
      </w:r>
    </w:p>
    <w:p>
      <w:pPr>
        <w:pStyle w:val="5"/>
        <w:spacing w:before="120" w:after="120" w:line="360" w:lineRule="auto"/>
        <w:rPr>
          <w:rFonts w:ascii="黑体" w:hAnsi="黑体"/>
          <w:b w:val="0"/>
          <w:color w:val="000000"/>
        </w:rPr>
      </w:pPr>
      <w:bookmarkStart w:id="446" w:name="_Toc114222807"/>
      <w:bookmarkStart w:id="447" w:name="_Toc362623171"/>
      <w:r>
        <w:rPr>
          <w:rFonts w:ascii="黑体" w:hAnsi="黑体"/>
          <w:b w:val="0"/>
          <w:color w:val="000000"/>
        </w:rPr>
        <w:t>6</w:t>
      </w:r>
      <w:bookmarkStart w:id="448" w:name="_Toc337558763"/>
      <w:r>
        <w:rPr>
          <w:rFonts w:ascii="黑体" w:hAnsi="黑体"/>
          <w:b w:val="0"/>
          <w:color w:val="000000"/>
        </w:rPr>
        <w:t xml:space="preserve">. </w:t>
      </w:r>
      <w:r>
        <w:rPr>
          <w:rFonts w:hint="eastAsia" w:ascii="黑体" w:hAnsi="黑体"/>
          <w:b w:val="0"/>
          <w:color w:val="000000"/>
        </w:rPr>
        <w:t>安全文明施工与环境保护</w:t>
      </w:r>
      <w:bookmarkEnd w:id="446"/>
      <w:bookmarkEnd w:id="447"/>
    </w:p>
    <w:bookmarkEnd w:id="448"/>
    <w:p>
      <w:pPr>
        <w:rPr>
          <w:rFonts w:ascii="黑体" w:hAnsi="黑体" w:eastAsia="黑体"/>
          <w:color w:val="000000"/>
        </w:rPr>
      </w:pPr>
      <w:r>
        <w:rPr>
          <w:rFonts w:ascii="黑体" w:hAnsi="黑体" w:eastAsia="黑体"/>
          <w:color w:val="000000"/>
        </w:rPr>
        <w:t>6</w:t>
      </w:r>
      <w:bookmarkStart w:id="449" w:name="_Toc337558764"/>
      <w:r>
        <w:rPr>
          <w:rFonts w:ascii="黑体" w:hAnsi="黑体" w:eastAsia="黑体"/>
          <w:color w:val="000000"/>
        </w:rPr>
        <w:t>.1</w:t>
      </w:r>
      <w:r>
        <w:rPr>
          <w:rFonts w:hint="eastAsia" w:ascii="黑体" w:hAnsi="黑体" w:eastAsia="黑体"/>
          <w:color w:val="000000"/>
        </w:rPr>
        <w:t>安全文明施工</w:t>
      </w:r>
    </w:p>
    <w:bookmarkEnd w:id="449"/>
    <w:p>
      <w:pPr>
        <w:spacing w:line="360" w:lineRule="auto"/>
        <w:ind w:firstLine="420" w:firstLineChars="200"/>
        <w:rPr>
          <w:rFonts w:ascii="宋体" w:hAnsi="宋体"/>
          <w:color w:val="000000"/>
          <w:szCs w:val="21"/>
        </w:rPr>
      </w:pPr>
      <w:r>
        <w:rPr>
          <w:rFonts w:ascii="宋体" w:hAnsi="宋体"/>
          <w:color w:val="000000"/>
          <w:szCs w:val="21"/>
        </w:rPr>
        <w:t>6.1.1</w:t>
      </w:r>
      <w:r>
        <w:rPr>
          <w:rFonts w:hint="eastAsia" w:ascii="宋体" w:hAnsi="宋体"/>
          <w:color w:val="000000"/>
          <w:szCs w:val="21"/>
        </w:rPr>
        <w:t>安全生产要求</w:t>
      </w:r>
    </w:p>
    <w:p>
      <w:pPr>
        <w:spacing w:line="360" w:lineRule="auto"/>
        <w:ind w:firstLine="420" w:firstLineChars="200"/>
        <w:rPr>
          <w:rFonts w:ascii="宋体" w:hAnsi="宋体"/>
          <w:color w:val="000000"/>
          <w:szCs w:val="21"/>
        </w:rPr>
      </w:pPr>
      <w:r>
        <w:rPr>
          <w:rFonts w:hint="eastAsia" w:ascii="宋体" w:hAnsi="宋体"/>
          <w:color w:val="000000"/>
          <w:szCs w:val="21"/>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pPr>
        <w:spacing w:line="360" w:lineRule="auto"/>
        <w:ind w:firstLine="420" w:firstLineChars="200"/>
        <w:rPr>
          <w:rFonts w:ascii="宋体" w:hAnsi="宋体"/>
          <w:color w:val="000000"/>
          <w:szCs w:val="21"/>
        </w:rPr>
      </w:pPr>
      <w:r>
        <w:rPr>
          <w:rFonts w:hint="eastAsia" w:ascii="宋体" w:hAnsi="宋体"/>
          <w:color w:val="000000"/>
          <w:szCs w:val="21"/>
        </w:rPr>
        <w:t>在施工过程中，如遇到突发的地质变动、事先未知的地下施工障碍等影响施工安全的紧急情况，承包人应及时报告监理人和发包人，发包人应当及时下令停工并报</w:t>
      </w:r>
      <w:r>
        <w:rPr>
          <w:rFonts w:hint="eastAsia" w:ascii="宋体" w:hAnsi="宋体"/>
          <w:color w:val="000000"/>
          <w:kern w:val="0"/>
          <w:szCs w:val="21"/>
        </w:rPr>
        <w:t>政府有关行政管理部门</w:t>
      </w:r>
      <w:r>
        <w:rPr>
          <w:rFonts w:hint="eastAsia" w:ascii="宋体" w:hAnsi="宋体"/>
          <w:color w:val="000000"/>
          <w:szCs w:val="21"/>
        </w:rPr>
        <w:t>采取应急措施。</w:t>
      </w:r>
    </w:p>
    <w:p>
      <w:pPr>
        <w:spacing w:line="360" w:lineRule="auto"/>
        <w:ind w:firstLine="420" w:firstLineChars="200"/>
        <w:rPr>
          <w:rFonts w:ascii="宋体" w:hAnsi="宋体"/>
          <w:color w:val="000000"/>
          <w:szCs w:val="21"/>
        </w:rPr>
      </w:pPr>
      <w:r>
        <w:rPr>
          <w:rFonts w:hint="eastAsia" w:ascii="宋体" w:hAnsi="宋体"/>
          <w:color w:val="000000"/>
          <w:szCs w:val="21"/>
        </w:rPr>
        <w:t>因安全生产需要暂停施工的，按照第</w:t>
      </w:r>
      <w:r>
        <w:rPr>
          <w:rFonts w:ascii="宋体" w:hAnsi="宋体"/>
          <w:color w:val="000000"/>
          <w:szCs w:val="21"/>
        </w:rPr>
        <w:t>7.8</w:t>
      </w:r>
      <w:r>
        <w:rPr>
          <w:rFonts w:hint="eastAsia" w:ascii="宋体" w:hAnsi="宋体"/>
          <w:color w:val="000000"/>
          <w:szCs w:val="21"/>
        </w:rPr>
        <w:t>款〔暂停施工〕的约定执行。</w:t>
      </w:r>
    </w:p>
    <w:p>
      <w:pPr>
        <w:spacing w:line="360" w:lineRule="auto"/>
        <w:ind w:firstLine="420" w:firstLineChars="200"/>
        <w:rPr>
          <w:rFonts w:ascii="宋体" w:hAnsi="宋体"/>
          <w:color w:val="000000"/>
          <w:szCs w:val="21"/>
        </w:rPr>
      </w:pPr>
      <w:r>
        <w:rPr>
          <w:rFonts w:ascii="宋体" w:hAnsi="宋体"/>
          <w:color w:val="000000"/>
          <w:szCs w:val="21"/>
        </w:rPr>
        <w:t xml:space="preserve">6.1.2 </w:t>
      </w:r>
      <w:r>
        <w:rPr>
          <w:rFonts w:hint="eastAsia" w:ascii="宋体" w:hAnsi="宋体"/>
          <w:color w:val="000000"/>
          <w:szCs w:val="21"/>
        </w:rPr>
        <w:t>安全生产保证措施</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szCs w:val="21"/>
        </w:rPr>
        <w:t>承包人应当按照有关</w:t>
      </w:r>
      <w:r>
        <w:rPr>
          <w:rFonts w:hint="eastAsia" w:ascii="宋体" w:hAnsi="宋体"/>
          <w:color w:val="000000"/>
          <w:kern w:val="0"/>
          <w:szCs w:val="21"/>
        </w:rPr>
        <w:t>规定编制安全技术措施或者专项施工方案，</w:t>
      </w:r>
      <w:r>
        <w:rPr>
          <w:rFonts w:hint="eastAsia" w:ascii="宋体" w:hAnsi="宋体"/>
          <w:color w:val="000000"/>
          <w:szCs w:val="21"/>
        </w:rPr>
        <w:t>建立安全生产责任制度、治安保卫制度及安全生产教育培训制度，并</w:t>
      </w:r>
      <w:r>
        <w:rPr>
          <w:rFonts w:hint="eastAsia" w:ascii="宋体" w:hAnsi="宋体"/>
          <w:color w:val="000000"/>
          <w:kern w:val="0"/>
          <w:szCs w:val="21"/>
        </w:rPr>
        <w:t>按安全生产法律规定及合同约定履行安全职责，如实</w:t>
      </w:r>
      <w:r>
        <w:rPr>
          <w:rFonts w:hint="eastAsia" w:ascii="宋体" w:hAnsi="宋体"/>
          <w:color w:val="000000"/>
          <w:szCs w:val="21"/>
        </w:rPr>
        <w:t>编制工程安全生产的有关记录，</w:t>
      </w:r>
      <w:r>
        <w:rPr>
          <w:rFonts w:hint="eastAsia" w:ascii="宋体" w:hAnsi="宋体"/>
          <w:color w:val="000000"/>
          <w:kern w:val="0"/>
          <w:szCs w:val="21"/>
        </w:rPr>
        <w:t>接受发包人、监理人及政府安全监督部门的检查与监督。</w:t>
      </w:r>
    </w:p>
    <w:p>
      <w:pPr>
        <w:spacing w:line="360" w:lineRule="auto"/>
        <w:ind w:firstLine="420" w:firstLineChars="200"/>
        <w:rPr>
          <w:rFonts w:ascii="宋体" w:hAnsi="宋体"/>
          <w:color w:val="000000"/>
          <w:szCs w:val="21"/>
        </w:rPr>
      </w:pPr>
      <w:r>
        <w:rPr>
          <w:rFonts w:ascii="宋体" w:hAnsi="宋体"/>
          <w:color w:val="000000"/>
          <w:szCs w:val="21"/>
        </w:rPr>
        <w:t>6.1.3</w:t>
      </w:r>
      <w:r>
        <w:rPr>
          <w:rFonts w:hint="eastAsia" w:ascii="宋体" w:hAnsi="宋体"/>
          <w:color w:val="000000"/>
          <w:szCs w:val="21"/>
        </w:rPr>
        <w:t>特别安全生产事项</w:t>
      </w:r>
    </w:p>
    <w:p>
      <w:pPr>
        <w:spacing w:line="360" w:lineRule="auto"/>
        <w:ind w:firstLine="420" w:firstLineChars="200"/>
        <w:rPr>
          <w:rFonts w:ascii="宋体" w:hAnsi="宋体"/>
          <w:color w:val="000000"/>
          <w:szCs w:val="21"/>
        </w:rPr>
      </w:pPr>
      <w:r>
        <w:rPr>
          <w:rFonts w:hint="eastAsia" w:ascii="宋体" w:hAnsi="宋体"/>
          <w:color w:val="000000"/>
          <w:szCs w:val="21"/>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pPr>
        <w:spacing w:line="360" w:lineRule="auto"/>
        <w:ind w:firstLine="420" w:firstLineChars="200"/>
        <w:rPr>
          <w:rFonts w:ascii="宋体" w:hAnsi="宋体"/>
          <w:color w:val="000000"/>
          <w:szCs w:val="21"/>
        </w:rPr>
      </w:pPr>
      <w:r>
        <w:rPr>
          <w:rFonts w:hint="eastAsia" w:ascii="宋体" w:hAnsi="宋体"/>
          <w:color w:val="000000"/>
          <w:szCs w:val="21"/>
        </w:rPr>
        <w:t>承包人在动力设备、输电线路、地下管道、密封防震车间、易燃易爆地段以及临街交通要道附近施工时，施工开始前应向发包人和监理人提出安全防护措施，经发包人认可后实施。</w:t>
      </w:r>
    </w:p>
    <w:p>
      <w:pPr>
        <w:spacing w:line="360" w:lineRule="auto"/>
        <w:ind w:firstLine="420" w:firstLineChars="200"/>
        <w:rPr>
          <w:rFonts w:ascii="宋体" w:hAnsi="宋体"/>
          <w:color w:val="000000"/>
          <w:szCs w:val="21"/>
        </w:rPr>
      </w:pPr>
      <w:r>
        <w:rPr>
          <w:rFonts w:hint="eastAsia" w:ascii="宋体" w:hAnsi="宋体"/>
          <w:color w:val="000000"/>
          <w:szCs w:val="21"/>
        </w:rPr>
        <w:t>实施爆破作业，在放射、毒害性环境中施工（含储存、运输、使用）及使用毒害性、腐蚀性物品施工时，承包人应在施工前</w:t>
      </w:r>
      <w:r>
        <w:rPr>
          <w:rFonts w:ascii="宋体" w:hAnsi="宋体"/>
          <w:color w:val="000000"/>
          <w:szCs w:val="21"/>
        </w:rPr>
        <w:t>7</w:t>
      </w:r>
      <w:r>
        <w:rPr>
          <w:rFonts w:hint="eastAsia" w:ascii="宋体" w:hAnsi="宋体"/>
          <w:color w:val="000000"/>
          <w:szCs w:val="21"/>
        </w:rPr>
        <w:t>天以书面通知发包人和监理人，并报送相应的安全防护措施，经发包人认可后实施。</w:t>
      </w:r>
    </w:p>
    <w:p>
      <w:pPr>
        <w:spacing w:line="360" w:lineRule="auto"/>
        <w:ind w:firstLine="420" w:firstLineChars="200"/>
        <w:rPr>
          <w:rFonts w:ascii="宋体" w:hAnsi="宋体"/>
          <w:color w:val="000000"/>
          <w:szCs w:val="21"/>
        </w:rPr>
      </w:pPr>
      <w:r>
        <w:rPr>
          <w:rFonts w:hint="eastAsia" w:ascii="宋体" w:hAnsi="宋体"/>
          <w:color w:val="000000"/>
          <w:szCs w:val="21"/>
        </w:rPr>
        <w:t>需单独编制危险性较大分部分项专项工程施工方案的，及要求进行专家论证的超过一定规模的危险性较大的分部分项工程，承包人应及时编制和组织论证。</w:t>
      </w:r>
    </w:p>
    <w:p>
      <w:pPr>
        <w:spacing w:line="360" w:lineRule="auto"/>
        <w:ind w:firstLine="420" w:firstLineChars="200"/>
        <w:rPr>
          <w:rFonts w:ascii="宋体" w:hAnsi="宋体"/>
          <w:color w:val="000000"/>
          <w:szCs w:val="21"/>
        </w:rPr>
      </w:pPr>
      <w:r>
        <w:rPr>
          <w:rFonts w:ascii="宋体" w:hAnsi="宋体"/>
          <w:color w:val="000000"/>
          <w:szCs w:val="21"/>
        </w:rPr>
        <w:t xml:space="preserve">6.1.4 </w:t>
      </w:r>
      <w:r>
        <w:rPr>
          <w:rFonts w:hint="eastAsia" w:ascii="宋体" w:hAnsi="宋体"/>
          <w:color w:val="000000"/>
          <w:szCs w:val="21"/>
        </w:rPr>
        <w:t>治安保卫</w:t>
      </w:r>
    </w:p>
    <w:p>
      <w:pPr>
        <w:spacing w:line="360" w:lineRule="auto"/>
        <w:ind w:firstLine="420" w:firstLineChars="200"/>
        <w:rPr>
          <w:rFonts w:ascii="宋体" w:hAnsi="宋体"/>
          <w:color w:val="000000"/>
          <w:szCs w:val="21"/>
        </w:rPr>
      </w:pPr>
      <w:r>
        <w:rPr>
          <w:rFonts w:hint="eastAsia" w:ascii="宋体" w:hAnsi="宋体"/>
          <w:color w:val="000000"/>
          <w:szCs w:val="21"/>
        </w:rPr>
        <w:t>除专用合同条款另有约定外，发包人应与当地公安部门协商，在现场建立治安管理机构或联防组织，统一管理施工场地的治安保卫事项，履行合同工程的治安保卫职责。</w:t>
      </w:r>
    </w:p>
    <w:p>
      <w:pPr>
        <w:spacing w:line="360" w:lineRule="auto"/>
        <w:ind w:firstLine="420" w:firstLineChars="200"/>
        <w:rPr>
          <w:rFonts w:ascii="宋体" w:hAnsi="宋体"/>
          <w:color w:val="000000"/>
          <w:szCs w:val="21"/>
        </w:rPr>
      </w:pPr>
      <w:r>
        <w:rPr>
          <w:rFonts w:hint="eastAsia" w:ascii="宋体" w:hAnsi="宋体"/>
          <w:color w:val="000000"/>
          <w:szCs w:val="21"/>
        </w:rPr>
        <w:t>发包人和承包人除应协助现场治安管理机构或联防组织维护施工场地的社会治安外，还应做好包括生活区在内的各自管辖区的治安保卫工作。</w:t>
      </w:r>
    </w:p>
    <w:p>
      <w:pPr>
        <w:spacing w:line="360" w:lineRule="auto"/>
        <w:ind w:firstLine="420" w:firstLineChars="200"/>
        <w:rPr>
          <w:rFonts w:ascii="宋体" w:hAnsi="宋体"/>
          <w:color w:val="000000"/>
          <w:szCs w:val="21"/>
        </w:rPr>
      </w:pPr>
      <w:r>
        <w:rPr>
          <w:rFonts w:hint="eastAsia" w:ascii="宋体" w:hAnsi="宋体"/>
          <w:color w:val="000000"/>
          <w:szCs w:val="21"/>
        </w:rPr>
        <w:t>除专用合同条款另有约定外，发包人和承包人应在工程开工后</w:t>
      </w:r>
      <w:r>
        <w:rPr>
          <w:rFonts w:ascii="宋体" w:hAnsi="宋体"/>
          <w:color w:val="000000"/>
          <w:szCs w:val="21"/>
        </w:rPr>
        <w:t>7</w:t>
      </w:r>
      <w:r>
        <w:rPr>
          <w:rFonts w:hint="eastAsia" w:ascii="宋体" w:hAnsi="宋体"/>
          <w:color w:val="000000"/>
          <w:szCs w:val="21"/>
        </w:rPr>
        <w:t>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pPr>
        <w:spacing w:line="360" w:lineRule="auto"/>
        <w:ind w:firstLine="420" w:firstLineChars="200"/>
        <w:rPr>
          <w:rFonts w:ascii="宋体" w:hAnsi="宋体"/>
          <w:color w:val="000000"/>
          <w:kern w:val="0"/>
          <w:szCs w:val="21"/>
        </w:rPr>
      </w:pPr>
      <w:r>
        <w:rPr>
          <w:rFonts w:ascii="宋体" w:hAnsi="宋体"/>
          <w:color w:val="000000"/>
          <w:szCs w:val="21"/>
        </w:rPr>
        <w:t xml:space="preserve">6.1.5 </w:t>
      </w:r>
      <w:r>
        <w:rPr>
          <w:rFonts w:hint="eastAsia" w:ascii="宋体" w:hAnsi="宋体"/>
          <w:color w:val="000000"/>
          <w:szCs w:val="21"/>
        </w:rPr>
        <w:t>文明施工</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承包人在工程施工期间，应当采取措施保持施工现场平整，物料堆放整齐。工程所在地有关政府行政管理部门有特殊要求的，按照其要求执行。合同当事人对文明施工有其他要求的，可以在专用合同条款中明确。</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pPr>
        <w:spacing w:line="360" w:lineRule="auto"/>
        <w:ind w:firstLine="420" w:firstLineChars="200"/>
        <w:rPr>
          <w:rFonts w:ascii="宋体" w:hAnsi="宋体"/>
          <w:color w:val="000000"/>
          <w:szCs w:val="21"/>
        </w:rPr>
      </w:pPr>
      <w:r>
        <w:rPr>
          <w:rFonts w:ascii="宋体" w:hAnsi="宋体"/>
          <w:color w:val="000000"/>
          <w:szCs w:val="21"/>
        </w:rPr>
        <w:t xml:space="preserve">6.1.6 </w:t>
      </w:r>
      <w:r>
        <w:rPr>
          <w:rFonts w:hint="eastAsia" w:ascii="宋体" w:hAnsi="宋体"/>
          <w:color w:val="000000"/>
          <w:szCs w:val="21"/>
        </w:rPr>
        <w:t>安全文明施工费</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安全文明施工费由发包人承担，发包人不得以任何形式扣减该部分费用。因基准日期后合同所适用的法律或政府有关规定发生变化，增加的安全文明施工费由发包人承担。</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除专用合同条款另有约定外，发包人应在开工后</w:t>
      </w:r>
      <w:r>
        <w:rPr>
          <w:rFonts w:ascii="宋体" w:hAnsi="宋体"/>
          <w:color w:val="000000"/>
          <w:kern w:val="0"/>
          <w:szCs w:val="21"/>
        </w:rPr>
        <w:t>28</w:t>
      </w:r>
      <w:r>
        <w:rPr>
          <w:rFonts w:hint="eastAsia" w:ascii="宋体" w:hAnsi="宋体"/>
          <w:color w:val="000000"/>
          <w:kern w:val="0"/>
          <w:szCs w:val="21"/>
        </w:rPr>
        <w:t>天内预付安全文明施工费总额的</w:t>
      </w:r>
      <w:r>
        <w:rPr>
          <w:rFonts w:ascii="宋体" w:hAnsi="宋体"/>
          <w:color w:val="000000"/>
          <w:kern w:val="0"/>
          <w:szCs w:val="21"/>
        </w:rPr>
        <w:t>50%</w:t>
      </w:r>
      <w:r>
        <w:rPr>
          <w:rFonts w:hint="eastAsia" w:ascii="宋体" w:hAnsi="宋体"/>
          <w:color w:val="000000"/>
          <w:kern w:val="0"/>
          <w:szCs w:val="21"/>
        </w:rPr>
        <w:t>，其余部分与进度款同期支付。发包人逾期支付安全文明施工费超过</w:t>
      </w:r>
      <w:r>
        <w:rPr>
          <w:rFonts w:ascii="宋体" w:hAnsi="宋体"/>
          <w:color w:val="000000"/>
          <w:kern w:val="0"/>
          <w:szCs w:val="21"/>
        </w:rPr>
        <w:t>7</w:t>
      </w:r>
      <w:r>
        <w:rPr>
          <w:rFonts w:hint="eastAsia" w:ascii="宋体" w:hAnsi="宋体"/>
          <w:color w:val="000000"/>
          <w:kern w:val="0"/>
          <w:szCs w:val="21"/>
        </w:rPr>
        <w:t>天的，承包人有权向发包人发出要求预付的催告通知，发包人收到通知后</w:t>
      </w:r>
      <w:r>
        <w:rPr>
          <w:rFonts w:ascii="宋体" w:hAnsi="宋体"/>
          <w:color w:val="000000"/>
          <w:kern w:val="0"/>
          <w:szCs w:val="21"/>
        </w:rPr>
        <w:t>7</w:t>
      </w:r>
      <w:r>
        <w:rPr>
          <w:rFonts w:hint="eastAsia" w:ascii="宋体" w:hAnsi="宋体"/>
          <w:color w:val="000000"/>
          <w:kern w:val="0"/>
          <w:szCs w:val="21"/>
        </w:rPr>
        <w:t>天内仍未支付的，承包人有权暂停施工，并按第</w:t>
      </w:r>
      <w:r>
        <w:rPr>
          <w:rFonts w:ascii="宋体" w:hAnsi="宋体"/>
          <w:color w:val="000000"/>
          <w:kern w:val="0"/>
          <w:szCs w:val="21"/>
        </w:rPr>
        <w:t>16.1.1</w:t>
      </w:r>
      <w:r>
        <w:rPr>
          <w:rFonts w:hint="eastAsia" w:ascii="宋体" w:hAnsi="宋体"/>
          <w:color w:val="000000"/>
          <w:kern w:val="0"/>
          <w:szCs w:val="21"/>
        </w:rPr>
        <w:t>项〔发包人违约的情形〕执行。</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6.1.7 </w:t>
      </w:r>
      <w:r>
        <w:rPr>
          <w:rFonts w:hint="eastAsia" w:ascii="宋体" w:hAnsi="宋体"/>
          <w:color w:val="000000"/>
          <w:kern w:val="0"/>
          <w:szCs w:val="21"/>
        </w:rPr>
        <w:t>紧急情况处理</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6.1.8 </w:t>
      </w:r>
      <w:r>
        <w:rPr>
          <w:rFonts w:hint="eastAsia" w:ascii="宋体" w:hAnsi="宋体"/>
          <w:color w:val="000000"/>
          <w:kern w:val="0"/>
          <w:szCs w:val="21"/>
        </w:rPr>
        <w:t>事故处理</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6.1.9 </w:t>
      </w:r>
      <w:r>
        <w:rPr>
          <w:rFonts w:hint="eastAsia" w:ascii="宋体" w:hAnsi="宋体"/>
          <w:color w:val="000000"/>
          <w:kern w:val="0"/>
          <w:szCs w:val="21"/>
        </w:rPr>
        <w:t>安全生产责任</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6.1.9.1 </w:t>
      </w:r>
      <w:r>
        <w:rPr>
          <w:rFonts w:hint="eastAsia" w:ascii="宋体" w:hAnsi="宋体"/>
          <w:color w:val="000000"/>
          <w:kern w:val="0"/>
          <w:szCs w:val="21"/>
        </w:rPr>
        <w:t>发包人的安全责任</w:t>
      </w:r>
    </w:p>
    <w:p>
      <w:pPr>
        <w:spacing w:line="360" w:lineRule="auto"/>
        <w:ind w:firstLine="420" w:firstLineChars="200"/>
        <w:rPr>
          <w:rFonts w:ascii="宋体" w:hAnsi="宋体"/>
          <w:color w:val="000000"/>
          <w:szCs w:val="21"/>
        </w:rPr>
      </w:pPr>
      <w:r>
        <w:rPr>
          <w:rFonts w:hint="eastAsia" w:ascii="宋体" w:hAnsi="宋体"/>
          <w:color w:val="000000"/>
          <w:szCs w:val="21"/>
        </w:rPr>
        <w:t>发包人应负责赔偿以下各种情况造成的损失：</w:t>
      </w:r>
    </w:p>
    <w:p>
      <w:pPr>
        <w:spacing w:line="360" w:lineRule="auto"/>
        <w:ind w:firstLine="420" w:firstLineChars="200"/>
        <w:rPr>
          <w:rFonts w:ascii="宋体" w:hAns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）工程或工程的任何部分对土地的占用所造成的第三者财产损失；</w:t>
      </w:r>
    </w:p>
    <w:p>
      <w:pPr>
        <w:spacing w:line="360" w:lineRule="auto"/>
        <w:ind w:firstLine="420" w:firstLineChars="200"/>
        <w:rPr>
          <w:rFonts w:ascii="宋体" w:hAns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）由于发包人原因在施工场地及其毗邻地带造成的第三者人身伤亡和财产损失；</w:t>
      </w:r>
    </w:p>
    <w:p>
      <w:pPr>
        <w:spacing w:line="360" w:lineRule="auto"/>
        <w:ind w:firstLine="420" w:firstLineChars="200"/>
        <w:rPr>
          <w:rFonts w:ascii="宋体" w:hAns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）由于发包人原因对承包人、监理人造成的人员人身伤亡和财产损失；</w:t>
      </w:r>
    </w:p>
    <w:p>
      <w:pPr>
        <w:spacing w:line="360" w:lineRule="auto"/>
        <w:ind w:firstLine="420" w:firstLineChars="200"/>
        <w:rPr>
          <w:rFonts w:ascii="宋体" w:hAnsi="宋体"/>
          <w:color w:val="000000"/>
          <w:szCs w:val="21"/>
        </w:rPr>
      </w:pPr>
      <w:r>
        <w:rPr>
          <w:rFonts w:hint="eastAsia" w:ascii="宋体" w:hAnsi="宋体"/>
          <w:color w:val="000000"/>
          <w:szCs w:val="21"/>
        </w:rPr>
        <w:t>（</w:t>
      </w:r>
      <w:r>
        <w:rPr>
          <w:rFonts w:ascii="宋体" w:hAnsi="宋体"/>
          <w:color w:val="000000"/>
          <w:szCs w:val="21"/>
        </w:rPr>
        <w:t>4</w:t>
      </w:r>
      <w:r>
        <w:rPr>
          <w:rFonts w:hint="eastAsia" w:ascii="宋体" w:hAnsi="宋体"/>
          <w:color w:val="000000"/>
          <w:szCs w:val="21"/>
        </w:rPr>
        <w:t>）由于发包人原因造成的发包人自身人员的人身伤害以及财产损失。</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6.1.9.2 </w:t>
      </w:r>
      <w:r>
        <w:rPr>
          <w:rFonts w:hint="eastAsia" w:ascii="宋体" w:hAnsi="宋体"/>
          <w:color w:val="000000"/>
          <w:kern w:val="0"/>
          <w:szCs w:val="21"/>
        </w:rPr>
        <w:t>承包人的安全责任</w:t>
      </w:r>
    </w:p>
    <w:p>
      <w:pPr>
        <w:spacing w:line="360" w:lineRule="auto"/>
        <w:ind w:firstLine="420" w:firstLineChars="200"/>
        <w:rPr>
          <w:rFonts w:ascii="宋体" w:hAnsi="宋体"/>
          <w:color w:val="000000"/>
          <w:kern w:val="0"/>
          <w:szCs w:val="21"/>
        </w:rPr>
      </w:pPr>
      <w:r>
        <w:rPr>
          <w:rFonts w:hint="eastAsia" w:ascii="宋体" w:hAnsi="宋体"/>
          <w:color w:val="000000"/>
          <w:szCs w:val="21"/>
        </w:rPr>
        <w:t>由于承包人原因在施工场地内及其毗邻地带造成的发包人、监理人以及第三者人员伤亡和财产损失，由承包人负责赔偿。</w:t>
      </w:r>
    </w:p>
    <w:p>
      <w:pPr>
        <w:rPr>
          <w:rFonts w:ascii="黑体" w:hAnsi="黑体" w:eastAsia="黑体"/>
          <w:color w:val="000000"/>
        </w:rPr>
      </w:pPr>
      <w:r>
        <w:rPr>
          <w:rFonts w:ascii="黑体" w:hAnsi="黑体" w:eastAsia="黑体"/>
          <w:color w:val="000000"/>
        </w:rPr>
        <w:t>6</w:t>
      </w:r>
      <w:bookmarkStart w:id="450" w:name="_Toc337558765"/>
      <w:r>
        <w:rPr>
          <w:rFonts w:ascii="黑体" w:hAnsi="黑体" w:eastAsia="黑体"/>
          <w:color w:val="000000"/>
        </w:rPr>
        <w:t xml:space="preserve">.2 </w:t>
      </w:r>
      <w:r>
        <w:rPr>
          <w:rFonts w:hint="eastAsia" w:ascii="黑体" w:hAnsi="黑体" w:eastAsia="黑体"/>
          <w:color w:val="000000"/>
        </w:rPr>
        <w:t>职业健康</w:t>
      </w:r>
    </w:p>
    <w:bookmarkEnd w:id="450"/>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6.2.1 </w:t>
      </w:r>
      <w:r>
        <w:rPr>
          <w:rFonts w:hint="eastAsia" w:ascii="宋体" w:hAnsi="宋体"/>
          <w:color w:val="000000"/>
          <w:kern w:val="0"/>
          <w:szCs w:val="21"/>
        </w:rPr>
        <w:t>劳动保护</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承包人应按照法律规定保障现场施工人员的劳动安全，并提供劳动保护</w:t>
      </w:r>
      <w:r>
        <w:rPr>
          <w:rFonts w:hint="eastAsia" w:ascii="宋体" w:hAnsi="宋体"/>
          <w:color w:val="000000"/>
          <w:kern w:val="0"/>
          <w:szCs w:val="21"/>
          <w:lang w:eastAsia="zh-CN"/>
        </w:rPr>
        <w:t>，</w:t>
      </w:r>
      <w:r>
        <w:rPr>
          <w:rFonts w:hint="eastAsia" w:ascii="宋体" w:hAnsi="宋体"/>
          <w:color w:val="000000"/>
          <w:kern w:val="0"/>
          <w:szCs w:val="21"/>
        </w:rPr>
        <w:t>并应按国家有关劳动保护的规定，采取有效的防止粉尘、降低噪声、控制有害气体和保障高温、高寒、高空作业安全等劳动保护措施。承包人雇佣人员在施工中受到伤害的，承包人应立即采取有效措施进行抢救和治疗。</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承包人应按法律规定安排工作时间，保证其雇佣人员享有休息和休假的权利。因工程施工的特殊需要占用休假日或延长工作时间的，应不超过法律规定的限度，并按法律规定给予补休或付酬。</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6.2.2 </w:t>
      </w:r>
      <w:r>
        <w:rPr>
          <w:rFonts w:hint="eastAsia" w:ascii="宋体" w:hAnsi="宋体"/>
          <w:color w:val="000000"/>
          <w:kern w:val="0"/>
          <w:szCs w:val="21"/>
        </w:rPr>
        <w:t>生活条件</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承包人应为其履行合同所雇用的人员提供必要的膳宿条件和生活环境；承包人应采取有效措施预防传染病，保证施工人员的健康，并定期对施工现场、施工人员生活基地和工程进行防疫和卫生的专业检查和处理</w:t>
      </w:r>
      <w:r>
        <w:rPr>
          <w:rFonts w:hint="eastAsia" w:ascii="宋体" w:hAnsi="宋体"/>
          <w:color w:val="000000"/>
          <w:kern w:val="0"/>
          <w:szCs w:val="21"/>
          <w:lang w:eastAsia="zh-CN"/>
        </w:rPr>
        <w:t>，</w:t>
      </w:r>
      <w:r>
        <w:rPr>
          <w:rFonts w:ascii="宋体" w:hAnsi="宋体"/>
          <w:color w:val="000000"/>
          <w:kern w:val="0"/>
          <w:szCs w:val="21"/>
        </w:rPr>
        <w:t xml:space="preserve"> </w:t>
      </w:r>
      <w:r>
        <w:rPr>
          <w:rFonts w:hint="eastAsia" w:ascii="宋体" w:hAnsi="宋体"/>
          <w:color w:val="000000"/>
          <w:kern w:val="0"/>
          <w:szCs w:val="21"/>
        </w:rPr>
        <w:t>在远离城镇的施工场地，还应配备必要的伤病防治和急救的医务人员与医疗设施。</w:t>
      </w:r>
    </w:p>
    <w:p>
      <w:pPr>
        <w:rPr>
          <w:rFonts w:ascii="黑体" w:hAnsi="黑体" w:eastAsia="黑体"/>
          <w:color w:val="000000"/>
        </w:rPr>
      </w:pPr>
      <w:r>
        <w:rPr>
          <w:rFonts w:ascii="黑体" w:hAnsi="黑体" w:eastAsia="黑体"/>
          <w:color w:val="000000"/>
        </w:rPr>
        <w:t>6</w:t>
      </w:r>
      <w:bookmarkStart w:id="451" w:name="_Toc337558766"/>
      <w:r>
        <w:rPr>
          <w:rFonts w:ascii="黑体" w:hAnsi="黑体" w:eastAsia="黑体"/>
          <w:color w:val="000000"/>
        </w:rPr>
        <w:t xml:space="preserve">.3 </w:t>
      </w:r>
      <w:r>
        <w:rPr>
          <w:rFonts w:hint="eastAsia" w:ascii="黑体" w:hAnsi="黑体" w:eastAsia="黑体"/>
          <w:color w:val="000000"/>
        </w:rPr>
        <w:t>环境保护</w:t>
      </w:r>
    </w:p>
    <w:bookmarkEnd w:id="451"/>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承包人应在施工组织设计中列明环境保护的具体措施。在合同履行期间，承包人应采取合理措施保护施工现场环境。对施工作业过程中可能引起的大气、水、噪音以及固体废物污染采取具体可行的防范措施。</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承包人应当承担因其原因引起的环境污染侵权损害赔偿责任，因上述环境污染引起纠纷而导致暂停施工的，由此增加的费用和（或）延误的工期由承包人承担。</w:t>
      </w:r>
    </w:p>
    <w:p>
      <w:pPr>
        <w:pStyle w:val="5"/>
        <w:spacing w:before="120" w:after="120" w:line="360" w:lineRule="auto"/>
        <w:rPr>
          <w:rFonts w:ascii="黑体" w:hAnsi="黑体"/>
          <w:b w:val="0"/>
          <w:color w:val="000000"/>
        </w:rPr>
      </w:pPr>
      <w:bookmarkStart w:id="452" w:name="_Toc114222808"/>
      <w:bookmarkStart w:id="453" w:name="_Toc362623172"/>
      <w:r>
        <w:rPr>
          <w:rFonts w:ascii="黑体" w:hAnsi="黑体"/>
          <w:b w:val="0"/>
          <w:color w:val="000000"/>
        </w:rPr>
        <w:t>7</w:t>
      </w:r>
      <w:bookmarkStart w:id="454" w:name="_Toc337558767"/>
      <w:r>
        <w:rPr>
          <w:rFonts w:ascii="黑体" w:hAnsi="黑体"/>
          <w:b w:val="0"/>
          <w:color w:val="000000"/>
        </w:rPr>
        <w:t xml:space="preserve">. </w:t>
      </w:r>
      <w:r>
        <w:rPr>
          <w:rFonts w:hint="eastAsia" w:ascii="黑体" w:hAnsi="黑体"/>
          <w:b w:val="0"/>
          <w:color w:val="000000"/>
        </w:rPr>
        <w:t>工期和进度</w:t>
      </w:r>
      <w:bookmarkEnd w:id="452"/>
      <w:bookmarkEnd w:id="453"/>
    </w:p>
    <w:bookmarkEnd w:id="454"/>
    <w:p>
      <w:pPr>
        <w:rPr>
          <w:rFonts w:ascii="黑体" w:hAnsi="黑体" w:eastAsia="黑体"/>
          <w:color w:val="000000"/>
        </w:rPr>
      </w:pPr>
      <w:r>
        <w:rPr>
          <w:rFonts w:ascii="黑体" w:hAnsi="黑体" w:eastAsia="黑体"/>
          <w:color w:val="000000"/>
        </w:rPr>
        <w:t>7</w:t>
      </w:r>
      <w:bookmarkStart w:id="455" w:name="_Toc337558768"/>
      <w:bookmarkStart w:id="456" w:name="_Toc296503066"/>
      <w:bookmarkStart w:id="457" w:name="_Toc296346567"/>
      <w:r>
        <w:rPr>
          <w:rFonts w:ascii="黑体" w:hAnsi="黑体" w:eastAsia="黑体"/>
          <w:color w:val="000000"/>
        </w:rPr>
        <w:t>.1</w:t>
      </w:r>
      <w:r>
        <w:rPr>
          <w:rFonts w:hint="eastAsia" w:ascii="黑体" w:hAnsi="黑体" w:eastAsia="黑体"/>
          <w:color w:val="000000"/>
        </w:rPr>
        <w:t>施工组织设计</w:t>
      </w:r>
    </w:p>
    <w:bookmarkEnd w:id="455"/>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szCs w:val="21"/>
        </w:rPr>
        <w:t xml:space="preserve">7.1.1 </w:t>
      </w:r>
      <w:r>
        <w:rPr>
          <w:rFonts w:hint="eastAsia" w:ascii="宋体" w:hAnsi="宋体"/>
          <w:color w:val="000000"/>
          <w:kern w:val="0"/>
          <w:szCs w:val="21"/>
        </w:rPr>
        <w:t>施工组织设计的内容</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施工组织设计应包含以下内容：</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）施工方案；</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）施工现场平面布置图；</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3</w:t>
      </w:r>
      <w:r>
        <w:rPr>
          <w:rFonts w:hint="eastAsia" w:ascii="宋体" w:hAnsi="宋体"/>
          <w:color w:val="000000"/>
          <w:kern w:val="0"/>
          <w:szCs w:val="21"/>
        </w:rPr>
        <w:t>）施工进度计划和保证措施；</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4</w:t>
      </w:r>
      <w:r>
        <w:rPr>
          <w:rFonts w:hint="eastAsia" w:ascii="宋体" w:hAnsi="宋体"/>
          <w:color w:val="000000"/>
          <w:kern w:val="0"/>
          <w:szCs w:val="21"/>
        </w:rPr>
        <w:t>）劳动力及材料供应计划；</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5</w:t>
      </w:r>
      <w:r>
        <w:rPr>
          <w:rFonts w:hint="eastAsia" w:ascii="宋体" w:hAnsi="宋体"/>
          <w:color w:val="000000"/>
          <w:kern w:val="0"/>
          <w:szCs w:val="21"/>
        </w:rPr>
        <w:t>）施工机械设备的选用；</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6</w:t>
      </w:r>
      <w:r>
        <w:rPr>
          <w:rFonts w:hint="eastAsia" w:ascii="宋体" w:hAnsi="宋体"/>
          <w:color w:val="000000"/>
          <w:kern w:val="0"/>
          <w:szCs w:val="21"/>
        </w:rPr>
        <w:t>）质量保证体系及措施；</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7</w:t>
      </w:r>
      <w:r>
        <w:rPr>
          <w:rFonts w:hint="eastAsia" w:ascii="宋体" w:hAnsi="宋体"/>
          <w:color w:val="000000"/>
          <w:kern w:val="0"/>
          <w:szCs w:val="21"/>
        </w:rPr>
        <w:t>）安全生产、文明施工措施；</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8</w:t>
      </w:r>
      <w:r>
        <w:rPr>
          <w:rFonts w:hint="eastAsia" w:ascii="宋体" w:hAnsi="宋体"/>
          <w:color w:val="000000"/>
          <w:kern w:val="0"/>
          <w:szCs w:val="21"/>
        </w:rPr>
        <w:t>）环境保护、成本控制措施；</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9</w:t>
      </w:r>
      <w:r>
        <w:rPr>
          <w:rFonts w:hint="eastAsia" w:ascii="宋体" w:hAnsi="宋体"/>
          <w:color w:val="000000"/>
          <w:kern w:val="0"/>
          <w:szCs w:val="21"/>
        </w:rPr>
        <w:t>）合同当事人约定的其他内容。</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szCs w:val="21"/>
        </w:rPr>
        <w:t xml:space="preserve">7.1.2 </w:t>
      </w:r>
      <w:r>
        <w:rPr>
          <w:rFonts w:hint="eastAsia" w:ascii="宋体" w:hAnsi="宋体"/>
          <w:color w:val="000000"/>
          <w:kern w:val="0"/>
          <w:szCs w:val="21"/>
        </w:rPr>
        <w:t>施工组织设计的提交和修改</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除专用合同条款另有约定外，承包人应在合同签订后</w:t>
      </w:r>
      <w:r>
        <w:rPr>
          <w:rFonts w:ascii="宋体" w:hAnsi="宋体"/>
          <w:color w:val="000000"/>
          <w:kern w:val="0"/>
          <w:szCs w:val="21"/>
        </w:rPr>
        <w:t>14</w:t>
      </w:r>
      <w:r>
        <w:rPr>
          <w:rFonts w:hint="eastAsia" w:ascii="宋体" w:hAnsi="宋体"/>
          <w:color w:val="000000"/>
          <w:kern w:val="0"/>
          <w:szCs w:val="21"/>
        </w:rPr>
        <w:t>天内，但至迟不得晚于第</w:t>
      </w:r>
      <w:r>
        <w:rPr>
          <w:rFonts w:ascii="宋体" w:hAnsi="宋体"/>
          <w:color w:val="000000"/>
          <w:kern w:val="0"/>
          <w:szCs w:val="21"/>
        </w:rPr>
        <w:t>7.3.2</w:t>
      </w:r>
      <w:r>
        <w:rPr>
          <w:rFonts w:hint="eastAsia" w:ascii="宋体" w:hAnsi="宋体"/>
          <w:color w:val="000000"/>
          <w:kern w:val="0"/>
          <w:szCs w:val="21"/>
        </w:rPr>
        <w:t>项〔开工通知〕载明的开工日期前</w:t>
      </w:r>
      <w:r>
        <w:rPr>
          <w:rFonts w:ascii="宋体" w:hAnsi="宋体"/>
          <w:color w:val="000000"/>
          <w:kern w:val="0"/>
          <w:szCs w:val="21"/>
        </w:rPr>
        <w:t>7</w:t>
      </w:r>
      <w:r>
        <w:rPr>
          <w:rFonts w:hint="eastAsia" w:ascii="宋体" w:hAnsi="宋体"/>
          <w:color w:val="000000"/>
          <w:kern w:val="0"/>
          <w:szCs w:val="21"/>
        </w:rPr>
        <w:t>天，向监理人提交详细的施工组织设计，并由监理人报送发包人。除专用合同条款另有约定外，发包人和监理人应在监理人收到施工组织设计后</w:t>
      </w:r>
      <w:r>
        <w:rPr>
          <w:rFonts w:ascii="宋体" w:hAnsi="宋体"/>
          <w:color w:val="000000"/>
          <w:kern w:val="0"/>
          <w:szCs w:val="21"/>
        </w:rPr>
        <w:t>7</w:t>
      </w:r>
      <w:r>
        <w:rPr>
          <w:rFonts w:hint="eastAsia" w:ascii="宋体" w:hAnsi="宋体"/>
          <w:color w:val="000000"/>
          <w:kern w:val="0"/>
          <w:szCs w:val="21"/>
        </w:rPr>
        <w:t>天内确认或提出修改意见。对发包人和监理人提出的合理意见和要求，承包人应自费修改完善。根据工程实际情况需要修改施工组织设计的，承包人应向发包人和监理人提交修改后的施工组织设计。</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施工进度计划的编制和修改按照第</w:t>
      </w:r>
      <w:r>
        <w:rPr>
          <w:rFonts w:ascii="宋体" w:hAnsi="宋体"/>
          <w:color w:val="000000"/>
          <w:kern w:val="0"/>
          <w:szCs w:val="21"/>
        </w:rPr>
        <w:t>7.2</w:t>
      </w:r>
      <w:r>
        <w:rPr>
          <w:rFonts w:hint="eastAsia" w:ascii="宋体" w:hAnsi="宋体"/>
          <w:color w:val="000000"/>
          <w:kern w:val="0"/>
          <w:szCs w:val="21"/>
        </w:rPr>
        <w:t>款〔施工进度计划〕执行。</w:t>
      </w:r>
    </w:p>
    <w:p>
      <w:pPr>
        <w:rPr>
          <w:rFonts w:ascii="黑体" w:hAnsi="黑体" w:eastAsia="黑体"/>
          <w:color w:val="000000"/>
        </w:rPr>
      </w:pPr>
      <w:r>
        <w:rPr>
          <w:rFonts w:ascii="黑体" w:hAnsi="黑体" w:eastAsia="黑体"/>
          <w:color w:val="000000"/>
        </w:rPr>
        <w:t>7</w:t>
      </w:r>
      <w:bookmarkStart w:id="458" w:name="_Toc337558769"/>
      <w:r>
        <w:rPr>
          <w:rFonts w:ascii="黑体" w:hAnsi="黑体" w:eastAsia="黑体"/>
          <w:color w:val="000000"/>
        </w:rPr>
        <w:t xml:space="preserve">.2 </w:t>
      </w:r>
      <w:r>
        <w:rPr>
          <w:rFonts w:hint="eastAsia" w:ascii="黑体" w:hAnsi="黑体" w:eastAsia="黑体"/>
          <w:color w:val="000000"/>
        </w:rPr>
        <w:t>施工进度计划</w:t>
      </w:r>
    </w:p>
    <w:bookmarkEnd w:id="458"/>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7.2.1 </w:t>
      </w:r>
      <w:r>
        <w:rPr>
          <w:rFonts w:hint="eastAsia" w:ascii="宋体" w:hAnsi="宋体"/>
          <w:color w:val="000000"/>
          <w:kern w:val="0"/>
          <w:szCs w:val="21"/>
        </w:rPr>
        <w:t>施工进度计划的编制</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承包人应按照第</w:t>
      </w:r>
      <w:r>
        <w:rPr>
          <w:rFonts w:ascii="宋体" w:hAnsi="宋体"/>
          <w:color w:val="000000"/>
          <w:kern w:val="0"/>
          <w:szCs w:val="21"/>
        </w:rPr>
        <w:t>7.1</w:t>
      </w:r>
      <w:r>
        <w:rPr>
          <w:rFonts w:hint="eastAsia" w:ascii="宋体" w:hAnsi="宋体"/>
          <w:color w:val="000000"/>
          <w:kern w:val="0"/>
          <w:szCs w:val="21"/>
        </w:rPr>
        <w:t>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szCs w:val="21"/>
        </w:rPr>
        <w:t xml:space="preserve">7.2.2 </w:t>
      </w:r>
      <w:r>
        <w:rPr>
          <w:rFonts w:hint="eastAsia" w:ascii="宋体" w:hAnsi="宋体"/>
          <w:color w:val="000000"/>
          <w:szCs w:val="21"/>
        </w:rPr>
        <w:t>施工进度计划的修订</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w:t>
      </w:r>
      <w:r>
        <w:rPr>
          <w:rFonts w:ascii="宋体" w:hAnsi="宋体"/>
          <w:color w:val="000000"/>
          <w:kern w:val="0"/>
          <w:szCs w:val="21"/>
        </w:rPr>
        <w:t>7</w:t>
      </w:r>
      <w:r>
        <w:rPr>
          <w:rFonts w:hint="eastAsia" w:ascii="宋体" w:hAnsi="宋体"/>
          <w:color w:val="000000"/>
          <w:kern w:val="0"/>
          <w:szCs w:val="21"/>
        </w:rPr>
        <w:t>天内完成审核和批准或提出修改意见。发包人和监理人对承包人提交的施工进度计划的确认，不能减轻或免除承包人根据法律规定和合同约定应承担的任何责任或义务。</w:t>
      </w:r>
    </w:p>
    <w:p>
      <w:pPr>
        <w:rPr>
          <w:rFonts w:ascii="黑体" w:hAnsi="黑体" w:eastAsia="黑体"/>
          <w:color w:val="000000"/>
        </w:rPr>
      </w:pPr>
      <w:r>
        <w:rPr>
          <w:rFonts w:ascii="黑体" w:hAnsi="黑体" w:eastAsia="黑体"/>
          <w:color w:val="000000"/>
        </w:rPr>
        <w:t>7</w:t>
      </w:r>
      <w:bookmarkStart w:id="459" w:name="_Toc337558770"/>
      <w:r>
        <w:rPr>
          <w:rFonts w:ascii="黑体" w:hAnsi="黑体" w:eastAsia="黑体"/>
          <w:color w:val="000000"/>
        </w:rPr>
        <w:t xml:space="preserve">.3 </w:t>
      </w:r>
      <w:r>
        <w:rPr>
          <w:rFonts w:hint="eastAsia" w:ascii="黑体" w:hAnsi="黑体" w:eastAsia="黑体"/>
          <w:color w:val="000000"/>
        </w:rPr>
        <w:t>开工</w:t>
      </w:r>
    </w:p>
    <w:p>
      <w:pPr>
        <w:spacing w:line="360" w:lineRule="auto"/>
        <w:ind w:firstLine="420" w:firstLineChars="200"/>
        <w:rPr>
          <w:rFonts w:ascii="宋体" w:hAnsi="宋体"/>
          <w:color w:val="000000"/>
          <w:szCs w:val="21"/>
        </w:rPr>
      </w:pPr>
      <w:r>
        <w:rPr>
          <w:rFonts w:ascii="宋体" w:hAnsi="宋体"/>
          <w:color w:val="000000"/>
          <w:kern w:val="0"/>
          <w:szCs w:val="21"/>
        </w:rPr>
        <w:t xml:space="preserve">7.3.1 </w:t>
      </w:r>
      <w:r>
        <w:rPr>
          <w:rFonts w:hint="eastAsia" w:ascii="宋体" w:hAnsi="宋体"/>
          <w:color w:val="000000"/>
          <w:kern w:val="0"/>
          <w:szCs w:val="21"/>
        </w:rPr>
        <w:t>开工准备</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除专用合同条款另有约定外，承包人应按照第</w:t>
      </w:r>
      <w:r>
        <w:rPr>
          <w:rFonts w:ascii="宋体" w:hAnsi="宋体"/>
          <w:color w:val="000000"/>
          <w:kern w:val="0"/>
          <w:szCs w:val="21"/>
        </w:rPr>
        <w:t>7.1</w:t>
      </w:r>
      <w:r>
        <w:rPr>
          <w:rFonts w:hint="eastAsia" w:ascii="宋体" w:hAnsi="宋体"/>
          <w:color w:val="000000"/>
          <w:kern w:val="0"/>
          <w:szCs w:val="21"/>
        </w:rPr>
        <w:t>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除专用合同条款另有约定外，合同当事人应按约定完成开工准备工作。</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7.3.2 </w:t>
      </w:r>
      <w:r>
        <w:rPr>
          <w:rFonts w:hint="eastAsia" w:ascii="宋体" w:hAnsi="宋体"/>
          <w:color w:val="000000"/>
          <w:kern w:val="0"/>
          <w:szCs w:val="21"/>
        </w:rPr>
        <w:t>开工通知</w:t>
      </w:r>
    </w:p>
    <w:bookmarkEnd w:id="459"/>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发包人应按照法律规定获得工程施工所需的许可。经发包人同意后，监理人发出的开工通知应符合法律规定。监理人应在计划开工日期</w:t>
      </w:r>
      <w:r>
        <w:rPr>
          <w:rFonts w:ascii="宋体" w:hAnsi="宋体"/>
          <w:color w:val="000000"/>
          <w:kern w:val="0"/>
          <w:szCs w:val="21"/>
        </w:rPr>
        <w:t>7</w:t>
      </w:r>
      <w:r>
        <w:rPr>
          <w:rFonts w:hint="eastAsia" w:ascii="宋体" w:hAnsi="宋体"/>
          <w:color w:val="000000"/>
          <w:kern w:val="0"/>
          <w:szCs w:val="21"/>
        </w:rPr>
        <w:t>天前向承包人发出开工通知，工期自开工通知中载明的开工日期起算。</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除专用合同条款另有约定外，因发包人原因造成监理人未能在计划开工日期之日起</w:t>
      </w:r>
      <w:r>
        <w:rPr>
          <w:rFonts w:ascii="宋体" w:hAnsi="宋体"/>
          <w:color w:val="000000"/>
          <w:kern w:val="0"/>
          <w:szCs w:val="21"/>
        </w:rPr>
        <w:t>90</w:t>
      </w:r>
      <w:r>
        <w:rPr>
          <w:rFonts w:hint="eastAsia" w:ascii="宋体" w:hAnsi="宋体"/>
          <w:color w:val="000000"/>
          <w:kern w:val="0"/>
          <w:szCs w:val="21"/>
        </w:rPr>
        <w:t>天内发出开工通知的，承包人有权提出价格调整要求，或者解除合同。发包人应当承担由此增加的费用和（或）延误的工期，并向承包人支付合理利润。</w:t>
      </w:r>
    </w:p>
    <w:p>
      <w:pPr>
        <w:rPr>
          <w:rFonts w:ascii="黑体" w:hAnsi="黑体" w:eastAsia="黑体"/>
          <w:color w:val="000000"/>
        </w:rPr>
      </w:pPr>
      <w:r>
        <w:rPr>
          <w:rFonts w:ascii="黑体" w:hAnsi="黑体" w:eastAsia="黑体"/>
          <w:color w:val="000000"/>
        </w:rPr>
        <w:t>7.4</w:t>
      </w:r>
      <w:r>
        <w:rPr>
          <w:rFonts w:hint="eastAsia" w:ascii="黑体" w:hAnsi="黑体" w:eastAsia="黑体"/>
          <w:color w:val="000000"/>
        </w:rPr>
        <w:t>测量放线</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7.4.1 </w:t>
      </w:r>
      <w:r>
        <w:rPr>
          <w:rFonts w:hint="eastAsia" w:ascii="宋体" w:hAnsi="宋体"/>
          <w:color w:val="000000"/>
          <w:kern w:val="0"/>
          <w:szCs w:val="21"/>
        </w:rPr>
        <w:t>除专用合同条款另有约定外，发包人应在至迟不得晚于第</w:t>
      </w:r>
      <w:r>
        <w:rPr>
          <w:rFonts w:ascii="宋体" w:hAnsi="宋体"/>
          <w:color w:val="000000"/>
          <w:kern w:val="0"/>
          <w:szCs w:val="21"/>
        </w:rPr>
        <w:t>7.3.2</w:t>
      </w:r>
      <w:r>
        <w:rPr>
          <w:rFonts w:hint="eastAsia" w:ascii="宋体" w:hAnsi="宋体"/>
          <w:color w:val="000000"/>
          <w:kern w:val="0"/>
          <w:szCs w:val="21"/>
        </w:rPr>
        <w:t>项〔开工通知〕载明的开工日期前</w:t>
      </w:r>
      <w:r>
        <w:rPr>
          <w:rFonts w:ascii="宋体" w:hAnsi="宋体"/>
          <w:color w:val="000000"/>
          <w:kern w:val="0"/>
          <w:szCs w:val="21"/>
        </w:rPr>
        <w:t>7</w:t>
      </w:r>
      <w:r>
        <w:rPr>
          <w:rFonts w:hint="eastAsia" w:ascii="宋体" w:hAnsi="宋体"/>
          <w:color w:val="000000"/>
          <w:kern w:val="0"/>
          <w:szCs w:val="21"/>
        </w:rPr>
        <w:t>天通过监理人向承包人提供测量基准点、基准线和水准点及其书面资料。发包人应对其提供的测量基准点、基准线和水准点及其书面资料的真实性、准确性和完整性负责。</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7.4.2 </w:t>
      </w:r>
      <w:r>
        <w:rPr>
          <w:rFonts w:hint="eastAsia" w:ascii="宋体" w:hAnsi="宋体"/>
          <w:color w:val="000000"/>
          <w:kern w:val="0"/>
          <w:szCs w:val="21"/>
        </w:rPr>
        <w:t>承包人负责施工过程中的全部施工测量放线工作，并配置具有相应资质的人员、合格的仪器、设备和其他物品。承包人应矫正工程的位置、标高、尺寸或准线中出现的任何差错，并对工程各部分的定位负责。</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施工过程中对施工现场内水准点等测量标志物的保护工作由承包人负责。</w:t>
      </w:r>
    </w:p>
    <w:p>
      <w:pPr>
        <w:rPr>
          <w:rFonts w:ascii="黑体" w:hAnsi="黑体" w:eastAsia="黑体"/>
          <w:color w:val="000000"/>
        </w:rPr>
      </w:pPr>
      <w:r>
        <w:rPr>
          <w:rFonts w:ascii="黑体" w:hAnsi="黑体" w:eastAsia="黑体"/>
          <w:color w:val="000000"/>
        </w:rPr>
        <w:t>7</w:t>
      </w:r>
      <w:bookmarkEnd w:id="456"/>
      <w:bookmarkEnd w:id="457"/>
      <w:bookmarkStart w:id="460" w:name="_Toc296503073"/>
      <w:bookmarkStart w:id="461" w:name="_Toc296346574"/>
      <w:bookmarkStart w:id="462" w:name="_Toc337558772"/>
      <w:r>
        <w:rPr>
          <w:rFonts w:ascii="黑体" w:hAnsi="黑体" w:eastAsia="黑体"/>
          <w:color w:val="000000"/>
        </w:rPr>
        <w:t xml:space="preserve">.5 </w:t>
      </w:r>
      <w:r>
        <w:rPr>
          <w:rFonts w:hint="eastAsia" w:ascii="黑体" w:hAnsi="黑体" w:eastAsia="黑体"/>
          <w:color w:val="000000"/>
        </w:rPr>
        <w:t>工期延误</w:t>
      </w:r>
    </w:p>
    <w:bookmarkEnd w:id="460"/>
    <w:bookmarkEnd w:id="461"/>
    <w:bookmarkEnd w:id="462"/>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7.5.1 </w:t>
      </w:r>
      <w:r>
        <w:rPr>
          <w:rFonts w:hint="eastAsia" w:ascii="宋体" w:hAnsi="宋体"/>
          <w:color w:val="000000"/>
          <w:kern w:val="0"/>
          <w:szCs w:val="21"/>
        </w:rPr>
        <w:t>因发包人原因导致工期延误</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在合同履行过程中，因下列情况导致工期延误和（或）费用增加的，由发包人承担由此延误的工期和（或）增加的费用，且发包人应支付承包人合理的利润：</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）发包人未能按合同约定提供图纸或所提供图纸不符合合同约定的；</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）发包人未能按合同约定提供施工现场、施工条件、基础资料、许可、批准等开工条件的；</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3</w:t>
      </w:r>
      <w:r>
        <w:rPr>
          <w:rFonts w:hint="eastAsia" w:ascii="宋体" w:hAnsi="宋体"/>
          <w:color w:val="000000"/>
          <w:kern w:val="0"/>
          <w:szCs w:val="21"/>
        </w:rPr>
        <w:t>）发包人提供的测量基准点、基准线和水准点及其书面资料存在错误或疏漏的；</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4</w:t>
      </w:r>
      <w:r>
        <w:rPr>
          <w:rFonts w:hint="eastAsia" w:ascii="宋体" w:hAnsi="宋体"/>
          <w:color w:val="000000"/>
          <w:kern w:val="0"/>
          <w:szCs w:val="21"/>
        </w:rPr>
        <w:t>）发包人未能在计划开工日期之日起</w:t>
      </w:r>
      <w:r>
        <w:rPr>
          <w:rFonts w:ascii="宋体" w:hAnsi="宋体"/>
          <w:color w:val="000000"/>
          <w:kern w:val="0"/>
          <w:szCs w:val="21"/>
        </w:rPr>
        <w:t>7</w:t>
      </w:r>
      <w:r>
        <w:rPr>
          <w:rFonts w:hint="eastAsia" w:ascii="宋体" w:hAnsi="宋体"/>
          <w:color w:val="000000"/>
          <w:kern w:val="0"/>
          <w:szCs w:val="21"/>
        </w:rPr>
        <w:t>天内同意下达开工通知的；</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5</w:t>
      </w:r>
      <w:r>
        <w:rPr>
          <w:rFonts w:hint="eastAsia" w:ascii="宋体" w:hAnsi="宋体"/>
          <w:color w:val="000000"/>
          <w:kern w:val="0"/>
          <w:szCs w:val="21"/>
        </w:rPr>
        <w:t>）发包人未能按合同约定日期支付工程预付款、进度款或竣工结算款的；</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6</w:t>
      </w:r>
      <w:r>
        <w:rPr>
          <w:rFonts w:hint="eastAsia" w:ascii="宋体" w:hAnsi="宋体"/>
          <w:color w:val="000000"/>
          <w:kern w:val="0"/>
          <w:szCs w:val="21"/>
        </w:rPr>
        <w:t>）监理人未按合同约定发出指示、批准等文件的；</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7</w:t>
      </w:r>
      <w:r>
        <w:rPr>
          <w:rFonts w:hint="eastAsia" w:ascii="宋体" w:hAnsi="宋体"/>
          <w:color w:val="000000"/>
          <w:kern w:val="0"/>
          <w:szCs w:val="21"/>
        </w:rPr>
        <w:t>）专用合同条款中约定的其他情形。</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因发包人原因未按计划开工日期开工的，发包人应按实际开工日期顺延竣工日期，确保实际工期不低于合同约定的工期总日历天数。因发包人原因导致工期延误需要修订施工进度计划的，按照第</w:t>
      </w:r>
      <w:r>
        <w:rPr>
          <w:rFonts w:ascii="宋体" w:hAnsi="宋体"/>
          <w:color w:val="000000"/>
          <w:kern w:val="0"/>
          <w:szCs w:val="21"/>
        </w:rPr>
        <w:t>7.2.2</w:t>
      </w:r>
      <w:r>
        <w:rPr>
          <w:rFonts w:hint="eastAsia" w:ascii="宋体" w:hAnsi="宋体"/>
          <w:color w:val="000000"/>
          <w:kern w:val="0"/>
          <w:szCs w:val="21"/>
        </w:rPr>
        <w:t>项〔施工进度计划的修订〕执行。</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kern w:val="0"/>
          <w:szCs w:val="21"/>
        </w:rPr>
        <w:t xml:space="preserve">7.5.2 </w:t>
      </w:r>
      <w:r>
        <w:rPr>
          <w:rFonts w:hint="eastAsia" w:ascii="宋体" w:hAnsi="宋体"/>
          <w:color w:val="000000"/>
          <w:kern w:val="0"/>
          <w:szCs w:val="21"/>
        </w:rPr>
        <w:t>因承包人原因导致工期延误</w:t>
      </w:r>
    </w:p>
    <w:p>
      <w:pPr>
        <w:autoSpaceDE w:val="0"/>
        <w:autoSpaceDN w:val="0"/>
        <w:adjustRightInd w:val="0"/>
        <w:spacing w:line="360" w:lineRule="auto"/>
        <w:ind w:firstLine="420" w:firstLineChars="200"/>
        <w:jc w:val="left"/>
        <w:rPr>
          <w:rFonts w:ascii="宋体" w:hAnsi="宋体"/>
          <w:color w:val="000000"/>
          <w:kern w:val="0"/>
          <w:szCs w:val="21"/>
        </w:rPr>
      </w:pPr>
      <w:bookmarkStart w:id="463" w:name="_Toc296346577"/>
      <w:bookmarkStart w:id="464" w:name="_Toc296503076"/>
      <w:r>
        <w:rPr>
          <w:rFonts w:hint="eastAsia" w:ascii="宋体" w:hAnsi="宋体"/>
          <w:color w:val="000000"/>
          <w:kern w:val="0"/>
          <w:szCs w:val="21"/>
        </w:rPr>
        <w:t>因</w:t>
      </w:r>
      <w:bookmarkEnd w:id="463"/>
      <w:bookmarkEnd w:id="464"/>
      <w:r>
        <w:rPr>
          <w:rFonts w:hint="eastAsia" w:ascii="宋体" w:hAnsi="宋体"/>
          <w:color w:val="000000"/>
          <w:kern w:val="0"/>
          <w:szCs w:val="21"/>
        </w:rPr>
        <w:t>承包人原因造成工期延误的，可以在专用合同条款中约定逾期竣工违约金的计算方法和逾期竣工违约金的上限。承包人支付逾期竣工违约金后，不免除承包人继续完成工程及修补缺陷的义务。</w:t>
      </w:r>
    </w:p>
    <w:p>
      <w:pPr>
        <w:rPr>
          <w:rFonts w:ascii="黑体" w:hAnsi="黑体" w:eastAsia="黑体"/>
          <w:color w:val="000000"/>
        </w:rPr>
      </w:pPr>
      <w:r>
        <w:rPr>
          <w:rFonts w:ascii="黑体" w:hAnsi="黑体" w:eastAsia="黑体"/>
          <w:color w:val="000000"/>
        </w:rPr>
        <w:t>7</w:t>
      </w:r>
      <w:bookmarkStart w:id="465" w:name="_Toc296346575"/>
      <w:bookmarkStart w:id="466" w:name="_Toc296503074"/>
      <w:bookmarkStart w:id="467" w:name="_Toc337558773"/>
      <w:bookmarkStart w:id="468" w:name="_Toc296503077"/>
      <w:bookmarkStart w:id="469" w:name="_Toc296346578"/>
      <w:r>
        <w:rPr>
          <w:rFonts w:ascii="黑体" w:hAnsi="黑体" w:eastAsia="黑体"/>
          <w:color w:val="000000"/>
        </w:rPr>
        <w:t xml:space="preserve">.6 </w:t>
      </w:r>
      <w:r>
        <w:rPr>
          <w:rFonts w:hint="eastAsia" w:ascii="黑体" w:hAnsi="黑体" w:eastAsia="黑体"/>
          <w:color w:val="000000"/>
        </w:rPr>
        <w:t>不利物质条件</w:t>
      </w:r>
    </w:p>
    <w:bookmarkEnd w:id="465"/>
    <w:bookmarkEnd w:id="466"/>
    <w:bookmarkEnd w:id="467"/>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不利物质条件是指有经验的承包人在施工现场遇到的不可预见的自然物质条件、非自然的物质障碍和污染物，包括地表以下物质条件和水文条件以及专用合同条款约定的其他情形，但不包括气候条件。</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w:t>
      </w:r>
      <w:r>
        <w:rPr>
          <w:rFonts w:ascii="宋体" w:hAnsi="宋体"/>
          <w:color w:val="000000"/>
          <w:kern w:val="0"/>
          <w:szCs w:val="21"/>
        </w:rPr>
        <w:t>10</w:t>
      </w:r>
      <w:r>
        <w:rPr>
          <w:rFonts w:hint="eastAsia" w:ascii="宋体" w:hAnsi="宋体"/>
          <w:color w:val="000000"/>
          <w:kern w:val="0"/>
          <w:szCs w:val="21"/>
        </w:rPr>
        <w:t>条〔变更〕约定执行。承包人因采取合理措施而增加的费用和（或）延误的工期由发包人承担。</w:t>
      </w:r>
    </w:p>
    <w:p>
      <w:pPr>
        <w:rPr>
          <w:rFonts w:ascii="黑体" w:hAnsi="黑体" w:eastAsia="黑体"/>
          <w:color w:val="000000"/>
        </w:rPr>
      </w:pPr>
      <w:r>
        <w:rPr>
          <w:rFonts w:ascii="黑体" w:hAnsi="黑体" w:eastAsia="黑体"/>
          <w:color w:val="000000"/>
        </w:rPr>
        <w:t>7</w:t>
      </w:r>
      <w:bookmarkStart w:id="470" w:name="_Toc296503075"/>
      <w:bookmarkStart w:id="471" w:name="_Toc296346576"/>
      <w:bookmarkStart w:id="472" w:name="_Toc337558774"/>
      <w:r>
        <w:rPr>
          <w:rFonts w:ascii="黑体" w:hAnsi="黑体" w:eastAsia="黑体"/>
          <w:color w:val="000000"/>
        </w:rPr>
        <w:t xml:space="preserve">.7 </w:t>
      </w:r>
      <w:r>
        <w:rPr>
          <w:rFonts w:hint="eastAsia" w:ascii="黑体" w:hAnsi="黑体" w:eastAsia="黑体"/>
          <w:color w:val="000000"/>
        </w:rPr>
        <w:t>异常恶劣</w:t>
      </w:r>
      <w:r>
        <w:rPr>
          <w:rFonts w:hint="eastAsia" w:ascii="黑体" w:hAnsi="黑体" w:eastAsia="黑体"/>
          <w:color w:val="000000"/>
          <w:lang w:eastAsia="zh-CN"/>
        </w:rPr>
        <w:t>地</w:t>
      </w:r>
      <w:r>
        <w:rPr>
          <w:rFonts w:hint="eastAsia" w:ascii="黑体" w:hAnsi="黑体" w:eastAsia="黑体"/>
          <w:color w:val="000000"/>
        </w:rPr>
        <w:t>气候条件</w:t>
      </w:r>
    </w:p>
    <w:bookmarkEnd w:id="470"/>
    <w:bookmarkEnd w:id="471"/>
    <w:bookmarkEnd w:id="472"/>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承包人应采取克服异常恶劣的气候条件的合理措施继续施工，并及时通知发包人和监理人。监理人经发包人同意后应当及时发出指示，指示构成变更的，按第</w:t>
      </w:r>
      <w:r>
        <w:rPr>
          <w:rFonts w:ascii="宋体" w:hAnsi="宋体"/>
          <w:color w:val="000000"/>
          <w:kern w:val="0"/>
          <w:szCs w:val="21"/>
        </w:rPr>
        <w:t>10</w:t>
      </w:r>
      <w:r>
        <w:rPr>
          <w:rFonts w:hint="eastAsia" w:ascii="宋体" w:hAnsi="宋体"/>
          <w:color w:val="000000"/>
          <w:kern w:val="0"/>
          <w:szCs w:val="21"/>
        </w:rPr>
        <w:t>条〔变更〕约定办理。承包人因采取合理措施而增加的费用和（或）延误的工期由发包人承担。</w:t>
      </w:r>
    </w:p>
    <w:p>
      <w:pPr>
        <w:rPr>
          <w:rFonts w:ascii="黑体" w:hAnsi="黑体" w:eastAsia="黑体"/>
          <w:color w:val="000000"/>
        </w:rPr>
      </w:pPr>
      <w:r>
        <w:rPr>
          <w:rFonts w:ascii="黑体" w:hAnsi="黑体" w:eastAsia="黑体"/>
          <w:color w:val="000000"/>
        </w:rPr>
        <w:t>7</w:t>
      </w:r>
      <w:bookmarkStart w:id="473" w:name="_Toc337558775"/>
      <w:r>
        <w:rPr>
          <w:rFonts w:ascii="黑体" w:hAnsi="黑体" w:eastAsia="黑体"/>
          <w:color w:val="000000"/>
        </w:rPr>
        <w:t xml:space="preserve">.8 </w:t>
      </w:r>
      <w:r>
        <w:rPr>
          <w:rFonts w:hint="eastAsia" w:ascii="黑体" w:hAnsi="黑体" w:eastAsia="黑体"/>
          <w:color w:val="000000"/>
        </w:rPr>
        <w:t>暂停施工</w:t>
      </w:r>
    </w:p>
    <w:bookmarkEnd w:id="468"/>
    <w:bookmarkEnd w:id="469"/>
    <w:bookmarkEnd w:id="473"/>
    <w:p>
      <w:pPr>
        <w:spacing w:line="360" w:lineRule="auto"/>
        <w:ind w:firstLine="420" w:firstLineChars="200"/>
        <w:jc w:val="left"/>
        <w:rPr>
          <w:rFonts w:ascii="宋体" w:hAnsi="宋体"/>
          <w:color w:val="000000"/>
          <w:kern w:val="0"/>
          <w:szCs w:val="21"/>
        </w:rPr>
      </w:pPr>
      <w:r>
        <w:rPr>
          <w:rFonts w:ascii="宋体" w:hAnsi="宋体"/>
          <w:color w:val="000000"/>
          <w:kern w:val="0"/>
          <w:szCs w:val="21"/>
        </w:rPr>
        <w:t>7.8.1</w:t>
      </w:r>
      <w:r>
        <w:rPr>
          <w:rFonts w:hint="eastAsia" w:ascii="宋体" w:hAnsi="宋体"/>
          <w:color w:val="000000"/>
          <w:kern w:val="0"/>
          <w:szCs w:val="21"/>
        </w:rPr>
        <w:t>发包人原因引起的暂停施工</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因发包人原因引起暂停施工的，监理人经发包人同意后，应及时下达暂停施工指示。情况紧急且监理人未及时下达暂停施工指示的，按照第</w:t>
      </w:r>
      <w:r>
        <w:rPr>
          <w:rFonts w:ascii="宋体" w:hAnsi="宋体"/>
          <w:color w:val="000000"/>
          <w:kern w:val="0"/>
          <w:szCs w:val="21"/>
        </w:rPr>
        <w:t>7.8.4</w:t>
      </w:r>
      <w:r>
        <w:rPr>
          <w:rFonts w:hint="eastAsia" w:ascii="宋体" w:hAnsi="宋体"/>
          <w:color w:val="000000"/>
          <w:kern w:val="0"/>
          <w:szCs w:val="21"/>
        </w:rPr>
        <w:t>项〔紧急情况下的暂停施工〕执行。</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因发包人原因引起的暂停施工，发包人应承担由此增加的费用和（或）延误的工期，并支付承包人合理的利润。</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7.8.2 </w:t>
      </w:r>
      <w:r>
        <w:rPr>
          <w:rFonts w:hint="eastAsia" w:ascii="宋体" w:hAnsi="宋体"/>
          <w:color w:val="000000"/>
          <w:kern w:val="0"/>
          <w:szCs w:val="21"/>
        </w:rPr>
        <w:t>承包人原因引起的暂停施工</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因承包人原因引起的暂停施工，承包人应承担由此增加的费用和（或）延误的工期，且承包人在收到监理人复工指示后</w:t>
      </w:r>
      <w:r>
        <w:rPr>
          <w:rFonts w:ascii="宋体" w:hAnsi="宋体"/>
          <w:color w:val="000000"/>
          <w:kern w:val="0"/>
          <w:szCs w:val="21"/>
        </w:rPr>
        <w:t>84</w:t>
      </w:r>
      <w:r>
        <w:rPr>
          <w:rFonts w:hint="eastAsia" w:ascii="宋体" w:hAnsi="宋体"/>
          <w:color w:val="000000"/>
          <w:kern w:val="0"/>
          <w:szCs w:val="21"/>
        </w:rPr>
        <w:t>天内仍未复工的，视为第</w:t>
      </w:r>
      <w:r>
        <w:rPr>
          <w:rFonts w:ascii="宋体" w:hAnsi="宋体"/>
          <w:color w:val="000000"/>
          <w:kern w:val="0"/>
          <w:szCs w:val="21"/>
        </w:rPr>
        <w:t>16.2.1</w:t>
      </w:r>
      <w:r>
        <w:rPr>
          <w:rFonts w:hint="eastAsia" w:ascii="宋体" w:hAnsi="宋体"/>
          <w:color w:val="000000"/>
          <w:kern w:val="0"/>
          <w:szCs w:val="21"/>
        </w:rPr>
        <w:t>项〔承包人违约的情形〕第（</w:t>
      </w:r>
      <w:r>
        <w:rPr>
          <w:rFonts w:ascii="宋体" w:hAnsi="宋体"/>
          <w:color w:val="000000"/>
          <w:kern w:val="0"/>
          <w:szCs w:val="21"/>
        </w:rPr>
        <w:t>7</w:t>
      </w:r>
      <w:r>
        <w:rPr>
          <w:rFonts w:hint="eastAsia" w:ascii="宋体" w:hAnsi="宋体"/>
          <w:color w:val="000000"/>
          <w:kern w:val="0"/>
          <w:szCs w:val="21"/>
        </w:rPr>
        <w:t>）目约定的承包人无法继续履行合同的情形。</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7.8.3 </w:t>
      </w:r>
      <w:r>
        <w:rPr>
          <w:rFonts w:hint="eastAsia" w:ascii="宋体" w:hAnsi="宋体"/>
          <w:color w:val="000000"/>
          <w:kern w:val="0"/>
          <w:szCs w:val="21"/>
        </w:rPr>
        <w:t>指示暂停施工</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监理人认为有必要时，并经发包人批准后，可向承包人作出暂停施工的指示，承包人应按监理人指示暂停施工。</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7.8.4 </w:t>
      </w:r>
      <w:r>
        <w:rPr>
          <w:rFonts w:hint="eastAsia" w:ascii="宋体" w:hAnsi="宋体"/>
          <w:color w:val="000000"/>
          <w:kern w:val="0"/>
          <w:szCs w:val="21"/>
        </w:rPr>
        <w:t>紧急情况下的暂停施工</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因紧急情况需暂停施工，且监理人未及时下达暂停施工指示的，承包人可先暂停施工，并及时通知监理人。监理人应在接到通知后</w:t>
      </w:r>
      <w:r>
        <w:rPr>
          <w:rFonts w:ascii="宋体" w:hAnsi="宋体"/>
          <w:color w:val="000000"/>
          <w:kern w:val="0"/>
          <w:szCs w:val="21"/>
        </w:rPr>
        <w:t>24</w:t>
      </w:r>
      <w:r>
        <w:rPr>
          <w:rFonts w:hint="eastAsia" w:ascii="宋体" w:hAnsi="宋体"/>
          <w:color w:val="000000"/>
          <w:kern w:val="0"/>
          <w:szCs w:val="21"/>
        </w:rPr>
        <w:t>小时内发出指示，逾期未发出指示，视为同意承包人暂停施工。监理人不同意承包人暂停施工的，应说明理由，承包人对监理人的答复有异议，按照第</w:t>
      </w:r>
      <w:r>
        <w:rPr>
          <w:rFonts w:ascii="宋体" w:hAnsi="宋体"/>
          <w:color w:val="000000"/>
          <w:kern w:val="0"/>
          <w:szCs w:val="21"/>
        </w:rPr>
        <w:t>20</w:t>
      </w:r>
      <w:r>
        <w:rPr>
          <w:rFonts w:hint="eastAsia" w:ascii="宋体" w:hAnsi="宋体"/>
          <w:color w:val="000000"/>
          <w:kern w:val="0"/>
          <w:szCs w:val="21"/>
        </w:rPr>
        <w:t>条〔争议解决〕约定处理。</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7.8.5 </w:t>
      </w:r>
      <w:r>
        <w:rPr>
          <w:rFonts w:hint="eastAsia" w:ascii="宋体" w:hAnsi="宋体"/>
          <w:color w:val="000000"/>
          <w:kern w:val="0"/>
          <w:szCs w:val="21"/>
        </w:rPr>
        <w:t>暂停施工后的复工</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承包人无故拖延和拒绝复工的，承包人承担由此增加的费用和（或）延误的工期；因发包人原因无法按时复工的，按照第</w:t>
      </w:r>
      <w:r>
        <w:rPr>
          <w:rFonts w:ascii="宋体" w:hAnsi="宋体"/>
          <w:color w:val="000000"/>
          <w:kern w:val="0"/>
          <w:szCs w:val="21"/>
        </w:rPr>
        <w:t>7.5.1</w:t>
      </w:r>
      <w:r>
        <w:rPr>
          <w:rFonts w:hint="eastAsia" w:ascii="宋体" w:hAnsi="宋体"/>
          <w:color w:val="000000"/>
          <w:kern w:val="0"/>
          <w:szCs w:val="21"/>
        </w:rPr>
        <w:t>项〔因发包人原因导致工期延误〕约定办理。</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7.8.6 </w:t>
      </w:r>
      <w:r>
        <w:rPr>
          <w:rFonts w:hint="eastAsia" w:ascii="宋体" w:hAnsi="宋体"/>
          <w:color w:val="000000"/>
          <w:kern w:val="0"/>
          <w:szCs w:val="21"/>
        </w:rPr>
        <w:t>暂停施工持续</w:t>
      </w:r>
      <w:r>
        <w:rPr>
          <w:rFonts w:ascii="宋体" w:hAnsi="宋体"/>
          <w:color w:val="000000"/>
          <w:kern w:val="0"/>
          <w:szCs w:val="21"/>
        </w:rPr>
        <w:t>56</w:t>
      </w:r>
      <w:r>
        <w:rPr>
          <w:rFonts w:hint="eastAsia" w:ascii="宋体" w:hAnsi="宋体"/>
          <w:color w:val="000000"/>
          <w:kern w:val="0"/>
          <w:szCs w:val="21"/>
        </w:rPr>
        <w:t>天以上</w:t>
      </w:r>
    </w:p>
    <w:p>
      <w:pPr>
        <w:spacing w:line="360" w:lineRule="auto"/>
        <w:ind w:firstLine="409" w:firstLineChars="195"/>
        <w:jc w:val="left"/>
        <w:rPr>
          <w:rFonts w:ascii="宋体" w:hAnsi="宋体"/>
          <w:color w:val="000000"/>
          <w:kern w:val="0"/>
          <w:szCs w:val="21"/>
        </w:rPr>
      </w:pPr>
      <w:r>
        <w:rPr>
          <w:rFonts w:hint="eastAsia" w:ascii="宋体" w:hAnsi="宋体"/>
          <w:color w:val="000000"/>
          <w:kern w:val="0"/>
          <w:szCs w:val="21"/>
        </w:rPr>
        <w:t>监理人发出暂停施工指示后</w:t>
      </w:r>
      <w:r>
        <w:rPr>
          <w:rFonts w:ascii="宋体" w:hAnsi="宋体"/>
          <w:color w:val="000000"/>
          <w:kern w:val="0"/>
          <w:szCs w:val="21"/>
        </w:rPr>
        <w:t>56</w:t>
      </w:r>
      <w:r>
        <w:rPr>
          <w:rFonts w:hint="eastAsia" w:ascii="宋体" w:hAnsi="宋体"/>
          <w:color w:val="000000"/>
          <w:kern w:val="0"/>
          <w:szCs w:val="21"/>
        </w:rPr>
        <w:t>天内未向承包人发出复工通知，除该项停工属于第</w:t>
      </w:r>
      <w:r>
        <w:rPr>
          <w:rFonts w:ascii="宋体" w:hAnsi="宋体"/>
          <w:color w:val="000000"/>
          <w:kern w:val="0"/>
          <w:szCs w:val="21"/>
        </w:rPr>
        <w:t>7.8.2</w:t>
      </w:r>
      <w:r>
        <w:rPr>
          <w:rFonts w:hint="eastAsia" w:ascii="宋体" w:hAnsi="宋体"/>
          <w:color w:val="000000"/>
          <w:kern w:val="0"/>
          <w:szCs w:val="21"/>
        </w:rPr>
        <w:t>项〔承包人原因引起的暂停施工〕及第</w:t>
      </w:r>
      <w:r>
        <w:rPr>
          <w:rFonts w:ascii="宋体" w:hAnsi="宋体"/>
          <w:color w:val="000000"/>
          <w:kern w:val="0"/>
          <w:szCs w:val="21"/>
        </w:rPr>
        <w:t>17</w:t>
      </w:r>
      <w:r>
        <w:rPr>
          <w:rFonts w:hint="eastAsia" w:ascii="宋体" w:hAnsi="宋体"/>
          <w:color w:val="000000"/>
          <w:kern w:val="0"/>
          <w:szCs w:val="21"/>
        </w:rPr>
        <w:t>条〔不可抗力〕约定的情形外，承包人可向发包人提交书面通知，要求发包人在收到书面通知后</w:t>
      </w:r>
      <w:r>
        <w:rPr>
          <w:rFonts w:ascii="宋体" w:hAnsi="宋体"/>
          <w:color w:val="000000"/>
          <w:kern w:val="0"/>
          <w:szCs w:val="21"/>
        </w:rPr>
        <w:t>28</w:t>
      </w:r>
      <w:r>
        <w:rPr>
          <w:rFonts w:hint="eastAsia" w:ascii="宋体" w:hAnsi="宋体"/>
          <w:color w:val="000000"/>
          <w:kern w:val="0"/>
          <w:szCs w:val="21"/>
        </w:rPr>
        <w:t>天内准许已暂停施工的部分或全部工程继续施工。发包人逾期不予批准的，则承包人可以通知发包人，将工程受影响的部分视为按第</w:t>
      </w:r>
      <w:r>
        <w:rPr>
          <w:rFonts w:ascii="宋体" w:hAnsi="宋体"/>
          <w:color w:val="000000"/>
          <w:kern w:val="0"/>
          <w:szCs w:val="21"/>
        </w:rPr>
        <w:t>10.1</w:t>
      </w:r>
      <w:r>
        <w:rPr>
          <w:rFonts w:hint="eastAsia" w:ascii="宋体" w:hAnsi="宋体"/>
          <w:color w:val="000000"/>
          <w:kern w:val="0"/>
          <w:szCs w:val="21"/>
        </w:rPr>
        <w:t>款〔变更的范围〕第（</w:t>
      </w:r>
      <w:r>
        <w:rPr>
          <w:rFonts w:ascii="宋体" w:hAnsi="宋体"/>
          <w:color w:val="000000"/>
          <w:kern w:val="0"/>
          <w:szCs w:val="21"/>
        </w:rPr>
        <w:t>2</w:t>
      </w:r>
      <w:r>
        <w:rPr>
          <w:rFonts w:hint="eastAsia" w:ascii="宋体" w:hAnsi="宋体"/>
          <w:color w:val="000000"/>
          <w:kern w:val="0"/>
          <w:szCs w:val="21"/>
        </w:rPr>
        <w:t>）项的可取消工作。</w:t>
      </w:r>
    </w:p>
    <w:p>
      <w:pPr>
        <w:spacing w:line="360" w:lineRule="auto"/>
        <w:ind w:firstLine="409" w:firstLineChars="195"/>
        <w:jc w:val="left"/>
        <w:rPr>
          <w:rFonts w:ascii="宋体" w:hAnsi="宋体"/>
          <w:color w:val="000000"/>
          <w:kern w:val="0"/>
          <w:szCs w:val="21"/>
        </w:rPr>
      </w:pPr>
      <w:r>
        <w:rPr>
          <w:rFonts w:hint="eastAsia" w:ascii="宋体" w:hAnsi="宋体"/>
          <w:color w:val="000000"/>
          <w:kern w:val="0"/>
          <w:szCs w:val="21"/>
        </w:rPr>
        <w:t>暂停施工持续</w:t>
      </w:r>
      <w:r>
        <w:rPr>
          <w:rFonts w:ascii="宋体" w:hAnsi="宋体"/>
          <w:color w:val="000000"/>
          <w:kern w:val="0"/>
          <w:szCs w:val="21"/>
        </w:rPr>
        <w:t>84</w:t>
      </w:r>
      <w:r>
        <w:rPr>
          <w:rFonts w:hint="eastAsia" w:ascii="宋体" w:hAnsi="宋体"/>
          <w:color w:val="000000"/>
          <w:kern w:val="0"/>
          <w:szCs w:val="21"/>
        </w:rPr>
        <w:t>天以上不复工的，且不属于第</w:t>
      </w:r>
      <w:r>
        <w:rPr>
          <w:rFonts w:ascii="宋体" w:hAnsi="宋体"/>
          <w:color w:val="000000"/>
          <w:kern w:val="0"/>
          <w:szCs w:val="21"/>
        </w:rPr>
        <w:t>7.8.2</w:t>
      </w:r>
      <w:r>
        <w:rPr>
          <w:rFonts w:hint="eastAsia" w:ascii="宋体" w:hAnsi="宋体"/>
          <w:color w:val="000000"/>
          <w:kern w:val="0"/>
          <w:szCs w:val="21"/>
        </w:rPr>
        <w:t>项〔承包人原因引起的暂停施工〕及第</w:t>
      </w:r>
      <w:r>
        <w:rPr>
          <w:rFonts w:ascii="宋体" w:hAnsi="宋体"/>
          <w:color w:val="000000"/>
          <w:kern w:val="0"/>
          <w:szCs w:val="21"/>
        </w:rPr>
        <w:t>17</w:t>
      </w:r>
      <w:r>
        <w:rPr>
          <w:rFonts w:hint="eastAsia" w:ascii="宋体" w:hAnsi="宋体"/>
          <w:color w:val="000000"/>
          <w:kern w:val="0"/>
          <w:szCs w:val="21"/>
        </w:rPr>
        <w:t>条〔不可抗力〕约定的情形，并影响到整个工程以及合同目的实现的，承包人有权提出价格调整要求，或者解除合同。解除合同的，按照第</w:t>
      </w:r>
      <w:r>
        <w:rPr>
          <w:rFonts w:ascii="宋体" w:hAnsi="宋体"/>
          <w:color w:val="000000"/>
          <w:kern w:val="0"/>
          <w:szCs w:val="21"/>
        </w:rPr>
        <w:t>16.1.3</w:t>
      </w:r>
      <w:r>
        <w:rPr>
          <w:rFonts w:hint="eastAsia" w:ascii="宋体" w:hAnsi="宋体"/>
          <w:color w:val="000000"/>
          <w:kern w:val="0"/>
          <w:szCs w:val="21"/>
        </w:rPr>
        <w:t>项〔因发包人违约解除合同〕执行。</w:t>
      </w:r>
    </w:p>
    <w:p>
      <w:pPr>
        <w:spacing w:line="360" w:lineRule="auto"/>
        <w:ind w:left="16" w:firstLine="409" w:firstLineChars="195"/>
        <w:jc w:val="left"/>
        <w:rPr>
          <w:rFonts w:ascii="宋体" w:hAnsi="宋体"/>
          <w:color w:val="000000"/>
          <w:kern w:val="0"/>
          <w:szCs w:val="21"/>
        </w:rPr>
      </w:pPr>
      <w:r>
        <w:rPr>
          <w:rFonts w:ascii="宋体" w:hAnsi="宋体"/>
          <w:color w:val="000000"/>
          <w:kern w:val="0"/>
          <w:szCs w:val="21"/>
        </w:rPr>
        <w:t xml:space="preserve">7.8.7 </w:t>
      </w:r>
      <w:r>
        <w:rPr>
          <w:rFonts w:hint="eastAsia" w:ascii="宋体" w:hAnsi="宋体"/>
          <w:color w:val="000000"/>
          <w:kern w:val="0"/>
          <w:szCs w:val="21"/>
        </w:rPr>
        <w:t>暂停施工期间的工程照管</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暂停施工期间，承包人应负责妥善照管工程并提供安全保障，由此增加的费用由责任方承担。</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7.8.8 </w:t>
      </w:r>
      <w:r>
        <w:rPr>
          <w:rFonts w:hint="eastAsia" w:ascii="宋体" w:hAnsi="宋体"/>
          <w:color w:val="000000"/>
          <w:kern w:val="0"/>
          <w:szCs w:val="21"/>
        </w:rPr>
        <w:t>暂停施工的措施</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暂停施工期间，发包人和承包人均应采取必要的措施确保工程质量及安全，防止因暂停施工扩大损失。</w:t>
      </w:r>
    </w:p>
    <w:p>
      <w:pPr>
        <w:rPr>
          <w:rFonts w:ascii="黑体" w:hAnsi="黑体" w:eastAsia="黑体"/>
          <w:color w:val="000000"/>
        </w:rPr>
      </w:pPr>
      <w:r>
        <w:rPr>
          <w:rFonts w:ascii="黑体" w:hAnsi="黑体" w:eastAsia="黑体"/>
          <w:color w:val="000000"/>
        </w:rPr>
        <w:t>7.9</w:t>
      </w:r>
      <w:r>
        <w:rPr>
          <w:rFonts w:hint="eastAsia" w:ascii="黑体" w:hAnsi="黑体" w:eastAsia="黑体"/>
          <w:color w:val="000000"/>
        </w:rPr>
        <w:t>提前竣工</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7.9.1 </w:t>
      </w:r>
      <w:r>
        <w:rPr>
          <w:rFonts w:hint="eastAsia" w:ascii="宋体" w:hAnsi="宋体"/>
          <w:color w:val="000000"/>
          <w:kern w:val="0"/>
          <w:szCs w:val="21"/>
        </w:rPr>
        <w:t>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w:t>
      </w:r>
      <w:r>
        <w:rPr>
          <w:rFonts w:ascii="宋体" w:hAnsi="宋体"/>
          <w:color w:val="000000"/>
          <w:kern w:val="0"/>
          <w:szCs w:val="21"/>
        </w:rPr>
        <w:t>7</w:t>
      </w:r>
      <w:r>
        <w:rPr>
          <w:rFonts w:hint="eastAsia" w:ascii="宋体" w:hAnsi="宋体"/>
          <w:color w:val="000000"/>
          <w:kern w:val="0"/>
          <w:szCs w:val="21"/>
        </w:rPr>
        <w:t>天内予以答复。任何情况下，发包人不得压缩合理工期。</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7.9.2 </w:t>
      </w:r>
      <w:r>
        <w:rPr>
          <w:rFonts w:hint="eastAsia" w:ascii="宋体" w:hAnsi="宋体"/>
          <w:color w:val="000000"/>
          <w:kern w:val="0"/>
          <w:szCs w:val="21"/>
        </w:rPr>
        <w:t>发包人要求承包人提前竣工，或承包人提出提前竣工的建议能够给发包人带来效益的，合同当事人可以在专用合同条款中约定提前竣工的奖励。</w:t>
      </w:r>
    </w:p>
    <w:p>
      <w:pPr>
        <w:pStyle w:val="5"/>
        <w:spacing w:before="120" w:after="120" w:line="360" w:lineRule="auto"/>
        <w:rPr>
          <w:rFonts w:ascii="黑体" w:hAnsi="黑体"/>
          <w:b w:val="0"/>
          <w:color w:val="000000"/>
        </w:rPr>
      </w:pPr>
      <w:bookmarkStart w:id="474" w:name="_Toc114222809"/>
      <w:bookmarkStart w:id="475" w:name="_Toc362623173"/>
      <w:r>
        <w:rPr>
          <w:rFonts w:ascii="黑体" w:hAnsi="黑体"/>
          <w:b w:val="0"/>
          <w:color w:val="000000"/>
        </w:rPr>
        <w:t>8</w:t>
      </w:r>
      <w:bookmarkStart w:id="476" w:name="_Toc296346559"/>
      <w:bookmarkStart w:id="477" w:name="_Toc337558776"/>
      <w:bookmarkStart w:id="478" w:name="_Toc296503058"/>
      <w:r>
        <w:rPr>
          <w:rFonts w:ascii="黑体" w:hAnsi="黑体"/>
          <w:b w:val="0"/>
          <w:color w:val="000000"/>
        </w:rPr>
        <w:t xml:space="preserve">. </w:t>
      </w:r>
      <w:r>
        <w:rPr>
          <w:rFonts w:hint="eastAsia" w:ascii="黑体" w:hAnsi="黑体"/>
          <w:b w:val="0"/>
          <w:color w:val="000000"/>
        </w:rPr>
        <w:t>材料与设备</w:t>
      </w:r>
      <w:bookmarkEnd w:id="474"/>
      <w:bookmarkEnd w:id="475"/>
    </w:p>
    <w:bookmarkEnd w:id="476"/>
    <w:bookmarkEnd w:id="477"/>
    <w:bookmarkEnd w:id="478"/>
    <w:p>
      <w:pPr>
        <w:rPr>
          <w:rFonts w:ascii="黑体" w:hAnsi="黑体" w:eastAsia="黑体"/>
          <w:color w:val="000000"/>
        </w:rPr>
      </w:pPr>
      <w:r>
        <w:rPr>
          <w:rFonts w:ascii="黑体" w:hAnsi="黑体" w:eastAsia="黑体"/>
          <w:color w:val="000000"/>
        </w:rPr>
        <w:t>8</w:t>
      </w:r>
      <w:bookmarkStart w:id="479" w:name="_Toc296346560"/>
      <w:bookmarkStart w:id="480" w:name="_Toc337558777"/>
      <w:bookmarkStart w:id="481" w:name="_Toc296503059"/>
      <w:bookmarkStart w:id="482" w:name="_Toc468936960"/>
      <w:r>
        <w:rPr>
          <w:rFonts w:ascii="黑体" w:hAnsi="黑体" w:eastAsia="黑体"/>
          <w:color w:val="000000"/>
        </w:rPr>
        <w:t>.1</w:t>
      </w:r>
      <w:r>
        <w:rPr>
          <w:rFonts w:hint="eastAsia" w:ascii="黑体" w:hAnsi="黑体" w:eastAsia="黑体"/>
          <w:color w:val="000000"/>
        </w:rPr>
        <w:t>发包人供应材料与工程设备</w:t>
      </w:r>
    </w:p>
    <w:bookmarkEnd w:id="479"/>
    <w:bookmarkEnd w:id="480"/>
    <w:bookmarkEnd w:id="481"/>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发包人自行供应材料、工程设备的，应在签订合同时在专用合同条款的附件《发包人供应材料设备一览表》中明确材料、工程设备的品种、规格、型号、数量、单价、质量等级和送达地点。</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承包人应提前</w:t>
      </w:r>
      <w:r>
        <w:rPr>
          <w:rFonts w:ascii="宋体" w:hAnsi="宋体"/>
          <w:color w:val="000000"/>
          <w:kern w:val="0"/>
          <w:szCs w:val="21"/>
        </w:rPr>
        <w:t>30</w:t>
      </w:r>
      <w:r>
        <w:rPr>
          <w:rFonts w:hint="eastAsia" w:ascii="宋体" w:hAnsi="宋体"/>
          <w:color w:val="000000"/>
          <w:kern w:val="0"/>
          <w:szCs w:val="21"/>
        </w:rPr>
        <w:t>天通过监理人以书面形式通知发包人供应材料与工程设备进场。承包人按照第</w:t>
      </w:r>
      <w:r>
        <w:rPr>
          <w:rFonts w:ascii="宋体" w:hAnsi="宋体"/>
          <w:color w:val="000000"/>
          <w:kern w:val="0"/>
          <w:szCs w:val="21"/>
        </w:rPr>
        <w:t>7.2.2</w:t>
      </w:r>
      <w:r>
        <w:rPr>
          <w:rFonts w:hint="eastAsia" w:ascii="宋体" w:hAnsi="宋体"/>
          <w:color w:val="000000"/>
          <w:kern w:val="0"/>
          <w:szCs w:val="21"/>
        </w:rPr>
        <w:t>项〔施工进度计划的修订〕约定修订施工进度计划时，需同时提交经修订后的发包人供应材料与工程设备的进场计划。</w:t>
      </w:r>
    </w:p>
    <w:p>
      <w:pPr>
        <w:rPr>
          <w:rFonts w:ascii="黑体" w:hAnsi="黑体" w:eastAsia="黑体"/>
          <w:color w:val="000000"/>
        </w:rPr>
      </w:pPr>
      <w:r>
        <w:rPr>
          <w:rFonts w:ascii="黑体" w:hAnsi="黑体" w:eastAsia="黑体"/>
          <w:color w:val="000000"/>
        </w:rPr>
        <w:t>8</w:t>
      </w:r>
      <w:bookmarkStart w:id="483" w:name="_Toc296503060"/>
      <w:bookmarkStart w:id="484" w:name="_Toc337558778"/>
      <w:bookmarkStart w:id="485" w:name="_Toc296346561"/>
      <w:r>
        <w:rPr>
          <w:rFonts w:ascii="黑体" w:hAnsi="黑体" w:eastAsia="黑体"/>
          <w:color w:val="000000"/>
        </w:rPr>
        <w:t>.2</w:t>
      </w:r>
      <w:r>
        <w:rPr>
          <w:rFonts w:hint="eastAsia" w:ascii="黑体" w:hAnsi="黑体" w:eastAsia="黑体"/>
          <w:color w:val="000000"/>
        </w:rPr>
        <w:t>承包人采购材料与工程设备</w:t>
      </w:r>
    </w:p>
    <w:bookmarkEnd w:id="483"/>
    <w:bookmarkEnd w:id="484"/>
    <w:bookmarkEnd w:id="485"/>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pPr>
        <w:rPr>
          <w:rFonts w:ascii="黑体" w:hAnsi="黑体" w:eastAsia="黑体"/>
          <w:color w:val="000000"/>
        </w:rPr>
      </w:pPr>
      <w:r>
        <w:rPr>
          <w:rFonts w:ascii="黑体" w:hAnsi="黑体" w:eastAsia="黑体"/>
          <w:color w:val="000000"/>
        </w:rPr>
        <w:t>8</w:t>
      </w:r>
      <w:bookmarkStart w:id="486" w:name="_Toc296503061"/>
      <w:bookmarkStart w:id="487" w:name="_Toc296346562"/>
      <w:bookmarkStart w:id="488" w:name="_Toc337558779"/>
      <w:r>
        <w:rPr>
          <w:rFonts w:ascii="黑体" w:hAnsi="黑体" w:eastAsia="黑体"/>
          <w:color w:val="000000"/>
        </w:rPr>
        <w:t>.3</w:t>
      </w:r>
      <w:r>
        <w:rPr>
          <w:rFonts w:hint="eastAsia" w:ascii="黑体" w:hAnsi="黑体" w:eastAsia="黑体"/>
          <w:color w:val="000000"/>
        </w:rPr>
        <w:t>材料与工程设备的接收与拒收</w:t>
      </w:r>
    </w:p>
    <w:bookmarkEnd w:id="486"/>
    <w:bookmarkEnd w:id="487"/>
    <w:bookmarkEnd w:id="488"/>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8.3.1 </w:t>
      </w:r>
      <w:r>
        <w:rPr>
          <w:rFonts w:hint="eastAsia" w:ascii="宋体" w:hAnsi="宋体"/>
          <w:color w:val="000000"/>
          <w:kern w:val="0"/>
          <w:szCs w:val="21"/>
        </w:rPr>
        <w:t>发包人应按《发包人供应材料设备一览表》约定的内容提供材料和工程设备，并向承包人提供产品合格证明及出厂证明，对其质量负责。发包人应提前</w:t>
      </w:r>
      <w:r>
        <w:rPr>
          <w:rFonts w:ascii="宋体" w:hAnsi="宋体"/>
          <w:color w:val="000000"/>
          <w:kern w:val="0"/>
          <w:szCs w:val="21"/>
        </w:rPr>
        <w:t>24</w:t>
      </w:r>
      <w:r>
        <w:rPr>
          <w:rFonts w:hint="eastAsia" w:ascii="宋体" w:hAnsi="宋体"/>
          <w:color w:val="000000"/>
          <w:kern w:val="0"/>
          <w:szCs w:val="21"/>
        </w:rPr>
        <w:t>小时以书面形式通知承包人、监理人材料和工程设备到货时间，承包人负责材料和工程设备的清点、检验和接收。</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发包人提供的材料和工程设备的规格、数量或质量不符合合同约定的，或因发包人原因导致交货日期延误或交货地点变更等情况的，按照第</w:t>
      </w:r>
      <w:r>
        <w:rPr>
          <w:rFonts w:ascii="宋体" w:hAnsi="宋体"/>
          <w:color w:val="000000"/>
          <w:kern w:val="0"/>
          <w:szCs w:val="21"/>
        </w:rPr>
        <w:t>16.1</w:t>
      </w:r>
      <w:r>
        <w:rPr>
          <w:rFonts w:hint="eastAsia" w:ascii="宋体" w:hAnsi="宋体"/>
          <w:color w:val="000000"/>
          <w:kern w:val="0"/>
          <w:szCs w:val="21"/>
        </w:rPr>
        <w:t>款〔发包人违约〕约定办理。</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8.3.2 </w:t>
      </w:r>
      <w:r>
        <w:rPr>
          <w:rFonts w:hint="eastAsia" w:ascii="宋体" w:hAnsi="宋体"/>
          <w:color w:val="000000"/>
          <w:kern w:val="0"/>
          <w:szCs w:val="21"/>
        </w:rPr>
        <w:t>承包人采购的材料和工程设备，应保证产品质量合格，承包人应在材料和工程设备到货前</w:t>
      </w:r>
      <w:r>
        <w:rPr>
          <w:rFonts w:ascii="宋体" w:hAnsi="宋体"/>
          <w:color w:val="000000"/>
          <w:kern w:val="0"/>
          <w:szCs w:val="21"/>
        </w:rPr>
        <w:t>24</w:t>
      </w:r>
      <w:r>
        <w:rPr>
          <w:rFonts w:hint="eastAsia" w:ascii="宋体" w:hAnsi="宋体"/>
          <w:color w:val="000000"/>
          <w:kern w:val="0"/>
          <w:szCs w:val="21"/>
        </w:rPr>
        <w:t>小时通知监理人检验。承</w:t>
      </w:r>
      <w:bookmarkStart w:id="489" w:name="_Toc250655469"/>
      <w:r>
        <w:rPr>
          <w:rFonts w:hint="eastAsia" w:ascii="宋体" w:hAnsi="宋体"/>
          <w:color w:val="000000"/>
          <w:kern w:val="0"/>
          <w:szCs w:val="21"/>
        </w:rPr>
        <w:t>包人进行永久设备、材料的制造和生产的，应符合相关质量标准，并向监理人提交材料的样本以及有关资料，并应在使用该材料或工程设备之前获得监理人同意。</w:t>
      </w:r>
    </w:p>
    <w:bookmarkEnd w:id="489"/>
    <w:p>
      <w:pPr>
        <w:autoSpaceDE w:val="0"/>
        <w:autoSpaceDN w:val="0"/>
        <w:adjustRightInd w:val="0"/>
        <w:spacing w:line="360" w:lineRule="auto"/>
        <w:ind w:firstLine="315" w:firstLineChars="150"/>
        <w:jc w:val="left"/>
        <w:rPr>
          <w:rFonts w:ascii="宋体" w:hAnsi="宋体"/>
          <w:color w:val="000000"/>
          <w:kern w:val="0"/>
          <w:szCs w:val="21"/>
        </w:rPr>
      </w:pPr>
      <w:r>
        <w:rPr>
          <w:rFonts w:hint="eastAsia" w:ascii="宋体" w:hAnsi="宋体"/>
          <w:color w:val="000000"/>
          <w:kern w:val="0"/>
          <w:szCs w:val="21"/>
        </w:rPr>
        <w:t>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pPr>
        <w:rPr>
          <w:rFonts w:ascii="黑体" w:hAnsi="黑体" w:eastAsia="黑体"/>
          <w:color w:val="000000"/>
        </w:rPr>
      </w:pPr>
      <w:r>
        <w:rPr>
          <w:rFonts w:ascii="黑体" w:hAnsi="黑体" w:eastAsia="黑体"/>
          <w:color w:val="000000"/>
        </w:rPr>
        <w:t>8</w:t>
      </w:r>
      <w:bookmarkStart w:id="490" w:name="_Toc296346563"/>
      <w:bookmarkStart w:id="491" w:name="_Toc296503062"/>
      <w:bookmarkStart w:id="492" w:name="_Toc337558780"/>
      <w:r>
        <w:rPr>
          <w:rFonts w:ascii="黑体" w:hAnsi="黑体" w:eastAsia="黑体"/>
          <w:color w:val="000000"/>
        </w:rPr>
        <w:t>.4</w:t>
      </w:r>
      <w:r>
        <w:rPr>
          <w:rFonts w:hint="eastAsia" w:ascii="黑体" w:hAnsi="黑体" w:eastAsia="黑体"/>
          <w:color w:val="000000"/>
        </w:rPr>
        <w:t>材料与工程设备的保管与使用</w:t>
      </w:r>
    </w:p>
    <w:bookmarkEnd w:id="490"/>
    <w:bookmarkEnd w:id="491"/>
    <w:bookmarkEnd w:id="492"/>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8.4.1 </w:t>
      </w:r>
      <w:r>
        <w:rPr>
          <w:rFonts w:hint="eastAsia" w:ascii="宋体" w:hAnsi="宋体"/>
          <w:color w:val="000000"/>
          <w:kern w:val="0"/>
          <w:szCs w:val="21"/>
        </w:rPr>
        <w:t>发包人供应</w:t>
      </w:r>
      <w:r>
        <w:rPr>
          <w:rFonts w:hint="eastAsia" w:ascii="宋体" w:hAnsi="宋体"/>
          <w:color w:val="000000"/>
          <w:szCs w:val="21"/>
        </w:rPr>
        <w:t>材料与</w:t>
      </w:r>
      <w:r>
        <w:rPr>
          <w:rFonts w:hint="eastAsia" w:ascii="宋体" w:hAnsi="宋体"/>
          <w:color w:val="000000"/>
          <w:kern w:val="0"/>
          <w:szCs w:val="21"/>
        </w:rPr>
        <w:t>工程</w:t>
      </w:r>
      <w:r>
        <w:rPr>
          <w:rFonts w:hint="eastAsia" w:ascii="宋体" w:hAnsi="宋体"/>
          <w:color w:val="000000"/>
          <w:szCs w:val="21"/>
        </w:rPr>
        <w:t>设备的保管与使用</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发包人供应的材料和工程设备使用前，由承包人负责检验，检验费用由发包人承担，不合格的不得使用。</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8.4.2 </w:t>
      </w:r>
      <w:r>
        <w:rPr>
          <w:rFonts w:hint="eastAsia" w:ascii="宋体" w:hAnsi="宋体"/>
          <w:color w:val="000000"/>
          <w:kern w:val="0"/>
          <w:szCs w:val="21"/>
        </w:rPr>
        <w:t>承包人采购</w:t>
      </w:r>
      <w:r>
        <w:rPr>
          <w:rFonts w:hint="eastAsia" w:ascii="宋体" w:hAnsi="宋体"/>
          <w:color w:val="000000"/>
          <w:szCs w:val="21"/>
        </w:rPr>
        <w:t>材料与</w:t>
      </w:r>
      <w:r>
        <w:rPr>
          <w:rFonts w:hint="eastAsia" w:ascii="宋体" w:hAnsi="宋体"/>
          <w:color w:val="000000"/>
          <w:kern w:val="0"/>
          <w:szCs w:val="21"/>
        </w:rPr>
        <w:t>工程</w:t>
      </w:r>
      <w:r>
        <w:rPr>
          <w:rFonts w:hint="eastAsia" w:ascii="宋体" w:hAnsi="宋体"/>
          <w:color w:val="000000"/>
          <w:szCs w:val="21"/>
        </w:rPr>
        <w:t>设备的保管与使用</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发包人或监理人发现承包人使用不符合设计或有关标准要求的材料和工程设备时，有权要求承包人进行修复、拆除或重新采购，由此增加的费用和（或）延误的工期，由承包人承担。</w:t>
      </w:r>
    </w:p>
    <w:p>
      <w:pPr>
        <w:rPr>
          <w:rFonts w:ascii="黑体" w:hAnsi="黑体" w:eastAsia="黑体"/>
          <w:color w:val="000000"/>
        </w:rPr>
      </w:pPr>
      <w:r>
        <w:rPr>
          <w:rFonts w:ascii="黑体" w:hAnsi="黑体" w:eastAsia="黑体"/>
          <w:color w:val="000000"/>
        </w:rPr>
        <w:t>8.5</w:t>
      </w:r>
      <w:r>
        <w:rPr>
          <w:rFonts w:hint="eastAsia" w:ascii="黑体" w:hAnsi="黑体" w:eastAsia="黑体"/>
          <w:color w:val="000000"/>
        </w:rPr>
        <w:t>禁止使用不合格的材料和工程设备</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8.5.1 </w:t>
      </w:r>
      <w:r>
        <w:rPr>
          <w:rFonts w:hint="eastAsia" w:ascii="宋体" w:hAnsi="宋体"/>
          <w:color w:val="000000"/>
          <w:kern w:val="0"/>
          <w:szCs w:val="21"/>
        </w:rPr>
        <w:t>监理人有权拒绝承包人提供的不合格材料或工程设备，并要求承包人立即进行更换。监理人应在更换后再次进行检查和检验，由此增加的费用和（或）延误的工期由承包人承担。</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8.5.2 </w:t>
      </w:r>
      <w:r>
        <w:rPr>
          <w:rFonts w:hint="eastAsia" w:ascii="宋体" w:hAnsi="宋体"/>
          <w:color w:val="000000"/>
          <w:kern w:val="0"/>
          <w:szCs w:val="21"/>
        </w:rPr>
        <w:t>监理人发现承包人使用了不合格的材料和工程设备，承包人应按照监理人的指示立即改正，并禁止在工程中继续使用不合格的材料和工程设备。</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8.5.3 </w:t>
      </w:r>
      <w:r>
        <w:rPr>
          <w:rFonts w:hint="eastAsia" w:ascii="宋体" w:hAnsi="宋体"/>
          <w:color w:val="000000"/>
          <w:kern w:val="0"/>
          <w:szCs w:val="21"/>
        </w:rPr>
        <w:t>发包人提供的材料或工程设备不符合合同要求的，承包人有权拒绝，并可要求发包人更换，由此增加的费用和（或）延误的工期由发包人承担，并支付承包人合理的利润。</w:t>
      </w:r>
    </w:p>
    <w:p>
      <w:pPr>
        <w:rPr>
          <w:rFonts w:ascii="黑体" w:hAnsi="黑体" w:eastAsia="黑体"/>
          <w:color w:val="000000"/>
        </w:rPr>
      </w:pPr>
      <w:r>
        <w:rPr>
          <w:rFonts w:ascii="黑体" w:hAnsi="黑体" w:eastAsia="黑体"/>
          <w:color w:val="000000"/>
        </w:rPr>
        <w:t xml:space="preserve">8.6 </w:t>
      </w:r>
      <w:r>
        <w:rPr>
          <w:rFonts w:hint="eastAsia" w:ascii="黑体" w:hAnsi="黑体" w:eastAsia="黑体"/>
          <w:color w:val="000000"/>
        </w:rPr>
        <w:t>样品</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8.6.1</w:t>
      </w:r>
      <w:r>
        <w:rPr>
          <w:rFonts w:ascii="宋体" w:hAnsi="宋体"/>
          <w:color w:val="000000"/>
          <w:kern w:val="0"/>
          <w:szCs w:val="21"/>
        </w:rPr>
        <w:tab/>
      </w:r>
      <w:r>
        <w:rPr>
          <w:rFonts w:hint="eastAsia" w:ascii="宋体" w:hAnsi="宋体"/>
          <w:color w:val="000000"/>
          <w:kern w:val="0"/>
          <w:szCs w:val="21"/>
        </w:rPr>
        <w:t>样品的报送与封存</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需要承包人报送样品的材料或工程设备，样品的种类、名称、规格、数量等要求均应在专用合同条款中约定。样品的报送程序如下：</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）承包人应在计划采购前</w:t>
      </w:r>
      <w:r>
        <w:rPr>
          <w:rFonts w:ascii="宋体" w:hAnsi="宋体"/>
          <w:color w:val="000000"/>
          <w:kern w:val="0"/>
          <w:szCs w:val="21"/>
        </w:rPr>
        <w:t>28</w:t>
      </w:r>
      <w:r>
        <w:rPr>
          <w:rFonts w:hint="eastAsia" w:ascii="宋体" w:hAnsi="宋体"/>
          <w:color w:val="000000"/>
          <w:kern w:val="0"/>
          <w:szCs w:val="21"/>
        </w:rPr>
        <w:t>天向监理人报送样品。承包人报送的样品均应来自供应材料的实际生产地，且提供的样品的规格、数量足以表明材料或工程设备的质量、型号、颜色、表面处理、质地、误差和其他要求的特征。</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）承包人每次报送样品时应随附申报单，申报单应载明报送样品的相关数据和资料，并标明每件样品对应的图纸号，预留监理人批复意见栏。监理人应在收到承包人报送的样品后</w:t>
      </w:r>
      <w:r>
        <w:rPr>
          <w:rFonts w:ascii="宋体" w:hAnsi="宋体"/>
          <w:color w:val="000000"/>
          <w:kern w:val="0"/>
          <w:szCs w:val="21"/>
        </w:rPr>
        <w:t>7</w:t>
      </w:r>
      <w:r>
        <w:rPr>
          <w:rFonts w:hint="eastAsia" w:ascii="宋体" w:hAnsi="宋体"/>
          <w:color w:val="000000"/>
          <w:kern w:val="0"/>
          <w:szCs w:val="21"/>
        </w:rPr>
        <w:t>天向承包人回复经发包人签认的样品审批意见。</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3</w:t>
      </w:r>
      <w:r>
        <w:rPr>
          <w:rFonts w:hint="eastAsia" w:ascii="宋体" w:hAnsi="宋体"/>
          <w:color w:val="000000"/>
          <w:kern w:val="0"/>
          <w:szCs w:val="21"/>
        </w:rPr>
        <w:t>）经发包人和监理人审批确认的样品应按约定的方法封样，封存的样品作为检验工程相关部分的标准之一。承包人在施工过程中不得使用与样品不符的材料或工程设备。</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4</w:t>
      </w:r>
      <w:r>
        <w:rPr>
          <w:rFonts w:hint="eastAsia" w:ascii="宋体" w:hAnsi="宋体"/>
          <w:color w:val="000000"/>
          <w:kern w:val="0"/>
          <w:szCs w:val="21"/>
        </w:rPr>
        <w:t>）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8.6.2 </w:t>
      </w:r>
      <w:r>
        <w:rPr>
          <w:rFonts w:hint="eastAsia" w:ascii="宋体" w:hAnsi="宋体"/>
          <w:color w:val="000000"/>
          <w:kern w:val="0"/>
          <w:szCs w:val="21"/>
        </w:rPr>
        <w:t>样品的保管</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经批准的样品应由监理人负责封存于现场，承包人应在现场为保存样品提供适当和固定的场所并保持适当和良好的存储环境条件。</w:t>
      </w:r>
    </w:p>
    <w:p>
      <w:pPr>
        <w:rPr>
          <w:rFonts w:ascii="黑体" w:hAnsi="黑体" w:eastAsia="黑体"/>
          <w:color w:val="000000"/>
        </w:rPr>
      </w:pPr>
      <w:r>
        <w:rPr>
          <w:rFonts w:ascii="黑体" w:hAnsi="黑体" w:eastAsia="黑体"/>
          <w:color w:val="000000"/>
        </w:rPr>
        <w:t>8.7</w:t>
      </w:r>
      <w:r>
        <w:rPr>
          <w:rFonts w:hint="eastAsia" w:ascii="黑体" w:hAnsi="黑体" w:eastAsia="黑体"/>
          <w:color w:val="000000"/>
        </w:rPr>
        <w:t>材料与工程设备的替代</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8.7.1 </w:t>
      </w:r>
      <w:r>
        <w:rPr>
          <w:rFonts w:hint="eastAsia" w:ascii="宋体" w:hAnsi="宋体"/>
          <w:color w:val="000000"/>
          <w:kern w:val="0"/>
          <w:szCs w:val="21"/>
        </w:rPr>
        <w:t>出现下列情况需要使用替代材料和工程设备的，承包人应按照第</w:t>
      </w:r>
      <w:r>
        <w:rPr>
          <w:rFonts w:ascii="宋体" w:hAnsi="宋体"/>
          <w:color w:val="000000"/>
          <w:kern w:val="0"/>
          <w:szCs w:val="21"/>
        </w:rPr>
        <w:t>8.7.2</w:t>
      </w:r>
      <w:r>
        <w:rPr>
          <w:rFonts w:hint="eastAsia" w:ascii="宋体" w:hAnsi="宋体"/>
          <w:color w:val="000000"/>
          <w:kern w:val="0"/>
          <w:szCs w:val="21"/>
        </w:rPr>
        <w:t>项约定的程序执行：</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）基准日期后生效的法律规定禁止使用的；</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）发包人要求使用替代品的；</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3</w:t>
      </w:r>
      <w:r>
        <w:rPr>
          <w:rFonts w:hint="eastAsia" w:ascii="宋体" w:hAnsi="宋体"/>
          <w:color w:val="000000"/>
          <w:kern w:val="0"/>
          <w:szCs w:val="21"/>
        </w:rPr>
        <w:t>）因其他原因必须使用替代品的。</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8.7.2 </w:t>
      </w:r>
      <w:r>
        <w:rPr>
          <w:rFonts w:hint="eastAsia" w:ascii="宋体" w:hAnsi="宋体"/>
          <w:color w:val="000000"/>
          <w:kern w:val="0"/>
          <w:szCs w:val="21"/>
        </w:rPr>
        <w:t>承包人应在使用替代材料和工程设备</w:t>
      </w:r>
      <w:r>
        <w:rPr>
          <w:rFonts w:ascii="宋体" w:hAnsi="宋体"/>
          <w:color w:val="000000"/>
          <w:kern w:val="0"/>
          <w:szCs w:val="21"/>
        </w:rPr>
        <w:t>28</w:t>
      </w:r>
      <w:r>
        <w:rPr>
          <w:rFonts w:hint="eastAsia" w:ascii="宋体" w:hAnsi="宋体"/>
          <w:color w:val="000000"/>
          <w:kern w:val="0"/>
          <w:szCs w:val="21"/>
        </w:rPr>
        <w:t>天前书面通知监理人，并附下列文件：</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）被替代</w:t>
      </w:r>
      <w:r>
        <w:rPr>
          <w:rFonts w:hint="eastAsia" w:ascii="宋体" w:hAnsi="宋体"/>
          <w:color w:val="000000"/>
          <w:kern w:val="0"/>
          <w:szCs w:val="21"/>
          <w:lang w:eastAsia="zh-CN"/>
        </w:rPr>
        <w:t>地</w:t>
      </w:r>
      <w:r>
        <w:rPr>
          <w:rFonts w:hint="eastAsia" w:ascii="宋体" w:hAnsi="宋体"/>
          <w:color w:val="000000"/>
          <w:kern w:val="0"/>
          <w:szCs w:val="21"/>
        </w:rPr>
        <w:t>材料和工程设备的名称、数量、规格、型号、品牌、性能、价格及其他相关资料；</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）替代品的名称、数量、规格、型号、品牌、性能、价格及其他相关资料；</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3</w:t>
      </w:r>
      <w:r>
        <w:rPr>
          <w:rFonts w:hint="eastAsia" w:ascii="宋体" w:hAnsi="宋体"/>
          <w:color w:val="000000"/>
          <w:kern w:val="0"/>
          <w:szCs w:val="21"/>
        </w:rPr>
        <w:t>）替代品与被替代产品之间的差异以及使用替代品可能对工程产生的影响；</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4</w:t>
      </w:r>
      <w:r>
        <w:rPr>
          <w:rFonts w:hint="eastAsia" w:ascii="宋体" w:hAnsi="宋体"/>
          <w:color w:val="000000"/>
          <w:kern w:val="0"/>
          <w:szCs w:val="21"/>
        </w:rPr>
        <w:t>）替代品与被替代产品的价格差异；</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5</w:t>
      </w:r>
      <w:r>
        <w:rPr>
          <w:rFonts w:hint="eastAsia" w:ascii="宋体" w:hAnsi="宋体"/>
          <w:color w:val="000000"/>
          <w:kern w:val="0"/>
          <w:szCs w:val="21"/>
        </w:rPr>
        <w:t>）使用替代品的理由和原因说明；</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6</w:t>
      </w:r>
      <w:r>
        <w:rPr>
          <w:rFonts w:hint="eastAsia" w:ascii="宋体" w:hAnsi="宋体"/>
          <w:color w:val="000000"/>
          <w:kern w:val="0"/>
          <w:szCs w:val="21"/>
        </w:rPr>
        <w:t>）监理人要求的其他文件。</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监理人应在收到通知后</w:t>
      </w:r>
      <w:r>
        <w:rPr>
          <w:rFonts w:ascii="宋体" w:hAnsi="宋体"/>
          <w:color w:val="000000"/>
          <w:kern w:val="0"/>
          <w:szCs w:val="21"/>
        </w:rPr>
        <w:t>14</w:t>
      </w:r>
      <w:r>
        <w:rPr>
          <w:rFonts w:hint="eastAsia" w:ascii="宋体" w:hAnsi="宋体"/>
          <w:color w:val="000000"/>
          <w:kern w:val="0"/>
          <w:szCs w:val="21"/>
        </w:rPr>
        <w:t>天内向承包人发出经发包人签认的书面指示；监理人逾期发出书面指示的，视为发包人和监理人同意使用替代品。</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8.7.3 </w:t>
      </w:r>
      <w:r>
        <w:rPr>
          <w:rFonts w:hint="eastAsia" w:ascii="宋体" w:hAnsi="宋体"/>
          <w:color w:val="000000"/>
          <w:kern w:val="0"/>
          <w:szCs w:val="21"/>
        </w:rPr>
        <w:t>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w:t>
      </w:r>
      <w:r>
        <w:rPr>
          <w:rFonts w:ascii="宋体" w:hAnsi="宋体"/>
          <w:color w:val="000000"/>
          <w:kern w:val="0"/>
          <w:szCs w:val="21"/>
        </w:rPr>
        <w:t>4.4</w:t>
      </w:r>
      <w:r>
        <w:rPr>
          <w:rFonts w:hint="eastAsia" w:ascii="宋体" w:hAnsi="宋体"/>
          <w:color w:val="000000"/>
          <w:kern w:val="0"/>
          <w:szCs w:val="21"/>
        </w:rPr>
        <w:t>款〔商定或确定〕确定价格。</w:t>
      </w:r>
    </w:p>
    <w:p>
      <w:pPr>
        <w:rPr>
          <w:rFonts w:ascii="黑体" w:hAnsi="黑体" w:eastAsia="黑体"/>
          <w:color w:val="000000"/>
        </w:rPr>
      </w:pPr>
      <w:r>
        <w:rPr>
          <w:rFonts w:ascii="黑体" w:hAnsi="黑体" w:eastAsia="黑体"/>
          <w:color w:val="000000"/>
        </w:rPr>
        <w:t>8.8</w:t>
      </w:r>
      <w:r>
        <w:rPr>
          <w:rFonts w:hint="eastAsia" w:ascii="黑体" w:hAnsi="黑体" w:eastAsia="黑体"/>
          <w:color w:val="000000"/>
        </w:rPr>
        <w:t>施工设备和临时设施</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8.8.1 </w:t>
      </w:r>
      <w:r>
        <w:rPr>
          <w:rFonts w:hint="eastAsia" w:ascii="宋体" w:hAnsi="宋体"/>
          <w:color w:val="000000"/>
          <w:kern w:val="0"/>
          <w:szCs w:val="21"/>
        </w:rPr>
        <w:t>承包人提供的施工设备和临时设施</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承包人应按合同进度计划的要求，及时配置施工设备和修建临时设施。进入施工场地的承包人设备需经监理人核查后才能投入使用。承包人更换合同约定的承包人设备的，应报监理人批准。</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除专用合同条款另有约定外，承包人应自行承担修建临时设施的费用，需要临时占地的，应由发包人办理申请手续并承担相应费用。</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8.8.2</w:t>
      </w:r>
      <w:r>
        <w:rPr>
          <w:rFonts w:hint="eastAsia" w:ascii="宋体" w:hAnsi="宋体"/>
          <w:color w:val="000000"/>
          <w:kern w:val="0"/>
          <w:szCs w:val="21"/>
        </w:rPr>
        <w:t>发包人提供的施工设备和临时设施</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发包人提供的施工设备或临时设施在专用合同条款中约定。</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8.8.3</w:t>
      </w:r>
      <w:r>
        <w:rPr>
          <w:rFonts w:hint="eastAsia" w:ascii="宋体" w:hAnsi="宋体"/>
          <w:color w:val="000000"/>
          <w:kern w:val="0"/>
          <w:szCs w:val="21"/>
        </w:rPr>
        <w:t>要求承包人增加或更换施工设备</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承包人使用的施工设备不能满足合同进度计划和（或）质量要求时，监理人有权要求承包人增加或更换施工设备，承包人应及时增加或更换，由此增加的费用和（或）延误的工期由承包人承担。</w:t>
      </w:r>
    </w:p>
    <w:p>
      <w:pPr>
        <w:rPr>
          <w:rFonts w:ascii="黑体" w:hAnsi="黑体" w:eastAsia="黑体"/>
          <w:color w:val="000000"/>
        </w:rPr>
      </w:pPr>
      <w:r>
        <w:rPr>
          <w:rFonts w:ascii="黑体" w:hAnsi="黑体" w:eastAsia="黑体"/>
          <w:color w:val="000000"/>
        </w:rPr>
        <w:t>8</w:t>
      </w:r>
      <w:bookmarkStart w:id="493" w:name="_Toc296346564"/>
      <w:bookmarkStart w:id="494" w:name="_Toc296503063"/>
      <w:bookmarkStart w:id="495" w:name="_Toc337558781"/>
      <w:r>
        <w:rPr>
          <w:rFonts w:ascii="黑体" w:hAnsi="黑体" w:eastAsia="黑体"/>
          <w:color w:val="000000"/>
        </w:rPr>
        <w:t>.9</w:t>
      </w:r>
      <w:r>
        <w:rPr>
          <w:rFonts w:hint="eastAsia" w:ascii="黑体" w:hAnsi="黑体" w:eastAsia="黑体"/>
          <w:color w:val="000000"/>
        </w:rPr>
        <w:t>材料与设备专用要求</w:t>
      </w:r>
    </w:p>
    <w:bookmarkEnd w:id="493"/>
    <w:bookmarkEnd w:id="494"/>
    <w:bookmarkEnd w:id="495"/>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承包人运入施工现场的材料、工程设备、施工设备以及在施工场地建设的临时设施，包括备品备件、安装工具与资料，必须专用于工程。未经发包人批准，承包人不得运出施工现场或挪作他用；</w:t>
      </w:r>
      <w:bookmarkEnd w:id="482"/>
      <w:r>
        <w:rPr>
          <w:rFonts w:hint="eastAsia" w:ascii="宋体" w:hAnsi="宋体"/>
          <w:color w:val="000000"/>
          <w:kern w:val="0"/>
          <w:szCs w:val="21"/>
        </w:rPr>
        <w:t>经发包人批准，承包人可以根据施工进度计划撤走闲置的施工设备和其他物品。</w:t>
      </w:r>
    </w:p>
    <w:p>
      <w:pPr>
        <w:pStyle w:val="5"/>
        <w:spacing w:before="120" w:after="120" w:line="360" w:lineRule="auto"/>
        <w:rPr>
          <w:rFonts w:ascii="黑体" w:hAnsi="黑体"/>
          <w:b w:val="0"/>
          <w:color w:val="000000"/>
        </w:rPr>
      </w:pPr>
      <w:bookmarkStart w:id="496" w:name="_Toc114222810"/>
      <w:bookmarkStart w:id="497" w:name="_Toc362623174"/>
      <w:r>
        <w:rPr>
          <w:rFonts w:ascii="黑体" w:hAnsi="黑体"/>
          <w:b w:val="0"/>
          <w:color w:val="000000"/>
        </w:rPr>
        <w:t>9</w:t>
      </w:r>
      <w:bookmarkStart w:id="498" w:name="_Toc337558782"/>
      <w:bookmarkStart w:id="499" w:name="_Toc296503083"/>
      <w:bookmarkStart w:id="500" w:name="_Toc296346584"/>
      <w:r>
        <w:rPr>
          <w:rFonts w:ascii="黑体" w:hAnsi="黑体"/>
          <w:b w:val="0"/>
          <w:color w:val="000000"/>
        </w:rPr>
        <w:t xml:space="preserve">. </w:t>
      </w:r>
      <w:r>
        <w:rPr>
          <w:rFonts w:hint="eastAsia" w:ascii="黑体" w:hAnsi="黑体"/>
          <w:b w:val="0"/>
          <w:color w:val="000000"/>
        </w:rPr>
        <w:t>试验与检验</w:t>
      </w:r>
      <w:bookmarkEnd w:id="496"/>
      <w:bookmarkEnd w:id="497"/>
    </w:p>
    <w:bookmarkEnd w:id="498"/>
    <w:p>
      <w:pPr>
        <w:rPr>
          <w:rFonts w:ascii="黑体" w:hAnsi="黑体" w:eastAsia="黑体"/>
          <w:color w:val="000000"/>
        </w:rPr>
      </w:pPr>
      <w:r>
        <w:rPr>
          <w:rFonts w:ascii="黑体" w:hAnsi="黑体" w:eastAsia="黑体"/>
          <w:color w:val="000000"/>
        </w:rPr>
        <w:t>9</w:t>
      </w:r>
      <w:bookmarkStart w:id="501" w:name="_Toc337558783"/>
      <w:r>
        <w:rPr>
          <w:rFonts w:ascii="黑体" w:hAnsi="黑体" w:eastAsia="黑体"/>
          <w:color w:val="000000"/>
        </w:rPr>
        <w:t>.1</w:t>
      </w:r>
      <w:r>
        <w:rPr>
          <w:rFonts w:hint="eastAsia" w:ascii="黑体" w:hAnsi="黑体" w:eastAsia="黑体"/>
          <w:color w:val="000000"/>
        </w:rPr>
        <w:t>试验设备与试验人员</w:t>
      </w:r>
    </w:p>
    <w:bookmarkEnd w:id="501"/>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9.1.1 </w:t>
      </w:r>
      <w:r>
        <w:rPr>
          <w:rFonts w:hint="eastAsia" w:ascii="宋体" w:hAnsi="宋体"/>
          <w:color w:val="000000"/>
          <w:kern w:val="0"/>
          <w:szCs w:val="21"/>
        </w:rPr>
        <w:t>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9.1.2 </w:t>
      </w:r>
      <w:r>
        <w:rPr>
          <w:rFonts w:hint="eastAsia" w:ascii="宋体" w:hAnsi="宋体"/>
          <w:color w:val="000000"/>
          <w:kern w:val="0"/>
          <w:szCs w:val="21"/>
        </w:rPr>
        <w:t>承包人应按专用合同条款的约定提供试验设备、取样装置、试验场所和试验条件，并向监理人提交相应进场计划表。</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承包人配置的试验设备要符合相应试验规程的要求并经过具有资质的检测单位检测，且在正式使用该试验设备前，需要经过监理人与承包人共同校定。</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9.1.3 </w:t>
      </w:r>
      <w:r>
        <w:rPr>
          <w:rFonts w:hint="eastAsia" w:ascii="宋体" w:hAnsi="宋体"/>
          <w:color w:val="000000"/>
          <w:kern w:val="0"/>
          <w:szCs w:val="21"/>
        </w:rPr>
        <w:t>承包人应向监理人提交试验人员的名单及其岗位、资格等证明资料，试验人员必须能够熟练进行相应的检测试验，承包人对试验人员的试验程序和试验结果的正确性负责。</w:t>
      </w:r>
    </w:p>
    <w:p>
      <w:pPr>
        <w:rPr>
          <w:rFonts w:ascii="黑体" w:hAnsi="黑体" w:eastAsia="黑体"/>
          <w:color w:val="000000"/>
        </w:rPr>
      </w:pPr>
      <w:r>
        <w:rPr>
          <w:rFonts w:ascii="黑体" w:hAnsi="黑体" w:eastAsia="黑体"/>
          <w:color w:val="000000"/>
        </w:rPr>
        <w:t>9</w:t>
      </w:r>
      <w:bookmarkStart w:id="502" w:name="_Toc337558784"/>
      <w:r>
        <w:rPr>
          <w:rFonts w:ascii="黑体" w:hAnsi="黑体" w:eastAsia="黑体"/>
          <w:color w:val="000000"/>
        </w:rPr>
        <w:t>.2</w:t>
      </w:r>
      <w:r>
        <w:rPr>
          <w:rFonts w:hint="eastAsia" w:ascii="黑体" w:hAnsi="黑体" w:eastAsia="黑体"/>
          <w:color w:val="000000"/>
        </w:rPr>
        <w:t>取样</w:t>
      </w:r>
    </w:p>
    <w:bookmarkEnd w:id="502"/>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试验属于自检性质的，承包人可以单独取样。试验属于监理人抽检性质的，可由监理人取样，也可由承包人的试验人员在监理人的监督下取样。</w:t>
      </w:r>
    </w:p>
    <w:p>
      <w:pPr>
        <w:rPr>
          <w:rFonts w:ascii="黑体" w:hAnsi="黑体" w:eastAsia="黑体"/>
          <w:color w:val="000000"/>
        </w:rPr>
      </w:pPr>
      <w:r>
        <w:rPr>
          <w:rFonts w:ascii="黑体" w:hAnsi="黑体" w:eastAsia="黑体"/>
          <w:color w:val="000000"/>
        </w:rPr>
        <w:t>9</w:t>
      </w:r>
      <w:bookmarkStart w:id="503" w:name="_Toc337558785"/>
      <w:r>
        <w:rPr>
          <w:rFonts w:ascii="黑体" w:hAnsi="黑体" w:eastAsia="黑体"/>
          <w:color w:val="000000"/>
        </w:rPr>
        <w:t>.3</w:t>
      </w:r>
      <w:r>
        <w:rPr>
          <w:rFonts w:hint="eastAsia" w:ascii="黑体" w:hAnsi="黑体" w:eastAsia="黑体"/>
          <w:color w:val="000000"/>
        </w:rPr>
        <w:t>材料、工程设备和工程的试验和检验</w:t>
      </w:r>
    </w:p>
    <w:bookmarkEnd w:id="503"/>
    <w:p>
      <w:pPr>
        <w:spacing w:line="360" w:lineRule="auto"/>
        <w:ind w:firstLine="420" w:firstLineChars="200"/>
        <w:jc w:val="left"/>
        <w:rPr>
          <w:rFonts w:ascii="宋体" w:hAnsi="宋体"/>
          <w:color w:val="000000"/>
          <w:kern w:val="0"/>
          <w:szCs w:val="21"/>
        </w:rPr>
      </w:pPr>
      <w:r>
        <w:rPr>
          <w:rFonts w:ascii="宋体" w:hAnsi="宋体"/>
          <w:color w:val="000000"/>
          <w:kern w:val="0"/>
          <w:szCs w:val="21"/>
        </w:rPr>
        <w:t>9.3.1</w:t>
      </w:r>
      <w:r>
        <w:rPr>
          <w:rFonts w:hint="eastAsia" w:ascii="宋体" w:hAnsi="宋体"/>
          <w:color w:val="000000"/>
          <w:kern w:val="0"/>
          <w:szCs w:val="21"/>
        </w:rPr>
        <w:t>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9.3.2</w:t>
      </w:r>
      <w:r>
        <w:rPr>
          <w:rFonts w:hint="eastAsia" w:ascii="宋体" w:hAnsi="宋体"/>
          <w:color w:val="000000"/>
          <w:kern w:val="0"/>
          <w:szCs w:val="21"/>
        </w:rPr>
        <w:t>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9.3.3</w:t>
      </w:r>
      <w:r>
        <w:rPr>
          <w:rFonts w:hint="eastAsia" w:ascii="宋体" w:hAnsi="宋体"/>
          <w:color w:val="000000"/>
          <w:kern w:val="0"/>
          <w:szCs w:val="21"/>
        </w:rPr>
        <w:t>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pPr>
        <w:rPr>
          <w:rFonts w:ascii="黑体" w:hAnsi="黑体" w:eastAsia="黑体"/>
          <w:color w:val="000000"/>
        </w:rPr>
      </w:pPr>
      <w:r>
        <w:rPr>
          <w:rFonts w:ascii="黑体" w:hAnsi="黑体" w:eastAsia="黑体"/>
          <w:color w:val="000000"/>
        </w:rPr>
        <w:t>9</w:t>
      </w:r>
      <w:bookmarkStart w:id="504" w:name="_Toc337558786"/>
      <w:r>
        <w:rPr>
          <w:rFonts w:ascii="黑体" w:hAnsi="黑体" w:eastAsia="黑体"/>
          <w:color w:val="000000"/>
        </w:rPr>
        <w:t>.4</w:t>
      </w:r>
      <w:r>
        <w:rPr>
          <w:rFonts w:hint="eastAsia" w:ascii="黑体" w:hAnsi="黑体" w:eastAsia="黑体"/>
          <w:color w:val="000000"/>
        </w:rPr>
        <w:t>现场工艺试验</w:t>
      </w:r>
    </w:p>
    <w:bookmarkEnd w:id="504"/>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承包人应按合同约定或监理人指示进行现场工艺试验。对大型的现场工艺试验，监理人认为必要时，承包人应根据监理人提出的工艺试验要求，编制工艺试验措施计划，报送监理人审查。</w:t>
      </w:r>
    </w:p>
    <w:p>
      <w:pPr>
        <w:pStyle w:val="5"/>
        <w:spacing w:before="120" w:after="120" w:line="360" w:lineRule="auto"/>
        <w:rPr>
          <w:rFonts w:ascii="黑体" w:hAnsi="黑体"/>
          <w:b w:val="0"/>
          <w:color w:val="000000"/>
        </w:rPr>
      </w:pPr>
      <w:bookmarkStart w:id="505" w:name="_Toc362623175"/>
      <w:bookmarkStart w:id="506" w:name="_Toc114222811"/>
      <w:r>
        <w:rPr>
          <w:rFonts w:ascii="黑体" w:hAnsi="黑体"/>
          <w:b w:val="0"/>
          <w:color w:val="000000"/>
        </w:rPr>
        <w:t>1</w:t>
      </w:r>
      <w:bookmarkStart w:id="507" w:name="_Toc337558787"/>
      <w:r>
        <w:rPr>
          <w:rFonts w:ascii="黑体" w:hAnsi="黑体"/>
          <w:b w:val="0"/>
          <w:color w:val="000000"/>
        </w:rPr>
        <w:t xml:space="preserve">0. </w:t>
      </w:r>
      <w:r>
        <w:rPr>
          <w:rFonts w:hint="eastAsia" w:ascii="黑体" w:hAnsi="黑体"/>
          <w:b w:val="0"/>
          <w:color w:val="000000"/>
        </w:rPr>
        <w:t>变更</w:t>
      </w:r>
      <w:bookmarkEnd w:id="499"/>
      <w:bookmarkEnd w:id="500"/>
      <w:bookmarkEnd w:id="505"/>
      <w:bookmarkEnd w:id="506"/>
    </w:p>
    <w:bookmarkEnd w:id="507"/>
    <w:p>
      <w:pPr>
        <w:rPr>
          <w:rFonts w:ascii="黑体" w:hAnsi="黑体" w:eastAsia="黑体"/>
          <w:color w:val="000000"/>
        </w:rPr>
      </w:pPr>
      <w:r>
        <w:rPr>
          <w:rFonts w:ascii="黑体" w:hAnsi="黑体" w:eastAsia="黑体"/>
          <w:color w:val="000000"/>
        </w:rPr>
        <w:t>1</w:t>
      </w:r>
      <w:bookmarkStart w:id="508" w:name="_Toc337558788"/>
      <w:bookmarkStart w:id="509" w:name="_Toc296346585"/>
      <w:bookmarkStart w:id="510" w:name="_Toc296503084"/>
      <w:r>
        <w:rPr>
          <w:rFonts w:ascii="黑体" w:hAnsi="黑体" w:eastAsia="黑体"/>
          <w:color w:val="000000"/>
        </w:rPr>
        <w:t>0.1</w:t>
      </w:r>
      <w:r>
        <w:rPr>
          <w:rFonts w:hint="eastAsia" w:ascii="黑体" w:hAnsi="黑体" w:eastAsia="黑体"/>
          <w:color w:val="000000"/>
        </w:rPr>
        <w:t>变更的范围</w:t>
      </w:r>
    </w:p>
    <w:bookmarkEnd w:id="508"/>
    <w:bookmarkEnd w:id="509"/>
    <w:bookmarkEnd w:id="510"/>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除专用合同条款另有约定外，合同履行过程中发生以下情形的，应按照本条约定进行变更：</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）增加或减少合同中任何工作，或追加额外的工作；</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）取消合同中任何工作，但转由他人实施的工作除外；</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3</w:t>
      </w:r>
      <w:r>
        <w:rPr>
          <w:rFonts w:hint="eastAsia" w:ascii="宋体" w:hAnsi="宋体"/>
          <w:color w:val="000000"/>
          <w:kern w:val="0"/>
          <w:szCs w:val="21"/>
        </w:rPr>
        <w:t>）改变合同中任何工作的质量标准或其他特性；</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4</w:t>
      </w:r>
      <w:r>
        <w:rPr>
          <w:rFonts w:hint="eastAsia" w:ascii="宋体" w:hAnsi="宋体"/>
          <w:color w:val="000000"/>
          <w:kern w:val="0"/>
          <w:szCs w:val="21"/>
        </w:rPr>
        <w:t>）改变工程的基线、标高、位置和尺寸；</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5</w:t>
      </w:r>
      <w:r>
        <w:rPr>
          <w:rFonts w:hint="eastAsia" w:ascii="宋体" w:hAnsi="宋体"/>
          <w:color w:val="000000"/>
          <w:kern w:val="0"/>
          <w:szCs w:val="21"/>
        </w:rPr>
        <w:t>）改变工程的时间安排或实施顺序。</w:t>
      </w:r>
    </w:p>
    <w:p>
      <w:pPr>
        <w:rPr>
          <w:rFonts w:ascii="黑体" w:hAnsi="黑体" w:eastAsia="黑体"/>
          <w:color w:val="000000"/>
        </w:rPr>
      </w:pPr>
      <w:r>
        <w:rPr>
          <w:rFonts w:ascii="黑体" w:hAnsi="黑体" w:eastAsia="黑体"/>
          <w:color w:val="000000"/>
        </w:rPr>
        <w:t>1</w:t>
      </w:r>
      <w:bookmarkStart w:id="511" w:name="_Toc296346586"/>
      <w:bookmarkStart w:id="512" w:name="_Toc337558789"/>
      <w:bookmarkStart w:id="513" w:name="_Toc296503085"/>
      <w:r>
        <w:rPr>
          <w:rFonts w:ascii="黑体" w:hAnsi="黑体" w:eastAsia="黑体"/>
          <w:color w:val="000000"/>
        </w:rPr>
        <w:t>0.2</w:t>
      </w:r>
      <w:r>
        <w:rPr>
          <w:rFonts w:hint="eastAsia" w:ascii="黑体" w:hAnsi="黑体" w:eastAsia="黑体"/>
          <w:color w:val="000000"/>
        </w:rPr>
        <w:t>变更权</w:t>
      </w:r>
    </w:p>
    <w:bookmarkEnd w:id="511"/>
    <w:bookmarkEnd w:id="512"/>
    <w:bookmarkEnd w:id="513"/>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涉及设计变更的，应由设计人提供变更后的图纸和说明。如变更超过原设计标准或批准的建设规模时，发包人应及时办理规划、设计变更等审批手续。</w:t>
      </w:r>
    </w:p>
    <w:p>
      <w:pPr>
        <w:rPr>
          <w:rFonts w:ascii="黑体" w:hAnsi="黑体" w:eastAsia="黑体"/>
          <w:color w:val="000000"/>
        </w:rPr>
      </w:pPr>
      <w:r>
        <w:rPr>
          <w:rFonts w:ascii="黑体" w:hAnsi="黑体" w:eastAsia="黑体"/>
          <w:color w:val="000000"/>
        </w:rPr>
        <w:t>1</w:t>
      </w:r>
      <w:bookmarkStart w:id="514" w:name="_Toc296346587"/>
      <w:bookmarkStart w:id="515" w:name="_Toc296503086"/>
      <w:bookmarkStart w:id="516" w:name="_Toc337558790"/>
      <w:r>
        <w:rPr>
          <w:rFonts w:ascii="黑体" w:hAnsi="黑体" w:eastAsia="黑体"/>
          <w:color w:val="000000"/>
        </w:rPr>
        <w:t>0.3</w:t>
      </w:r>
      <w:r>
        <w:rPr>
          <w:rFonts w:hint="eastAsia" w:ascii="黑体" w:hAnsi="黑体" w:eastAsia="黑体"/>
          <w:color w:val="000000"/>
        </w:rPr>
        <w:t>变更程序</w:t>
      </w:r>
    </w:p>
    <w:bookmarkEnd w:id="514"/>
    <w:bookmarkEnd w:id="515"/>
    <w:bookmarkEnd w:id="516"/>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szCs w:val="21"/>
        </w:rPr>
        <w:t>10</w:t>
      </w:r>
      <w:r>
        <w:rPr>
          <w:rFonts w:ascii="宋体" w:hAnsi="宋体"/>
          <w:color w:val="000000"/>
          <w:kern w:val="0"/>
          <w:szCs w:val="21"/>
        </w:rPr>
        <w:t xml:space="preserve">.3.1 </w:t>
      </w:r>
      <w:r>
        <w:rPr>
          <w:rFonts w:hint="eastAsia" w:ascii="宋体" w:hAnsi="宋体"/>
          <w:color w:val="000000"/>
          <w:kern w:val="0"/>
          <w:szCs w:val="21"/>
        </w:rPr>
        <w:t>发包人提出变更</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发包人提出变更的，应通过监理人向承包人发出变更指示，变更指示应说明计划变更的工程范围和变更的内容。</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szCs w:val="21"/>
        </w:rPr>
        <w:t>10</w:t>
      </w:r>
      <w:r>
        <w:rPr>
          <w:rFonts w:ascii="宋体" w:hAnsi="宋体"/>
          <w:color w:val="000000"/>
          <w:kern w:val="0"/>
          <w:szCs w:val="21"/>
        </w:rPr>
        <w:t xml:space="preserve">.3.2 </w:t>
      </w:r>
      <w:r>
        <w:rPr>
          <w:rFonts w:hint="eastAsia" w:ascii="宋体" w:hAnsi="宋体"/>
          <w:color w:val="000000"/>
          <w:kern w:val="0"/>
          <w:szCs w:val="21"/>
        </w:rPr>
        <w:t>监理人提出变更建议</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szCs w:val="21"/>
        </w:rPr>
        <w:t xml:space="preserve">10.3.3 </w:t>
      </w:r>
      <w:r>
        <w:rPr>
          <w:rFonts w:hint="eastAsia" w:ascii="宋体" w:hAnsi="宋体"/>
          <w:color w:val="000000"/>
          <w:szCs w:val="21"/>
        </w:rPr>
        <w:t>变更执行</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承包人收到监理人下达的变更指示后，认为不能执行，应立即提出不能执行该变更指示的理由。承包人认为可以执行变更的，应当书面说明实施该变更指示对合同价格和工期的影响，且合同当事人应当按照第</w:t>
      </w:r>
      <w:r>
        <w:rPr>
          <w:rFonts w:ascii="宋体" w:hAnsi="宋体"/>
          <w:color w:val="000000"/>
          <w:kern w:val="0"/>
          <w:szCs w:val="21"/>
        </w:rPr>
        <w:t>10.4</w:t>
      </w:r>
      <w:r>
        <w:rPr>
          <w:rFonts w:hint="eastAsia" w:ascii="宋体" w:hAnsi="宋体"/>
          <w:color w:val="000000"/>
          <w:kern w:val="0"/>
          <w:szCs w:val="21"/>
        </w:rPr>
        <w:t>款〔变更估价〕约定确定变更估价。</w:t>
      </w:r>
    </w:p>
    <w:p>
      <w:pPr>
        <w:rPr>
          <w:rFonts w:ascii="黑体" w:hAnsi="黑体" w:eastAsia="黑体"/>
          <w:color w:val="000000"/>
        </w:rPr>
      </w:pPr>
      <w:r>
        <w:rPr>
          <w:rFonts w:ascii="黑体" w:hAnsi="黑体" w:eastAsia="黑体"/>
          <w:color w:val="000000"/>
        </w:rPr>
        <w:t>1</w:t>
      </w:r>
      <w:bookmarkStart w:id="517" w:name="_Toc296346588"/>
      <w:bookmarkStart w:id="518" w:name="_Toc337558791"/>
      <w:bookmarkStart w:id="519" w:name="_Toc296503087"/>
      <w:r>
        <w:rPr>
          <w:rFonts w:ascii="黑体" w:hAnsi="黑体" w:eastAsia="黑体"/>
          <w:color w:val="000000"/>
        </w:rPr>
        <w:t>0.4</w:t>
      </w:r>
      <w:r>
        <w:rPr>
          <w:rFonts w:hint="eastAsia" w:ascii="黑体" w:hAnsi="黑体" w:eastAsia="黑体"/>
          <w:color w:val="000000"/>
        </w:rPr>
        <w:t>变更估价</w:t>
      </w:r>
    </w:p>
    <w:bookmarkEnd w:id="517"/>
    <w:bookmarkEnd w:id="518"/>
    <w:bookmarkEnd w:id="519"/>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10.4.1 </w:t>
      </w:r>
      <w:r>
        <w:rPr>
          <w:rFonts w:hint="eastAsia" w:ascii="宋体" w:hAnsi="宋体"/>
          <w:color w:val="000000"/>
          <w:kern w:val="0"/>
          <w:szCs w:val="21"/>
        </w:rPr>
        <w:t>变更估价原则</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除专用合同条款另有约定外，变更估价按照本款约定处理：</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）已标价工程量清单或预算书有相同项目的，按照相同项目单价认定；</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）已标价工程量清单或预算书中无相同项目，但有类似项目的，参照类似项目的单价认定；</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3</w:t>
      </w:r>
      <w:r>
        <w:rPr>
          <w:rFonts w:hint="eastAsia" w:ascii="宋体" w:hAnsi="宋体"/>
          <w:color w:val="000000"/>
          <w:kern w:val="0"/>
          <w:szCs w:val="21"/>
        </w:rPr>
        <w:t>）变更导致实际完成的变更工程量与已标价工程量清单或预算书中列明的该项目工程量的变化幅度超过</w:t>
      </w:r>
      <w:r>
        <w:rPr>
          <w:rFonts w:ascii="宋体" w:hAnsi="宋体"/>
          <w:color w:val="000000"/>
          <w:kern w:val="0"/>
          <w:szCs w:val="21"/>
        </w:rPr>
        <w:t>15%</w:t>
      </w:r>
      <w:r>
        <w:rPr>
          <w:rFonts w:hint="eastAsia" w:ascii="宋体" w:hAnsi="宋体"/>
          <w:color w:val="000000"/>
          <w:kern w:val="0"/>
          <w:szCs w:val="21"/>
        </w:rPr>
        <w:t>的，或已标价工程量清单或预算书中无相同项目及类似项目单价的，按照合理的成本与利润构成的原则，由合同当事人按照第</w:t>
      </w:r>
      <w:r>
        <w:rPr>
          <w:rFonts w:ascii="宋体" w:hAnsi="宋体"/>
          <w:color w:val="000000"/>
          <w:kern w:val="0"/>
          <w:szCs w:val="21"/>
        </w:rPr>
        <w:t>4.4</w:t>
      </w:r>
      <w:r>
        <w:rPr>
          <w:rFonts w:hint="eastAsia" w:ascii="宋体" w:hAnsi="宋体"/>
          <w:color w:val="000000"/>
          <w:kern w:val="0"/>
          <w:szCs w:val="21"/>
        </w:rPr>
        <w:t>款〔商定或确定〕确定变更工作的单价。</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10.4.2 </w:t>
      </w:r>
      <w:r>
        <w:rPr>
          <w:rFonts w:hint="eastAsia" w:ascii="宋体" w:hAnsi="宋体"/>
          <w:color w:val="000000"/>
          <w:kern w:val="0"/>
          <w:szCs w:val="21"/>
        </w:rPr>
        <w:t>变更估价程序</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承包人应在收到变更指示后</w:t>
      </w:r>
      <w:r>
        <w:rPr>
          <w:rFonts w:ascii="宋体" w:hAnsi="宋体"/>
          <w:color w:val="000000"/>
          <w:kern w:val="0"/>
          <w:szCs w:val="21"/>
        </w:rPr>
        <w:t>14</w:t>
      </w:r>
      <w:r>
        <w:rPr>
          <w:rFonts w:hint="eastAsia" w:ascii="宋体" w:hAnsi="宋体"/>
          <w:color w:val="000000"/>
          <w:kern w:val="0"/>
          <w:szCs w:val="21"/>
        </w:rPr>
        <w:t>天内，向监理人提交变更估价申请。监理人应在收到承包人提交的变更估价申请后</w:t>
      </w:r>
      <w:r>
        <w:rPr>
          <w:rFonts w:ascii="宋体" w:hAnsi="宋体"/>
          <w:color w:val="000000"/>
          <w:kern w:val="0"/>
          <w:szCs w:val="21"/>
        </w:rPr>
        <w:t>7</w:t>
      </w:r>
      <w:r>
        <w:rPr>
          <w:rFonts w:hint="eastAsia" w:ascii="宋体" w:hAnsi="宋体"/>
          <w:color w:val="000000"/>
          <w:kern w:val="0"/>
          <w:szCs w:val="21"/>
        </w:rPr>
        <w:t>天内审查完毕并报送发包人，监理人对变更估价申请有异议，通知承包人修改后重新提交。发包人应在承包人提交变更估价申请后</w:t>
      </w:r>
      <w:r>
        <w:rPr>
          <w:rFonts w:ascii="宋体" w:hAnsi="宋体"/>
          <w:color w:val="000000"/>
          <w:kern w:val="0"/>
          <w:szCs w:val="21"/>
        </w:rPr>
        <w:t>14</w:t>
      </w:r>
      <w:r>
        <w:rPr>
          <w:rFonts w:hint="eastAsia" w:ascii="宋体" w:hAnsi="宋体"/>
          <w:color w:val="000000"/>
          <w:kern w:val="0"/>
          <w:szCs w:val="21"/>
        </w:rPr>
        <w:t>天内审批完毕。发包人逾期未完成审批或未提出异议的，视为认可承包人提交的变更估价申请。</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因变更引起的价格调整应计入最近一期的进度款中支付。</w:t>
      </w:r>
    </w:p>
    <w:p>
      <w:pPr>
        <w:rPr>
          <w:rFonts w:ascii="黑体" w:hAnsi="黑体" w:eastAsia="黑体"/>
          <w:color w:val="000000"/>
        </w:rPr>
      </w:pPr>
      <w:r>
        <w:rPr>
          <w:rFonts w:ascii="黑体" w:hAnsi="黑体" w:eastAsia="黑体"/>
          <w:color w:val="000000"/>
        </w:rPr>
        <w:t>1</w:t>
      </w:r>
      <w:bookmarkStart w:id="520" w:name="_Toc296503094"/>
      <w:bookmarkStart w:id="521" w:name="_Toc296346595"/>
      <w:bookmarkStart w:id="522" w:name="_Toc337558792"/>
      <w:r>
        <w:rPr>
          <w:rFonts w:ascii="黑体" w:hAnsi="黑体" w:eastAsia="黑体"/>
          <w:color w:val="000000"/>
        </w:rPr>
        <w:t>0.5</w:t>
      </w:r>
      <w:r>
        <w:rPr>
          <w:rFonts w:hint="eastAsia" w:ascii="黑体" w:hAnsi="黑体" w:eastAsia="黑体"/>
          <w:color w:val="000000"/>
        </w:rPr>
        <w:t>承包人的合理化建议</w:t>
      </w:r>
    </w:p>
    <w:bookmarkEnd w:id="520"/>
    <w:bookmarkEnd w:id="521"/>
    <w:bookmarkEnd w:id="522"/>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承包人提出合理化建议的，应向监理人提交合理化建议说明，说明建议的内容和理由，以及实施该建议对合同价格和工期的影响。</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除专用合同条款另有约定外，监理人应在收到承包人提交的合理化建议后</w:t>
      </w:r>
      <w:r>
        <w:rPr>
          <w:rFonts w:ascii="宋体" w:hAnsi="宋体"/>
          <w:color w:val="000000"/>
          <w:kern w:val="0"/>
          <w:szCs w:val="21"/>
        </w:rPr>
        <w:t>7</w:t>
      </w:r>
      <w:r>
        <w:rPr>
          <w:rFonts w:hint="eastAsia" w:ascii="宋体" w:hAnsi="宋体"/>
          <w:color w:val="000000"/>
          <w:kern w:val="0"/>
          <w:szCs w:val="21"/>
        </w:rPr>
        <w:t>天内审查完毕并报送发包人，发现其中存在技术上的缺陷，应通知承包人修改。发包人应在收到监理人报送的合理化建议后</w:t>
      </w:r>
      <w:r>
        <w:rPr>
          <w:rFonts w:ascii="宋体" w:hAnsi="宋体"/>
          <w:color w:val="000000"/>
          <w:kern w:val="0"/>
          <w:szCs w:val="21"/>
        </w:rPr>
        <w:t>7</w:t>
      </w:r>
      <w:r>
        <w:rPr>
          <w:rFonts w:hint="eastAsia" w:ascii="宋体" w:hAnsi="宋体"/>
          <w:color w:val="000000"/>
          <w:kern w:val="0"/>
          <w:szCs w:val="21"/>
        </w:rPr>
        <w:t>天内审批完毕。合理化建议经发包人批准的，监理人应及时发出变更指示，由此引起的合同价格调整按照第</w:t>
      </w:r>
      <w:r>
        <w:rPr>
          <w:rFonts w:ascii="宋体" w:hAnsi="宋体"/>
          <w:color w:val="000000"/>
          <w:kern w:val="0"/>
          <w:szCs w:val="21"/>
        </w:rPr>
        <w:t>10.4</w:t>
      </w:r>
      <w:r>
        <w:rPr>
          <w:rFonts w:hint="eastAsia" w:ascii="宋体" w:hAnsi="宋体"/>
          <w:color w:val="000000"/>
          <w:kern w:val="0"/>
          <w:szCs w:val="21"/>
        </w:rPr>
        <w:t>款〔变更估价〕约定执行。发包人不同意变更的，监理人应书面通知承包人。</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合理化建议降低了合同价格或者提高了工程经济效益的，发包人可对承包人给予奖励，奖励的方法和金额在专用合同条款中约定。</w:t>
      </w:r>
    </w:p>
    <w:p>
      <w:pPr>
        <w:rPr>
          <w:rFonts w:ascii="黑体" w:hAnsi="黑体" w:eastAsia="黑体"/>
          <w:color w:val="000000"/>
        </w:rPr>
      </w:pPr>
      <w:r>
        <w:rPr>
          <w:rFonts w:ascii="黑体" w:hAnsi="黑体" w:eastAsia="黑体"/>
          <w:color w:val="000000"/>
        </w:rPr>
        <w:t>1</w:t>
      </w:r>
      <w:bookmarkStart w:id="523" w:name="_Toc337558793"/>
      <w:r>
        <w:rPr>
          <w:rFonts w:ascii="黑体" w:hAnsi="黑体" w:eastAsia="黑体"/>
          <w:color w:val="000000"/>
        </w:rPr>
        <w:t>0.6</w:t>
      </w:r>
      <w:r>
        <w:rPr>
          <w:rFonts w:hint="eastAsia" w:ascii="黑体" w:hAnsi="黑体" w:eastAsia="黑体"/>
          <w:color w:val="000000"/>
        </w:rPr>
        <w:t>变更引起的工期调整</w:t>
      </w:r>
      <w:bookmarkEnd w:id="523"/>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因变更引起工期变化的，合同当事人均可要求调整合同工期，由合同当事人按照第</w:t>
      </w:r>
      <w:r>
        <w:rPr>
          <w:rFonts w:ascii="宋体" w:hAnsi="宋体"/>
          <w:color w:val="000000"/>
          <w:kern w:val="0"/>
          <w:szCs w:val="21"/>
        </w:rPr>
        <w:t>4.4</w:t>
      </w:r>
      <w:r>
        <w:rPr>
          <w:rFonts w:hint="eastAsia" w:ascii="宋体" w:hAnsi="宋体"/>
          <w:color w:val="000000"/>
          <w:kern w:val="0"/>
          <w:szCs w:val="21"/>
        </w:rPr>
        <w:t>款〔商定或确定〕并参考工程所在地的工期定额标准确定增减工期天数。</w:t>
      </w:r>
    </w:p>
    <w:p>
      <w:pPr>
        <w:rPr>
          <w:rFonts w:ascii="黑体" w:hAnsi="黑体" w:eastAsia="黑体"/>
          <w:color w:val="000000"/>
        </w:rPr>
      </w:pPr>
      <w:r>
        <w:rPr>
          <w:rFonts w:ascii="黑体" w:hAnsi="黑体" w:eastAsia="黑体"/>
          <w:color w:val="000000"/>
        </w:rPr>
        <w:t>10.7</w:t>
      </w:r>
      <w:r>
        <w:rPr>
          <w:rFonts w:hint="eastAsia" w:ascii="黑体" w:hAnsi="黑体" w:eastAsia="黑体"/>
          <w:color w:val="000000"/>
        </w:rPr>
        <w:t>暂估价</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暂估价专业分包工程、服务、材料和工程设备的明细由合同当事人在专用合同条款中约定。</w:t>
      </w:r>
    </w:p>
    <w:p>
      <w:pPr>
        <w:spacing w:line="360" w:lineRule="auto"/>
        <w:ind w:firstLine="420" w:firstLineChars="200"/>
        <w:jc w:val="left"/>
        <w:rPr>
          <w:rFonts w:ascii="宋体" w:hAnsi="宋体"/>
          <w:color w:val="000000"/>
          <w:kern w:val="0"/>
          <w:szCs w:val="21"/>
        </w:rPr>
      </w:pPr>
      <w:r>
        <w:rPr>
          <w:rFonts w:ascii="宋体" w:hAnsi="宋体"/>
          <w:color w:val="000000"/>
          <w:szCs w:val="21"/>
        </w:rPr>
        <w:t>10.7.1</w:t>
      </w:r>
      <w:r>
        <w:rPr>
          <w:rFonts w:hint="eastAsia" w:ascii="宋体" w:hAnsi="宋体"/>
          <w:color w:val="000000"/>
          <w:kern w:val="0"/>
          <w:szCs w:val="21"/>
        </w:rPr>
        <w:t>依法必须招标的暂估价项目</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对于依法必须招标的暂估价项目，采取以下第</w:t>
      </w:r>
      <w:r>
        <w:rPr>
          <w:rFonts w:ascii="宋体" w:hAnsi="宋体"/>
          <w:color w:val="000000"/>
          <w:kern w:val="0"/>
          <w:szCs w:val="21"/>
        </w:rPr>
        <w:t>1</w:t>
      </w:r>
      <w:r>
        <w:rPr>
          <w:rFonts w:hint="eastAsia" w:ascii="宋体" w:hAnsi="宋体"/>
          <w:color w:val="000000"/>
          <w:kern w:val="0"/>
          <w:szCs w:val="21"/>
        </w:rPr>
        <w:t>种方式确定。合同当事人也可以在专用合同条款中选择其他招标方式。</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第</w:t>
      </w:r>
      <w:r>
        <w:rPr>
          <w:rFonts w:ascii="宋体" w:hAnsi="宋体"/>
          <w:color w:val="000000"/>
          <w:kern w:val="0"/>
          <w:szCs w:val="21"/>
        </w:rPr>
        <w:t>1</w:t>
      </w:r>
      <w:r>
        <w:rPr>
          <w:rFonts w:hint="eastAsia" w:ascii="宋体" w:hAnsi="宋体"/>
          <w:color w:val="000000"/>
          <w:kern w:val="0"/>
          <w:szCs w:val="21"/>
        </w:rPr>
        <w:t>种方式：对于依法必须招标的暂估价项目，由承包人招标，对该暂估价项目的确认和批准按照以下约定执行：</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）承包人应当根据施工进度计划，在招标工作启动前</w:t>
      </w:r>
      <w:r>
        <w:rPr>
          <w:rFonts w:ascii="宋体" w:hAnsi="宋体"/>
          <w:color w:val="000000"/>
          <w:kern w:val="0"/>
          <w:szCs w:val="21"/>
        </w:rPr>
        <w:t>14</w:t>
      </w:r>
      <w:r>
        <w:rPr>
          <w:rFonts w:hint="eastAsia" w:ascii="宋体" w:hAnsi="宋体"/>
          <w:color w:val="000000"/>
          <w:kern w:val="0"/>
          <w:szCs w:val="21"/>
        </w:rPr>
        <w:t>天将招标方案通过监理人报送发包人审查，发包人应当在收到承包人报送的招标方案后</w:t>
      </w:r>
      <w:r>
        <w:rPr>
          <w:rFonts w:ascii="宋体" w:hAnsi="宋体"/>
          <w:color w:val="000000"/>
          <w:kern w:val="0"/>
          <w:szCs w:val="21"/>
        </w:rPr>
        <w:t>7</w:t>
      </w:r>
      <w:r>
        <w:rPr>
          <w:rFonts w:hint="eastAsia" w:ascii="宋体" w:hAnsi="宋体"/>
          <w:color w:val="000000"/>
          <w:kern w:val="0"/>
          <w:szCs w:val="21"/>
        </w:rPr>
        <w:t>天内批准或提出修改意见。承包人应当按照经过发包人批准的招标方案开展招标工作；</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）承包人应当根据施工进度计划，提前</w:t>
      </w:r>
      <w:r>
        <w:rPr>
          <w:rFonts w:ascii="宋体" w:hAnsi="宋体"/>
          <w:color w:val="000000"/>
          <w:kern w:val="0"/>
          <w:szCs w:val="21"/>
        </w:rPr>
        <w:t>14</w:t>
      </w:r>
      <w:r>
        <w:rPr>
          <w:rFonts w:hint="eastAsia" w:ascii="宋体" w:hAnsi="宋体"/>
          <w:color w:val="000000"/>
          <w:kern w:val="0"/>
          <w:szCs w:val="21"/>
        </w:rPr>
        <w:t>天将招标文件通过监理人报送发包人审批，发包人应当在收到承包人报送的相关文件后</w:t>
      </w:r>
      <w:r>
        <w:rPr>
          <w:rFonts w:ascii="宋体" w:hAnsi="宋体"/>
          <w:color w:val="000000"/>
          <w:kern w:val="0"/>
          <w:szCs w:val="21"/>
        </w:rPr>
        <w:t>7</w:t>
      </w:r>
      <w:r>
        <w:rPr>
          <w:rFonts w:hint="eastAsia" w:ascii="宋体" w:hAnsi="宋体"/>
          <w:color w:val="000000"/>
          <w:kern w:val="0"/>
          <w:szCs w:val="21"/>
        </w:rPr>
        <w:t>天内完成审批或提出修改意见；发包人有权确定招标控制价并按照法律规定参加评标；</w:t>
      </w:r>
    </w:p>
    <w:p>
      <w:pPr>
        <w:spacing w:line="360" w:lineRule="auto"/>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3</w:t>
      </w:r>
      <w:r>
        <w:rPr>
          <w:rFonts w:hint="eastAsia" w:ascii="宋体" w:hAnsi="宋体"/>
          <w:color w:val="000000"/>
          <w:kern w:val="0"/>
          <w:szCs w:val="21"/>
        </w:rPr>
        <w:t>）承包人与供应商、分包人在签订暂估价合同前，应当提前</w:t>
      </w:r>
      <w:r>
        <w:rPr>
          <w:rFonts w:ascii="宋体" w:hAnsi="宋体"/>
          <w:color w:val="000000"/>
          <w:kern w:val="0"/>
          <w:szCs w:val="21"/>
        </w:rPr>
        <w:t>7</w:t>
      </w:r>
      <w:r>
        <w:rPr>
          <w:rFonts w:hint="eastAsia" w:ascii="宋体" w:hAnsi="宋体"/>
          <w:color w:val="000000"/>
          <w:kern w:val="0"/>
          <w:szCs w:val="21"/>
        </w:rPr>
        <w:t>天将确定的中标候选供应商或中标候选分包人的资料报送发包人，发包人应在收到资料后</w:t>
      </w:r>
      <w:r>
        <w:rPr>
          <w:rFonts w:ascii="宋体" w:hAnsi="宋体"/>
          <w:color w:val="000000"/>
          <w:kern w:val="0"/>
          <w:szCs w:val="21"/>
        </w:rPr>
        <w:t>3</w:t>
      </w:r>
      <w:r>
        <w:rPr>
          <w:rFonts w:hint="eastAsia" w:ascii="宋体" w:hAnsi="宋体"/>
          <w:color w:val="000000"/>
          <w:kern w:val="0"/>
          <w:szCs w:val="21"/>
        </w:rPr>
        <w:t>天内与承包人共同确定中标人；承包人应当在签订合同后</w:t>
      </w:r>
      <w:r>
        <w:rPr>
          <w:rFonts w:ascii="宋体" w:hAnsi="宋体"/>
          <w:color w:val="000000"/>
          <w:kern w:val="0"/>
          <w:szCs w:val="21"/>
        </w:rPr>
        <w:t>7</w:t>
      </w:r>
      <w:r>
        <w:rPr>
          <w:rFonts w:hint="eastAsia" w:ascii="宋体" w:hAnsi="宋体"/>
          <w:color w:val="000000"/>
          <w:kern w:val="0"/>
          <w:szCs w:val="21"/>
        </w:rPr>
        <w:t>天内，将暂估价合同副本报送发包人留存。</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第</w:t>
      </w:r>
      <w:r>
        <w:rPr>
          <w:rFonts w:ascii="宋体" w:hAnsi="宋体"/>
          <w:color w:val="000000"/>
          <w:kern w:val="0"/>
          <w:szCs w:val="21"/>
        </w:rPr>
        <w:t>2</w:t>
      </w:r>
      <w:r>
        <w:rPr>
          <w:rFonts w:hint="eastAsia" w:ascii="宋体" w:hAnsi="宋体"/>
          <w:color w:val="000000"/>
          <w:kern w:val="0"/>
          <w:szCs w:val="21"/>
        </w:rPr>
        <w:t>种方式：对于依法必须招标的暂估价项目，由发包人和承包人共同招标确定暂估价供应商或分包人的，承包人应按照施工进度计划，在招标工作启动前</w:t>
      </w:r>
      <w:r>
        <w:rPr>
          <w:rFonts w:ascii="宋体" w:hAnsi="宋体"/>
          <w:color w:val="000000"/>
          <w:kern w:val="0"/>
          <w:szCs w:val="21"/>
        </w:rPr>
        <w:t>14</w:t>
      </w:r>
      <w:r>
        <w:rPr>
          <w:rFonts w:hint="eastAsia" w:ascii="宋体" w:hAnsi="宋体"/>
          <w:color w:val="000000"/>
          <w:kern w:val="0"/>
          <w:szCs w:val="21"/>
        </w:rPr>
        <w:t>天通知发包人，并提交暂估价招标方案和工作分工。发包人应在收到后</w:t>
      </w:r>
      <w:r>
        <w:rPr>
          <w:rFonts w:ascii="宋体" w:hAnsi="宋体"/>
          <w:color w:val="000000"/>
          <w:kern w:val="0"/>
          <w:szCs w:val="21"/>
        </w:rPr>
        <w:t>7</w:t>
      </w:r>
      <w:r>
        <w:rPr>
          <w:rFonts w:hint="eastAsia" w:ascii="宋体" w:hAnsi="宋体"/>
          <w:color w:val="000000"/>
          <w:kern w:val="0"/>
          <w:szCs w:val="21"/>
        </w:rPr>
        <w:t>天内确认。确定中标人后，由发包人、承包人与中标人共同签订暂估价合同。</w:t>
      </w:r>
    </w:p>
    <w:p>
      <w:pPr>
        <w:spacing w:line="360" w:lineRule="auto"/>
        <w:ind w:firstLine="420" w:firstLineChars="200"/>
        <w:jc w:val="left"/>
        <w:rPr>
          <w:rFonts w:ascii="宋体" w:hAnsi="宋体"/>
          <w:color w:val="000000"/>
          <w:kern w:val="0"/>
          <w:szCs w:val="21"/>
        </w:rPr>
      </w:pPr>
      <w:r>
        <w:rPr>
          <w:rFonts w:ascii="宋体" w:hAnsi="宋体"/>
          <w:color w:val="000000"/>
          <w:szCs w:val="21"/>
        </w:rPr>
        <w:t>10.7.2</w:t>
      </w:r>
      <w:r>
        <w:rPr>
          <w:rFonts w:hint="eastAsia" w:ascii="宋体" w:hAnsi="宋体"/>
          <w:color w:val="000000"/>
          <w:kern w:val="0"/>
          <w:szCs w:val="21"/>
        </w:rPr>
        <w:t>不属于依法必须招标的暂估价项目</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除专用合同条款另有约定外，对于不属于依法必须招标的暂估价项目，采取以下第</w:t>
      </w:r>
      <w:r>
        <w:rPr>
          <w:rFonts w:ascii="宋体" w:hAnsi="宋体"/>
          <w:color w:val="000000"/>
          <w:kern w:val="0"/>
          <w:szCs w:val="21"/>
        </w:rPr>
        <w:t>1</w:t>
      </w:r>
      <w:r>
        <w:rPr>
          <w:rFonts w:hint="eastAsia" w:ascii="宋体" w:hAnsi="宋体"/>
          <w:color w:val="000000"/>
          <w:kern w:val="0"/>
          <w:szCs w:val="21"/>
        </w:rPr>
        <w:t>种方式确定：</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第</w:t>
      </w:r>
      <w:r>
        <w:rPr>
          <w:rFonts w:ascii="宋体" w:hAnsi="宋体"/>
          <w:color w:val="000000"/>
          <w:kern w:val="0"/>
          <w:szCs w:val="21"/>
        </w:rPr>
        <w:t>1</w:t>
      </w:r>
      <w:r>
        <w:rPr>
          <w:rFonts w:hint="eastAsia" w:ascii="宋体" w:hAnsi="宋体"/>
          <w:color w:val="000000"/>
          <w:kern w:val="0"/>
          <w:szCs w:val="21"/>
        </w:rPr>
        <w:t>种方式：对于不属于依法必须招标的暂估价项目，按本项约定确认和批准：</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）承包人应根据施工进度计划，在签订暂估价项目的采购合同、分包合同前</w:t>
      </w:r>
      <w:r>
        <w:rPr>
          <w:rFonts w:ascii="宋体" w:hAnsi="宋体"/>
          <w:color w:val="000000"/>
          <w:kern w:val="0"/>
          <w:szCs w:val="21"/>
        </w:rPr>
        <w:t>28</w:t>
      </w:r>
      <w:r>
        <w:rPr>
          <w:rFonts w:hint="eastAsia" w:ascii="宋体" w:hAnsi="宋体"/>
          <w:color w:val="000000"/>
          <w:kern w:val="0"/>
          <w:szCs w:val="21"/>
        </w:rPr>
        <w:t>天向监理人提出书面申请。监理人应当在收到申请后</w:t>
      </w:r>
      <w:r>
        <w:rPr>
          <w:rFonts w:ascii="宋体" w:hAnsi="宋体"/>
          <w:color w:val="000000"/>
          <w:kern w:val="0"/>
          <w:szCs w:val="21"/>
        </w:rPr>
        <w:t>3</w:t>
      </w:r>
      <w:r>
        <w:rPr>
          <w:rFonts w:hint="eastAsia" w:ascii="宋体" w:hAnsi="宋体"/>
          <w:color w:val="000000"/>
          <w:kern w:val="0"/>
          <w:szCs w:val="21"/>
        </w:rPr>
        <w:t>天内报送发包人，发包人应当在收到申请后</w:t>
      </w:r>
      <w:r>
        <w:rPr>
          <w:rFonts w:ascii="宋体" w:hAnsi="宋体"/>
          <w:color w:val="000000"/>
          <w:kern w:val="0"/>
          <w:szCs w:val="21"/>
        </w:rPr>
        <w:t>14</w:t>
      </w:r>
      <w:r>
        <w:rPr>
          <w:rFonts w:hint="eastAsia" w:ascii="宋体" w:hAnsi="宋体"/>
          <w:color w:val="000000"/>
          <w:kern w:val="0"/>
          <w:szCs w:val="21"/>
        </w:rPr>
        <w:t>天内给予批准或提出修改意见，发包人逾期未予批准或提出修改意见的，视为该书面申请已获得同意；</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）发包人认为承包人确定的供应商、分包人无法满足工程质量或合同要求的，发包人可以要求承包人重新确定暂估价项目的供应商、分包人</w:t>
      </w:r>
      <w:r>
        <w:rPr>
          <w:rFonts w:hint="eastAsia" w:ascii="宋体" w:hAnsi="宋体"/>
          <w:color w:val="000000"/>
          <w:kern w:val="0"/>
          <w:szCs w:val="21"/>
          <w:lang w:eastAsia="zh-CN"/>
        </w:rPr>
        <w:t>；</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3</w:t>
      </w:r>
      <w:r>
        <w:rPr>
          <w:rFonts w:hint="eastAsia" w:ascii="宋体" w:hAnsi="宋体"/>
          <w:color w:val="000000"/>
          <w:kern w:val="0"/>
          <w:szCs w:val="21"/>
        </w:rPr>
        <w:t>）承包人应当在签订暂估价合同后</w:t>
      </w:r>
      <w:r>
        <w:rPr>
          <w:rFonts w:ascii="宋体" w:hAnsi="宋体"/>
          <w:color w:val="000000"/>
          <w:kern w:val="0"/>
          <w:szCs w:val="21"/>
        </w:rPr>
        <w:t>7</w:t>
      </w:r>
      <w:r>
        <w:rPr>
          <w:rFonts w:hint="eastAsia" w:ascii="宋体" w:hAnsi="宋体"/>
          <w:color w:val="000000"/>
          <w:kern w:val="0"/>
          <w:szCs w:val="21"/>
        </w:rPr>
        <w:t>天内，将暂估价合同副本报送发包人留存。</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第</w:t>
      </w:r>
      <w:r>
        <w:rPr>
          <w:rFonts w:ascii="宋体" w:hAnsi="宋体"/>
          <w:color w:val="000000"/>
          <w:kern w:val="0"/>
          <w:szCs w:val="21"/>
        </w:rPr>
        <w:t>2</w:t>
      </w:r>
      <w:r>
        <w:rPr>
          <w:rFonts w:hint="eastAsia" w:ascii="宋体" w:hAnsi="宋体"/>
          <w:color w:val="000000"/>
          <w:kern w:val="0"/>
          <w:szCs w:val="21"/>
        </w:rPr>
        <w:t>种方式：承包人按照第</w:t>
      </w:r>
      <w:r>
        <w:rPr>
          <w:rFonts w:ascii="宋体" w:hAnsi="宋体"/>
          <w:color w:val="000000"/>
          <w:kern w:val="0"/>
          <w:szCs w:val="21"/>
        </w:rPr>
        <w:t>10.7.1</w:t>
      </w:r>
      <w:r>
        <w:rPr>
          <w:rFonts w:hint="eastAsia" w:ascii="宋体" w:hAnsi="宋体"/>
          <w:color w:val="000000"/>
          <w:kern w:val="0"/>
          <w:szCs w:val="21"/>
        </w:rPr>
        <w:t>项〔依法必须招标的暂估价项目〕约定的第</w:t>
      </w:r>
      <w:r>
        <w:rPr>
          <w:rFonts w:ascii="宋体" w:hAnsi="宋体"/>
          <w:color w:val="000000"/>
          <w:kern w:val="0"/>
          <w:szCs w:val="21"/>
        </w:rPr>
        <w:t>1</w:t>
      </w:r>
      <w:r>
        <w:rPr>
          <w:rFonts w:hint="eastAsia" w:ascii="宋体" w:hAnsi="宋体"/>
          <w:color w:val="000000"/>
          <w:kern w:val="0"/>
          <w:szCs w:val="21"/>
        </w:rPr>
        <w:t>种方式确定暂估价项目。</w:t>
      </w:r>
    </w:p>
    <w:p>
      <w:pPr>
        <w:spacing w:line="360" w:lineRule="auto"/>
        <w:ind w:firstLine="420" w:firstLineChars="200"/>
        <w:jc w:val="left"/>
        <w:rPr>
          <w:rFonts w:ascii="宋体" w:hAnsi="宋体"/>
          <w:color w:val="000000"/>
          <w:kern w:val="0"/>
          <w:szCs w:val="21"/>
        </w:rPr>
      </w:pPr>
      <w:r>
        <w:rPr>
          <w:rFonts w:hint="eastAsia" w:ascii="宋体" w:hAnsi="宋体"/>
          <w:color w:val="000000"/>
          <w:szCs w:val="21"/>
        </w:rPr>
        <w:t>第</w:t>
      </w:r>
      <w:r>
        <w:rPr>
          <w:rFonts w:ascii="宋体" w:hAnsi="宋体"/>
          <w:color w:val="000000"/>
          <w:szCs w:val="21"/>
        </w:rPr>
        <w:t>3</w:t>
      </w:r>
      <w:r>
        <w:rPr>
          <w:rFonts w:hint="eastAsia" w:ascii="宋体" w:hAnsi="宋体"/>
          <w:color w:val="000000"/>
          <w:szCs w:val="21"/>
        </w:rPr>
        <w:t>种方式：</w:t>
      </w:r>
      <w:r>
        <w:rPr>
          <w:rFonts w:hint="eastAsia" w:ascii="宋体" w:hAnsi="宋体"/>
          <w:color w:val="000000"/>
          <w:kern w:val="0"/>
          <w:szCs w:val="21"/>
        </w:rPr>
        <w:t>承包人直接实施的暂估价项目</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承包人具备实施暂估价项目的资格和条件的，经发包人和承包人协商一致后，可由承包人自行实施暂估价项目，合同当事人可以在专用合同条款约定具体事项。</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10.7.3 </w:t>
      </w:r>
      <w:r>
        <w:rPr>
          <w:rFonts w:hint="eastAsia" w:ascii="宋体" w:hAnsi="宋体"/>
          <w:color w:val="000000"/>
          <w:kern w:val="0"/>
          <w:szCs w:val="21"/>
        </w:rPr>
        <w:t>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pPr>
        <w:rPr>
          <w:rFonts w:ascii="黑体" w:hAnsi="黑体" w:eastAsia="黑体"/>
          <w:color w:val="000000"/>
        </w:rPr>
      </w:pPr>
      <w:r>
        <w:rPr>
          <w:rFonts w:ascii="黑体" w:hAnsi="黑体" w:eastAsia="黑体"/>
          <w:color w:val="000000"/>
        </w:rPr>
        <w:t>1</w:t>
      </w:r>
      <w:bookmarkStart w:id="524" w:name="_Toc337558794"/>
      <w:bookmarkStart w:id="525" w:name="_Toc296346591"/>
      <w:bookmarkStart w:id="526" w:name="_Toc322522561"/>
      <w:bookmarkStart w:id="527" w:name="_Toc296503090"/>
      <w:r>
        <w:rPr>
          <w:rFonts w:ascii="黑体" w:hAnsi="黑体" w:eastAsia="黑体"/>
          <w:color w:val="000000"/>
        </w:rPr>
        <w:t>0.8</w:t>
      </w:r>
      <w:r>
        <w:rPr>
          <w:rFonts w:hint="eastAsia" w:ascii="黑体" w:hAnsi="黑体" w:eastAsia="黑体"/>
          <w:color w:val="000000"/>
        </w:rPr>
        <w:t>暂列金额</w:t>
      </w:r>
    </w:p>
    <w:bookmarkEnd w:id="524"/>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暂列金额应按照发包人的要求使用，发包人的要求应通过监理人发出。合同当事人可以在专用合同条款中协商确定有关事项。</w:t>
      </w:r>
    </w:p>
    <w:bookmarkEnd w:id="525"/>
    <w:bookmarkEnd w:id="526"/>
    <w:bookmarkEnd w:id="527"/>
    <w:p>
      <w:pPr>
        <w:rPr>
          <w:rFonts w:ascii="宋体" w:hAnsi="宋体"/>
          <w:color w:val="000000"/>
          <w:kern w:val="0"/>
          <w:szCs w:val="21"/>
        </w:rPr>
      </w:pPr>
      <w:r>
        <w:rPr>
          <w:rFonts w:ascii="黑体" w:hAnsi="黑体" w:eastAsia="黑体"/>
          <w:color w:val="000000"/>
        </w:rPr>
        <w:t>1</w:t>
      </w:r>
      <w:bookmarkStart w:id="528" w:name="_Toc337558796"/>
      <w:bookmarkStart w:id="529" w:name="_Toc296346592"/>
      <w:bookmarkStart w:id="530" w:name="_Toc296503091"/>
      <w:r>
        <w:rPr>
          <w:rFonts w:ascii="黑体" w:hAnsi="黑体" w:eastAsia="黑体"/>
          <w:color w:val="000000"/>
        </w:rPr>
        <w:t>0.9</w:t>
      </w:r>
      <w:r>
        <w:rPr>
          <w:rFonts w:hint="eastAsia" w:ascii="黑体" w:hAnsi="黑体" w:eastAsia="黑体"/>
          <w:color w:val="000000"/>
        </w:rPr>
        <w:t>计日工</w:t>
      </w:r>
      <w:bookmarkEnd w:id="528"/>
      <w:bookmarkEnd w:id="529"/>
      <w:bookmarkEnd w:id="530"/>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w:t>
      </w:r>
      <w:r>
        <w:rPr>
          <w:rFonts w:ascii="宋体" w:hAnsi="宋体"/>
          <w:color w:val="000000"/>
          <w:kern w:val="0"/>
          <w:szCs w:val="21"/>
        </w:rPr>
        <w:t>4.4</w:t>
      </w:r>
      <w:r>
        <w:rPr>
          <w:rFonts w:hint="eastAsia" w:ascii="宋体" w:hAnsi="宋体"/>
          <w:color w:val="000000"/>
          <w:kern w:val="0"/>
          <w:szCs w:val="21"/>
        </w:rPr>
        <w:t>款〔商定或确定〕确定计日工的单价。</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采用计日工计价的任何一项工作，承包人应在该项工作实施过程中，每天提交以下报表和有关凭证报送监理人审查：</w:t>
      </w:r>
    </w:p>
    <w:p>
      <w:pPr>
        <w:spacing w:line="360" w:lineRule="auto"/>
        <w:ind w:firstLine="315" w:firstLineChars="15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）工作名称、内容和数量；</w:t>
      </w:r>
    </w:p>
    <w:p>
      <w:pPr>
        <w:spacing w:line="360" w:lineRule="auto"/>
        <w:ind w:firstLine="315" w:firstLineChars="15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）投入该工作的所有人员的姓名、专业、工种、级别和耗用工时；</w:t>
      </w:r>
    </w:p>
    <w:p>
      <w:pPr>
        <w:spacing w:line="360" w:lineRule="auto"/>
        <w:ind w:firstLine="315" w:firstLineChars="15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3</w:t>
      </w:r>
      <w:r>
        <w:rPr>
          <w:rFonts w:hint="eastAsia" w:ascii="宋体" w:hAnsi="宋体"/>
          <w:color w:val="000000"/>
          <w:kern w:val="0"/>
          <w:szCs w:val="21"/>
        </w:rPr>
        <w:t>）投入该工作的材料类别和数量；</w:t>
      </w:r>
    </w:p>
    <w:p>
      <w:pPr>
        <w:spacing w:line="360" w:lineRule="auto"/>
        <w:ind w:firstLine="315" w:firstLineChars="15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4</w:t>
      </w:r>
      <w:r>
        <w:rPr>
          <w:rFonts w:hint="eastAsia" w:ascii="宋体" w:hAnsi="宋体"/>
          <w:color w:val="000000"/>
          <w:kern w:val="0"/>
          <w:szCs w:val="21"/>
        </w:rPr>
        <w:t>）投入该工作的施工设备型号、台数和耗用台时；</w:t>
      </w:r>
    </w:p>
    <w:p>
      <w:pPr>
        <w:spacing w:line="360" w:lineRule="auto"/>
        <w:ind w:firstLine="315" w:firstLineChars="15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5</w:t>
      </w:r>
      <w:r>
        <w:rPr>
          <w:rFonts w:hint="eastAsia" w:ascii="宋体" w:hAnsi="宋体"/>
          <w:color w:val="000000"/>
          <w:kern w:val="0"/>
          <w:szCs w:val="21"/>
        </w:rPr>
        <w:t>）其他有关资料和凭证。</w:t>
      </w:r>
    </w:p>
    <w:p>
      <w:pPr>
        <w:spacing w:line="360" w:lineRule="auto"/>
        <w:ind w:firstLine="315" w:firstLineChars="150"/>
        <w:jc w:val="left"/>
        <w:rPr>
          <w:rFonts w:ascii="宋体" w:hAnsi="宋体"/>
          <w:color w:val="000000"/>
          <w:kern w:val="0"/>
          <w:szCs w:val="21"/>
        </w:rPr>
      </w:pPr>
      <w:r>
        <w:rPr>
          <w:rFonts w:hint="eastAsia" w:ascii="宋体" w:hAnsi="宋体"/>
          <w:color w:val="000000"/>
          <w:kern w:val="0"/>
          <w:szCs w:val="21"/>
        </w:rPr>
        <w:t>计日工由承包人汇总后，列入最近一期进度付款申请单，由监理人审查并经发包人批准后列入进度付款。</w:t>
      </w:r>
    </w:p>
    <w:p>
      <w:pPr>
        <w:pStyle w:val="5"/>
        <w:spacing w:before="120" w:after="120" w:line="360" w:lineRule="auto"/>
        <w:rPr>
          <w:rFonts w:ascii="黑体" w:hAnsi="黑体"/>
          <w:b w:val="0"/>
          <w:color w:val="000000"/>
        </w:rPr>
      </w:pPr>
      <w:bookmarkStart w:id="531" w:name="_Toc114222812"/>
      <w:bookmarkStart w:id="532" w:name="_Toc362623176"/>
      <w:r>
        <w:rPr>
          <w:rFonts w:ascii="黑体" w:hAnsi="黑体"/>
          <w:b w:val="0"/>
          <w:color w:val="000000"/>
        </w:rPr>
        <w:t xml:space="preserve">11. </w:t>
      </w:r>
      <w:r>
        <w:rPr>
          <w:rFonts w:hint="eastAsia" w:ascii="黑体" w:hAnsi="黑体"/>
          <w:b w:val="0"/>
          <w:color w:val="000000"/>
        </w:rPr>
        <w:t>价格调整</w:t>
      </w:r>
      <w:bookmarkEnd w:id="531"/>
      <w:bookmarkEnd w:id="532"/>
    </w:p>
    <w:p>
      <w:pPr>
        <w:rPr>
          <w:rFonts w:ascii="黑体" w:hAnsi="黑体" w:eastAsia="黑体"/>
          <w:color w:val="000000"/>
        </w:rPr>
      </w:pPr>
      <w:bookmarkStart w:id="533" w:name="_Toc296503092"/>
      <w:bookmarkStart w:id="534" w:name="_Toc337558797"/>
      <w:bookmarkStart w:id="535" w:name="_Toc296346593"/>
      <w:r>
        <w:rPr>
          <w:rFonts w:ascii="黑体" w:hAnsi="黑体" w:eastAsia="黑体"/>
          <w:color w:val="000000"/>
        </w:rPr>
        <w:t>11.1</w:t>
      </w:r>
      <w:r>
        <w:rPr>
          <w:rFonts w:hint="eastAsia" w:ascii="黑体" w:hAnsi="黑体" w:eastAsia="黑体"/>
          <w:color w:val="000000"/>
        </w:rPr>
        <w:t>市场价格波动引起的调整</w:t>
      </w:r>
    </w:p>
    <w:bookmarkEnd w:id="533"/>
    <w:bookmarkEnd w:id="534"/>
    <w:bookmarkEnd w:id="535"/>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除专用合同条款另有约定外，市场价格波动超过合同当事人约定的范围，合同价格应当调整。合同当事人可以在专用合同条款中约定选择以下一种方式对合同价格进行调整：</w:t>
      </w:r>
    </w:p>
    <w:p>
      <w:pPr>
        <w:spacing w:line="360" w:lineRule="auto"/>
        <w:ind w:firstLine="420" w:firstLineChars="200"/>
        <w:rPr>
          <w:rFonts w:ascii="宋体" w:hAnsi="宋体"/>
          <w:color w:val="000000"/>
          <w:szCs w:val="21"/>
        </w:rPr>
      </w:pPr>
      <w:r>
        <w:rPr>
          <w:rFonts w:hint="eastAsia" w:ascii="宋体" w:hAnsi="宋体"/>
          <w:color w:val="000000"/>
          <w:szCs w:val="21"/>
        </w:rPr>
        <w:t>第</w:t>
      </w:r>
      <w:r>
        <w:rPr>
          <w:rFonts w:ascii="宋体" w:hAnsi="宋体"/>
          <w:color w:val="000000"/>
          <w:szCs w:val="21"/>
        </w:rPr>
        <w:t>1</w:t>
      </w:r>
      <w:r>
        <w:rPr>
          <w:rFonts w:hint="eastAsia" w:ascii="宋体" w:hAnsi="宋体"/>
          <w:color w:val="000000"/>
          <w:szCs w:val="21"/>
        </w:rPr>
        <w:t>种方式：采用价格指数进行价格调整。</w:t>
      </w:r>
    </w:p>
    <w:p>
      <w:pPr>
        <w:tabs>
          <w:tab w:val="left" w:pos="0"/>
          <w:tab w:val="left" w:pos="360"/>
          <w:tab w:val="left" w:pos="540"/>
        </w:tabs>
        <w:spacing w:line="360" w:lineRule="auto"/>
        <w:ind w:firstLine="420" w:firstLineChars="200"/>
        <w:rPr>
          <w:rFonts w:ascii="宋体" w:hAns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）价格调整公式</w:t>
      </w:r>
    </w:p>
    <w:p>
      <w:pPr>
        <w:tabs>
          <w:tab w:val="left" w:pos="0"/>
          <w:tab w:val="left" w:pos="360"/>
          <w:tab w:val="left" w:pos="540"/>
        </w:tabs>
        <w:spacing w:line="360" w:lineRule="auto"/>
        <w:ind w:firstLine="420" w:firstLineChars="200"/>
        <w:rPr>
          <w:rFonts w:ascii="宋体" w:hAnsi="宋体"/>
          <w:color w:val="000000"/>
          <w:szCs w:val="21"/>
        </w:rPr>
      </w:pPr>
      <w:r>
        <w:rPr>
          <w:rFonts w:hint="eastAsia" w:ascii="宋体" w:hAnsi="宋体"/>
          <w:color w:val="000000"/>
          <w:szCs w:val="21"/>
        </w:rPr>
        <w:t>因人工、材料和设备等价格波动影响合同价格时，根据专用合同条款中约定的数据，按以下公式计算差额并调整合同价格：</w:t>
      </w:r>
    </w:p>
    <w:p>
      <w:pPr>
        <w:tabs>
          <w:tab w:val="left" w:pos="0"/>
          <w:tab w:val="left" w:pos="360"/>
          <w:tab w:val="left" w:pos="540"/>
        </w:tabs>
        <w:spacing w:line="360" w:lineRule="auto"/>
        <w:ind w:firstLine="420" w:firstLineChars="200"/>
        <w:rPr>
          <w:rFonts w:ascii="宋体" w:hAnsi="宋体"/>
          <w:color w:val="000000"/>
          <w:szCs w:val="21"/>
        </w:rPr>
      </w:pPr>
      <w:r>
        <w:rPr>
          <w:rFonts w:hint="eastAsia" w:ascii="宋体" w:hAnsi="宋体"/>
          <w:color w:val="000000"/>
          <w:position w:val="-30"/>
          <w:szCs w:val="21"/>
        </w:rPr>
        <w:object>
          <v:shape id="_x0000_i1025" o:spt="75" type="#_x0000_t75" style="height:43.5pt;width:360pt;" o:ole="t" filled="f" o:preferrelative="t" stroked="f" coordsize="21600,21600">
            <v:path/>
            <v:fill on="f" focussize="0,0"/>
            <v:stroke on="f" joinstyle="miter"/>
            <v:imagedata r:id="rId47" o:title=""/>
            <o:lock v:ext="edit" aspectratio="t"/>
            <w10:wrap type="none"/>
            <w10:anchorlock/>
          </v:shape>
          <o:OLEObject Type="Embed" ProgID="Equation.3" ShapeID="_x0000_i1025" DrawAspect="Content" ObjectID="_1468075725" r:id="rId46">
            <o:LockedField>false</o:LockedField>
          </o:OLEObject>
        </w:object>
      </w:r>
    </w:p>
    <w:p>
      <w:pPr>
        <w:tabs>
          <w:tab w:val="left" w:pos="0"/>
          <w:tab w:val="left" w:pos="360"/>
          <w:tab w:val="left" w:pos="540"/>
        </w:tabs>
        <w:spacing w:line="360" w:lineRule="auto"/>
        <w:ind w:firstLine="640"/>
        <w:rPr>
          <w:rFonts w:ascii="宋体" w:hAnsi="宋体"/>
          <w:color w:val="000000"/>
          <w:szCs w:val="21"/>
        </w:rPr>
      </w:pPr>
      <w:r>
        <w:rPr>
          <w:rFonts w:hint="eastAsia" w:ascii="宋体" w:hAnsi="宋体"/>
          <w:color w:val="000000"/>
          <w:szCs w:val="21"/>
        </w:rPr>
        <w:t>公式中：</w:t>
      </w:r>
      <w:r>
        <w:rPr>
          <w:rFonts w:ascii="宋体" w:hAnsi="宋体"/>
          <w:color w:val="000000"/>
          <w:szCs w:val="21"/>
        </w:rPr>
        <w:t>ΔP——</w:t>
      </w:r>
      <w:r>
        <w:rPr>
          <w:rFonts w:hint="eastAsia" w:ascii="宋体" w:hAnsi="宋体"/>
          <w:color w:val="000000"/>
          <w:szCs w:val="21"/>
        </w:rPr>
        <w:t>需调整的价格差额；</w:t>
      </w:r>
    </w:p>
    <w:p>
      <w:pPr>
        <w:tabs>
          <w:tab w:val="left" w:pos="0"/>
          <w:tab w:val="left" w:pos="360"/>
          <w:tab w:val="left" w:pos="540"/>
        </w:tabs>
        <w:spacing w:line="360" w:lineRule="auto"/>
        <w:ind w:firstLine="1260" w:firstLineChars="600"/>
        <w:rPr>
          <w:rFonts w:ascii="宋体" w:hAnsi="宋体"/>
          <w:color w:val="000000"/>
          <w:szCs w:val="21"/>
        </w:rPr>
      </w:pPr>
      <w:r>
        <w:rPr>
          <w:rFonts w:hint="eastAsia" w:ascii="宋体" w:hAnsi="宋体"/>
          <w:color w:val="000000"/>
          <w:position w:val="-6"/>
          <w:szCs w:val="21"/>
        </w:rPr>
        <w:object>
          <v:shape id="_x0000_i1026" o:spt="75" type="#_x0000_t75" style="height:14.25pt;width:14.25pt;" o:ole="t" filled="f" o:preferrelative="t" stroked="f" coordsize="21600,21600">
            <v:path/>
            <v:fill on="f" focussize="0,0"/>
            <v:stroke on="f" joinstyle="miter"/>
            <v:imagedata r:id="rId49" o:title=""/>
            <o:lock v:ext="edit" aspectratio="t"/>
            <w10:wrap type="none"/>
            <w10:anchorlock/>
          </v:shape>
          <o:OLEObject Type="Embed" ProgID="Equation.3" ShapeID="_x0000_i1026" DrawAspect="Content" ObjectID="_1468075726" r:id="rId48">
            <o:LockedField>false</o:LockedField>
          </o:OLEObject>
        </w:object>
      </w:r>
      <w:r>
        <w:rPr>
          <w:rFonts w:ascii="宋体" w:hAnsi="宋体"/>
          <w:color w:val="000000"/>
          <w:szCs w:val="21"/>
        </w:rPr>
        <w:t>——</w:t>
      </w:r>
      <w:r>
        <w:rPr>
          <w:rFonts w:hint="eastAsia" w:ascii="宋体" w:hAnsi="宋体"/>
          <w:color w:val="000000"/>
          <w:szCs w:val="21"/>
        </w:rPr>
        <w:t>约定的付款证书中承包人应得到的已完成工程量的金额。此项金额应不包括价格调整、不计质量保证金的扣留和支付、预付款的支付和扣回。约定的变更及其他金额已按现行价格计价的，也不计在内；</w:t>
      </w:r>
    </w:p>
    <w:p>
      <w:pPr>
        <w:tabs>
          <w:tab w:val="left" w:pos="0"/>
          <w:tab w:val="left" w:pos="360"/>
          <w:tab w:val="left" w:pos="540"/>
        </w:tabs>
        <w:spacing w:line="360" w:lineRule="auto"/>
        <w:ind w:firstLine="420" w:firstLineChars="200"/>
        <w:rPr>
          <w:rFonts w:ascii="宋体" w:hAnsi="宋体"/>
          <w:color w:val="000000"/>
          <w:szCs w:val="21"/>
        </w:rPr>
      </w:pPr>
      <w:r>
        <w:rPr>
          <w:rFonts w:ascii="宋体" w:hAnsi="宋体"/>
          <w:color w:val="000000"/>
          <w:szCs w:val="21"/>
        </w:rPr>
        <w:t>A——</w:t>
      </w:r>
      <w:r>
        <w:rPr>
          <w:rFonts w:hint="eastAsia" w:ascii="宋体" w:hAnsi="宋体"/>
          <w:color w:val="000000"/>
          <w:szCs w:val="21"/>
        </w:rPr>
        <w:t>定值权重（即不调部分的权重）；</w:t>
      </w:r>
    </w:p>
    <w:p>
      <w:pPr>
        <w:tabs>
          <w:tab w:val="left" w:pos="0"/>
          <w:tab w:val="left" w:pos="360"/>
          <w:tab w:val="left" w:pos="540"/>
        </w:tabs>
        <w:spacing w:line="360" w:lineRule="auto"/>
        <w:ind w:firstLine="420" w:firstLineChars="200"/>
        <w:rPr>
          <w:rFonts w:ascii="宋体" w:hAnsi="宋体"/>
          <w:color w:val="000000"/>
          <w:szCs w:val="21"/>
        </w:rPr>
      </w:pPr>
      <w:r>
        <w:rPr>
          <w:rFonts w:hint="eastAsia" w:ascii="宋体" w:hAnsi="宋体"/>
          <w:color w:val="000000"/>
          <w:position w:val="-10"/>
          <w:szCs w:val="21"/>
        </w:rPr>
        <w:object>
          <v:shape id="_x0000_i1027" o:spt="75" type="#_x0000_t75" style="height:21.75pt;width:100.5pt;" o:ole="t" filled="f" o:preferrelative="t" stroked="f" coordsize="21600,21600">
            <v:path/>
            <v:fill on="f" focussize="0,0"/>
            <v:stroke on="f" joinstyle="miter"/>
            <v:imagedata r:id="rId51" o:title=""/>
            <o:lock v:ext="edit" aspectratio="t"/>
            <w10:wrap type="none"/>
            <w10:anchorlock/>
          </v:shape>
          <o:OLEObject Type="Embed" ProgID="Equation.3" ShapeID="_x0000_i1027" DrawAspect="Content" ObjectID="_1468075727" r:id="rId50">
            <o:LockedField>false</o:LockedField>
          </o:OLEObject>
        </w:object>
      </w:r>
      <w:r>
        <w:rPr>
          <w:rFonts w:ascii="宋体" w:hAnsi="宋体"/>
          <w:color w:val="000000"/>
          <w:szCs w:val="21"/>
        </w:rPr>
        <w:t>——</w:t>
      </w:r>
      <w:r>
        <w:rPr>
          <w:rFonts w:hint="eastAsia" w:ascii="宋体" w:hAnsi="宋体"/>
          <w:color w:val="000000"/>
          <w:szCs w:val="21"/>
        </w:rPr>
        <w:t>各可调因子的变值权重（即可调部分的权重），为各可调因子在签约合同价中所占的比例；</w:t>
      </w:r>
    </w:p>
    <w:p>
      <w:pPr>
        <w:tabs>
          <w:tab w:val="left" w:pos="0"/>
          <w:tab w:val="left" w:pos="360"/>
          <w:tab w:val="left" w:pos="540"/>
        </w:tabs>
        <w:spacing w:line="360" w:lineRule="auto"/>
        <w:ind w:firstLine="420" w:firstLineChars="200"/>
        <w:rPr>
          <w:rFonts w:ascii="宋体" w:hAnsi="宋体"/>
          <w:color w:val="000000"/>
          <w:szCs w:val="21"/>
        </w:rPr>
      </w:pPr>
      <w:r>
        <w:rPr>
          <w:rFonts w:hint="eastAsia" w:ascii="宋体" w:hAnsi="宋体"/>
          <w:color w:val="000000"/>
          <w:position w:val="-10"/>
          <w:szCs w:val="21"/>
        </w:rPr>
        <w:object>
          <v:shape id="_x0000_i1028" o:spt="75" type="#_x0000_t75" style="height:21.75pt;width:100.5pt;" o:ole="t" filled="f" o:preferrelative="t" stroked="f" coordsize="21600,21600">
            <v:path/>
            <v:fill on="f" focussize="0,0"/>
            <v:stroke on="f" joinstyle="miter"/>
            <v:imagedata r:id="rId53" o:title=""/>
            <o:lock v:ext="edit" aspectratio="t"/>
            <w10:wrap type="none"/>
            <w10:anchorlock/>
          </v:shape>
          <o:OLEObject Type="Embed" ProgID="Equation.3" ShapeID="_x0000_i1028" DrawAspect="Content" ObjectID="_1468075728" r:id="rId52">
            <o:LockedField>false</o:LockedField>
          </o:OLEObject>
        </w:object>
      </w:r>
      <w:r>
        <w:rPr>
          <w:rFonts w:ascii="宋体" w:hAnsi="宋体"/>
          <w:color w:val="000000"/>
          <w:szCs w:val="21"/>
        </w:rPr>
        <w:t>——</w:t>
      </w:r>
      <w:r>
        <w:rPr>
          <w:rFonts w:hint="eastAsia" w:ascii="宋体" w:hAnsi="宋体"/>
          <w:color w:val="000000"/>
          <w:szCs w:val="21"/>
        </w:rPr>
        <w:t>各可调因子的现行价格指数，指约定的付款证书相关周期最后一天的前</w:t>
      </w:r>
      <w:r>
        <w:rPr>
          <w:rFonts w:ascii="宋体" w:hAnsi="宋体"/>
          <w:color w:val="000000"/>
          <w:szCs w:val="21"/>
        </w:rPr>
        <w:t>42</w:t>
      </w:r>
      <w:r>
        <w:rPr>
          <w:rFonts w:hint="eastAsia" w:ascii="宋体" w:hAnsi="宋体"/>
          <w:color w:val="000000"/>
          <w:szCs w:val="21"/>
        </w:rPr>
        <w:t>天的各可调因子的价格指数；</w:t>
      </w:r>
    </w:p>
    <w:p>
      <w:pPr>
        <w:tabs>
          <w:tab w:val="left" w:pos="0"/>
          <w:tab w:val="left" w:pos="360"/>
          <w:tab w:val="left" w:pos="540"/>
        </w:tabs>
        <w:spacing w:line="360" w:lineRule="auto"/>
        <w:ind w:firstLine="420" w:firstLineChars="200"/>
        <w:rPr>
          <w:rFonts w:ascii="宋体" w:hAnsi="宋体"/>
          <w:color w:val="000000"/>
          <w:szCs w:val="21"/>
        </w:rPr>
      </w:pPr>
      <w:r>
        <w:rPr>
          <w:rFonts w:hint="eastAsia" w:ascii="宋体" w:hAnsi="宋体"/>
          <w:color w:val="000000"/>
          <w:position w:val="-10"/>
          <w:szCs w:val="21"/>
        </w:rPr>
        <w:object>
          <v:shape id="_x0000_i1029" o:spt="75" type="#_x0000_t75" style="height:21.75pt;width:108pt;" o:ole="t" filled="f" o:preferrelative="t" stroked="f" coordsize="21600,21600">
            <v:path/>
            <v:fill on="f" focussize="0,0"/>
            <v:stroke on="f" joinstyle="miter"/>
            <v:imagedata r:id="rId55" o:title=""/>
            <o:lock v:ext="edit" aspectratio="t"/>
            <w10:wrap type="none"/>
            <w10:anchorlock/>
          </v:shape>
          <o:OLEObject Type="Embed" ProgID="Equation.3" ShapeID="_x0000_i1029" DrawAspect="Content" ObjectID="_1468075729" r:id="rId54">
            <o:LockedField>false</o:LockedField>
          </o:OLEObject>
        </w:object>
      </w:r>
      <w:r>
        <w:rPr>
          <w:rFonts w:ascii="宋体" w:hAnsi="宋体"/>
          <w:color w:val="000000"/>
          <w:szCs w:val="21"/>
        </w:rPr>
        <w:t>——</w:t>
      </w:r>
      <w:r>
        <w:rPr>
          <w:rFonts w:hint="eastAsia" w:ascii="宋体" w:hAnsi="宋体"/>
          <w:color w:val="000000"/>
          <w:szCs w:val="21"/>
        </w:rPr>
        <w:t>各可调因子的基本价格指数，指基准日期的各可调因子的价格指数。</w:t>
      </w:r>
    </w:p>
    <w:p>
      <w:pPr>
        <w:tabs>
          <w:tab w:val="left" w:pos="0"/>
          <w:tab w:val="left" w:pos="360"/>
          <w:tab w:val="left" w:pos="540"/>
        </w:tabs>
        <w:spacing w:line="360" w:lineRule="auto"/>
        <w:ind w:firstLine="420" w:firstLineChars="200"/>
        <w:rPr>
          <w:rFonts w:ascii="宋体" w:hAnsi="宋体"/>
          <w:color w:val="000000"/>
          <w:szCs w:val="21"/>
        </w:rPr>
      </w:pPr>
      <w:r>
        <w:rPr>
          <w:rFonts w:hint="eastAsia" w:ascii="宋体" w:hAnsi="宋体"/>
          <w:color w:val="000000"/>
          <w:szCs w:val="21"/>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pPr>
        <w:tabs>
          <w:tab w:val="left" w:pos="0"/>
          <w:tab w:val="left" w:pos="360"/>
          <w:tab w:val="left" w:pos="540"/>
        </w:tabs>
        <w:spacing w:line="360" w:lineRule="auto"/>
        <w:ind w:firstLine="420" w:firstLineChars="200"/>
        <w:rPr>
          <w:rFonts w:ascii="宋体" w:hAns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）暂时确定调整差额</w:t>
      </w:r>
    </w:p>
    <w:p>
      <w:pPr>
        <w:tabs>
          <w:tab w:val="left" w:pos="0"/>
          <w:tab w:val="left" w:pos="360"/>
          <w:tab w:val="left" w:pos="540"/>
        </w:tabs>
        <w:spacing w:line="360" w:lineRule="auto"/>
        <w:ind w:firstLine="420" w:firstLineChars="200"/>
        <w:rPr>
          <w:rFonts w:ascii="宋体" w:hAnsi="宋体"/>
          <w:color w:val="000000"/>
          <w:szCs w:val="21"/>
        </w:rPr>
      </w:pPr>
      <w:r>
        <w:rPr>
          <w:rFonts w:hint="eastAsia" w:ascii="宋体" w:hAnsi="宋体"/>
          <w:color w:val="000000"/>
          <w:szCs w:val="21"/>
        </w:rPr>
        <w:t>在计算调整差额时无现行价格指数的，合同当事人同意暂用前次价格指数计算。实际价格指数有调整的，合同当事人进行相应调整。</w:t>
      </w:r>
    </w:p>
    <w:p>
      <w:pPr>
        <w:tabs>
          <w:tab w:val="left" w:pos="0"/>
          <w:tab w:val="left" w:pos="360"/>
          <w:tab w:val="left" w:pos="540"/>
        </w:tabs>
        <w:spacing w:line="360" w:lineRule="auto"/>
        <w:ind w:firstLine="420" w:firstLineChars="200"/>
        <w:rPr>
          <w:rFonts w:ascii="宋体" w:hAns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）权重的调整</w:t>
      </w:r>
    </w:p>
    <w:p>
      <w:pPr>
        <w:tabs>
          <w:tab w:val="left" w:pos="0"/>
          <w:tab w:val="left" w:pos="360"/>
          <w:tab w:val="left" w:pos="540"/>
        </w:tabs>
        <w:spacing w:line="360" w:lineRule="auto"/>
        <w:ind w:firstLine="420" w:firstLineChars="200"/>
        <w:rPr>
          <w:rFonts w:ascii="宋体" w:hAnsi="宋体"/>
          <w:color w:val="000000"/>
          <w:szCs w:val="21"/>
        </w:rPr>
      </w:pPr>
      <w:r>
        <w:rPr>
          <w:rFonts w:hint="eastAsia" w:ascii="宋体" w:hAnsi="宋体"/>
          <w:color w:val="000000"/>
          <w:szCs w:val="21"/>
        </w:rPr>
        <w:t>因变更导致合同约定的权重不合理时，按照第</w:t>
      </w:r>
      <w:r>
        <w:rPr>
          <w:rFonts w:ascii="宋体" w:hAnsi="宋体"/>
          <w:color w:val="000000"/>
          <w:szCs w:val="21"/>
        </w:rPr>
        <w:t>4.4</w:t>
      </w:r>
      <w:r>
        <w:rPr>
          <w:rFonts w:hint="eastAsia" w:ascii="宋体" w:hAnsi="宋体"/>
          <w:color w:val="000000"/>
          <w:szCs w:val="21"/>
        </w:rPr>
        <w:t>款〔商定或确定〕执行。</w:t>
      </w:r>
    </w:p>
    <w:p>
      <w:pPr>
        <w:tabs>
          <w:tab w:val="left" w:pos="0"/>
          <w:tab w:val="left" w:pos="360"/>
          <w:tab w:val="left" w:pos="540"/>
        </w:tabs>
        <w:spacing w:line="360" w:lineRule="auto"/>
        <w:ind w:firstLine="420" w:firstLineChars="200"/>
        <w:rPr>
          <w:rFonts w:ascii="宋体" w:hAnsi="宋体"/>
          <w:color w:val="000000"/>
          <w:szCs w:val="21"/>
        </w:rPr>
      </w:pPr>
      <w:r>
        <w:rPr>
          <w:rFonts w:hint="eastAsia" w:ascii="宋体" w:hAnsi="宋体"/>
          <w:color w:val="000000"/>
          <w:szCs w:val="21"/>
        </w:rPr>
        <w:t>（</w:t>
      </w:r>
      <w:r>
        <w:rPr>
          <w:rFonts w:ascii="宋体" w:hAnsi="宋体"/>
          <w:color w:val="000000"/>
          <w:szCs w:val="21"/>
        </w:rPr>
        <w:t>4</w:t>
      </w:r>
      <w:r>
        <w:rPr>
          <w:rFonts w:hint="eastAsia" w:ascii="宋体" w:hAnsi="宋体"/>
          <w:color w:val="000000"/>
          <w:szCs w:val="21"/>
        </w:rPr>
        <w:t>）因承包人原因工期延误后的价格调整</w:t>
      </w:r>
    </w:p>
    <w:p>
      <w:pPr>
        <w:tabs>
          <w:tab w:val="left" w:pos="0"/>
          <w:tab w:val="left" w:pos="360"/>
          <w:tab w:val="left" w:pos="540"/>
        </w:tabs>
        <w:spacing w:line="360" w:lineRule="auto"/>
        <w:ind w:firstLine="420" w:firstLineChars="200"/>
        <w:rPr>
          <w:rFonts w:ascii="宋体" w:hAnsi="宋体"/>
          <w:color w:val="000000"/>
          <w:szCs w:val="21"/>
        </w:rPr>
      </w:pPr>
      <w:r>
        <w:rPr>
          <w:rFonts w:hint="eastAsia" w:ascii="宋体" w:hAnsi="宋体"/>
          <w:color w:val="000000"/>
          <w:szCs w:val="21"/>
        </w:rPr>
        <w:t>因承包人原因未按期竣工的，对合同约定的竣工日期后继续施工的工程，在使用价格调整公式时，应采用计划竣工日期与实际竣工日期的两个价格指数中较低的一个作为现行价格指数。</w:t>
      </w:r>
    </w:p>
    <w:p>
      <w:pPr>
        <w:spacing w:line="360" w:lineRule="auto"/>
        <w:ind w:firstLine="420" w:firstLineChars="200"/>
        <w:rPr>
          <w:rFonts w:ascii="宋体" w:hAnsi="宋体"/>
          <w:color w:val="000000"/>
          <w:szCs w:val="21"/>
        </w:rPr>
      </w:pPr>
      <w:r>
        <w:rPr>
          <w:rFonts w:hint="eastAsia" w:ascii="宋体" w:hAnsi="宋体"/>
          <w:color w:val="000000"/>
          <w:szCs w:val="21"/>
        </w:rPr>
        <w:t>第</w:t>
      </w:r>
      <w:r>
        <w:rPr>
          <w:rFonts w:ascii="宋体" w:hAnsi="宋体"/>
          <w:color w:val="000000"/>
          <w:szCs w:val="21"/>
        </w:rPr>
        <w:t>2</w:t>
      </w:r>
      <w:r>
        <w:rPr>
          <w:rFonts w:hint="eastAsia" w:ascii="宋体" w:hAnsi="宋体"/>
          <w:color w:val="000000"/>
          <w:szCs w:val="21"/>
        </w:rPr>
        <w:t>种方式：采用造价信息进行价格调整。</w:t>
      </w:r>
    </w:p>
    <w:p>
      <w:pPr>
        <w:spacing w:line="360" w:lineRule="auto"/>
        <w:ind w:firstLine="420" w:firstLineChars="200"/>
        <w:rPr>
          <w:rFonts w:ascii="宋体" w:hAnsi="宋体"/>
          <w:color w:val="000000"/>
          <w:szCs w:val="21"/>
        </w:rPr>
      </w:pPr>
      <w:r>
        <w:rPr>
          <w:rFonts w:hint="eastAsia" w:ascii="宋体" w:hAnsi="宋体"/>
          <w:color w:val="000000"/>
          <w:szCs w:val="21"/>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pPr>
        <w:spacing w:line="360" w:lineRule="auto"/>
        <w:ind w:firstLine="420" w:firstLineChars="200"/>
        <w:rPr>
          <w:rFonts w:ascii="宋体" w:hAns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pPr>
        <w:spacing w:line="360" w:lineRule="auto"/>
        <w:ind w:firstLine="420" w:firstLineChars="200"/>
        <w:rPr>
          <w:rFonts w:ascii="宋体" w:hAns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）材料、工程设备价格变化的价款调整按照发包人提供的基准价格，按以下风险范围规定执行</w:t>
      </w:r>
      <w:r>
        <w:rPr>
          <w:rFonts w:hint="eastAsia" w:ascii="宋体" w:hAnsi="宋体"/>
          <w:color w:val="000000"/>
          <w:szCs w:val="21"/>
          <w:lang w:eastAsia="zh-CN"/>
        </w:rPr>
        <w:t>：</w:t>
      </w:r>
    </w:p>
    <w:p>
      <w:pPr>
        <w:spacing w:line="360" w:lineRule="auto"/>
        <w:ind w:firstLine="420" w:firstLineChars="200"/>
        <w:rPr>
          <w:rFonts w:ascii="宋体" w:hAnsi="宋体"/>
          <w:color w:val="000000"/>
          <w:szCs w:val="21"/>
        </w:rPr>
      </w:pPr>
      <w:r>
        <w:rPr>
          <w:rFonts w:hint="eastAsia" w:ascii="宋体" w:hAnsi="宋体" w:cs="宋体"/>
          <w:color w:val="000000"/>
          <w:szCs w:val="21"/>
        </w:rPr>
        <w:t>①</w:t>
      </w:r>
      <w:r>
        <w:rPr>
          <w:rFonts w:hint="eastAsia" w:ascii="宋体" w:hAnsi="宋体"/>
          <w:color w:val="000000"/>
          <w:szCs w:val="21"/>
        </w:rPr>
        <w:t>承包人在已标价工程量清单或预算书中载明材料单价低于基准价格的：除专用合同条款另有约定外，合同履行期间材料单价涨幅以基准价格为基础超过</w:t>
      </w:r>
      <w:r>
        <w:rPr>
          <w:rFonts w:ascii="宋体" w:hAnsi="宋体"/>
          <w:color w:val="000000"/>
          <w:szCs w:val="21"/>
        </w:rPr>
        <w:t>5%</w:t>
      </w:r>
      <w:r>
        <w:rPr>
          <w:rFonts w:hint="eastAsia" w:ascii="宋体" w:hAnsi="宋体"/>
          <w:color w:val="000000"/>
          <w:szCs w:val="21"/>
        </w:rPr>
        <w:t>时，或材料单价跌幅以在已标价工程量清单或预算书中载明材料单价为基础超过</w:t>
      </w:r>
      <w:r>
        <w:rPr>
          <w:rFonts w:ascii="宋体" w:hAnsi="宋体"/>
          <w:color w:val="000000"/>
          <w:szCs w:val="21"/>
        </w:rPr>
        <w:t>5%</w:t>
      </w:r>
      <w:r>
        <w:rPr>
          <w:rFonts w:hint="eastAsia" w:ascii="宋体" w:hAnsi="宋体"/>
          <w:color w:val="000000"/>
          <w:szCs w:val="21"/>
        </w:rPr>
        <w:t>时，其超过部分据实调整。</w:t>
      </w:r>
    </w:p>
    <w:p>
      <w:pPr>
        <w:spacing w:line="360" w:lineRule="auto"/>
        <w:ind w:firstLine="420" w:firstLineChars="200"/>
        <w:rPr>
          <w:rFonts w:ascii="宋体" w:hAnsi="宋体"/>
          <w:color w:val="000000"/>
          <w:szCs w:val="21"/>
        </w:rPr>
      </w:pPr>
      <w:r>
        <w:rPr>
          <w:rFonts w:hint="eastAsia" w:ascii="宋体" w:hAnsi="宋体" w:cs="宋体"/>
          <w:color w:val="000000"/>
          <w:szCs w:val="21"/>
        </w:rPr>
        <w:t>②</w:t>
      </w:r>
      <w:r>
        <w:rPr>
          <w:rFonts w:hint="eastAsia" w:ascii="宋体" w:hAnsi="宋体"/>
          <w:color w:val="000000"/>
          <w:szCs w:val="21"/>
        </w:rPr>
        <w:t>承包人在已标价工程量清单或预算书中载明材料单价高于基准价格的：除专用合同条款另有约定外，合同履行期间材料单价跌幅以基准价格为基础超过</w:t>
      </w:r>
      <w:r>
        <w:rPr>
          <w:rFonts w:ascii="宋体" w:hAnsi="宋体"/>
          <w:color w:val="000000"/>
          <w:szCs w:val="21"/>
        </w:rPr>
        <w:t>5%</w:t>
      </w:r>
      <w:r>
        <w:rPr>
          <w:rFonts w:hint="eastAsia" w:ascii="宋体" w:hAnsi="宋体"/>
          <w:color w:val="000000"/>
          <w:szCs w:val="21"/>
        </w:rPr>
        <w:t>时，材料单价涨幅以在已标价工程量清单或预算书中载明材料单价为基础超过</w:t>
      </w:r>
      <w:r>
        <w:rPr>
          <w:rFonts w:ascii="宋体" w:hAnsi="宋体"/>
          <w:color w:val="000000"/>
          <w:szCs w:val="21"/>
        </w:rPr>
        <w:t>5%</w:t>
      </w:r>
      <w:r>
        <w:rPr>
          <w:rFonts w:hint="eastAsia" w:ascii="宋体" w:hAnsi="宋体"/>
          <w:color w:val="000000"/>
          <w:szCs w:val="21"/>
        </w:rPr>
        <w:t>时，其超过部分据实调整。</w:t>
      </w:r>
    </w:p>
    <w:p>
      <w:pPr>
        <w:spacing w:line="360" w:lineRule="auto"/>
        <w:ind w:firstLine="420" w:firstLineChars="200"/>
        <w:rPr>
          <w:rFonts w:ascii="宋体" w:hAnsi="宋体"/>
          <w:color w:val="000000"/>
          <w:szCs w:val="21"/>
        </w:rPr>
      </w:pPr>
      <w:r>
        <w:rPr>
          <w:rFonts w:hint="eastAsia" w:ascii="宋体" w:hAnsi="宋体" w:cs="宋体"/>
          <w:color w:val="000000"/>
          <w:szCs w:val="21"/>
        </w:rPr>
        <w:t>③</w:t>
      </w:r>
      <w:r>
        <w:rPr>
          <w:rFonts w:hint="eastAsia" w:ascii="宋体" w:hAnsi="宋体"/>
          <w:color w:val="000000"/>
          <w:szCs w:val="21"/>
        </w:rPr>
        <w:t>承包人在已标价工程量清单或预算书中载明材料单价等于基准价格的：除专用合同条款另有约定外，合同履行期间材料单价涨跌幅以基准价格为基础超过</w:t>
      </w:r>
      <w:r>
        <w:rPr>
          <w:rFonts w:ascii="宋体" w:hAnsi="宋体"/>
          <w:color w:val="000000"/>
          <w:szCs w:val="21"/>
        </w:rPr>
        <w:t>±5%</w:t>
      </w:r>
      <w:r>
        <w:rPr>
          <w:rFonts w:hint="eastAsia" w:ascii="宋体" w:hAnsi="宋体"/>
          <w:color w:val="000000"/>
          <w:szCs w:val="21"/>
        </w:rPr>
        <w:t>时，其超过部分据实调整。</w:t>
      </w:r>
    </w:p>
    <w:p>
      <w:pPr>
        <w:spacing w:line="360" w:lineRule="auto"/>
        <w:ind w:firstLine="420" w:firstLineChars="200"/>
        <w:rPr>
          <w:rFonts w:ascii="宋体" w:hAnsi="宋体"/>
          <w:color w:val="000000"/>
          <w:szCs w:val="21"/>
        </w:rPr>
      </w:pPr>
      <w:r>
        <w:rPr>
          <w:rFonts w:hint="eastAsia" w:ascii="宋体" w:hAnsi="宋体" w:cs="宋体"/>
          <w:color w:val="000000"/>
          <w:szCs w:val="21"/>
        </w:rPr>
        <w:t>④</w:t>
      </w:r>
      <w:r>
        <w:rPr>
          <w:rFonts w:hint="eastAsia" w:ascii="宋体" w:hAnsi="宋体"/>
          <w:color w:val="000000"/>
          <w:szCs w:val="21"/>
        </w:rPr>
        <w:t>承包人应在采购材料前将采购数量和新的材料单价报发包人核对，发包人确认用于工程时，发包人应确认采购材料的数量和单价。发包人在收到承包人报送的确认资料后</w:t>
      </w:r>
      <w:r>
        <w:rPr>
          <w:rFonts w:ascii="宋体" w:hAnsi="宋体"/>
          <w:color w:val="000000"/>
          <w:szCs w:val="21"/>
        </w:rPr>
        <w:t>5</w:t>
      </w:r>
      <w:r>
        <w:rPr>
          <w:rFonts w:hint="eastAsia" w:ascii="宋体" w:hAnsi="宋体"/>
          <w:color w:val="000000"/>
          <w:szCs w:val="21"/>
        </w:rPr>
        <w:t>天内不予答复的视为认可，作为调整合同价格的依据。未经发包人事先核对，承包人自行采购材料的，发包人有权不予调整合同价格。发包人同意的，可以调整合同价格。</w:t>
      </w:r>
    </w:p>
    <w:p>
      <w:pPr>
        <w:spacing w:line="360" w:lineRule="auto"/>
        <w:ind w:firstLine="420" w:firstLineChars="200"/>
        <w:rPr>
          <w:rFonts w:ascii="宋体" w:hAnsi="宋体"/>
          <w:color w:val="000000"/>
          <w:szCs w:val="21"/>
        </w:rPr>
      </w:pPr>
      <w:r>
        <w:rPr>
          <w:rFonts w:hint="eastAsia" w:ascii="宋体" w:hAnsi="宋体"/>
          <w:color w:val="000000"/>
          <w:szCs w:val="21"/>
        </w:rPr>
        <w:t>前述基准价格是指由发包人在招标文件或专用合同条款中给定的材料、工程设备的价格，该价格原则上应当按照省级或行业建设主管部门或其授权的工程造价管理机构发布的信息价编制。</w:t>
      </w:r>
    </w:p>
    <w:p>
      <w:pPr>
        <w:spacing w:line="360" w:lineRule="auto"/>
        <w:ind w:firstLine="420" w:firstLineChars="200"/>
        <w:rPr>
          <w:rFonts w:ascii="宋体" w:hAns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）施工机械台班单价或施工机械使用费发生变化超过省级或行业建设主管部门或其授权的工程造价管理机构规定的范围时，按规定调整合同价格。</w:t>
      </w:r>
    </w:p>
    <w:p>
      <w:pPr>
        <w:spacing w:line="360" w:lineRule="auto"/>
        <w:ind w:firstLine="420" w:firstLineChars="200"/>
        <w:rPr>
          <w:rFonts w:ascii="宋体" w:hAnsi="宋体"/>
          <w:color w:val="000000"/>
          <w:szCs w:val="21"/>
        </w:rPr>
      </w:pPr>
      <w:r>
        <w:rPr>
          <w:rFonts w:hint="eastAsia" w:ascii="宋体" w:hAnsi="宋体"/>
          <w:color w:val="000000"/>
          <w:szCs w:val="21"/>
        </w:rPr>
        <w:t>第</w:t>
      </w:r>
      <w:r>
        <w:rPr>
          <w:rFonts w:ascii="宋体" w:hAnsi="宋体"/>
          <w:color w:val="000000"/>
          <w:szCs w:val="21"/>
        </w:rPr>
        <w:t>3</w:t>
      </w:r>
      <w:r>
        <w:rPr>
          <w:rFonts w:hint="eastAsia" w:ascii="宋体" w:hAnsi="宋体"/>
          <w:color w:val="000000"/>
          <w:szCs w:val="21"/>
        </w:rPr>
        <w:t>种方式：专用合同条款约定的其他方式。</w:t>
      </w:r>
    </w:p>
    <w:p>
      <w:pPr>
        <w:rPr>
          <w:rFonts w:ascii="黑体" w:hAnsi="黑体" w:eastAsia="黑体"/>
          <w:color w:val="000000"/>
        </w:rPr>
      </w:pPr>
      <w:bookmarkStart w:id="536" w:name="_Toc337558798"/>
      <w:bookmarkStart w:id="537" w:name="_Toc296503093"/>
      <w:bookmarkStart w:id="538" w:name="_Toc296346594"/>
      <w:r>
        <w:rPr>
          <w:rFonts w:ascii="黑体" w:hAnsi="黑体" w:eastAsia="黑体"/>
          <w:color w:val="000000"/>
        </w:rPr>
        <w:t>11.2</w:t>
      </w:r>
      <w:r>
        <w:rPr>
          <w:rFonts w:hint="eastAsia" w:ascii="黑体" w:hAnsi="黑体" w:eastAsia="黑体"/>
          <w:color w:val="000000"/>
        </w:rPr>
        <w:t>法律变化引起的调整</w:t>
      </w:r>
    </w:p>
    <w:bookmarkEnd w:id="536"/>
    <w:bookmarkEnd w:id="537"/>
    <w:bookmarkEnd w:id="538"/>
    <w:p>
      <w:pPr>
        <w:spacing w:line="360" w:lineRule="auto"/>
        <w:ind w:firstLine="420" w:firstLineChars="200"/>
        <w:rPr>
          <w:rFonts w:ascii="宋体" w:hAnsi="宋体"/>
          <w:color w:val="000000"/>
          <w:szCs w:val="21"/>
        </w:rPr>
      </w:pPr>
      <w:r>
        <w:rPr>
          <w:rFonts w:hint="eastAsia" w:ascii="宋体" w:hAnsi="宋体"/>
          <w:color w:val="000000"/>
          <w:szCs w:val="21"/>
        </w:rPr>
        <w:t>基准日期后，法律变化导致承包人在合同履行过程中所需要的费用发生除第</w:t>
      </w:r>
      <w:r>
        <w:rPr>
          <w:rFonts w:ascii="宋体" w:hAnsi="宋体"/>
          <w:color w:val="000000"/>
          <w:szCs w:val="21"/>
        </w:rPr>
        <w:t>11.1</w:t>
      </w:r>
      <w:r>
        <w:rPr>
          <w:rFonts w:hint="eastAsia" w:ascii="宋体" w:hAnsi="宋体"/>
          <w:color w:val="000000"/>
          <w:szCs w:val="21"/>
        </w:rPr>
        <w:t>款〔市场价格波动引起的调整〕约定以外的增加时，由发包人承担由此增加的费用；减少时，应从合同价格中予以扣减。基准日期后，因法律变化造成工期延误时，工期应予以顺延。</w:t>
      </w:r>
    </w:p>
    <w:p>
      <w:pPr>
        <w:spacing w:line="360" w:lineRule="auto"/>
        <w:ind w:firstLine="420" w:firstLineChars="200"/>
        <w:rPr>
          <w:rFonts w:ascii="宋体" w:hAnsi="宋体"/>
          <w:color w:val="000000"/>
          <w:szCs w:val="21"/>
        </w:rPr>
      </w:pPr>
      <w:r>
        <w:rPr>
          <w:rFonts w:hint="eastAsia" w:ascii="宋体" w:hAnsi="宋体"/>
          <w:color w:val="000000"/>
          <w:szCs w:val="21"/>
        </w:rPr>
        <w:t>因法律变化引起的合同价格和工期调整，合同当事人无法达成一致的，由总监理工程师按第</w:t>
      </w:r>
      <w:r>
        <w:rPr>
          <w:rFonts w:ascii="宋体" w:hAnsi="宋体"/>
          <w:color w:val="000000"/>
          <w:szCs w:val="21"/>
        </w:rPr>
        <w:t>4.4</w:t>
      </w:r>
      <w:r>
        <w:rPr>
          <w:rFonts w:hint="eastAsia" w:ascii="宋体" w:hAnsi="宋体"/>
          <w:color w:val="000000"/>
          <w:szCs w:val="21"/>
        </w:rPr>
        <w:t>款〔商定或确定〕的约定处理。</w:t>
      </w:r>
    </w:p>
    <w:p>
      <w:pPr>
        <w:spacing w:line="360" w:lineRule="auto"/>
        <w:ind w:firstLine="420" w:firstLineChars="200"/>
        <w:rPr>
          <w:rFonts w:ascii="宋体" w:hAnsi="宋体"/>
          <w:color w:val="000000"/>
          <w:szCs w:val="21"/>
        </w:rPr>
      </w:pPr>
      <w:r>
        <w:rPr>
          <w:rFonts w:hint="eastAsia" w:ascii="宋体" w:hAnsi="宋体"/>
          <w:color w:val="000000"/>
          <w:kern w:val="0"/>
          <w:szCs w:val="21"/>
        </w:rPr>
        <w:t>因承包人原因造成工期延误，在工期延误期间出现法律变化的，由此增加的费用和（或）延误的工期由承包人承担。</w:t>
      </w:r>
    </w:p>
    <w:p>
      <w:pPr>
        <w:pStyle w:val="5"/>
        <w:spacing w:before="120" w:after="120" w:line="360" w:lineRule="auto"/>
        <w:rPr>
          <w:rFonts w:ascii="黑体" w:hAnsi="黑体"/>
          <w:b w:val="0"/>
          <w:color w:val="000000"/>
        </w:rPr>
      </w:pPr>
      <w:bookmarkStart w:id="539" w:name="_Toc362623177"/>
      <w:bookmarkStart w:id="540" w:name="_Toc114222813"/>
      <w:bookmarkStart w:id="541" w:name="_Toc337558799"/>
      <w:bookmarkStart w:id="542" w:name="_Toc296346597"/>
      <w:bookmarkStart w:id="543" w:name="_Toc296503096"/>
      <w:r>
        <w:rPr>
          <w:rFonts w:ascii="黑体" w:hAnsi="黑体"/>
          <w:b w:val="0"/>
          <w:color w:val="000000"/>
        </w:rPr>
        <w:t xml:space="preserve">12. </w:t>
      </w:r>
      <w:r>
        <w:rPr>
          <w:rFonts w:hint="eastAsia" w:ascii="黑体" w:hAnsi="黑体"/>
          <w:b w:val="0"/>
          <w:color w:val="000000"/>
        </w:rPr>
        <w:t>合同价格、计量与支付</w:t>
      </w:r>
      <w:bookmarkEnd w:id="539"/>
      <w:bookmarkEnd w:id="540"/>
    </w:p>
    <w:bookmarkEnd w:id="541"/>
    <w:p>
      <w:pPr>
        <w:rPr>
          <w:rFonts w:ascii="黑体" w:hAnsi="黑体" w:eastAsia="黑体"/>
          <w:color w:val="000000"/>
        </w:rPr>
      </w:pPr>
      <w:bookmarkStart w:id="544" w:name="_Toc337558800"/>
      <w:r>
        <w:rPr>
          <w:rFonts w:ascii="黑体" w:hAnsi="黑体" w:eastAsia="黑体"/>
          <w:color w:val="000000"/>
        </w:rPr>
        <w:t xml:space="preserve">12.1 </w:t>
      </w:r>
      <w:r>
        <w:rPr>
          <w:rFonts w:hint="eastAsia" w:ascii="黑体" w:hAnsi="黑体" w:eastAsia="黑体"/>
          <w:color w:val="000000"/>
        </w:rPr>
        <w:t>合同价</w:t>
      </w:r>
      <w:bookmarkEnd w:id="542"/>
      <w:bookmarkEnd w:id="543"/>
      <w:r>
        <w:rPr>
          <w:rFonts w:hint="eastAsia" w:ascii="黑体" w:hAnsi="黑体" w:eastAsia="黑体"/>
          <w:color w:val="000000"/>
        </w:rPr>
        <w:t>格形式</w:t>
      </w:r>
    </w:p>
    <w:bookmarkEnd w:id="544"/>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发包人和承包人应在合同协议书中选择下列一种合同价格形式：</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1</w:t>
      </w:r>
      <w:r>
        <w:rPr>
          <w:rFonts w:hint="eastAsia" w:ascii="宋体" w:hAnsi="宋体"/>
          <w:color w:val="000000"/>
          <w:kern w:val="0"/>
          <w:szCs w:val="21"/>
        </w:rPr>
        <w:t>、单价合同</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单价合同是指合同当事人约定以工程量清单及其综合单价进行合同价格计算、调整和确认的建设工程施工合同，</w:t>
      </w:r>
      <w:r>
        <w:rPr>
          <w:rFonts w:hint="eastAsia" w:ascii="宋体" w:hAnsi="宋体"/>
          <w:color w:val="000000"/>
          <w:szCs w:val="21"/>
        </w:rPr>
        <w:t>在约定的范围内合同单价不作调整</w:t>
      </w:r>
      <w:r>
        <w:rPr>
          <w:rFonts w:hint="eastAsia" w:ascii="宋体" w:hAnsi="宋体"/>
          <w:color w:val="000000"/>
          <w:kern w:val="0"/>
          <w:szCs w:val="21"/>
        </w:rPr>
        <w:t>。合同当事人应在专用合同条款中约定综合单价包含的风险范围和风险费用的计算方法</w:t>
      </w:r>
      <w:r>
        <w:rPr>
          <w:rFonts w:hint="eastAsia" w:ascii="宋体" w:hAnsi="宋体"/>
          <w:color w:val="000000"/>
          <w:szCs w:val="21"/>
        </w:rPr>
        <w:t>，</w:t>
      </w:r>
      <w:r>
        <w:rPr>
          <w:rFonts w:hint="eastAsia" w:ascii="宋体" w:hAnsi="宋体"/>
          <w:color w:val="000000"/>
          <w:kern w:val="0"/>
          <w:szCs w:val="21"/>
        </w:rPr>
        <w:t>并约定风险范围以外的合同价格的调整方法，其中因市场价格波动引起的调整按第</w:t>
      </w:r>
      <w:r>
        <w:rPr>
          <w:rFonts w:ascii="宋体" w:hAnsi="宋体"/>
          <w:color w:val="000000"/>
          <w:kern w:val="0"/>
          <w:szCs w:val="21"/>
        </w:rPr>
        <w:t>11.1</w:t>
      </w:r>
      <w:r>
        <w:rPr>
          <w:rFonts w:hint="eastAsia" w:ascii="宋体" w:hAnsi="宋体"/>
          <w:color w:val="000000"/>
          <w:kern w:val="0"/>
          <w:szCs w:val="21"/>
        </w:rPr>
        <w:t>款〔市场价格波动引起的调整〕约定执行。</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2</w:t>
      </w:r>
      <w:r>
        <w:rPr>
          <w:rFonts w:hint="eastAsia" w:ascii="宋体" w:hAnsi="宋体"/>
          <w:color w:val="000000"/>
          <w:kern w:val="0"/>
          <w:szCs w:val="21"/>
        </w:rPr>
        <w:t>、总价合同</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总价合同是指合同当事人约定以施工图、已标价工程量清单或预算书及有关条件进行合同价格计算、调整和确认的建设工程施工合同，</w:t>
      </w:r>
      <w:r>
        <w:rPr>
          <w:rFonts w:hint="eastAsia" w:ascii="宋体" w:hAnsi="宋体"/>
          <w:color w:val="000000"/>
          <w:szCs w:val="21"/>
        </w:rPr>
        <w:t>在约定的范围内合同总价不作调整</w:t>
      </w:r>
      <w:r>
        <w:rPr>
          <w:rFonts w:hint="eastAsia" w:ascii="宋体" w:hAnsi="宋体"/>
          <w:color w:val="000000"/>
          <w:kern w:val="0"/>
          <w:szCs w:val="21"/>
        </w:rPr>
        <w:t>。合同当事人应在专用合同条款中约定总价包含的风险范围和风险费用的计算方法，并约定风险范围以外的合同价格的调整方法，其中因市场价格波动引起的调整按第</w:t>
      </w:r>
      <w:r>
        <w:rPr>
          <w:rFonts w:ascii="宋体" w:hAnsi="宋体"/>
          <w:color w:val="000000"/>
          <w:kern w:val="0"/>
          <w:szCs w:val="21"/>
        </w:rPr>
        <w:t>11.1</w:t>
      </w:r>
      <w:r>
        <w:rPr>
          <w:rFonts w:hint="eastAsia" w:ascii="宋体" w:hAnsi="宋体"/>
          <w:color w:val="000000"/>
          <w:kern w:val="0"/>
          <w:szCs w:val="21"/>
        </w:rPr>
        <w:t>款〔市场价格波动引起的调整〕、因法律变化引起的调整按第</w:t>
      </w:r>
      <w:r>
        <w:rPr>
          <w:rFonts w:ascii="宋体" w:hAnsi="宋体"/>
          <w:color w:val="000000"/>
          <w:kern w:val="0"/>
          <w:szCs w:val="21"/>
        </w:rPr>
        <w:t>11.2</w:t>
      </w:r>
      <w:r>
        <w:rPr>
          <w:rFonts w:hint="eastAsia" w:ascii="宋体" w:hAnsi="宋体"/>
          <w:color w:val="000000"/>
          <w:kern w:val="0"/>
          <w:szCs w:val="21"/>
        </w:rPr>
        <w:t>款〔法律变化引起的调整〕约定执行。</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3</w:t>
      </w:r>
      <w:r>
        <w:rPr>
          <w:rFonts w:hint="eastAsia" w:ascii="宋体" w:hAnsi="宋体"/>
          <w:color w:val="000000"/>
          <w:kern w:val="0"/>
          <w:szCs w:val="21"/>
        </w:rPr>
        <w:t>、其它价格形式</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合同当事人可在专用合同条款中约定其他合同价格形式。</w:t>
      </w:r>
    </w:p>
    <w:p>
      <w:pPr>
        <w:rPr>
          <w:rFonts w:ascii="黑体" w:hAnsi="黑体" w:eastAsia="黑体"/>
          <w:color w:val="000000"/>
        </w:rPr>
      </w:pPr>
      <w:bookmarkStart w:id="545" w:name="_Toc296346598"/>
      <w:bookmarkStart w:id="546" w:name="_Toc296503097"/>
      <w:bookmarkStart w:id="547" w:name="_Toc337558801"/>
      <w:r>
        <w:rPr>
          <w:rFonts w:ascii="黑体" w:hAnsi="黑体" w:eastAsia="黑体"/>
          <w:color w:val="000000"/>
        </w:rPr>
        <w:t>12.2</w:t>
      </w:r>
      <w:r>
        <w:rPr>
          <w:rFonts w:hint="eastAsia" w:ascii="黑体" w:hAnsi="黑体" w:eastAsia="黑体"/>
          <w:color w:val="000000"/>
        </w:rPr>
        <w:t>预</w:t>
      </w:r>
      <w:bookmarkEnd w:id="545"/>
      <w:bookmarkEnd w:id="546"/>
      <w:bookmarkStart w:id="548" w:name="_Toc296346601"/>
      <w:bookmarkStart w:id="549" w:name="_Toc296503100"/>
      <w:r>
        <w:rPr>
          <w:rFonts w:hint="eastAsia" w:ascii="黑体" w:hAnsi="黑体" w:eastAsia="黑体"/>
          <w:color w:val="000000"/>
        </w:rPr>
        <w:t>付款</w:t>
      </w:r>
    </w:p>
    <w:bookmarkEnd w:id="547"/>
    <w:bookmarkEnd w:id="548"/>
    <w:bookmarkEnd w:id="549"/>
    <w:p>
      <w:pPr>
        <w:spacing w:line="360" w:lineRule="auto"/>
        <w:ind w:firstLine="420" w:firstLineChars="200"/>
        <w:jc w:val="left"/>
        <w:rPr>
          <w:rFonts w:ascii="宋体" w:hAnsi="宋体"/>
          <w:color w:val="000000"/>
          <w:kern w:val="0"/>
          <w:szCs w:val="21"/>
        </w:rPr>
      </w:pPr>
      <w:r>
        <w:rPr>
          <w:rFonts w:ascii="宋体" w:hAnsi="宋体"/>
          <w:color w:val="000000"/>
          <w:szCs w:val="21"/>
        </w:rPr>
        <w:t>12.2.</w:t>
      </w:r>
      <w:r>
        <w:rPr>
          <w:rFonts w:ascii="宋体" w:hAnsi="宋体"/>
          <w:color w:val="000000"/>
          <w:kern w:val="0"/>
          <w:szCs w:val="21"/>
        </w:rPr>
        <w:t>1</w:t>
      </w:r>
      <w:r>
        <w:rPr>
          <w:rFonts w:hint="eastAsia" w:ascii="宋体" w:hAnsi="宋体"/>
          <w:color w:val="000000"/>
          <w:kern w:val="0"/>
          <w:szCs w:val="21"/>
        </w:rPr>
        <w:t>预付款的支付</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预付款的支付按照专用合同条款约定执行，但至迟应在开工通知载明的开工日期</w:t>
      </w:r>
      <w:r>
        <w:rPr>
          <w:rFonts w:ascii="宋体" w:hAnsi="宋体"/>
          <w:color w:val="000000"/>
          <w:kern w:val="0"/>
          <w:szCs w:val="21"/>
        </w:rPr>
        <w:t>7</w:t>
      </w:r>
      <w:r>
        <w:rPr>
          <w:rFonts w:hint="eastAsia" w:ascii="宋体" w:hAnsi="宋体"/>
          <w:color w:val="000000"/>
          <w:kern w:val="0"/>
          <w:szCs w:val="21"/>
        </w:rPr>
        <w:t>天前支付。预付款应当用于材料、工程设备、施工设备的采购及修建临时工程、组织施工队伍进场等。</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除专用合同条款另有约定外，预付款在进度付款中同比例扣回。在颁发工程接收证书前，提前解除合同的，尚未扣完的预付款应与合同价款一并结算。</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发包人逾期支付预付款超过</w:t>
      </w:r>
      <w:r>
        <w:rPr>
          <w:rFonts w:ascii="宋体" w:hAnsi="宋体"/>
          <w:color w:val="000000"/>
          <w:kern w:val="0"/>
          <w:szCs w:val="21"/>
        </w:rPr>
        <w:t>7</w:t>
      </w:r>
      <w:r>
        <w:rPr>
          <w:rFonts w:hint="eastAsia" w:ascii="宋体" w:hAnsi="宋体"/>
          <w:color w:val="000000"/>
          <w:kern w:val="0"/>
          <w:szCs w:val="21"/>
        </w:rPr>
        <w:t>天的，承包人有权向发包人发出要求预付的催告通知，发包人收到通知后</w:t>
      </w:r>
      <w:r>
        <w:rPr>
          <w:rFonts w:ascii="宋体" w:hAnsi="宋体"/>
          <w:color w:val="000000"/>
          <w:kern w:val="0"/>
          <w:szCs w:val="21"/>
        </w:rPr>
        <w:t>7</w:t>
      </w:r>
      <w:r>
        <w:rPr>
          <w:rFonts w:hint="eastAsia" w:ascii="宋体" w:hAnsi="宋体"/>
          <w:color w:val="000000"/>
          <w:kern w:val="0"/>
          <w:szCs w:val="21"/>
        </w:rPr>
        <w:t>天内仍未支付的，承包人有权暂停施工，并按第</w:t>
      </w:r>
      <w:r>
        <w:rPr>
          <w:rFonts w:ascii="宋体" w:hAnsi="宋体"/>
          <w:color w:val="000000"/>
          <w:kern w:val="0"/>
          <w:szCs w:val="21"/>
        </w:rPr>
        <w:t>16.1.1</w:t>
      </w:r>
      <w:r>
        <w:rPr>
          <w:rFonts w:hint="eastAsia" w:ascii="宋体" w:hAnsi="宋体"/>
          <w:color w:val="000000"/>
          <w:kern w:val="0"/>
          <w:szCs w:val="21"/>
        </w:rPr>
        <w:t>项〔发包人违约的情形〕执行。</w:t>
      </w:r>
    </w:p>
    <w:p>
      <w:pPr>
        <w:spacing w:line="360" w:lineRule="auto"/>
        <w:ind w:firstLine="420" w:firstLineChars="200"/>
        <w:jc w:val="left"/>
        <w:rPr>
          <w:rFonts w:ascii="宋体" w:hAnsi="宋体"/>
          <w:color w:val="000000"/>
          <w:szCs w:val="21"/>
        </w:rPr>
      </w:pPr>
      <w:r>
        <w:rPr>
          <w:rFonts w:ascii="宋体" w:hAnsi="宋体"/>
          <w:color w:val="000000"/>
          <w:szCs w:val="21"/>
        </w:rPr>
        <w:t xml:space="preserve">12.2.2 </w:t>
      </w:r>
      <w:r>
        <w:rPr>
          <w:rFonts w:hint="eastAsia" w:ascii="宋体" w:hAnsi="宋体"/>
          <w:color w:val="000000"/>
          <w:szCs w:val="21"/>
        </w:rPr>
        <w:t>预付款担保</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发包人要求承包人提供预付款担保的，承包人应在发包人支付预付款</w:t>
      </w:r>
      <w:r>
        <w:rPr>
          <w:rFonts w:ascii="宋体" w:hAnsi="宋体"/>
          <w:color w:val="000000"/>
          <w:kern w:val="0"/>
          <w:szCs w:val="21"/>
        </w:rPr>
        <w:t>7</w:t>
      </w:r>
      <w:r>
        <w:rPr>
          <w:rFonts w:hint="eastAsia" w:ascii="宋体" w:hAnsi="宋体"/>
          <w:color w:val="000000"/>
          <w:kern w:val="0"/>
          <w:szCs w:val="21"/>
        </w:rPr>
        <w:t>天前提供预付款担保，专用合同条款另有约定除外。预付款担保可采用银行保函、担保公司担保等形式，具体由合同当事人在专用合同条款中约定。在预付款完全扣回之前，承包人应保证预付款担保持续有效。</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发包人在工程款中逐期扣回预付款后，预付款担保额度应相应减少，但剩余的预付款担保金额不得低于未被扣回的预付款金额。</w:t>
      </w:r>
    </w:p>
    <w:p>
      <w:pPr>
        <w:rPr>
          <w:rFonts w:ascii="黑体" w:hAnsi="黑体" w:eastAsia="黑体"/>
          <w:color w:val="000000"/>
        </w:rPr>
      </w:pPr>
      <w:bookmarkStart w:id="550" w:name="_Toc337558802"/>
      <w:r>
        <w:rPr>
          <w:rFonts w:ascii="黑体" w:hAnsi="黑体" w:eastAsia="黑体"/>
          <w:color w:val="000000"/>
        </w:rPr>
        <w:t>12.3</w:t>
      </w:r>
      <w:r>
        <w:rPr>
          <w:rFonts w:hint="eastAsia" w:ascii="黑体" w:hAnsi="黑体" w:eastAsia="黑体"/>
          <w:color w:val="000000"/>
        </w:rPr>
        <w:t>计量</w:t>
      </w:r>
    </w:p>
    <w:bookmarkEnd w:id="550"/>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12.3.1 </w:t>
      </w:r>
      <w:r>
        <w:rPr>
          <w:rFonts w:hint="eastAsia" w:ascii="宋体" w:hAnsi="宋体"/>
          <w:color w:val="000000"/>
          <w:kern w:val="0"/>
          <w:szCs w:val="21"/>
        </w:rPr>
        <w:t>计量原则</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工程量计量按照合同约定的工程量计算规则、图纸及变更指示等进行计量。工程量计算规则应以相关的国家标准、行业标准等为依据，由合同当事人在专用合同条款中约定。</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12.3.2 </w:t>
      </w:r>
      <w:r>
        <w:rPr>
          <w:rFonts w:hint="eastAsia" w:ascii="宋体" w:hAnsi="宋体"/>
          <w:color w:val="000000"/>
          <w:kern w:val="0"/>
          <w:szCs w:val="21"/>
        </w:rPr>
        <w:t>计量周期</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除专用合同条款另有约定外，工程量的计量按月进行。</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12.3.3 </w:t>
      </w:r>
      <w:r>
        <w:rPr>
          <w:rFonts w:hint="eastAsia" w:ascii="宋体" w:hAnsi="宋体"/>
          <w:color w:val="000000"/>
          <w:kern w:val="0"/>
          <w:szCs w:val="21"/>
        </w:rPr>
        <w:t>单价合同的计量</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除专用合同条款另有约定外，单价合同的计量按照本项约定执行：</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）承包人应于每月</w:t>
      </w:r>
      <w:r>
        <w:rPr>
          <w:rFonts w:ascii="宋体" w:hAnsi="宋体"/>
          <w:color w:val="000000"/>
          <w:kern w:val="0"/>
          <w:szCs w:val="21"/>
        </w:rPr>
        <w:t>25</w:t>
      </w:r>
      <w:r>
        <w:rPr>
          <w:rFonts w:hint="eastAsia" w:ascii="宋体" w:hAnsi="宋体"/>
          <w:color w:val="000000"/>
          <w:kern w:val="0"/>
          <w:szCs w:val="21"/>
        </w:rPr>
        <w:t>日向监理人报送上月</w:t>
      </w:r>
      <w:r>
        <w:rPr>
          <w:rFonts w:ascii="宋体" w:hAnsi="宋体"/>
          <w:color w:val="000000"/>
          <w:kern w:val="0"/>
          <w:szCs w:val="21"/>
        </w:rPr>
        <w:t>20</w:t>
      </w:r>
      <w:r>
        <w:rPr>
          <w:rFonts w:hint="eastAsia" w:ascii="宋体" w:hAnsi="宋体"/>
          <w:color w:val="000000"/>
          <w:kern w:val="0"/>
          <w:szCs w:val="21"/>
        </w:rPr>
        <w:t>日至当月</w:t>
      </w:r>
      <w:r>
        <w:rPr>
          <w:rFonts w:ascii="宋体" w:hAnsi="宋体"/>
          <w:color w:val="000000"/>
          <w:kern w:val="0"/>
          <w:szCs w:val="21"/>
        </w:rPr>
        <w:t>19</w:t>
      </w:r>
      <w:r>
        <w:rPr>
          <w:rFonts w:hint="eastAsia" w:ascii="宋体" w:hAnsi="宋体"/>
          <w:color w:val="000000"/>
          <w:kern w:val="0"/>
          <w:szCs w:val="21"/>
        </w:rPr>
        <w:t>日已完成的工程量报告，并附具进度付款申请单、已完成工程量报表和有关资料。</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）监理人应在收到承包人提交的工程量报告后</w:t>
      </w:r>
      <w:r>
        <w:rPr>
          <w:rFonts w:ascii="宋体" w:hAnsi="宋体"/>
          <w:color w:val="000000"/>
          <w:kern w:val="0"/>
          <w:szCs w:val="21"/>
        </w:rPr>
        <w:t>7</w:t>
      </w:r>
      <w:r>
        <w:rPr>
          <w:rFonts w:hint="eastAsia" w:ascii="宋体" w:hAnsi="宋体"/>
          <w:color w:val="000000"/>
          <w:kern w:val="0"/>
          <w:szCs w:val="21"/>
        </w:rPr>
        <w:t>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3</w:t>
      </w:r>
      <w:r>
        <w:rPr>
          <w:rFonts w:hint="eastAsia" w:ascii="宋体" w:hAnsi="宋体"/>
          <w:color w:val="000000"/>
          <w:kern w:val="0"/>
          <w:szCs w:val="21"/>
        </w:rPr>
        <w:t>）监理人未在收到承包人提交的工程量报表后的</w:t>
      </w:r>
      <w:r>
        <w:rPr>
          <w:rFonts w:ascii="宋体" w:hAnsi="宋体"/>
          <w:color w:val="000000"/>
          <w:kern w:val="0"/>
          <w:szCs w:val="21"/>
        </w:rPr>
        <w:t>7</w:t>
      </w:r>
      <w:r>
        <w:rPr>
          <w:rFonts w:hint="eastAsia" w:ascii="宋体" w:hAnsi="宋体"/>
          <w:color w:val="000000"/>
          <w:kern w:val="0"/>
          <w:szCs w:val="21"/>
        </w:rPr>
        <w:t>天内完成审核的，承包人报送的工程量报告中的工程量视为承包人实际完成的工程量，据此计算工程价款。</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12.3.4 </w:t>
      </w:r>
      <w:r>
        <w:rPr>
          <w:rFonts w:hint="eastAsia" w:ascii="宋体" w:hAnsi="宋体"/>
          <w:color w:val="000000"/>
          <w:kern w:val="0"/>
          <w:szCs w:val="21"/>
        </w:rPr>
        <w:t>总价合同的计量</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除专用合同条款另有约定外，按月计量支付的总价合同，按照本项约定执行：</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）承包人应于每月</w:t>
      </w:r>
      <w:r>
        <w:rPr>
          <w:rFonts w:ascii="宋体" w:hAnsi="宋体"/>
          <w:color w:val="000000"/>
          <w:kern w:val="0"/>
          <w:szCs w:val="21"/>
        </w:rPr>
        <w:t>25</w:t>
      </w:r>
      <w:r>
        <w:rPr>
          <w:rFonts w:hint="eastAsia" w:ascii="宋体" w:hAnsi="宋体"/>
          <w:color w:val="000000"/>
          <w:kern w:val="0"/>
          <w:szCs w:val="21"/>
        </w:rPr>
        <w:t>日向监理人报送上月</w:t>
      </w:r>
      <w:r>
        <w:rPr>
          <w:rFonts w:ascii="宋体" w:hAnsi="宋体"/>
          <w:color w:val="000000"/>
          <w:kern w:val="0"/>
          <w:szCs w:val="21"/>
        </w:rPr>
        <w:t>20</w:t>
      </w:r>
      <w:r>
        <w:rPr>
          <w:rFonts w:hint="eastAsia" w:ascii="宋体" w:hAnsi="宋体"/>
          <w:color w:val="000000"/>
          <w:kern w:val="0"/>
          <w:szCs w:val="21"/>
        </w:rPr>
        <w:t>日至当月</w:t>
      </w:r>
      <w:r>
        <w:rPr>
          <w:rFonts w:ascii="宋体" w:hAnsi="宋体"/>
          <w:color w:val="000000"/>
          <w:kern w:val="0"/>
          <w:szCs w:val="21"/>
        </w:rPr>
        <w:t>19</w:t>
      </w:r>
      <w:r>
        <w:rPr>
          <w:rFonts w:hint="eastAsia" w:ascii="宋体" w:hAnsi="宋体"/>
          <w:color w:val="000000"/>
          <w:kern w:val="0"/>
          <w:szCs w:val="21"/>
        </w:rPr>
        <w:t>日已完成的工程量报告，并附具进度付款申请单、已完成工程量报表和有关资料。</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）监理人应在收到承包人提交的工程量报告后</w:t>
      </w:r>
      <w:r>
        <w:rPr>
          <w:rFonts w:ascii="宋体" w:hAnsi="宋体"/>
          <w:color w:val="000000"/>
          <w:kern w:val="0"/>
          <w:szCs w:val="21"/>
        </w:rPr>
        <w:t>7</w:t>
      </w:r>
      <w:r>
        <w:rPr>
          <w:rFonts w:hint="eastAsia" w:ascii="宋体" w:hAnsi="宋体"/>
          <w:color w:val="000000"/>
          <w:kern w:val="0"/>
          <w:szCs w:val="21"/>
        </w:rPr>
        <w:t>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3</w:t>
      </w:r>
      <w:r>
        <w:rPr>
          <w:rFonts w:hint="eastAsia" w:ascii="宋体" w:hAnsi="宋体"/>
          <w:color w:val="000000"/>
          <w:kern w:val="0"/>
          <w:szCs w:val="21"/>
        </w:rPr>
        <w:t>）监理人未在收到承包人提交的工程量报表后的</w:t>
      </w:r>
      <w:r>
        <w:rPr>
          <w:rFonts w:ascii="宋体" w:hAnsi="宋体"/>
          <w:color w:val="000000"/>
          <w:kern w:val="0"/>
          <w:szCs w:val="21"/>
        </w:rPr>
        <w:t>7</w:t>
      </w:r>
      <w:r>
        <w:rPr>
          <w:rFonts w:hint="eastAsia" w:ascii="宋体" w:hAnsi="宋体"/>
          <w:color w:val="000000"/>
          <w:kern w:val="0"/>
          <w:szCs w:val="21"/>
        </w:rPr>
        <w:t>天内完成复核的，承包人提交的工程量报告中的工程量视为承包人实际完成的工程量。</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12.3.5 </w:t>
      </w:r>
      <w:r>
        <w:rPr>
          <w:rFonts w:hint="eastAsia" w:ascii="宋体" w:hAnsi="宋体"/>
          <w:color w:val="000000"/>
          <w:kern w:val="0"/>
          <w:szCs w:val="21"/>
        </w:rPr>
        <w:t>总价合同采用支付分解表计量支付的，可以按照第</w:t>
      </w:r>
      <w:r>
        <w:rPr>
          <w:rFonts w:ascii="宋体" w:hAnsi="宋体"/>
          <w:color w:val="000000"/>
          <w:kern w:val="0"/>
          <w:szCs w:val="21"/>
        </w:rPr>
        <w:t>12.3.4</w:t>
      </w:r>
      <w:r>
        <w:rPr>
          <w:rFonts w:hint="eastAsia" w:ascii="宋体" w:hAnsi="宋体"/>
          <w:color w:val="000000"/>
          <w:kern w:val="0"/>
          <w:szCs w:val="21"/>
        </w:rPr>
        <w:t>项〔总价合同的计量〕约定进行计量，但合同价款按照支付分解表进行支付。</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12.3.6 </w:t>
      </w:r>
      <w:r>
        <w:rPr>
          <w:rFonts w:hint="eastAsia" w:ascii="宋体" w:hAnsi="宋体"/>
          <w:color w:val="000000"/>
          <w:kern w:val="0"/>
          <w:szCs w:val="21"/>
        </w:rPr>
        <w:t>其他价格形式合同的计量</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合同当事人可在专用合同条款中约定其他价格形式合同的计量方式和程序。</w:t>
      </w:r>
    </w:p>
    <w:p>
      <w:pPr>
        <w:rPr>
          <w:rFonts w:ascii="黑体" w:hAnsi="黑体" w:eastAsia="黑体"/>
          <w:color w:val="000000"/>
        </w:rPr>
      </w:pPr>
      <w:bookmarkStart w:id="551" w:name="_Toc296503101"/>
      <w:bookmarkStart w:id="552" w:name="_Toc296346602"/>
      <w:bookmarkStart w:id="553" w:name="_Toc337558803"/>
      <w:r>
        <w:rPr>
          <w:rFonts w:ascii="黑体" w:hAnsi="黑体" w:eastAsia="黑体"/>
          <w:color w:val="000000"/>
        </w:rPr>
        <w:t>12.4</w:t>
      </w:r>
      <w:r>
        <w:rPr>
          <w:rFonts w:hint="eastAsia" w:ascii="黑体" w:hAnsi="黑体" w:eastAsia="黑体"/>
          <w:color w:val="000000"/>
        </w:rPr>
        <w:t>工程进度款支</w:t>
      </w:r>
      <w:bookmarkEnd w:id="551"/>
      <w:bookmarkEnd w:id="552"/>
      <w:r>
        <w:rPr>
          <w:rFonts w:hint="eastAsia" w:ascii="黑体" w:hAnsi="黑体" w:eastAsia="黑体"/>
          <w:color w:val="000000"/>
        </w:rPr>
        <w:t>付</w:t>
      </w:r>
    </w:p>
    <w:bookmarkEnd w:id="553"/>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szCs w:val="21"/>
        </w:rPr>
        <w:t>12.4</w:t>
      </w:r>
      <w:r>
        <w:rPr>
          <w:rFonts w:ascii="宋体" w:hAnsi="宋体"/>
          <w:color w:val="000000"/>
          <w:kern w:val="0"/>
          <w:szCs w:val="21"/>
        </w:rPr>
        <w:t xml:space="preserve">.1 </w:t>
      </w:r>
      <w:r>
        <w:rPr>
          <w:rFonts w:hint="eastAsia" w:ascii="宋体" w:hAnsi="宋体"/>
          <w:color w:val="000000"/>
          <w:kern w:val="0"/>
          <w:szCs w:val="21"/>
        </w:rPr>
        <w:t>付款周期</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除专用合同条款另有约定外，付款周期应按照第</w:t>
      </w:r>
      <w:r>
        <w:rPr>
          <w:rFonts w:ascii="宋体" w:hAnsi="宋体"/>
          <w:color w:val="000000"/>
          <w:kern w:val="0"/>
          <w:szCs w:val="21"/>
        </w:rPr>
        <w:t>12.3.2</w:t>
      </w:r>
      <w:r>
        <w:rPr>
          <w:rFonts w:hint="eastAsia" w:ascii="宋体" w:hAnsi="宋体"/>
          <w:color w:val="000000"/>
          <w:kern w:val="0"/>
          <w:szCs w:val="21"/>
        </w:rPr>
        <w:t>项〔计量周期〕的约定与计量周期保持一致。</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szCs w:val="21"/>
        </w:rPr>
        <w:t>12.4</w:t>
      </w:r>
      <w:r>
        <w:rPr>
          <w:rFonts w:ascii="宋体" w:hAnsi="宋体"/>
          <w:color w:val="000000"/>
          <w:kern w:val="0"/>
          <w:szCs w:val="21"/>
        </w:rPr>
        <w:t xml:space="preserve">.2 </w:t>
      </w:r>
      <w:r>
        <w:rPr>
          <w:rFonts w:hint="eastAsia" w:ascii="宋体" w:hAnsi="宋体"/>
          <w:color w:val="000000"/>
          <w:kern w:val="0"/>
          <w:szCs w:val="21"/>
        </w:rPr>
        <w:t>进度付款申请单的编制</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除专用合同条款另有约定外，进度付款申请单应包括下列内容：</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）截至本次付款周期已完成工作对应的金额；</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）根据第</w:t>
      </w:r>
      <w:r>
        <w:rPr>
          <w:rFonts w:ascii="宋体" w:hAnsi="宋体"/>
          <w:color w:val="000000"/>
          <w:kern w:val="0"/>
          <w:szCs w:val="21"/>
        </w:rPr>
        <w:t>10</w:t>
      </w:r>
      <w:r>
        <w:rPr>
          <w:rFonts w:hint="eastAsia" w:ascii="宋体" w:hAnsi="宋体"/>
          <w:color w:val="000000"/>
          <w:kern w:val="0"/>
          <w:szCs w:val="21"/>
        </w:rPr>
        <w:t>条〔变更〕应增加和扣减的变更金额；</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3</w:t>
      </w:r>
      <w:r>
        <w:rPr>
          <w:rFonts w:hint="eastAsia" w:ascii="宋体" w:hAnsi="宋体"/>
          <w:color w:val="000000"/>
          <w:kern w:val="0"/>
          <w:szCs w:val="21"/>
        </w:rPr>
        <w:t>）根据第</w:t>
      </w:r>
      <w:r>
        <w:rPr>
          <w:rFonts w:ascii="宋体" w:hAnsi="宋体"/>
          <w:color w:val="000000"/>
          <w:kern w:val="0"/>
          <w:szCs w:val="21"/>
        </w:rPr>
        <w:t>12.2</w:t>
      </w:r>
      <w:r>
        <w:rPr>
          <w:rFonts w:hint="eastAsia" w:ascii="宋体" w:hAnsi="宋体"/>
          <w:color w:val="000000"/>
          <w:kern w:val="0"/>
          <w:szCs w:val="21"/>
        </w:rPr>
        <w:t>款〔预付款〕约定应支付的预付款和扣减的返还预付款；</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4</w:t>
      </w:r>
      <w:r>
        <w:rPr>
          <w:rFonts w:hint="eastAsia" w:ascii="宋体" w:hAnsi="宋体"/>
          <w:color w:val="000000"/>
          <w:kern w:val="0"/>
          <w:szCs w:val="21"/>
        </w:rPr>
        <w:t>）根据第</w:t>
      </w:r>
      <w:r>
        <w:rPr>
          <w:rFonts w:ascii="宋体" w:hAnsi="宋体"/>
          <w:color w:val="000000"/>
          <w:kern w:val="0"/>
          <w:szCs w:val="21"/>
        </w:rPr>
        <w:t>15.3</w:t>
      </w:r>
      <w:r>
        <w:rPr>
          <w:rFonts w:hint="eastAsia" w:ascii="宋体" w:hAnsi="宋体"/>
          <w:color w:val="000000"/>
          <w:kern w:val="0"/>
          <w:szCs w:val="21"/>
        </w:rPr>
        <w:t>款〔质量保证金〕约定应扣减的质量保证金；</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5</w:t>
      </w:r>
      <w:r>
        <w:rPr>
          <w:rFonts w:hint="eastAsia" w:ascii="宋体" w:hAnsi="宋体"/>
          <w:color w:val="000000"/>
          <w:kern w:val="0"/>
          <w:szCs w:val="21"/>
        </w:rPr>
        <w:t>）根据第</w:t>
      </w:r>
      <w:r>
        <w:rPr>
          <w:rFonts w:ascii="宋体" w:hAnsi="宋体"/>
          <w:color w:val="000000"/>
          <w:kern w:val="0"/>
          <w:szCs w:val="21"/>
        </w:rPr>
        <w:t>19</w:t>
      </w:r>
      <w:r>
        <w:rPr>
          <w:rFonts w:hint="eastAsia" w:ascii="宋体" w:hAnsi="宋体"/>
          <w:color w:val="000000"/>
          <w:kern w:val="0"/>
          <w:szCs w:val="21"/>
        </w:rPr>
        <w:t>条〔索赔〕应增加和扣减的索赔金额；</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6</w:t>
      </w:r>
      <w:r>
        <w:rPr>
          <w:rFonts w:hint="eastAsia" w:ascii="宋体" w:hAnsi="宋体"/>
          <w:color w:val="000000"/>
          <w:kern w:val="0"/>
          <w:szCs w:val="21"/>
        </w:rPr>
        <w:t>）对已签发的进度款支付证书中出现错误的修正，应在本次进度付款中支付或扣除的金额；</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7</w:t>
      </w:r>
      <w:r>
        <w:rPr>
          <w:rFonts w:hint="eastAsia" w:ascii="宋体" w:hAnsi="宋体"/>
          <w:color w:val="000000"/>
          <w:kern w:val="0"/>
          <w:szCs w:val="21"/>
        </w:rPr>
        <w:t>）根据合同约定应增加和扣减的其他金额。</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12.4.3 </w:t>
      </w:r>
      <w:r>
        <w:rPr>
          <w:rFonts w:hint="eastAsia" w:ascii="宋体" w:hAnsi="宋体"/>
          <w:color w:val="000000"/>
          <w:kern w:val="0"/>
          <w:szCs w:val="21"/>
        </w:rPr>
        <w:t>进度付款申请单的提交</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）单价合同进度付款申请单的提交</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单价合同的进度付款申请单，按照第</w:t>
      </w:r>
      <w:r>
        <w:rPr>
          <w:rFonts w:ascii="宋体" w:hAnsi="宋体"/>
          <w:color w:val="000000"/>
          <w:kern w:val="0"/>
          <w:szCs w:val="21"/>
        </w:rPr>
        <w:t>12.3.3</w:t>
      </w:r>
      <w:r>
        <w:rPr>
          <w:rFonts w:hint="eastAsia" w:ascii="宋体" w:hAnsi="宋体"/>
          <w:color w:val="000000"/>
          <w:kern w:val="0"/>
          <w:szCs w:val="21"/>
        </w:rPr>
        <w:t>项〔单价合同的计量〕约定的时间按月向监理人提交，并附上已完成工程量报表和有关资料。单价合同中的总价项目按月进行支付分解，并汇总列入当期进度付款申请单。</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）总价合同进度付款申请单的提交</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总价合同按月计量支付的，承包人按照第</w:t>
      </w:r>
      <w:r>
        <w:rPr>
          <w:rFonts w:ascii="宋体" w:hAnsi="宋体"/>
          <w:color w:val="000000"/>
          <w:kern w:val="0"/>
          <w:szCs w:val="21"/>
        </w:rPr>
        <w:t>12.3.4</w:t>
      </w:r>
      <w:r>
        <w:rPr>
          <w:rFonts w:hint="eastAsia" w:ascii="宋体" w:hAnsi="宋体"/>
          <w:color w:val="000000"/>
          <w:kern w:val="0"/>
          <w:szCs w:val="21"/>
        </w:rPr>
        <w:t>项〔总价合同的计量〕约定的时间按月向监理人提交进度付款申请单，并附上已完成工程量报表和有关资料。</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总价合同按支付分解表支付的，承包人应按照第</w:t>
      </w:r>
      <w:r>
        <w:rPr>
          <w:rFonts w:ascii="宋体" w:hAnsi="宋体"/>
          <w:color w:val="000000"/>
          <w:kern w:val="0"/>
          <w:szCs w:val="21"/>
        </w:rPr>
        <w:t>12.4.6</w:t>
      </w:r>
      <w:r>
        <w:rPr>
          <w:rFonts w:hint="eastAsia" w:ascii="宋体" w:hAnsi="宋体"/>
          <w:color w:val="000000"/>
          <w:kern w:val="0"/>
          <w:szCs w:val="21"/>
        </w:rPr>
        <w:t>项〔支付分解表〕及第</w:t>
      </w:r>
      <w:r>
        <w:rPr>
          <w:rFonts w:ascii="宋体" w:hAnsi="宋体"/>
          <w:color w:val="000000"/>
          <w:kern w:val="0"/>
          <w:szCs w:val="21"/>
        </w:rPr>
        <w:t>12.4.2</w:t>
      </w:r>
      <w:r>
        <w:rPr>
          <w:rFonts w:hint="eastAsia" w:ascii="宋体" w:hAnsi="宋体"/>
          <w:color w:val="000000"/>
          <w:kern w:val="0"/>
          <w:szCs w:val="21"/>
        </w:rPr>
        <w:t>项〔进度付款申请单的编制〕的约定向监理人提交进度付款申请单。</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3</w:t>
      </w:r>
      <w:r>
        <w:rPr>
          <w:rFonts w:hint="eastAsia" w:ascii="宋体" w:hAnsi="宋体"/>
          <w:color w:val="000000"/>
          <w:kern w:val="0"/>
          <w:szCs w:val="21"/>
        </w:rPr>
        <w:t>）其他价格形式合同的进度付款申请单的提交</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合同当事人可在专用合同条款中约定其他价格形式合同的进度付款申请单的编制和提交程序。</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szCs w:val="21"/>
        </w:rPr>
        <w:t>12.4</w:t>
      </w:r>
      <w:r>
        <w:rPr>
          <w:rFonts w:ascii="宋体" w:hAnsi="宋体"/>
          <w:color w:val="000000"/>
          <w:kern w:val="0"/>
          <w:szCs w:val="21"/>
        </w:rPr>
        <w:t xml:space="preserve">.4 </w:t>
      </w:r>
      <w:r>
        <w:rPr>
          <w:rFonts w:hint="eastAsia" w:ascii="宋体" w:hAnsi="宋体"/>
          <w:color w:val="000000"/>
          <w:kern w:val="0"/>
          <w:szCs w:val="21"/>
        </w:rPr>
        <w:t>进度款审核和支付</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）除专用合同条款另有约定外，监理人应在收到承包人进度付款申请单以及相关资料后</w:t>
      </w:r>
      <w:r>
        <w:rPr>
          <w:rFonts w:ascii="宋体" w:hAnsi="宋体"/>
          <w:color w:val="000000"/>
          <w:kern w:val="0"/>
          <w:szCs w:val="21"/>
        </w:rPr>
        <w:t>7</w:t>
      </w:r>
      <w:r>
        <w:rPr>
          <w:rFonts w:hint="eastAsia" w:ascii="宋体" w:hAnsi="宋体"/>
          <w:color w:val="000000"/>
          <w:kern w:val="0"/>
          <w:szCs w:val="21"/>
        </w:rPr>
        <w:t>天内完成审查并报送发包人，发包人应在收到后</w:t>
      </w:r>
      <w:r>
        <w:rPr>
          <w:rFonts w:ascii="宋体" w:hAnsi="宋体"/>
          <w:color w:val="000000"/>
          <w:kern w:val="0"/>
          <w:szCs w:val="21"/>
        </w:rPr>
        <w:t>7</w:t>
      </w:r>
      <w:r>
        <w:rPr>
          <w:rFonts w:hint="eastAsia" w:ascii="宋体" w:hAnsi="宋体"/>
          <w:color w:val="000000"/>
          <w:kern w:val="0"/>
          <w:szCs w:val="21"/>
        </w:rPr>
        <w:t>天内完成审批并签发进度款支付证书。发包人逾期未完成审批且未提出异议的，视为已签发进度款支付证书。</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发包人和监理人对承包人的进度付款申请单有异议的，有权要求承包人修正和提供补充资料，承包人应提交修正后的进度付款申请单。监理人应在收到承包人修正后的进度付款申请单及相关资料后</w:t>
      </w:r>
      <w:r>
        <w:rPr>
          <w:rFonts w:ascii="宋体" w:hAnsi="宋体"/>
          <w:color w:val="000000"/>
          <w:kern w:val="0"/>
          <w:szCs w:val="21"/>
        </w:rPr>
        <w:t>7</w:t>
      </w:r>
      <w:r>
        <w:rPr>
          <w:rFonts w:hint="eastAsia" w:ascii="宋体" w:hAnsi="宋体"/>
          <w:color w:val="000000"/>
          <w:kern w:val="0"/>
          <w:szCs w:val="21"/>
        </w:rPr>
        <w:t>天内完成审查并报送发包人，发包人应在收到监理人报送的进度付款申请单及相关资料后</w:t>
      </w:r>
      <w:r>
        <w:rPr>
          <w:rFonts w:ascii="宋体" w:hAnsi="宋体"/>
          <w:color w:val="000000"/>
          <w:kern w:val="0"/>
          <w:szCs w:val="21"/>
        </w:rPr>
        <w:t>7</w:t>
      </w:r>
      <w:r>
        <w:rPr>
          <w:rFonts w:hint="eastAsia" w:ascii="宋体" w:hAnsi="宋体"/>
          <w:color w:val="000000"/>
          <w:kern w:val="0"/>
          <w:szCs w:val="21"/>
        </w:rPr>
        <w:t>天内，向承包人签发无异议部分的临时进度款支付证书。存在争议的部分，按照第</w:t>
      </w:r>
      <w:r>
        <w:rPr>
          <w:rFonts w:ascii="宋体" w:hAnsi="宋体"/>
          <w:color w:val="000000"/>
          <w:kern w:val="0"/>
          <w:szCs w:val="21"/>
        </w:rPr>
        <w:t>20</w:t>
      </w:r>
      <w:r>
        <w:rPr>
          <w:rFonts w:hint="eastAsia" w:ascii="宋体" w:hAnsi="宋体"/>
          <w:color w:val="000000"/>
          <w:kern w:val="0"/>
          <w:szCs w:val="21"/>
        </w:rPr>
        <w:t>条〔争议解决〕的约定处理。</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）除专用合同条款另有约定外，发包人应在进度款支付证书或临时进度款支付证书签发后</w:t>
      </w:r>
      <w:r>
        <w:rPr>
          <w:rFonts w:ascii="宋体" w:hAnsi="宋体"/>
          <w:color w:val="000000"/>
          <w:kern w:val="0"/>
          <w:szCs w:val="21"/>
        </w:rPr>
        <w:t>14</w:t>
      </w:r>
      <w:r>
        <w:rPr>
          <w:rFonts w:hint="eastAsia" w:ascii="宋体" w:hAnsi="宋体"/>
          <w:color w:val="000000"/>
          <w:kern w:val="0"/>
          <w:szCs w:val="21"/>
        </w:rPr>
        <w:t>天内完成支付，发包人逾期支付进度款的，应按照中国人民银行发布的同期同类贷款基准利率支付违约金。</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3</w:t>
      </w:r>
      <w:r>
        <w:rPr>
          <w:rFonts w:hint="eastAsia" w:ascii="宋体" w:hAnsi="宋体"/>
          <w:color w:val="000000"/>
          <w:kern w:val="0"/>
          <w:szCs w:val="21"/>
        </w:rPr>
        <w:t>）发包人签发进度款支付证书或临时进度款支付证书，不表明发包人已同意、批准或接受了承包人完成的相应部分的工作。</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12.4.5 </w:t>
      </w:r>
      <w:r>
        <w:rPr>
          <w:rFonts w:hint="eastAsia" w:ascii="宋体" w:hAnsi="宋体"/>
          <w:color w:val="000000"/>
          <w:kern w:val="0"/>
          <w:szCs w:val="21"/>
        </w:rPr>
        <w:t>进度付款的修正</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在对已签发的进度款支付证书进行阶段汇总和复核中发现错误、遗漏或重复的，发包人和承包人均有权提出修正申请。经发包人和承包人同意的修正，应在下期进度付款中支付或扣除。</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12.4.6 </w:t>
      </w:r>
      <w:r>
        <w:rPr>
          <w:rFonts w:hint="eastAsia" w:ascii="宋体" w:hAnsi="宋体"/>
          <w:color w:val="000000"/>
          <w:kern w:val="0"/>
          <w:szCs w:val="21"/>
        </w:rPr>
        <w:t>支付分解表</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1</w:t>
      </w:r>
      <w:r>
        <w:rPr>
          <w:rFonts w:hint="eastAsia" w:ascii="宋体" w:hAnsi="宋体"/>
          <w:color w:val="000000"/>
          <w:kern w:val="0"/>
          <w:szCs w:val="21"/>
        </w:rPr>
        <w:t>、支付分解表的编制要求</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）支付分解表中所列的每期付款金额，应为第</w:t>
      </w:r>
      <w:r>
        <w:rPr>
          <w:rFonts w:ascii="宋体" w:hAnsi="宋体"/>
          <w:color w:val="000000"/>
          <w:kern w:val="0"/>
          <w:szCs w:val="21"/>
        </w:rPr>
        <w:t>12.4.2</w:t>
      </w:r>
      <w:r>
        <w:rPr>
          <w:rFonts w:hint="eastAsia" w:ascii="宋体" w:hAnsi="宋体"/>
          <w:color w:val="000000"/>
          <w:kern w:val="0"/>
          <w:szCs w:val="21"/>
        </w:rPr>
        <w:t>项〔进度付款申请单的编制〕第（</w:t>
      </w:r>
      <w:r>
        <w:rPr>
          <w:rFonts w:ascii="宋体" w:hAnsi="宋体"/>
          <w:color w:val="000000"/>
          <w:kern w:val="0"/>
          <w:szCs w:val="21"/>
        </w:rPr>
        <w:t>1</w:t>
      </w:r>
      <w:r>
        <w:rPr>
          <w:rFonts w:hint="eastAsia" w:ascii="宋体" w:hAnsi="宋体"/>
          <w:color w:val="000000"/>
          <w:kern w:val="0"/>
          <w:szCs w:val="21"/>
        </w:rPr>
        <w:t>）目的估算金额；</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）实际进度与施工进度计划不一致的，合同当事人可按照第</w:t>
      </w:r>
      <w:r>
        <w:rPr>
          <w:rFonts w:ascii="宋体" w:hAnsi="宋体"/>
          <w:color w:val="000000"/>
          <w:kern w:val="0"/>
          <w:szCs w:val="21"/>
        </w:rPr>
        <w:t>4.4</w:t>
      </w:r>
      <w:r>
        <w:rPr>
          <w:rFonts w:hint="eastAsia" w:ascii="宋体" w:hAnsi="宋体"/>
          <w:color w:val="000000"/>
          <w:kern w:val="0"/>
          <w:szCs w:val="21"/>
        </w:rPr>
        <w:t>款〔商定或确定〕修改支付分解表；</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3</w:t>
      </w:r>
      <w:r>
        <w:rPr>
          <w:rFonts w:hint="eastAsia" w:ascii="宋体" w:hAnsi="宋体"/>
          <w:color w:val="000000"/>
          <w:kern w:val="0"/>
          <w:szCs w:val="21"/>
        </w:rPr>
        <w:t>）不采用支付分解表的，承包人应向发包人和监理人提交按季度编制的支付估算分解表，用于支付参考。</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2</w:t>
      </w:r>
      <w:r>
        <w:rPr>
          <w:rFonts w:hint="eastAsia" w:ascii="宋体" w:hAnsi="宋体"/>
          <w:color w:val="000000"/>
          <w:kern w:val="0"/>
          <w:szCs w:val="21"/>
        </w:rPr>
        <w:t>、总价合同支付分解表的编制与审批</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）除专用合同条款另有约定外，承包人应根据第</w:t>
      </w:r>
      <w:r>
        <w:rPr>
          <w:rFonts w:ascii="宋体" w:hAnsi="宋体"/>
          <w:color w:val="000000"/>
          <w:kern w:val="0"/>
          <w:szCs w:val="21"/>
        </w:rPr>
        <w:t>7.2</w:t>
      </w:r>
      <w:r>
        <w:rPr>
          <w:rFonts w:hint="eastAsia" w:ascii="宋体" w:hAnsi="宋体"/>
          <w:color w:val="000000"/>
          <w:kern w:val="0"/>
          <w:szCs w:val="21"/>
        </w:rPr>
        <w:t>款〔施工进度计划〕约定的施工进度计划、签约合同价和工程量等因素对总价合同按月进行分解，编制支付分解表。承包人应当在收到监理人和发包人批准的施工进度计划后</w:t>
      </w:r>
      <w:r>
        <w:rPr>
          <w:rFonts w:ascii="宋体" w:hAnsi="宋体"/>
          <w:color w:val="000000"/>
          <w:kern w:val="0"/>
          <w:szCs w:val="21"/>
        </w:rPr>
        <w:t>7</w:t>
      </w:r>
      <w:r>
        <w:rPr>
          <w:rFonts w:hint="eastAsia" w:ascii="宋体" w:hAnsi="宋体"/>
          <w:color w:val="000000"/>
          <w:kern w:val="0"/>
          <w:szCs w:val="21"/>
        </w:rPr>
        <w:t>天内，将支付分解表及编制支付分解表的支持性资料报送监理人。</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）监理人应在收到支付分解表后</w:t>
      </w:r>
      <w:r>
        <w:rPr>
          <w:rFonts w:ascii="宋体" w:hAnsi="宋体"/>
          <w:color w:val="000000"/>
          <w:kern w:val="0"/>
          <w:szCs w:val="21"/>
        </w:rPr>
        <w:t>7</w:t>
      </w:r>
      <w:r>
        <w:rPr>
          <w:rFonts w:hint="eastAsia" w:ascii="宋体" w:hAnsi="宋体"/>
          <w:color w:val="000000"/>
          <w:kern w:val="0"/>
          <w:szCs w:val="21"/>
        </w:rPr>
        <w:t>天内完成审核并报送发包人。发包人应在收到经监理人审核的支付分解表后</w:t>
      </w:r>
      <w:r>
        <w:rPr>
          <w:rFonts w:ascii="宋体" w:hAnsi="宋体"/>
          <w:color w:val="000000"/>
          <w:kern w:val="0"/>
          <w:szCs w:val="21"/>
        </w:rPr>
        <w:t>7</w:t>
      </w:r>
      <w:r>
        <w:rPr>
          <w:rFonts w:hint="eastAsia" w:ascii="宋体" w:hAnsi="宋体"/>
          <w:color w:val="000000"/>
          <w:kern w:val="0"/>
          <w:szCs w:val="21"/>
        </w:rPr>
        <w:t>天内完成审批，经发包人批准的支付分解表为有约束力的支付分解表。</w:t>
      </w:r>
    </w:p>
    <w:p>
      <w:pPr>
        <w:spacing w:line="360" w:lineRule="auto"/>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3</w:t>
      </w:r>
      <w:r>
        <w:rPr>
          <w:rFonts w:hint="eastAsia" w:ascii="宋体" w:hAnsi="宋体"/>
          <w:color w:val="000000"/>
          <w:kern w:val="0"/>
          <w:szCs w:val="21"/>
        </w:rPr>
        <w:t>）发包人逾期未完成支付分解表审批的，也未及时要求承包人进行修正和提供补充资料的，则承包人提交的支付分解表视为已经获得发包人批准。</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3</w:t>
      </w:r>
      <w:r>
        <w:rPr>
          <w:rFonts w:hint="eastAsia" w:ascii="宋体" w:hAnsi="宋体"/>
          <w:color w:val="000000"/>
          <w:kern w:val="0"/>
          <w:szCs w:val="21"/>
        </w:rPr>
        <w:t>、单价合同的总价项目支付分解表的编制与审批</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pPr>
        <w:rPr>
          <w:rFonts w:ascii="黑体" w:hAnsi="黑体" w:eastAsia="黑体"/>
          <w:color w:val="000000"/>
        </w:rPr>
      </w:pPr>
      <w:r>
        <w:rPr>
          <w:rFonts w:ascii="黑体" w:hAnsi="黑体" w:eastAsia="黑体"/>
          <w:color w:val="000000"/>
        </w:rPr>
        <w:t>12.5</w:t>
      </w:r>
      <w:r>
        <w:rPr>
          <w:rFonts w:hint="eastAsia" w:ascii="黑体" w:hAnsi="黑体" w:eastAsia="黑体"/>
          <w:color w:val="000000"/>
        </w:rPr>
        <w:t>支付账户</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发包人应将合同价款支付至合同协议书中约定的承包人账户。</w:t>
      </w:r>
    </w:p>
    <w:p>
      <w:pPr>
        <w:pStyle w:val="5"/>
        <w:spacing w:before="120" w:after="120" w:line="360" w:lineRule="auto"/>
        <w:rPr>
          <w:rFonts w:ascii="黑体" w:hAnsi="黑体"/>
          <w:b w:val="0"/>
          <w:color w:val="000000"/>
        </w:rPr>
      </w:pPr>
      <w:bookmarkStart w:id="554" w:name="_Toc362623178"/>
      <w:bookmarkStart w:id="555" w:name="_Toc114222814"/>
      <w:bookmarkStart w:id="556" w:name="_Toc296346607"/>
      <w:bookmarkStart w:id="557" w:name="_Toc337558804"/>
      <w:bookmarkStart w:id="558" w:name="_Toc296503106"/>
      <w:bookmarkStart w:id="559" w:name="_Toc322522574"/>
      <w:r>
        <w:rPr>
          <w:rFonts w:ascii="黑体" w:hAnsi="黑体"/>
          <w:b w:val="0"/>
          <w:color w:val="000000"/>
        </w:rPr>
        <w:t xml:space="preserve">13. </w:t>
      </w:r>
      <w:r>
        <w:rPr>
          <w:rFonts w:hint="eastAsia" w:ascii="黑体" w:hAnsi="黑体"/>
          <w:b w:val="0"/>
          <w:color w:val="000000"/>
        </w:rPr>
        <w:t>验收和工程试车</w:t>
      </w:r>
      <w:bookmarkEnd w:id="554"/>
      <w:bookmarkEnd w:id="555"/>
    </w:p>
    <w:bookmarkEnd w:id="556"/>
    <w:bookmarkEnd w:id="557"/>
    <w:bookmarkEnd w:id="558"/>
    <w:bookmarkEnd w:id="559"/>
    <w:p>
      <w:pPr>
        <w:rPr>
          <w:rFonts w:ascii="黑体" w:hAnsi="黑体" w:eastAsia="黑体"/>
          <w:color w:val="000000"/>
        </w:rPr>
      </w:pPr>
      <w:bookmarkStart w:id="560" w:name="_Toc337558805"/>
      <w:bookmarkStart w:id="561" w:name="_Toc296346611"/>
      <w:bookmarkStart w:id="562" w:name="_Toc296503110"/>
      <w:r>
        <w:rPr>
          <w:rFonts w:ascii="黑体" w:hAnsi="黑体" w:eastAsia="黑体"/>
          <w:color w:val="000000"/>
        </w:rPr>
        <w:t>13.1</w:t>
      </w:r>
      <w:r>
        <w:rPr>
          <w:rFonts w:hint="eastAsia" w:ascii="黑体" w:hAnsi="黑体" w:eastAsia="黑体"/>
          <w:color w:val="000000"/>
        </w:rPr>
        <w:t>分部分项工程验收</w:t>
      </w:r>
    </w:p>
    <w:bookmarkEnd w:id="560"/>
    <w:p>
      <w:pPr>
        <w:spacing w:line="360" w:lineRule="auto"/>
        <w:ind w:firstLine="420" w:firstLineChars="200"/>
        <w:rPr>
          <w:rFonts w:ascii="宋体" w:hAnsi="宋体"/>
          <w:color w:val="000000"/>
          <w:szCs w:val="21"/>
        </w:rPr>
      </w:pPr>
      <w:r>
        <w:rPr>
          <w:rFonts w:ascii="宋体" w:hAnsi="宋体"/>
          <w:color w:val="000000"/>
          <w:szCs w:val="21"/>
        </w:rPr>
        <w:t xml:space="preserve">13.1.1 </w:t>
      </w:r>
      <w:r>
        <w:rPr>
          <w:rFonts w:hint="eastAsia" w:ascii="宋体" w:hAnsi="宋体"/>
          <w:color w:val="000000"/>
          <w:szCs w:val="21"/>
        </w:rPr>
        <w:t>分部分项工程质量应符合国家有关工程施工验收规范、标准及合同约定，承包人应按照施工组织设计的要求完成分部分项工程施工。</w:t>
      </w:r>
    </w:p>
    <w:p>
      <w:pPr>
        <w:spacing w:line="360" w:lineRule="auto"/>
        <w:ind w:firstLine="420" w:firstLineChars="200"/>
        <w:rPr>
          <w:rFonts w:ascii="宋体" w:hAnsi="宋体"/>
          <w:color w:val="000000"/>
          <w:szCs w:val="21"/>
        </w:rPr>
      </w:pPr>
      <w:r>
        <w:rPr>
          <w:rFonts w:ascii="宋体" w:hAnsi="宋体"/>
          <w:color w:val="000000"/>
          <w:szCs w:val="21"/>
        </w:rPr>
        <w:t xml:space="preserve">13.1.2 </w:t>
      </w:r>
      <w:r>
        <w:rPr>
          <w:rFonts w:hint="eastAsia" w:ascii="宋体" w:hAnsi="宋体"/>
          <w:color w:val="000000"/>
          <w:szCs w:val="21"/>
        </w:rPr>
        <w:t>除专用合同条款另有约定外，分部分项工程经承包人自检合格并具备验收条件的，承包人应提前</w:t>
      </w:r>
      <w:r>
        <w:rPr>
          <w:rFonts w:ascii="宋体" w:hAnsi="宋体"/>
          <w:color w:val="000000"/>
          <w:szCs w:val="21"/>
        </w:rPr>
        <w:t>48</w:t>
      </w:r>
      <w:r>
        <w:rPr>
          <w:rFonts w:hint="eastAsia" w:ascii="宋体" w:hAnsi="宋体"/>
          <w:color w:val="000000"/>
          <w:szCs w:val="21"/>
        </w:rPr>
        <w:t>小时通知监理人进行验收。</w:t>
      </w:r>
      <w:r>
        <w:rPr>
          <w:rFonts w:hint="eastAsia" w:ascii="宋体" w:hAnsi="宋体"/>
          <w:color w:val="000000"/>
          <w:kern w:val="0"/>
          <w:szCs w:val="21"/>
        </w:rPr>
        <w:t>监理人不能按时进行验收的，应在验收前</w:t>
      </w:r>
      <w:r>
        <w:rPr>
          <w:rFonts w:ascii="宋体" w:hAnsi="宋体"/>
          <w:color w:val="000000"/>
          <w:kern w:val="0"/>
          <w:szCs w:val="21"/>
        </w:rPr>
        <w:t>24</w:t>
      </w:r>
      <w:r>
        <w:rPr>
          <w:rFonts w:hint="eastAsia" w:ascii="宋体" w:hAnsi="宋体"/>
          <w:color w:val="000000"/>
          <w:kern w:val="0"/>
          <w:szCs w:val="21"/>
        </w:rPr>
        <w:t>小时向承包人提交书面延期要求，但延期不能超过</w:t>
      </w:r>
      <w:r>
        <w:rPr>
          <w:rFonts w:ascii="宋体" w:hAnsi="宋体"/>
          <w:color w:val="000000"/>
          <w:kern w:val="0"/>
          <w:szCs w:val="21"/>
        </w:rPr>
        <w:t>48</w:t>
      </w:r>
      <w:r>
        <w:rPr>
          <w:rFonts w:hint="eastAsia" w:ascii="宋体" w:hAnsi="宋体"/>
          <w:color w:val="000000"/>
          <w:kern w:val="0"/>
          <w:szCs w:val="21"/>
        </w:rPr>
        <w:t>小时。监理人未按时进行验收，也未提出延期要求的，承包人有权自行验收，监理人应认可验收结果。</w:t>
      </w:r>
      <w:r>
        <w:rPr>
          <w:rFonts w:hint="eastAsia" w:ascii="宋体" w:hAnsi="宋体"/>
          <w:color w:val="000000"/>
          <w:szCs w:val="21"/>
        </w:rPr>
        <w:t>分部分项工程未经验收的，不得进入下一道工序施工。</w:t>
      </w:r>
    </w:p>
    <w:p>
      <w:pPr>
        <w:spacing w:line="360" w:lineRule="auto"/>
        <w:ind w:firstLine="420" w:firstLineChars="200"/>
        <w:rPr>
          <w:rFonts w:ascii="宋体" w:hAnsi="宋体"/>
          <w:color w:val="000000"/>
          <w:szCs w:val="21"/>
        </w:rPr>
      </w:pPr>
      <w:r>
        <w:rPr>
          <w:rFonts w:hint="eastAsia" w:ascii="宋体" w:hAnsi="宋体"/>
          <w:color w:val="000000"/>
          <w:szCs w:val="21"/>
        </w:rPr>
        <w:t>分部分项工程的验收资料应当作为竣工资料的组成部分。</w:t>
      </w:r>
    </w:p>
    <w:p>
      <w:pPr>
        <w:rPr>
          <w:rFonts w:ascii="黑体" w:hAnsi="黑体" w:eastAsia="黑体"/>
          <w:color w:val="000000"/>
        </w:rPr>
      </w:pPr>
      <w:bookmarkStart w:id="563" w:name="_Toc337558806"/>
      <w:r>
        <w:rPr>
          <w:rFonts w:ascii="黑体" w:hAnsi="黑体" w:eastAsia="黑体"/>
          <w:color w:val="000000"/>
        </w:rPr>
        <w:t>13.2</w:t>
      </w:r>
      <w:r>
        <w:rPr>
          <w:rFonts w:hint="eastAsia" w:ascii="黑体" w:hAnsi="黑体" w:eastAsia="黑体"/>
          <w:color w:val="000000"/>
        </w:rPr>
        <w:t>竣工验收</w:t>
      </w:r>
    </w:p>
    <w:bookmarkEnd w:id="561"/>
    <w:bookmarkEnd w:id="562"/>
    <w:bookmarkEnd w:id="563"/>
    <w:p>
      <w:pPr>
        <w:spacing w:line="360" w:lineRule="auto"/>
        <w:ind w:firstLine="420" w:firstLineChars="200"/>
        <w:jc w:val="left"/>
        <w:rPr>
          <w:rFonts w:ascii="宋体" w:hAnsi="宋体"/>
          <w:color w:val="000000"/>
          <w:kern w:val="0"/>
          <w:szCs w:val="21"/>
        </w:rPr>
      </w:pPr>
      <w:r>
        <w:rPr>
          <w:rFonts w:ascii="宋体" w:hAnsi="宋体"/>
          <w:color w:val="000000"/>
          <w:kern w:val="0"/>
          <w:szCs w:val="21"/>
        </w:rPr>
        <w:t>13.2.1</w:t>
      </w:r>
      <w:r>
        <w:rPr>
          <w:rFonts w:hint="eastAsia" w:ascii="宋体" w:hAnsi="宋体"/>
          <w:color w:val="000000"/>
          <w:kern w:val="0"/>
          <w:szCs w:val="21"/>
        </w:rPr>
        <w:t>竣工验收条件</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工程具备以下条件的，承包人可以申请竣工验收：</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）除发包人同意的甩项工作和缺陷修补工作外，合同范围内的全部工程以及有关工作，包括合同要求的试验、试运行以及检验均已完成，并符合合同要求；</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）已按合同约定编制了甩项工作和缺陷修补工作清单以及相应的施工计划；</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3</w:t>
      </w:r>
      <w:r>
        <w:rPr>
          <w:rFonts w:hint="eastAsia" w:ascii="宋体" w:hAnsi="宋体"/>
          <w:color w:val="000000"/>
          <w:kern w:val="0"/>
          <w:szCs w:val="21"/>
        </w:rPr>
        <w:t>）已按合同约定的内容和份数备齐竣工资料。</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13.2.2</w:t>
      </w:r>
      <w:r>
        <w:rPr>
          <w:rFonts w:hint="eastAsia" w:ascii="宋体" w:hAnsi="宋体"/>
          <w:color w:val="000000"/>
          <w:kern w:val="0"/>
          <w:szCs w:val="21"/>
        </w:rPr>
        <w:t>竣工验收程序</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除专用合同条款另有约定外，承包人申请竣工验收的，应当按照以下程序进行：</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）承包人向监理人报送竣工验收申请报告，监理人应在收到竣工验收申请报告后</w:t>
      </w:r>
      <w:r>
        <w:rPr>
          <w:rFonts w:ascii="宋体" w:hAnsi="宋体"/>
          <w:color w:val="000000"/>
          <w:kern w:val="0"/>
          <w:szCs w:val="21"/>
        </w:rPr>
        <w:t>14</w:t>
      </w:r>
      <w:r>
        <w:rPr>
          <w:rFonts w:hint="eastAsia" w:ascii="宋体" w:hAnsi="宋体"/>
          <w:color w:val="000000"/>
          <w:kern w:val="0"/>
          <w:szCs w:val="21"/>
        </w:rPr>
        <w:t>天内完成审查并报送发包人。监理人审查后认为尚不具备验收条件的，应通知承包人在竣工验收前承包人还需完成的工作内容，承包人应在完成监理人通知的全部工作内容后，再次提交竣工验收申请报告。</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）监理人审查后认为已具备竣工验收条件的，应将竣工验收申请报告提交发包人，发包人应在收到经监理人审核的竣工验收申请报告后</w:t>
      </w:r>
      <w:r>
        <w:rPr>
          <w:rFonts w:ascii="宋体" w:hAnsi="宋体"/>
          <w:color w:val="000000"/>
          <w:kern w:val="0"/>
          <w:szCs w:val="21"/>
        </w:rPr>
        <w:t>28</w:t>
      </w:r>
      <w:r>
        <w:rPr>
          <w:rFonts w:hint="eastAsia" w:ascii="宋体" w:hAnsi="宋体"/>
          <w:color w:val="000000"/>
          <w:kern w:val="0"/>
          <w:szCs w:val="21"/>
        </w:rPr>
        <w:t>天内审批完毕并组织监理人、承包人、设计人等相关单位完成竣工验收。</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3</w:t>
      </w:r>
      <w:r>
        <w:rPr>
          <w:rFonts w:hint="eastAsia" w:ascii="宋体" w:hAnsi="宋体"/>
          <w:color w:val="000000"/>
          <w:kern w:val="0"/>
          <w:szCs w:val="21"/>
        </w:rPr>
        <w:t>）竣工验收合格的，发包人应在验收合格后</w:t>
      </w:r>
      <w:r>
        <w:rPr>
          <w:rFonts w:ascii="宋体" w:hAnsi="宋体"/>
          <w:color w:val="000000"/>
          <w:kern w:val="0"/>
          <w:szCs w:val="21"/>
        </w:rPr>
        <w:t>14</w:t>
      </w:r>
      <w:r>
        <w:rPr>
          <w:rFonts w:hint="eastAsia" w:ascii="宋体" w:hAnsi="宋体"/>
          <w:color w:val="000000"/>
          <w:kern w:val="0"/>
          <w:szCs w:val="21"/>
        </w:rPr>
        <w:t>天内向承包人签发工程接收证书。发包人无正当理由逾期不颁发工程接收证书的，自验收合格后第</w:t>
      </w:r>
      <w:r>
        <w:rPr>
          <w:rFonts w:ascii="宋体" w:hAnsi="宋体"/>
          <w:color w:val="000000"/>
          <w:kern w:val="0"/>
          <w:szCs w:val="21"/>
        </w:rPr>
        <w:t>15</w:t>
      </w:r>
      <w:r>
        <w:rPr>
          <w:rFonts w:hint="eastAsia" w:ascii="宋体" w:hAnsi="宋体"/>
          <w:color w:val="000000"/>
          <w:kern w:val="0"/>
          <w:szCs w:val="21"/>
        </w:rPr>
        <w:t>天起视为已颁发工程接收证书。</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4</w:t>
      </w:r>
      <w:r>
        <w:rPr>
          <w:rFonts w:hint="eastAsia" w:ascii="宋体" w:hAnsi="宋体"/>
          <w:color w:val="000000"/>
          <w:kern w:val="0"/>
          <w:szCs w:val="21"/>
        </w:rPr>
        <w:t>）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5</w:t>
      </w:r>
      <w:r>
        <w:rPr>
          <w:rFonts w:hint="eastAsia" w:ascii="宋体" w:hAnsi="宋体"/>
          <w:color w:val="000000"/>
          <w:kern w:val="0"/>
          <w:szCs w:val="21"/>
        </w:rPr>
        <w:t>）工程未经验收或验收不合格，发包人擅自使用的，应在转移占有工程后</w:t>
      </w:r>
      <w:r>
        <w:rPr>
          <w:rFonts w:ascii="宋体" w:hAnsi="宋体"/>
          <w:color w:val="000000"/>
          <w:kern w:val="0"/>
          <w:szCs w:val="21"/>
        </w:rPr>
        <w:t>7</w:t>
      </w:r>
      <w:r>
        <w:rPr>
          <w:rFonts w:hint="eastAsia" w:ascii="宋体" w:hAnsi="宋体"/>
          <w:color w:val="000000"/>
          <w:kern w:val="0"/>
          <w:szCs w:val="21"/>
        </w:rPr>
        <w:t>天内向承包人颁发工程接收证书；发包人无正当理由逾期不颁发工程接收证书的，自转移占有后第</w:t>
      </w:r>
      <w:r>
        <w:rPr>
          <w:rFonts w:ascii="宋体" w:hAnsi="宋体"/>
          <w:color w:val="000000"/>
          <w:kern w:val="0"/>
          <w:szCs w:val="21"/>
        </w:rPr>
        <w:t>15</w:t>
      </w:r>
      <w:r>
        <w:rPr>
          <w:rFonts w:hint="eastAsia" w:ascii="宋体" w:hAnsi="宋体"/>
          <w:color w:val="000000"/>
          <w:kern w:val="0"/>
          <w:szCs w:val="21"/>
        </w:rPr>
        <w:t>天起视为已颁发工程接收证书。</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除专用合同条款另有约定外，发包人不按照本项约定组织竣工验收、颁发工程接收证书的，每逾期一天，应以签约合同价为基数，按照中国人民银行发布的同期同类贷款基准利率支付违约金。</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13.2.3</w:t>
      </w:r>
      <w:r>
        <w:rPr>
          <w:rFonts w:hint="eastAsia" w:ascii="宋体" w:hAnsi="宋体"/>
          <w:color w:val="000000"/>
          <w:kern w:val="0"/>
          <w:szCs w:val="21"/>
        </w:rPr>
        <w:t>竣工日期</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工程经竣工验收合格的，以承包人提交竣工验收申请报告之日为实际竣工日期，并在工程接收证书中载明；因发包人原因，未在监理人收到承包人提交的竣工验收申请报告</w:t>
      </w:r>
      <w:r>
        <w:rPr>
          <w:rFonts w:ascii="宋体" w:hAnsi="宋体"/>
          <w:color w:val="000000"/>
          <w:kern w:val="0"/>
          <w:szCs w:val="21"/>
        </w:rPr>
        <w:t>42</w:t>
      </w:r>
      <w:r>
        <w:rPr>
          <w:rFonts w:hint="eastAsia" w:ascii="宋体" w:hAnsi="宋体"/>
          <w:color w:val="000000"/>
          <w:kern w:val="0"/>
          <w:szCs w:val="21"/>
        </w:rPr>
        <w:t>天内完成竣工验收，或完成竣工验收不予签发工程接收证书的，以提交竣工验</w:t>
      </w:r>
      <w:bookmarkStart w:id="564" w:name="BM_go14"/>
      <w:bookmarkEnd w:id="564"/>
      <w:r>
        <w:rPr>
          <w:rFonts w:hint="eastAsia" w:ascii="宋体" w:hAnsi="宋体"/>
          <w:color w:val="000000"/>
          <w:kern w:val="0"/>
          <w:szCs w:val="21"/>
        </w:rPr>
        <w:t>收申请报告的日期为实际竣工日期；工程未经竣工验收，发包人擅自使用的，以转移占有工程之日为实际竣工日期。</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13.2.4 </w:t>
      </w:r>
      <w:r>
        <w:rPr>
          <w:rFonts w:hint="eastAsia" w:ascii="宋体" w:hAnsi="宋体"/>
          <w:color w:val="000000"/>
          <w:kern w:val="0"/>
          <w:szCs w:val="21"/>
        </w:rPr>
        <w:t>拒绝接收全部或部分工程</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13.2.5 </w:t>
      </w:r>
      <w:r>
        <w:rPr>
          <w:rFonts w:hint="eastAsia" w:ascii="宋体" w:hAnsi="宋体"/>
          <w:color w:val="000000"/>
          <w:kern w:val="0"/>
          <w:szCs w:val="21"/>
        </w:rPr>
        <w:t>移交、接收全部与部分工程</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除专用合同条款另有约定外，合同当事人应当在颁发工程接收证书后</w:t>
      </w:r>
      <w:r>
        <w:rPr>
          <w:rFonts w:ascii="宋体" w:hAnsi="宋体"/>
          <w:color w:val="000000"/>
          <w:kern w:val="0"/>
          <w:szCs w:val="21"/>
        </w:rPr>
        <w:t>7</w:t>
      </w:r>
      <w:r>
        <w:rPr>
          <w:rFonts w:hint="eastAsia" w:ascii="宋体" w:hAnsi="宋体"/>
          <w:color w:val="000000"/>
          <w:kern w:val="0"/>
          <w:szCs w:val="21"/>
        </w:rPr>
        <w:t>天内完成工程的移交。</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发包人无正当理由不接收工程的，发包人自应当接收工程之日起，承担工程照管、成品保护、保管等与工程有关的各项费用，合同当事人可以在专用合同条款中另行约定发包人逾期接收工程的违约责任。</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承包人无正当理由不移交工程的，承包人应承担工程照管、成品保护、保管等与工程有关的各项费用，合同当事人可以在专用合同条款中另行约定承包人无正当理由不移交工程的违约责任。</w:t>
      </w:r>
    </w:p>
    <w:p>
      <w:pPr>
        <w:rPr>
          <w:rFonts w:ascii="黑体" w:hAnsi="黑体" w:eastAsia="黑体"/>
          <w:color w:val="000000"/>
        </w:rPr>
      </w:pPr>
      <w:bookmarkStart w:id="565" w:name="_Toc296503111"/>
      <w:bookmarkStart w:id="566" w:name="_Toc337558807"/>
      <w:bookmarkStart w:id="567" w:name="_Toc296346612"/>
      <w:r>
        <w:rPr>
          <w:rFonts w:ascii="黑体" w:hAnsi="黑体" w:eastAsia="黑体"/>
          <w:color w:val="000000"/>
        </w:rPr>
        <w:t>13.3</w:t>
      </w:r>
      <w:r>
        <w:rPr>
          <w:rFonts w:hint="eastAsia" w:ascii="黑体" w:hAnsi="黑体" w:eastAsia="黑体"/>
          <w:color w:val="000000"/>
        </w:rPr>
        <w:t>工程试车</w:t>
      </w:r>
    </w:p>
    <w:bookmarkEnd w:id="565"/>
    <w:bookmarkEnd w:id="566"/>
    <w:bookmarkEnd w:id="567"/>
    <w:p>
      <w:pPr>
        <w:spacing w:line="360" w:lineRule="auto"/>
        <w:ind w:firstLine="420" w:firstLineChars="200"/>
        <w:jc w:val="left"/>
        <w:rPr>
          <w:rFonts w:ascii="宋体" w:hAnsi="宋体"/>
          <w:color w:val="000000"/>
          <w:kern w:val="0"/>
          <w:szCs w:val="21"/>
        </w:rPr>
      </w:pPr>
      <w:r>
        <w:rPr>
          <w:rFonts w:ascii="宋体" w:hAnsi="宋体"/>
          <w:color w:val="000000"/>
          <w:kern w:val="0"/>
          <w:szCs w:val="21"/>
        </w:rPr>
        <w:t>13.3.1</w:t>
      </w:r>
      <w:r>
        <w:rPr>
          <w:rFonts w:hint="eastAsia" w:ascii="宋体" w:hAnsi="宋体"/>
          <w:color w:val="000000"/>
          <w:kern w:val="0"/>
          <w:szCs w:val="21"/>
        </w:rPr>
        <w:t>试车程序</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工程需要试车的，除专用合同条款另有约定外，试车内容应与承包人承包范围相一致，试车费用由承包人承担。工程试车应按如下程序进行：</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）具备单机无负荷试车条件，承包人组织试车，并在试车前</w:t>
      </w:r>
      <w:r>
        <w:rPr>
          <w:rFonts w:ascii="宋体" w:hAnsi="宋体"/>
          <w:color w:val="000000"/>
          <w:kern w:val="0"/>
          <w:szCs w:val="21"/>
        </w:rPr>
        <w:t>48</w:t>
      </w:r>
      <w:r>
        <w:rPr>
          <w:rFonts w:hint="eastAsia" w:ascii="宋体" w:hAnsi="宋体"/>
          <w:color w:val="000000"/>
          <w:kern w:val="0"/>
          <w:szCs w:val="21"/>
        </w:rPr>
        <w:t>小时书面通知监理人，通知中应载明试车内容、时间、地点。承包人准备试车记录，发包人根据承包人要求为试车提供必要条件。试车合格的，监理人在试车记录上签字。监理人在试车合格后不在试车记录上签字，自试车结束满</w:t>
      </w:r>
      <w:r>
        <w:rPr>
          <w:rFonts w:ascii="宋体" w:hAnsi="宋体"/>
          <w:color w:val="000000"/>
          <w:kern w:val="0"/>
          <w:szCs w:val="21"/>
        </w:rPr>
        <w:t>24</w:t>
      </w:r>
      <w:r>
        <w:rPr>
          <w:rFonts w:hint="eastAsia" w:ascii="宋体" w:hAnsi="宋体"/>
          <w:color w:val="000000"/>
          <w:kern w:val="0"/>
          <w:szCs w:val="21"/>
        </w:rPr>
        <w:t>小时后视为监理人已经认可试车记录，承包人可继续施工或办理竣工验收手续。</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监理人不能按时参加试车，应在试车前</w:t>
      </w:r>
      <w:r>
        <w:rPr>
          <w:rFonts w:ascii="宋体" w:hAnsi="宋体"/>
          <w:color w:val="000000"/>
          <w:kern w:val="0"/>
          <w:szCs w:val="21"/>
        </w:rPr>
        <w:t>24</w:t>
      </w:r>
      <w:r>
        <w:rPr>
          <w:rFonts w:hint="eastAsia" w:ascii="宋体" w:hAnsi="宋体"/>
          <w:color w:val="000000"/>
          <w:kern w:val="0"/>
          <w:szCs w:val="21"/>
        </w:rPr>
        <w:t>小时以书面形式向承包人提出延期要求，但延期不能超过</w:t>
      </w:r>
      <w:r>
        <w:rPr>
          <w:rFonts w:ascii="宋体" w:hAnsi="宋体"/>
          <w:color w:val="000000"/>
          <w:kern w:val="0"/>
          <w:szCs w:val="21"/>
        </w:rPr>
        <w:t>48</w:t>
      </w:r>
      <w:r>
        <w:rPr>
          <w:rFonts w:hint="eastAsia" w:ascii="宋体" w:hAnsi="宋体"/>
          <w:color w:val="000000"/>
          <w:kern w:val="0"/>
          <w:szCs w:val="21"/>
        </w:rPr>
        <w:t>小时，由此导致工期延误的，工期应予以顺延。监理人未能在前述期限内提出延期要求，又不参加试车的，视为认可试车记录。</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）具备无负荷联动试车条件，发包人组织试车，并在试车前</w:t>
      </w:r>
      <w:r>
        <w:rPr>
          <w:rFonts w:ascii="宋体" w:hAnsi="宋体"/>
          <w:color w:val="000000"/>
          <w:kern w:val="0"/>
          <w:szCs w:val="21"/>
        </w:rPr>
        <w:t>48</w:t>
      </w:r>
      <w:r>
        <w:rPr>
          <w:rFonts w:hint="eastAsia" w:ascii="宋体" w:hAnsi="宋体"/>
          <w:color w:val="000000"/>
          <w:kern w:val="0"/>
          <w:szCs w:val="21"/>
        </w:rPr>
        <w:t>小时以书面形式通知承包人。通知中应载明试车内容、时间、地点和对承包人的要求，承包人按要求做好准备工作。试车合格，合同当事人在试车记录上签字。承包人无正当理由不参加试车的，视为认可试车记录。</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13.3.2 </w:t>
      </w:r>
      <w:r>
        <w:rPr>
          <w:rFonts w:hint="eastAsia" w:ascii="宋体" w:hAnsi="宋体"/>
          <w:color w:val="000000"/>
          <w:kern w:val="0"/>
          <w:szCs w:val="21"/>
        </w:rPr>
        <w:t>试车中的责任</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13.3.3 </w:t>
      </w:r>
      <w:r>
        <w:rPr>
          <w:rFonts w:hint="eastAsia" w:ascii="宋体" w:hAnsi="宋体"/>
          <w:color w:val="000000"/>
          <w:kern w:val="0"/>
          <w:szCs w:val="21"/>
        </w:rPr>
        <w:t>投料试车</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如需进行投料试车的，发包人应在工程竣工验收后组织投料试车。发包人要求在工程竣工验收前进行或需要承包人配合时，应征得承包人同意，并在专用合同条款中约定有关事项。</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pPr>
        <w:rPr>
          <w:rFonts w:ascii="黑体" w:hAnsi="黑体" w:eastAsia="黑体"/>
          <w:color w:val="000000"/>
        </w:rPr>
      </w:pPr>
      <w:bookmarkStart w:id="568" w:name="_Toc337558808"/>
      <w:r>
        <w:rPr>
          <w:rFonts w:ascii="黑体" w:hAnsi="黑体" w:eastAsia="黑体"/>
          <w:color w:val="000000"/>
        </w:rPr>
        <w:t>13.4</w:t>
      </w:r>
      <w:r>
        <w:rPr>
          <w:rFonts w:hint="eastAsia" w:ascii="黑体" w:hAnsi="黑体" w:eastAsia="黑体"/>
          <w:color w:val="000000"/>
        </w:rPr>
        <w:t>提前交付单位工程</w:t>
      </w:r>
      <w:r>
        <w:rPr>
          <w:rFonts w:hint="eastAsia" w:ascii="黑体" w:hAnsi="黑体" w:eastAsia="黑体"/>
          <w:color w:val="000000"/>
          <w:lang w:eastAsia="zh-CN"/>
        </w:rPr>
        <w:t>地</w:t>
      </w:r>
      <w:r>
        <w:rPr>
          <w:rFonts w:hint="eastAsia" w:ascii="黑体" w:hAnsi="黑体" w:eastAsia="黑体"/>
          <w:color w:val="000000"/>
        </w:rPr>
        <w:t>验收</w:t>
      </w:r>
    </w:p>
    <w:bookmarkEnd w:id="568"/>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13.4.1 </w:t>
      </w:r>
      <w:r>
        <w:rPr>
          <w:rFonts w:hint="eastAsia" w:ascii="宋体" w:hAnsi="宋体"/>
          <w:color w:val="000000"/>
          <w:kern w:val="0"/>
          <w:szCs w:val="21"/>
        </w:rPr>
        <w:t>发包人需要在工程竣工前使用单位工程的，或承包人提出提前交付已经竣工的单位工程且经发包人同意的，可进行单位工程验收，验收的程序按照第</w:t>
      </w:r>
      <w:r>
        <w:rPr>
          <w:rFonts w:ascii="宋体" w:hAnsi="宋体"/>
          <w:color w:val="000000"/>
          <w:kern w:val="0"/>
          <w:szCs w:val="21"/>
        </w:rPr>
        <w:t>13.2</w:t>
      </w:r>
      <w:r>
        <w:rPr>
          <w:rFonts w:hint="eastAsia" w:ascii="宋体" w:hAnsi="宋体"/>
          <w:color w:val="000000"/>
          <w:kern w:val="0"/>
          <w:szCs w:val="21"/>
        </w:rPr>
        <w:t>款〔竣工验收〕的约定进行。</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验收合格后，由监理人向承包人出具经发包人签认的单位工程接收证书。已签发单位工程接收证书的单位工程由发包人负责照管。单位工程的验收成果和结论作为整体工程竣工验收申请报告的附件。</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13.4.2 </w:t>
      </w:r>
      <w:r>
        <w:rPr>
          <w:rFonts w:hint="eastAsia" w:ascii="宋体" w:hAnsi="宋体"/>
          <w:color w:val="000000"/>
          <w:kern w:val="0"/>
          <w:szCs w:val="21"/>
        </w:rPr>
        <w:t>发包人要求在工程竣工前交付单位工程，由此导致承包人费用增加和（或）工期延误的，由发包人承担由此增加的费用和（或）延误的工期，并支付承包人合理的利润。</w:t>
      </w:r>
    </w:p>
    <w:p>
      <w:pPr>
        <w:rPr>
          <w:rFonts w:ascii="黑体" w:hAnsi="黑体" w:eastAsia="黑体"/>
          <w:color w:val="000000"/>
        </w:rPr>
      </w:pPr>
      <w:r>
        <w:rPr>
          <w:rFonts w:ascii="黑体" w:hAnsi="黑体" w:eastAsia="黑体"/>
          <w:color w:val="000000"/>
        </w:rPr>
        <w:t xml:space="preserve">13.5 </w:t>
      </w:r>
      <w:r>
        <w:rPr>
          <w:rFonts w:hint="eastAsia" w:ascii="黑体" w:hAnsi="黑体" w:eastAsia="黑体"/>
          <w:color w:val="000000"/>
        </w:rPr>
        <w:t>施工期运行</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13.5.1 </w:t>
      </w:r>
      <w:r>
        <w:rPr>
          <w:rFonts w:hint="eastAsia" w:ascii="宋体" w:hAnsi="宋体"/>
          <w:color w:val="000000"/>
          <w:kern w:val="0"/>
          <w:szCs w:val="21"/>
        </w:rPr>
        <w:t>施工期运行是指合同工程尚未全部竣工，其中某项或某几项单位工程或工程设备安装已竣工，根据专用合同条款约定，需要投入施工期运行的，经发包人按第</w:t>
      </w:r>
      <w:r>
        <w:rPr>
          <w:rFonts w:ascii="宋体" w:hAnsi="宋体"/>
          <w:color w:val="000000"/>
          <w:kern w:val="0"/>
          <w:szCs w:val="21"/>
        </w:rPr>
        <w:t>13.4</w:t>
      </w:r>
      <w:r>
        <w:rPr>
          <w:rFonts w:hint="eastAsia" w:ascii="宋体" w:hAnsi="宋体"/>
          <w:color w:val="000000"/>
          <w:kern w:val="0"/>
          <w:szCs w:val="21"/>
        </w:rPr>
        <w:t>款〔提前交付单位工程的验收〕的约定验收合格，证明能确保安全后，才能在施工期投入运行。</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13.5.2 </w:t>
      </w:r>
      <w:r>
        <w:rPr>
          <w:rFonts w:hint="eastAsia" w:ascii="宋体" w:hAnsi="宋体"/>
          <w:color w:val="000000"/>
          <w:kern w:val="0"/>
          <w:szCs w:val="21"/>
        </w:rPr>
        <w:t>在施工期运行中发现工程或工程设备损坏或存在缺陷的，由承包人按第</w:t>
      </w:r>
      <w:r>
        <w:rPr>
          <w:rFonts w:ascii="宋体" w:hAnsi="宋体"/>
          <w:color w:val="000000"/>
          <w:kern w:val="0"/>
          <w:szCs w:val="21"/>
        </w:rPr>
        <w:t>15.2</w:t>
      </w:r>
      <w:r>
        <w:rPr>
          <w:rFonts w:hint="eastAsia" w:ascii="宋体" w:hAnsi="宋体"/>
          <w:color w:val="000000"/>
          <w:kern w:val="0"/>
          <w:szCs w:val="21"/>
        </w:rPr>
        <w:t>款〔缺陷责任期〕约定进行修复。</w:t>
      </w:r>
    </w:p>
    <w:p>
      <w:pPr>
        <w:rPr>
          <w:rFonts w:ascii="黑体" w:hAnsi="黑体" w:eastAsia="黑体"/>
          <w:color w:val="000000"/>
        </w:rPr>
      </w:pPr>
      <w:bookmarkStart w:id="569" w:name="_Toc296346613"/>
      <w:bookmarkStart w:id="570" w:name="_Toc296503112"/>
      <w:bookmarkStart w:id="571" w:name="_Toc337558809"/>
      <w:r>
        <w:rPr>
          <w:rFonts w:ascii="黑体" w:hAnsi="黑体" w:eastAsia="黑体"/>
          <w:color w:val="000000"/>
        </w:rPr>
        <w:t xml:space="preserve">13.6 </w:t>
      </w:r>
      <w:r>
        <w:rPr>
          <w:rFonts w:hint="eastAsia" w:ascii="黑体" w:hAnsi="黑体" w:eastAsia="黑体"/>
          <w:color w:val="000000"/>
        </w:rPr>
        <w:t>竣工退</w:t>
      </w:r>
      <w:bookmarkEnd w:id="569"/>
      <w:bookmarkEnd w:id="570"/>
      <w:r>
        <w:rPr>
          <w:rFonts w:hint="eastAsia" w:ascii="黑体" w:hAnsi="黑体" w:eastAsia="黑体"/>
          <w:color w:val="000000"/>
        </w:rPr>
        <w:t>场</w:t>
      </w:r>
    </w:p>
    <w:bookmarkEnd w:id="571"/>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13.6.1 </w:t>
      </w:r>
      <w:r>
        <w:rPr>
          <w:rFonts w:hint="eastAsia" w:ascii="宋体" w:hAnsi="宋体"/>
          <w:color w:val="000000"/>
          <w:kern w:val="0"/>
          <w:szCs w:val="21"/>
        </w:rPr>
        <w:t>竣工退场</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颁发工程接收证书后，承包人应按以下要求对施工现场进行清理：</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）施工现场内残留的垃圾已全部清除出场；</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）临时工程已拆除，场地已进行清理、平整或复原；</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3</w:t>
      </w:r>
      <w:r>
        <w:rPr>
          <w:rFonts w:hint="eastAsia" w:ascii="宋体" w:hAnsi="宋体"/>
          <w:color w:val="000000"/>
          <w:kern w:val="0"/>
          <w:szCs w:val="21"/>
        </w:rPr>
        <w:t>）按合同约定应撤离的人员、承包人施工设备和剩余的材料，包括废弃的施工设备和材料，已按计划撤离施工现场；</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4</w:t>
      </w:r>
      <w:r>
        <w:rPr>
          <w:rFonts w:hint="eastAsia" w:ascii="宋体" w:hAnsi="宋体"/>
          <w:color w:val="000000"/>
          <w:kern w:val="0"/>
          <w:szCs w:val="21"/>
        </w:rPr>
        <w:t>）施工现场周边及其附近道路、河道的施工堆积物，已全部清理；</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5</w:t>
      </w:r>
      <w:r>
        <w:rPr>
          <w:rFonts w:hint="eastAsia" w:ascii="宋体" w:hAnsi="宋体"/>
          <w:color w:val="000000"/>
          <w:kern w:val="0"/>
          <w:szCs w:val="21"/>
        </w:rPr>
        <w:t>）施工现场其他场地清理工作已全部完成。</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13.6.2 </w:t>
      </w:r>
      <w:r>
        <w:rPr>
          <w:rFonts w:hint="eastAsia" w:ascii="宋体" w:hAnsi="宋体"/>
          <w:color w:val="000000"/>
          <w:kern w:val="0"/>
          <w:szCs w:val="21"/>
        </w:rPr>
        <w:t>地表还原</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承包人应按发包人要求恢复临时占地及清理场地，承包人未按发包人的要求恢复临时占地，或者场地清理未达到合同约定要求的，发包人有权委托其他人恢复或清理，所发生的费用由承包人承担。</w:t>
      </w:r>
    </w:p>
    <w:p>
      <w:pPr>
        <w:pStyle w:val="5"/>
        <w:spacing w:before="120" w:after="120" w:line="360" w:lineRule="auto"/>
        <w:rPr>
          <w:rFonts w:ascii="黑体" w:hAnsi="黑体"/>
          <w:b w:val="0"/>
          <w:color w:val="000000"/>
        </w:rPr>
      </w:pPr>
      <w:bookmarkStart w:id="572" w:name="_Toc362623179"/>
      <w:bookmarkStart w:id="573" w:name="_Toc114222815"/>
      <w:bookmarkStart w:id="574" w:name="_Toc337558810"/>
      <w:bookmarkStart w:id="575" w:name="_Toc296503113"/>
      <w:bookmarkStart w:id="576" w:name="_Toc296346614"/>
      <w:r>
        <w:rPr>
          <w:rFonts w:ascii="黑体" w:hAnsi="黑体"/>
          <w:b w:val="0"/>
          <w:color w:val="000000"/>
        </w:rPr>
        <w:t xml:space="preserve">14. </w:t>
      </w:r>
      <w:r>
        <w:rPr>
          <w:rFonts w:hint="eastAsia" w:ascii="黑体" w:hAnsi="黑体"/>
          <w:b w:val="0"/>
          <w:color w:val="000000"/>
        </w:rPr>
        <w:t>竣工结算</w:t>
      </w:r>
      <w:bookmarkEnd w:id="572"/>
      <w:bookmarkEnd w:id="573"/>
    </w:p>
    <w:bookmarkEnd w:id="574"/>
    <w:p>
      <w:pPr>
        <w:rPr>
          <w:rFonts w:ascii="黑体" w:hAnsi="黑体" w:eastAsia="黑体"/>
          <w:color w:val="000000"/>
        </w:rPr>
      </w:pPr>
      <w:bookmarkStart w:id="577" w:name="_Toc337558811"/>
      <w:r>
        <w:rPr>
          <w:rFonts w:ascii="黑体" w:hAnsi="黑体" w:eastAsia="黑体"/>
          <w:color w:val="000000"/>
        </w:rPr>
        <w:t xml:space="preserve">14.1 </w:t>
      </w:r>
      <w:r>
        <w:rPr>
          <w:rFonts w:hint="eastAsia" w:ascii="黑体" w:hAnsi="黑体" w:eastAsia="黑体"/>
          <w:color w:val="000000"/>
        </w:rPr>
        <w:t>竣工结算申请</w:t>
      </w:r>
    </w:p>
    <w:bookmarkEnd w:id="577"/>
    <w:p>
      <w:pPr>
        <w:autoSpaceDE w:val="0"/>
        <w:autoSpaceDN w:val="0"/>
        <w:adjustRightInd w:val="0"/>
        <w:spacing w:line="360" w:lineRule="auto"/>
        <w:ind w:firstLine="420" w:firstLineChars="200"/>
        <w:jc w:val="left"/>
        <w:rPr>
          <w:rFonts w:ascii="宋体" w:hAnsi="宋体"/>
          <w:color w:val="000000"/>
          <w:szCs w:val="21"/>
        </w:rPr>
      </w:pPr>
      <w:r>
        <w:rPr>
          <w:rFonts w:hint="eastAsia" w:ascii="宋体" w:hAnsi="宋体"/>
          <w:color w:val="000000"/>
          <w:kern w:val="0"/>
          <w:szCs w:val="21"/>
        </w:rPr>
        <w:t>除专用合同条款另有约定外，</w:t>
      </w:r>
      <w:r>
        <w:rPr>
          <w:rFonts w:hint="eastAsia" w:ascii="宋体" w:hAnsi="宋体"/>
          <w:color w:val="000000"/>
          <w:szCs w:val="21"/>
        </w:rPr>
        <w:t>承包人应在工程竣工验收合格后</w:t>
      </w:r>
      <w:r>
        <w:rPr>
          <w:rFonts w:ascii="宋体" w:hAnsi="宋体"/>
          <w:color w:val="000000"/>
          <w:szCs w:val="21"/>
        </w:rPr>
        <w:t>28</w:t>
      </w:r>
      <w:r>
        <w:rPr>
          <w:rFonts w:hint="eastAsia" w:ascii="宋体" w:hAnsi="宋体"/>
          <w:color w:val="000000"/>
          <w:szCs w:val="21"/>
        </w:rPr>
        <w:t>天内向发包人和监理人提交竣工结算申请单，并提交完整的结算资料，有关竣工结算申请单的资料清单和份数等要求由合同当事人在专用合同条款中约定。</w:t>
      </w:r>
    </w:p>
    <w:p>
      <w:pPr>
        <w:autoSpaceDE w:val="0"/>
        <w:autoSpaceDN w:val="0"/>
        <w:adjustRightInd w:val="0"/>
        <w:spacing w:line="360" w:lineRule="auto"/>
        <w:ind w:firstLine="420" w:firstLineChars="200"/>
        <w:jc w:val="left"/>
        <w:rPr>
          <w:rFonts w:ascii="宋体" w:hAnsi="宋体"/>
          <w:color w:val="000000"/>
          <w:szCs w:val="21"/>
        </w:rPr>
      </w:pPr>
      <w:r>
        <w:rPr>
          <w:rFonts w:hint="eastAsia" w:ascii="宋体" w:hAnsi="宋体"/>
          <w:color w:val="000000"/>
          <w:szCs w:val="21"/>
        </w:rPr>
        <w:t>除专用合同条款另有约定外，竣工结算申请单应包括以下内容：</w:t>
      </w:r>
    </w:p>
    <w:p>
      <w:pPr>
        <w:autoSpaceDE w:val="0"/>
        <w:autoSpaceDN w:val="0"/>
        <w:adjustRightInd w:val="0"/>
        <w:spacing w:line="360" w:lineRule="auto"/>
        <w:ind w:firstLine="420" w:firstLineChars="200"/>
        <w:jc w:val="left"/>
        <w:rPr>
          <w:rFonts w:ascii="宋体" w:hAns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）竣工结算合同价格；</w:t>
      </w:r>
    </w:p>
    <w:p>
      <w:pPr>
        <w:autoSpaceDE w:val="0"/>
        <w:autoSpaceDN w:val="0"/>
        <w:adjustRightInd w:val="0"/>
        <w:spacing w:line="360" w:lineRule="auto"/>
        <w:ind w:firstLine="420" w:firstLineChars="200"/>
        <w:jc w:val="left"/>
        <w:rPr>
          <w:rFonts w:ascii="宋体" w:hAns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）发包人已支付承包人的款项；</w:t>
      </w:r>
    </w:p>
    <w:p>
      <w:pPr>
        <w:autoSpaceDE w:val="0"/>
        <w:autoSpaceDN w:val="0"/>
        <w:adjustRightInd w:val="0"/>
        <w:spacing w:line="360" w:lineRule="auto"/>
        <w:ind w:firstLine="420" w:firstLineChars="200"/>
        <w:jc w:val="left"/>
        <w:rPr>
          <w:rFonts w:ascii="宋体" w:hAns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）应扣留的质量保证金。已缴纳履约保证金的或提供其他工程质量担保方式的除外</w:t>
      </w:r>
      <w:r>
        <w:rPr>
          <w:rFonts w:ascii="宋体" w:hAnsi="宋体"/>
          <w:color w:val="000000"/>
          <w:szCs w:val="21"/>
        </w:rPr>
        <w:t>；</w:t>
      </w:r>
    </w:p>
    <w:p>
      <w:pPr>
        <w:autoSpaceDE w:val="0"/>
        <w:autoSpaceDN w:val="0"/>
        <w:adjustRightInd w:val="0"/>
        <w:spacing w:line="360" w:lineRule="auto"/>
        <w:ind w:firstLine="420" w:firstLineChars="200"/>
        <w:jc w:val="left"/>
        <w:rPr>
          <w:rFonts w:ascii="宋体" w:hAnsi="宋体"/>
          <w:color w:val="000000"/>
          <w:szCs w:val="21"/>
        </w:rPr>
      </w:pPr>
      <w:r>
        <w:rPr>
          <w:rFonts w:hint="eastAsia" w:ascii="宋体" w:hAnsi="宋体"/>
          <w:color w:val="000000"/>
          <w:szCs w:val="21"/>
        </w:rPr>
        <w:t>（</w:t>
      </w:r>
      <w:r>
        <w:rPr>
          <w:rFonts w:ascii="宋体" w:hAnsi="宋体"/>
          <w:color w:val="000000"/>
          <w:szCs w:val="21"/>
        </w:rPr>
        <w:t>4</w:t>
      </w:r>
      <w:r>
        <w:rPr>
          <w:rFonts w:hint="eastAsia" w:ascii="宋体" w:hAnsi="宋体"/>
          <w:color w:val="000000"/>
          <w:szCs w:val="21"/>
        </w:rPr>
        <w:t>）发包人应支付承包人的合同价款。</w:t>
      </w:r>
    </w:p>
    <w:p>
      <w:pPr>
        <w:rPr>
          <w:rFonts w:ascii="黑体" w:hAnsi="黑体" w:eastAsia="黑体"/>
          <w:color w:val="000000"/>
        </w:rPr>
      </w:pPr>
      <w:bookmarkStart w:id="578" w:name="_Toc337558812"/>
      <w:r>
        <w:rPr>
          <w:rFonts w:ascii="黑体" w:hAnsi="黑体" w:eastAsia="黑体"/>
          <w:color w:val="000000"/>
        </w:rPr>
        <w:t xml:space="preserve">14.2 </w:t>
      </w:r>
      <w:r>
        <w:rPr>
          <w:rFonts w:hint="eastAsia" w:ascii="黑体" w:hAnsi="黑体" w:eastAsia="黑体"/>
          <w:color w:val="000000"/>
        </w:rPr>
        <w:t>竣工结算审核</w:t>
      </w:r>
    </w:p>
    <w:bookmarkEnd w:id="578"/>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）除专用合同条款另有约定外，监理人应在收到竣工结算申请单后</w:t>
      </w:r>
      <w:r>
        <w:rPr>
          <w:rFonts w:ascii="宋体" w:hAnsi="宋体"/>
          <w:color w:val="000000"/>
          <w:kern w:val="0"/>
          <w:szCs w:val="21"/>
        </w:rPr>
        <w:t>14</w:t>
      </w:r>
      <w:r>
        <w:rPr>
          <w:rFonts w:hint="eastAsia" w:ascii="宋体" w:hAnsi="宋体"/>
          <w:color w:val="000000"/>
          <w:kern w:val="0"/>
          <w:szCs w:val="21"/>
        </w:rPr>
        <w:t>天内完成核查并报送发包人。发包人应在收到监理人提交的经审核的竣工结算申请单后</w:t>
      </w:r>
      <w:r>
        <w:rPr>
          <w:rFonts w:ascii="宋体" w:hAnsi="宋体"/>
          <w:color w:val="000000"/>
          <w:kern w:val="0"/>
          <w:szCs w:val="21"/>
        </w:rPr>
        <w:t>14</w:t>
      </w:r>
      <w:r>
        <w:rPr>
          <w:rFonts w:hint="eastAsia" w:ascii="宋体" w:hAnsi="宋体"/>
          <w:color w:val="000000"/>
          <w:kern w:val="0"/>
          <w:szCs w:val="21"/>
        </w:rPr>
        <w:t>天内完成审批，并由监理人向承包人签发经发包人签认的竣工付款证书。监理人或</w:t>
      </w:r>
      <w:r>
        <w:rPr>
          <w:rFonts w:hint="eastAsia" w:ascii="宋体" w:hAnsi="宋体"/>
          <w:color w:val="000000"/>
          <w:szCs w:val="21"/>
        </w:rPr>
        <w:t>发包人对竣工</w:t>
      </w:r>
      <w:r>
        <w:rPr>
          <w:rFonts w:hint="eastAsia" w:ascii="宋体" w:hAnsi="宋体"/>
          <w:color w:val="000000"/>
          <w:kern w:val="0"/>
          <w:szCs w:val="21"/>
        </w:rPr>
        <w:t>结算</w:t>
      </w:r>
      <w:r>
        <w:rPr>
          <w:rFonts w:hint="eastAsia" w:ascii="宋体" w:hAnsi="宋体"/>
          <w:color w:val="000000"/>
          <w:szCs w:val="21"/>
        </w:rPr>
        <w:t>申请单有异议的，有权要求承包人进行修正和提供补充资料，承包人应提交修正后的竣工</w:t>
      </w:r>
      <w:r>
        <w:rPr>
          <w:rFonts w:hint="eastAsia" w:ascii="宋体" w:hAnsi="宋体"/>
          <w:color w:val="000000"/>
          <w:kern w:val="0"/>
          <w:szCs w:val="21"/>
        </w:rPr>
        <w:t>结算</w:t>
      </w:r>
      <w:r>
        <w:rPr>
          <w:rFonts w:hint="eastAsia" w:ascii="宋体" w:hAnsi="宋体"/>
          <w:color w:val="000000"/>
          <w:szCs w:val="21"/>
        </w:rPr>
        <w:t>申请单。</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发包人在收到承包人提交竣工结算申请书后</w:t>
      </w:r>
      <w:r>
        <w:rPr>
          <w:rFonts w:ascii="宋体" w:hAnsi="宋体"/>
          <w:color w:val="000000"/>
          <w:kern w:val="0"/>
          <w:szCs w:val="21"/>
        </w:rPr>
        <w:t>28</w:t>
      </w:r>
      <w:r>
        <w:rPr>
          <w:rFonts w:hint="eastAsia" w:ascii="宋体" w:hAnsi="宋体"/>
          <w:color w:val="000000"/>
          <w:kern w:val="0"/>
          <w:szCs w:val="21"/>
        </w:rPr>
        <w:t>天内未完成审批且未提出异议的，视为发包人认可承包人提交的竣工结算申请单，并自发包人收到承包人提交的竣工结算申请单后第</w:t>
      </w:r>
      <w:r>
        <w:rPr>
          <w:rFonts w:ascii="宋体" w:hAnsi="宋体"/>
          <w:color w:val="000000"/>
          <w:kern w:val="0"/>
          <w:szCs w:val="21"/>
        </w:rPr>
        <w:t>29</w:t>
      </w:r>
      <w:r>
        <w:rPr>
          <w:rFonts w:hint="eastAsia" w:ascii="宋体" w:hAnsi="宋体"/>
          <w:color w:val="000000"/>
          <w:kern w:val="0"/>
          <w:szCs w:val="21"/>
        </w:rPr>
        <w:t>天起视为已签发竣工付款证书。</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）除专用合同条款另有约定外，发包人应在签发竣工付款证书后的</w:t>
      </w:r>
      <w:r>
        <w:rPr>
          <w:rFonts w:ascii="宋体" w:hAnsi="宋体"/>
          <w:color w:val="000000"/>
          <w:kern w:val="0"/>
          <w:szCs w:val="21"/>
        </w:rPr>
        <w:t xml:space="preserve">14 </w:t>
      </w:r>
      <w:r>
        <w:rPr>
          <w:rFonts w:hint="eastAsia" w:ascii="宋体" w:hAnsi="宋体"/>
          <w:color w:val="000000"/>
          <w:kern w:val="0"/>
          <w:szCs w:val="21"/>
        </w:rPr>
        <w:t>天内，完成对承包人的竣工付款。发包人逾期支付的，按照中国人民银行发布的同期同类贷款基准利率支付违约金；逾期支付超过</w:t>
      </w:r>
      <w:r>
        <w:rPr>
          <w:rFonts w:ascii="宋体" w:hAnsi="宋体"/>
          <w:color w:val="000000"/>
          <w:kern w:val="0"/>
          <w:szCs w:val="21"/>
        </w:rPr>
        <w:t>56</w:t>
      </w:r>
      <w:r>
        <w:rPr>
          <w:rFonts w:hint="eastAsia" w:ascii="宋体" w:hAnsi="宋体"/>
          <w:color w:val="000000"/>
          <w:kern w:val="0"/>
          <w:szCs w:val="21"/>
        </w:rPr>
        <w:t>天的，按照中国人民银行发布的同期同类贷款基准利率的两倍支付违约金。</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3</w:t>
      </w:r>
      <w:r>
        <w:rPr>
          <w:rFonts w:hint="eastAsia" w:ascii="宋体" w:hAnsi="宋体"/>
          <w:color w:val="000000"/>
          <w:kern w:val="0"/>
          <w:szCs w:val="21"/>
        </w:rPr>
        <w:t>）承包人对发包人签认的竣工付款证书有异议的，对于有异议部分应在收到发包人签认的竣工付款证书后</w:t>
      </w:r>
      <w:r>
        <w:rPr>
          <w:rFonts w:ascii="宋体" w:hAnsi="宋体"/>
          <w:color w:val="000000"/>
          <w:kern w:val="0"/>
          <w:szCs w:val="21"/>
        </w:rPr>
        <w:t>7</w:t>
      </w:r>
      <w:r>
        <w:rPr>
          <w:rFonts w:hint="eastAsia" w:ascii="宋体" w:hAnsi="宋体"/>
          <w:color w:val="000000"/>
          <w:kern w:val="0"/>
          <w:szCs w:val="21"/>
        </w:rPr>
        <w:t>天内提出异议，并由合同当事人按照专用合同条款约定的方式和程序进行复核，或按照第</w:t>
      </w:r>
      <w:r>
        <w:rPr>
          <w:rFonts w:ascii="宋体" w:hAnsi="宋体"/>
          <w:color w:val="000000"/>
          <w:kern w:val="0"/>
          <w:szCs w:val="21"/>
        </w:rPr>
        <w:t>20</w:t>
      </w:r>
      <w:r>
        <w:rPr>
          <w:rFonts w:hint="eastAsia" w:ascii="宋体" w:hAnsi="宋体"/>
          <w:color w:val="000000"/>
          <w:kern w:val="0"/>
          <w:szCs w:val="21"/>
        </w:rPr>
        <w:t>条〔争议解决〕约定处理。对于无异议部分，发包人应签发临时竣工付款证书，并按本款第（</w:t>
      </w:r>
      <w:r>
        <w:rPr>
          <w:rFonts w:ascii="宋体" w:hAnsi="宋体"/>
          <w:color w:val="000000"/>
          <w:kern w:val="0"/>
          <w:szCs w:val="21"/>
        </w:rPr>
        <w:t>2</w:t>
      </w:r>
      <w:r>
        <w:rPr>
          <w:rFonts w:hint="eastAsia" w:ascii="宋体" w:hAnsi="宋体"/>
          <w:color w:val="000000"/>
          <w:kern w:val="0"/>
          <w:szCs w:val="21"/>
        </w:rPr>
        <w:t>）项完成付款。承包人逾期未提出异议的，视为认可发包人的审批结果。</w:t>
      </w:r>
    </w:p>
    <w:p>
      <w:pPr>
        <w:rPr>
          <w:rFonts w:ascii="黑体" w:hAnsi="黑体" w:eastAsia="黑体"/>
          <w:color w:val="000000"/>
        </w:rPr>
      </w:pPr>
      <w:bookmarkStart w:id="579" w:name="_Toc337558813"/>
      <w:r>
        <w:rPr>
          <w:rFonts w:ascii="黑体" w:hAnsi="黑体" w:eastAsia="黑体"/>
          <w:color w:val="000000"/>
        </w:rPr>
        <w:t xml:space="preserve">14.3 </w:t>
      </w:r>
      <w:r>
        <w:rPr>
          <w:rFonts w:hint="eastAsia" w:ascii="黑体" w:hAnsi="黑体" w:eastAsia="黑体"/>
          <w:color w:val="000000"/>
        </w:rPr>
        <w:t>甩项竣工协议</w:t>
      </w:r>
    </w:p>
    <w:bookmarkEnd w:id="579"/>
    <w:p>
      <w:pPr>
        <w:autoSpaceDE w:val="0"/>
        <w:autoSpaceDN w:val="0"/>
        <w:adjustRightInd w:val="0"/>
        <w:spacing w:line="360" w:lineRule="auto"/>
        <w:ind w:firstLine="411" w:firstLineChars="196"/>
        <w:jc w:val="left"/>
        <w:rPr>
          <w:rFonts w:ascii="宋体" w:hAnsi="宋体"/>
          <w:color w:val="000000"/>
          <w:kern w:val="0"/>
          <w:szCs w:val="21"/>
        </w:rPr>
      </w:pPr>
      <w:r>
        <w:rPr>
          <w:rFonts w:hint="eastAsia" w:ascii="宋体" w:hAnsi="宋体"/>
          <w:color w:val="000000"/>
          <w:szCs w:val="21"/>
        </w:rPr>
        <w:t>发包人要求甩项竣工的，合同当事人应签订甩项竣工协议。在甩项竣工协议中应明确，合同当事人按照第</w:t>
      </w:r>
      <w:r>
        <w:rPr>
          <w:rFonts w:ascii="宋体" w:hAnsi="宋体"/>
          <w:color w:val="000000"/>
          <w:szCs w:val="21"/>
        </w:rPr>
        <w:t>14.1</w:t>
      </w:r>
      <w:r>
        <w:rPr>
          <w:rFonts w:hint="eastAsia" w:ascii="宋体" w:hAnsi="宋体"/>
          <w:color w:val="000000"/>
          <w:szCs w:val="21"/>
        </w:rPr>
        <w:t>款〔竣工结算申请〕及</w:t>
      </w:r>
      <w:r>
        <w:rPr>
          <w:rFonts w:ascii="宋体" w:hAnsi="宋体"/>
          <w:color w:val="000000"/>
          <w:szCs w:val="21"/>
        </w:rPr>
        <w:t>14.2</w:t>
      </w:r>
      <w:r>
        <w:rPr>
          <w:rFonts w:hint="eastAsia" w:ascii="宋体" w:hAnsi="宋体"/>
          <w:color w:val="000000"/>
          <w:szCs w:val="21"/>
        </w:rPr>
        <w:t>款〔竣工结算审核〕的约定，对已完合格工程进行结算，并支付相应合同价款。</w:t>
      </w:r>
    </w:p>
    <w:p>
      <w:pPr>
        <w:rPr>
          <w:rFonts w:ascii="黑体" w:hAnsi="黑体" w:eastAsia="黑体"/>
          <w:color w:val="000000"/>
        </w:rPr>
      </w:pPr>
      <w:bookmarkStart w:id="580" w:name="_Toc337558814"/>
      <w:r>
        <w:rPr>
          <w:rFonts w:ascii="黑体" w:hAnsi="黑体" w:eastAsia="黑体"/>
          <w:color w:val="000000"/>
        </w:rPr>
        <w:t xml:space="preserve">14.4 </w:t>
      </w:r>
      <w:r>
        <w:rPr>
          <w:rFonts w:hint="eastAsia" w:ascii="黑体" w:hAnsi="黑体" w:eastAsia="黑体"/>
          <w:color w:val="000000"/>
        </w:rPr>
        <w:t>最终结清</w:t>
      </w:r>
    </w:p>
    <w:bookmarkEnd w:id="580"/>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14.4.1 </w:t>
      </w:r>
      <w:r>
        <w:rPr>
          <w:rFonts w:hint="eastAsia" w:ascii="宋体" w:hAnsi="宋体"/>
          <w:color w:val="000000"/>
          <w:kern w:val="0"/>
          <w:szCs w:val="21"/>
        </w:rPr>
        <w:t>最终结清申请单</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）除专用合同条款另有约定外，承包人应在缺陷责任期终止证书颁发后</w:t>
      </w:r>
      <w:r>
        <w:rPr>
          <w:rFonts w:ascii="宋体" w:hAnsi="宋体"/>
          <w:color w:val="000000"/>
          <w:kern w:val="0"/>
          <w:szCs w:val="21"/>
        </w:rPr>
        <w:t>7</w:t>
      </w:r>
      <w:r>
        <w:rPr>
          <w:rFonts w:hint="eastAsia" w:ascii="宋体" w:hAnsi="宋体"/>
          <w:color w:val="000000"/>
          <w:kern w:val="0"/>
          <w:szCs w:val="21"/>
        </w:rPr>
        <w:t>天内，按专用合同条款约定的份数向发包人提交最终结清申请单，并提供相关证明材料。</w:t>
      </w:r>
    </w:p>
    <w:p>
      <w:pPr>
        <w:autoSpaceDE w:val="0"/>
        <w:autoSpaceDN w:val="0"/>
        <w:adjustRightInd w:val="0"/>
        <w:spacing w:line="360" w:lineRule="auto"/>
        <w:ind w:firstLine="420" w:firstLineChars="200"/>
        <w:jc w:val="left"/>
        <w:rPr>
          <w:rFonts w:ascii="宋体" w:hAnsi="宋体"/>
          <w:color w:val="000000"/>
          <w:szCs w:val="21"/>
        </w:rPr>
      </w:pPr>
      <w:r>
        <w:rPr>
          <w:rFonts w:hint="eastAsia" w:ascii="宋体" w:hAnsi="宋体"/>
          <w:color w:val="000000"/>
          <w:szCs w:val="21"/>
        </w:rPr>
        <w:t>除专用合同条款另有约定外，</w:t>
      </w:r>
      <w:r>
        <w:rPr>
          <w:rFonts w:hint="eastAsia" w:ascii="宋体" w:hAnsi="宋体"/>
          <w:color w:val="000000"/>
          <w:kern w:val="0"/>
          <w:szCs w:val="21"/>
        </w:rPr>
        <w:t>最终结清申请单</w:t>
      </w:r>
      <w:r>
        <w:rPr>
          <w:rFonts w:hint="eastAsia" w:ascii="宋体" w:hAnsi="宋体"/>
          <w:color w:val="000000"/>
          <w:szCs w:val="21"/>
        </w:rPr>
        <w:t>应列明质量保证金、应扣除的质量保证金、缺陷责任期内发生的增减费用。</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）发包人对最终结清申请单内容有异议的，有权要求承包人进行修正和提供补充资料，承包人应向发包人提交修正后的最终结清申请单。</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14.4.2 </w:t>
      </w:r>
      <w:r>
        <w:rPr>
          <w:rFonts w:hint="eastAsia" w:ascii="宋体" w:hAnsi="宋体"/>
          <w:color w:val="000000"/>
          <w:kern w:val="0"/>
          <w:szCs w:val="21"/>
        </w:rPr>
        <w:t>最终结清证书和支付</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）除专用合同条款另有约定外，发包人应在收到承包人提交的最终结清申请单后</w:t>
      </w:r>
      <w:r>
        <w:rPr>
          <w:rFonts w:ascii="宋体" w:hAnsi="宋体"/>
          <w:color w:val="000000"/>
          <w:kern w:val="0"/>
          <w:szCs w:val="21"/>
        </w:rPr>
        <w:t>14</w:t>
      </w:r>
      <w:r>
        <w:rPr>
          <w:rFonts w:hint="eastAsia" w:ascii="宋体" w:hAnsi="宋体"/>
          <w:color w:val="000000"/>
          <w:kern w:val="0"/>
          <w:szCs w:val="21"/>
        </w:rPr>
        <w:t>天内完成审批并向承包人颁发最终结清证书。发包人逾期未完成审批，又未提出修改意见的，视为发包人同意承包人提交的最终结清申请单，且自发包人收到承包人提交的最终结清申请单后</w:t>
      </w:r>
      <w:r>
        <w:rPr>
          <w:rFonts w:ascii="宋体" w:hAnsi="宋体"/>
          <w:color w:val="000000"/>
          <w:kern w:val="0"/>
          <w:szCs w:val="21"/>
        </w:rPr>
        <w:t>15</w:t>
      </w:r>
      <w:r>
        <w:rPr>
          <w:rFonts w:hint="eastAsia" w:ascii="宋体" w:hAnsi="宋体"/>
          <w:color w:val="000000"/>
          <w:kern w:val="0"/>
          <w:szCs w:val="21"/>
        </w:rPr>
        <w:t>天起视为已颁发最终结清证书。</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）除专用合同条款另有约定外，发包人应在颁发最终结清证书后</w:t>
      </w:r>
      <w:r>
        <w:rPr>
          <w:rFonts w:ascii="宋体" w:hAnsi="宋体"/>
          <w:color w:val="000000"/>
          <w:kern w:val="0"/>
          <w:szCs w:val="21"/>
        </w:rPr>
        <w:t>7</w:t>
      </w:r>
      <w:r>
        <w:rPr>
          <w:rFonts w:hint="eastAsia" w:ascii="宋体" w:hAnsi="宋体"/>
          <w:color w:val="000000"/>
          <w:kern w:val="0"/>
          <w:szCs w:val="21"/>
        </w:rPr>
        <w:t>天内完成支付。发包人逾期支付的，按照中国人民银行发布的同期同类贷款基准利率支付违约金；逾期支付超过</w:t>
      </w:r>
      <w:r>
        <w:rPr>
          <w:rFonts w:ascii="宋体" w:hAnsi="宋体"/>
          <w:color w:val="000000"/>
          <w:kern w:val="0"/>
          <w:szCs w:val="21"/>
        </w:rPr>
        <w:t>56</w:t>
      </w:r>
      <w:r>
        <w:rPr>
          <w:rFonts w:hint="eastAsia" w:ascii="宋体" w:hAnsi="宋体"/>
          <w:color w:val="000000"/>
          <w:kern w:val="0"/>
          <w:szCs w:val="21"/>
        </w:rPr>
        <w:t>天的，按照中国人民银行发布的同期同类贷款基准利率的两倍支付违约金。</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3</w:t>
      </w:r>
      <w:r>
        <w:rPr>
          <w:rFonts w:hint="eastAsia" w:ascii="宋体" w:hAnsi="宋体"/>
          <w:color w:val="000000"/>
          <w:kern w:val="0"/>
          <w:szCs w:val="21"/>
        </w:rPr>
        <w:t>）承包人对发包人颁发的最终结清证书有异议的，按第</w:t>
      </w:r>
      <w:r>
        <w:rPr>
          <w:rFonts w:ascii="宋体" w:hAnsi="宋体"/>
          <w:color w:val="000000"/>
          <w:kern w:val="0"/>
          <w:szCs w:val="21"/>
        </w:rPr>
        <w:t>20</w:t>
      </w:r>
      <w:r>
        <w:rPr>
          <w:rFonts w:hint="eastAsia" w:ascii="宋体" w:hAnsi="宋体"/>
          <w:color w:val="000000"/>
          <w:kern w:val="0"/>
          <w:szCs w:val="21"/>
        </w:rPr>
        <w:t>条〔争议解决〕的约定办理。</w:t>
      </w:r>
    </w:p>
    <w:p>
      <w:pPr>
        <w:pStyle w:val="5"/>
        <w:spacing w:before="120" w:after="120" w:line="360" w:lineRule="auto"/>
        <w:rPr>
          <w:rFonts w:ascii="黑体" w:hAnsi="黑体"/>
          <w:b w:val="0"/>
          <w:color w:val="000000"/>
        </w:rPr>
      </w:pPr>
      <w:bookmarkStart w:id="581" w:name="_Toc114222816"/>
      <w:bookmarkStart w:id="582" w:name="_Toc362623180"/>
      <w:bookmarkStart w:id="583" w:name="_Toc337558815"/>
      <w:r>
        <w:rPr>
          <w:rFonts w:ascii="黑体" w:hAnsi="黑体"/>
          <w:b w:val="0"/>
          <w:color w:val="000000"/>
        </w:rPr>
        <w:t xml:space="preserve">15. </w:t>
      </w:r>
      <w:r>
        <w:rPr>
          <w:rFonts w:hint="eastAsia" w:ascii="黑体" w:hAnsi="黑体"/>
          <w:b w:val="0"/>
          <w:color w:val="000000"/>
        </w:rPr>
        <w:t>缺陷责任与保修</w:t>
      </w:r>
      <w:bookmarkEnd w:id="581"/>
      <w:bookmarkEnd w:id="582"/>
    </w:p>
    <w:bookmarkEnd w:id="575"/>
    <w:bookmarkEnd w:id="576"/>
    <w:bookmarkEnd w:id="583"/>
    <w:p>
      <w:pPr>
        <w:rPr>
          <w:rFonts w:ascii="黑体" w:hAnsi="黑体" w:eastAsia="黑体"/>
          <w:color w:val="000000"/>
        </w:rPr>
      </w:pPr>
      <w:bookmarkStart w:id="584" w:name="_Toc337558816"/>
      <w:bookmarkStart w:id="585" w:name="_Toc296346615"/>
      <w:bookmarkStart w:id="586" w:name="_Toc296503114"/>
      <w:r>
        <w:rPr>
          <w:rFonts w:ascii="黑体" w:hAnsi="黑体" w:eastAsia="黑体"/>
          <w:color w:val="000000"/>
        </w:rPr>
        <w:t xml:space="preserve">15.1 </w:t>
      </w:r>
      <w:r>
        <w:rPr>
          <w:rFonts w:hint="eastAsia" w:ascii="黑体" w:hAnsi="黑体" w:eastAsia="黑体"/>
          <w:color w:val="000000"/>
        </w:rPr>
        <w:t>工程保修的原则</w:t>
      </w:r>
    </w:p>
    <w:bookmarkEnd w:id="584"/>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在工程移交发包人后，因承包人原因产生的质量缺陷，承包人应承担质量缺陷责任和保修义务。缺陷责任期届满，承包人仍应按合同约定的工程各部位保修年限承担保修义务。</w:t>
      </w:r>
    </w:p>
    <w:p>
      <w:pPr>
        <w:rPr>
          <w:rFonts w:ascii="黑体" w:hAnsi="黑体" w:eastAsia="黑体"/>
          <w:color w:val="000000"/>
        </w:rPr>
      </w:pPr>
      <w:bookmarkStart w:id="587" w:name="_Toc337558817"/>
      <w:r>
        <w:rPr>
          <w:rFonts w:ascii="黑体" w:hAnsi="黑体" w:eastAsia="黑体"/>
          <w:color w:val="000000"/>
        </w:rPr>
        <w:t xml:space="preserve">15.2 </w:t>
      </w:r>
      <w:r>
        <w:rPr>
          <w:rFonts w:hint="eastAsia" w:ascii="黑体" w:hAnsi="黑体" w:eastAsia="黑体"/>
          <w:color w:val="000000"/>
        </w:rPr>
        <w:t>缺陷责任期</w:t>
      </w:r>
      <w:bookmarkEnd w:id="585"/>
      <w:bookmarkEnd w:id="586"/>
    </w:p>
    <w:bookmarkEnd w:id="587"/>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15.2.1 </w:t>
      </w:r>
      <w:r>
        <w:rPr>
          <w:rFonts w:hint="eastAsia" w:ascii="宋体" w:hAnsi="宋体"/>
          <w:color w:val="000000"/>
          <w:kern w:val="0"/>
          <w:szCs w:val="21"/>
        </w:rPr>
        <w:t>缺陷责任期从工程通过竣工验收之日起计算，合同当事人应在专用合同条款约定缺陷责任期的具体期限，但该期限最长不超过</w:t>
      </w:r>
      <w:r>
        <w:rPr>
          <w:rFonts w:ascii="宋体" w:hAnsi="宋体"/>
          <w:color w:val="000000"/>
          <w:kern w:val="0"/>
          <w:szCs w:val="21"/>
        </w:rPr>
        <w:t>24</w:t>
      </w:r>
      <w:r>
        <w:rPr>
          <w:rFonts w:hint="eastAsia" w:ascii="宋体" w:hAnsi="宋体"/>
          <w:color w:val="000000"/>
          <w:kern w:val="0"/>
          <w:szCs w:val="21"/>
        </w:rPr>
        <w:t>个月。</w:t>
      </w:r>
    </w:p>
    <w:p>
      <w:pPr>
        <w:autoSpaceDE w:val="0"/>
        <w:autoSpaceDN w:val="0"/>
        <w:adjustRightInd w:val="0"/>
        <w:spacing w:line="360" w:lineRule="auto"/>
        <w:ind w:firstLine="420" w:firstLineChars="200"/>
        <w:jc w:val="left"/>
        <w:rPr>
          <w:rFonts w:eastAsia="仿宋_GB2312"/>
          <w:color w:val="000000"/>
          <w:kern w:val="0"/>
          <w:sz w:val="30"/>
          <w:szCs w:val="32"/>
        </w:rPr>
      </w:pPr>
      <w:r>
        <w:rPr>
          <w:rFonts w:hint="eastAsia" w:ascii="宋体" w:hAnsi="宋体"/>
          <w:color w:val="000000"/>
          <w:kern w:val="0"/>
          <w:szCs w:val="21"/>
        </w:rPr>
        <w:t>单位工程先于全部工程进行验收，经验收合格并交付使用的，该单位工程缺陷责任期自单位工程验收合格之日起算。因发包人原因导致工程无法按合同约定期限进行竣工验收的，缺陷责任期从实际通过竣工验收之日起计算。</w:t>
      </w:r>
      <w:r>
        <w:rPr>
          <w:rFonts w:ascii="宋体" w:hAnsi="宋体"/>
          <w:color w:val="000000"/>
          <w:kern w:val="0"/>
          <w:szCs w:val="21"/>
        </w:rPr>
        <w:t>因发包人原因导致工程无法按合同约定期限进行竣工验收的，</w:t>
      </w:r>
      <w:r>
        <w:rPr>
          <w:rFonts w:hint="eastAsia" w:ascii="宋体" w:hAnsi="宋体"/>
          <w:color w:val="000000"/>
          <w:kern w:val="0"/>
          <w:szCs w:val="21"/>
        </w:rPr>
        <w:t>在承包人提交竣工验收报告90天后，工程自动进入缺陷责任期</w:t>
      </w:r>
      <w:r>
        <w:rPr>
          <w:rFonts w:ascii="宋体" w:hAnsi="宋体"/>
          <w:color w:val="000000"/>
          <w:kern w:val="0"/>
          <w:szCs w:val="21"/>
        </w:rPr>
        <w:t>；发包人未经竣工验收擅自使用工程的，缺陷责任期自工程转移占有之日起开始计算。</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15.2.2</w:t>
      </w:r>
      <w:r>
        <w:rPr>
          <w:rFonts w:hint="eastAsia" w:ascii="宋体" w:hAnsi="宋体"/>
          <w:color w:val="000000"/>
          <w:kern w:val="0"/>
          <w:szCs w:val="21"/>
        </w:rPr>
        <w:t>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w:t>
      </w:r>
      <w:r>
        <w:rPr>
          <w:rFonts w:ascii="宋体" w:hAnsi="宋体"/>
          <w:color w:val="000000"/>
          <w:kern w:val="0"/>
          <w:szCs w:val="21"/>
        </w:rPr>
        <w:t>发包人有权要求承包人延长缺陷责任期，并应在原缺陷责任期届满前发出延长通知</w:t>
      </w:r>
      <w:r>
        <w:rPr>
          <w:rFonts w:hint="eastAsia" w:ascii="宋体" w:hAnsi="宋体"/>
          <w:color w:val="000000"/>
          <w:kern w:val="0"/>
          <w:szCs w:val="21"/>
        </w:rPr>
        <w:t>。</w:t>
      </w:r>
      <w:r>
        <w:rPr>
          <w:rFonts w:ascii="宋体" w:hAnsi="宋体"/>
          <w:color w:val="000000"/>
          <w:kern w:val="0"/>
          <w:szCs w:val="21"/>
        </w:rPr>
        <w:t>但缺陷责任期</w:t>
      </w:r>
      <w:r>
        <w:rPr>
          <w:rFonts w:hint="eastAsia" w:ascii="宋体" w:hAnsi="宋体"/>
          <w:color w:val="000000"/>
          <w:kern w:val="0"/>
          <w:szCs w:val="21"/>
        </w:rPr>
        <w:t>（含延长部分）</w:t>
      </w:r>
      <w:r>
        <w:rPr>
          <w:rFonts w:ascii="宋体" w:hAnsi="宋体"/>
          <w:color w:val="000000"/>
          <w:kern w:val="0"/>
          <w:szCs w:val="21"/>
        </w:rPr>
        <w:t>最长不能超过24个月。</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由他人原因造成的缺陷，发包人负责组织维修，承包人不承担费用，且发包人不得从保证金中扣除费用。</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15.2.3 </w:t>
      </w:r>
      <w:r>
        <w:rPr>
          <w:rFonts w:hint="eastAsia" w:ascii="宋体" w:hAnsi="宋体"/>
          <w:color w:val="000000"/>
          <w:kern w:val="0"/>
          <w:szCs w:val="21"/>
        </w:rPr>
        <w:t>任何一项缺陷或损坏修复后，经检查证明其影响了工程或工程设备的使用性能，承包人应重新进行合同约定的试验和试运行，试验和试运行的全部费用应由责任方承担。</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15.2.4 </w:t>
      </w:r>
      <w:r>
        <w:rPr>
          <w:rFonts w:hint="eastAsia" w:ascii="宋体" w:hAnsi="宋体"/>
          <w:color w:val="000000"/>
          <w:kern w:val="0"/>
          <w:szCs w:val="21"/>
        </w:rPr>
        <w:t>除专用合同条款另有约定外，承包人应于缺陷责任期届满后</w:t>
      </w:r>
      <w:r>
        <w:rPr>
          <w:rFonts w:ascii="宋体" w:hAnsi="宋体"/>
          <w:color w:val="000000"/>
          <w:kern w:val="0"/>
          <w:szCs w:val="21"/>
        </w:rPr>
        <w:t>7</w:t>
      </w:r>
      <w:r>
        <w:rPr>
          <w:rFonts w:hint="eastAsia" w:ascii="宋体" w:hAnsi="宋体"/>
          <w:color w:val="000000"/>
          <w:kern w:val="0"/>
          <w:szCs w:val="21"/>
        </w:rPr>
        <w:t>天内向发包人发出缺陷责任期届满通知，发包人应在收到缺陷责任期满通知后</w:t>
      </w:r>
      <w:r>
        <w:rPr>
          <w:rFonts w:ascii="宋体" w:hAnsi="宋体"/>
          <w:color w:val="000000"/>
          <w:kern w:val="0"/>
          <w:szCs w:val="21"/>
        </w:rPr>
        <w:t>14</w:t>
      </w:r>
      <w:r>
        <w:rPr>
          <w:rFonts w:hint="eastAsia" w:ascii="宋体" w:hAnsi="宋体"/>
          <w:color w:val="000000"/>
          <w:kern w:val="0"/>
          <w:szCs w:val="21"/>
        </w:rPr>
        <w:t>天内核实承包人是否履行缺陷修复义务，承包人未能履行缺陷修复义务的，发包人有权扣除相应金额的维修费用。发包人应在收到缺陷责任期届满通知后</w:t>
      </w:r>
      <w:r>
        <w:rPr>
          <w:rFonts w:ascii="宋体" w:hAnsi="宋体"/>
          <w:color w:val="000000"/>
          <w:kern w:val="0"/>
          <w:szCs w:val="21"/>
        </w:rPr>
        <w:t>14</w:t>
      </w:r>
      <w:r>
        <w:rPr>
          <w:rFonts w:hint="eastAsia" w:ascii="宋体" w:hAnsi="宋体"/>
          <w:color w:val="000000"/>
          <w:kern w:val="0"/>
          <w:szCs w:val="21"/>
        </w:rPr>
        <w:t>天内，向承包人颁发缺陷责任期终止证书。</w:t>
      </w:r>
    </w:p>
    <w:p>
      <w:pPr>
        <w:rPr>
          <w:rFonts w:ascii="黑体" w:hAnsi="黑体" w:eastAsia="黑体"/>
          <w:color w:val="000000"/>
        </w:rPr>
      </w:pPr>
      <w:bookmarkStart w:id="588" w:name="_Toc337558818"/>
      <w:bookmarkStart w:id="589" w:name="_Toc296503115"/>
      <w:bookmarkStart w:id="590" w:name="_Toc296346616"/>
      <w:r>
        <w:rPr>
          <w:rFonts w:ascii="黑体" w:hAnsi="黑体" w:eastAsia="黑体"/>
          <w:color w:val="000000"/>
        </w:rPr>
        <w:t xml:space="preserve">15.3 </w:t>
      </w:r>
      <w:r>
        <w:rPr>
          <w:rFonts w:hint="eastAsia" w:ascii="黑体" w:hAnsi="黑体" w:eastAsia="黑体"/>
          <w:color w:val="000000"/>
        </w:rPr>
        <w:t>质量保证金</w:t>
      </w:r>
    </w:p>
    <w:bookmarkEnd w:id="588"/>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经合同当事人协商一致扣留质量保证金的，应在专用合同条款中予以明确。</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在工程项目竣工前，承包人已经提供履约担保的，发包人不得同时预留工程质量保证金。</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15.3.1 </w:t>
      </w:r>
      <w:r>
        <w:rPr>
          <w:rFonts w:hint="eastAsia" w:ascii="宋体" w:hAnsi="宋体"/>
          <w:color w:val="000000"/>
          <w:kern w:val="0"/>
          <w:szCs w:val="21"/>
        </w:rPr>
        <w:t>承包人提供质量保证金的方式</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承包人提供质量保证金有以下三种方式：</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）质量保证金保函；</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）相应比例的工程款；</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3</w:t>
      </w:r>
      <w:r>
        <w:rPr>
          <w:rFonts w:hint="eastAsia" w:ascii="宋体" w:hAnsi="宋体"/>
          <w:color w:val="000000"/>
          <w:kern w:val="0"/>
          <w:szCs w:val="21"/>
        </w:rPr>
        <w:t>）双方约定的其他方式。</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除专用合同条款另有约定外，质量保证金原则上采用上述第（</w:t>
      </w:r>
      <w:r>
        <w:rPr>
          <w:rFonts w:ascii="宋体" w:hAnsi="宋体"/>
          <w:color w:val="000000"/>
          <w:kern w:val="0"/>
          <w:szCs w:val="21"/>
        </w:rPr>
        <w:t>1</w:t>
      </w:r>
      <w:r>
        <w:rPr>
          <w:rFonts w:hint="eastAsia" w:ascii="宋体" w:hAnsi="宋体"/>
          <w:color w:val="000000"/>
          <w:kern w:val="0"/>
          <w:szCs w:val="21"/>
        </w:rPr>
        <w:t>）种方式。</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15.3.2 </w:t>
      </w:r>
      <w:r>
        <w:rPr>
          <w:rFonts w:hint="eastAsia" w:ascii="宋体" w:hAnsi="宋体"/>
          <w:color w:val="000000"/>
          <w:kern w:val="0"/>
          <w:szCs w:val="21"/>
        </w:rPr>
        <w:t>质量保证金的扣留</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质量保证金的扣留有以下三种方式：</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）在支付工程进度款时逐次扣留，在此情形下，质量保证金的计算基数不包括预付款的支付、扣回以及价格调整的金额；</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）工</w:t>
      </w:r>
      <w:bookmarkStart w:id="591" w:name="BM_go6"/>
      <w:bookmarkEnd w:id="591"/>
      <w:r>
        <w:rPr>
          <w:rFonts w:hint="eastAsia" w:ascii="宋体" w:hAnsi="宋体"/>
          <w:color w:val="000000"/>
          <w:kern w:val="0"/>
          <w:szCs w:val="21"/>
        </w:rPr>
        <w:t>程竣工结算时一次性扣留质量保证金；</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3</w:t>
      </w:r>
      <w:r>
        <w:rPr>
          <w:rFonts w:hint="eastAsia" w:ascii="宋体" w:hAnsi="宋体"/>
          <w:color w:val="000000"/>
          <w:kern w:val="0"/>
          <w:szCs w:val="21"/>
        </w:rPr>
        <w:t>）双方约定的其他扣留方式。</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除专用合同条款另有约定外，质量保证金的扣留原则上采用上述第（</w:t>
      </w:r>
      <w:r>
        <w:rPr>
          <w:rFonts w:ascii="宋体" w:hAnsi="宋体"/>
          <w:color w:val="000000"/>
          <w:kern w:val="0"/>
          <w:szCs w:val="21"/>
        </w:rPr>
        <w:t>1</w:t>
      </w:r>
      <w:r>
        <w:rPr>
          <w:rFonts w:hint="eastAsia" w:ascii="宋体" w:hAnsi="宋体"/>
          <w:color w:val="000000"/>
          <w:kern w:val="0"/>
          <w:szCs w:val="21"/>
        </w:rPr>
        <w:t>）种方式。</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kern w:val="0"/>
          <w:szCs w:val="21"/>
        </w:rPr>
        <w:t>发</w:t>
      </w:r>
      <w:bookmarkStart w:id="592" w:name="#go4"/>
      <w:bookmarkEnd w:id="592"/>
      <w:r>
        <w:rPr>
          <w:rFonts w:ascii="宋体" w:hAnsi="宋体"/>
          <w:color w:val="000000"/>
          <w:kern w:val="0"/>
          <w:szCs w:val="21"/>
        </w:rPr>
        <w:t>包人累计扣留的质量保证金不得超过</w:t>
      </w:r>
      <w:r>
        <w:rPr>
          <w:rFonts w:hint="eastAsia" w:ascii="宋体" w:hAnsi="宋体"/>
          <w:color w:val="000000"/>
          <w:kern w:val="0"/>
          <w:szCs w:val="21"/>
        </w:rPr>
        <w:t>工程价款结算总额</w:t>
      </w:r>
      <w:r>
        <w:rPr>
          <w:rFonts w:ascii="宋体" w:hAnsi="宋体"/>
          <w:color w:val="000000"/>
          <w:kern w:val="0"/>
          <w:szCs w:val="21"/>
        </w:rPr>
        <w:t>的3%</w:t>
      </w:r>
      <w:r>
        <w:rPr>
          <w:rFonts w:hint="eastAsia" w:ascii="宋体" w:hAnsi="宋体"/>
          <w:color w:val="000000"/>
          <w:kern w:val="0"/>
          <w:szCs w:val="21"/>
        </w:rPr>
        <w:t>。如承包人在发包人签发竣工付款证书后</w:t>
      </w:r>
      <w:r>
        <w:rPr>
          <w:rFonts w:ascii="宋体" w:hAnsi="宋体"/>
          <w:color w:val="000000"/>
          <w:kern w:val="0"/>
          <w:szCs w:val="21"/>
        </w:rPr>
        <w:t>28</w:t>
      </w:r>
      <w:r>
        <w:rPr>
          <w:rFonts w:hint="eastAsia" w:ascii="宋体" w:hAnsi="宋体"/>
          <w:color w:val="000000"/>
          <w:kern w:val="0"/>
          <w:szCs w:val="21"/>
        </w:rPr>
        <w:t>天内提交质量保证金保函，发包人应同时退还扣留的作为质量保证金的工程价款</w:t>
      </w:r>
      <w:r>
        <w:rPr>
          <w:rFonts w:hint="eastAsia" w:eastAsia="仿宋_GB2312"/>
          <w:color w:val="000000"/>
          <w:kern w:val="0"/>
          <w:sz w:val="30"/>
          <w:szCs w:val="32"/>
        </w:rPr>
        <w:t>；</w:t>
      </w:r>
      <w:r>
        <w:rPr>
          <w:rFonts w:hint="eastAsia" w:ascii="宋体" w:hAnsi="宋体"/>
          <w:color w:val="000000"/>
          <w:szCs w:val="21"/>
        </w:rPr>
        <w:t>保函金额不得超过工程价款结算总额的3%</w:t>
      </w:r>
      <w:r>
        <w:rPr>
          <w:rFonts w:ascii="宋体" w:hAnsi="宋体"/>
          <w:color w:val="000000"/>
          <w:szCs w:val="21"/>
        </w:rPr>
        <w:t>。</w:t>
      </w:r>
    </w:p>
    <w:p>
      <w:pPr>
        <w:autoSpaceDE w:val="0"/>
        <w:autoSpaceDN w:val="0"/>
        <w:adjustRightInd w:val="0"/>
        <w:spacing w:line="360" w:lineRule="auto"/>
        <w:ind w:firstLine="420" w:firstLineChars="200"/>
        <w:jc w:val="left"/>
        <w:rPr>
          <w:rFonts w:ascii="宋体" w:hAnsi="宋体"/>
          <w:color w:val="000000"/>
          <w:szCs w:val="21"/>
        </w:rPr>
      </w:pPr>
      <w:r>
        <w:rPr>
          <w:rFonts w:hint="eastAsia" w:ascii="宋体" w:hAnsi="宋体"/>
          <w:color w:val="000000"/>
          <w:szCs w:val="21"/>
        </w:rPr>
        <w:t>发包人在退还质量保证金的同时</w:t>
      </w:r>
      <w:r>
        <w:rPr>
          <w:rFonts w:ascii="宋体" w:hAnsi="宋体"/>
          <w:color w:val="000000"/>
          <w:szCs w:val="21"/>
        </w:rPr>
        <w:t>按照中国人民银行发布的同期同类贷款基准利率支付</w:t>
      </w:r>
      <w:r>
        <w:rPr>
          <w:rFonts w:hint="eastAsia" w:ascii="宋体" w:hAnsi="宋体"/>
          <w:color w:val="000000"/>
          <w:szCs w:val="21"/>
        </w:rPr>
        <w:t>利息。</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15.3.3 </w:t>
      </w:r>
      <w:r>
        <w:rPr>
          <w:rFonts w:hint="eastAsia" w:ascii="宋体" w:hAnsi="宋体"/>
          <w:color w:val="000000"/>
          <w:szCs w:val="21"/>
        </w:rPr>
        <w:t>质量保证金</w:t>
      </w:r>
      <w:r>
        <w:rPr>
          <w:rFonts w:hint="eastAsia" w:ascii="宋体" w:hAnsi="宋体"/>
          <w:color w:val="000000"/>
          <w:kern w:val="0"/>
          <w:szCs w:val="21"/>
        </w:rPr>
        <w:t>的退还</w:t>
      </w:r>
    </w:p>
    <w:p>
      <w:pPr>
        <w:autoSpaceDE w:val="0"/>
        <w:autoSpaceDN w:val="0"/>
        <w:adjustRightInd w:val="0"/>
        <w:spacing w:line="360" w:lineRule="auto"/>
        <w:ind w:firstLine="420" w:firstLineChars="200"/>
        <w:jc w:val="left"/>
        <w:rPr>
          <w:rFonts w:ascii="宋体" w:hAnsi="宋体"/>
          <w:color w:val="000000"/>
          <w:kern w:val="0"/>
          <w:szCs w:val="21"/>
        </w:rPr>
      </w:pPr>
      <w:bookmarkStart w:id="593" w:name="_Toc337558819"/>
      <w:r>
        <w:rPr>
          <w:rFonts w:hint="eastAsia" w:ascii="宋体" w:hAnsi="宋体"/>
          <w:color w:val="000000"/>
          <w:kern w:val="0"/>
          <w:szCs w:val="21"/>
        </w:rPr>
        <w:t>缺陷责任期内，承包人认真履行合同约定的责任，到期后，承包人可向发包人申请返还保证金。</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发包人和承包人对保证金预留、返还以及工程维修质量、费用有争议的，按本合同第20条约定的争议和纠纷解决程序处理</w:t>
      </w:r>
      <w:r>
        <w:rPr>
          <w:rFonts w:ascii="宋体" w:hAnsi="宋体"/>
          <w:color w:val="000000"/>
          <w:kern w:val="0"/>
          <w:szCs w:val="21"/>
        </w:rPr>
        <w:t>。</w:t>
      </w:r>
    </w:p>
    <w:p>
      <w:pPr>
        <w:rPr>
          <w:rFonts w:ascii="黑体" w:hAnsi="黑体" w:eastAsia="黑体"/>
          <w:color w:val="000000"/>
        </w:rPr>
      </w:pPr>
      <w:r>
        <w:rPr>
          <w:rFonts w:ascii="黑体" w:hAnsi="黑体" w:eastAsia="黑体"/>
          <w:color w:val="000000"/>
        </w:rPr>
        <w:t xml:space="preserve">15.4 </w:t>
      </w:r>
      <w:r>
        <w:rPr>
          <w:rFonts w:hint="eastAsia" w:ascii="黑体" w:hAnsi="黑体" w:eastAsia="黑体"/>
          <w:color w:val="000000"/>
        </w:rPr>
        <w:t>保修</w:t>
      </w:r>
    </w:p>
    <w:bookmarkEnd w:id="589"/>
    <w:bookmarkEnd w:id="590"/>
    <w:bookmarkEnd w:id="593"/>
    <w:p>
      <w:pPr>
        <w:spacing w:line="360" w:lineRule="auto"/>
        <w:ind w:firstLine="420" w:firstLineChars="200"/>
        <w:jc w:val="left"/>
        <w:rPr>
          <w:rFonts w:ascii="宋体" w:hAnsi="宋体"/>
          <w:color w:val="000000"/>
          <w:kern w:val="0"/>
          <w:szCs w:val="21"/>
        </w:rPr>
      </w:pPr>
      <w:r>
        <w:rPr>
          <w:rFonts w:ascii="宋体" w:hAnsi="宋体"/>
          <w:color w:val="000000"/>
          <w:kern w:val="0"/>
          <w:szCs w:val="21"/>
        </w:rPr>
        <w:t>15.4.1</w:t>
      </w:r>
      <w:r>
        <w:rPr>
          <w:rFonts w:hint="eastAsia" w:ascii="宋体" w:hAnsi="宋体"/>
          <w:color w:val="000000"/>
          <w:kern w:val="0"/>
          <w:szCs w:val="21"/>
        </w:rPr>
        <w:t>保修责任</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pPr>
        <w:spacing w:line="360" w:lineRule="auto"/>
        <w:ind w:firstLine="420" w:firstLineChars="200"/>
        <w:jc w:val="left"/>
        <w:rPr>
          <w:rFonts w:ascii="宋体" w:hAnsi="宋体"/>
          <w:color w:val="000000"/>
          <w:szCs w:val="21"/>
        </w:rPr>
      </w:pPr>
      <w:r>
        <w:rPr>
          <w:rFonts w:hint="eastAsia" w:ascii="宋体" w:hAnsi="宋体"/>
          <w:color w:val="000000"/>
          <w:szCs w:val="21"/>
        </w:rPr>
        <w:t>发包人未经竣工验收擅自使用工程的，保修期自</w:t>
      </w:r>
      <w:r>
        <w:rPr>
          <w:rFonts w:hint="eastAsia" w:ascii="宋体" w:hAnsi="宋体"/>
          <w:color w:val="000000"/>
          <w:kern w:val="0"/>
          <w:szCs w:val="21"/>
        </w:rPr>
        <w:t>转移占有之日起算</w:t>
      </w:r>
      <w:r>
        <w:rPr>
          <w:rFonts w:hint="eastAsia" w:ascii="宋体" w:hAnsi="宋体"/>
          <w:color w:val="000000"/>
          <w:szCs w:val="21"/>
        </w:rPr>
        <w:t>。</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15.4.2 </w:t>
      </w:r>
      <w:r>
        <w:rPr>
          <w:rFonts w:hint="eastAsia" w:ascii="宋体" w:hAnsi="宋体"/>
          <w:color w:val="000000"/>
          <w:kern w:val="0"/>
          <w:szCs w:val="21"/>
        </w:rPr>
        <w:t>修复费用</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保修期内，修复的费用按照以下约定处理：</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）保修期内，因承包人原因造成工程的缺陷、损坏，承包人应负责修复，并承担修复的费用以及因工程的缺陷、损坏造成的人身伤害和财产损失；</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）保修期内，因发包人使用不当造成工程的缺陷、损坏，可以委托承包人修复，但发包人应承担修复的费用，并支付承包人合理利润；</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3</w:t>
      </w:r>
      <w:r>
        <w:rPr>
          <w:rFonts w:hint="eastAsia" w:ascii="宋体" w:hAnsi="宋体"/>
          <w:color w:val="000000"/>
          <w:kern w:val="0"/>
          <w:szCs w:val="21"/>
        </w:rPr>
        <w:t>）因其他原因造成工程的缺陷、损坏，可以委托承包人修复，发包人应承担修复的费用，并支付承包人合理的利润，因工程的缺陷、损坏造成的人身伤害和财产损失由责任方承担。</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15.4.3 </w:t>
      </w:r>
      <w:r>
        <w:rPr>
          <w:rFonts w:hint="eastAsia" w:ascii="宋体" w:hAnsi="宋体"/>
          <w:color w:val="000000"/>
          <w:kern w:val="0"/>
          <w:szCs w:val="21"/>
        </w:rPr>
        <w:t>修复通知</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在保修期内，发包人在使用过程中，发现已接收的工程存在缺陷或损坏的，应书面通知承包人予以修复，但情况紧急必须立即修复缺陷或损坏的，发包人可以口头通知承包人并在口头通知后</w:t>
      </w:r>
      <w:r>
        <w:rPr>
          <w:rFonts w:ascii="宋体" w:hAnsi="宋体"/>
          <w:color w:val="000000"/>
          <w:kern w:val="0"/>
          <w:szCs w:val="21"/>
        </w:rPr>
        <w:t>48</w:t>
      </w:r>
      <w:r>
        <w:rPr>
          <w:rFonts w:hint="eastAsia" w:ascii="宋体" w:hAnsi="宋体"/>
          <w:color w:val="000000"/>
          <w:kern w:val="0"/>
          <w:szCs w:val="21"/>
        </w:rPr>
        <w:t>小时内书面确认，承包人应在专用合同条款约定的合理期限内到达工程现场并修复缺陷或损坏。</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15.4.4 </w:t>
      </w:r>
      <w:r>
        <w:rPr>
          <w:rFonts w:hint="eastAsia" w:ascii="宋体" w:hAnsi="宋体"/>
          <w:color w:val="000000"/>
          <w:kern w:val="0"/>
          <w:szCs w:val="21"/>
        </w:rPr>
        <w:t>未能修复</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15.4.5 </w:t>
      </w:r>
      <w:r>
        <w:rPr>
          <w:rFonts w:hint="eastAsia" w:ascii="宋体" w:hAnsi="宋体"/>
          <w:color w:val="000000"/>
          <w:kern w:val="0"/>
          <w:szCs w:val="21"/>
        </w:rPr>
        <w:t>承包人出入权</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在保修期内，为了修复缺陷或损坏，承包人有权出入工程现场，除情况紧急必须立即修复缺陷或损坏外，承包人应提前</w:t>
      </w:r>
      <w:r>
        <w:rPr>
          <w:rFonts w:ascii="宋体" w:hAnsi="宋体"/>
          <w:color w:val="000000"/>
          <w:kern w:val="0"/>
          <w:szCs w:val="21"/>
        </w:rPr>
        <w:t>24</w:t>
      </w:r>
      <w:r>
        <w:rPr>
          <w:rFonts w:hint="eastAsia" w:ascii="宋体" w:hAnsi="宋体"/>
          <w:color w:val="000000"/>
          <w:kern w:val="0"/>
          <w:szCs w:val="21"/>
        </w:rPr>
        <w:t>小时通知发包人进场修复的时间。承包人进入工程现场前应获得发包人同意，且不应影响发包人正常的生产经营，并应遵守发包人有关保安和保密等规定。</w:t>
      </w:r>
    </w:p>
    <w:p>
      <w:pPr>
        <w:pStyle w:val="5"/>
        <w:spacing w:before="120" w:after="120" w:line="360" w:lineRule="auto"/>
        <w:rPr>
          <w:rFonts w:ascii="黑体" w:hAnsi="黑体"/>
          <w:b w:val="0"/>
          <w:color w:val="000000"/>
        </w:rPr>
      </w:pPr>
      <w:bookmarkStart w:id="594" w:name="_Toc362623181"/>
      <w:bookmarkStart w:id="595" w:name="_Toc114222817"/>
      <w:bookmarkStart w:id="596" w:name="_Toc337558820"/>
      <w:r>
        <w:rPr>
          <w:rFonts w:ascii="黑体" w:hAnsi="黑体"/>
          <w:b w:val="0"/>
          <w:color w:val="000000"/>
        </w:rPr>
        <w:t xml:space="preserve">16. </w:t>
      </w:r>
      <w:r>
        <w:rPr>
          <w:rFonts w:hint="eastAsia" w:ascii="黑体" w:hAnsi="黑体"/>
          <w:b w:val="0"/>
          <w:color w:val="000000"/>
        </w:rPr>
        <w:t>违约</w:t>
      </w:r>
      <w:bookmarkEnd w:id="594"/>
      <w:bookmarkEnd w:id="595"/>
    </w:p>
    <w:bookmarkEnd w:id="596"/>
    <w:p>
      <w:pPr>
        <w:rPr>
          <w:rFonts w:ascii="黑体" w:hAnsi="黑体" w:eastAsia="黑体"/>
          <w:color w:val="000000"/>
        </w:rPr>
      </w:pPr>
      <w:bookmarkStart w:id="597" w:name="_Toc296346630"/>
      <w:bookmarkStart w:id="598" w:name="_Toc296503129"/>
      <w:bookmarkStart w:id="599" w:name="_Toc337558821"/>
      <w:r>
        <w:rPr>
          <w:rFonts w:ascii="黑体" w:hAnsi="黑体" w:eastAsia="黑体"/>
          <w:color w:val="000000"/>
        </w:rPr>
        <w:t xml:space="preserve">16.1 </w:t>
      </w:r>
      <w:r>
        <w:rPr>
          <w:rFonts w:hint="eastAsia" w:ascii="黑体" w:hAnsi="黑体" w:eastAsia="黑体"/>
          <w:color w:val="000000"/>
        </w:rPr>
        <w:t>发</w:t>
      </w:r>
      <w:bookmarkEnd w:id="597"/>
      <w:bookmarkEnd w:id="598"/>
      <w:r>
        <w:rPr>
          <w:rFonts w:hint="eastAsia" w:ascii="黑体" w:hAnsi="黑体" w:eastAsia="黑体"/>
          <w:color w:val="000000"/>
        </w:rPr>
        <w:t>包人违约</w:t>
      </w:r>
    </w:p>
    <w:bookmarkEnd w:id="599"/>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16.1.1 </w:t>
      </w:r>
      <w:r>
        <w:rPr>
          <w:rFonts w:hint="eastAsia" w:ascii="宋体" w:hAnsi="宋体"/>
          <w:color w:val="000000"/>
          <w:kern w:val="0"/>
          <w:szCs w:val="21"/>
        </w:rPr>
        <w:t>发包人违约的情形</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在合同履行过程中发生的下列情形，属于发包人违约：</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）因发包人原因未能在计划开工日期前</w:t>
      </w:r>
      <w:r>
        <w:rPr>
          <w:rFonts w:ascii="宋体" w:hAnsi="宋体"/>
          <w:color w:val="000000"/>
          <w:kern w:val="0"/>
          <w:szCs w:val="21"/>
        </w:rPr>
        <w:t>7</w:t>
      </w:r>
      <w:r>
        <w:rPr>
          <w:rFonts w:hint="eastAsia" w:ascii="宋体" w:hAnsi="宋体"/>
          <w:color w:val="000000"/>
          <w:kern w:val="0"/>
          <w:szCs w:val="21"/>
        </w:rPr>
        <w:t>天内下达开工通知的；</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）因发包人原因未能按合同约定支付合同价款的；</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3</w:t>
      </w:r>
      <w:r>
        <w:rPr>
          <w:rFonts w:hint="eastAsia" w:ascii="宋体" w:hAnsi="宋体"/>
          <w:color w:val="000000"/>
          <w:kern w:val="0"/>
          <w:szCs w:val="21"/>
        </w:rPr>
        <w:t>）发包人违反第</w:t>
      </w:r>
      <w:r>
        <w:rPr>
          <w:rFonts w:ascii="宋体" w:hAnsi="宋体"/>
          <w:color w:val="000000"/>
          <w:kern w:val="0"/>
          <w:szCs w:val="21"/>
        </w:rPr>
        <w:t>10.1</w:t>
      </w:r>
      <w:r>
        <w:rPr>
          <w:rFonts w:hint="eastAsia" w:ascii="宋体" w:hAnsi="宋体"/>
          <w:color w:val="000000"/>
          <w:kern w:val="0"/>
          <w:szCs w:val="21"/>
        </w:rPr>
        <w:t>款〔变更的范围〕第（</w:t>
      </w:r>
      <w:r>
        <w:rPr>
          <w:rFonts w:ascii="宋体" w:hAnsi="宋体"/>
          <w:color w:val="000000"/>
          <w:kern w:val="0"/>
          <w:szCs w:val="21"/>
        </w:rPr>
        <w:t>2</w:t>
      </w:r>
      <w:r>
        <w:rPr>
          <w:rFonts w:hint="eastAsia" w:ascii="宋体" w:hAnsi="宋体"/>
          <w:color w:val="000000"/>
          <w:kern w:val="0"/>
          <w:szCs w:val="21"/>
        </w:rPr>
        <w:t>）项约定，自行实施被取消的工作或转由他人实施的；</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4</w:t>
      </w:r>
      <w:r>
        <w:rPr>
          <w:rFonts w:hint="eastAsia" w:ascii="宋体" w:hAnsi="宋体"/>
          <w:color w:val="000000"/>
          <w:kern w:val="0"/>
          <w:szCs w:val="21"/>
        </w:rPr>
        <w:t>）发包人提供的材料、工程设备的规格、数量或质量不符合合同约定，或因发包人原因导致交货日期延误或交货地点变更等情况的；</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5</w:t>
      </w:r>
      <w:r>
        <w:rPr>
          <w:rFonts w:hint="eastAsia" w:ascii="宋体" w:hAnsi="宋体"/>
          <w:color w:val="000000"/>
          <w:kern w:val="0"/>
          <w:szCs w:val="21"/>
        </w:rPr>
        <w:t>）因发包人违反合同约定造成暂停施工的；</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6</w:t>
      </w:r>
      <w:r>
        <w:rPr>
          <w:rFonts w:hint="eastAsia" w:ascii="宋体" w:hAnsi="宋体"/>
          <w:color w:val="000000"/>
          <w:kern w:val="0"/>
          <w:szCs w:val="21"/>
        </w:rPr>
        <w:t>）发包人无正当理由没有在约定期限内发出复工指示，导致承包人无法复工的；</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7</w:t>
      </w:r>
      <w:r>
        <w:rPr>
          <w:rFonts w:hint="eastAsia" w:ascii="宋体" w:hAnsi="宋体"/>
          <w:color w:val="000000"/>
          <w:kern w:val="0"/>
          <w:szCs w:val="21"/>
        </w:rPr>
        <w:t>）发包人明确表示或者以其行为表明不履行合同主要义务的；</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8</w:t>
      </w:r>
      <w:r>
        <w:rPr>
          <w:rFonts w:hint="eastAsia" w:ascii="宋体" w:hAnsi="宋体"/>
          <w:color w:val="000000"/>
          <w:kern w:val="0"/>
          <w:szCs w:val="21"/>
        </w:rPr>
        <w:t>）发包人未能按照合同约定履行其他义务的。</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发包人发生除本项第（</w:t>
      </w:r>
      <w:r>
        <w:rPr>
          <w:rFonts w:ascii="宋体" w:hAnsi="宋体"/>
          <w:color w:val="000000"/>
          <w:kern w:val="0"/>
          <w:szCs w:val="21"/>
        </w:rPr>
        <w:t>7</w:t>
      </w:r>
      <w:r>
        <w:rPr>
          <w:rFonts w:hint="eastAsia" w:ascii="宋体" w:hAnsi="宋体"/>
          <w:color w:val="000000"/>
          <w:kern w:val="0"/>
          <w:szCs w:val="21"/>
        </w:rPr>
        <w:t>）目以外的违约情况时，承包人可向发包人发出通知，要求发包人采取有效措施纠正违约行为。发包人收到承包人通知后</w:t>
      </w:r>
      <w:r>
        <w:rPr>
          <w:rFonts w:ascii="宋体" w:hAnsi="宋体"/>
          <w:color w:val="000000"/>
          <w:kern w:val="0"/>
          <w:szCs w:val="21"/>
        </w:rPr>
        <w:t>28</w:t>
      </w:r>
      <w:r>
        <w:rPr>
          <w:rFonts w:hint="eastAsia" w:ascii="宋体" w:hAnsi="宋体"/>
          <w:color w:val="000000"/>
          <w:kern w:val="0"/>
          <w:szCs w:val="21"/>
        </w:rPr>
        <w:t>天内仍不纠正违约行为的，承包人有权暂停相应部位工程施工，并通知监理人。</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16.1.2 </w:t>
      </w:r>
      <w:r>
        <w:rPr>
          <w:rFonts w:hint="eastAsia" w:ascii="宋体" w:hAnsi="宋体"/>
          <w:color w:val="000000"/>
          <w:kern w:val="0"/>
          <w:szCs w:val="21"/>
        </w:rPr>
        <w:t>发包人违约的责任</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发包人应承担因其违约给承包人增加的费用和（或）延误的工期，并支付承包人合理的利润。此外，合同当事人可在专用合同条款中另行约定发包人违约责任的承担方式和计算方法。</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16.1.3 </w:t>
      </w:r>
      <w:r>
        <w:rPr>
          <w:rFonts w:hint="eastAsia" w:ascii="宋体" w:hAnsi="宋体"/>
          <w:color w:val="000000"/>
          <w:kern w:val="0"/>
          <w:szCs w:val="21"/>
        </w:rPr>
        <w:t>因发包人违约解除合同</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除专用合同条款另有约定外，承包人按第</w:t>
      </w:r>
      <w:r>
        <w:rPr>
          <w:rFonts w:ascii="宋体" w:hAnsi="宋体"/>
          <w:color w:val="000000"/>
          <w:kern w:val="0"/>
          <w:szCs w:val="21"/>
        </w:rPr>
        <w:t>16.1.1</w:t>
      </w:r>
      <w:r>
        <w:rPr>
          <w:rFonts w:hint="eastAsia" w:ascii="宋体" w:hAnsi="宋体"/>
          <w:color w:val="000000"/>
          <w:kern w:val="0"/>
          <w:szCs w:val="21"/>
        </w:rPr>
        <w:t>项〔发包人违约的情形〕约定暂停施工满</w:t>
      </w:r>
      <w:r>
        <w:rPr>
          <w:rFonts w:ascii="宋体" w:hAnsi="宋体"/>
          <w:color w:val="000000"/>
          <w:kern w:val="0"/>
          <w:szCs w:val="21"/>
        </w:rPr>
        <w:t>28</w:t>
      </w:r>
      <w:r>
        <w:rPr>
          <w:rFonts w:hint="eastAsia" w:ascii="宋体" w:hAnsi="宋体"/>
          <w:color w:val="000000"/>
          <w:kern w:val="0"/>
          <w:szCs w:val="21"/>
        </w:rPr>
        <w:t>天后，发包人仍不纠正其违约行为并致使合同目的不能实现的，或出现第</w:t>
      </w:r>
      <w:r>
        <w:rPr>
          <w:rFonts w:ascii="宋体" w:hAnsi="宋体"/>
          <w:color w:val="000000"/>
          <w:kern w:val="0"/>
          <w:szCs w:val="21"/>
        </w:rPr>
        <w:t>16.1.1</w:t>
      </w:r>
      <w:r>
        <w:rPr>
          <w:rFonts w:hint="eastAsia" w:ascii="宋体" w:hAnsi="宋体"/>
          <w:color w:val="000000"/>
          <w:kern w:val="0"/>
          <w:szCs w:val="21"/>
        </w:rPr>
        <w:t>项〔发包人违约的情形〕第（</w:t>
      </w:r>
      <w:r>
        <w:rPr>
          <w:rFonts w:ascii="宋体" w:hAnsi="宋体"/>
          <w:color w:val="000000"/>
          <w:kern w:val="0"/>
          <w:szCs w:val="21"/>
        </w:rPr>
        <w:t>7</w:t>
      </w:r>
      <w:r>
        <w:rPr>
          <w:rFonts w:hint="eastAsia" w:ascii="宋体" w:hAnsi="宋体"/>
          <w:color w:val="000000"/>
          <w:kern w:val="0"/>
          <w:szCs w:val="21"/>
        </w:rPr>
        <w:t>）目约定的违约情况，承包人有权解除合同，发包人应承担由此增加的费用，并支付承包人合理的利润。</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kern w:val="0"/>
          <w:szCs w:val="21"/>
        </w:rPr>
        <w:t xml:space="preserve">16.1.4 </w:t>
      </w:r>
      <w:r>
        <w:rPr>
          <w:rFonts w:hint="eastAsia" w:ascii="宋体" w:hAnsi="宋体"/>
          <w:color w:val="000000"/>
          <w:kern w:val="0"/>
          <w:szCs w:val="21"/>
        </w:rPr>
        <w:t>因发包人违约解除合同后的付款</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承包人按照本款约定解除合同的，发包人应在解除合同后</w:t>
      </w:r>
      <w:r>
        <w:rPr>
          <w:rFonts w:ascii="宋体" w:hAnsi="宋体"/>
          <w:color w:val="000000"/>
          <w:kern w:val="0"/>
          <w:szCs w:val="21"/>
        </w:rPr>
        <w:t>28</w:t>
      </w:r>
      <w:r>
        <w:rPr>
          <w:rFonts w:hint="eastAsia" w:ascii="宋体" w:hAnsi="宋体"/>
          <w:color w:val="000000"/>
          <w:kern w:val="0"/>
          <w:szCs w:val="21"/>
        </w:rPr>
        <w:t>天内支付下列款项，并解除履约担保：</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）合同解除前所完成工作的价款；</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）承包人为工程施工订购并已付款的材料、工程设备和其他物品的价款；</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3</w:t>
      </w:r>
      <w:r>
        <w:rPr>
          <w:rFonts w:hint="eastAsia" w:ascii="宋体" w:hAnsi="宋体"/>
          <w:color w:val="000000"/>
          <w:kern w:val="0"/>
          <w:szCs w:val="21"/>
        </w:rPr>
        <w:t>）承包人撤离施工现场以及遣散承包人人员的款项；</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4</w:t>
      </w:r>
      <w:r>
        <w:rPr>
          <w:rFonts w:hint="eastAsia" w:ascii="宋体" w:hAnsi="宋体"/>
          <w:color w:val="000000"/>
          <w:kern w:val="0"/>
          <w:szCs w:val="21"/>
        </w:rPr>
        <w:t>）按照合同约定在合同解除前应支付的违约金；</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5</w:t>
      </w:r>
      <w:r>
        <w:rPr>
          <w:rFonts w:hint="eastAsia" w:ascii="宋体" w:hAnsi="宋体"/>
          <w:color w:val="000000"/>
          <w:kern w:val="0"/>
          <w:szCs w:val="21"/>
        </w:rPr>
        <w:t>）按照合同约定应当支付给承包人的其他款项；</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6</w:t>
      </w:r>
      <w:r>
        <w:rPr>
          <w:rFonts w:hint="eastAsia" w:ascii="宋体" w:hAnsi="宋体"/>
          <w:color w:val="000000"/>
          <w:kern w:val="0"/>
          <w:szCs w:val="21"/>
        </w:rPr>
        <w:t>）按照合同约定应退还的质量保证金；</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7</w:t>
      </w:r>
      <w:r>
        <w:rPr>
          <w:rFonts w:hint="eastAsia" w:ascii="宋体" w:hAnsi="宋体"/>
          <w:color w:val="000000"/>
          <w:kern w:val="0"/>
          <w:szCs w:val="21"/>
        </w:rPr>
        <w:t>）因解除合同给承包人造成的损失。</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合同当事人未能就解除合同后的结清达成一致的，按照第</w:t>
      </w:r>
      <w:r>
        <w:rPr>
          <w:rFonts w:ascii="宋体" w:hAnsi="宋体"/>
          <w:color w:val="000000"/>
          <w:kern w:val="0"/>
          <w:szCs w:val="21"/>
        </w:rPr>
        <w:t>20</w:t>
      </w:r>
      <w:r>
        <w:rPr>
          <w:rFonts w:hint="eastAsia" w:ascii="宋体" w:hAnsi="宋体"/>
          <w:color w:val="000000"/>
          <w:kern w:val="0"/>
          <w:szCs w:val="21"/>
        </w:rPr>
        <w:t>条〔争议解决〕的约定处理。</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承包人应妥善做好已完工程和与工程有关的已购材料、工程设备的保护和移交工作，并将施工设备和人员撤出施工现场，发包人应为承包人撤出提供必要条件。</w:t>
      </w:r>
    </w:p>
    <w:p>
      <w:pPr>
        <w:rPr>
          <w:rFonts w:ascii="黑体" w:hAnsi="黑体" w:eastAsia="黑体"/>
          <w:color w:val="000000"/>
        </w:rPr>
      </w:pPr>
      <w:bookmarkStart w:id="600" w:name="_Toc296503131"/>
      <w:bookmarkStart w:id="601" w:name="_Toc296346632"/>
      <w:bookmarkStart w:id="602" w:name="_Toc337558822"/>
      <w:r>
        <w:rPr>
          <w:rFonts w:ascii="黑体" w:hAnsi="黑体" w:eastAsia="黑体"/>
          <w:color w:val="000000"/>
        </w:rPr>
        <w:t xml:space="preserve">16.2 </w:t>
      </w:r>
      <w:r>
        <w:rPr>
          <w:rFonts w:hint="eastAsia" w:ascii="黑体" w:hAnsi="黑体" w:eastAsia="黑体"/>
          <w:color w:val="000000"/>
        </w:rPr>
        <w:t>承包人违约</w:t>
      </w:r>
    </w:p>
    <w:bookmarkEnd w:id="600"/>
    <w:bookmarkEnd w:id="601"/>
    <w:bookmarkEnd w:id="602"/>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16.2.1 </w:t>
      </w:r>
      <w:r>
        <w:rPr>
          <w:rFonts w:hint="eastAsia" w:ascii="宋体" w:hAnsi="宋体"/>
          <w:color w:val="000000"/>
          <w:kern w:val="0"/>
          <w:szCs w:val="21"/>
        </w:rPr>
        <w:t>承包人违约的情形</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在合同履行过程中发生的下列情形，属于承包人违约：</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）承包人违反合同约定进行转包或违法分包的；</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）承包人违反合同约定采购和使用不合格的材料和工程设备的；</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3</w:t>
      </w:r>
      <w:r>
        <w:rPr>
          <w:rFonts w:hint="eastAsia" w:ascii="宋体" w:hAnsi="宋体"/>
          <w:color w:val="000000"/>
          <w:kern w:val="0"/>
          <w:szCs w:val="21"/>
        </w:rPr>
        <w:t>）因承包人原因导致工程质量不符合合同要求的；</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4</w:t>
      </w:r>
      <w:r>
        <w:rPr>
          <w:rFonts w:hint="eastAsia" w:ascii="宋体" w:hAnsi="宋体"/>
          <w:color w:val="000000"/>
          <w:kern w:val="0"/>
          <w:szCs w:val="21"/>
        </w:rPr>
        <w:t>）承包人违反第</w:t>
      </w:r>
      <w:r>
        <w:rPr>
          <w:rFonts w:ascii="宋体" w:hAnsi="宋体"/>
          <w:color w:val="000000"/>
          <w:kern w:val="0"/>
          <w:szCs w:val="21"/>
        </w:rPr>
        <w:t>8.9</w:t>
      </w:r>
      <w:r>
        <w:rPr>
          <w:rFonts w:hint="eastAsia" w:ascii="宋体" w:hAnsi="宋体"/>
          <w:color w:val="000000"/>
          <w:kern w:val="0"/>
          <w:szCs w:val="21"/>
        </w:rPr>
        <w:t>款〔材料与设备专用要求〕的约定，未经批准，私自将已按照合同约定进入施工现场的材料或设备撤离施工现场的；</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5</w:t>
      </w:r>
      <w:r>
        <w:rPr>
          <w:rFonts w:hint="eastAsia" w:ascii="宋体" w:hAnsi="宋体"/>
          <w:color w:val="000000"/>
          <w:kern w:val="0"/>
          <w:szCs w:val="21"/>
        </w:rPr>
        <w:t>）承包人未能按施工进度计划及时完成合同约定的工作，造成工期延误的；</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6</w:t>
      </w:r>
      <w:r>
        <w:rPr>
          <w:rFonts w:hint="eastAsia" w:ascii="宋体" w:hAnsi="宋体"/>
          <w:color w:val="000000"/>
          <w:kern w:val="0"/>
          <w:szCs w:val="21"/>
        </w:rPr>
        <w:t>）承包人在缺陷责任期及保修期内，未能在合理期限对工程缺陷进行修复，或拒绝按发包人要求进行修复的；</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7</w:t>
      </w:r>
      <w:r>
        <w:rPr>
          <w:rFonts w:hint="eastAsia" w:ascii="宋体" w:hAnsi="宋体"/>
          <w:color w:val="000000"/>
          <w:kern w:val="0"/>
          <w:szCs w:val="21"/>
        </w:rPr>
        <w:t>）承包人明确表示或者以其行为表明不履行合同主要义务的；</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8</w:t>
      </w:r>
      <w:r>
        <w:rPr>
          <w:rFonts w:hint="eastAsia" w:ascii="宋体" w:hAnsi="宋体"/>
          <w:color w:val="000000"/>
          <w:kern w:val="0"/>
          <w:szCs w:val="21"/>
        </w:rPr>
        <w:t>）承包人未能按照合同约定履行其他义务的。</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承包人发生除本项第（</w:t>
      </w:r>
      <w:r>
        <w:rPr>
          <w:rFonts w:ascii="宋体" w:hAnsi="宋体"/>
          <w:color w:val="000000"/>
          <w:kern w:val="0"/>
          <w:szCs w:val="21"/>
        </w:rPr>
        <w:t>7</w:t>
      </w:r>
      <w:r>
        <w:rPr>
          <w:rFonts w:hint="eastAsia" w:ascii="宋体" w:hAnsi="宋体"/>
          <w:color w:val="000000"/>
          <w:kern w:val="0"/>
          <w:szCs w:val="21"/>
        </w:rPr>
        <w:t>）目约定以外的其他违约情况时，监理人可向承包人发出整改通知，要求其在指定的期限内改正。</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16.2.2 </w:t>
      </w:r>
      <w:r>
        <w:rPr>
          <w:rFonts w:hint="eastAsia" w:ascii="宋体" w:hAnsi="宋体"/>
          <w:color w:val="000000"/>
          <w:kern w:val="0"/>
          <w:szCs w:val="21"/>
        </w:rPr>
        <w:t>承包人违约的责任</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承包人应承担因其违约行为而增加的费用和（或）延误的工期。此外，合同当事人可在专用合同条款中另行约定承包人违约责任的承担方式和计算方法。</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16.2.3 </w:t>
      </w:r>
      <w:r>
        <w:rPr>
          <w:rFonts w:hint="eastAsia" w:ascii="宋体" w:hAnsi="宋体"/>
          <w:color w:val="000000"/>
          <w:kern w:val="0"/>
          <w:szCs w:val="21"/>
        </w:rPr>
        <w:t>因承包人违约解除合同</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除专用合同条款另有约定外，出现第</w:t>
      </w:r>
      <w:r>
        <w:rPr>
          <w:rFonts w:ascii="宋体" w:hAnsi="宋体"/>
          <w:color w:val="000000"/>
          <w:kern w:val="0"/>
          <w:szCs w:val="21"/>
        </w:rPr>
        <w:t>16.2.1</w:t>
      </w:r>
      <w:r>
        <w:rPr>
          <w:rFonts w:hint="eastAsia" w:ascii="宋体" w:hAnsi="宋体"/>
          <w:color w:val="000000"/>
          <w:kern w:val="0"/>
          <w:szCs w:val="21"/>
        </w:rPr>
        <w:t>项〔承包人违约的情形〕第（</w:t>
      </w:r>
      <w:r>
        <w:rPr>
          <w:rFonts w:ascii="宋体" w:hAnsi="宋体"/>
          <w:color w:val="000000"/>
          <w:kern w:val="0"/>
          <w:szCs w:val="21"/>
        </w:rPr>
        <w:t>7</w:t>
      </w:r>
      <w:r>
        <w:rPr>
          <w:rFonts w:hint="eastAsia" w:ascii="宋体" w:hAnsi="宋体"/>
          <w:color w:val="000000"/>
          <w:kern w:val="0"/>
          <w:szCs w:val="21"/>
        </w:rPr>
        <w:t>）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16.2.4</w:t>
      </w:r>
      <w:r>
        <w:rPr>
          <w:rFonts w:hint="eastAsia" w:ascii="宋体" w:hAnsi="宋体"/>
          <w:color w:val="000000"/>
          <w:kern w:val="0"/>
          <w:szCs w:val="21"/>
        </w:rPr>
        <w:t>因承包人违约解除合同后的处理</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因承包人原因导致合同解除的，则合同当事人应在合同解除后</w:t>
      </w:r>
      <w:r>
        <w:rPr>
          <w:rFonts w:ascii="宋体" w:hAnsi="宋体"/>
          <w:color w:val="000000"/>
          <w:kern w:val="0"/>
          <w:szCs w:val="21"/>
        </w:rPr>
        <w:t>28</w:t>
      </w:r>
      <w:r>
        <w:rPr>
          <w:rFonts w:hint="eastAsia" w:ascii="宋体" w:hAnsi="宋体"/>
          <w:color w:val="000000"/>
          <w:kern w:val="0"/>
          <w:szCs w:val="21"/>
        </w:rPr>
        <w:t>天内完成估价、付款和清算，并按以下约定执行：</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）合同解除后，按第</w:t>
      </w:r>
      <w:r>
        <w:rPr>
          <w:rFonts w:ascii="宋体" w:hAnsi="宋体"/>
          <w:color w:val="000000"/>
          <w:kern w:val="0"/>
          <w:szCs w:val="21"/>
        </w:rPr>
        <w:t>4.4</w:t>
      </w:r>
      <w:r>
        <w:rPr>
          <w:rFonts w:hint="eastAsia" w:ascii="宋体" w:hAnsi="宋体"/>
          <w:color w:val="000000"/>
          <w:kern w:val="0"/>
          <w:szCs w:val="21"/>
        </w:rPr>
        <w:t>款〔商定或确定〕商定或确定承包人实际完成工作对应的合同价款，以及承包人已提供的材料、工程设备、施工设备和临时工程等的价值；</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）合同解除后，承包人应支付的违约金；</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3</w:t>
      </w:r>
      <w:r>
        <w:rPr>
          <w:rFonts w:hint="eastAsia" w:ascii="宋体" w:hAnsi="宋体"/>
          <w:color w:val="000000"/>
          <w:kern w:val="0"/>
          <w:szCs w:val="21"/>
        </w:rPr>
        <w:t>）合同解除后，因解除合同给发包人造成的损失；</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4</w:t>
      </w:r>
      <w:r>
        <w:rPr>
          <w:rFonts w:hint="eastAsia" w:ascii="宋体" w:hAnsi="宋体"/>
          <w:color w:val="000000"/>
          <w:kern w:val="0"/>
          <w:szCs w:val="21"/>
        </w:rPr>
        <w:t>）合同解除后，承包人应按照发包人要求和监理人的指示完成现场的清理和撤离；</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5</w:t>
      </w:r>
      <w:r>
        <w:rPr>
          <w:rFonts w:hint="eastAsia" w:ascii="宋体" w:hAnsi="宋体"/>
          <w:color w:val="000000"/>
          <w:kern w:val="0"/>
          <w:szCs w:val="21"/>
        </w:rPr>
        <w:t>）发包人和承包人应在合同解除后进行清算，出具最终结清付款证书，结清全部款项。</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因承包人违约解除合同的，发包人有权暂停对承包人的付款，查清各项付款和已扣款项。发包人和承包人未能就合同解除后的清算和款项支付达成一致的，按照第</w:t>
      </w:r>
      <w:r>
        <w:rPr>
          <w:rFonts w:ascii="宋体" w:hAnsi="宋体"/>
          <w:color w:val="000000"/>
          <w:kern w:val="0"/>
          <w:szCs w:val="21"/>
        </w:rPr>
        <w:t>20</w:t>
      </w:r>
      <w:r>
        <w:rPr>
          <w:rFonts w:hint="eastAsia" w:ascii="宋体" w:hAnsi="宋体"/>
          <w:color w:val="000000"/>
          <w:kern w:val="0"/>
          <w:szCs w:val="21"/>
        </w:rPr>
        <w:t>条〔争议解决〕的约定处理。</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16.2.5</w:t>
      </w:r>
      <w:r>
        <w:rPr>
          <w:rFonts w:hint="eastAsia" w:ascii="宋体" w:hAnsi="宋体"/>
          <w:color w:val="000000"/>
          <w:kern w:val="0"/>
          <w:szCs w:val="21"/>
        </w:rPr>
        <w:t>采购合同权益转让</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因承包人违约解除合同的，发包人有权要求承包人将其为实施合同而签订的材料和设备的采购合同的权益转让给发包人，承包人应在收到解除合同通知后</w:t>
      </w:r>
      <w:r>
        <w:rPr>
          <w:rFonts w:ascii="宋体" w:hAnsi="宋体"/>
          <w:color w:val="000000"/>
          <w:kern w:val="0"/>
          <w:szCs w:val="21"/>
        </w:rPr>
        <w:t>14</w:t>
      </w:r>
      <w:r>
        <w:rPr>
          <w:rFonts w:hint="eastAsia" w:ascii="宋体" w:hAnsi="宋体"/>
          <w:color w:val="000000"/>
          <w:kern w:val="0"/>
          <w:szCs w:val="21"/>
        </w:rPr>
        <w:t>天内，协助发包人与采购合同的供应商达成相关的转让协议。</w:t>
      </w:r>
    </w:p>
    <w:p>
      <w:pPr>
        <w:rPr>
          <w:rFonts w:ascii="黑体" w:hAnsi="黑体" w:eastAsia="黑体"/>
          <w:color w:val="000000"/>
        </w:rPr>
      </w:pPr>
      <w:r>
        <w:rPr>
          <w:rFonts w:ascii="黑体" w:hAnsi="黑体" w:eastAsia="黑体"/>
          <w:color w:val="000000"/>
        </w:rPr>
        <w:t xml:space="preserve">16.3 </w:t>
      </w:r>
      <w:r>
        <w:rPr>
          <w:rFonts w:hint="eastAsia" w:ascii="黑体" w:hAnsi="黑体" w:eastAsia="黑体"/>
          <w:color w:val="000000"/>
        </w:rPr>
        <w:t>第三人造成的违约</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在履行合同过程中，一方当事人因第三人的原因造成违约的，应当向对方当事人承担违约责任。一方当事人和第三人之间的纠纷，依照法律规定或者按照约定解决。</w:t>
      </w:r>
    </w:p>
    <w:p>
      <w:pPr>
        <w:pStyle w:val="5"/>
        <w:spacing w:before="120" w:after="120" w:line="360" w:lineRule="auto"/>
        <w:rPr>
          <w:rFonts w:ascii="黑体" w:hAnsi="黑体"/>
          <w:b w:val="0"/>
          <w:color w:val="000000"/>
        </w:rPr>
      </w:pPr>
      <w:bookmarkStart w:id="603" w:name="_Toc337558823"/>
      <w:bookmarkStart w:id="604" w:name="_Toc296503116"/>
      <w:bookmarkStart w:id="605" w:name="_Toc114222818"/>
      <w:bookmarkStart w:id="606" w:name="_Toc296346617"/>
      <w:bookmarkStart w:id="607" w:name="_Toc362623182"/>
      <w:r>
        <w:rPr>
          <w:rFonts w:ascii="黑体" w:hAnsi="黑体"/>
          <w:b w:val="0"/>
          <w:color w:val="000000"/>
        </w:rPr>
        <w:t xml:space="preserve">17. </w:t>
      </w:r>
      <w:r>
        <w:rPr>
          <w:rFonts w:hint="eastAsia" w:ascii="黑体" w:hAnsi="黑体"/>
          <w:b w:val="0"/>
          <w:color w:val="000000"/>
        </w:rPr>
        <w:t>不可抗力</w:t>
      </w:r>
      <w:bookmarkEnd w:id="603"/>
      <w:bookmarkEnd w:id="604"/>
      <w:bookmarkEnd w:id="605"/>
      <w:bookmarkEnd w:id="606"/>
      <w:bookmarkEnd w:id="607"/>
    </w:p>
    <w:p>
      <w:pPr>
        <w:rPr>
          <w:rFonts w:ascii="黑体" w:hAnsi="黑体" w:eastAsia="黑体"/>
          <w:color w:val="000000"/>
        </w:rPr>
      </w:pPr>
      <w:bookmarkStart w:id="608" w:name="_Toc337558824"/>
      <w:bookmarkStart w:id="609" w:name="_Toc296346618"/>
      <w:bookmarkStart w:id="610" w:name="_Toc296503117"/>
      <w:r>
        <w:rPr>
          <w:rFonts w:ascii="黑体" w:hAnsi="黑体" w:eastAsia="黑体"/>
          <w:color w:val="000000"/>
        </w:rPr>
        <w:t xml:space="preserve">17.1 </w:t>
      </w:r>
      <w:r>
        <w:rPr>
          <w:rFonts w:hint="eastAsia" w:ascii="黑体" w:hAnsi="黑体" w:eastAsia="黑体"/>
          <w:color w:val="000000"/>
        </w:rPr>
        <w:t>不可抗力的确认</w:t>
      </w:r>
    </w:p>
    <w:bookmarkEnd w:id="608"/>
    <w:bookmarkEnd w:id="609"/>
    <w:bookmarkEnd w:id="610"/>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不可抗力是指合同当事人在签订合同时不可预见，在合同履行过程中不可避免且不能克服的自然灾害和社会性突发事件，如地震、海啸、瘟疫、骚乱、戒严、暴动、战争和专用合同条款中约定的其他情形。</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不可抗力发生后，发包人和承包人应收集证明不可抗力发生及不可抗力造成损失的证据，并及时认真统计所造成的损失。合同当事人对是否属于不可抗力或其损失的意见不一致的，由监理人按第</w:t>
      </w:r>
      <w:r>
        <w:rPr>
          <w:rFonts w:ascii="宋体" w:hAnsi="宋体"/>
          <w:color w:val="000000"/>
          <w:kern w:val="0"/>
          <w:szCs w:val="21"/>
        </w:rPr>
        <w:t>4.4</w:t>
      </w:r>
      <w:r>
        <w:rPr>
          <w:rFonts w:hint="eastAsia" w:ascii="宋体" w:hAnsi="宋体"/>
          <w:color w:val="000000"/>
          <w:kern w:val="0"/>
          <w:szCs w:val="21"/>
        </w:rPr>
        <w:t>款〔商定或确定〕的约定处理。发生争议时，按第</w:t>
      </w:r>
      <w:r>
        <w:rPr>
          <w:rFonts w:ascii="宋体" w:hAnsi="宋体"/>
          <w:color w:val="000000"/>
          <w:kern w:val="0"/>
          <w:szCs w:val="21"/>
        </w:rPr>
        <w:t>20</w:t>
      </w:r>
      <w:r>
        <w:rPr>
          <w:rFonts w:hint="eastAsia" w:ascii="宋体" w:hAnsi="宋体"/>
          <w:color w:val="000000"/>
          <w:kern w:val="0"/>
          <w:szCs w:val="21"/>
        </w:rPr>
        <w:t>条〔争议解决〕的约定处理。</w:t>
      </w:r>
    </w:p>
    <w:p>
      <w:pPr>
        <w:rPr>
          <w:rFonts w:ascii="黑体" w:hAnsi="黑体" w:eastAsia="黑体"/>
          <w:color w:val="000000"/>
        </w:rPr>
      </w:pPr>
      <w:bookmarkStart w:id="611" w:name="_Toc296503118"/>
      <w:bookmarkStart w:id="612" w:name="_Toc296346619"/>
      <w:bookmarkStart w:id="613" w:name="_Toc337558825"/>
      <w:r>
        <w:rPr>
          <w:rFonts w:ascii="黑体" w:hAnsi="黑体" w:eastAsia="黑体"/>
          <w:color w:val="000000"/>
        </w:rPr>
        <w:t xml:space="preserve">17.2 </w:t>
      </w:r>
      <w:r>
        <w:rPr>
          <w:rFonts w:hint="eastAsia" w:ascii="黑体" w:hAnsi="黑体" w:eastAsia="黑体"/>
          <w:color w:val="000000"/>
        </w:rPr>
        <w:t>不可抗力的通知</w:t>
      </w:r>
    </w:p>
    <w:bookmarkEnd w:id="611"/>
    <w:bookmarkEnd w:id="612"/>
    <w:bookmarkEnd w:id="613"/>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合同一方当事人遇到不可抗力事件，使其履行合同义务受到阻碍时，应立即通知合同另一方当事人和监理人，书面说明不可抗力和受阻碍的详细情况，并提供必要的证明。</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不可抗力持续发生的，合同一方当事人应及时向合同另一方当事人和监理人提交中间报告，说明不可抗力和履行合同受阻的情况，并于不可抗力事件结束后</w:t>
      </w:r>
      <w:r>
        <w:rPr>
          <w:rFonts w:ascii="宋体" w:hAnsi="宋体"/>
          <w:color w:val="000000"/>
          <w:kern w:val="0"/>
          <w:szCs w:val="21"/>
        </w:rPr>
        <w:t>28</w:t>
      </w:r>
      <w:r>
        <w:rPr>
          <w:rFonts w:hint="eastAsia" w:ascii="宋体" w:hAnsi="宋体"/>
          <w:color w:val="000000"/>
          <w:kern w:val="0"/>
          <w:szCs w:val="21"/>
        </w:rPr>
        <w:t>天内提交最终报告及有关资料。</w:t>
      </w:r>
    </w:p>
    <w:p>
      <w:pPr>
        <w:rPr>
          <w:rFonts w:ascii="黑体" w:hAnsi="黑体" w:eastAsia="黑体"/>
          <w:color w:val="000000"/>
        </w:rPr>
      </w:pPr>
      <w:bookmarkStart w:id="614" w:name="_Toc337558826"/>
      <w:bookmarkStart w:id="615" w:name="_Toc296346620"/>
      <w:bookmarkStart w:id="616" w:name="_Toc296503119"/>
      <w:r>
        <w:rPr>
          <w:rFonts w:ascii="黑体" w:hAnsi="黑体" w:eastAsia="黑体"/>
          <w:color w:val="000000"/>
        </w:rPr>
        <w:t xml:space="preserve">17.3 </w:t>
      </w:r>
      <w:r>
        <w:rPr>
          <w:rFonts w:hint="eastAsia" w:ascii="黑体" w:hAnsi="黑体" w:eastAsia="黑体"/>
          <w:color w:val="000000"/>
        </w:rPr>
        <w:t>不可抗力后果的承担</w:t>
      </w:r>
    </w:p>
    <w:bookmarkEnd w:id="614"/>
    <w:bookmarkEnd w:id="615"/>
    <w:bookmarkEnd w:id="616"/>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17.3.1 </w:t>
      </w:r>
      <w:r>
        <w:rPr>
          <w:rFonts w:hint="eastAsia" w:ascii="宋体" w:hAnsi="宋体"/>
          <w:color w:val="000000"/>
          <w:kern w:val="0"/>
          <w:szCs w:val="21"/>
        </w:rPr>
        <w:t>不可抗力引起的后果及造成的损失由合同当事人按照法律规定及合同约定各自承担。不可抗力发生前已完成的工程应当按照合同约定进行计量支付。</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17.3.2 </w:t>
      </w:r>
      <w:r>
        <w:rPr>
          <w:rFonts w:hint="eastAsia" w:ascii="宋体" w:hAnsi="宋体"/>
          <w:color w:val="000000"/>
          <w:kern w:val="0"/>
          <w:szCs w:val="21"/>
        </w:rPr>
        <w:t>不可抗力导致的人员伤亡、财产损失、费用增加和（或）工期延误等后果，由合同当事人按以下原则承担：</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）永久工程、已运至施工现场的材料和工程设备的损坏，以及因工程损坏造成的第三人人员伤亡和财产损失由发包人承担；</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）承包人施工设备的损坏由承包人承担；</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3</w:t>
      </w:r>
      <w:r>
        <w:rPr>
          <w:rFonts w:hint="eastAsia" w:ascii="宋体" w:hAnsi="宋体"/>
          <w:color w:val="000000"/>
          <w:kern w:val="0"/>
          <w:szCs w:val="21"/>
        </w:rPr>
        <w:t>）发包人和承包人承担各自人员伤亡和财产的损失；</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4</w:t>
      </w:r>
      <w:r>
        <w:rPr>
          <w:rFonts w:hint="eastAsia" w:ascii="宋体" w:hAnsi="宋体"/>
          <w:color w:val="000000"/>
          <w:kern w:val="0"/>
          <w:szCs w:val="21"/>
        </w:rPr>
        <w:t>）因不可抗力影响承包人履行合同约定的义务，已经引起或将引起工期延误的，应当顺延工期，由此导致承包人停工的费用损失由发包人和承包人合理分担，停工期间必须支付的工人工资由发包人承担；</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5</w:t>
      </w:r>
      <w:r>
        <w:rPr>
          <w:rFonts w:hint="eastAsia" w:ascii="宋体" w:hAnsi="宋体"/>
          <w:color w:val="000000"/>
          <w:kern w:val="0"/>
          <w:szCs w:val="21"/>
        </w:rPr>
        <w:t>）因不可抗力引起或将引起工期延误，发包人要求赶工的，由此增加的赶工费用由发包人承担；</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6</w:t>
      </w:r>
      <w:r>
        <w:rPr>
          <w:rFonts w:hint="eastAsia" w:ascii="宋体" w:hAnsi="宋体"/>
          <w:color w:val="000000"/>
          <w:kern w:val="0"/>
          <w:szCs w:val="21"/>
        </w:rPr>
        <w:t>）承包人在停工期间按照发包人要求照管、清理和修复工程的费用由发包人承担。</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不可抗力发生后，合同当事人均应采取措施尽量避免和减少损失的扩大，任何一方当事人没有采取有效措施导致损失扩大的，应对扩大的损失承担责任。</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因合同一方迟延履行合同义务，在迟延履行期间遭遇不可抗力的，不免除其违约责任。</w:t>
      </w:r>
    </w:p>
    <w:p>
      <w:pPr>
        <w:rPr>
          <w:rFonts w:ascii="黑体" w:hAnsi="黑体" w:eastAsia="黑体"/>
          <w:color w:val="000000"/>
        </w:rPr>
      </w:pPr>
      <w:bookmarkStart w:id="617" w:name="_Toc337558827"/>
      <w:r>
        <w:rPr>
          <w:rFonts w:ascii="黑体" w:hAnsi="黑体" w:eastAsia="黑体"/>
          <w:color w:val="000000"/>
        </w:rPr>
        <w:t xml:space="preserve">17.4 </w:t>
      </w:r>
      <w:r>
        <w:rPr>
          <w:rFonts w:hint="eastAsia" w:ascii="黑体" w:hAnsi="黑体" w:eastAsia="黑体"/>
          <w:color w:val="000000"/>
        </w:rPr>
        <w:t>因不可抗力解除合同</w:t>
      </w:r>
    </w:p>
    <w:bookmarkEnd w:id="617"/>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因不可抗力导致合同无法履行连续超过</w:t>
      </w:r>
      <w:r>
        <w:rPr>
          <w:rFonts w:ascii="宋体" w:hAnsi="宋体"/>
          <w:color w:val="000000"/>
          <w:kern w:val="0"/>
          <w:szCs w:val="21"/>
        </w:rPr>
        <w:t>84</w:t>
      </w:r>
      <w:r>
        <w:rPr>
          <w:rFonts w:hint="eastAsia" w:ascii="宋体" w:hAnsi="宋体"/>
          <w:color w:val="000000"/>
          <w:kern w:val="0"/>
          <w:szCs w:val="21"/>
        </w:rPr>
        <w:t>天或累计超过</w:t>
      </w:r>
      <w:r>
        <w:rPr>
          <w:rFonts w:ascii="宋体" w:hAnsi="宋体"/>
          <w:color w:val="000000"/>
          <w:kern w:val="0"/>
          <w:szCs w:val="21"/>
        </w:rPr>
        <w:t>140</w:t>
      </w:r>
      <w:r>
        <w:rPr>
          <w:rFonts w:hint="eastAsia" w:ascii="宋体" w:hAnsi="宋体"/>
          <w:color w:val="000000"/>
          <w:kern w:val="0"/>
          <w:szCs w:val="21"/>
        </w:rPr>
        <w:t>天的，发包人和承包人均有权解除合同。合同解除后，由双方当事人按照第</w:t>
      </w:r>
      <w:r>
        <w:rPr>
          <w:rFonts w:ascii="宋体" w:hAnsi="宋体"/>
          <w:color w:val="000000"/>
          <w:kern w:val="0"/>
          <w:szCs w:val="21"/>
        </w:rPr>
        <w:t>4.4</w:t>
      </w:r>
      <w:r>
        <w:rPr>
          <w:rFonts w:hint="eastAsia" w:ascii="宋体" w:hAnsi="宋体"/>
          <w:color w:val="000000"/>
          <w:kern w:val="0"/>
          <w:szCs w:val="21"/>
        </w:rPr>
        <w:t>款〔商定或确定〕商定或确定发包人应支付的款项，该款项包括：</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）合同解除前承包人已完成工作的价款；</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）承包人为工程订购的并已交付给承包人，或承包人有责任接受交付的材料、工程设备和其他物品的价款；</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3</w:t>
      </w:r>
      <w:r>
        <w:rPr>
          <w:rFonts w:hint="eastAsia" w:ascii="宋体" w:hAnsi="宋体"/>
          <w:color w:val="000000"/>
          <w:kern w:val="0"/>
          <w:szCs w:val="21"/>
        </w:rPr>
        <w:t>）发包人要求承包人退货或解除订货合同而产生的费用，或因不能退货或解除合同而产生的损失；</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4</w:t>
      </w:r>
      <w:r>
        <w:rPr>
          <w:rFonts w:hint="eastAsia" w:ascii="宋体" w:hAnsi="宋体"/>
          <w:color w:val="000000"/>
          <w:kern w:val="0"/>
          <w:szCs w:val="21"/>
        </w:rPr>
        <w:t>）承包人撤离施工现场以及遣散承包人人员的费用；</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5</w:t>
      </w:r>
      <w:r>
        <w:rPr>
          <w:rFonts w:hint="eastAsia" w:ascii="宋体" w:hAnsi="宋体"/>
          <w:color w:val="000000"/>
          <w:kern w:val="0"/>
          <w:szCs w:val="21"/>
        </w:rPr>
        <w:t>）按照合同约定在合同解除前应支付给承包人的其他款项；</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6</w:t>
      </w:r>
      <w:r>
        <w:rPr>
          <w:rFonts w:hint="eastAsia" w:ascii="宋体" w:hAnsi="宋体"/>
          <w:color w:val="000000"/>
          <w:kern w:val="0"/>
          <w:szCs w:val="21"/>
        </w:rPr>
        <w:t>）扣减承包人按照合同约定应向发包人支付的款项；</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7</w:t>
      </w:r>
      <w:r>
        <w:rPr>
          <w:rFonts w:hint="eastAsia" w:ascii="宋体" w:hAnsi="宋体"/>
          <w:color w:val="000000"/>
          <w:kern w:val="0"/>
          <w:szCs w:val="21"/>
        </w:rPr>
        <w:t>）双方商定或确定的其他款项。</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除专用合同条款另有约定外，合同解除后，发包人应在商定或确定上述款项后</w:t>
      </w:r>
      <w:r>
        <w:rPr>
          <w:rFonts w:ascii="宋体" w:hAnsi="宋体"/>
          <w:color w:val="000000"/>
          <w:kern w:val="0"/>
          <w:szCs w:val="21"/>
        </w:rPr>
        <w:t>28</w:t>
      </w:r>
      <w:r>
        <w:rPr>
          <w:rFonts w:hint="eastAsia" w:ascii="宋体" w:hAnsi="宋体"/>
          <w:color w:val="000000"/>
          <w:kern w:val="0"/>
          <w:szCs w:val="21"/>
        </w:rPr>
        <w:t>天内完成上述款项的支付。</w:t>
      </w:r>
    </w:p>
    <w:p>
      <w:pPr>
        <w:pStyle w:val="5"/>
        <w:spacing w:before="120" w:after="120" w:line="360" w:lineRule="auto"/>
        <w:rPr>
          <w:rFonts w:ascii="黑体" w:hAnsi="黑体"/>
          <w:b w:val="0"/>
          <w:color w:val="000000"/>
        </w:rPr>
      </w:pPr>
      <w:bookmarkStart w:id="618" w:name="_Toc362623183"/>
      <w:bookmarkStart w:id="619" w:name="_Toc114222819"/>
      <w:bookmarkStart w:id="620" w:name="_Toc296346621"/>
      <w:bookmarkStart w:id="621" w:name="_Toc337558828"/>
      <w:bookmarkStart w:id="622" w:name="_Toc296503120"/>
      <w:r>
        <w:rPr>
          <w:rFonts w:ascii="黑体" w:hAnsi="黑体"/>
          <w:b w:val="0"/>
          <w:color w:val="000000"/>
        </w:rPr>
        <w:t xml:space="preserve">18. </w:t>
      </w:r>
      <w:r>
        <w:rPr>
          <w:rFonts w:hint="eastAsia" w:ascii="黑体" w:hAnsi="黑体"/>
          <w:b w:val="0"/>
          <w:color w:val="000000"/>
        </w:rPr>
        <w:t>保险</w:t>
      </w:r>
      <w:bookmarkEnd w:id="618"/>
      <w:bookmarkEnd w:id="619"/>
    </w:p>
    <w:bookmarkEnd w:id="620"/>
    <w:bookmarkEnd w:id="621"/>
    <w:bookmarkEnd w:id="622"/>
    <w:p>
      <w:pPr>
        <w:rPr>
          <w:rFonts w:ascii="黑体" w:hAnsi="黑体" w:eastAsia="黑体"/>
          <w:color w:val="000000"/>
        </w:rPr>
      </w:pPr>
      <w:bookmarkStart w:id="623" w:name="_Toc296503121"/>
      <w:bookmarkStart w:id="624" w:name="_Toc296346622"/>
      <w:bookmarkStart w:id="625" w:name="_Toc337558829"/>
      <w:r>
        <w:rPr>
          <w:rFonts w:ascii="黑体" w:hAnsi="黑体" w:eastAsia="黑体"/>
          <w:color w:val="000000"/>
        </w:rPr>
        <w:t xml:space="preserve">18.1 </w:t>
      </w:r>
      <w:r>
        <w:rPr>
          <w:rFonts w:hint="eastAsia" w:ascii="黑体" w:hAnsi="黑体" w:eastAsia="黑体"/>
          <w:color w:val="000000"/>
        </w:rPr>
        <w:t>工程保险</w:t>
      </w:r>
    </w:p>
    <w:bookmarkEnd w:id="623"/>
    <w:bookmarkEnd w:id="624"/>
    <w:bookmarkEnd w:id="625"/>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除专用合同条款另有约定外，发包人应投保建筑工程一切险或安装工程一切险；发包人委托承包人投保的，因投保产生的保险费和其他相关费用由发包人承担。</w:t>
      </w:r>
    </w:p>
    <w:p>
      <w:pPr>
        <w:rPr>
          <w:rFonts w:ascii="黑体" w:hAnsi="黑体" w:eastAsia="黑体"/>
          <w:color w:val="000000"/>
        </w:rPr>
      </w:pPr>
      <w:bookmarkStart w:id="626" w:name="_Toc337558830"/>
      <w:bookmarkStart w:id="627" w:name="_Toc296346623"/>
      <w:bookmarkStart w:id="628" w:name="_Toc296503122"/>
      <w:r>
        <w:rPr>
          <w:rFonts w:ascii="黑体" w:hAnsi="黑体" w:eastAsia="黑体"/>
          <w:color w:val="000000"/>
        </w:rPr>
        <w:t xml:space="preserve">18.2 </w:t>
      </w:r>
      <w:r>
        <w:rPr>
          <w:rFonts w:hint="eastAsia" w:ascii="黑体" w:hAnsi="黑体" w:eastAsia="黑体"/>
          <w:color w:val="000000"/>
        </w:rPr>
        <w:t>工伤保险</w:t>
      </w:r>
    </w:p>
    <w:bookmarkEnd w:id="626"/>
    <w:bookmarkEnd w:id="627"/>
    <w:bookmarkEnd w:id="628"/>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18.2.1 </w:t>
      </w:r>
      <w:r>
        <w:rPr>
          <w:rFonts w:hint="eastAsia" w:ascii="宋体" w:hAnsi="宋体"/>
          <w:color w:val="000000"/>
          <w:kern w:val="0"/>
          <w:szCs w:val="21"/>
        </w:rPr>
        <w:t>发包人应依照法律规定参加工伤保险，并为在施工现场的全部员工办理工伤保险，缴纳工伤保险费，并要求监理人及由发包人为履行合同聘请的第三方依法参加工伤保险。</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18.2.2 </w:t>
      </w:r>
      <w:r>
        <w:rPr>
          <w:rFonts w:hint="eastAsia" w:ascii="宋体" w:hAnsi="宋体"/>
          <w:color w:val="000000"/>
          <w:kern w:val="0"/>
          <w:szCs w:val="21"/>
        </w:rPr>
        <w:t>承包人应依照法律规定参加工伤保险，并为其履行合同的全部员工办理工伤保险，缴纳工伤保险费，并要求分包人及由承包人为履行合同聘请的第三方依法参加工伤保险。</w:t>
      </w:r>
    </w:p>
    <w:p>
      <w:pPr>
        <w:rPr>
          <w:rFonts w:ascii="黑体" w:hAnsi="黑体" w:eastAsia="黑体"/>
          <w:color w:val="000000"/>
        </w:rPr>
      </w:pPr>
      <w:bookmarkStart w:id="629" w:name="_Toc296503125"/>
      <w:bookmarkStart w:id="630" w:name="_Toc337558831"/>
      <w:bookmarkStart w:id="631" w:name="_Toc296346626"/>
      <w:r>
        <w:rPr>
          <w:rFonts w:ascii="黑体" w:hAnsi="黑体" w:eastAsia="黑体"/>
          <w:color w:val="000000"/>
        </w:rPr>
        <w:t>18.3</w:t>
      </w:r>
      <w:r>
        <w:rPr>
          <w:rFonts w:hint="eastAsia" w:ascii="黑体" w:hAnsi="黑体" w:eastAsia="黑体"/>
          <w:color w:val="000000"/>
        </w:rPr>
        <w:t>其他保险</w:t>
      </w:r>
    </w:p>
    <w:bookmarkEnd w:id="629"/>
    <w:bookmarkEnd w:id="630"/>
    <w:bookmarkEnd w:id="631"/>
    <w:p>
      <w:pPr>
        <w:spacing w:line="360" w:lineRule="auto"/>
        <w:ind w:firstLine="420" w:firstLineChars="200"/>
        <w:jc w:val="left"/>
        <w:rPr>
          <w:rFonts w:ascii="宋体" w:hAnsi="宋体"/>
          <w:color w:val="000000"/>
          <w:szCs w:val="21"/>
        </w:rPr>
      </w:pPr>
      <w:r>
        <w:rPr>
          <w:rFonts w:hint="eastAsia" w:ascii="宋体" w:hAnsi="宋体"/>
          <w:color w:val="000000"/>
          <w:szCs w:val="21"/>
        </w:rPr>
        <w:t>发包人和承包人可以为其施工现场的全部人员办理意外伤害保险并支付保险费，包括其员工及为履行合同聘请的第三方的人员，具体事项由合同当事人在专用合同条款约定。</w:t>
      </w:r>
    </w:p>
    <w:p>
      <w:pPr>
        <w:spacing w:line="360" w:lineRule="auto"/>
        <w:ind w:firstLine="420" w:firstLineChars="200"/>
        <w:jc w:val="left"/>
        <w:rPr>
          <w:rFonts w:ascii="宋体" w:hAnsi="宋体"/>
          <w:color w:val="000000"/>
          <w:szCs w:val="21"/>
        </w:rPr>
      </w:pPr>
      <w:r>
        <w:rPr>
          <w:rFonts w:hint="eastAsia" w:ascii="宋体" w:hAnsi="宋体"/>
          <w:color w:val="000000"/>
          <w:szCs w:val="21"/>
        </w:rPr>
        <w:t>除专用合同条款另有约定外，承包人应为其施工设备等办理财产保险。</w:t>
      </w:r>
    </w:p>
    <w:p>
      <w:pPr>
        <w:rPr>
          <w:rFonts w:ascii="黑体" w:hAnsi="黑体" w:eastAsia="黑体"/>
          <w:color w:val="000000"/>
        </w:rPr>
      </w:pPr>
      <w:r>
        <w:rPr>
          <w:rFonts w:ascii="黑体" w:hAnsi="黑体" w:eastAsia="黑体"/>
          <w:color w:val="000000"/>
        </w:rPr>
        <w:t>18.4</w:t>
      </w:r>
      <w:r>
        <w:rPr>
          <w:rFonts w:hint="eastAsia" w:ascii="黑体" w:hAnsi="黑体" w:eastAsia="黑体"/>
          <w:color w:val="000000"/>
        </w:rPr>
        <w:t>持续保险</w:t>
      </w:r>
    </w:p>
    <w:p>
      <w:pPr>
        <w:spacing w:line="360" w:lineRule="auto"/>
        <w:ind w:firstLine="420" w:firstLineChars="200"/>
        <w:jc w:val="left"/>
        <w:rPr>
          <w:rFonts w:ascii="宋体" w:hAnsi="宋体"/>
          <w:color w:val="000000"/>
          <w:szCs w:val="21"/>
        </w:rPr>
      </w:pPr>
      <w:r>
        <w:rPr>
          <w:rFonts w:hint="eastAsia" w:ascii="宋体" w:hAnsi="宋体"/>
          <w:color w:val="000000"/>
          <w:szCs w:val="21"/>
        </w:rPr>
        <w:t>合同当事人应与保险人保持联系，使保险人能够随时了解工程实施中的变动，并确保按保险合同条款要求持续保险。</w:t>
      </w:r>
    </w:p>
    <w:p>
      <w:pPr>
        <w:rPr>
          <w:rFonts w:ascii="黑体" w:hAnsi="黑体" w:eastAsia="黑体"/>
          <w:color w:val="000000"/>
        </w:rPr>
      </w:pPr>
      <w:bookmarkStart w:id="632" w:name="_Toc296346627"/>
      <w:bookmarkStart w:id="633" w:name="_Toc296503126"/>
      <w:bookmarkStart w:id="634" w:name="_Toc337558832"/>
      <w:r>
        <w:rPr>
          <w:rFonts w:ascii="黑体" w:hAnsi="黑体" w:eastAsia="黑体"/>
          <w:color w:val="000000"/>
        </w:rPr>
        <w:t xml:space="preserve">18.5 </w:t>
      </w:r>
      <w:r>
        <w:rPr>
          <w:rFonts w:hint="eastAsia" w:ascii="黑体" w:hAnsi="黑体" w:eastAsia="黑体"/>
          <w:color w:val="000000"/>
        </w:rPr>
        <w:t>保险凭证</w:t>
      </w:r>
    </w:p>
    <w:bookmarkEnd w:id="632"/>
    <w:bookmarkEnd w:id="633"/>
    <w:bookmarkEnd w:id="634"/>
    <w:p>
      <w:pPr>
        <w:spacing w:line="360" w:lineRule="auto"/>
        <w:ind w:firstLine="420" w:firstLineChars="200"/>
        <w:jc w:val="left"/>
        <w:rPr>
          <w:rFonts w:ascii="宋体" w:hAnsi="宋体"/>
          <w:color w:val="000000"/>
          <w:szCs w:val="21"/>
        </w:rPr>
      </w:pPr>
      <w:r>
        <w:rPr>
          <w:rFonts w:hint="eastAsia" w:ascii="宋体" w:hAnsi="宋体"/>
          <w:color w:val="000000"/>
          <w:szCs w:val="21"/>
        </w:rPr>
        <w:t>合同当事人应及时向另一方当事人提交其已投保的各项保险的凭证和保险单复印件。</w:t>
      </w:r>
    </w:p>
    <w:p>
      <w:pPr>
        <w:rPr>
          <w:rFonts w:ascii="黑体" w:hAnsi="黑体" w:eastAsia="黑体"/>
          <w:color w:val="000000"/>
        </w:rPr>
      </w:pPr>
      <w:bookmarkStart w:id="635" w:name="_Toc296346628"/>
      <w:bookmarkStart w:id="636" w:name="_Toc296503127"/>
      <w:bookmarkStart w:id="637" w:name="_Toc337558833"/>
      <w:r>
        <w:rPr>
          <w:rFonts w:ascii="黑体" w:hAnsi="黑体" w:eastAsia="黑体"/>
          <w:color w:val="000000"/>
        </w:rPr>
        <w:t xml:space="preserve">18.6 </w:t>
      </w:r>
      <w:r>
        <w:rPr>
          <w:rFonts w:hint="eastAsia" w:ascii="黑体" w:hAnsi="黑体" w:eastAsia="黑体"/>
          <w:color w:val="000000"/>
        </w:rPr>
        <w:t>未按约定投保的补救</w:t>
      </w:r>
    </w:p>
    <w:bookmarkEnd w:id="635"/>
    <w:bookmarkEnd w:id="636"/>
    <w:bookmarkEnd w:id="637"/>
    <w:p>
      <w:pPr>
        <w:spacing w:line="360" w:lineRule="auto"/>
        <w:ind w:firstLine="420" w:firstLineChars="200"/>
        <w:jc w:val="left"/>
        <w:rPr>
          <w:rFonts w:ascii="宋体" w:hAnsi="宋体"/>
          <w:color w:val="000000"/>
          <w:szCs w:val="21"/>
        </w:rPr>
      </w:pPr>
      <w:r>
        <w:rPr>
          <w:rFonts w:ascii="宋体" w:hAnsi="宋体"/>
          <w:color w:val="000000"/>
          <w:szCs w:val="21"/>
        </w:rPr>
        <w:t>18.6.1</w:t>
      </w:r>
      <w:r>
        <w:rPr>
          <w:rFonts w:hint="eastAsia" w:ascii="宋体" w:hAnsi="宋体"/>
          <w:color w:val="000000"/>
          <w:szCs w:val="21"/>
        </w:rPr>
        <w:t>发包人未按合同约定办理保险，或未能使保险持续有效的，则承包人可代为办理，所需费用由发包人承担。发包人未按合同约定办理保险，导致未能得到足额赔偿的，由发包人负责补足。</w:t>
      </w:r>
    </w:p>
    <w:p>
      <w:pPr>
        <w:spacing w:line="360" w:lineRule="auto"/>
        <w:ind w:firstLine="420" w:firstLineChars="200"/>
        <w:jc w:val="left"/>
        <w:rPr>
          <w:rFonts w:ascii="宋体" w:hAnsi="宋体"/>
          <w:color w:val="000000"/>
          <w:szCs w:val="21"/>
        </w:rPr>
      </w:pPr>
      <w:r>
        <w:rPr>
          <w:rFonts w:ascii="宋体" w:hAnsi="宋体"/>
          <w:color w:val="000000"/>
          <w:szCs w:val="21"/>
        </w:rPr>
        <w:t>18.6.2</w:t>
      </w:r>
      <w:r>
        <w:rPr>
          <w:rFonts w:hint="eastAsia" w:ascii="宋体" w:hAnsi="宋体"/>
          <w:color w:val="000000"/>
          <w:szCs w:val="21"/>
        </w:rPr>
        <w:t>承包人未按合同约定办理保险，或未能使保险持续有效的，则发包人可代为办理，所需费用由承包人承担。承包人未按合同约定办理保险，导致未能得到足额赔偿的，由承包人负责补足。</w:t>
      </w:r>
    </w:p>
    <w:p>
      <w:pPr>
        <w:rPr>
          <w:rFonts w:ascii="黑体" w:hAnsi="黑体" w:eastAsia="黑体"/>
          <w:color w:val="000000"/>
        </w:rPr>
      </w:pPr>
      <w:bookmarkStart w:id="638" w:name="_Toc337558834"/>
      <w:r>
        <w:rPr>
          <w:rFonts w:ascii="黑体" w:hAnsi="黑体" w:eastAsia="黑体"/>
          <w:color w:val="000000"/>
        </w:rPr>
        <w:t xml:space="preserve">18.7 </w:t>
      </w:r>
      <w:r>
        <w:rPr>
          <w:rFonts w:hint="eastAsia" w:ascii="黑体" w:hAnsi="黑体" w:eastAsia="黑体"/>
          <w:color w:val="000000"/>
        </w:rPr>
        <w:t>通知义务</w:t>
      </w:r>
    </w:p>
    <w:bookmarkEnd w:id="638"/>
    <w:p>
      <w:pPr>
        <w:spacing w:line="360" w:lineRule="auto"/>
        <w:ind w:firstLine="420" w:firstLineChars="200"/>
        <w:jc w:val="left"/>
        <w:rPr>
          <w:rFonts w:ascii="宋体" w:hAnsi="宋体"/>
          <w:color w:val="000000"/>
          <w:szCs w:val="21"/>
        </w:rPr>
      </w:pPr>
      <w:r>
        <w:rPr>
          <w:rFonts w:hint="eastAsia" w:ascii="宋体" w:hAnsi="宋体"/>
          <w:color w:val="000000"/>
          <w:szCs w:val="21"/>
        </w:rPr>
        <w:t>除专用合同条款另有约定外，发包人变更除工伤保险之外的保险合同时，应事先征得承包人同意，并通知监理人；承包人变更除工伤保险之外的保险合同时，应事先征得发包人同意，并通知监理人。</w:t>
      </w:r>
    </w:p>
    <w:p>
      <w:pPr>
        <w:spacing w:line="360" w:lineRule="auto"/>
        <w:ind w:firstLine="420" w:firstLineChars="200"/>
        <w:jc w:val="left"/>
        <w:rPr>
          <w:rFonts w:ascii="宋体" w:hAnsi="宋体"/>
          <w:color w:val="000000"/>
          <w:szCs w:val="21"/>
        </w:rPr>
      </w:pPr>
      <w:r>
        <w:rPr>
          <w:rFonts w:hint="eastAsia" w:ascii="宋体" w:hAnsi="宋体"/>
          <w:color w:val="000000"/>
          <w:szCs w:val="21"/>
        </w:rPr>
        <w:t>保险事故发生时，投保人应按照保险合同规定的条件和期限及时向保险人报告。发包人和承包人应当在知道保险事故发生后及时通知对方。</w:t>
      </w:r>
    </w:p>
    <w:p>
      <w:pPr>
        <w:pStyle w:val="5"/>
        <w:spacing w:before="120" w:after="120" w:line="360" w:lineRule="auto"/>
        <w:rPr>
          <w:rFonts w:ascii="黑体" w:hAnsi="黑体"/>
          <w:b w:val="0"/>
          <w:color w:val="000000"/>
        </w:rPr>
      </w:pPr>
      <w:bookmarkStart w:id="639" w:name="_Toc362623184"/>
      <w:bookmarkStart w:id="640" w:name="_Toc114222820"/>
      <w:bookmarkStart w:id="641" w:name="_Toc296346641"/>
      <w:bookmarkStart w:id="642" w:name="_Toc296503140"/>
      <w:bookmarkStart w:id="643" w:name="_Toc337558835"/>
      <w:r>
        <w:rPr>
          <w:rFonts w:ascii="黑体" w:hAnsi="黑体"/>
          <w:b w:val="0"/>
          <w:color w:val="000000"/>
        </w:rPr>
        <w:t xml:space="preserve">19. </w:t>
      </w:r>
      <w:r>
        <w:rPr>
          <w:rFonts w:hint="eastAsia" w:ascii="黑体" w:hAnsi="黑体"/>
          <w:b w:val="0"/>
          <w:color w:val="000000"/>
        </w:rPr>
        <w:t>索赔</w:t>
      </w:r>
      <w:bookmarkEnd w:id="639"/>
      <w:bookmarkEnd w:id="640"/>
    </w:p>
    <w:bookmarkEnd w:id="641"/>
    <w:bookmarkEnd w:id="642"/>
    <w:bookmarkEnd w:id="643"/>
    <w:p>
      <w:pPr>
        <w:rPr>
          <w:rFonts w:ascii="黑体" w:hAnsi="黑体" w:eastAsia="黑体"/>
          <w:color w:val="000000"/>
        </w:rPr>
      </w:pPr>
      <w:bookmarkStart w:id="644" w:name="_Toc296503141"/>
      <w:bookmarkStart w:id="645" w:name="_Toc296346642"/>
      <w:bookmarkStart w:id="646" w:name="_Toc337558836"/>
      <w:r>
        <w:rPr>
          <w:rFonts w:ascii="黑体" w:hAnsi="黑体" w:eastAsia="黑体"/>
          <w:color w:val="000000"/>
        </w:rPr>
        <w:t>19.1</w:t>
      </w:r>
      <w:r>
        <w:rPr>
          <w:rFonts w:hint="eastAsia" w:ascii="黑体" w:hAnsi="黑体" w:eastAsia="黑体"/>
          <w:color w:val="000000"/>
        </w:rPr>
        <w:t>承包人的索赔</w:t>
      </w:r>
    </w:p>
    <w:bookmarkEnd w:id="644"/>
    <w:bookmarkEnd w:id="645"/>
    <w:bookmarkEnd w:id="646"/>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根据合同约定，承包人认为有权得到追加付款和（或）延长工期的，应按以下程序向发包人提出索赔：</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）承包人应在知道或应当知道索赔事件发生后</w:t>
      </w:r>
      <w:r>
        <w:rPr>
          <w:rFonts w:ascii="宋体" w:hAnsi="宋体"/>
          <w:color w:val="000000"/>
          <w:kern w:val="0"/>
          <w:szCs w:val="21"/>
        </w:rPr>
        <w:t>28</w:t>
      </w:r>
      <w:r>
        <w:rPr>
          <w:rFonts w:hint="eastAsia" w:ascii="宋体" w:hAnsi="宋体"/>
          <w:color w:val="000000"/>
          <w:kern w:val="0"/>
          <w:szCs w:val="21"/>
        </w:rPr>
        <w:t>天内，向监理人递交索赔意向通知书，并说明发生索赔事件的事由；承包人未在前述</w:t>
      </w:r>
      <w:r>
        <w:rPr>
          <w:rFonts w:ascii="宋体" w:hAnsi="宋体"/>
          <w:color w:val="000000"/>
          <w:kern w:val="0"/>
          <w:szCs w:val="21"/>
        </w:rPr>
        <w:t>28</w:t>
      </w:r>
      <w:r>
        <w:rPr>
          <w:rFonts w:hint="eastAsia" w:ascii="宋体" w:hAnsi="宋体"/>
          <w:color w:val="000000"/>
          <w:kern w:val="0"/>
          <w:szCs w:val="21"/>
        </w:rPr>
        <w:t>天内发出索赔意向通知书的，丧失要求追加付款和（或）延长工期的权利；</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）承包人应在发出索赔意向通知书后</w:t>
      </w:r>
      <w:r>
        <w:rPr>
          <w:rFonts w:ascii="宋体" w:hAnsi="宋体"/>
          <w:color w:val="000000"/>
          <w:kern w:val="0"/>
          <w:szCs w:val="21"/>
        </w:rPr>
        <w:t>28</w:t>
      </w:r>
      <w:r>
        <w:rPr>
          <w:rFonts w:hint="eastAsia" w:ascii="宋体" w:hAnsi="宋体"/>
          <w:color w:val="000000"/>
          <w:kern w:val="0"/>
          <w:szCs w:val="21"/>
        </w:rPr>
        <w:t>天内，向监理人正式递交索赔报告；索赔报告应详细说明索赔理由以及要求追加的付款金额和（或）延长的工期，并附必要的记录和证明材料；</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3</w:t>
      </w:r>
      <w:r>
        <w:rPr>
          <w:rFonts w:hint="eastAsia" w:ascii="宋体" w:hAnsi="宋体"/>
          <w:color w:val="000000"/>
          <w:kern w:val="0"/>
          <w:szCs w:val="21"/>
        </w:rPr>
        <w:t>）索赔事件具有持续影响的，承包人应按合理时间间隔继续递交延续索赔通知，说明持续影响的实际情况和记录，列出累计的追加付款金额和（或）工期延长天数；</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4</w:t>
      </w:r>
      <w:r>
        <w:rPr>
          <w:rFonts w:hint="eastAsia" w:ascii="宋体" w:hAnsi="宋体"/>
          <w:color w:val="000000"/>
          <w:kern w:val="0"/>
          <w:szCs w:val="21"/>
        </w:rPr>
        <w:t>）在索赔事件影响结束后</w:t>
      </w:r>
      <w:r>
        <w:rPr>
          <w:rFonts w:ascii="宋体" w:hAnsi="宋体"/>
          <w:color w:val="000000"/>
          <w:kern w:val="0"/>
          <w:szCs w:val="21"/>
        </w:rPr>
        <w:t>28</w:t>
      </w:r>
      <w:r>
        <w:rPr>
          <w:rFonts w:hint="eastAsia" w:ascii="宋体" w:hAnsi="宋体"/>
          <w:color w:val="000000"/>
          <w:kern w:val="0"/>
          <w:szCs w:val="21"/>
        </w:rPr>
        <w:t>天内，承包人应向监理人递交最终索赔报告，说明最终要求索赔的追加付款金额和（或）延长的工期，并附必要的记录和证明材料。</w:t>
      </w:r>
    </w:p>
    <w:p>
      <w:pPr>
        <w:rPr>
          <w:rFonts w:ascii="黑体" w:hAnsi="黑体" w:eastAsia="黑体"/>
          <w:color w:val="000000"/>
        </w:rPr>
      </w:pPr>
      <w:bookmarkStart w:id="647" w:name="_Toc296346643"/>
      <w:bookmarkStart w:id="648" w:name="_Toc337558837"/>
      <w:bookmarkStart w:id="649" w:name="_Toc296503142"/>
      <w:r>
        <w:rPr>
          <w:rFonts w:ascii="黑体" w:hAnsi="黑体" w:eastAsia="黑体"/>
          <w:color w:val="000000"/>
        </w:rPr>
        <w:t xml:space="preserve">19.2 </w:t>
      </w:r>
      <w:r>
        <w:rPr>
          <w:rFonts w:hint="eastAsia" w:ascii="黑体" w:hAnsi="黑体" w:eastAsia="黑体"/>
          <w:color w:val="000000"/>
        </w:rPr>
        <w:t>对承包人索赔的处理</w:t>
      </w:r>
    </w:p>
    <w:bookmarkEnd w:id="647"/>
    <w:bookmarkEnd w:id="648"/>
    <w:bookmarkEnd w:id="649"/>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对承包人索赔的处理如下：</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）监理人应在收到索赔报告后</w:t>
      </w:r>
      <w:r>
        <w:rPr>
          <w:rFonts w:ascii="宋体" w:hAnsi="宋体"/>
          <w:color w:val="000000"/>
          <w:kern w:val="0"/>
          <w:szCs w:val="21"/>
        </w:rPr>
        <w:t>14</w:t>
      </w:r>
      <w:r>
        <w:rPr>
          <w:rFonts w:hint="eastAsia" w:ascii="宋体" w:hAnsi="宋体"/>
          <w:color w:val="000000"/>
          <w:kern w:val="0"/>
          <w:szCs w:val="21"/>
        </w:rPr>
        <w:t>天内完成审查并报送发包人。监理人对索赔报告存在异议的，有权要求承包人提交全部原始记录副本；</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）发包人应在监理人收到索赔报告或有关索赔的进一步证明材料后的</w:t>
      </w:r>
      <w:r>
        <w:rPr>
          <w:rFonts w:ascii="宋体" w:hAnsi="宋体"/>
          <w:color w:val="000000"/>
          <w:kern w:val="0"/>
          <w:szCs w:val="21"/>
        </w:rPr>
        <w:t>28</w:t>
      </w:r>
      <w:r>
        <w:rPr>
          <w:rFonts w:hint="eastAsia" w:ascii="宋体" w:hAnsi="宋体"/>
          <w:color w:val="000000"/>
          <w:kern w:val="0"/>
          <w:szCs w:val="21"/>
        </w:rPr>
        <w:t>天内，由监理人向承包人出具经发包人签认的索赔处理结果。发包人逾期答复的，则视为认可承包人的索赔要求；</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3</w:t>
      </w:r>
      <w:r>
        <w:rPr>
          <w:rFonts w:hint="eastAsia" w:ascii="宋体" w:hAnsi="宋体"/>
          <w:color w:val="000000"/>
          <w:kern w:val="0"/>
          <w:szCs w:val="21"/>
        </w:rPr>
        <w:t>）承包人接受索赔处理结果的，索赔款项在当期进度款中进行支付；承包人不接受索赔处理结果的，按照第</w:t>
      </w:r>
      <w:r>
        <w:rPr>
          <w:rFonts w:ascii="宋体" w:hAnsi="宋体"/>
          <w:color w:val="000000"/>
          <w:kern w:val="0"/>
          <w:szCs w:val="21"/>
        </w:rPr>
        <w:t>20</w:t>
      </w:r>
      <w:r>
        <w:rPr>
          <w:rFonts w:hint="eastAsia" w:ascii="宋体" w:hAnsi="宋体"/>
          <w:color w:val="000000"/>
          <w:kern w:val="0"/>
          <w:szCs w:val="21"/>
        </w:rPr>
        <w:t>条〔争议解决〕约定处理。</w:t>
      </w:r>
    </w:p>
    <w:p>
      <w:pPr>
        <w:rPr>
          <w:rFonts w:ascii="黑体" w:hAnsi="黑体" w:eastAsia="黑体"/>
          <w:color w:val="000000"/>
        </w:rPr>
      </w:pPr>
      <w:bookmarkStart w:id="650" w:name="_Toc337558838"/>
      <w:bookmarkStart w:id="651" w:name="_Toc296346644"/>
      <w:bookmarkStart w:id="652" w:name="_Toc296503143"/>
      <w:r>
        <w:rPr>
          <w:rFonts w:ascii="黑体" w:hAnsi="黑体" w:eastAsia="黑体"/>
          <w:color w:val="000000"/>
        </w:rPr>
        <w:t>19.3</w:t>
      </w:r>
      <w:r>
        <w:rPr>
          <w:rFonts w:hint="eastAsia" w:ascii="黑体" w:hAnsi="黑体" w:eastAsia="黑体"/>
          <w:color w:val="000000"/>
        </w:rPr>
        <w:t>发包人的索赔</w:t>
      </w:r>
    </w:p>
    <w:bookmarkEnd w:id="650"/>
    <w:bookmarkEnd w:id="651"/>
    <w:bookmarkEnd w:id="652"/>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根据合同约定，发包人认为有权得到赔付金额和（或）延长缺陷责任期的，监理人应向承包人发出通知并附有详细的证明。</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发包人应在知道或应当知道索赔事件发生后</w:t>
      </w:r>
      <w:r>
        <w:rPr>
          <w:rFonts w:ascii="宋体" w:hAnsi="宋体"/>
          <w:color w:val="000000"/>
          <w:kern w:val="0"/>
          <w:szCs w:val="21"/>
        </w:rPr>
        <w:t>28</w:t>
      </w:r>
      <w:r>
        <w:rPr>
          <w:rFonts w:hint="eastAsia" w:ascii="宋体" w:hAnsi="宋体"/>
          <w:color w:val="000000"/>
          <w:kern w:val="0"/>
          <w:szCs w:val="21"/>
        </w:rPr>
        <w:t>天内通过监理人向承包人提出索赔意向通知书，发包人未在前述</w:t>
      </w:r>
      <w:r>
        <w:rPr>
          <w:rFonts w:ascii="宋体" w:hAnsi="宋体"/>
          <w:color w:val="000000"/>
          <w:kern w:val="0"/>
          <w:szCs w:val="21"/>
        </w:rPr>
        <w:t>28</w:t>
      </w:r>
      <w:r>
        <w:rPr>
          <w:rFonts w:hint="eastAsia" w:ascii="宋体" w:hAnsi="宋体"/>
          <w:color w:val="000000"/>
          <w:kern w:val="0"/>
          <w:szCs w:val="21"/>
        </w:rPr>
        <w:t>天内发出索赔意向通知书的，丧失要求赔付金额和（或）延长缺陷责任期的权利。发包人应在发出索赔意向通知书后</w:t>
      </w:r>
      <w:r>
        <w:rPr>
          <w:rFonts w:ascii="宋体" w:hAnsi="宋体"/>
          <w:color w:val="000000"/>
          <w:kern w:val="0"/>
          <w:szCs w:val="21"/>
        </w:rPr>
        <w:t>28</w:t>
      </w:r>
      <w:r>
        <w:rPr>
          <w:rFonts w:hint="eastAsia" w:ascii="宋体" w:hAnsi="宋体"/>
          <w:color w:val="000000"/>
          <w:kern w:val="0"/>
          <w:szCs w:val="21"/>
        </w:rPr>
        <w:t>天内，通过监理人向承包人正式递交索赔报告。</w:t>
      </w:r>
    </w:p>
    <w:p>
      <w:pPr>
        <w:rPr>
          <w:rFonts w:ascii="黑体" w:hAnsi="黑体" w:eastAsia="黑体"/>
          <w:color w:val="000000"/>
        </w:rPr>
      </w:pPr>
      <w:bookmarkStart w:id="653" w:name="_Toc337558839"/>
      <w:bookmarkStart w:id="654" w:name="_Toc296503144"/>
      <w:bookmarkStart w:id="655" w:name="_Toc296346645"/>
      <w:r>
        <w:rPr>
          <w:rFonts w:ascii="黑体" w:hAnsi="黑体" w:eastAsia="黑体"/>
          <w:color w:val="000000"/>
        </w:rPr>
        <w:t xml:space="preserve">19.4 </w:t>
      </w:r>
      <w:r>
        <w:rPr>
          <w:rFonts w:hint="eastAsia" w:ascii="黑体" w:hAnsi="黑体" w:eastAsia="黑体"/>
          <w:color w:val="000000"/>
        </w:rPr>
        <w:t>对发包人索赔的处理</w:t>
      </w:r>
    </w:p>
    <w:bookmarkEnd w:id="653"/>
    <w:bookmarkEnd w:id="654"/>
    <w:bookmarkEnd w:id="655"/>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对发包人索赔的处理如下：</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）承包人收到发包人提交的索赔报告后，应及时审查索赔报告的内容、查验发包人证明材料；</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）承包人应在收到索赔报告或有关索赔的进一步证明材料后</w:t>
      </w:r>
      <w:r>
        <w:rPr>
          <w:rFonts w:ascii="宋体" w:hAnsi="宋体"/>
          <w:color w:val="000000"/>
          <w:kern w:val="0"/>
          <w:szCs w:val="21"/>
        </w:rPr>
        <w:t>28</w:t>
      </w:r>
      <w:r>
        <w:rPr>
          <w:rFonts w:hint="eastAsia" w:ascii="宋体" w:hAnsi="宋体"/>
          <w:color w:val="000000"/>
          <w:kern w:val="0"/>
          <w:szCs w:val="21"/>
        </w:rPr>
        <w:t>天内，将索赔处理结果答复发包人。如果承包人未在上述期限内作出答复的，则视为对发包人索赔要求的认可；</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3</w:t>
      </w:r>
      <w:r>
        <w:rPr>
          <w:rFonts w:hint="eastAsia" w:ascii="宋体" w:hAnsi="宋体"/>
          <w:color w:val="000000"/>
          <w:kern w:val="0"/>
          <w:szCs w:val="21"/>
        </w:rPr>
        <w:t>）承包人接受索赔处理结果的，发包人可从应支付给承包人的合同价款中扣除赔付的金额或延长缺陷责任期；发包人不接受索赔处理结果的，按第</w:t>
      </w:r>
      <w:r>
        <w:rPr>
          <w:rFonts w:ascii="宋体" w:hAnsi="宋体"/>
          <w:color w:val="000000"/>
          <w:kern w:val="0"/>
          <w:szCs w:val="21"/>
        </w:rPr>
        <w:t>20</w:t>
      </w:r>
      <w:r>
        <w:rPr>
          <w:rFonts w:hint="eastAsia" w:ascii="宋体" w:hAnsi="宋体"/>
          <w:color w:val="000000"/>
          <w:kern w:val="0"/>
          <w:szCs w:val="21"/>
        </w:rPr>
        <w:t>条〔争议解决〕约定处理。</w:t>
      </w:r>
    </w:p>
    <w:p>
      <w:pPr>
        <w:rPr>
          <w:rFonts w:ascii="黑体" w:hAnsi="黑体" w:eastAsia="黑体"/>
          <w:color w:val="000000"/>
        </w:rPr>
      </w:pPr>
      <w:r>
        <w:rPr>
          <w:rFonts w:ascii="黑体" w:hAnsi="黑体" w:eastAsia="黑体"/>
          <w:color w:val="000000"/>
        </w:rPr>
        <w:t xml:space="preserve">19.5 </w:t>
      </w:r>
      <w:r>
        <w:rPr>
          <w:rFonts w:hint="eastAsia" w:ascii="黑体" w:hAnsi="黑体" w:eastAsia="黑体"/>
          <w:color w:val="000000"/>
        </w:rPr>
        <w:t>提出索赔的期限</w:t>
      </w:r>
    </w:p>
    <w:p>
      <w:pPr>
        <w:spacing w:line="360" w:lineRule="auto"/>
        <w:ind w:firstLine="420" w:firstLineChars="200"/>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）承包人按第</w:t>
      </w:r>
      <w:r>
        <w:rPr>
          <w:rFonts w:ascii="宋体" w:hAnsi="宋体"/>
          <w:color w:val="000000"/>
          <w:kern w:val="0"/>
          <w:szCs w:val="21"/>
        </w:rPr>
        <w:t>14.2</w:t>
      </w:r>
      <w:r>
        <w:rPr>
          <w:rFonts w:hint="eastAsia" w:ascii="宋体" w:hAnsi="宋体"/>
          <w:color w:val="000000"/>
          <w:kern w:val="0"/>
          <w:szCs w:val="21"/>
        </w:rPr>
        <w:t>款〔竣工结算审核〕约定接收竣工付款证书后，应被视为已无权再提出在工程接收证书颁发前所发生的任何索赔。</w:t>
      </w:r>
    </w:p>
    <w:p>
      <w:pPr>
        <w:spacing w:line="360" w:lineRule="auto"/>
        <w:ind w:firstLine="420" w:firstLineChars="200"/>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）承包人按第</w:t>
      </w:r>
      <w:r>
        <w:rPr>
          <w:rFonts w:ascii="宋体" w:hAnsi="宋体"/>
          <w:color w:val="000000"/>
          <w:kern w:val="0"/>
          <w:szCs w:val="21"/>
        </w:rPr>
        <w:t>14.4</w:t>
      </w:r>
      <w:r>
        <w:rPr>
          <w:rFonts w:hint="eastAsia" w:ascii="宋体" w:hAnsi="宋体"/>
          <w:color w:val="000000"/>
          <w:kern w:val="0"/>
          <w:szCs w:val="21"/>
        </w:rPr>
        <w:t>款〔最终结清〕提交的最终结清申请单中，只限于提出工程接收证书颁发后发生的索赔。提出索赔的期限自接受最终结清证书时终止。</w:t>
      </w:r>
    </w:p>
    <w:p>
      <w:pPr>
        <w:pStyle w:val="5"/>
        <w:rPr>
          <w:rFonts w:ascii="黑体" w:hAnsi="黑体"/>
          <w:b w:val="0"/>
          <w:color w:val="000000"/>
        </w:rPr>
      </w:pPr>
      <w:bookmarkStart w:id="656" w:name="_Toc362623185"/>
      <w:bookmarkStart w:id="657" w:name="_Toc114222821"/>
      <w:r>
        <w:rPr>
          <w:rFonts w:ascii="黑体" w:hAnsi="黑体"/>
          <w:b w:val="0"/>
          <w:color w:val="000000"/>
        </w:rPr>
        <w:t>20</w:t>
      </w:r>
      <w:bookmarkStart w:id="658" w:name="_Toc296346647"/>
      <w:bookmarkStart w:id="659" w:name="_Toc296503146"/>
      <w:bookmarkStart w:id="660" w:name="_Toc337558840"/>
      <w:r>
        <w:rPr>
          <w:rFonts w:ascii="黑体" w:hAnsi="黑体"/>
          <w:b w:val="0"/>
          <w:color w:val="000000"/>
        </w:rPr>
        <w:t xml:space="preserve">. </w:t>
      </w:r>
      <w:r>
        <w:rPr>
          <w:rFonts w:hint="eastAsia" w:ascii="黑体" w:hAnsi="黑体"/>
          <w:b w:val="0"/>
          <w:color w:val="000000"/>
        </w:rPr>
        <w:t>争议解决</w:t>
      </w:r>
      <w:bookmarkEnd w:id="656"/>
      <w:bookmarkEnd w:id="657"/>
    </w:p>
    <w:bookmarkEnd w:id="658"/>
    <w:bookmarkEnd w:id="659"/>
    <w:bookmarkEnd w:id="660"/>
    <w:p>
      <w:pPr>
        <w:rPr>
          <w:rFonts w:ascii="黑体" w:hAnsi="黑体" w:eastAsia="黑体"/>
          <w:color w:val="000000"/>
        </w:rPr>
      </w:pPr>
      <w:bookmarkStart w:id="661" w:name="_Toc337558841"/>
      <w:bookmarkStart w:id="662" w:name="_Toc296503147"/>
      <w:bookmarkStart w:id="663" w:name="_Toc296346648"/>
      <w:r>
        <w:rPr>
          <w:rFonts w:ascii="黑体" w:hAnsi="黑体" w:eastAsia="黑体"/>
          <w:color w:val="000000"/>
        </w:rPr>
        <w:t>20.1</w:t>
      </w:r>
      <w:r>
        <w:rPr>
          <w:rFonts w:hint="eastAsia" w:ascii="黑体" w:hAnsi="黑体" w:eastAsia="黑体"/>
          <w:color w:val="000000"/>
        </w:rPr>
        <w:t>和解</w:t>
      </w:r>
    </w:p>
    <w:bookmarkEnd w:id="661"/>
    <w:bookmarkEnd w:id="662"/>
    <w:bookmarkEnd w:id="663"/>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合同当事人可以就争议自行和解，自行和解达成协议的经双方签字并盖章后作为合同补充文件，双方均应遵照执行。</w:t>
      </w:r>
    </w:p>
    <w:p>
      <w:pPr>
        <w:rPr>
          <w:rFonts w:ascii="黑体" w:hAnsi="黑体" w:eastAsia="黑体"/>
          <w:color w:val="000000"/>
        </w:rPr>
      </w:pPr>
      <w:r>
        <w:rPr>
          <w:rFonts w:ascii="黑体" w:hAnsi="黑体" w:eastAsia="黑体"/>
          <w:color w:val="000000"/>
        </w:rPr>
        <w:t>20</w:t>
      </w:r>
      <w:bookmarkStart w:id="664" w:name="_Toc296346649"/>
      <w:bookmarkStart w:id="665" w:name="_Toc337558842"/>
      <w:bookmarkStart w:id="666" w:name="_Toc296503148"/>
      <w:r>
        <w:rPr>
          <w:rFonts w:ascii="黑体" w:hAnsi="黑体" w:eastAsia="黑体"/>
          <w:color w:val="000000"/>
        </w:rPr>
        <w:t>.2</w:t>
      </w:r>
      <w:r>
        <w:rPr>
          <w:rFonts w:hint="eastAsia" w:ascii="黑体" w:hAnsi="黑体" w:eastAsia="黑体"/>
          <w:color w:val="000000"/>
        </w:rPr>
        <w:t>调解</w:t>
      </w:r>
    </w:p>
    <w:bookmarkEnd w:id="664"/>
    <w:bookmarkEnd w:id="665"/>
    <w:bookmarkEnd w:id="666"/>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合同当事人可以就争议请求建设行政主管部门、行业协会或其他第三方进行调解，调解达成协议的，经双方签字并盖章后作为合同补充文件，双方均应遵照执行。</w:t>
      </w:r>
    </w:p>
    <w:p>
      <w:pPr>
        <w:rPr>
          <w:rFonts w:ascii="黑体" w:hAnsi="黑体" w:eastAsia="黑体"/>
          <w:color w:val="000000"/>
        </w:rPr>
      </w:pPr>
      <w:bookmarkStart w:id="667" w:name="_Toc337558843"/>
      <w:bookmarkStart w:id="668" w:name="_Toc296503149"/>
      <w:bookmarkStart w:id="669" w:name="_Toc296346650"/>
      <w:r>
        <w:rPr>
          <w:rFonts w:ascii="黑体" w:hAnsi="黑体" w:eastAsia="黑体"/>
          <w:color w:val="000000"/>
        </w:rPr>
        <w:t>20.3</w:t>
      </w:r>
      <w:r>
        <w:rPr>
          <w:rFonts w:hint="eastAsia" w:ascii="黑体" w:hAnsi="黑体" w:eastAsia="黑体"/>
          <w:color w:val="000000"/>
        </w:rPr>
        <w:t>争议评审</w:t>
      </w:r>
    </w:p>
    <w:bookmarkEnd w:id="667"/>
    <w:bookmarkEnd w:id="668"/>
    <w:bookmarkEnd w:id="669"/>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合同当事人在专用合同条款中约定采取争议评审方式解决争议以及评审规则，并按下列约定执行：</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20.3.1 </w:t>
      </w:r>
      <w:r>
        <w:rPr>
          <w:rFonts w:hint="eastAsia" w:ascii="宋体" w:hAnsi="宋体"/>
          <w:color w:val="000000"/>
          <w:kern w:val="0"/>
          <w:szCs w:val="21"/>
        </w:rPr>
        <w:t>争议评审小组的确定</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合同当事人可以共同选择一名或三名争议评审员，组成争议评审小组。除专用合同条款另有约定外，合同当事人应当自合同签订后</w:t>
      </w:r>
      <w:r>
        <w:rPr>
          <w:rFonts w:ascii="宋体" w:hAnsi="宋体"/>
          <w:color w:val="000000"/>
          <w:kern w:val="0"/>
          <w:szCs w:val="21"/>
        </w:rPr>
        <w:t>28</w:t>
      </w:r>
      <w:r>
        <w:rPr>
          <w:rFonts w:hint="eastAsia" w:ascii="宋体" w:hAnsi="宋体"/>
          <w:color w:val="000000"/>
          <w:kern w:val="0"/>
          <w:szCs w:val="21"/>
        </w:rPr>
        <w:t>天内，或者争议发生后</w:t>
      </w:r>
      <w:r>
        <w:rPr>
          <w:rFonts w:ascii="宋体" w:hAnsi="宋体"/>
          <w:color w:val="000000"/>
          <w:kern w:val="0"/>
          <w:szCs w:val="21"/>
        </w:rPr>
        <w:t>14</w:t>
      </w:r>
      <w:r>
        <w:rPr>
          <w:rFonts w:hint="eastAsia" w:ascii="宋体" w:hAnsi="宋体"/>
          <w:color w:val="000000"/>
          <w:kern w:val="0"/>
          <w:szCs w:val="21"/>
        </w:rPr>
        <w:t>天内，选定争议评审员。</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除专用合同条款另有约定外，评审员报酬由发包人和承包人各承担一半。</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20.3.2 </w:t>
      </w:r>
      <w:r>
        <w:rPr>
          <w:rFonts w:hint="eastAsia" w:ascii="宋体" w:hAnsi="宋体"/>
          <w:color w:val="000000"/>
          <w:kern w:val="0"/>
          <w:szCs w:val="21"/>
        </w:rPr>
        <w:t>争议评审小组的决定</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w:t>
      </w:r>
      <w:r>
        <w:rPr>
          <w:rFonts w:ascii="宋体" w:hAnsi="宋体"/>
          <w:color w:val="000000"/>
          <w:kern w:val="0"/>
          <w:szCs w:val="21"/>
        </w:rPr>
        <w:t>14</w:t>
      </w:r>
      <w:r>
        <w:rPr>
          <w:rFonts w:hint="eastAsia" w:ascii="宋体" w:hAnsi="宋体"/>
          <w:color w:val="000000"/>
          <w:kern w:val="0"/>
          <w:szCs w:val="21"/>
        </w:rPr>
        <w:t>天内作出书面决定，并说明理由。合同当事人可以在专用合同条款中对本项事项另行约定。</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20.3.3 </w:t>
      </w:r>
      <w:r>
        <w:rPr>
          <w:rFonts w:hint="eastAsia" w:ascii="宋体" w:hAnsi="宋体"/>
          <w:color w:val="000000"/>
          <w:kern w:val="0"/>
          <w:szCs w:val="21"/>
        </w:rPr>
        <w:t>争议评审小组决定的效力</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争议评审小组作出的书面决定经合同当事人签字确认后，对双方具有约束力，双方应遵照执行。</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任何一方当事人不接受争议评审小组决定或不履行争议评审小组决定的，双方可选择采用其他争议解决方式。</w:t>
      </w:r>
    </w:p>
    <w:p>
      <w:pPr>
        <w:rPr>
          <w:rFonts w:ascii="黑体" w:hAnsi="黑体" w:eastAsia="黑体"/>
          <w:color w:val="000000"/>
        </w:rPr>
      </w:pPr>
      <w:bookmarkStart w:id="670" w:name="_Toc296346651"/>
      <w:bookmarkStart w:id="671" w:name="_Toc296503150"/>
      <w:bookmarkStart w:id="672" w:name="_Toc337558844"/>
      <w:r>
        <w:rPr>
          <w:rFonts w:ascii="黑体" w:hAnsi="黑体" w:eastAsia="黑体"/>
          <w:color w:val="000000"/>
        </w:rPr>
        <w:t>20.4</w:t>
      </w:r>
      <w:r>
        <w:rPr>
          <w:rFonts w:hint="eastAsia" w:ascii="黑体" w:hAnsi="黑体" w:eastAsia="黑体"/>
          <w:color w:val="000000"/>
        </w:rPr>
        <w:t>仲裁或诉讼</w:t>
      </w:r>
    </w:p>
    <w:bookmarkEnd w:id="670"/>
    <w:bookmarkEnd w:id="671"/>
    <w:bookmarkEnd w:id="672"/>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因合同及合同有关事项产生的争议，合同当事人可以在专用合同条款中约定以下一种方式解决争议：</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）向约定的仲裁委员会申请仲裁；</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）向有管辖权的人民法院起诉。</w:t>
      </w:r>
    </w:p>
    <w:p>
      <w:pPr>
        <w:rPr>
          <w:rFonts w:ascii="黑体" w:hAnsi="黑体" w:eastAsia="黑体"/>
          <w:color w:val="000000"/>
        </w:rPr>
      </w:pPr>
      <w:bookmarkStart w:id="673" w:name="_Toc296503152"/>
      <w:bookmarkStart w:id="674" w:name="_Toc296346653"/>
      <w:bookmarkStart w:id="675" w:name="_Toc337558845"/>
      <w:r>
        <w:rPr>
          <w:rFonts w:ascii="黑体" w:hAnsi="黑体" w:eastAsia="黑体"/>
          <w:color w:val="000000"/>
        </w:rPr>
        <w:t>20.5</w:t>
      </w:r>
      <w:r>
        <w:rPr>
          <w:rFonts w:hint="eastAsia" w:ascii="黑体" w:hAnsi="黑体" w:eastAsia="黑体"/>
          <w:color w:val="000000"/>
        </w:rPr>
        <w:t>争议解决条款效力</w:t>
      </w:r>
    </w:p>
    <w:bookmarkEnd w:id="673"/>
    <w:bookmarkEnd w:id="674"/>
    <w:bookmarkEnd w:id="675"/>
    <w:p>
      <w:pPr>
        <w:autoSpaceDE w:val="0"/>
        <w:autoSpaceDN w:val="0"/>
        <w:adjustRightInd w:val="0"/>
        <w:spacing w:line="360" w:lineRule="auto"/>
        <w:ind w:firstLine="420" w:firstLineChars="200"/>
        <w:rPr>
          <w:color w:val="000000"/>
          <w:kern w:val="0"/>
        </w:rPr>
      </w:pPr>
      <w:r>
        <w:rPr>
          <w:rFonts w:hint="eastAsia"/>
          <w:color w:val="000000"/>
          <w:kern w:val="0"/>
        </w:rPr>
        <w:t>合同有关争议解决的条款独立存在，合同的变更、解除、终止、无效或者被撤销均不影响其效力。</w:t>
      </w:r>
    </w:p>
    <w:p>
      <w:pPr>
        <w:autoSpaceDE w:val="0"/>
        <w:autoSpaceDN w:val="0"/>
        <w:adjustRightInd w:val="0"/>
        <w:spacing w:line="360" w:lineRule="auto"/>
        <w:ind w:left="105" w:leftChars="50" w:firstLine="315" w:firstLineChars="150"/>
        <w:jc w:val="center"/>
        <w:outlineLvl w:val="2"/>
        <w:rPr>
          <w:rFonts w:ascii="黑体" w:hAnsi="宋体" w:eastAsia="黑体"/>
          <w:bCs/>
          <w:color w:val="000000"/>
          <w:sz w:val="28"/>
          <w:szCs w:val="28"/>
        </w:rPr>
      </w:pPr>
      <w:r>
        <w:rPr>
          <w:color w:val="000000"/>
        </w:rPr>
        <w:br w:type="page"/>
      </w:r>
      <w:bookmarkStart w:id="676" w:name="_Toc362623186"/>
      <w:bookmarkStart w:id="677" w:name="_Toc362623187"/>
      <w:bookmarkStart w:id="678" w:name="_Toc114222822"/>
      <w:r>
        <w:rPr>
          <w:rFonts w:hint="eastAsia" w:ascii="黑体" w:hAnsi="宋体" w:eastAsia="黑体"/>
          <w:bCs/>
          <w:color w:val="000000"/>
          <w:sz w:val="28"/>
          <w:szCs w:val="28"/>
        </w:rPr>
        <w:t>第三节  专用合同条款</w:t>
      </w:r>
      <w:bookmarkEnd w:id="676"/>
      <w:bookmarkEnd w:id="677"/>
      <w:r>
        <w:rPr>
          <w:rFonts w:hint="eastAsia" w:ascii="黑体" w:hAnsi="宋体" w:eastAsia="黑体"/>
          <w:bCs/>
          <w:color w:val="000000"/>
          <w:sz w:val="28"/>
          <w:szCs w:val="28"/>
        </w:rPr>
        <w:t>（需增加登记表给招标人或招标代理填写）</w:t>
      </w:r>
      <w:bookmarkEnd w:id="678"/>
    </w:p>
    <w:p>
      <w:pPr>
        <w:pStyle w:val="5"/>
        <w:spacing w:before="120" w:after="120" w:line="360" w:lineRule="auto"/>
        <w:rPr>
          <w:rFonts w:ascii="黑体" w:hAnsi="黑体"/>
          <w:b w:val="0"/>
          <w:color w:val="000000"/>
        </w:rPr>
      </w:pPr>
      <w:bookmarkStart w:id="679" w:name="_Toc362623188"/>
      <w:bookmarkStart w:id="680" w:name="_Toc114222823"/>
      <w:r>
        <w:rPr>
          <w:rFonts w:ascii="黑体" w:hAnsi="黑体"/>
          <w:b w:val="0"/>
          <w:color w:val="000000"/>
        </w:rPr>
        <w:t>1</w:t>
      </w:r>
      <w:bookmarkStart w:id="681" w:name="_Toc296503156"/>
      <w:bookmarkStart w:id="682" w:name="_Toc296944495"/>
      <w:bookmarkStart w:id="683" w:name="_Toc297048342"/>
      <w:bookmarkStart w:id="684" w:name="_Toc297120456"/>
      <w:bookmarkStart w:id="685" w:name="_Toc296347155"/>
      <w:bookmarkStart w:id="686" w:name="_Toc292559361"/>
      <w:bookmarkStart w:id="687" w:name="_Toc296346657"/>
      <w:bookmarkStart w:id="688" w:name="_Toc292559866"/>
      <w:bookmarkStart w:id="689" w:name="_Toc296890984"/>
      <w:bookmarkStart w:id="690" w:name="_Toc296891196"/>
      <w:r>
        <w:rPr>
          <w:rFonts w:ascii="黑体" w:hAnsi="黑体"/>
          <w:b w:val="0"/>
          <w:color w:val="000000"/>
        </w:rPr>
        <w:t xml:space="preserve">. </w:t>
      </w:r>
      <w:r>
        <w:rPr>
          <w:rFonts w:hint="eastAsia" w:ascii="黑体" w:hAnsi="黑体"/>
          <w:b w:val="0"/>
          <w:color w:val="000000"/>
        </w:rPr>
        <w:t>一般约定</w:t>
      </w:r>
      <w:bookmarkEnd w:id="679"/>
      <w:bookmarkEnd w:id="680"/>
    </w:p>
    <w:bookmarkEnd w:id="681"/>
    <w:bookmarkEnd w:id="682"/>
    <w:bookmarkEnd w:id="683"/>
    <w:bookmarkEnd w:id="684"/>
    <w:bookmarkEnd w:id="685"/>
    <w:bookmarkEnd w:id="686"/>
    <w:bookmarkEnd w:id="687"/>
    <w:bookmarkEnd w:id="688"/>
    <w:bookmarkEnd w:id="689"/>
    <w:bookmarkEnd w:id="690"/>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 xml:space="preserve">1.1 </w:t>
      </w:r>
      <w:r>
        <w:rPr>
          <w:rFonts w:hint="eastAsia" w:ascii="黑体" w:hAnsi="黑体" w:eastAsia="黑体"/>
          <w:color w:val="000000"/>
          <w:szCs w:val="21"/>
        </w:rPr>
        <w:t>词语定义</w:t>
      </w:r>
    </w:p>
    <w:p>
      <w:pPr>
        <w:spacing w:line="360" w:lineRule="auto"/>
        <w:ind w:firstLine="420" w:firstLineChars="200"/>
        <w:rPr>
          <w:rFonts w:ascii="宋体" w:hAnsi="宋体"/>
          <w:color w:val="000000"/>
          <w:kern w:val="0"/>
          <w:szCs w:val="21"/>
        </w:rPr>
      </w:pPr>
      <w:r>
        <w:rPr>
          <w:rFonts w:ascii="宋体" w:hAnsi="宋体"/>
          <w:color w:val="000000"/>
          <w:kern w:val="0"/>
          <w:szCs w:val="21"/>
        </w:rPr>
        <w:t>1.1.1</w:t>
      </w:r>
      <w:r>
        <w:rPr>
          <w:rFonts w:hint="eastAsia" w:ascii="宋体" w:hAnsi="宋体"/>
          <w:color w:val="000000"/>
          <w:kern w:val="0"/>
          <w:szCs w:val="21"/>
        </w:rPr>
        <w:t>合同</w:t>
      </w:r>
    </w:p>
    <w:p>
      <w:pPr>
        <w:spacing w:line="360" w:lineRule="auto"/>
        <w:ind w:firstLine="420" w:firstLineChars="200"/>
        <w:rPr>
          <w:rFonts w:ascii="宋体" w:hAnsi="宋体"/>
          <w:color w:val="000000"/>
          <w:kern w:val="0"/>
          <w:szCs w:val="21"/>
        </w:rPr>
      </w:pPr>
      <w:r>
        <w:rPr>
          <w:rFonts w:ascii="宋体" w:hAnsi="宋体"/>
          <w:color w:val="000000"/>
          <w:kern w:val="0"/>
          <w:szCs w:val="21"/>
        </w:rPr>
        <w:t>1.1.1.10</w:t>
      </w:r>
      <w:r>
        <w:rPr>
          <w:rFonts w:hint="eastAsia" w:ascii="宋体" w:hAnsi="宋体"/>
          <w:color w:val="000000"/>
          <w:kern w:val="0"/>
          <w:szCs w:val="21"/>
        </w:rPr>
        <w:t>其他合同文件包括：</w:t>
      </w:r>
      <w:permStart w:id="268" w:edGrp="everyone"/>
      <w:r>
        <w:rPr>
          <w:rFonts w:hint="eastAsia" w:ascii="宋体" w:hAnsi="宋体" w:cs="仿宋_GB2312"/>
          <w:color w:val="000000"/>
          <w:szCs w:val="21"/>
          <w:u w:val="single"/>
        </w:rPr>
        <w:t></w:t>
      </w:r>
      <w:r>
        <w:rPr>
          <w:rFonts w:ascii="宋体" w:hAnsi="宋体"/>
          <w:color w:val="000000"/>
          <w:szCs w:val="21"/>
          <w:u w:val="single"/>
        </w:rPr>
        <w:t xml:space="preserve">                                              </w:t>
      </w:r>
    </w:p>
    <w:p>
      <w:pPr>
        <w:spacing w:line="360" w:lineRule="auto"/>
        <w:ind w:left="1155" w:hanging="1155" w:hangingChars="550"/>
        <w:rPr>
          <w:rFonts w:ascii="宋体" w:hAnsi="宋体"/>
          <w:color w:val="000000"/>
          <w:kern w:val="0"/>
          <w:szCs w:val="21"/>
        </w:rPr>
      </w:pPr>
      <w:r>
        <w:rPr>
          <w:rFonts w:hint="eastAsia" w:ascii="宋体" w:hAnsi="宋体" w:cs="仿宋_GB2312"/>
          <w:color w:val="000000"/>
          <w:szCs w:val="21"/>
          <w:u w:val="single"/>
        </w:rPr>
        <w:t xml:space="preserve">                                                     </w:t>
      </w:r>
      <w:r>
        <w:rPr>
          <w:rFonts w:ascii="宋体" w:hAnsi="宋体" w:cs="仿宋_GB2312"/>
          <w:color w:val="000000"/>
          <w:szCs w:val="21"/>
          <w:u w:val="single"/>
        </w:rPr>
        <w:t xml:space="preserve"> </w:t>
      </w:r>
      <w:r>
        <w:rPr>
          <w:rFonts w:hint="eastAsia" w:ascii="宋体" w:hAnsi="宋体"/>
          <w:color w:val="000000"/>
          <w:szCs w:val="21"/>
        </w:rPr>
        <w:t>。</w:t>
      </w:r>
    </w:p>
    <w:permEnd w:id="268"/>
    <w:p>
      <w:pPr>
        <w:spacing w:line="360" w:lineRule="auto"/>
        <w:ind w:firstLine="420" w:firstLineChars="200"/>
        <w:rPr>
          <w:rFonts w:ascii="宋体" w:hAnsi="宋体"/>
          <w:color w:val="000000"/>
          <w:szCs w:val="21"/>
        </w:rPr>
      </w:pPr>
      <w:r>
        <w:rPr>
          <w:rFonts w:ascii="宋体" w:hAnsi="宋体"/>
          <w:color w:val="000000"/>
          <w:szCs w:val="21"/>
        </w:rPr>
        <w:t xml:space="preserve">1.1.2 </w:t>
      </w:r>
      <w:r>
        <w:rPr>
          <w:rFonts w:hint="eastAsia" w:ascii="宋体" w:hAnsi="宋体"/>
          <w:color w:val="000000"/>
          <w:szCs w:val="21"/>
        </w:rPr>
        <w:t>合同当事人及其他相关方</w:t>
      </w:r>
    </w:p>
    <w:p>
      <w:pPr>
        <w:spacing w:line="360" w:lineRule="auto"/>
        <w:ind w:firstLine="420" w:firstLineChars="200"/>
        <w:rPr>
          <w:rFonts w:ascii="宋体" w:hAnsi="宋体"/>
          <w:color w:val="000000"/>
          <w:szCs w:val="21"/>
        </w:rPr>
      </w:pPr>
      <w:r>
        <w:rPr>
          <w:rFonts w:ascii="宋体" w:hAnsi="宋体"/>
          <w:color w:val="000000"/>
          <w:szCs w:val="21"/>
        </w:rPr>
        <w:t>1.1.2.4</w:t>
      </w:r>
      <w:r>
        <w:rPr>
          <w:rFonts w:hint="eastAsia" w:ascii="宋体" w:hAnsi="宋体"/>
          <w:color w:val="000000"/>
          <w:szCs w:val="21"/>
        </w:rPr>
        <w:t>监理人：</w:t>
      </w:r>
    </w:p>
    <w:p>
      <w:pPr>
        <w:spacing w:line="360" w:lineRule="auto"/>
        <w:ind w:firstLine="420" w:firstLineChars="200"/>
        <w:rPr>
          <w:rFonts w:ascii="宋体" w:hAnsi="宋体"/>
          <w:color w:val="000000"/>
          <w:szCs w:val="21"/>
        </w:rPr>
      </w:pPr>
      <w:r>
        <w:rPr>
          <w:rFonts w:hint="eastAsia" w:ascii="宋体" w:hAnsi="宋体"/>
          <w:color w:val="000000"/>
          <w:szCs w:val="21"/>
        </w:rPr>
        <w:t>名称：</w:t>
      </w:r>
      <w:permStart w:id="269" w:edGrp="everyone"/>
      <w:r>
        <w:rPr>
          <w:rFonts w:hint="eastAsia" w:ascii="宋体" w:hAnsi="宋体" w:cs="仿宋_GB2312"/>
          <w:color w:val="000000"/>
          <w:szCs w:val="21"/>
          <w:u w:val="single"/>
        </w:rPr>
        <w:t></w:t>
      </w:r>
      <w:r>
        <w:rPr>
          <w:rFonts w:ascii="宋体" w:hAnsi="宋体"/>
          <w:color w:val="000000"/>
          <w:szCs w:val="21"/>
          <w:u w:val="single"/>
        </w:rPr>
        <w:t xml:space="preserve">     </w:t>
      </w:r>
      <w:r>
        <w:rPr>
          <w:rFonts w:hint="eastAsia" w:ascii="宋体" w:hAnsi="宋体"/>
          <w:color w:val="000000"/>
          <w:szCs w:val="21"/>
        </w:rPr>
        <w:t>；</w:t>
      </w:r>
      <w:permEnd w:id="269"/>
    </w:p>
    <w:p>
      <w:pPr>
        <w:spacing w:line="360" w:lineRule="auto"/>
        <w:ind w:firstLine="420" w:firstLineChars="200"/>
        <w:rPr>
          <w:rFonts w:ascii="宋体" w:hAnsi="宋体"/>
          <w:color w:val="000000"/>
          <w:szCs w:val="21"/>
        </w:rPr>
      </w:pPr>
      <w:r>
        <w:rPr>
          <w:rFonts w:hint="eastAsia" w:ascii="宋体" w:hAnsi="宋体"/>
          <w:color w:val="000000"/>
          <w:szCs w:val="21"/>
        </w:rPr>
        <w:t>资质类别和等级：</w:t>
      </w:r>
      <w:permStart w:id="270" w:edGrp="everyone"/>
      <w:r>
        <w:rPr>
          <w:rFonts w:hint="eastAsia" w:ascii="宋体" w:hAnsi="宋体" w:cs="仿宋_GB2312"/>
          <w:color w:val="000000"/>
          <w:szCs w:val="21"/>
          <w:u w:val="single"/>
        </w:rPr>
        <w:t></w:t>
      </w:r>
      <w:r>
        <w:rPr>
          <w:rFonts w:ascii="宋体" w:hAnsi="宋体"/>
          <w:color w:val="000000"/>
          <w:szCs w:val="21"/>
          <w:u w:val="single"/>
        </w:rPr>
        <w:t xml:space="preserve">  </w:t>
      </w:r>
      <w:r>
        <w:rPr>
          <w:rFonts w:hint="eastAsia" w:ascii="宋体" w:hAnsi="宋体"/>
          <w:color w:val="000000"/>
          <w:szCs w:val="21"/>
        </w:rPr>
        <w:t>；</w:t>
      </w:r>
    </w:p>
    <w:permEnd w:id="270"/>
    <w:p>
      <w:pPr>
        <w:spacing w:line="360" w:lineRule="auto"/>
        <w:ind w:firstLine="420" w:firstLineChars="200"/>
        <w:rPr>
          <w:rFonts w:ascii="宋体" w:hAnsi="宋体"/>
          <w:color w:val="000000"/>
          <w:szCs w:val="21"/>
        </w:rPr>
      </w:pPr>
      <w:r>
        <w:rPr>
          <w:rFonts w:hint="eastAsia" w:ascii="宋体" w:hAnsi="宋体"/>
          <w:color w:val="000000"/>
          <w:szCs w:val="21"/>
        </w:rPr>
        <w:t>联系电话</w:t>
      </w:r>
      <w:permStart w:id="271" w:edGrp="everyone"/>
      <w:r>
        <w:rPr>
          <w:rFonts w:hint="eastAsia" w:ascii="宋体" w:hAnsi="宋体"/>
          <w:color w:val="000000"/>
          <w:szCs w:val="21"/>
        </w:rPr>
        <w:t>：</w:t>
      </w:r>
      <w:r>
        <w:rPr>
          <w:rFonts w:hint="eastAsia" w:ascii="宋体" w:hAnsi="宋体" w:cs="仿宋_GB2312"/>
          <w:color w:val="000000"/>
          <w:szCs w:val="21"/>
          <w:u w:val="single"/>
        </w:rPr>
        <w:t></w:t>
      </w:r>
      <w:r>
        <w:rPr>
          <w:rFonts w:ascii="宋体" w:hAnsi="宋体"/>
          <w:color w:val="000000"/>
          <w:szCs w:val="21"/>
          <w:u w:val="single"/>
        </w:rPr>
        <w:t xml:space="preserve">                </w:t>
      </w:r>
      <w:r>
        <w:rPr>
          <w:rFonts w:hint="eastAsia" w:ascii="宋体" w:hAnsi="宋体" w:cs="仿宋_GB2312"/>
          <w:color w:val="000000"/>
          <w:szCs w:val="21"/>
          <w:u w:val="single"/>
        </w:rPr>
        <w:t></w:t>
      </w:r>
      <w:r>
        <w:rPr>
          <w:rFonts w:hint="eastAsia" w:ascii="宋体" w:hAnsi="宋体"/>
          <w:color w:val="000000"/>
          <w:szCs w:val="21"/>
        </w:rPr>
        <w:t>；</w:t>
      </w:r>
    </w:p>
    <w:permEnd w:id="271"/>
    <w:p>
      <w:pPr>
        <w:spacing w:line="360" w:lineRule="auto"/>
        <w:ind w:firstLine="420" w:firstLineChars="200"/>
        <w:rPr>
          <w:rFonts w:ascii="宋体" w:hAnsi="宋体"/>
          <w:color w:val="000000"/>
          <w:szCs w:val="21"/>
        </w:rPr>
      </w:pPr>
      <w:r>
        <w:rPr>
          <w:rFonts w:hint="eastAsia" w:ascii="宋体" w:hAnsi="宋体"/>
          <w:color w:val="000000"/>
          <w:szCs w:val="21"/>
        </w:rPr>
        <w:t>电子信箱：</w:t>
      </w:r>
      <w:permStart w:id="272" w:edGrp="everyone"/>
      <w:r>
        <w:rPr>
          <w:rFonts w:hint="eastAsia" w:ascii="宋体" w:hAnsi="宋体" w:cs="仿宋_GB2312"/>
          <w:color w:val="000000"/>
          <w:szCs w:val="21"/>
          <w:u w:val="single"/>
        </w:rPr>
        <w:t></w:t>
      </w:r>
      <w:r>
        <w:rPr>
          <w:rFonts w:ascii="宋体" w:hAnsi="宋体"/>
          <w:color w:val="000000"/>
          <w:szCs w:val="21"/>
          <w:u w:val="single"/>
        </w:rPr>
        <w:t xml:space="preserve">                </w:t>
      </w:r>
      <w:r>
        <w:rPr>
          <w:rFonts w:hint="eastAsia" w:ascii="宋体" w:hAnsi="宋体"/>
          <w:color w:val="000000"/>
          <w:szCs w:val="21"/>
        </w:rPr>
        <w:t>；</w:t>
      </w:r>
    </w:p>
    <w:permEnd w:id="272"/>
    <w:p>
      <w:pPr>
        <w:spacing w:line="360" w:lineRule="auto"/>
        <w:ind w:firstLine="420" w:firstLineChars="200"/>
        <w:rPr>
          <w:rFonts w:ascii="宋体" w:hAnsi="宋体"/>
          <w:color w:val="000000"/>
          <w:szCs w:val="21"/>
        </w:rPr>
      </w:pPr>
      <w:r>
        <w:rPr>
          <w:rFonts w:hint="eastAsia" w:ascii="宋体" w:hAnsi="宋体"/>
          <w:color w:val="000000"/>
          <w:szCs w:val="21"/>
        </w:rPr>
        <w:t>通信地址：</w:t>
      </w:r>
      <w:permStart w:id="273" w:edGrp="everyone"/>
      <w:r>
        <w:rPr>
          <w:rFonts w:hint="eastAsia" w:ascii="宋体" w:hAnsi="宋体" w:cs="仿宋_GB2312"/>
          <w:color w:val="000000"/>
          <w:szCs w:val="21"/>
          <w:u w:val="single"/>
        </w:rPr>
        <w:t></w:t>
      </w:r>
      <w:r>
        <w:rPr>
          <w:rFonts w:ascii="宋体" w:hAnsi="宋体"/>
          <w:color w:val="000000"/>
          <w:szCs w:val="21"/>
          <w:u w:val="single"/>
        </w:rPr>
        <w:t xml:space="preserve">                </w:t>
      </w:r>
      <w:r>
        <w:rPr>
          <w:rFonts w:hint="eastAsia" w:ascii="宋体" w:hAnsi="宋体" w:cs="仿宋_GB2312"/>
          <w:color w:val="000000"/>
          <w:szCs w:val="21"/>
          <w:u w:val="single"/>
        </w:rPr>
        <w:t></w:t>
      </w:r>
      <w:r>
        <w:rPr>
          <w:rFonts w:hint="eastAsia" w:ascii="宋体" w:hAnsi="宋体"/>
          <w:color w:val="000000"/>
          <w:szCs w:val="21"/>
        </w:rPr>
        <w:t>。</w:t>
      </w:r>
    </w:p>
    <w:permEnd w:id="273"/>
    <w:p>
      <w:pPr>
        <w:spacing w:line="360" w:lineRule="auto"/>
        <w:ind w:firstLine="420" w:firstLineChars="200"/>
        <w:rPr>
          <w:rFonts w:ascii="宋体" w:hAnsi="宋体"/>
          <w:color w:val="000000"/>
          <w:szCs w:val="21"/>
        </w:rPr>
      </w:pPr>
      <w:r>
        <w:rPr>
          <w:rFonts w:ascii="宋体" w:hAnsi="宋体"/>
          <w:color w:val="000000"/>
          <w:szCs w:val="21"/>
        </w:rPr>
        <w:t xml:space="preserve">1.1.2.5 </w:t>
      </w:r>
      <w:r>
        <w:rPr>
          <w:rFonts w:hint="eastAsia" w:ascii="宋体" w:hAnsi="宋体"/>
          <w:color w:val="000000"/>
          <w:szCs w:val="21"/>
        </w:rPr>
        <w:t>设计人：</w:t>
      </w:r>
    </w:p>
    <w:p>
      <w:pPr>
        <w:spacing w:line="360" w:lineRule="auto"/>
        <w:ind w:firstLine="420" w:firstLineChars="200"/>
        <w:rPr>
          <w:rFonts w:ascii="宋体" w:hAnsi="宋体"/>
          <w:color w:val="000000"/>
          <w:szCs w:val="21"/>
        </w:rPr>
      </w:pPr>
      <w:r>
        <w:rPr>
          <w:rFonts w:hint="eastAsia" w:ascii="宋体" w:hAnsi="宋体"/>
          <w:color w:val="000000"/>
          <w:szCs w:val="21"/>
        </w:rPr>
        <w:t>名称：</w:t>
      </w:r>
      <w:permStart w:id="274" w:edGrp="everyone"/>
      <w:r>
        <w:rPr>
          <w:rFonts w:hint="eastAsia" w:ascii="宋体" w:hAnsi="宋体" w:cs="仿宋_GB2312"/>
          <w:color w:val="000000"/>
          <w:szCs w:val="21"/>
          <w:u w:val="single"/>
        </w:rPr>
        <w:t></w:t>
      </w:r>
      <w:r>
        <w:rPr>
          <w:rFonts w:ascii="宋体" w:hAnsi="宋体"/>
          <w:color w:val="000000"/>
          <w:szCs w:val="21"/>
          <w:u w:val="single"/>
        </w:rPr>
        <w:t xml:space="preserve">    </w:t>
      </w:r>
      <w:r>
        <w:rPr>
          <w:rFonts w:hint="eastAsia" w:ascii="宋体" w:hAnsi="宋体"/>
          <w:color w:val="000000"/>
          <w:szCs w:val="21"/>
        </w:rPr>
        <w:t>；</w:t>
      </w:r>
    </w:p>
    <w:permEnd w:id="274"/>
    <w:p>
      <w:pPr>
        <w:spacing w:line="360" w:lineRule="auto"/>
        <w:ind w:firstLine="420" w:firstLineChars="200"/>
        <w:rPr>
          <w:rFonts w:ascii="宋体" w:hAnsi="宋体"/>
          <w:color w:val="000000"/>
          <w:szCs w:val="21"/>
        </w:rPr>
      </w:pPr>
      <w:r>
        <w:rPr>
          <w:rFonts w:hint="eastAsia" w:ascii="宋体" w:hAnsi="宋体"/>
          <w:color w:val="000000"/>
          <w:szCs w:val="21"/>
        </w:rPr>
        <w:t>资质类别和等级：</w:t>
      </w:r>
      <w:permStart w:id="275" w:edGrp="everyone"/>
      <w:r>
        <w:rPr>
          <w:rFonts w:hint="eastAsia" w:ascii="宋体" w:hAnsi="宋体" w:cs="仿宋_GB2312"/>
          <w:color w:val="000000"/>
          <w:szCs w:val="21"/>
          <w:u w:val="single"/>
        </w:rPr>
        <w:t></w:t>
      </w:r>
      <w:r>
        <w:rPr>
          <w:rFonts w:ascii="宋体" w:hAnsi="宋体"/>
          <w:color w:val="000000"/>
          <w:szCs w:val="21"/>
          <w:u w:val="single"/>
        </w:rPr>
        <w:t xml:space="preserve">   </w:t>
      </w:r>
      <w:r>
        <w:rPr>
          <w:rFonts w:hint="eastAsia" w:ascii="宋体" w:hAnsi="宋体" w:cs="仿宋_GB2312"/>
          <w:color w:val="000000"/>
          <w:szCs w:val="21"/>
          <w:u w:val="single"/>
        </w:rPr>
        <w:t></w:t>
      </w:r>
      <w:r>
        <w:rPr>
          <w:rFonts w:hint="eastAsia" w:ascii="宋体" w:hAnsi="宋体"/>
          <w:color w:val="000000"/>
          <w:szCs w:val="21"/>
        </w:rPr>
        <w:t>；</w:t>
      </w:r>
    </w:p>
    <w:permEnd w:id="275"/>
    <w:p>
      <w:pPr>
        <w:spacing w:line="360" w:lineRule="auto"/>
        <w:ind w:firstLine="420" w:firstLineChars="200"/>
        <w:rPr>
          <w:rFonts w:ascii="宋体" w:hAnsi="宋体"/>
          <w:color w:val="000000"/>
          <w:szCs w:val="21"/>
        </w:rPr>
      </w:pPr>
      <w:r>
        <w:rPr>
          <w:rFonts w:hint="eastAsia" w:ascii="宋体" w:hAnsi="宋体"/>
          <w:color w:val="000000"/>
          <w:szCs w:val="21"/>
        </w:rPr>
        <w:t>联系电话：</w:t>
      </w:r>
      <w:permStart w:id="276" w:edGrp="everyone"/>
      <w:r>
        <w:rPr>
          <w:rFonts w:hint="eastAsia" w:ascii="宋体" w:hAnsi="宋体" w:cs="仿宋_GB2312"/>
          <w:color w:val="000000"/>
          <w:szCs w:val="21"/>
          <w:u w:val="single"/>
        </w:rPr>
        <w:t></w:t>
      </w:r>
      <w:r>
        <w:rPr>
          <w:rFonts w:ascii="宋体" w:hAnsi="宋体"/>
          <w:color w:val="000000"/>
          <w:szCs w:val="21"/>
          <w:u w:val="single"/>
        </w:rPr>
        <w:t xml:space="preserve">                </w:t>
      </w:r>
      <w:r>
        <w:rPr>
          <w:rFonts w:hint="eastAsia" w:ascii="宋体" w:hAnsi="宋体" w:cs="仿宋_GB2312"/>
          <w:color w:val="000000"/>
          <w:szCs w:val="21"/>
          <w:u w:val="single"/>
        </w:rPr>
        <w:t></w:t>
      </w:r>
      <w:r>
        <w:rPr>
          <w:rFonts w:hint="eastAsia" w:ascii="宋体" w:hAnsi="宋体"/>
          <w:color w:val="000000"/>
          <w:szCs w:val="21"/>
        </w:rPr>
        <w:t>；</w:t>
      </w:r>
    </w:p>
    <w:permEnd w:id="276"/>
    <w:p>
      <w:pPr>
        <w:spacing w:line="360" w:lineRule="auto"/>
        <w:ind w:firstLine="420" w:firstLineChars="200"/>
        <w:rPr>
          <w:rFonts w:ascii="宋体" w:hAnsi="宋体"/>
          <w:color w:val="000000"/>
          <w:szCs w:val="21"/>
        </w:rPr>
      </w:pPr>
      <w:r>
        <w:rPr>
          <w:rFonts w:hint="eastAsia" w:ascii="宋体" w:hAnsi="宋体"/>
          <w:color w:val="000000"/>
          <w:szCs w:val="21"/>
        </w:rPr>
        <w:t>电子信箱：</w:t>
      </w:r>
      <w:permStart w:id="277" w:edGrp="everyone"/>
      <w:r>
        <w:rPr>
          <w:rFonts w:hint="eastAsia" w:ascii="宋体" w:hAnsi="宋体" w:cs="仿宋_GB2312"/>
          <w:color w:val="000000"/>
          <w:szCs w:val="21"/>
          <w:u w:val="single"/>
        </w:rPr>
        <w:t></w:t>
      </w:r>
      <w:r>
        <w:rPr>
          <w:rFonts w:ascii="宋体" w:hAnsi="宋体"/>
          <w:color w:val="000000"/>
          <w:szCs w:val="21"/>
          <w:u w:val="single"/>
        </w:rPr>
        <w:t xml:space="preserve">                  </w:t>
      </w:r>
      <w:r>
        <w:rPr>
          <w:rFonts w:hint="eastAsia" w:ascii="宋体" w:hAnsi="宋体" w:cs="仿宋_GB2312"/>
          <w:color w:val="000000"/>
          <w:szCs w:val="21"/>
          <w:u w:val="single"/>
        </w:rPr>
        <w:t></w:t>
      </w:r>
      <w:r>
        <w:rPr>
          <w:rFonts w:hint="eastAsia" w:ascii="宋体" w:hAnsi="宋体"/>
          <w:color w:val="000000"/>
          <w:szCs w:val="21"/>
        </w:rPr>
        <w:t>；</w:t>
      </w:r>
    </w:p>
    <w:permEnd w:id="277"/>
    <w:p>
      <w:pPr>
        <w:spacing w:line="360" w:lineRule="auto"/>
        <w:ind w:firstLine="420" w:firstLineChars="200"/>
        <w:rPr>
          <w:rFonts w:ascii="宋体" w:hAnsi="宋体"/>
          <w:color w:val="000000"/>
          <w:szCs w:val="21"/>
        </w:rPr>
      </w:pPr>
      <w:r>
        <w:rPr>
          <w:rFonts w:hint="eastAsia" w:ascii="宋体" w:hAnsi="宋体"/>
          <w:color w:val="000000"/>
          <w:szCs w:val="21"/>
        </w:rPr>
        <w:t>通信地址：</w:t>
      </w:r>
      <w:permStart w:id="278" w:edGrp="everyone"/>
      <w:r>
        <w:rPr>
          <w:rFonts w:hint="eastAsia" w:ascii="宋体" w:hAnsi="宋体" w:cs="仿宋_GB2312"/>
          <w:color w:val="000000"/>
          <w:szCs w:val="21"/>
          <w:u w:val="single"/>
        </w:rPr>
        <w:t></w:t>
      </w:r>
      <w:r>
        <w:rPr>
          <w:rFonts w:ascii="宋体" w:hAnsi="宋体"/>
          <w:color w:val="000000"/>
          <w:szCs w:val="21"/>
          <w:u w:val="single"/>
        </w:rPr>
        <w:t xml:space="preserve">                </w:t>
      </w:r>
      <w:r>
        <w:rPr>
          <w:rFonts w:hint="eastAsia" w:ascii="宋体" w:hAnsi="宋体" w:cs="仿宋_GB2312"/>
          <w:color w:val="000000"/>
          <w:szCs w:val="21"/>
          <w:u w:val="single"/>
        </w:rPr>
        <w:t></w:t>
      </w:r>
      <w:r>
        <w:rPr>
          <w:rFonts w:hint="eastAsia" w:ascii="宋体" w:hAnsi="宋体"/>
          <w:color w:val="000000"/>
          <w:szCs w:val="21"/>
        </w:rPr>
        <w:t>。</w:t>
      </w:r>
    </w:p>
    <w:permEnd w:id="278"/>
    <w:p>
      <w:pPr>
        <w:spacing w:line="360" w:lineRule="auto"/>
        <w:ind w:firstLine="420" w:firstLineChars="200"/>
        <w:rPr>
          <w:rFonts w:ascii="宋体" w:hAnsi="宋体"/>
          <w:color w:val="000000"/>
          <w:szCs w:val="21"/>
        </w:rPr>
      </w:pPr>
      <w:r>
        <w:rPr>
          <w:rFonts w:ascii="宋体" w:hAnsi="宋体"/>
          <w:color w:val="000000"/>
          <w:szCs w:val="21"/>
        </w:rPr>
        <w:t xml:space="preserve">1.1.3 </w:t>
      </w:r>
      <w:r>
        <w:rPr>
          <w:rFonts w:hint="eastAsia" w:ascii="宋体" w:hAnsi="宋体"/>
          <w:color w:val="000000"/>
          <w:szCs w:val="21"/>
        </w:rPr>
        <w:t>工程和设备</w:t>
      </w:r>
    </w:p>
    <w:p>
      <w:pPr>
        <w:spacing w:line="360" w:lineRule="auto"/>
        <w:ind w:firstLine="420" w:firstLineChars="200"/>
        <w:rPr>
          <w:rFonts w:ascii="宋体" w:hAnsi="宋体"/>
          <w:color w:val="000000"/>
          <w:szCs w:val="21"/>
          <w:u w:val="single"/>
        </w:rPr>
      </w:pPr>
      <w:r>
        <w:rPr>
          <w:rFonts w:ascii="宋体" w:hAnsi="宋体"/>
          <w:color w:val="000000"/>
          <w:szCs w:val="21"/>
        </w:rPr>
        <w:t xml:space="preserve">1.1.3.7 </w:t>
      </w:r>
      <w:r>
        <w:rPr>
          <w:rFonts w:hint="eastAsia" w:ascii="宋体" w:hAnsi="宋体"/>
          <w:color w:val="000000"/>
          <w:szCs w:val="21"/>
        </w:rPr>
        <w:t>作为施工现场组成部分的其他场所包括：</w:t>
      </w:r>
      <w:permStart w:id="279" w:edGrp="everyone"/>
    </w:p>
    <w:p>
      <w:pPr>
        <w:spacing w:line="360" w:lineRule="auto"/>
        <w:rPr>
          <w:rFonts w:ascii="宋体" w:hAnsi="宋体"/>
          <w:color w:val="000000"/>
          <w:szCs w:val="21"/>
        </w:rPr>
      </w:pPr>
      <w:r>
        <w:rPr>
          <w:rFonts w:hint="eastAsia" w:ascii="宋体" w:hAnsi="宋体" w:cs="仿宋_GB2312"/>
          <w:color w:val="000000"/>
          <w:szCs w:val="21"/>
          <w:u w:val="single"/>
        </w:rPr>
        <w:t></w:t>
      </w:r>
      <w:r>
        <w:rPr>
          <w:rFonts w:ascii="宋体" w:hAnsi="宋体"/>
          <w:color w:val="000000"/>
          <w:szCs w:val="21"/>
          <w:u w:val="single"/>
        </w:rPr>
        <w:t xml:space="preserve">                                     </w:t>
      </w:r>
      <w:r>
        <w:rPr>
          <w:rFonts w:hint="eastAsia" w:ascii="宋体" w:hAnsi="宋体" w:cs="仿宋_GB2312"/>
          <w:color w:val="000000"/>
          <w:szCs w:val="21"/>
          <w:u w:val="single"/>
        </w:rPr>
        <w:t></w:t>
      </w:r>
      <w:r>
        <w:rPr>
          <w:rFonts w:ascii="宋体" w:hAnsi="宋体"/>
          <w:color w:val="000000"/>
          <w:szCs w:val="21"/>
          <w:u w:val="single"/>
        </w:rPr>
        <w:t xml:space="preserve"> </w:t>
      </w:r>
      <w:r>
        <w:rPr>
          <w:rFonts w:hint="eastAsia" w:ascii="宋体" w:hAnsi="宋体"/>
          <w:color w:val="000000"/>
          <w:szCs w:val="21"/>
        </w:rPr>
        <w:t>。</w:t>
      </w:r>
      <w:permEnd w:id="279"/>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1.1.3.9 </w:t>
      </w:r>
      <w:r>
        <w:rPr>
          <w:rFonts w:hint="eastAsia" w:ascii="宋体" w:hAnsi="宋体"/>
          <w:color w:val="000000"/>
          <w:kern w:val="0"/>
          <w:szCs w:val="21"/>
        </w:rPr>
        <w:t>永久占地包括：</w:t>
      </w:r>
      <w:permStart w:id="280" w:edGrp="everyone"/>
      <w:r>
        <w:rPr>
          <w:rFonts w:ascii="宋体" w:hAnsi="宋体"/>
          <w:color w:val="000000"/>
          <w:szCs w:val="21"/>
          <w:u w:val="single"/>
        </w:rPr>
        <w:t xml:space="preserve">                  </w:t>
      </w:r>
      <w:r>
        <w:rPr>
          <w:rFonts w:hint="eastAsia" w:ascii="宋体" w:hAnsi="宋体" w:cs="仿宋_GB2312"/>
          <w:color w:val="000000"/>
          <w:szCs w:val="21"/>
          <w:u w:val="single"/>
        </w:rPr>
        <w:t></w:t>
      </w:r>
      <w:r>
        <w:rPr>
          <w:rFonts w:ascii="宋体" w:hAnsi="宋体"/>
          <w:color w:val="000000"/>
          <w:szCs w:val="21"/>
          <w:u w:val="single"/>
        </w:rPr>
        <w:t xml:space="preserve">      </w:t>
      </w:r>
      <w:r>
        <w:rPr>
          <w:rFonts w:hint="eastAsia" w:ascii="宋体" w:hAnsi="宋体"/>
          <w:color w:val="000000"/>
          <w:kern w:val="0"/>
          <w:szCs w:val="21"/>
        </w:rPr>
        <w:t>。</w:t>
      </w:r>
    </w:p>
    <w:permEnd w:id="280"/>
    <w:p>
      <w:pPr>
        <w:spacing w:line="360" w:lineRule="auto"/>
        <w:ind w:firstLine="420" w:firstLineChars="200"/>
        <w:jc w:val="left"/>
        <w:rPr>
          <w:rFonts w:ascii="宋体" w:hAnsi="宋体"/>
          <w:color w:val="000000"/>
          <w:szCs w:val="21"/>
        </w:rPr>
      </w:pPr>
      <w:r>
        <w:rPr>
          <w:rFonts w:ascii="宋体" w:hAnsi="宋体"/>
          <w:color w:val="000000"/>
          <w:kern w:val="0"/>
          <w:szCs w:val="21"/>
        </w:rPr>
        <w:t xml:space="preserve">1.1.3.10 </w:t>
      </w:r>
      <w:r>
        <w:rPr>
          <w:rFonts w:hint="eastAsia" w:ascii="宋体" w:hAnsi="宋体"/>
          <w:color w:val="000000"/>
          <w:kern w:val="0"/>
          <w:szCs w:val="21"/>
        </w:rPr>
        <w:t>临时占地包括：</w:t>
      </w:r>
      <w:permStart w:id="281" w:edGrp="everyone"/>
      <w:r>
        <w:rPr>
          <w:rFonts w:ascii="宋体" w:hAnsi="宋体"/>
          <w:color w:val="000000"/>
          <w:szCs w:val="21"/>
          <w:u w:val="single"/>
        </w:rPr>
        <w:t xml:space="preserve">                       </w:t>
      </w:r>
      <w:r>
        <w:rPr>
          <w:rFonts w:hint="eastAsia" w:ascii="宋体" w:hAnsi="宋体"/>
          <w:color w:val="000000"/>
          <w:kern w:val="0"/>
          <w:szCs w:val="21"/>
        </w:rPr>
        <w:t>。</w:t>
      </w:r>
    </w:p>
    <w:permEnd w:id="281"/>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1.3</w:t>
      </w:r>
      <w:r>
        <w:rPr>
          <w:rFonts w:hint="eastAsia" w:ascii="黑体" w:hAnsi="黑体" w:eastAsia="黑体"/>
          <w:color w:val="000000"/>
          <w:szCs w:val="21"/>
        </w:rPr>
        <w:t>法律</w:t>
      </w:r>
    </w:p>
    <w:p>
      <w:pPr>
        <w:autoSpaceDE w:val="0"/>
        <w:autoSpaceDN w:val="0"/>
        <w:adjustRightInd w:val="0"/>
        <w:spacing w:line="360" w:lineRule="auto"/>
        <w:ind w:left="596" w:leftChars="284"/>
        <w:jc w:val="left"/>
        <w:rPr>
          <w:rFonts w:ascii="宋体" w:hAnsi="宋体"/>
          <w:color w:val="000000"/>
          <w:szCs w:val="21"/>
        </w:rPr>
      </w:pPr>
      <w:r>
        <w:rPr>
          <w:rFonts w:hint="eastAsia" w:ascii="宋体" w:hAnsi="宋体"/>
          <w:color w:val="000000"/>
          <w:szCs w:val="21"/>
        </w:rPr>
        <w:t>适用于合同的其他规范性文件：</w:t>
      </w:r>
      <w:permStart w:id="282" w:edGrp="everyone"/>
      <w:r>
        <w:rPr>
          <w:rFonts w:hint="eastAsia" w:ascii="宋体" w:hAnsi="宋体" w:cs="仿宋_GB2312"/>
          <w:color w:val="000000"/>
          <w:szCs w:val="21"/>
          <w:u w:val="single"/>
        </w:rPr>
        <w:t></w:t>
      </w:r>
      <w:r>
        <w:rPr>
          <w:rFonts w:hint="eastAsia" w:ascii="宋体" w:hAnsi="宋体"/>
          <w:color w:val="000000"/>
          <w:szCs w:val="21"/>
        </w:rPr>
        <w:t>。</w:t>
      </w:r>
    </w:p>
    <w:permEnd w:id="282"/>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 xml:space="preserve">1.4 </w:t>
      </w:r>
      <w:r>
        <w:rPr>
          <w:rFonts w:hint="eastAsia" w:ascii="黑体" w:hAnsi="黑体" w:eastAsia="黑体"/>
          <w:color w:val="000000"/>
          <w:szCs w:val="21"/>
        </w:rPr>
        <w:t>标准和规范</w:t>
      </w:r>
    </w:p>
    <w:p>
      <w:pPr>
        <w:spacing w:line="360" w:lineRule="auto"/>
        <w:ind w:left="596" w:leftChars="284"/>
        <w:rPr>
          <w:rFonts w:ascii="宋体" w:hAnsi="宋体"/>
          <w:color w:val="000000"/>
          <w:szCs w:val="21"/>
        </w:rPr>
      </w:pPr>
      <w:r>
        <w:rPr>
          <w:rFonts w:ascii="宋体" w:hAnsi="宋体"/>
          <w:color w:val="000000"/>
          <w:szCs w:val="21"/>
        </w:rPr>
        <w:t>1.4.1</w:t>
      </w:r>
      <w:r>
        <w:rPr>
          <w:rFonts w:hint="eastAsia" w:ascii="宋体" w:hAnsi="宋体"/>
          <w:color w:val="000000"/>
          <w:szCs w:val="21"/>
        </w:rPr>
        <w:t>适用于工程的标准规范包括：</w:t>
      </w:r>
      <w:permStart w:id="283" w:edGrp="everyone"/>
      <w:r>
        <w:rPr>
          <w:rFonts w:hint="eastAsia" w:ascii="宋体" w:hAnsi="宋体" w:cs="仿宋_GB2312"/>
          <w:color w:val="000000"/>
          <w:szCs w:val="21"/>
          <w:u w:val="single"/>
        </w:rPr>
        <w:t></w:t>
      </w:r>
      <w:r>
        <w:rPr>
          <w:rFonts w:ascii="宋体" w:hAnsi="宋体"/>
          <w:color w:val="000000"/>
          <w:szCs w:val="21"/>
          <w:u w:val="single"/>
        </w:rPr>
        <w:t xml:space="preserve">   </w:t>
      </w:r>
      <w:r>
        <w:rPr>
          <w:rFonts w:hint="eastAsia" w:ascii="宋体" w:hAnsi="宋体"/>
          <w:color w:val="000000"/>
          <w:szCs w:val="21"/>
        </w:rPr>
        <w:t>。</w:t>
      </w:r>
    </w:p>
    <w:permEnd w:id="283"/>
    <w:p>
      <w:pPr>
        <w:spacing w:line="360" w:lineRule="auto"/>
        <w:ind w:firstLine="420" w:firstLineChars="200"/>
        <w:rPr>
          <w:rFonts w:ascii="宋体" w:hAnsi="宋体"/>
          <w:color w:val="000000"/>
          <w:kern w:val="0"/>
          <w:szCs w:val="21"/>
        </w:rPr>
      </w:pPr>
      <w:r>
        <w:rPr>
          <w:rFonts w:ascii="宋体" w:hAnsi="宋体"/>
          <w:color w:val="000000"/>
          <w:kern w:val="0"/>
          <w:szCs w:val="21"/>
        </w:rPr>
        <w:t xml:space="preserve">1.4.2 </w:t>
      </w:r>
      <w:r>
        <w:rPr>
          <w:rFonts w:hint="eastAsia" w:ascii="宋体" w:hAnsi="宋体"/>
          <w:color w:val="000000"/>
          <w:kern w:val="0"/>
          <w:szCs w:val="21"/>
        </w:rPr>
        <w:t>发包人提供国外标准、规范的名称：</w:t>
      </w:r>
      <w:permStart w:id="284" w:edGrp="everyone"/>
      <w:r>
        <w:rPr>
          <w:rFonts w:hint="eastAsia" w:ascii="宋体" w:hAnsi="宋体"/>
          <w:color w:val="000000"/>
          <w:kern w:val="0"/>
          <w:szCs w:val="21"/>
        </w:rPr>
        <w:t xml:space="preserve">     </w:t>
      </w:r>
      <w:r>
        <w:rPr>
          <w:rFonts w:ascii="宋体" w:hAnsi="宋体"/>
          <w:color w:val="000000"/>
          <w:kern w:val="0"/>
          <w:szCs w:val="21"/>
        </w:rPr>
        <w:t xml:space="preserve">      </w:t>
      </w:r>
      <w:r>
        <w:rPr>
          <w:rFonts w:hint="eastAsia" w:ascii="宋体" w:hAnsi="宋体"/>
          <w:color w:val="000000"/>
          <w:kern w:val="0"/>
          <w:szCs w:val="21"/>
        </w:rPr>
        <w:t xml:space="preserve">     ；</w:t>
      </w:r>
    </w:p>
    <w:permEnd w:id="284"/>
    <w:p>
      <w:pPr>
        <w:spacing w:line="360" w:lineRule="auto"/>
        <w:ind w:firstLine="420" w:firstLineChars="200"/>
        <w:rPr>
          <w:rFonts w:ascii="宋体" w:hAnsi="宋体"/>
          <w:color w:val="000000"/>
          <w:kern w:val="0"/>
          <w:szCs w:val="21"/>
        </w:rPr>
      </w:pPr>
      <w:r>
        <w:rPr>
          <w:rFonts w:hint="eastAsia" w:ascii="宋体" w:hAnsi="宋体"/>
          <w:color w:val="000000"/>
          <w:kern w:val="0"/>
          <w:szCs w:val="21"/>
        </w:rPr>
        <w:t>发包人提供国外标准、规范的份数：</w:t>
      </w:r>
      <w:permStart w:id="285" w:edGrp="everyone"/>
      <w:r>
        <w:rPr>
          <w:rFonts w:hint="eastAsia" w:ascii="宋体" w:hAnsi="宋体"/>
          <w:color w:val="000000"/>
          <w:kern w:val="0"/>
          <w:szCs w:val="21"/>
        </w:rPr>
        <w:t xml:space="preserve">         </w:t>
      </w:r>
      <w:r>
        <w:rPr>
          <w:rFonts w:ascii="宋体" w:hAnsi="宋体"/>
          <w:color w:val="000000"/>
          <w:kern w:val="0"/>
          <w:szCs w:val="21"/>
        </w:rPr>
        <w:t xml:space="preserve">            </w:t>
      </w:r>
      <w:r>
        <w:rPr>
          <w:rFonts w:hint="eastAsia" w:ascii="宋体" w:hAnsi="宋体"/>
          <w:color w:val="000000"/>
          <w:kern w:val="0"/>
          <w:szCs w:val="21"/>
        </w:rPr>
        <w:t xml:space="preserve">   ；</w:t>
      </w:r>
      <w:permEnd w:id="285"/>
    </w:p>
    <w:p>
      <w:pPr>
        <w:spacing w:line="360" w:lineRule="auto"/>
        <w:ind w:firstLine="420" w:firstLineChars="200"/>
        <w:rPr>
          <w:rFonts w:ascii="宋体" w:hAnsi="宋体"/>
          <w:color w:val="000000"/>
          <w:szCs w:val="21"/>
        </w:rPr>
      </w:pPr>
      <w:r>
        <w:rPr>
          <w:rFonts w:hint="eastAsia" w:ascii="宋体" w:hAnsi="宋体"/>
          <w:color w:val="000000"/>
          <w:kern w:val="0"/>
          <w:szCs w:val="21"/>
        </w:rPr>
        <w:t>发包人提供国外标准、规范的名称：</w:t>
      </w:r>
      <w:permStart w:id="286" w:edGrp="everyone"/>
      <w:r>
        <w:rPr>
          <w:rFonts w:hint="eastAsia" w:ascii="宋体" w:hAnsi="宋体"/>
          <w:color w:val="000000"/>
          <w:kern w:val="0"/>
          <w:szCs w:val="21"/>
        </w:rPr>
        <w:t xml:space="preserve">                      。</w:t>
      </w:r>
    </w:p>
    <w:permEnd w:id="286"/>
    <w:p>
      <w:pPr>
        <w:spacing w:line="360" w:lineRule="auto"/>
        <w:ind w:left="596" w:leftChars="284"/>
        <w:rPr>
          <w:rFonts w:ascii="宋体" w:hAnsi="宋体"/>
          <w:color w:val="000000"/>
          <w:szCs w:val="21"/>
        </w:rPr>
      </w:pPr>
      <w:r>
        <w:rPr>
          <w:rFonts w:ascii="宋体" w:hAnsi="宋体"/>
          <w:color w:val="000000"/>
          <w:szCs w:val="21"/>
        </w:rPr>
        <w:t>1.4.3</w:t>
      </w:r>
      <w:r>
        <w:rPr>
          <w:rFonts w:hint="eastAsia" w:ascii="宋体" w:hAnsi="宋体"/>
          <w:color w:val="000000"/>
          <w:szCs w:val="21"/>
        </w:rPr>
        <w:t>发包人对工程的技术标准和功能要求的特殊要求：</w:t>
      </w:r>
    </w:p>
    <w:p>
      <w:pPr>
        <w:spacing w:line="360" w:lineRule="auto"/>
        <w:rPr>
          <w:rFonts w:ascii="宋体" w:hAnsi="宋体"/>
          <w:color w:val="000000"/>
          <w:szCs w:val="21"/>
          <w:u w:val="single"/>
        </w:rPr>
      </w:pPr>
      <w:permStart w:id="287" w:edGrp="everyone"/>
      <w:r>
        <w:rPr>
          <w:rFonts w:hint="eastAsia" w:ascii="宋体" w:hAnsi="宋体" w:cs="仿宋_GB2312"/>
          <w:color w:val="000000"/>
          <w:szCs w:val="21"/>
          <w:u w:val="single"/>
        </w:rPr>
        <w:t></w:t>
      </w:r>
      <w:r>
        <w:rPr>
          <w:rFonts w:ascii="宋体" w:hAnsi="宋体"/>
          <w:color w:val="000000"/>
          <w:szCs w:val="21"/>
          <w:u w:val="single"/>
        </w:rPr>
        <w:t xml:space="preserve">        </w:t>
      </w:r>
      <w:r>
        <w:rPr>
          <w:rFonts w:hint="eastAsia" w:ascii="宋体" w:hAnsi="宋体" w:cs="仿宋_GB2312"/>
          <w:color w:val="000000"/>
          <w:szCs w:val="21"/>
          <w:u w:val="single"/>
        </w:rPr>
        <w:t xml:space="preserve">          </w:t>
      </w:r>
      <w:r>
        <w:rPr>
          <w:rFonts w:ascii="宋体" w:hAnsi="宋体" w:cs="仿宋_GB2312"/>
          <w:color w:val="000000"/>
          <w:szCs w:val="21"/>
          <w:u w:val="single"/>
        </w:rPr>
        <w:t xml:space="preserve">           </w:t>
      </w:r>
      <w:r>
        <w:rPr>
          <w:rFonts w:hint="eastAsia" w:ascii="宋体" w:hAnsi="宋体" w:cs="仿宋_GB2312"/>
          <w:color w:val="000000"/>
          <w:szCs w:val="21"/>
          <w:u w:val="single"/>
        </w:rPr>
        <w:t xml:space="preserve">               </w:t>
      </w:r>
      <w:r>
        <w:rPr>
          <w:rFonts w:ascii="宋体" w:hAnsi="宋体"/>
          <w:color w:val="000000"/>
          <w:szCs w:val="21"/>
          <w:u w:val="single"/>
        </w:rPr>
        <w:t xml:space="preserve"> </w:t>
      </w:r>
    </w:p>
    <w:p>
      <w:pPr>
        <w:spacing w:line="360" w:lineRule="auto"/>
        <w:rPr>
          <w:rFonts w:ascii="宋体" w:hAnsi="宋体"/>
          <w:color w:val="000000"/>
          <w:szCs w:val="21"/>
        </w:rPr>
      </w:pPr>
      <w:r>
        <w:rPr>
          <w:rFonts w:ascii="宋体" w:hAnsi="宋体"/>
          <w:color w:val="000000"/>
          <w:szCs w:val="21"/>
          <w:u w:val="single"/>
        </w:rPr>
        <w:t xml:space="preserve">                                                                                 </w:t>
      </w:r>
      <w:r>
        <w:rPr>
          <w:rFonts w:hint="eastAsia" w:ascii="宋体" w:hAnsi="宋体"/>
          <w:color w:val="000000"/>
          <w:szCs w:val="21"/>
        </w:rPr>
        <w:t>。</w:t>
      </w:r>
    </w:p>
    <w:permEnd w:id="287"/>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 xml:space="preserve">1.5 </w:t>
      </w:r>
      <w:r>
        <w:rPr>
          <w:rFonts w:hint="eastAsia" w:ascii="黑体" w:hAnsi="黑体" w:eastAsia="黑体"/>
          <w:color w:val="000000"/>
          <w:szCs w:val="21"/>
        </w:rPr>
        <w:t>合同文件的优先顺序</w:t>
      </w:r>
    </w:p>
    <w:p>
      <w:pPr>
        <w:spacing w:line="360" w:lineRule="auto"/>
        <w:ind w:firstLine="420" w:firstLineChars="200"/>
        <w:rPr>
          <w:rFonts w:ascii="宋体" w:hAnsi="宋体" w:cs="仿宋_GB2312"/>
          <w:color w:val="000000"/>
          <w:szCs w:val="21"/>
          <w:u w:val="single"/>
        </w:rPr>
      </w:pPr>
      <w:r>
        <w:rPr>
          <w:rFonts w:hint="eastAsia" w:ascii="宋体" w:hAnsi="宋体"/>
          <w:color w:val="000000"/>
          <w:szCs w:val="21"/>
        </w:rPr>
        <w:t>合同文件组成及优先顺序为：</w:t>
      </w:r>
      <w:permStart w:id="288" w:edGrp="everyone"/>
      <w:r>
        <w:rPr>
          <w:rFonts w:hint="eastAsia" w:ascii="宋体" w:hAnsi="宋体" w:cs="仿宋_GB2312"/>
          <w:color w:val="000000"/>
          <w:szCs w:val="21"/>
          <w:u w:val="single"/>
        </w:rPr>
        <w:t></w:t>
      </w:r>
    </w:p>
    <w:p>
      <w:pPr>
        <w:spacing w:line="360" w:lineRule="auto"/>
        <w:ind w:firstLine="420" w:firstLineChars="200"/>
        <w:rPr>
          <w:rFonts w:ascii="宋体" w:hAnsi="宋体"/>
          <w:color w:val="000000"/>
          <w:szCs w:val="21"/>
        </w:rPr>
      </w:pPr>
      <w:r>
        <w:rPr>
          <w:rFonts w:hint="eastAsia" w:ascii="宋体" w:hAnsi="宋体" w:cs="仿宋_GB2312"/>
          <w:color w:val="000000"/>
          <w:szCs w:val="21"/>
          <w:u w:val="single"/>
        </w:rPr>
        <w:t>                                            </w:t>
      </w:r>
      <w:r>
        <w:rPr>
          <w:rFonts w:ascii="宋体" w:hAnsi="宋体"/>
          <w:color w:val="000000"/>
          <w:szCs w:val="21"/>
          <w:u w:val="single"/>
        </w:rPr>
        <w:t xml:space="preserve">  </w:t>
      </w:r>
      <w:r>
        <w:rPr>
          <w:rFonts w:hint="eastAsia" w:ascii="宋体" w:hAnsi="宋体"/>
          <w:color w:val="000000"/>
          <w:szCs w:val="21"/>
        </w:rPr>
        <w:t>。</w:t>
      </w:r>
    </w:p>
    <w:permEnd w:id="288"/>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 xml:space="preserve">1.6 </w:t>
      </w:r>
      <w:r>
        <w:rPr>
          <w:rFonts w:hint="eastAsia" w:ascii="黑体" w:hAnsi="黑体" w:eastAsia="黑体"/>
          <w:color w:val="000000"/>
          <w:szCs w:val="21"/>
        </w:rPr>
        <w:t>图纸和承包人文件</w:t>
      </w:r>
      <w:r>
        <w:rPr>
          <w:rFonts w:ascii="黑体" w:hAnsi="黑体" w:eastAsia="黑体"/>
          <w:color w:val="000000"/>
          <w:szCs w:val="21"/>
        </w:rPr>
        <w:tab/>
      </w:r>
    </w:p>
    <w:p>
      <w:pPr>
        <w:spacing w:line="360" w:lineRule="auto"/>
        <w:ind w:firstLine="420" w:firstLineChars="200"/>
        <w:rPr>
          <w:rFonts w:ascii="宋体" w:hAnsi="宋体"/>
          <w:color w:val="000000"/>
          <w:szCs w:val="21"/>
        </w:rPr>
      </w:pPr>
      <w:r>
        <w:rPr>
          <w:rFonts w:ascii="宋体" w:hAnsi="宋体"/>
          <w:color w:val="000000"/>
          <w:szCs w:val="21"/>
        </w:rPr>
        <w:t xml:space="preserve">1.6.1 </w:t>
      </w:r>
      <w:r>
        <w:rPr>
          <w:rFonts w:hint="eastAsia" w:ascii="宋体" w:hAnsi="宋体"/>
          <w:color w:val="000000"/>
          <w:szCs w:val="21"/>
        </w:rPr>
        <w:t>图纸的提供</w:t>
      </w:r>
    </w:p>
    <w:p>
      <w:pPr>
        <w:spacing w:line="360" w:lineRule="auto"/>
        <w:ind w:firstLine="420" w:firstLineChars="200"/>
        <w:rPr>
          <w:rFonts w:ascii="宋体" w:hAnsi="宋体"/>
          <w:color w:val="000000"/>
          <w:szCs w:val="21"/>
        </w:rPr>
      </w:pPr>
      <w:r>
        <w:rPr>
          <w:rFonts w:hint="eastAsia" w:ascii="宋体" w:hAnsi="宋体"/>
          <w:color w:val="000000"/>
          <w:szCs w:val="21"/>
        </w:rPr>
        <w:t>发包人向承包人提供图纸的期限：</w:t>
      </w:r>
      <w:permStart w:id="289" w:edGrp="everyone"/>
      <w:r>
        <w:rPr>
          <w:rFonts w:hint="eastAsia" w:ascii="宋体" w:hAnsi="宋体" w:cs="仿宋_GB2312"/>
          <w:color w:val="000000"/>
          <w:szCs w:val="21"/>
          <w:u w:val="single"/>
        </w:rPr>
        <w:t></w:t>
      </w:r>
      <w:r>
        <w:rPr>
          <w:rFonts w:hint="eastAsia" w:ascii="宋体" w:hAnsi="宋体"/>
          <w:color w:val="000000"/>
          <w:szCs w:val="21"/>
        </w:rPr>
        <w:t>；</w:t>
      </w:r>
    </w:p>
    <w:permEnd w:id="289"/>
    <w:p>
      <w:pPr>
        <w:spacing w:line="360" w:lineRule="auto"/>
        <w:ind w:firstLine="420" w:firstLineChars="200"/>
        <w:rPr>
          <w:rFonts w:ascii="宋体" w:hAnsi="宋体"/>
          <w:color w:val="000000"/>
          <w:szCs w:val="21"/>
        </w:rPr>
      </w:pPr>
      <w:r>
        <w:rPr>
          <w:rFonts w:hint="eastAsia" w:ascii="宋体" w:hAnsi="宋体"/>
          <w:color w:val="000000"/>
          <w:szCs w:val="21"/>
        </w:rPr>
        <w:t>发包人向承包人提供图纸的数量：</w:t>
      </w:r>
      <w:permStart w:id="290" w:edGrp="everyone"/>
      <w:r>
        <w:rPr>
          <w:rFonts w:hint="eastAsia" w:ascii="宋体" w:hAnsi="宋体" w:cs="仿宋_GB2312"/>
          <w:color w:val="000000"/>
          <w:szCs w:val="21"/>
          <w:u w:val="single"/>
        </w:rPr>
        <w:t></w:t>
      </w:r>
      <w:r>
        <w:rPr>
          <w:rFonts w:hint="eastAsia" w:ascii="宋体" w:hAnsi="宋体"/>
          <w:color w:val="000000"/>
          <w:szCs w:val="21"/>
        </w:rPr>
        <w:t>；</w:t>
      </w:r>
    </w:p>
    <w:permEnd w:id="290"/>
    <w:p>
      <w:pPr>
        <w:spacing w:line="360" w:lineRule="auto"/>
        <w:ind w:firstLine="420" w:firstLineChars="200"/>
        <w:rPr>
          <w:rFonts w:ascii="宋体" w:hAnsi="宋体"/>
          <w:color w:val="000000"/>
          <w:szCs w:val="21"/>
        </w:rPr>
      </w:pPr>
      <w:r>
        <w:rPr>
          <w:rFonts w:hint="eastAsia" w:ascii="宋体" w:hAnsi="宋体"/>
          <w:color w:val="000000"/>
          <w:szCs w:val="21"/>
        </w:rPr>
        <w:t>发包人向承包人提供图纸的内容：</w:t>
      </w:r>
      <w:permStart w:id="291" w:edGrp="everyone"/>
      <w:r>
        <w:rPr>
          <w:rFonts w:hint="eastAsia" w:ascii="宋体" w:hAnsi="宋体" w:cs="仿宋_GB2312"/>
          <w:color w:val="000000"/>
          <w:szCs w:val="21"/>
          <w:u w:val="single"/>
        </w:rPr>
        <w:t></w:t>
      </w:r>
      <w:r>
        <w:rPr>
          <w:rFonts w:hint="eastAsia" w:ascii="宋体" w:hAnsi="宋体"/>
          <w:color w:val="000000"/>
          <w:szCs w:val="21"/>
        </w:rPr>
        <w:t>。</w:t>
      </w:r>
    </w:p>
    <w:permEnd w:id="291"/>
    <w:p>
      <w:pPr>
        <w:spacing w:line="360" w:lineRule="auto"/>
        <w:ind w:firstLine="420" w:firstLineChars="200"/>
        <w:rPr>
          <w:rFonts w:ascii="宋体" w:hAnsi="宋体"/>
          <w:color w:val="000000"/>
          <w:szCs w:val="21"/>
        </w:rPr>
      </w:pPr>
      <w:r>
        <w:rPr>
          <w:rFonts w:ascii="宋体" w:hAnsi="宋体"/>
          <w:color w:val="000000"/>
          <w:szCs w:val="21"/>
        </w:rPr>
        <w:t xml:space="preserve">1.6.4 </w:t>
      </w:r>
      <w:r>
        <w:rPr>
          <w:rFonts w:hint="eastAsia" w:ascii="宋体" w:hAnsi="宋体"/>
          <w:color w:val="000000"/>
          <w:szCs w:val="21"/>
        </w:rPr>
        <w:t>承包人文件</w:t>
      </w:r>
    </w:p>
    <w:p>
      <w:pPr>
        <w:spacing w:line="360" w:lineRule="auto"/>
        <w:ind w:left="596" w:leftChars="284"/>
        <w:jc w:val="left"/>
        <w:rPr>
          <w:rFonts w:ascii="宋体" w:hAnsi="宋体"/>
          <w:color w:val="000000"/>
          <w:szCs w:val="21"/>
          <w:u w:val="single"/>
        </w:rPr>
      </w:pPr>
      <w:r>
        <w:rPr>
          <w:rFonts w:hint="eastAsia" w:ascii="宋体" w:hAnsi="宋体"/>
          <w:color w:val="000000"/>
          <w:szCs w:val="21"/>
        </w:rPr>
        <w:t>需要由承包人提供</w:t>
      </w:r>
      <w:r>
        <w:rPr>
          <w:rFonts w:hint="eastAsia" w:ascii="宋体" w:hAnsi="宋体"/>
          <w:color w:val="000000"/>
          <w:szCs w:val="21"/>
          <w:lang w:eastAsia="zh-CN"/>
        </w:rPr>
        <w:t>地</w:t>
      </w:r>
      <w:r>
        <w:rPr>
          <w:rFonts w:hint="eastAsia" w:ascii="宋体" w:hAnsi="宋体"/>
          <w:color w:val="000000"/>
          <w:szCs w:val="21"/>
        </w:rPr>
        <w:t>文件，包括：</w:t>
      </w:r>
      <w:permStart w:id="292" w:edGrp="everyone"/>
      <w:r>
        <w:rPr>
          <w:rFonts w:hint="eastAsia" w:ascii="宋体" w:hAnsi="宋体" w:cs="仿宋_GB2312"/>
          <w:color w:val="000000"/>
          <w:szCs w:val="21"/>
          <w:u w:val="single"/>
        </w:rPr>
        <w:t></w:t>
      </w:r>
    </w:p>
    <w:p>
      <w:pPr>
        <w:spacing w:line="360" w:lineRule="auto"/>
        <w:ind w:left="596" w:leftChars="284"/>
        <w:jc w:val="left"/>
        <w:rPr>
          <w:rFonts w:ascii="宋体" w:hAnsi="宋体"/>
          <w:color w:val="000000"/>
          <w:szCs w:val="21"/>
        </w:rPr>
      </w:pPr>
      <w:r>
        <w:rPr>
          <w:rFonts w:hint="eastAsia" w:ascii="宋体" w:hAnsi="宋体" w:cs="仿宋_GB2312"/>
          <w:color w:val="000000"/>
          <w:szCs w:val="21"/>
          <w:u w:val="single"/>
        </w:rPr>
        <w:t></w:t>
      </w:r>
      <w:r>
        <w:rPr>
          <w:rFonts w:hint="eastAsia" w:ascii="宋体" w:hAnsi="宋体"/>
          <w:color w:val="000000"/>
          <w:szCs w:val="21"/>
        </w:rPr>
        <w:t>；</w:t>
      </w:r>
    </w:p>
    <w:permEnd w:id="292"/>
    <w:p>
      <w:pPr>
        <w:spacing w:line="360" w:lineRule="auto"/>
        <w:ind w:firstLine="420" w:firstLineChars="200"/>
        <w:rPr>
          <w:rFonts w:ascii="宋体" w:hAnsi="宋体"/>
          <w:color w:val="000000"/>
          <w:szCs w:val="21"/>
        </w:rPr>
      </w:pPr>
      <w:r>
        <w:rPr>
          <w:rFonts w:hint="eastAsia" w:ascii="宋体" w:hAnsi="宋体"/>
          <w:color w:val="000000"/>
          <w:szCs w:val="21"/>
        </w:rPr>
        <w:t>承包人提供的文件的期限为：</w:t>
      </w:r>
      <w:permStart w:id="293" w:edGrp="everyone"/>
      <w:r>
        <w:rPr>
          <w:rFonts w:hint="eastAsia" w:ascii="宋体" w:hAnsi="宋体" w:cs="仿宋_GB2312"/>
          <w:color w:val="000000"/>
          <w:szCs w:val="21"/>
          <w:u w:val="single"/>
        </w:rPr>
        <w:t></w:t>
      </w:r>
      <w:r>
        <w:rPr>
          <w:rFonts w:ascii="宋体" w:hAnsi="宋体"/>
          <w:color w:val="000000"/>
          <w:szCs w:val="21"/>
          <w:u w:val="single"/>
        </w:rPr>
        <w:t xml:space="preserve">     </w:t>
      </w:r>
      <w:r>
        <w:rPr>
          <w:rFonts w:hint="eastAsia" w:ascii="宋体" w:hAnsi="宋体" w:cs="仿宋_GB2312"/>
          <w:color w:val="000000"/>
          <w:szCs w:val="21"/>
          <w:u w:val="single"/>
        </w:rPr>
        <w:t></w:t>
      </w:r>
      <w:r>
        <w:rPr>
          <w:rFonts w:hint="eastAsia" w:ascii="宋体" w:hAnsi="宋体"/>
          <w:color w:val="000000"/>
          <w:szCs w:val="21"/>
        </w:rPr>
        <w:t>；</w:t>
      </w:r>
    </w:p>
    <w:permEnd w:id="293"/>
    <w:p>
      <w:pPr>
        <w:spacing w:line="360" w:lineRule="auto"/>
        <w:ind w:firstLine="420" w:firstLineChars="200"/>
        <w:rPr>
          <w:rFonts w:ascii="宋体" w:hAnsi="宋体"/>
          <w:color w:val="000000"/>
          <w:szCs w:val="21"/>
        </w:rPr>
      </w:pPr>
      <w:r>
        <w:rPr>
          <w:rFonts w:hint="eastAsia" w:ascii="宋体" w:hAnsi="宋体"/>
          <w:color w:val="000000"/>
          <w:szCs w:val="21"/>
        </w:rPr>
        <w:t>承包人提供的文件的数量为：</w:t>
      </w:r>
      <w:permStart w:id="294" w:edGrp="everyone"/>
      <w:r>
        <w:rPr>
          <w:rFonts w:hint="eastAsia" w:ascii="宋体" w:hAnsi="宋体" w:cs="仿宋_GB2312"/>
          <w:color w:val="000000"/>
          <w:szCs w:val="21"/>
          <w:u w:val="single"/>
        </w:rPr>
        <w:t></w:t>
      </w:r>
      <w:r>
        <w:rPr>
          <w:rFonts w:hint="eastAsia" w:ascii="宋体" w:hAnsi="宋体"/>
          <w:color w:val="000000"/>
          <w:szCs w:val="21"/>
        </w:rPr>
        <w:t>；</w:t>
      </w:r>
    </w:p>
    <w:permEnd w:id="294"/>
    <w:p>
      <w:pPr>
        <w:spacing w:line="360" w:lineRule="auto"/>
        <w:ind w:firstLine="420" w:firstLineChars="200"/>
        <w:rPr>
          <w:rFonts w:ascii="宋体" w:hAnsi="宋体"/>
          <w:color w:val="000000"/>
          <w:szCs w:val="21"/>
        </w:rPr>
      </w:pPr>
      <w:r>
        <w:rPr>
          <w:rFonts w:hint="eastAsia" w:ascii="宋体" w:hAnsi="宋体"/>
          <w:color w:val="000000"/>
          <w:szCs w:val="21"/>
        </w:rPr>
        <w:t>承包人提供的文件的形式为：</w:t>
      </w:r>
      <w:permStart w:id="295" w:edGrp="everyone"/>
      <w:r>
        <w:rPr>
          <w:rFonts w:hint="eastAsia" w:ascii="宋体" w:hAnsi="宋体" w:cs="仿宋_GB2312"/>
          <w:color w:val="000000"/>
          <w:szCs w:val="21"/>
          <w:u w:val="single"/>
        </w:rPr>
        <w:t></w:t>
      </w:r>
      <w:r>
        <w:rPr>
          <w:rFonts w:ascii="宋体" w:hAnsi="宋体"/>
          <w:color w:val="000000"/>
          <w:szCs w:val="21"/>
          <w:u w:val="single"/>
        </w:rPr>
        <w:t xml:space="preserve">       </w:t>
      </w:r>
      <w:r>
        <w:rPr>
          <w:rFonts w:hint="eastAsia" w:ascii="宋体" w:hAnsi="宋体" w:cs="仿宋_GB2312"/>
          <w:color w:val="000000"/>
          <w:szCs w:val="21"/>
          <w:u w:val="single"/>
        </w:rPr>
        <w:t></w:t>
      </w:r>
      <w:r>
        <w:rPr>
          <w:rFonts w:hint="eastAsia" w:ascii="宋体" w:hAnsi="宋体"/>
          <w:color w:val="000000"/>
          <w:szCs w:val="21"/>
        </w:rPr>
        <w:t>；</w:t>
      </w:r>
    </w:p>
    <w:permEnd w:id="295"/>
    <w:p>
      <w:pPr>
        <w:spacing w:line="360" w:lineRule="auto"/>
        <w:ind w:firstLine="420" w:firstLineChars="200"/>
        <w:rPr>
          <w:rFonts w:ascii="宋体" w:hAnsi="宋体"/>
          <w:color w:val="000000"/>
          <w:szCs w:val="21"/>
        </w:rPr>
      </w:pPr>
      <w:r>
        <w:rPr>
          <w:rFonts w:hint="eastAsia" w:ascii="宋体" w:hAnsi="宋体"/>
          <w:color w:val="000000"/>
          <w:szCs w:val="21"/>
        </w:rPr>
        <w:t>发包人审批承包人文件的期限：</w:t>
      </w:r>
      <w:permStart w:id="296" w:edGrp="everyone"/>
      <w:r>
        <w:rPr>
          <w:rFonts w:hint="eastAsia" w:ascii="宋体" w:hAnsi="宋体" w:cs="仿宋_GB2312"/>
          <w:color w:val="000000"/>
          <w:szCs w:val="21"/>
          <w:u w:val="single"/>
        </w:rPr>
        <w:t></w:t>
      </w:r>
      <w:r>
        <w:rPr>
          <w:rFonts w:ascii="宋体" w:hAnsi="宋体"/>
          <w:color w:val="000000"/>
          <w:szCs w:val="21"/>
          <w:u w:val="single"/>
        </w:rPr>
        <w:t xml:space="preserve">      </w:t>
      </w:r>
      <w:r>
        <w:rPr>
          <w:rFonts w:hint="eastAsia" w:ascii="宋体" w:hAnsi="宋体" w:cs="仿宋_GB2312"/>
          <w:color w:val="000000"/>
          <w:szCs w:val="21"/>
          <w:u w:val="single"/>
        </w:rPr>
        <w:t></w:t>
      </w:r>
      <w:r>
        <w:rPr>
          <w:rFonts w:hint="eastAsia" w:ascii="宋体" w:hAnsi="宋体"/>
          <w:color w:val="000000"/>
          <w:szCs w:val="21"/>
        </w:rPr>
        <w:t>。</w:t>
      </w:r>
    </w:p>
    <w:permEnd w:id="296"/>
    <w:p>
      <w:pPr>
        <w:spacing w:line="360" w:lineRule="auto"/>
        <w:ind w:firstLine="420" w:firstLineChars="200"/>
        <w:rPr>
          <w:rFonts w:ascii="宋体" w:hAnsi="宋体"/>
          <w:color w:val="000000"/>
          <w:szCs w:val="21"/>
        </w:rPr>
      </w:pPr>
      <w:r>
        <w:rPr>
          <w:rFonts w:ascii="宋体" w:hAnsi="宋体"/>
          <w:color w:val="000000"/>
          <w:szCs w:val="21"/>
        </w:rPr>
        <w:t xml:space="preserve">1.6.5 </w:t>
      </w:r>
      <w:r>
        <w:rPr>
          <w:rFonts w:hint="eastAsia" w:ascii="宋体" w:hAnsi="宋体"/>
          <w:color w:val="000000"/>
          <w:szCs w:val="21"/>
        </w:rPr>
        <w:t>现场图纸准备</w:t>
      </w:r>
    </w:p>
    <w:p>
      <w:pPr>
        <w:spacing w:line="360" w:lineRule="auto"/>
        <w:ind w:firstLine="420" w:firstLineChars="200"/>
        <w:rPr>
          <w:rFonts w:ascii="宋体" w:hAnsi="宋体"/>
          <w:color w:val="000000"/>
          <w:szCs w:val="21"/>
        </w:rPr>
      </w:pPr>
      <w:r>
        <w:rPr>
          <w:rFonts w:hint="eastAsia" w:ascii="宋体" w:hAnsi="宋体"/>
          <w:color w:val="000000"/>
          <w:szCs w:val="21"/>
        </w:rPr>
        <w:t>关于现场图纸准备的约定：</w:t>
      </w:r>
      <w:permStart w:id="297" w:edGrp="everyone"/>
      <w:r>
        <w:rPr>
          <w:rFonts w:hint="eastAsia" w:ascii="宋体" w:hAnsi="宋体" w:cs="仿宋_GB2312"/>
          <w:color w:val="000000"/>
          <w:szCs w:val="21"/>
          <w:u w:val="single"/>
        </w:rPr>
        <w:t></w:t>
      </w:r>
      <w:r>
        <w:rPr>
          <w:rFonts w:ascii="宋体" w:hAnsi="宋体"/>
          <w:color w:val="000000"/>
          <w:szCs w:val="21"/>
          <w:u w:val="single"/>
        </w:rPr>
        <w:t xml:space="preserve">         </w:t>
      </w:r>
      <w:r>
        <w:rPr>
          <w:rFonts w:hint="eastAsia" w:ascii="宋体" w:hAnsi="宋体" w:cs="仿宋_GB2312"/>
          <w:color w:val="000000"/>
          <w:szCs w:val="21"/>
          <w:u w:val="single"/>
        </w:rPr>
        <w:t></w:t>
      </w:r>
      <w:r>
        <w:rPr>
          <w:rFonts w:hint="eastAsia" w:ascii="宋体" w:hAnsi="宋体"/>
          <w:color w:val="000000"/>
          <w:szCs w:val="21"/>
        </w:rPr>
        <w:t>。</w:t>
      </w:r>
    </w:p>
    <w:permEnd w:id="297"/>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 xml:space="preserve">1.7 </w:t>
      </w:r>
      <w:r>
        <w:rPr>
          <w:rFonts w:hint="eastAsia" w:ascii="黑体" w:hAnsi="黑体" w:eastAsia="黑体"/>
          <w:color w:val="000000"/>
          <w:szCs w:val="21"/>
        </w:rPr>
        <w:t>联络</w:t>
      </w:r>
    </w:p>
    <w:p>
      <w:pPr>
        <w:spacing w:line="360" w:lineRule="auto"/>
        <w:ind w:firstLine="420" w:firstLineChars="200"/>
        <w:rPr>
          <w:rFonts w:ascii="宋体" w:hAnsi="宋体"/>
          <w:color w:val="000000"/>
          <w:kern w:val="0"/>
          <w:szCs w:val="21"/>
        </w:rPr>
      </w:pPr>
      <w:r>
        <w:rPr>
          <w:rFonts w:ascii="宋体" w:hAnsi="宋体"/>
          <w:color w:val="000000"/>
          <w:kern w:val="0"/>
          <w:szCs w:val="21"/>
        </w:rPr>
        <w:t>1.7.1</w:t>
      </w:r>
      <w:r>
        <w:rPr>
          <w:rFonts w:hint="eastAsia" w:ascii="宋体" w:hAnsi="宋体"/>
          <w:color w:val="000000"/>
          <w:kern w:val="0"/>
          <w:szCs w:val="21"/>
        </w:rPr>
        <w:t>发包人和承包人应当在</w:t>
      </w:r>
      <w:permStart w:id="298" w:edGrp="everyone"/>
      <w:r>
        <w:rPr>
          <w:rFonts w:hint="eastAsia" w:ascii="宋体" w:hAnsi="宋体" w:cs="仿宋_GB2312"/>
          <w:color w:val="000000"/>
          <w:szCs w:val="21"/>
          <w:u w:val="single"/>
        </w:rPr>
        <w:t></w:t>
      </w:r>
      <w:permEnd w:id="298"/>
      <w:r>
        <w:rPr>
          <w:rFonts w:hint="eastAsia" w:ascii="宋体" w:hAnsi="宋体"/>
          <w:color w:val="000000"/>
          <w:kern w:val="0"/>
          <w:szCs w:val="21"/>
        </w:rPr>
        <w:t>天内将与合同有关的通知、批准、证明、证书、指示、指令、要求、请求、同意、意见、确定和决定等书面函件送达对方当事人。</w:t>
      </w:r>
    </w:p>
    <w:p>
      <w:pPr>
        <w:spacing w:line="360" w:lineRule="auto"/>
        <w:ind w:firstLine="420" w:firstLineChars="200"/>
        <w:rPr>
          <w:rFonts w:ascii="宋体" w:hAnsi="宋体"/>
          <w:color w:val="000000"/>
          <w:kern w:val="0"/>
          <w:szCs w:val="21"/>
        </w:rPr>
      </w:pPr>
      <w:r>
        <w:rPr>
          <w:rFonts w:ascii="宋体" w:hAnsi="宋体"/>
          <w:color w:val="000000"/>
          <w:kern w:val="0"/>
          <w:szCs w:val="21"/>
        </w:rPr>
        <w:t xml:space="preserve">1.7.2 </w:t>
      </w:r>
      <w:r>
        <w:rPr>
          <w:rFonts w:hint="eastAsia" w:ascii="宋体" w:hAnsi="宋体"/>
          <w:color w:val="000000"/>
          <w:kern w:val="0"/>
          <w:szCs w:val="21"/>
        </w:rPr>
        <w:t>发包人接收文件的地点：</w:t>
      </w:r>
      <w:permStart w:id="299" w:edGrp="everyone"/>
      <w:r>
        <w:rPr>
          <w:rFonts w:hint="eastAsia" w:ascii="宋体" w:hAnsi="宋体" w:cs="仿宋_GB2312"/>
          <w:color w:val="000000"/>
          <w:szCs w:val="21"/>
          <w:u w:val="single"/>
        </w:rPr>
        <w:t></w:t>
      </w:r>
      <w:r>
        <w:rPr>
          <w:rFonts w:hint="eastAsia" w:ascii="宋体" w:hAnsi="宋体"/>
          <w:color w:val="000000"/>
          <w:kern w:val="0"/>
          <w:szCs w:val="21"/>
        </w:rPr>
        <w:t>；</w:t>
      </w:r>
      <w:permEnd w:id="299"/>
    </w:p>
    <w:p>
      <w:pPr>
        <w:spacing w:line="360" w:lineRule="auto"/>
        <w:ind w:firstLine="420" w:firstLineChars="200"/>
        <w:rPr>
          <w:rFonts w:ascii="宋体" w:hAnsi="宋体"/>
          <w:color w:val="000000"/>
          <w:kern w:val="0"/>
          <w:szCs w:val="21"/>
        </w:rPr>
      </w:pPr>
      <w:r>
        <w:rPr>
          <w:rFonts w:hint="eastAsia" w:ascii="宋体" w:hAnsi="宋体"/>
          <w:color w:val="000000"/>
          <w:kern w:val="0"/>
          <w:szCs w:val="21"/>
        </w:rPr>
        <w:t>发包人指定的接收人为：</w:t>
      </w:r>
      <w:permStart w:id="300" w:edGrp="everyone"/>
      <w:r>
        <w:rPr>
          <w:rFonts w:hint="eastAsia" w:ascii="宋体" w:hAnsi="宋体" w:cs="仿宋_GB2312"/>
          <w:color w:val="000000"/>
          <w:szCs w:val="21"/>
          <w:u w:val="single"/>
        </w:rPr>
        <w:t></w:t>
      </w:r>
      <w:r>
        <w:rPr>
          <w:rFonts w:ascii="宋体" w:hAnsi="宋体"/>
          <w:color w:val="000000"/>
          <w:szCs w:val="21"/>
          <w:u w:val="single"/>
        </w:rPr>
        <w:t xml:space="preserve">       </w:t>
      </w:r>
      <w:r>
        <w:rPr>
          <w:rFonts w:hint="eastAsia" w:ascii="宋体" w:hAnsi="宋体" w:cs="仿宋_GB2312"/>
          <w:color w:val="000000"/>
          <w:szCs w:val="21"/>
          <w:u w:val="single"/>
        </w:rPr>
        <w:t></w:t>
      </w:r>
      <w:r>
        <w:rPr>
          <w:rFonts w:hint="eastAsia" w:ascii="宋体" w:hAnsi="宋体"/>
          <w:color w:val="000000"/>
          <w:kern w:val="0"/>
          <w:szCs w:val="21"/>
        </w:rPr>
        <w:t>。</w:t>
      </w:r>
    </w:p>
    <w:permEnd w:id="300"/>
    <w:p>
      <w:pPr>
        <w:spacing w:line="360" w:lineRule="auto"/>
        <w:ind w:firstLine="420" w:firstLineChars="200"/>
        <w:rPr>
          <w:rFonts w:ascii="宋体" w:hAnsi="宋体"/>
          <w:color w:val="000000"/>
          <w:kern w:val="0"/>
          <w:szCs w:val="21"/>
        </w:rPr>
      </w:pPr>
      <w:r>
        <w:rPr>
          <w:rFonts w:hint="eastAsia" w:ascii="宋体" w:hAnsi="宋体"/>
          <w:color w:val="000000"/>
          <w:kern w:val="0"/>
          <w:szCs w:val="21"/>
        </w:rPr>
        <w:t>承包人接收文件的地点：</w:t>
      </w:r>
      <w:permStart w:id="301" w:edGrp="everyone"/>
      <w:r>
        <w:rPr>
          <w:rFonts w:hint="eastAsia" w:ascii="宋体" w:hAnsi="宋体" w:cs="仿宋_GB2312"/>
          <w:color w:val="000000"/>
          <w:szCs w:val="21"/>
          <w:u w:val="single"/>
        </w:rPr>
        <w:t></w:t>
      </w:r>
      <w:r>
        <w:rPr>
          <w:rFonts w:ascii="宋体" w:hAnsi="宋体"/>
          <w:color w:val="000000"/>
          <w:szCs w:val="21"/>
          <w:u w:val="single"/>
        </w:rPr>
        <w:t xml:space="preserve">             </w:t>
      </w:r>
      <w:r>
        <w:rPr>
          <w:rFonts w:hint="eastAsia" w:ascii="宋体" w:hAnsi="宋体" w:cs="仿宋_GB2312"/>
          <w:color w:val="000000"/>
          <w:szCs w:val="21"/>
          <w:u w:val="single"/>
        </w:rPr>
        <w:t></w:t>
      </w:r>
      <w:r>
        <w:rPr>
          <w:rFonts w:hint="eastAsia" w:ascii="宋体" w:hAnsi="宋体"/>
          <w:color w:val="000000"/>
          <w:kern w:val="0"/>
          <w:szCs w:val="21"/>
        </w:rPr>
        <w:t>；</w:t>
      </w:r>
    </w:p>
    <w:permEnd w:id="301"/>
    <w:p>
      <w:pPr>
        <w:spacing w:line="360" w:lineRule="auto"/>
        <w:ind w:firstLine="420" w:firstLineChars="200"/>
        <w:rPr>
          <w:rFonts w:ascii="宋体" w:hAnsi="宋体"/>
          <w:color w:val="000000"/>
          <w:kern w:val="0"/>
          <w:szCs w:val="21"/>
        </w:rPr>
      </w:pPr>
      <w:r>
        <w:rPr>
          <w:rFonts w:hint="eastAsia" w:ascii="宋体" w:hAnsi="宋体"/>
          <w:color w:val="000000"/>
          <w:kern w:val="0"/>
          <w:szCs w:val="21"/>
        </w:rPr>
        <w:t>承包人指定的接收人为：</w:t>
      </w:r>
      <w:permStart w:id="302" w:edGrp="everyone"/>
      <w:r>
        <w:rPr>
          <w:rFonts w:hint="eastAsia" w:ascii="宋体" w:hAnsi="宋体" w:cs="仿宋_GB2312"/>
          <w:color w:val="000000"/>
          <w:szCs w:val="21"/>
          <w:u w:val="single"/>
        </w:rPr>
        <w:t></w:t>
      </w:r>
      <w:r>
        <w:rPr>
          <w:rFonts w:ascii="宋体" w:hAnsi="宋体"/>
          <w:color w:val="000000"/>
          <w:szCs w:val="21"/>
          <w:u w:val="single"/>
        </w:rPr>
        <w:t xml:space="preserve">             </w:t>
      </w:r>
      <w:r>
        <w:rPr>
          <w:rFonts w:hint="eastAsia" w:ascii="宋体" w:hAnsi="宋体" w:cs="仿宋_GB2312"/>
          <w:color w:val="000000"/>
          <w:szCs w:val="21"/>
          <w:u w:val="single"/>
        </w:rPr>
        <w:t></w:t>
      </w:r>
      <w:r>
        <w:rPr>
          <w:rFonts w:hint="eastAsia" w:ascii="宋体" w:hAnsi="宋体"/>
          <w:color w:val="000000"/>
          <w:kern w:val="0"/>
          <w:szCs w:val="21"/>
        </w:rPr>
        <w:t>。</w:t>
      </w:r>
    </w:p>
    <w:permEnd w:id="302"/>
    <w:p>
      <w:pPr>
        <w:spacing w:line="360" w:lineRule="auto"/>
        <w:ind w:firstLine="420" w:firstLineChars="200"/>
        <w:rPr>
          <w:rFonts w:ascii="宋体" w:hAnsi="宋体"/>
          <w:color w:val="000000"/>
          <w:kern w:val="0"/>
          <w:szCs w:val="21"/>
        </w:rPr>
      </w:pPr>
      <w:r>
        <w:rPr>
          <w:rFonts w:hint="eastAsia" w:ascii="宋体" w:hAnsi="宋体"/>
          <w:color w:val="000000"/>
          <w:kern w:val="0"/>
          <w:szCs w:val="21"/>
        </w:rPr>
        <w:t>监理人接收文件的地点：</w:t>
      </w:r>
      <w:permStart w:id="303" w:edGrp="everyone"/>
      <w:r>
        <w:rPr>
          <w:rFonts w:hint="eastAsia" w:ascii="宋体" w:hAnsi="宋体" w:cs="仿宋_GB2312"/>
          <w:color w:val="000000"/>
          <w:szCs w:val="21"/>
          <w:u w:val="single"/>
        </w:rPr>
        <w:t></w:t>
      </w:r>
      <w:r>
        <w:rPr>
          <w:rFonts w:ascii="宋体" w:hAnsi="宋体"/>
          <w:color w:val="000000"/>
          <w:szCs w:val="21"/>
          <w:u w:val="single"/>
        </w:rPr>
        <w:t xml:space="preserve">         </w:t>
      </w:r>
      <w:r>
        <w:rPr>
          <w:rFonts w:hint="eastAsia" w:ascii="宋体" w:hAnsi="宋体" w:cs="仿宋_GB2312"/>
          <w:color w:val="000000"/>
          <w:szCs w:val="21"/>
          <w:u w:val="single"/>
        </w:rPr>
        <w:t></w:t>
      </w:r>
      <w:r>
        <w:rPr>
          <w:rFonts w:hint="eastAsia" w:ascii="宋体" w:hAnsi="宋体"/>
          <w:color w:val="000000"/>
          <w:kern w:val="0"/>
          <w:szCs w:val="21"/>
        </w:rPr>
        <w:t>；</w:t>
      </w:r>
    </w:p>
    <w:permEnd w:id="303"/>
    <w:p>
      <w:pPr>
        <w:spacing w:line="360" w:lineRule="auto"/>
        <w:ind w:firstLine="420" w:firstLineChars="200"/>
        <w:rPr>
          <w:rFonts w:ascii="宋体" w:hAnsi="宋体"/>
          <w:color w:val="000000"/>
          <w:kern w:val="0"/>
          <w:szCs w:val="21"/>
        </w:rPr>
      </w:pPr>
      <w:r>
        <w:rPr>
          <w:rFonts w:hint="eastAsia" w:ascii="宋体" w:hAnsi="宋体"/>
          <w:color w:val="000000"/>
          <w:kern w:val="0"/>
          <w:szCs w:val="21"/>
        </w:rPr>
        <w:t>监理人指定的接收人为：</w:t>
      </w:r>
      <w:permStart w:id="304" w:edGrp="everyone"/>
      <w:r>
        <w:rPr>
          <w:rFonts w:hint="eastAsia" w:ascii="宋体" w:hAnsi="宋体" w:cs="仿宋_GB2312"/>
          <w:color w:val="000000"/>
          <w:szCs w:val="21"/>
          <w:u w:val="single"/>
        </w:rPr>
        <w:t></w:t>
      </w:r>
      <w:r>
        <w:rPr>
          <w:rFonts w:ascii="宋体" w:hAnsi="宋体"/>
          <w:color w:val="000000"/>
          <w:szCs w:val="21"/>
          <w:u w:val="single"/>
        </w:rPr>
        <w:t xml:space="preserve">          </w:t>
      </w:r>
      <w:r>
        <w:rPr>
          <w:rFonts w:hint="eastAsia" w:ascii="宋体" w:hAnsi="宋体" w:cs="仿宋_GB2312"/>
          <w:color w:val="000000"/>
          <w:szCs w:val="21"/>
          <w:u w:val="single"/>
        </w:rPr>
        <w:t></w:t>
      </w:r>
      <w:r>
        <w:rPr>
          <w:rFonts w:hint="eastAsia" w:ascii="宋体" w:hAnsi="宋体"/>
          <w:color w:val="000000"/>
          <w:kern w:val="0"/>
          <w:szCs w:val="21"/>
        </w:rPr>
        <w:t>。</w:t>
      </w:r>
    </w:p>
    <w:permEnd w:id="304"/>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 xml:space="preserve">1.10 </w:t>
      </w:r>
      <w:r>
        <w:rPr>
          <w:rFonts w:hint="eastAsia" w:ascii="黑体" w:hAnsi="黑体" w:eastAsia="黑体"/>
          <w:color w:val="000000"/>
          <w:szCs w:val="21"/>
        </w:rPr>
        <w:t>交通运输</w:t>
      </w:r>
    </w:p>
    <w:p>
      <w:pPr>
        <w:spacing w:line="360" w:lineRule="auto"/>
        <w:ind w:firstLine="420" w:firstLineChars="200"/>
        <w:rPr>
          <w:rFonts w:ascii="宋体" w:hAnsi="宋体"/>
          <w:color w:val="000000"/>
          <w:szCs w:val="21"/>
        </w:rPr>
      </w:pPr>
      <w:r>
        <w:rPr>
          <w:rFonts w:ascii="宋体" w:hAnsi="宋体"/>
          <w:color w:val="000000"/>
          <w:szCs w:val="21"/>
        </w:rPr>
        <w:t>1</w:t>
      </w:r>
      <w:bookmarkStart w:id="691" w:name="_Toc312677986"/>
      <w:bookmarkStart w:id="692" w:name="_Toc304295521"/>
      <w:bookmarkStart w:id="693" w:name="_Toc303539100"/>
      <w:bookmarkStart w:id="694" w:name="_Toc300934943"/>
      <w:bookmarkStart w:id="695" w:name="_Toc318581155"/>
      <w:r>
        <w:rPr>
          <w:rFonts w:ascii="宋体" w:hAnsi="宋体"/>
          <w:color w:val="000000"/>
          <w:szCs w:val="21"/>
        </w:rPr>
        <w:t xml:space="preserve">.10.1 </w:t>
      </w:r>
      <w:r>
        <w:rPr>
          <w:rFonts w:hint="eastAsia" w:ascii="宋体" w:hAnsi="宋体"/>
          <w:color w:val="000000"/>
          <w:szCs w:val="21"/>
        </w:rPr>
        <w:t>出入现场的权利</w:t>
      </w:r>
    </w:p>
    <w:p>
      <w:pPr>
        <w:spacing w:line="360" w:lineRule="auto"/>
        <w:ind w:left="596" w:leftChars="284"/>
        <w:rPr>
          <w:rFonts w:ascii="宋体" w:hAnsi="宋体"/>
          <w:color w:val="000000"/>
          <w:szCs w:val="21"/>
          <w:u w:val="single"/>
        </w:rPr>
      </w:pPr>
      <w:r>
        <w:rPr>
          <w:rFonts w:hint="eastAsia" w:ascii="宋体" w:hAnsi="宋体"/>
          <w:color w:val="000000"/>
          <w:szCs w:val="21"/>
        </w:rPr>
        <w:t>关于出入现场的权利的约定：</w:t>
      </w:r>
      <w:permStart w:id="305" w:edGrp="everyone"/>
      <w:r>
        <w:rPr>
          <w:rFonts w:hint="eastAsia" w:ascii="宋体" w:hAnsi="宋体" w:cs="仿宋_GB2312"/>
          <w:color w:val="000000"/>
          <w:szCs w:val="21"/>
          <w:u w:val="single"/>
        </w:rPr>
        <w:t></w:t>
      </w:r>
      <w:r>
        <w:rPr>
          <w:rFonts w:ascii="宋体" w:hAnsi="宋体"/>
          <w:color w:val="000000"/>
          <w:szCs w:val="21"/>
          <w:u w:val="single"/>
        </w:rPr>
        <w:t xml:space="preserve">  </w:t>
      </w:r>
      <w:r>
        <w:rPr>
          <w:rFonts w:hint="eastAsia" w:ascii="宋体" w:hAnsi="宋体" w:cs="仿宋_GB2312"/>
          <w:color w:val="000000"/>
          <w:szCs w:val="21"/>
          <w:u w:val="single"/>
        </w:rPr>
        <w:t></w:t>
      </w:r>
    </w:p>
    <w:p>
      <w:pPr>
        <w:spacing w:line="360" w:lineRule="auto"/>
        <w:rPr>
          <w:rFonts w:ascii="宋体" w:hAnsi="宋体"/>
          <w:color w:val="000000"/>
          <w:szCs w:val="21"/>
        </w:rPr>
      </w:pPr>
      <w:r>
        <w:rPr>
          <w:rFonts w:hint="eastAsia" w:ascii="宋体" w:hAnsi="宋体" w:cs="仿宋_GB2312"/>
          <w:color w:val="000000"/>
          <w:szCs w:val="21"/>
          <w:u w:val="single"/>
        </w:rPr>
        <w:t></w:t>
      </w:r>
      <w:r>
        <w:rPr>
          <w:rFonts w:ascii="宋体" w:hAnsi="宋体"/>
          <w:color w:val="000000"/>
          <w:szCs w:val="21"/>
          <w:u w:val="single"/>
        </w:rPr>
        <w:t xml:space="preserve">     </w:t>
      </w:r>
      <w:r>
        <w:rPr>
          <w:rFonts w:hint="eastAsia" w:ascii="宋体" w:hAnsi="宋体" w:cs="仿宋_GB2312"/>
          <w:color w:val="000000"/>
          <w:szCs w:val="21"/>
          <w:u w:val="single"/>
        </w:rPr>
        <w:t></w:t>
      </w:r>
      <w:r>
        <w:rPr>
          <w:rFonts w:hint="eastAsia" w:ascii="宋体" w:hAnsi="宋体"/>
          <w:color w:val="000000"/>
          <w:szCs w:val="21"/>
        </w:rPr>
        <w:t>。</w:t>
      </w:r>
      <w:bookmarkEnd w:id="691"/>
      <w:bookmarkEnd w:id="692"/>
      <w:bookmarkEnd w:id="693"/>
      <w:bookmarkEnd w:id="694"/>
      <w:bookmarkEnd w:id="695"/>
    </w:p>
    <w:permEnd w:id="305"/>
    <w:p>
      <w:pPr>
        <w:spacing w:line="360" w:lineRule="auto"/>
        <w:ind w:firstLine="420" w:firstLineChars="200"/>
        <w:jc w:val="left"/>
        <w:rPr>
          <w:rFonts w:ascii="宋体" w:hAnsi="宋体"/>
          <w:color w:val="000000"/>
          <w:szCs w:val="21"/>
        </w:rPr>
      </w:pPr>
      <w:r>
        <w:rPr>
          <w:rFonts w:ascii="宋体" w:hAnsi="宋体"/>
          <w:color w:val="000000"/>
          <w:szCs w:val="21"/>
        </w:rPr>
        <w:t>1</w:t>
      </w:r>
      <w:bookmarkStart w:id="696" w:name="_Toc304295522"/>
      <w:bookmarkStart w:id="697" w:name="_Toc318581156"/>
      <w:bookmarkStart w:id="698" w:name="_Toc312677987"/>
      <w:bookmarkStart w:id="699" w:name="_Toc300934944"/>
      <w:bookmarkStart w:id="700" w:name="_Toc303539101"/>
      <w:r>
        <w:rPr>
          <w:rFonts w:ascii="宋体" w:hAnsi="宋体"/>
          <w:color w:val="000000"/>
          <w:szCs w:val="21"/>
        </w:rPr>
        <w:t xml:space="preserve">.10.3 </w:t>
      </w:r>
      <w:r>
        <w:rPr>
          <w:rFonts w:hint="eastAsia" w:ascii="宋体" w:hAnsi="宋体"/>
          <w:color w:val="000000"/>
          <w:szCs w:val="21"/>
        </w:rPr>
        <w:t>场内交通</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关于场外交通和场内交通的边界的约定：</w:t>
      </w:r>
      <w:permStart w:id="306" w:edGrp="everyone"/>
      <w:r>
        <w:rPr>
          <w:rFonts w:hint="eastAsia" w:ascii="宋体" w:hAnsi="宋体" w:cs="仿宋_GB2312"/>
          <w:color w:val="000000"/>
          <w:szCs w:val="21"/>
          <w:u w:val="single"/>
        </w:rPr>
        <w:t></w:t>
      </w:r>
      <w:r>
        <w:rPr>
          <w:rFonts w:hint="eastAsia" w:ascii="宋体" w:hAnsi="宋体"/>
          <w:color w:val="000000"/>
          <w:szCs w:val="21"/>
        </w:rPr>
        <w:t>。</w:t>
      </w:r>
    </w:p>
    <w:permEnd w:id="306"/>
    <w:p>
      <w:pPr>
        <w:spacing w:line="360" w:lineRule="auto"/>
        <w:ind w:left="630" w:leftChars="200" w:hanging="210" w:hangingChars="100"/>
        <w:jc w:val="left"/>
        <w:rPr>
          <w:rFonts w:ascii="宋体" w:hAnsi="宋体"/>
          <w:color w:val="000000"/>
          <w:szCs w:val="21"/>
        </w:rPr>
      </w:pPr>
      <w:r>
        <w:rPr>
          <w:rFonts w:hint="eastAsia" w:ascii="宋体" w:hAnsi="宋体"/>
          <w:color w:val="000000"/>
          <w:szCs w:val="21"/>
        </w:rPr>
        <w:t>关于发包人向承包人免费提供满足工程施工需要的场内道路和交通设施的约定：</w:t>
      </w:r>
      <w:permStart w:id="307" w:edGrp="everyone"/>
      <w:r>
        <w:rPr>
          <w:rFonts w:hint="eastAsia" w:ascii="宋体" w:hAnsi="宋体" w:cs="仿宋_GB2312"/>
          <w:color w:val="000000"/>
          <w:szCs w:val="21"/>
          <w:u w:val="single"/>
        </w:rPr>
        <w:t xml:space="preserve">      </w:t>
      </w:r>
      <w:r>
        <w:rPr>
          <w:rFonts w:ascii="宋体" w:hAnsi="宋体"/>
          <w:color w:val="000000"/>
          <w:szCs w:val="21"/>
          <w:u w:val="single"/>
        </w:rPr>
        <w:t xml:space="preserve">    </w:t>
      </w:r>
      <w:r>
        <w:rPr>
          <w:rFonts w:hint="eastAsia" w:ascii="宋体" w:hAnsi="宋体" w:cs="仿宋_GB2312"/>
          <w:color w:val="000000"/>
          <w:szCs w:val="21"/>
          <w:u w:val="single"/>
        </w:rPr>
        <w:t></w:t>
      </w:r>
      <w:r>
        <w:rPr>
          <w:rFonts w:ascii="宋体" w:hAnsi="宋体"/>
          <w:color w:val="000000"/>
          <w:szCs w:val="21"/>
          <w:u w:val="single"/>
        </w:rPr>
        <w:t xml:space="preserve">                              </w:t>
      </w:r>
      <w:r>
        <w:rPr>
          <w:rFonts w:hint="eastAsia" w:ascii="宋体" w:hAnsi="宋体" w:cs="仿宋_GB2312"/>
          <w:color w:val="000000"/>
          <w:szCs w:val="21"/>
          <w:u w:val="single"/>
        </w:rPr>
        <w:t>             </w:t>
      </w:r>
      <w:r>
        <w:rPr>
          <w:rFonts w:hint="eastAsia" w:ascii="宋体" w:hAnsi="宋体"/>
          <w:color w:val="000000"/>
          <w:szCs w:val="21"/>
        </w:rPr>
        <w:t>。</w:t>
      </w:r>
      <w:permEnd w:id="307"/>
      <w:bookmarkEnd w:id="696"/>
      <w:bookmarkEnd w:id="697"/>
      <w:bookmarkEnd w:id="698"/>
      <w:bookmarkEnd w:id="699"/>
      <w:bookmarkEnd w:id="700"/>
      <w:bookmarkStart w:id="701" w:name="_Toc318581157"/>
    </w:p>
    <w:p>
      <w:pPr>
        <w:spacing w:line="360" w:lineRule="auto"/>
        <w:ind w:firstLine="420" w:firstLineChars="200"/>
        <w:jc w:val="left"/>
        <w:rPr>
          <w:rFonts w:ascii="宋体" w:hAnsi="宋体"/>
          <w:color w:val="000000"/>
          <w:szCs w:val="21"/>
        </w:rPr>
      </w:pPr>
      <w:r>
        <w:rPr>
          <w:rFonts w:ascii="宋体" w:hAnsi="宋体"/>
          <w:color w:val="000000"/>
          <w:szCs w:val="21"/>
        </w:rPr>
        <w:t>1.10.4</w:t>
      </w:r>
      <w:r>
        <w:rPr>
          <w:rFonts w:hint="eastAsia" w:ascii="宋体" w:hAnsi="宋体"/>
          <w:color w:val="000000"/>
          <w:szCs w:val="21"/>
        </w:rPr>
        <w:t>超大件和超重件的运输</w:t>
      </w:r>
    </w:p>
    <w:p>
      <w:pPr>
        <w:spacing w:line="360" w:lineRule="auto"/>
        <w:ind w:firstLine="420" w:firstLineChars="200"/>
        <w:jc w:val="left"/>
        <w:rPr>
          <w:rFonts w:ascii="宋体" w:hAnsi="宋体"/>
          <w:color w:val="000000"/>
          <w:szCs w:val="21"/>
        </w:rPr>
      </w:pPr>
      <w:r>
        <w:rPr>
          <w:rFonts w:hint="eastAsia" w:ascii="宋体" w:hAnsi="宋体"/>
          <w:color w:val="000000"/>
          <w:szCs w:val="21"/>
        </w:rPr>
        <w:t>运输超大件或超重件所需的道路和桥梁临时加固改造费用和其他有关费用由</w:t>
      </w:r>
      <w:permStart w:id="308" w:edGrp="everyone"/>
      <w:permEnd w:id="308"/>
      <w:r>
        <w:rPr>
          <w:rFonts w:hint="eastAsia" w:ascii="宋体" w:hAnsi="宋体"/>
          <w:color w:val="000000"/>
          <w:szCs w:val="21"/>
        </w:rPr>
        <w:t>承担。</w:t>
      </w:r>
    </w:p>
    <w:bookmarkEnd w:id="701"/>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 xml:space="preserve">1.11 </w:t>
      </w:r>
      <w:r>
        <w:rPr>
          <w:rFonts w:hint="eastAsia" w:ascii="黑体" w:hAnsi="黑体" w:eastAsia="黑体"/>
          <w:color w:val="000000"/>
          <w:szCs w:val="21"/>
        </w:rPr>
        <w:t>知识产权</w:t>
      </w:r>
    </w:p>
    <w:p>
      <w:pPr>
        <w:spacing w:line="360" w:lineRule="auto"/>
        <w:ind w:firstLine="420" w:firstLineChars="200"/>
        <w:rPr>
          <w:rFonts w:ascii="宋体" w:hAnsi="宋体"/>
          <w:color w:val="000000"/>
          <w:szCs w:val="21"/>
        </w:rPr>
      </w:pPr>
      <w:r>
        <w:rPr>
          <w:rFonts w:ascii="宋体" w:hAnsi="宋体"/>
          <w:color w:val="000000"/>
          <w:szCs w:val="21"/>
        </w:rPr>
        <w:t>1.11.1</w:t>
      </w:r>
      <w:r>
        <w:rPr>
          <w:rFonts w:hint="eastAsia" w:ascii="宋体" w:hAnsi="宋体"/>
          <w:color w:val="000000"/>
          <w:szCs w:val="21"/>
        </w:rPr>
        <w:t>关于发包人提供给承包人的图纸、发包人为实施工程自行编制或委托编制的技术规范以及反映发包人关于合同要求或其他类似性质的文件的著作权的归属：</w:t>
      </w:r>
      <w:permStart w:id="309" w:edGrp="everyone"/>
      <w:r>
        <w:rPr>
          <w:rFonts w:hint="eastAsia" w:ascii="宋体" w:hAnsi="宋体" w:cs="仿宋_GB2312"/>
          <w:color w:val="000000"/>
          <w:szCs w:val="21"/>
          <w:u w:val="single"/>
        </w:rPr>
        <w:t></w:t>
      </w:r>
      <w:r>
        <w:rPr>
          <w:rFonts w:ascii="宋体" w:hAnsi="宋体"/>
          <w:color w:val="000000"/>
          <w:szCs w:val="21"/>
          <w:u w:val="single"/>
        </w:rPr>
        <w:t xml:space="preserve">                       </w:t>
      </w:r>
      <w:r>
        <w:rPr>
          <w:rFonts w:hint="eastAsia" w:ascii="宋体" w:hAnsi="宋体" w:cs="仿宋_GB2312"/>
          <w:color w:val="000000"/>
          <w:szCs w:val="21"/>
          <w:u w:val="single"/>
        </w:rPr>
        <w:t></w:t>
      </w:r>
      <w:r>
        <w:rPr>
          <w:rFonts w:hint="eastAsia" w:ascii="宋体" w:hAnsi="宋体"/>
          <w:color w:val="000000"/>
          <w:szCs w:val="21"/>
        </w:rPr>
        <w:t>。</w:t>
      </w:r>
    </w:p>
    <w:permEnd w:id="309"/>
    <w:p>
      <w:pPr>
        <w:spacing w:line="360" w:lineRule="auto"/>
        <w:ind w:left="596" w:leftChars="284"/>
        <w:rPr>
          <w:rFonts w:ascii="宋体" w:hAnsi="宋体"/>
          <w:color w:val="000000"/>
          <w:szCs w:val="21"/>
        </w:rPr>
      </w:pPr>
      <w:r>
        <w:rPr>
          <w:rFonts w:hint="eastAsia" w:ascii="宋体" w:hAnsi="宋体"/>
          <w:color w:val="000000"/>
          <w:szCs w:val="21"/>
        </w:rPr>
        <w:t>关于发包人提供的上述文件的使用限制的要求：</w:t>
      </w:r>
      <w:permStart w:id="310" w:edGrp="everyone"/>
      <w:r>
        <w:rPr>
          <w:rFonts w:hint="eastAsia" w:ascii="宋体" w:hAnsi="宋体" w:cs="仿宋_GB2312"/>
          <w:color w:val="000000"/>
          <w:szCs w:val="21"/>
          <w:u w:val="single"/>
        </w:rPr>
        <w:t></w:t>
      </w:r>
      <w:r>
        <w:rPr>
          <w:rFonts w:hint="eastAsia" w:ascii="宋体" w:hAnsi="宋体"/>
          <w:color w:val="000000"/>
          <w:szCs w:val="21"/>
        </w:rPr>
        <w:t>。</w:t>
      </w:r>
    </w:p>
    <w:permEnd w:id="310"/>
    <w:p>
      <w:pPr>
        <w:spacing w:line="360" w:lineRule="auto"/>
        <w:ind w:left="596" w:leftChars="284"/>
        <w:rPr>
          <w:rFonts w:ascii="宋体" w:hAnsi="宋体"/>
          <w:color w:val="000000"/>
          <w:szCs w:val="21"/>
        </w:rPr>
      </w:pPr>
      <w:r>
        <w:rPr>
          <w:rFonts w:ascii="宋体" w:hAnsi="宋体"/>
          <w:color w:val="000000"/>
          <w:szCs w:val="21"/>
        </w:rPr>
        <w:t xml:space="preserve">1.11.2 </w:t>
      </w:r>
      <w:r>
        <w:rPr>
          <w:rFonts w:hint="eastAsia" w:ascii="宋体" w:hAnsi="宋体"/>
          <w:color w:val="000000"/>
          <w:szCs w:val="21"/>
        </w:rPr>
        <w:t>关于承包人为实施工程所编制文件的著作权的归属：</w:t>
      </w:r>
      <w:permStart w:id="311" w:edGrp="everyone"/>
      <w:r>
        <w:rPr>
          <w:rFonts w:hint="eastAsia" w:ascii="宋体" w:hAnsi="宋体" w:cs="仿宋_GB2312"/>
          <w:color w:val="000000"/>
          <w:szCs w:val="21"/>
          <w:u w:val="single"/>
        </w:rPr>
        <w:t></w:t>
      </w:r>
      <w:r>
        <w:rPr>
          <w:rFonts w:ascii="宋体" w:hAnsi="宋体"/>
          <w:color w:val="000000"/>
          <w:szCs w:val="21"/>
          <w:u w:val="single"/>
        </w:rPr>
        <w:t></w:t>
      </w:r>
      <w:r>
        <w:rPr>
          <w:rFonts w:ascii="宋体" w:hAnsi="宋体"/>
          <w:color w:val="000000"/>
          <w:szCs w:val="21"/>
        </w:rPr>
        <w:t xml:space="preserve"> </w:t>
      </w:r>
    </w:p>
    <w:permEnd w:id="311"/>
    <w:p>
      <w:pPr>
        <w:spacing w:line="360" w:lineRule="auto"/>
        <w:ind w:firstLine="420" w:firstLineChars="200"/>
        <w:rPr>
          <w:rFonts w:ascii="宋体" w:hAnsi="宋体"/>
          <w:color w:val="000000"/>
          <w:szCs w:val="21"/>
        </w:rPr>
      </w:pPr>
      <w:r>
        <w:rPr>
          <w:rFonts w:hint="eastAsia" w:ascii="宋体" w:hAnsi="宋体"/>
          <w:color w:val="000000"/>
          <w:szCs w:val="21"/>
        </w:rPr>
        <w:t>关于承包人提供的上述文件的使用限制的要求：</w:t>
      </w:r>
      <w:permStart w:id="312" w:edGrp="everyone"/>
      <w:r>
        <w:rPr>
          <w:rFonts w:hint="eastAsia" w:ascii="宋体" w:hAnsi="宋体" w:cs="仿宋_GB2312"/>
          <w:color w:val="000000"/>
          <w:szCs w:val="21"/>
          <w:u w:val="single"/>
        </w:rPr>
        <w:t></w:t>
      </w:r>
      <w:r>
        <w:rPr>
          <w:rFonts w:ascii="宋体" w:hAnsi="宋体"/>
          <w:color w:val="000000"/>
          <w:szCs w:val="21"/>
          <w:u w:val="single"/>
        </w:rPr>
        <w:t xml:space="preserve">   </w:t>
      </w:r>
      <w:r>
        <w:rPr>
          <w:rFonts w:hint="eastAsia" w:ascii="宋体" w:hAnsi="宋体" w:cs="仿宋_GB2312"/>
          <w:color w:val="000000"/>
          <w:szCs w:val="21"/>
          <w:u w:val="single"/>
        </w:rPr>
        <w:t></w:t>
      </w:r>
      <w:r>
        <w:rPr>
          <w:rFonts w:ascii="宋体" w:hAnsi="宋体"/>
          <w:color w:val="000000"/>
          <w:szCs w:val="21"/>
          <w:u w:val="single"/>
        </w:rPr>
        <w:t xml:space="preserve">      </w:t>
      </w:r>
      <w:r>
        <w:rPr>
          <w:rFonts w:hint="eastAsia" w:ascii="宋体" w:hAnsi="宋体"/>
          <w:color w:val="000000"/>
          <w:szCs w:val="21"/>
        </w:rPr>
        <w:t>。</w:t>
      </w:r>
    </w:p>
    <w:permEnd w:id="312"/>
    <w:p>
      <w:pPr>
        <w:spacing w:line="360" w:lineRule="auto"/>
        <w:ind w:firstLine="420" w:firstLineChars="200"/>
        <w:rPr>
          <w:rFonts w:ascii="宋体" w:hAnsi="宋体"/>
          <w:color w:val="000000"/>
          <w:kern w:val="0"/>
          <w:szCs w:val="21"/>
        </w:rPr>
      </w:pPr>
      <w:r>
        <w:rPr>
          <w:rFonts w:ascii="宋体" w:hAnsi="宋体"/>
          <w:color w:val="000000"/>
          <w:szCs w:val="21"/>
        </w:rPr>
        <w:t xml:space="preserve">1.11.4 </w:t>
      </w:r>
      <w:r>
        <w:rPr>
          <w:rFonts w:hint="eastAsia" w:ascii="宋体" w:hAnsi="宋体"/>
          <w:color w:val="000000"/>
          <w:szCs w:val="21"/>
        </w:rPr>
        <w:t>承包人在施工过程中所采用的专利、专有技术、技术秘密的使用费的承担方式：</w:t>
      </w:r>
      <w:permStart w:id="313" w:edGrp="everyone"/>
      <w:r>
        <w:rPr>
          <w:rFonts w:hint="eastAsia" w:ascii="宋体" w:hAnsi="宋体" w:cs="仿宋_GB2312"/>
          <w:color w:val="000000"/>
          <w:szCs w:val="21"/>
          <w:u w:val="single"/>
        </w:rPr>
        <w:t></w:t>
      </w:r>
      <w:r>
        <w:rPr>
          <w:rFonts w:hint="eastAsia" w:ascii="宋体" w:hAnsi="宋体"/>
          <w:color w:val="000000"/>
          <w:kern w:val="0"/>
          <w:szCs w:val="21"/>
        </w:rPr>
        <w:t>。</w:t>
      </w:r>
    </w:p>
    <w:permEnd w:id="313"/>
    <w:p>
      <w:pPr>
        <w:spacing w:after="120" w:line="360" w:lineRule="auto"/>
        <w:ind w:firstLine="420" w:firstLineChars="200"/>
        <w:rPr>
          <w:rFonts w:ascii="宋体" w:hAnsi="宋体"/>
          <w:color w:val="000000"/>
          <w:szCs w:val="21"/>
        </w:rPr>
      </w:pPr>
      <w:r>
        <w:rPr>
          <w:rFonts w:ascii="宋体" w:hAnsi="宋体"/>
          <w:color w:val="000000"/>
          <w:szCs w:val="21"/>
        </w:rPr>
        <w:t>1.13</w:t>
      </w:r>
      <w:r>
        <w:rPr>
          <w:rFonts w:hint="eastAsia" w:ascii="宋体" w:hAnsi="宋体"/>
          <w:color w:val="000000"/>
          <w:szCs w:val="21"/>
        </w:rPr>
        <w:t>工程量清单错误的修正</w:t>
      </w:r>
    </w:p>
    <w:p>
      <w:pPr>
        <w:spacing w:line="360" w:lineRule="auto"/>
        <w:ind w:firstLine="420" w:firstLineChars="200"/>
        <w:rPr>
          <w:rFonts w:ascii="宋体" w:hAnsi="宋体"/>
          <w:color w:val="000000"/>
          <w:szCs w:val="21"/>
        </w:rPr>
      </w:pPr>
      <w:r>
        <w:rPr>
          <w:rFonts w:hint="eastAsia" w:ascii="宋体" w:hAnsi="宋体"/>
          <w:color w:val="000000"/>
          <w:szCs w:val="21"/>
        </w:rPr>
        <w:t>出现工程量清单错误时，是否调整合同价格：</w:t>
      </w:r>
      <w:permStart w:id="314" w:edGrp="everyone"/>
      <w:r>
        <w:rPr>
          <w:rFonts w:ascii="宋体" w:hAnsi="宋体"/>
          <w:color w:val="000000"/>
          <w:szCs w:val="21"/>
          <w:u w:val="single"/>
        </w:rPr>
        <w:t xml:space="preserve">            </w:t>
      </w:r>
      <w:r>
        <w:rPr>
          <w:rFonts w:hint="eastAsia" w:ascii="宋体" w:hAnsi="宋体"/>
          <w:color w:val="000000"/>
          <w:kern w:val="0"/>
          <w:szCs w:val="21"/>
        </w:rPr>
        <w:t>。</w:t>
      </w:r>
      <w:permEnd w:id="314"/>
    </w:p>
    <w:p>
      <w:pPr>
        <w:spacing w:line="360" w:lineRule="auto"/>
        <w:ind w:firstLine="420" w:firstLineChars="200"/>
        <w:rPr>
          <w:rFonts w:ascii="宋体" w:hAnsi="宋体"/>
          <w:color w:val="000000"/>
          <w:szCs w:val="21"/>
          <w:u w:val="single"/>
        </w:rPr>
      </w:pPr>
      <w:r>
        <w:rPr>
          <w:rFonts w:hint="eastAsia" w:ascii="宋体" w:hAnsi="宋体"/>
          <w:color w:val="000000"/>
          <w:szCs w:val="21"/>
        </w:rPr>
        <w:t>允许调整合同价格的工程量偏差范围：</w:t>
      </w:r>
      <w:permStart w:id="315" w:edGrp="everyone"/>
      <w:r>
        <w:rPr>
          <w:rFonts w:hint="eastAsia" w:ascii="宋体" w:hAnsi="宋体" w:cs="仿宋_GB2312"/>
          <w:color w:val="000000"/>
          <w:szCs w:val="21"/>
          <w:u w:val="single"/>
        </w:rPr>
        <w:t xml:space="preserve">     </w:t>
      </w:r>
      <w:r>
        <w:rPr>
          <w:rFonts w:ascii="宋体" w:hAnsi="宋体" w:cs="仿宋_GB2312"/>
          <w:color w:val="000000"/>
          <w:szCs w:val="21"/>
          <w:u w:val="single"/>
        </w:rPr>
        <w:t xml:space="preserve"> </w:t>
      </w:r>
      <w:r>
        <w:rPr>
          <w:rFonts w:hint="eastAsia" w:ascii="宋体" w:hAnsi="宋体" w:cs="仿宋_GB2312"/>
          <w:color w:val="000000"/>
          <w:szCs w:val="21"/>
          <w:u w:val="single"/>
        </w:rPr>
        <w:t xml:space="preserve">    </w:t>
      </w:r>
      <w:r>
        <w:rPr>
          <w:rFonts w:ascii="宋体" w:hAnsi="宋体" w:cs="仿宋_GB2312"/>
          <w:color w:val="000000"/>
          <w:szCs w:val="21"/>
          <w:u w:val="single"/>
        </w:rPr>
        <w:t xml:space="preserve"> </w:t>
      </w:r>
      <w:r>
        <w:rPr>
          <w:rFonts w:hint="eastAsia" w:ascii="宋体" w:hAnsi="宋体" w:cs="仿宋_GB2312"/>
          <w:color w:val="000000"/>
          <w:szCs w:val="21"/>
          <w:u w:val="single"/>
        </w:rPr>
        <w:t xml:space="preserve">                                 </w:t>
      </w:r>
    </w:p>
    <w:p>
      <w:pPr>
        <w:spacing w:line="360" w:lineRule="auto"/>
        <w:rPr>
          <w:rFonts w:ascii="宋体" w:hAnsi="宋体"/>
          <w:color w:val="000000"/>
          <w:szCs w:val="21"/>
        </w:rPr>
      </w:pPr>
      <w:r>
        <w:rPr>
          <w:rFonts w:ascii="宋体" w:hAnsi="宋体"/>
          <w:color w:val="000000"/>
          <w:szCs w:val="21"/>
          <w:u w:val="single"/>
        </w:rPr>
        <w:t xml:space="preserve">                                                                                  </w:t>
      </w:r>
      <w:r>
        <w:rPr>
          <w:rFonts w:hint="eastAsia" w:ascii="宋体" w:hAnsi="宋体"/>
          <w:color w:val="000000"/>
          <w:kern w:val="0"/>
          <w:szCs w:val="21"/>
        </w:rPr>
        <w:t>。</w:t>
      </w:r>
      <w:permEnd w:id="315"/>
    </w:p>
    <w:p>
      <w:pPr>
        <w:pStyle w:val="5"/>
        <w:spacing w:before="120" w:after="120" w:line="360" w:lineRule="auto"/>
        <w:rPr>
          <w:rFonts w:ascii="黑体" w:hAnsi="黑体"/>
          <w:b w:val="0"/>
          <w:color w:val="000000"/>
        </w:rPr>
      </w:pPr>
      <w:bookmarkStart w:id="702" w:name="_Toc362623189"/>
      <w:bookmarkStart w:id="703" w:name="_Toc114222824"/>
      <w:r>
        <w:rPr>
          <w:rFonts w:ascii="黑体" w:hAnsi="黑体"/>
          <w:b w:val="0"/>
          <w:color w:val="000000"/>
        </w:rPr>
        <w:t>2</w:t>
      </w:r>
      <w:bookmarkStart w:id="704" w:name="_Toc296347156"/>
      <w:bookmarkStart w:id="705" w:name="_Toc296503157"/>
      <w:bookmarkStart w:id="706" w:name="_Toc292559362"/>
      <w:bookmarkStart w:id="707" w:name="_Toc296346658"/>
      <w:bookmarkStart w:id="708" w:name="_Toc296890985"/>
      <w:bookmarkStart w:id="709" w:name="_Toc296891197"/>
      <w:bookmarkStart w:id="710" w:name="_Toc296944496"/>
      <w:bookmarkStart w:id="711" w:name="_Toc297048343"/>
      <w:bookmarkStart w:id="712" w:name="_Toc297120457"/>
      <w:bookmarkStart w:id="713" w:name="_Toc292559867"/>
      <w:r>
        <w:rPr>
          <w:rFonts w:ascii="黑体" w:hAnsi="黑体"/>
          <w:b w:val="0"/>
          <w:color w:val="000000"/>
        </w:rPr>
        <w:t xml:space="preserve">. </w:t>
      </w:r>
      <w:r>
        <w:rPr>
          <w:rFonts w:hint="eastAsia" w:ascii="黑体" w:hAnsi="黑体"/>
          <w:b w:val="0"/>
          <w:color w:val="000000"/>
        </w:rPr>
        <w:t>发包人</w:t>
      </w:r>
      <w:bookmarkEnd w:id="702"/>
      <w:bookmarkEnd w:id="703"/>
    </w:p>
    <w:bookmarkEnd w:id="704"/>
    <w:bookmarkEnd w:id="705"/>
    <w:bookmarkEnd w:id="706"/>
    <w:bookmarkEnd w:id="707"/>
    <w:bookmarkEnd w:id="708"/>
    <w:bookmarkEnd w:id="709"/>
    <w:bookmarkEnd w:id="710"/>
    <w:bookmarkEnd w:id="711"/>
    <w:bookmarkEnd w:id="712"/>
    <w:bookmarkEnd w:id="713"/>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 xml:space="preserve">2.2 </w:t>
      </w:r>
      <w:r>
        <w:rPr>
          <w:rFonts w:hint="eastAsia" w:ascii="黑体" w:hAnsi="黑体" w:eastAsia="黑体"/>
          <w:color w:val="000000"/>
          <w:szCs w:val="21"/>
        </w:rPr>
        <w:t>发包人代表</w:t>
      </w:r>
    </w:p>
    <w:p>
      <w:pPr>
        <w:spacing w:line="360" w:lineRule="auto"/>
        <w:ind w:firstLine="420" w:firstLineChars="200"/>
        <w:rPr>
          <w:rFonts w:ascii="宋体" w:hAnsi="宋体"/>
          <w:color w:val="000000"/>
          <w:szCs w:val="21"/>
        </w:rPr>
      </w:pPr>
      <w:r>
        <w:rPr>
          <w:rFonts w:hint="eastAsia" w:ascii="宋体" w:hAnsi="宋体"/>
          <w:color w:val="000000"/>
          <w:szCs w:val="21"/>
        </w:rPr>
        <w:t>发包人代表：</w:t>
      </w:r>
    </w:p>
    <w:p>
      <w:pPr>
        <w:spacing w:line="360" w:lineRule="auto"/>
        <w:ind w:firstLine="420" w:firstLineChars="200"/>
        <w:rPr>
          <w:rFonts w:ascii="宋体" w:hAnsi="宋体"/>
          <w:color w:val="000000"/>
          <w:szCs w:val="21"/>
        </w:rPr>
      </w:pPr>
      <w:r>
        <w:rPr>
          <w:rFonts w:hint="eastAsia" w:ascii="宋体" w:hAnsi="宋体"/>
          <w:color w:val="000000"/>
          <w:szCs w:val="21"/>
        </w:rPr>
        <w:t>姓名：</w:t>
      </w:r>
      <w:permStart w:id="316" w:edGrp="everyone"/>
      <w:r>
        <w:rPr>
          <w:rFonts w:hint="eastAsia" w:ascii="宋体" w:hAnsi="宋体" w:cs="仿宋_GB2312"/>
          <w:color w:val="000000"/>
          <w:szCs w:val="21"/>
          <w:u w:val="single"/>
        </w:rPr>
        <w:t></w:t>
      </w:r>
      <w:r>
        <w:rPr>
          <w:rFonts w:ascii="宋体" w:hAnsi="宋体"/>
          <w:color w:val="000000"/>
          <w:szCs w:val="21"/>
          <w:u w:val="single"/>
        </w:rPr>
        <w:t xml:space="preserve">    </w:t>
      </w:r>
      <w:r>
        <w:rPr>
          <w:rFonts w:hint="eastAsia" w:ascii="宋体" w:hAnsi="宋体" w:cs="仿宋_GB2312"/>
          <w:color w:val="000000"/>
          <w:szCs w:val="21"/>
          <w:u w:val="single"/>
        </w:rPr>
        <w:t></w:t>
      </w:r>
      <w:r>
        <w:rPr>
          <w:rFonts w:ascii="宋体" w:hAnsi="宋体"/>
          <w:color w:val="000000"/>
          <w:szCs w:val="21"/>
          <w:u w:val="single"/>
        </w:rPr>
        <w:t xml:space="preserve"> </w:t>
      </w:r>
      <w:permEnd w:id="316"/>
      <w:r>
        <w:rPr>
          <w:rFonts w:hint="eastAsia" w:ascii="宋体" w:hAnsi="宋体"/>
          <w:color w:val="000000"/>
          <w:szCs w:val="21"/>
        </w:rPr>
        <w:t>；</w:t>
      </w:r>
    </w:p>
    <w:p>
      <w:pPr>
        <w:spacing w:line="360" w:lineRule="auto"/>
        <w:ind w:firstLine="420" w:firstLineChars="200"/>
        <w:rPr>
          <w:rFonts w:ascii="宋体" w:hAnsi="宋体"/>
          <w:color w:val="000000"/>
          <w:szCs w:val="21"/>
        </w:rPr>
      </w:pPr>
      <w:r>
        <w:rPr>
          <w:rFonts w:hint="eastAsia" w:ascii="宋体" w:hAnsi="宋体"/>
          <w:color w:val="000000"/>
          <w:szCs w:val="21"/>
        </w:rPr>
        <w:t>身份证号：</w:t>
      </w:r>
      <w:permStart w:id="317" w:edGrp="everyone"/>
      <w:r>
        <w:rPr>
          <w:rFonts w:hint="eastAsia" w:ascii="宋体" w:hAnsi="宋体" w:cs="仿宋_GB2312"/>
          <w:color w:val="000000"/>
          <w:szCs w:val="21"/>
          <w:u w:val="single"/>
        </w:rPr>
        <w:t></w:t>
      </w:r>
      <w:r>
        <w:rPr>
          <w:rFonts w:ascii="宋体" w:hAnsi="宋体"/>
          <w:color w:val="000000"/>
          <w:szCs w:val="21"/>
          <w:u w:val="single"/>
        </w:rPr>
        <w:t xml:space="preserve">    </w:t>
      </w:r>
      <w:r>
        <w:rPr>
          <w:rFonts w:hint="eastAsia" w:ascii="宋体" w:hAnsi="宋体" w:cs="仿宋_GB2312"/>
          <w:color w:val="000000"/>
          <w:szCs w:val="21"/>
          <w:u w:val="single"/>
        </w:rPr>
        <w:t></w:t>
      </w:r>
      <w:r>
        <w:rPr>
          <w:rFonts w:ascii="宋体" w:hAnsi="宋体"/>
          <w:color w:val="000000"/>
          <w:szCs w:val="21"/>
          <w:u w:val="single"/>
        </w:rPr>
        <w:t xml:space="preserve">  </w:t>
      </w:r>
      <w:permEnd w:id="317"/>
      <w:r>
        <w:rPr>
          <w:rFonts w:hint="eastAsia" w:ascii="宋体" w:hAnsi="宋体"/>
          <w:color w:val="000000"/>
          <w:szCs w:val="21"/>
        </w:rPr>
        <w:t>；</w:t>
      </w:r>
    </w:p>
    <w:p>
      <w:pPr>
        <w:spacing w:line="360" w:lineRule="auto"/>
        <w:ind w:firstLine="420" w:firstLineChars="200"/>
        <w:rPr>
          <w:rFonts w:ascii="宋体" w:hAnsi="宋体"/>
          <w:color w:val="000000"/>
          <w:szCs w:val="21"/>
        </w:rPr>
      </w:pPr>
      <w:r>
        <w:rPr>
          <w:rFonts w:hint="eastAsia" w:ascii="宋体" w:hAnsi="宋体"/>
          <w:color w:val="000000"/>
          <w:szCs w:val="21"/>
        </w:rPr>
        <w:t>职务：</w:t>
      </w:r>
      <w:permStart w:id="318" w:edGrp="everyone"/>
      <w:r>
        <w:rPr>
          <w:rFonts w:hint="eastAsia" w:ascii="宋体" w:hAnsi="宋体" w:cs="仿宋_GB2312"/>
          <w:color w:val="000000"/>
          <w:szCs w:val="21"/>
          <w:u w:val="single"/>
        </w:rPr>
        <w:t></w:t>
      </w:r>
      <w:r>
        <w:rPr>
          <w:rFonts w:ascii="宋体" w:hAnsi="宋体"/>
          <w:color w:val="000000"/>
          <w:szCs w:val="21"/>
          <w:u w:val="single"/>
        </w:rPr>
        <w:t xml:space="preserve">    </w:t>
      </w:r>
      <w:permEnd w:id="318"/>
      <w:r>
        <w:rPr>
          <w:rFonts w:hint="eastAsia" w:ascii="宋体" w:hAnsi="宋体"/>
          <w:color w:val="000000"/>
          <w:szCs w:val="21"/>
        </w:rPr>
        <w:t>；</w:t>
      </w:r>
    </w:p>
    <w:p>
      <w:pPr>
        <w:spacing w:line="360" w:lineRule="auto"/>
        <w:ind w:firstLine="420" w:firstLineChars="200"/>
        <w:rPr>
          <w:rFonts w:ascii="宋体" w:hAnsi="宋体"/>
          <w:color w:val="000000"/>
          <w:szCs w:val="21"/>
        </w:rPr>
      </w:pPr>
      <w:r>
        <w:rPr>
          <w:rFonts w:hint="eastAsia" w:ascii="宋体" w:hAnsi="宋体"/>
          <w:color w:val="000000"/>
          <w:szCs w:val="21"/>
        </w:rPr>
        <w:t>联系电话：</w:t>
      </w:r>
      <w:permStart w:id="319" w:edGrp="everyone"/>
      <w:r>
        <w:rPr>
          <w:rFonts w:hint="eastAsia" w:ascii="宋体" w:hAnsi="宋体" w:cs="仿宋_GB2312"/>
          <w:color w:val="000000"/>
          <w:szCs w:val="21"/>
          <w:u w:val="single"/>
        </w:rPr>
        <w:t></w:t>
      </w:r>
      <w:r>
        <w:rPr>
          <w:rFonts w:ascii="宋体" w:hAnsi="宋体"/>
          <w:color w:val="000000"/>
          <w:szCs w:val="21"/>
          <w:u w:val="single"/>
        </w:rPr>
        <w:t xml:space="preserve">    </w:t>
      </w:r>
      <w:r>
        <w:rPr>
          <w:rFonts w:hint="eastAsia" w:ascii="宋体" w:hAnsi="宋体" w:cs="仿宋_GB2312"/>
          <w:color w:val="000000"/>
          <w:szCs w:val="21"/>
          <w:u w:val="single"/>
        </w:rPr>
        <w:t></w:t>
      </w:r>
      <w:r>
        <w:rPr>
          <w:rFonts w:ascii="宋体" w:hAnsi="宋体"/>
          <w:color w:val="000000"/>
          <w:szCs w:val="21"/>
          <w:u w:val="single"/>
        </w:rPr>
        <w:t xml:space="preserve"> </w:t>
      </w:r>
      <w:permEnd w:id="319"/>
      <w:r>
        <w:rPr>
          <w:rFonts w:hint="eastAsia" w:ascii="宋体" w:hAnsi="宋体"/>
          <w:color w:val="000000"/>
          <w:szCs w:val="21"/>
        </w:rPr>
        <w:t>；</w:t>
      </w:r>
    </w:p>
    <w:p>
      <w:pPr>
        <w:spacing w:line="360" w:lineRule="auto"/>
        <w:ind w:firstLine="420" w:firstLineChars="200"/>
        <w:rPr>
          <w:rFonts w:ascii="宋体" w:hAnsi="宋体"/>
          <w:color w:val="000000"/>
          <w:szCs w:val="21"/>
        </w:rPr>
      </w:pPr>
      <w:r>
        <w:rPr>
          <w:rFonts w:hint="eastAsia" w:ascii="宋体" w:hAnsi="宋体"/>
          <w:color w:val="000000"/>
          <w:szCs w:val="21"/>
        </w:rPr>
        <w:t>电子信箱：</w:t>
      </w:r>
      <w:permStart w:id="320" w:edGrp="everyone"/>
      <w:r>
        <w:rPr>
          <w:rFonts w:hint="eastAsia" w:ascii="宋体" w:hAnsi="宋体" w:cs="仿宋_GB2312"/>
          <w:color w:val="000000"/>
          <w:szCs w:val="21"/>
          <w:u w:val="single"/>
        </w:rPr>
        <w:t></w:t>
      </w:r>
      <w:r>
        <w:rPr>
          <w:rFonts w:ascii="宋体" w:hAnsi="宋体"/>
          <w:color w:val="000000"/>
          <w:szCs w:val="21"/>
          <w:u w:val="single"/>
        </w:rPr>
        <w:t xml:space="preserve">    </w:t>
      </w:r>
      <w:r>
        <w:rPr>
          <w:rFonts w:hint="eastAsia" w:ascii="宋体" w:hAnsi="宋体" w:cs="仿宋_GB2312"/>
          <w:color w:val="000000"/>
          <w:szCs w:val="21"/>
          <w:u w:val="single"/>
        </w:rPr>
        <w:t></w:t>
      </w:r>
      <w:r>
        <w:rPr>
          <w:rFonts w:ascii="宋体" w:hAnsi="宋体"/>
          <w:color w:val="000000"/>
          <w:szCs w:val="21"/>
          <w:u w:val="single"/>
        </w:rPr>
        <w:t xml:space="preserve"> </w:t>
      </w:r>
      <w:permEnd w:id="320"/>
      <w:r>
        <w:rPr>
          <w:rFonts w:hint="eastAsia" w:ascii="宋体" w:hAnsi="宋体"/>
          <w:color w:val="000000"/>
          <w:szCs w:val="21"/>
        </w:rPr>
        <w:t>；</w:t>
      </w:r>
    </w:p>
    <w:p>
      <w:pPr>
        <w:spacing w:line="360" w:lineRule="auto"/>
        <w:ind w:firstLine="420" w:firstLineChars="200"/>
        <w:rPr>
          <w:rFonts w:ascii="宋体" w:hAnsi="宋体"/>
          <w:color w:val="000000"/>
          <w:szCs w:val="21"/>
        </w:rPr>
      </w:pPr>
      <w:r>
        <w:rPr>
          <w:rFonts w:hint="eastAsia" w:ascii="宋体" w:hAnsi="宋体"/>
          <w:color w:val="000000"/>
          <w:szCs w:val="21"/>
        </w:rPr>
        <w:t>通信地址：</w:t>
      </w:r>
      <w:permStart w:id="321" w:edGrp="everyone"/>
      <w:r>
        <w:rPr>
          <w:rFonts w:hint="eastAsia" w:ascii="宋体" w:hAnsi="宋体" w:cs="仿宋_GB2312"/>
          <w:color w:val="000000"/>
          <w:szCs w:val="21"/>
          <w:u w:val="single"/>
        </w:rPr>
        <w:t></w:t>
      </w:r>
      <w:r>
        <w:rPr>
          <w:rFonts w:ascii="宋体" w:hAnsi="宋体"/>
          <w:color w:val="000000"/>
          <w:szCs w:val="21"/>
          <w:u w:val="single"/>
        </w:rPr>
        <w:t xml:space="preserve">    </w:t>
      </w:r>
      <w:permEnd w:id="321"/>
      <w:r>
        <w:rPr>
          <w:rFonts w:hint="eastAsia" w:ascii="宋体" w:hAnsi="宋体"/>
          <w:color w:val="000000"/>
          <w:szCs w:val="21"/>
        </w:rPr>
        <w:t>。</w:t>
      </w:r>
    </w:p>
    <w:p>
      <w:pPr>
        <w:spacing w:line="360" w:lineRule="auto"/>
        <w:ind w:firstLine="420" w:firstLineChars="200"/>
        <w:rPr>
          <w:rFonts w:ascii="宋体" w:hAnsi="宋体"/>
          <w:b/>
          <w:color w:val="000000"/>
          <w:szCs w:val="21"/>
        </w:rPr>
      </w:pPr>
      <w:r>
        <w:rPr>
          <w:rFonts w:hint="eastAsia" w:ascii="宋体" w:hAnsi="宋体"/>
          <w:color w:val="000000"/>
          <w:szCs w:val="21"/>
        </w:rPr>
        <w:t>发包人对发包人代表的授权范围如下：</w:t>
      </w:r>
      <w:permStart w:id="322" w:edGrp="everyone"/>
      <w:r>
        <w:rPr>
          <w:rFonts w:hint="eastAsia" w:ascii="宋体" w:hAnsi="宋体" w:cs="仿宋_GB2312"/>
          <w:color w:val="000000"/>
          <w:szCs w:val="21"/>
          <w:u w:val="single"/>
        </w:rPr>
        <w:t></w:t>
      </w:r>
      <w:r>
        <w:rPr>
          <w:rFonts w:ascii="宋体" w:hAnsi="宋体"/>
          <w:color w:val="000000"/>
          <w:szCs w:val="21"/>
          <w:u w:val="single"/>
        </w:rPr>
        <w:t xml:space="preserve">     </w:t>
      </w:r>
      <w:r>
        <w:rPr>
          <w:rFonts w:hint="eastAsia" w:ascii="宋体" w:hAnsi="宋体" w:cs="仿宋_GB2312"/>
          <w:color w:val="000000"/>
          <w:szCs w:val="21"/>
          <w:u w:val="single"/>
        </w:rPr>
        <w:t></w:t>
      </w:r>
      <w:r>
        <w:rPr>
          <w:rFonts w:hint="eastAsia" w:ascii="宋体" w:hAnsi="宋体"/>
          <w:color w:val="000000"/>
          <w:szCs w:val="21"/>
        </w:rPr>
        <w:t>。</w:t>
      </w:r>
    </w:p>
    <w:permEnd w:id="322"/>
    <w:p>
      <w:pPr>
        <w:spacing w:after="120" w:line="360" w:lineRule="auto"/>
        <w:ind w:firstLine="420" w:firstLineChars="200"/>
        <w:rPr>
          <w:rFonts w:ascii="宋体" w:hAnsi="宋体"/>
          <w:color w:val="000000"/>
          <w:szCs w:val="21"/>
        </w:rPr>
      </w:pPr>
      <w:r>
        <w:rPr>
          <w:rFonts w:ascii="宋体" w:hAnsi="宋体"/>
          <w:color w:val="000000"/>
          <w:szCs w:val="21"/>
        </w:rPr>
        <w:t xml:space="preserve">2.4 </w:t>
      </w:r>
      <w:r>
        <w:rPr>
          <w:rFonts w:hint="eastAsia" w:ascii="宋体" w:hAnsi="宋体"/>
          <w:color w:val="000000"/>
          <w:szCs w:val="21"/>
        </w:rPr>
        <w:t>施工现场、施工条件和基础资料的提供</w:t>
      </w:r>
    </w:p>
    <w:p>
      <w:pPr>
        <w:spacing w:line="360" w:lineRule="auto"/>
        <w:ind w:firstLine="420" w:firstLineChars="200"/>
        <w:rPr>
          <w:rFonts w:ascii="宋体" w:hAnsi="宋体"/>
          <w:color w:val="000000"/>
          <w:szCs w:val="21"/>
        </w:rPr>
      </w:pPr>
      <w:r>
        <w:rPr>
          <w:rFonts w:ascii="宋体" w:hAnsi="宋体"/>
          <w:color w:val="000000"/>
          <w:szCs w:val="21"/>
        </w:rPr>
        <w:t xml:space="preserve">2.4.1 </w:t>
      </w:r>
      <w:r>
        <w:rPr>
          <w:rFonts w:hint="eastAsia" w:ascii="宋体" w:hAnsi="宋体"/>
          <w:color w:val="000000"/>
          <w:szCs w:val="21"/>
        </w:rPr>
        <w:t>提供施工现场</w:t>
      </w:r>
    </w:p>
    <w:p>
      <w:pPr>
        <w:spacing w:line="360" w:lineRule="auto"/>
        <w:ind w:firstLine="420" w:firstLineChars="200"/>
        <w:jc w:val="left"/>
        <w:rPr>
          <w:rFonts w:ascii="宋体" w:hAnsi="宋体"/>
          <w:color w:val="000000"/>
          <w:szCs w:val="21"/>
          <w:u w:val="single"/>
        </w:rPr>
      </w:pPr>
      <w:r>
        <w:rPr>
          <w:rFonts w:hint="eastAsia" w:ascii="宋体" w:hAnsi="宋体"/>
          <w:color w:val="000000"/>
          <w:szCs w:val="21"/>
        </w:rPr>
        <w:t>关于发包人移交施工现场的期限要求：</w:t>
      </w:r>
      <w:permStart w:id="323" w:edGrp="everyone"/>
      <w:r>
        <w:rPr>
          <w:rFonts w:hint="eastAsia" w:ascii="宋体" w:hAnsi="宋体" w:cs="仿宋_GB2312"/>
          <w:color w:val="000000"/>
          <w:szCs w:val="21"/>
          <w:u w:val="single"/>
        </w:rPr>
        <w:t></w:t>
      </w:r>
      <w:r>
        <w:rPr>
          <w:rFonts w:ascii="宋体" w:hAnsi="宋体"/>
          <w:color w:val="000000"/>
          <w:szCs w:val="21"/>
          <w:u w:val="single"/>
        </w:rPr>
        <w:t xml:space="preserve">                  </w:t>
      </w:r>
      <w:r>
        <w:rPr>
          <w:rFonts w:hint="eastAsia" w:ascii="宋体" w:hAnsi="宋体" w:cs="仿宋_GB2312"/>
          <w:color w:val="000000"/>
          <w:szCs w:val="21"/>
          <w:u w:val="single"/>
        </w:rPr>
        <w:t></w:t>
      </w:r>
      <w:r>
        <w:rPr>
          <w:rFonts w:ascii="宋体" w:hAnsi="宋体"/>
          <w:color w:val="000000"/>
          <w:szCs w:val="21"/>
          <w:u w:val="single"/>
        </w:rPr>
        <w:t xml:space="preserve">      </w:t>
      </w:r>
    </w:p>
    <w:p>
      <w:pPr>
        <w:spacing w:line="360" w:lineRule="auto"/>
        <w:ind w:firstLine="420" w:firstLineChars="200"/>
        <w:jc w:val="left"/>
        <w:rPr>
          <w:rFonts w:ascii="宋体" w:hAnsi="宋体"/>
          <w:color w:val="000000"/>
          <w:szCs w:val="21"/>
        </w:rPr>
      </w:pPr>
      <w:r>
        <w:rPr>
          <w:rFonts w:ascii="宋体" w:hAnsi="宋体"/>
          <w:color w:val="000000"/>
          <w:szCs w:val="21"/>
          <w:u w:val="single"/>
        </w:rPr>
        <w:t xml:space="preserve">    </w:t>
      </w:r>
      <w:r>
        <w:rPr>
          <w:rFonts w:hint="eastAsia" w:ascii="宋体" w:hAnsi="宋体"/>
          <w:color w:val="000000"/>
          <w:szCs w:val="21"/>
        </w:rPr>
        <w:t>。</w:t>
      </w:r>
    </w:p>
    <w:permEnd w:id="323"/>
    <w:p>
      <w:pPr>
        <w:spacing w:line="360" w:lineRule="auto"/>
        <w:ind w:firstLine="420" w:firstLineChars="200"/>
        <w:rPr>
          <w:rFonts w:ascii="宋体" w:hAnsi="宋体"/>
          <w:color w:val="000000"/>
          <w:szCs w:val="21"/>
        </w:rPr>
      </w:pPr>
      <w:r>
        <w:rPr>
          <w:rFonts w:ascii="宋体" w:hAnsi="宋体"/>
          <w:color w:val="000000"/>
          <w:szCs w:val="21"/>
        </w:rPr>
        <w:t xml:space="preserve">2.4.2 </w:t>
      </w:r>
      <w:r>
        <w:rPr>
          <w:rFonts w:hint="eastAsia" w:ascii="宋体" w:hAnsi="宋体"/>
          <w:color w:val="000000"/>
          <w:szCs w:val="21"/>
        </w:rPr>
        <w:t>提供施工条件</w:t>
      </w:r>
    </w:p>
    <w:p>
      <w:pPr>
        <w:spacing w:line="360" w:lineRule="auto"/>
        <w:ind w:firstLine="420" w:firstLineChars="200"/>
        <w:rPr>
          <w:rFonts w:ascii="宋体" w:hAnsi="宋体"/>
          <w:color w:val="000000"/>
          <w:szCs w:val="21"/>
          <w:u w:val="single"/>
        </w:rPr>
      </w:pPr>
      <w:r>
        <w:rPr>
          <w:rFonts w:hint="eastAsia" w:ascii="宋体" w:hAnsi="宋体"/>
          <w:color w:val="000000"/>
          <w:szCs w:val="21"/>
        </w:rPr>
        <w:t>关于发包人应负责提供施工所需要的条件，包括：</w:t>
      </w:r>
      <w:permStart w:id="324" w:edGrp="everyone"/>
    </w:p>
    <w:p>
      <w:pPr>
        <w:spacing w:line="360" w:lineRule="auto"/>
        <w:ind w:firstLine="420" w:firstLineChars="200"/>
        <w:rPr>
          <w:rFonts w:ascii="宋体" w:hAnsi="宋体"/>
          <w:color w:val="000000"/>
          <w:szCs w:val="21"/>
          <w:u w:val="single"/>
        </w:rPr>
      </w:pPr>
      <w:r>
        <w:rPr>
          <w:rFonts w:ascii="宋体" w:hAnsi="宋体"/>
          <w:color w:val="000000"/>
          <w:szCs w:val="21"/>
          <w:u w:val="single"/>
        </w:rPr>
        <w:t xml:space="preserve">                                                    </w:t>
      </w:r>
      <w:r>
        <w:rPr>
          <w:rFonts w:hint="eastAsia" w:ascii="宋体" w:hAnsi="宋体"/>
          <w:color w:val="000000"/>
          <w:szCs w:val="21"/>
        </w:rPr>
        <w:t>。</w:t>
      </w:r>
    </w:p>
    <w:permEnd w:id="324"/>
    <w:p>
      <w:pPr>
        <w:spacing w:after="120" w:line="360" w:lineRule="auto"/>
        <w:ind w:firstLine="420" w:firstLineChars="200"/>
        <w:rPr>
          <w:rFonts w:ascii="宋体" w:hAnsi="宋体"/>
          <w:color w:val="000000"/>
          <w:szCs w:val="21"/>
        </w:rPr>
      </w:pPr>
      <w:r>
        <w:rPr>
          <w:rFonts w:ascii="宋体" w:hAnsi="宋体"/>
          <w:color w:val="000000"/>
          <w:szCs w:val="21"/>
        </w:rPr>
        <w:t xml:space="preserve">2.5 </w:t>
      </w:r>
      <w:r>
        <w:rPr>
          <w:rFonts w:hint="eastAsia" w:ascii="宋体" w:hAnsi="宋体"/>
          <w:color w:val="000000"/>
          <w:szCs w:val="21"/>
        </w:rPr>
        <w:t>资金来源证明及支付担保</w:t>
      </w:r>
    </w:p>
    <w:p>
      <w:pPr>
        <w:spacing w:line="360" w:lineRule="auto"/>
        <w:ind w:firstLine="420" w:firstLineChars="200"/>
        <w:rPr>
          <w:rFonts w:ascii="宋体" w:hAnsi="宋体"/>
          <w:color w:val="000000"/>
          <w:szCs w:val="21"/>
        </w:rPr>
      </w:pPr>
      <w:r>
        <w:rPr>
          <w:rFonts w:hint="eastAsia" w:ascii="宋体" w:hAnsi="宋体"/>
          <w:color w:val="000000"/>
          <w:szCs w:val="21"/>
        </w:rPr>
        <w:t>发包人提供资金来源证明的期限要求：</w:t>
      </w:r>
      <w:permStart w:id="325" w:edGrp="everyone"/>
      <w:r>
        <w:rPr>
          <w:rFonts w:hint="eastAsia" w:ascii="宋体" w:hAnsi="宋体" w:cs="仿宋_GB2312"/>
          <w:color w:val="000000"/>
          <w:szCs w:val="21"/>
          <w:u w:val="single"/>
        </w:rPr>
        <w:t></w:t>
      </w:r>
      <w:permEnd w:id="325"/>
      <w:r>
        <w:rPr>
          <w:rFonts w:hint="eastAsia" w:ascii="宋体" w:hAnsi="宋体"/>
          <w:color w:val="000000"/>
          <w:szCs w:val="21"/>
        </w:rPr>
        <w:t>。</w:t>
      </w:r>
    </w:p>
    <w:p>
      <w:pPr>
        <w:spacing w:line="360" w:lineRule="auto"/>
        <w:ind w:firstLine="420" w:firstLineChars="200"/>
        <w:rPr>
          <w:rFonts w:ascii="宋体" w:hAnsi="宋体"/>
          <w:color w:val="000000"/>
          <w:szCs w:val="21"/>
        </w:rPr>
      </w:pPr>
      <w:r>
        <w:rPr>
          <w:rFonts w:hint="eastAsia" w:ascii="宋体" w:hAnsi="宋体"/>
          <w:color w:val="000000"/>
          <w:szCs w:val="21"/>
        </w:rPr>
        <w:t>发包人是否提供支付担保：</w:t>
      </w:r>
      <w:permStart w:id="326" w:edGrp="everyone"/>
      <w:r>
        <w:rPr>
          <w:rFonts w:hint="eastAsia" w:ascii="宋体" w:hAnsi="宋体" w:cs="仿宋_GB2312"/>
          <w:color w:val="000000"/>
          <w:szCs w:val="21"/>
          <w:u w:val="single"/>
        </w:rPr>
        <w:t></w:t>
      </w:r>
      <w:r>
        <w:rPr>
          <w:rFonts w:ascii="宋体" w:hAnsi="宋体"/>
          <w:color w:val="000000"/>
          <w:szCs w:val="21"/>
          <w:u w:val="single"/>
        </w:rPr>
        <w:t xml:space="preserve">                     </w:t>
      </w:r>
      <w:permEnd w:id="326"/>
      <w:r>
        <w:rPr>
          <w:rFonts w:hint="eastAsia" w:ascii="宋体" w:hAnsi="宋体"/>
          <w:color w:val="000000"/>
          <w:szCs w:val="21"/>
        </w:rPr>
        <w:t>。</w:t>
      </w:r>
    </w:p>
    <w:p>
      <w:pPr>
        <w:spacing w:line="360" w:lineRule="auto"/>
        <w:ind w:firstLine="420" w:firstLineChars="200"/>
        <w:rPr>
          <w:rFonts w:ascii="宋体" w:hAnsi="宋体"/>
          <w:color w:val="000000"/>
          <w:szCs w:val="21"/>
          <w:u w:val="single"/>
        </w:rPr>
      </w:pPr>
      <w:r>
        <w:rPr>
          <w:rFonts w:hint="eastAsia" w:ascii="宋体" w:hAnsi="宋体"/>
          <w:color w:val="000000"/>
          <w:szCs w:val="21"/>
        </w:rPr>
        <w:t>发包人提供支付担保的形式：</w:t>
      </w:r>
      <w:permStart w:id="327" w:edGrp="everyone"/>
      <w:r>
        <w:rPr>
          <w:rFonts w:hint="eastAsia" w:ascii="宋体" w:hAnsi="宋体" w:cs="仿宋_GB2312"/>
          <w:color w:val="000000"/>
          <w:szCs w:val="21"/>
          <w:u w:val="single"/>
        </w:rPr>
        <w:t></w:t>
      </w:r>
      <w:r>
        <w:rPr>
          <w:rFonts w:ascii="宋体" w:hAnsi="宋体"/>
          <w:color w:val="000000"/>
          <w:szCs w:val="21"/>
          <w:u w:val="single"/>
        </w:rPr>
        <w:t xml:space="preserve">                     </w:t>
      </w:r>
      <w:permEnd w:id="327"/>
      <w:r>
        <w:rPr>
          <w:rFonts w:hint="eastAsia" w:ascii="宋体" w:hAnsi="宋体"/>
          <w:color w:val="000000"/>
          <w:szCs w:val="21"/>
        </w:rPr>
        <w:t>。</w:t>
      </w:r>
    </w:p>
    <w:p>
      <w:pPr>
        <w:pStyle w:val="5"/>
        <w:spacing w:before="120" w:after="120" w:line="360" w:lineRule="auto"/>
        <w:rPr>
          <w:rFonts w:ascii="黑体" w:hAnsi="黑体"/>
          <w:b w:val="0"/>
          <w:color w:val="000000"/>
        </w:rPr>
      </w:pPr>
      <w:bookmarkStart w:id="714" w:name="_Toc114222825"/>
      <w:bookmarkStart w:id="715" w:name="_Toc362623190"/>
      <w:r>
        <w:rPr>
          <w:rFonts w:ascii="黑体" w:hAnsi="黑体"/>
          <w:b w:val="0"/>
          <w:color w:val="000000"/>
        </w:rPr>
        <w:t>3</w:t>
      </w:r>
      <w:bookmarkStart w:id="716" w:name="_Toc292559363"/>
      <w:bookmarkStart w:id="717" w:name="_Toc296346659"/>
      <w:bookmarkStart w:id="718" w:name="_Toc296890986"/>
      <w:bookmarkStart w:id="719" w:name="_Toc296891198"/>
      <w:bookmarkStart w:id="720" w:name="_Toc296503158"/>
      <w:bookmarkStart w:id="721" w:name="_Toc296347157"/>
      <w:bookmarkStart w:id="722" w:name="_Toc292559868"/>
      <w:bookmarkStart w:id="723" w:name="_Toc296944497"/>
      <w:bookmarkStart w:id="724" w:name="_Toc297048344"/>
      <w:bookmarkStart w:id="725" w:name="_Toc297120458"/>
      <w:r>
        <w:rPr>
          <w:rFonts w:ascii="黑体" w:hAnsi="黑体"/>
          <w:b w:val="0"/>
          <w:color w:val="000000"/>
        </w:rPr>
        <w:t xml:space="preserve">. </w:t>
      </w:r>
      <w:r>
        <w:rPr>
          <w:rFonts w:hint="eastAsia" w:ascii="黑体" w:hAnsi="黑体"/>
          <w:b w:val="0"/>
          <w:color w:val="000000"/>
        </w:rPr>
        <w:t>承包人</w:t>
      </w:r>
      <w:bookmarkEnd w:id="714"/>
      <w:bookmarkEnd w:id="715"/>
    </w:p>
    <w:bookmarkEnd w:id="716"/>
    <w:bookmarkEnd w:id="717"/>
    <w:bookmarkEnd w:id="718"/>
    <w:bookmarkEnd w:id="719"/>
    <w:bookmarkEnd w:id="720"/>
    <w:bookmarkEnd w:id="721"/>
    <w:bookmarkEnd w:id="722"/>
    <w:bookmarkEnd w:id="723"/>
    <w:bookmarkEnd w:id="724"/>
    <w:bookmarkEnd w:id="725"/>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 xml:space="preserve">3.1 </w:t>
      </w:r>
      <w:r>
        <w:rPr>
          <w:rFonts w:hint="eastAsia" w:ascii="黑体" w:hAnsi="黑体" w:eastAsia="黑体"/>
          <w:color w:val="000000"/>
          <w:szCs w:val="21"/>
        </w:rPr>
        <w:t>承包人的一般义务</w:t>
      </w:r>
    </w:p>
    <w:p>
      <w:pPr>
        <w:spacing w:line="360" w:lineRule="auto"/>
        <w:ind w:firstLine="420" w:firstLineChars="200"/>
        <w:jc w:val="left"/>
        <w:rPr>
          <w:rFonts w:ascii="宋体" w:hAnsi="宋体"/>
          <w:color w:val="000000"/>
          <w:szCs w:val="21"/>
          <w:u w:val="single"/>
        </w:rPr>
      </w:pPr>
      <w:r>
        <w:rPr>
          <w:rFonts w:hint="eastAsia" w:ascii="宋体" w:hAnsi="宋体"/>
          <w:color w:val="000000"/>
          <w:kern w:val="0"/>
          <w:szCs w:val="21"/>
        </w:rPr>
        <w:t>（</w:t>
      </w:r>
      <w:r>
        <w:rPr>
          <w:rFonts w:ascii="宋体" w:hAnsi="宋体"/>
          <w:color w:val="000000"/>
          <w:kern w:val="0"/>
          <w:szCs w:val="21"/>
        </w:rPr>
        <w:t>5</w:t>
      </w:r>
      <w:r>
        <w:rPr>
          <w:rFonts w:hint="eastAsia" w:ascii="宋体" w:hAnsi="宋体"/>
          <w:color w:val="000000"/>
          <w:kern w:val="0"/>
          <w:szCs w:val="21"/>
        </w:rPr>
        <w:t>）</w:t>
      </w:r>
      <w:r>
        <w:rPr>
          <w:rFonts w:hint="eastAsia" w:ascii="宋体" w:hAnsi="宋体"/>
          <w:color w:val="000000"/>
          <w:szCs w:val="21"/>
        </w:rPr>
        <w:t>承包人提交的竣工资料的内容：</w:t>
      </w:r>
      <w:permStart w:id="328" w:edGrp="everyone"/>
    </w:p>
    <w:permEnd w:id="328"/>
    <w:p>
      <w:pPr>
        <w:spacing w:line="360" w:lineRule="auto"/>
        <w:jc w:val="left"/>
        <w:rPr>
          <w:rFonts w:ascii="宋体" w:hAnsi="宋体"/>
          <w:color w:val="000000"/>
          <w:szCs w:val="21"/>
        </w:rPr>
      </w:pPr>
    </w:p>
    <w:p>
      <w:pPr>
        <w:spacing w:line="360" w:lineRule="auto"/>
        <w:ind w:firstLine="420" w:firstLineChars="200"/>
        <w:jc w:val="left"/>
        <w:rPr>
          <w:rFonts w:ascii="宋体" w:hAnsi="宋体"/>
          <w:color w:val="000000"/>
          <w:szCs w:val="21"/>
        </w:rPr>
      </w:pPr>
      <w:r>
        <w:rPr>
          <w:rFonts w:hint="eastAsia" w:ascii="宋体" w:hAnsi="宋体"/>
          <w:color w:val="000000"/>
          <w:szCs w:val="21"/>
        </w:rPr>
        <w:t>承包人需要提交的竣工资料套数：</w:t>
      </w:r>
      <w:permStart w:id="329" w:edGrp="everyone"/>
      <w:r>
        <w:rPr>
          <w:rFonts w:hint="eastAsia" w:ascii="宋体" w:hAnsi="宋体"/>
          <w:color w:val="000000"/>
          <w:szCs w:val="21"/>
        </w:rPr>
        <w:t xml:space="preserve">   </w:t>
      </w:r>
      <w:permEnd w:id="329"/>
      <w:r>
        <w:rPr>
          <w:rFonts w:hint="eastAsia" w:ascii="宋体" w:hAnsi="宋体"/>
          <w:color w:val="000000"/>
          <w:szCs w:val="21"/>
        </w:rPr>
        <w:t>。</w:t>
      </w:r>
    </w:p>
    <w:p>
      <w:pPr>
        <w:spacing w:line="360" w:lineRule="auto"/>
        <w:ind w:left="638" w:leftChars="304"/>
        <w:jc w:val="left"/>
        <w:rPr>
          <w:rFonts w:ascii="宋体" w:hAnsi="宋体"/>
          <w:color w:val="000000"/>
          <w:szCs w:val="21"/>
        </w:rPr>
      </w:pPr>
      <w:r>
        <w:rPr>
          <w:rFonts w:hint="eastAsia" w:ascii="宋体" w:hAnsi="宋体"/>
          <w:color w:val="000000"/>
          <w:szCs w:val="21"/>
        </w:rPr>
        <w:t>承包人提交的竣工资料的费用承担：</w:t>
      </w:r>
      <w:permStart w:id="330" w:edGrp="everyone"/>
      <w:r>
        <w:rPr>
          <w:rFonts w:hint="eastAsia" w:ascii="宋体" w:hAnsi="宋体"/>
          <w:color w:val="000000"/>
          <w:szCs w:val="21"/>
        </w:rPr>
        <w:t xml:space="preserve">  </w:t>
      </w:r>
      <w:permEnd w:id="330"/>
      <w:r>
        <w:rPr>
          <w:rFonts w:hint="eastAsia" w:ascii="宋体" w:hAnsi="宋体"/>
          <w:color w:val="000000"/>
          <w:szCs w:val="21"/>
        </w:rPr>
        <w:t>。</w:t>
      </w:r>
    </w:p>
    <w:p>
      <w:pPr>
        <w:spacing w:line="360" w:lineRule="auto"/>
        <w:ind w:left="638" w:leftChars="304"/>
        <w:jc w:val="left"/>
        <w:rPr>
          <w:rFonts w:ascii="宋体" w:hAnsi="宋体"/>
          <w:color w:val="000000"/>
          <w:szCs w:val="21"/>
        </w:rPr>
      </w:pPr>
      <w:r>
        <w:rPr>
          <w:rFonts w:hint="eastAsia" w:ascii="宋体" w:hAnsi="宋体"/>
          <w:color w:val="000000"/>
          <w:szCs w:val="21"/>
        </w:rPr>
        <w:t>承包人提交的竣工资料移交时间</w:t>
      </w:r>
      <w:r>
        <w:rPr>
          <w:rFonts w:hint="eastAsia" w:ascii="宋体" w:hAnsi="宋体"/>
          <w:color w:val="000000"/>
          <w:szCs w:val="21"/>
          <w:lang w:eastAsia="zh-CN"/>
        </w:rPr>
        <w:t>：</w:t>
      </w:r>
    </w:p>
    <w:p>
      <w:pPr>
        <w:spacing w:line="360" w:lineRule="auto"/>
        <w:ind w:firstLine="420" w:firstLineChars="200"/>
        <w:jc w:val="left"/>
        <w:rPr>
          <w:rFonts w:ascii="宋体" w:hAnsi="宋体"/>
          <w:color w:val="000000"/>
          <w:szCs w:val="21"/>
        </w:rPr>
      </w:pPr>
      <w:r>
        <w:rPr>
          <w:rFonts w:hint="eastAsia" w:ascii="宋体" w:hAnsi="宋体"/>
          <w:color w:val="000000"/>
          <w:szCs w:val="21"/>
        </w:rPr>
        <w:t>承包人提交的竣工资料形式要求</w:t>
      </w:r>
      <w:r>
        <w:rPr>
          <w:rFonts w:hint="eastAsia" w:ascii="宋体" w:hAnsi="宋体"/>
          <w:color w:val="000000"/>
          <w:szCs w:val="21"/>
          <w:lang w:eastAsia="zh-CN"/>
        </w:rPr>
        <w:t>：</w:t>
      </w:r>
      <w:permStart w:id="331" w:edGrp="everyone"/>
    </w:p>
    <w:permEnd w:id="331"/>
    <w:p>
      <w:pPr>
        <w:spacing w:line="360" w:lineRule="auto"/>
        <w:ind w:firstLine="420" w:firstLineChars="200"/>
        <w:rPr>
          <w:rFonts w:ascii="宋体" w:hAnsi="宋体"/>
          <w:color w:val="000000"/>
          <w:szCs w:val="21"/>
          <w:u w:val="single"/>
        </w:rPr>
      </w:pPr>
      <w:r>
        <w:rPr>
          <w:rFonts w:hint="eastAsia" w:ascii="宋体" w:hAnsi="宋体"/>
          <w:color w:val="000000"/>
          <w:kern w:val="0"/>
          <w:szCs w:val="21"/>
        </w:rPr>
        <w:t>（</w:t>
      </w:r>
      <w:r>
        <w:rPr>
          <w:rFonts w:ascii="宋体" w:hAnsi="宋体"/>
          <w:color w:val="000000"/>
          <w:kern w:val="0"/>
          <w:szCs w:val="21"/>
        </w:rPr>
        <w:t>6</w:t>
      </w:r>
      <w:r>
        <w:rPr>
          <w:rFonts w:hint="eastAsia" w:ascii="宋体" w:hAnsi="宋体"/>
          <w:color w:val="000000"/>
          <w:kern w:val="0"/>
          <w:szCs w:val="21"/>
        </w:rPr>
        <w:t>）承包人应履行的其他义务：</w:t>
      </w:r>
      <w:permStart w:id="332" w:edGrp="everyone"/>
      <w:r>
        <w:rPr>
          <w:rFonts w:hint="eastAsia" w:ascii="宋体" w:hAnsi="宋体" w:cs="仿宋_GB2312"/>
          <w:color w:val="000000"/>
          <w:szCs w:val="21"/>
          <w:u w:val="single"/>
        </w:rPr>
        <w:t></w:t>
      </w:r>
      <w:r>
        <w:rPr>
          <w:rFonts w:ascii="宋体" w:hAnsi="宋体"/>
          <w:color w:val="000000"/>
          <w:szCs w:val="21"/>
          <w:u w:val="single"/>
        </w:rPr>
        <w:t xml:space="preserve">             </w:t>
      </w:r>
    </w:p>
    <w:p>
      <w:pPr>
        <w:spacing w:line="360" w:lineRule="auto"/>
        <w:ind w:firstLine="420" w:firstLineChars="200"/>
        <w:rPr>
          <w:rFonts w:ascii="宋体" w:hAnsi="宋体"/>
          <w:color w:val="000000"/>
          <w:szCs w:val="21"/>
        </w:rPr>
      </w:pPr>
      <w:r>
        <w:rPr>
          <w:rFonts w:ascii="宋体" w:hAnsi="宋体"/>
          <w:color w:val="000000"/>
          <w:szCs w:val="21"/>
          <w:u w:val="single"/>
        </w:rPr>
        <w:t xml:space="preserve">                                                    </w:t>
      </w:r>
      <w:permEnd w:id="332"/>
      <w:r>
        <w:rPr>
          <w:rFonts w:hint="eastAsia" w:ascii="宋体" w:hAnsi="宋体"/>
          <w:color w:val="000000"/>
          <w:szCs w:val="21"/>
        </w:rPr>
        <w:t>。</w:t>
      </w:r>
    </w:p>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 xml:space="preserve">3.2 </w:t>
      </w:r>
      <w:r>
        <w:rPr>
          <w:rFonts w:hint="eastAsia" w:ascii="黑体" w:hAnsi="黑体" w:eastAsia="黑体"/>
          <w:color w:val="000000"/>
          <w:szCs w:val="21"/>
        </w:rPr>
        <w:t>项目经理</w:t>
      </w:r>
    </w:p>
    <w:p>
      <w:pPr>
        <w:spacing w:line="360" w:lineRule="auto"/>
        <w:ind w:firstLine="420" w:firstLineChars="200"/>
        <w:rPr>
          <w:rFonts w:ascii="宋体" w:hAnsi="宋体"/>
          <w:color w:val="000000"/>
          <w:szCs w:val="21"/>
        </w:rPr>
      </w:pPr>
      <w:r>
        <w:rPr>
          <w:rFonts w:ascii="宋体" w:hAnsi="宋体"/>
          <w:color w:val="000000"/>
          <w:kern w:val="0"/>
          <w:szCs w:val="21"/>
        </w:rPr>
        <w:t xml:space="preserve">3.2.1 </w:t>
      </w:r>
      <w:r>
        <w:rPr>
          <w:rFonts w:hint="eastAsia" w:ascii="宋体" w:hAnsi="宋体"/>
          <w:color w:val="000000"/>
          <w:szCs w:val="21"/>
        </w:rPr>
        <w:t>项目经理：</w:t>
      </w:r>
    </w:p>
    <w:p>
      <w:pPr>
        <w:spacing w:line="360" w:lineRule="auto"/>
        <w:ind w:firstLine="420" w:firstLineChars="200"/>
        <w:rPr>
          <w:rFonts w:ascii="宋体" w:hAnsi="宋体"/>
          <w:color w:val="000000"/>
          <w:szCs w:val="21"/>
        </w:rPr>
      </w:pPr>
      <w:r>
        <w:rPr>
          <w:rFonts w:hint="eastAsia" w:ascii="宋体" w:hAnsi="宋体"/>
          <w:color w:val="000000"/>
          <w:szCs w:val="21"/>
        </w:rPr>
        <w:t>姓名：</w:t>
      </w:r>
      <w:permStart w:id="333" w:edGrp="everyone"/>
      <w:r>
        <w:rPr>
          <w:rFonts w:hint="eastAsia" w:ascii="宋体" w:hAnsi="宋体" w:cs="仿宋_GB2312"/>
          <w:color w:val="000000"/>
          <w:szCs w:val="21"/>
          <w:u w:val="single"/>
        </w:rPr>
        <w:t></w:t>
      </w:r>
      <w:r>
        <w:rPr>
          <w:rFonts w:ascii="宋体" w:hAnsi="宋体"/>
          <w:color w:val="000000"/>
          <w:szCs w:val="21"/>
          <w:u w:val="single"/>
        </w:rPr>
        <w:t xml:space="preserve">        </w:t>
      </w:r>
      <w:r>
        <w:rPr>
          <w:rFonts w:hint="eastAsia" w:ascii="宋体" w:hAnsi="宋体" w:cs="仿宋_GB2312"/>
          <w:color w:val="000000"/>
          <w:szCs w:val="21"/>
          <w:u w:val="single"/>
        </w:rPr>
        <w:t></w:t>
      </w:r>
      <w:r>
        <w:rPr>
          <w:rFonts w:ascii="宋体" w:hAnsi="宋体"/>
          <w:color w:val="000000"/>
          <w:szCs w:val="21"/>
          <w:u w:val="single"/>
        </w:rPr>
        <w:t xml:space="preserve"> </w:t>
      </w:r>
      <w:permEnd w:id="333"/>
      <w:r>
        <w:rPr>
          <w:rFonts w:hint="eastAsia" w:ascii="宋体" w:hAnsi="宋体"/>
          <w:color w:val="000000"/>
          <w:szCs w:val="21"/>
        </w:rPr>
        <w:t>；</w:t>
      </w:r>
    </w:p>
    <w:p>
      <w:pPr>
        <w:spacing w:line="360" w:lineRule="auto"/>
        <w:ind w:firstLine="420" w:firstLineChars="200"/>
        <w:rPr>
          <w:rFonts w:ascii="宋体" w:hAnsi="宋体"/>
          <w:color w:val="000000"/>
          <w:szCs w:val="21"/>
        </w:rPr>
      </w:pPr>
      <w:r>
        <w:rPr>
          <w:rFonts w:hint="eastAsia" w:ascii="宋体" w:hAnsi="宋体"/>
          <w:color w:val="000000"/>
          <w:szCs w:val="21"/>
        </w:rPr>
        <w:t>身份证号：</w:t>
      </w:r>
      <w:permStart w:id="334" w:edGrp="everyone"/>
      <w:r>
        <w:rPr>
          <w:rFonts w:hint="eastAsia" w:ascii="宋体" w:hAnsi="宋体" w:cs="仿宋_GB2312"/>
          <w:color w:val="000000"/>
          <w:szCs w:val="21"/>
          <w:u w:val="single"/>
        </w:rPr>
        <w:t></w:t>
      </w:r>
      <w:r>
        <w:rPr>
          <w:rFonts w:ascii="宋体" w:hAnsi="宋体"/>
          <w:color w:val="000000"/>
          <w:szCs w:val="21"/>
          <w:u w:val="single"/>
        </w:rPr>
        <w:t xml:space="preserve">        </w:t>
      </w:r>
      <w:r>
        <w:rPr>
          <w:rFonts w:hint="eastAsia" w:ascii="宋体" w:hAnsi="宋体" w:cs="仿宋_GB2312"/>
          <w:color w:val="000000"/>
          <w:szCs w:val="21"/>
          <w:u w:val="single"/>
        </w:rPr>
        <w:t></w:t>
      </w:r>
      <w:r>
        <w:rPr>
          <w:rFonts w:ascii="宋体" w:hAnsi="宋体"/>
          <w:color w:val="000000"/>
          <w:szCs w:val="21"/>
          <w:u w:val="single"/>
        </w:rPr>
        <w:t xml:space="preserve"> </w:t>
      </w:r>
      <w:permEnd w:id="334"/>
      <w:r>
        <w:rPr>
          <w:rFonts w:hint="eastAsia" w:ascii="宋体" w:hAnsi="宋体"/>
          <w:color w:val="000000"/>
          <w:szCs w:val="21"/>
        </w:rPr>
        <w:t>；</w:t>
      </w:r>
    </w:p>
    <w:p>
      <w:pPr>
        <w:spacing w:line="360" w:lineRule="auto"/>
        <w:ind w:firstLine="420" w:firstLineChars="200"/>
        <w:rPr>
          <w:rFonts w:ascii="宋体" w:hAnsi="宋体"/>
          <w:color w:val="000000"/>
          <w:szCs w:val="21"/>
        </w:rPr>
      </w:pPr>
      <w:r>
        <w:rPr>
          <w:rFonts w:hint="eastAsia" w:ascii="宋体" w:hAnsi="宋体"/>
          <w:color w:val="000000"/>
          <w:szCs w:val="21"/>
        </w:rPr>
        <w:t>建造师执业资格等级：</w:t>
      </w:r>
      <w:permStart w:id="335" w:edGrp="everyone"/>
      <w:r>
        <w:rPr>
          <w:rFonts w:hint="eastAsia" w:ascii="宋体" w:hAnsi="宋体" w:cs="仿宋_GB2312"/>
          <w:color w:val="000000"/>
          <w:szCs w:val="21"/>
          <w:u w:val="single"/>
        </w:rPr>
        <w:t></w:t>
      </w:r>
      <w:r>
        <w:rPr>
          <w:rFonts w:ascii="宋体" w:hAnsi="宋体"/>
          <w:color w:val="000000"/>
          <w:szCs w:val="21"/>
          <w:u w:val="single"/>
        </w:rPr>
        <w:t xml:space="preserve">   </w:t>
      </w:r>
      <w:permEnd w:id="335"/>
      <w:r>
        <w:rPr>
          <w:rFonts w:hint="eastAsia" w:ascii="宋体" w:hAnsi="宋体"/>
          <w:color w:val="000000"/>
          <w:szCs w:val="21"/>
        </w:rPr>
        <w:t>；</w:t>
      </w:r>
    </w:p>
    <w:p>
      <w:pPr>
        <w:spacing w:line="360" w:lineRule="auto"/>
        <w:ind w:firstLine="420" w:firstLineChars="200"/>
        <w:rPr>
          <w:rFonts w:ascii="宋体" w:hAnsi="宋体"/>
          <w:color w:val="000000"/>
          <w:szCs w:val="21"/>
        </w:rPr>
      </w:pPr>
      <w:r>
        <w:rPr>
          <w:rFonts w:hint="eastAsia" w:ascii="宋体" w:hAnsi="宋体"/>
          <w:color w:val="000000"/>
          <w:szCs w:val="21"/>
        </w:rPr>
        <w:t>建造师注册证书号：</w:t>
      </w:r>
      <w:permStart w:id="336" w:edGrp="everyone"/>
      <w:r>
        <w:rPr>
          <w:rFonts w:hint="eastAsia" w:ascii="宋体" w:hAnsi="宋体" w:cs="仿宋_GB2312"/>
          <w:color w:val="000000"/>
          <w:szCs w:val="21"/>
          <w:u w:val="single"/>
        </w:rPr>
        <w:t></w:t>
      </w:r>
      <w:r>
        <w:rPr>
          <w:rFonts w:ascii="宋体" w:hAnsi="宋体"/>
          <w:color w:val="000000"/>
          <w:szCs w:val="21"/>
          <w:u w:val="single"/>
        </w:rPr>
        <w:t xml:space="preserve"> </w:t>
      </w:r>
      <w:permEnd w:id="336"/>
      <w:r>
        <w:rPr>
          <w:rFonts w:hint="eastAsia" w:ascii="宋体" w:hAnsi="宋体"/>
          <w:color w:val="000000"/>
          <w:szCs w:val="21"/>
        </w:rPr>
        <w:t>；</w:t>
      </w:r>
    </w:p>
    <w:p>
      <w:pPr>
        <w:spacing w:line="360" w:lineRule="auto"/>
        <w:ind w:firstLine="420" w:firstLineChars="200"/>
        <w:rPr>
          <w:rFonts w:ascii="宋体" w:hAnsi="宋体"/>
          <w:color w:val="000000"/>
          <w:szCs w:val="21"/>
        </w:rPr>
      </w:pPr>
      <w:r>
        <w:rPr>
          <w:rFonts w:hint="eastAsia" w:ascii="宋体" w:hAnsi="宋体"/>
          <w:color w:val="000000"/>
          <w:szCs w:val="21"/>
        </w:rPr>
        <w:t>建造师执业印章号：</w:t>
      </w:r>
      <w:permStart w:id="337" w:edGrp="everyone"/>
      <w:r>
        <w:rPr>
          <w:rFonts w:hint="eastAsia" w:ascii="宋体" w:hAnsi="宋体" w:cs="仿宋_GB2312"/>
          <w:color w:val="000000"/>
          <w:szCs w:val="21"/>
          <w:u w:val="single"/>
        </w:rPr>
        <w:t></w:t>
      </w:r>
      <w:r>
        <w:rPr>
          <w:rFonts w:ascii="宋体" w:hAnsi="宋体"/>
          <w:color w:val="000000"/>
          <w:szCs w:val="21"/>
          <w:u w:val="single"/>
        </w:rPr>
        <w:t xml:space="preserve"> </w:t>
      </w:r>
      <w:r>
        <w:rPr>
          <w:rFonts w:hint="eastAsia" w:ascii="宋体" w:hAnsi="宋体"/>
          <w:color w:val="000000"/>
          <w:szCs w:val="21"/>
        </w:rPr>
        <w:t>；</w:t>
      </w:r>
      <w:permEnd w:id="337"/>
    </w:p>
    <w:p>
      <w:pPr>
        <w:spacing w:line="360" w:lineRule="auto"/>
        <w:ind w:firstLine="420" w:firstLineChars="200"/>
        <w:rPr>
          <w:rFonts w:ascii="宋体" w:hAnsi="宋体"/>
          <w:color w:val="000000"/>
          <w:szCs w:val="21"/>
        </w:rPr>
      </w:pPr>
      <w:r>
        <w:rPr>
          <w:rFonts w:hint="eastAsia" w:ascii="宋体" w:hAnsi="宋体"/>
          <w:color w:val="000000"/>
          <w:szCs w:val="21"/>
        </w:rPr>
        <w:t>联系电话：</w:t>
      </w:r>
      <w:permStart w:id="338" w:edGrp="everyone"/>
      <w:r>
        <w:rPr>
          <w:rFonts w:hint="eastAsia" w:ascii="宋体" w:hAnsi="宋体" w:cs="仿宋_GB2312"/>
          <w:color w:val="000000"/>
          <w:szCs w:val="21"/>
          <w:u w:val="single"/>
        </w:rPr>
        <w:t></w:t>
      </w:r>
      <w:r>
        <w:rPr>
          <w:rFonts w:ascii="宋体" w:hAnsi="宋体"/>
          <w:color w:val="000000"/>
          <w:szCs w:val="21"/>
          <w:u w:val="single"/>
        </w:rPr>
        <w:t xml:space="preserve">        </w:t>
      </w:r>
      <w:r>
        <w:rPr>
          <w:rFonts w:hint="eastAsia" w:ascii="宋体" w:hAnsi="宋体" w:cs="仿宋_GB2312"/>
          <w:color w:val="000000"/>
          <w:szCs w:val="21"/>
          <w:u w:val="single"/>
        </w:rPr>
        <w:t></w:t>
      </w:r>
      <w:r>
        <w:rPr>
          <w:rFonts w:ascii="宋体" w:hAnsi="宋体"/>
          <w:color w:val="000000"/>
          <w:szCs w:val="21"/>
          <w:u w:val="single"/>
        </w:rPr>
        <w:t xml:space="preserve"> </w:t>
      </w:r>
      <w:r>
        <w:rPr>
          <w:rFonts w:hint="eastAsia" w:ascii="宋体" w:hAnsi="宋体"/>
          <w:color w:val="000000"/>
          <w:szCs w:val="21"/>
        </w:rPr>
        <w:t>；</w:t>
      </w:r>
      <w:permEnd w:id="338"/>
    </w:p>
    <w:p>
      <w:pPr>
        <w:spacing w:line="360" w:lineRule="auto"/>
        <w:ind w:firstLine="420" w:firstLineChars="200"/>
        <w:rPr>
          <w:rFonts w:ascii="宋体" w:hAnsi="宋体"/>
          <w:color w:val="000000"/>
          <w:szCs w:val="21"/>
        </w:rPr>
      </w:pPr>
      <w:r>
        <w:rPr>
          <w:rFonts w:hint="eastAsia" w:ascii="宋体" w:hAnsi="宋体"/>
          <w:color w:val="000000"/>
          <w:szCs w:val="21"/>
        </w:rPr>
        <w:t>电子信箱：</w:t>
      </w:r>
      <w:permStart w:id="339" w:edGrp="everyone"/>
      <w:r>
        <w:rPr>
          <w:rFonts w:hint="eastAsia" w:ascii="宋体" w:hAnsi="宋体" w:cs="仿宋_GB2312"/>
          <w:color w:val="000000"/>
          <w:szCs w:val="21"/>
          <w:u w:val="single"/>
        </w:rPr>
        <w:t></w:t>
      </w:r>
      <w:r>
        <w:rPr>
          <w:rFonts w:ascii="宋体" w:hAnsi="宋体"/>
          <w:color w:val="000000"/>
          <w:szCs w:val="21"/>
          <w:u w:val="single"/>
        </w:rPr>
        <w:t xml:space="preserve"> </w:t>
      </w:r>
      <w:permEnd w:id="339"/>
      <w:r>
        <w:rPr>
          <w:rFonts w:hint="eastAsia" w:ascii="宋体" w:hAnsi="宋体"/>
          <w:color w:val="000000"/>
          <w:szCs w:val="21"/>
        </w:rPr>
        <w:t>；</w:t>
      </w:r>
    </w:p>
    <w:p>
      <w:pPr>
        <w:spacing w:line="360" w:lineRule="auto"/>
        <w:ind w:firstLine="420" w:firstLineChars="200"/>
        <w:rPr>
          <w:rFonts w:ascii="宋体" w:hAnsi="宋体"/>
          <w:color w:val="000000"/>
          <w:szCs w:val="21"/>
        </w:rPr>
      </w:pPr>
      <w:r>
        <w:rPr>
          <w:rFonts w:hint="eastAsia" w:ascii="宋体" w:hAnsi="宋体"/>
          <w:color w:val="000000"/>
          <w:szCs w:val="21"/>
        </w:rPr>
        <w:t>通信地址：</w:t>
      </w:r>
      <w:permStart w:id="340" w:edGrp="everyone"/>
      <w:r>
        <w:rPr>
          <w:rFonts w:hint="eastAsia" w:ascii="宋体" w:hAnsi="宋体" w:cs="仿宋_GB2312"/>
          <w:color w:val="000000"/>
          <w:szCs w:val="21"/>
          <w:u w:val="single"/>
        </w:rPr>
        <w:t></w:t>
      </w:r>
      <w:r>
        <w:rPr>
          <w:rFonts w:ascii="宋体" w:hAnsi="宋体"/>
          <w:color w:val="000000"/>
          <w:szCs w:val="21"/>
          <w:u w:val="single"/>
        </w:rPr>
        <w:t xml:space="preserve"> </w:t>
      </w:r>
      <w:r>
        <w:rPr>
          <w:rFonts w:hint="eastAsia" w:ascii="宋体" w:hAnsi="宋体"/>
          <w:color w:val="000000"/>
          <w:szCs w:val="21"/>
        </w:rPr>
        <w:t>；</w:t>
      </w:r>
      <w:permEnd w:id="340"/>
    </w:p>
    <w:p>
      <w:pPr>
        <w:spacing w:line="360" w:lineRule="auto"/>
        <w:ind w:firstLine="420" w:firstLineChars="200"/>
        <w:rPr>
          <w:rFonts w:ascii="宋体" w:hAnsi="宋体"/>
          <w:color w:val="000000"/>
          <w:szCs w:val="21"/>
        </w:rPr>
      </w:pPr>
      <w:r>
        <w:rPr>
          <w:rFonts w:hint="eastAsia" w:ascii="宋体" w:hAnsi="宋体"/>
          <w:color w:val="000000"/>
          <w:szCs w:val="21"/>
        </w:rPr>
        <w:t>承包人对项目经理的授权范围如下：</w:t>
      </w:r>
      <w:permStart w:id="341" w:edGrp="everyone"/>
      <w:r>
        <w:rPr>
          <w:rFonts w:hint="eastAsia" w:ascii="宋体" w:hAnsi="宋体" w:cs="仿宋_GB2312"/>
          <w:color w:val="000000"/>
          <w:szCs w:val="21"/>
          <w:u w:val="single"/>
        </w:rPr>
        <w:t></w:t>
      </w:r>
      <w:r>
        <w:rPr>
          <w:rFonts w:hint="eastAsia" w:ascii="宋体" w:hAnsi="宋体"/>
          <w:color w:val="000000"/>
          <w:szCs w:val="21"/>
        </w:rPr>
        <w:t>。</w:t>
      </w:r>
    </w:p>
    <w:permEnd w:id="341"/>
    <w:p>
      <w:pPr>
        <w:spacing w:line="360" w:lineRule="auto"/>
        <w:ind w:firstLine="420" w:firstLineChars="200"/>
        <w:jc w:val="left"/>
        <w:rPr>
          <w:rFonts w:ascii="宋体" w:hAnsi="宋体"/>
          <w:color w:val="000000"/>
          <w:kern w:val="0"/>
          <w:szCs w:val="21"/>
          <w:u w:val="single"/>
        </w:rPr>
      </w:pPr>
      <w:r>
        <w:rPr>
          <w:rFonts w:hint="eastAsia" w:ascii="宋体" w:hAnsi="宋体"/>
          <w:color w:val="000000"/>
          <w:kern w:val="0"/>
          <w:szCs w:val="21"/>
        </w:rPr>
        <w:t>关于项目经理每月在施工现场的时间要求：</w:t>
      </w:r>
      <w:permStart w:id="342" w:edGrp="everyone"/>
      <w:r>
        <w:rPr>
          <w:rFonts w:ascii="宋体" w:hAnsi="宋体"/>
          <w:color w:val="000000"/>
          <w:szCs w:val="21"/>
          <w:u w:val="single"/>
        </w:rPr>
        <w:t xml:space="preserve">        </w:t>
      </w:r>
      <w:r>
        <w:rPr>
          <w:rFonts w:hint="eastAsia" w:ascii="宋体" w:hAnsi="宋体" w:cs="仿宋_GB2312"/>
          <w:color w:val="000000"/>
          <w:szCs w:val="21"/>
          <w:u w:val="single"/>
        </w:rPr>
        <w:t></w:t>
      </w:r>
      <w:permEnd w:id="342"/>
      <w:r>
        <w:rPr>
          <w:rFonts w:hint="eastAsia" w:ascii="宋体" w:hAnsi="宋体"/>
          <w:color w:val="000000"/>
          <w:szCs w:val="21"/>
        </w:rPr>
        <w:t>。</w:t>
      </w:r>
    </w:p>
    <w:p>
      <w:pPr>
        <w:spacing w:line="360" w:lineRule="auto"/>
        <w:ind w:firstLine="420" w:firstLineChars="200"/>
        <w:rPr>
          <w:rFonts w:ascii="宋体" w:hAnsi="宋体"/>
          <w:color w:val="000000"/>
          <w:szCs w:val="21"/>
          <w:u w:val="single"/>
        </w:rPr>
      </w:pPr>
      <w:r>
        <w:rPr>
          <w:rFonts w:hint="eastAsia" w:ascii="宋体" w:hAnsi="宋体"/>
          <w:color w:val="000000"/>
          <w:kern w:val="0"/>
          <w:szCs w:val="21"/>
        </w:rPr>
        <w:t>承包人未提交劳动合同，以及没有为项目经理缴纳社会保险证明的违约责任：</w:t>
      </w:r>
      <w:permStart w:id="343" w:edGrp="everyone"/>
      <w:r>
        <w:rPr>
          <w:rFonts w:ascii="宋体" w:hAnsi="宋体"/>
          <w:color w:val="000000"/>
          <w:szCs w:val="21"/>
          <w:u w:val="single"/>
        </w:rPr>
        <w:t xml:space="preserve">      </w:t>
      </w:r>
    </w:p>
    <w:p>
      <w:pPr>
        <w:spacing w:line="360" w:lineRule="auto"/>
        <w:ind w:firstLine="420" w:firstLineChars="200"/>
        <w:rPr>
          <w:rFonts w:ascii="宋体" w:hAnsi="宋体"/>
          <w:color w:val="000000"/>
          <w:kern w:val="0"/>
          <w:szCs w:val="21"/>
        </w:rPr>
      </w:pPr>
      <w:r>
        <w:rPr>
          <w:rFonts w:ascii="宋体" w:hAnsi="宋体"/>
          <w:color w:val="000000"/>
          <w:szCs w:val="21"/>
          <w:u w:val="single"/>
        </w:rPr>
        <w:t xml:space="preserve">                                                  </w:t>
      </w:r>
      <w:r>
        <w:rPr>
          <w:rFonts w:hint="eastAsia" w:ascii="宋体" w:hAnsi="宋体" w:cs="仿宋_GB2312"/>
          <w:color w:val="000000"/>
          <w:szCs w:val="21"/>
          <w:u w:val="single"/>
        </w:rPr>
        <w:t></w:t>
      </w:r>
      <w:r>
        <w:rPr>
          <w:rFonts w:hint="eastAsia" w:ascii="宋体" w:hAnsi="宋体"/>
          <w:color w:val="000000"/>
          <w:szCs w:val="21"/>
        </w:rPr>
        <w:t>。</w:t>
      </w:r>
    </w:p>
    <w:permEnd w:id="343"/>
    <w:p>
      <w:pPr>
        <w:spacing w:line="360" w:lineRule="auto"/>
        <w:ind w:firstLine="420" w:firstLineChars="200"/>
        <w:rPr>
          <w:rFonts w:ascii="宋体" w:hAnsi="宋体"/>
          <w:color w:val="000000"/>
          <w:szCs w:val="21"/>
          <w:u w:val="single"/>
        </w:rPr>
      </w:pPr>
      <w:r>
        <w:rPr>
          <w:rFonts w:hint="eastAsia" w:ascii="宋体" w:hAnsi="宋体"/>
          <w:color w:val="000000"/>
          <w:kern w:val="0"/>
          <w:szCs w:val="21"/>
        </w:rPr>
        <w:t>项目经理未经批准，擅自离开施工现场的违约责任：</w:t>
      </w:r>
      <w:permStart w:id="344" w:edGrp="everyone"/>
      <w:r>
        <w:rPr>
          <w:rFonts w:hint="eastAsia" w:ascii="宋体" w:hAnsi="宋体" w:cs="仿宋_GB2312"/>
          <w:color w:val="000000"/>
          <w:szCs w:val="21"/>
          <w:u w:val="single"/>
        </w:rPr>
        <w:t></w:t>
      </w:r>
      <w:r>
        <w:rPr>
          <w:rFonts w:ascii="宋体" w:hAnsi="宋体"/>
          <w:color w:val="000000"/>
          <w:szCs w:val="21"/>
          <w:u w:val="single"/>
        </w:rPr>
        <w:t xml:space="preserve">          </w:t>
      </w:r>
      <w:permEnd w:id="344"/>
      <w:r>
        <w:rPr>
          <w:rFonts w:hint="eastAsia" w:ascii="宋体" w:hAnsi="宋体"/>
          <w:color w:val="000000"/>
          <w:szCs w:val="21"/>
        </w:rPr>
        <w:t>。</w:t>
      </w:r>
    </w:p>
    <w:p>
      <w:pPr>
        <w:spacing w:line="360" w:lineRule="auto"/>
        <w:ind w:firstLine="420" w:firstLineChars="200"/>
        <w:rPr>
          <w:rFonts w:ascii="宋体" w:hAnsi="宋体"/>
          <w:color w:val="000000"/>
          <w:szCs w:val="21"/>
        </w:rPr>
      </w:pPr>
      <w:r>
        <w:rPr>
          <w:rFonts w:ascii="宋体" w:hAnsi="宋体"/>
          <w:color w:val="000000"/>
          <w:szCs w:val="21"/>
        </w:rPr>
        <w:t xml:space="preserve">3.2.3 </w:t>
      </w:r>
      <w:r>
        <w:rPr>
          <w:rFonts w:hint="eastAsia" w:ascii="宋体" w:hAnsi="宋体"/>
          <w:color w:val="000000"/>
          <w:szCs w:val="21"/>
        </w:rPr>
        <w:t>承包人擅自更换项目经理的违约责任：</w:t>
      </w:r>
      <w:permStart w:id="345" w:edGrp="everyone"/>
      <w:r>
        <w:rPr>
          <w:rFonts w:ascii="宋体" w:hAnsi="宋体"/>
          <w:color w:val="000000"/>
          <w:szCs w:val="21"/>
          <w:u w:val="single"/>
        </w:rPr>
        <w:t xml:space="preserve">              </w:t>
      </w:r>
    </w:p>
    <w:p>
      <w:pPr>
        <w:spacing w:line="360" w:lineRule="auto"/>
        <w:rPr>
          <w:rFonts w:ascii="宋体" w:hAnsi="宋体"/>
          <w:color w:val="000000"/>
          <w:szCs w:val="21"/>
        </w:rPr>
      </w:pPr>
      <w:r>
        <w:rPr>
          <w:rFonts w:hint="eastAsia" w:ascii="宋体" w:hAnsi="宋体" w:cs="仿宋_GB2312"/>
          <w:color w:val="000000"/>
          <w:szCs w:val="21"/>
          <w:u w:val="single"/>
        </w:rPr>
        <w:t></w:t>
      </w:r>
      <w:r>
        <w:rPr>
          <w:rFonts w:ascii="宋体" w:hAnsi="宋体"/>
          <w:color w:val="000000"/>
          <w:szCs w:val="21"/>
          <w:u w:val="single"/>
        </w:rPr>
        <w:t xml:space="preserve">                                         </w:t>
      </w:r>
      <w:r>
        <w:rPr>
          <w:rFonts w:hint="eastAsia" w:ascii="宋体" w:hAnsi="宋体"/>
          <w:color w:val="000000"/>
          <w:szCs w:val="21"/>
        </w:rPr>
        <w:t>。</w:t>
      </w:r>
    </w:p>
    <w:permEnd w:id="345"/>
    <w:p>
      <w:pPr>
        <w:spacing w:line="360" w:lineRule="auto"/>
        <w:rPr>
          <w:rFonts w:ascii="宋体" w:hAnsi="宋体"/>
          <w:color w:val="000000"/>
          <w:szCs w:val="21"/>
        </w:rPr>
      </w:pPr>
      <w:r>
        <w:rPr>
          <w:rFonts w:ascii="宋体" w:hAnsi="宋体"/>
          <w:color w:val="000000"/>
          <w:szCs w:val="21"/>
        </w:rPr>
        <w:t xml:space="preserve">    3.2.4 </w:t>
      </w:r>
      <w:r>
        <w:rPr>
          <w:rFonts w:hint="eastAsia" w:ascii="宋体" w:hAnsi="宋体"/>
          <w:color w:val="000000"/>
          <w:szCs w:val="21"/>
        </w:rPr>
        <w:t>承包人无正当理由拒绝更换项目经理的违约责任</w:t>
      </w:r>
      <w:permStart w:id="346" w:edGrp="everyone"/>
      <w:r>
        <w:rPr>
          <w:rFonts w:hint="eastAsia" w:ascii="宋体" w:hAnsi="宋体"/>
          <w:color w:val="000000"/>
          <w:szCs w:val="21"/>
        </w:rPr>
        <w:t>：</w:t>
      </w:r>
      <w:r>
        <w:rPr>
          <w:rFonts w:ascii="宋体" w:hAnsi="宋体"/>
          <w:color w:val="000000"/>
          <w:szCs w:val="21"/>
          <w:u w:val="single"/>
        </w:rPr>
        <w:t xml:space="preserve">                          </w:t>
      </w:r>
      <w:permEnd w:id="346"/>
      <w:r>
        <w:rPr>
          <w:rFonts w:hint="eastAsia" w:ascii="宋体" w:hAnsi="宋体"/>
          <w:color w:val="000000"/>
          <w:szCs w:val="21"/>
        </w:rPr>
        <w:t>。</w:t>
      </w:r>
    </w:p>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 xml:space="preserve">3.3 </w:t>
      </w:r>
      <w:r>
        <w:rPr>
          <w:rFonts w:hint="eastAsia" w:ascii="黑体" w:hAnsi="黑体" w:eastAsia="黑体"/>
          <w:color w:val="000000"/>
          <w:szCs w:val="21"/>
        </w:rPr>
        <w:t>承包人人员</w:t>
      </w:r>
    </w:p>
    <w:p>
      <w:pPr>
        <w:spacing w:line="360" w:lineRule="auto"/>
        <w:ind w:firstLine="420" w:firstLineChars="200"/>
        <w:rPr>
          <w:rFonts w:ascii="宋体" w:hAnsi="宋体"/>
          <w:color w:val="000000"/>
          <w:szCs w:val="21"/>
        </w:rPr>
      </w:pPr>
      <w:r>
        <w:rPr>
          <w:rFonts w:ascii="宋体" w:hAnsi="宋体"/>
          <w:color w:val="000000"/>
          <w:szCs w:val="21"/>
        </w:rPr>
        <w:t xml:space="preserve">3.3.1 </w:t>
      </w:r>
      <w:r>
        <w:rPr>
          <w:rFonts w:hint="eastAsia" w:ascii="宋体" w:hAnsi="宋体"/>
          <w:color w:val="000000"/>
          <w:szCs w:val="21"/>
        </w:rPr>
        <w:t>承包人提交项目管理机构及施工现场管理人员安排报告的期限：</w:t>
      </w:r>
      <w:permStart w:id="347" w:edGrp="everyone"/>
      <w:r>
        <w:rPr>
          <w:rFonts w:ascii="宋体" w:hAnsi="宋体"/>
          <w:color w:val="000000"/>
          <w:szCs w:val="21"/>
          <w:u w:val="single"/>
        </w:rPr>
        <w:t xml:space="preserve">        </w:t>
      </w:r>
      <w:r>
        <w:rPr>
          <w:rFonts w:hint="eastAsia" w:ascii="宋体" w:hAnsi="宋体"/>
          <w:color w:val="000000"/>
          <w:szCs w:val="21"/>
        </w:rPr>
        <w:t>。</w:t>
      </w:r>
    </w:p>
    <w:permEnd w:id="347"/>
    <w:p>
      <w:pPr>
        <w:spacing w:line="360" w:lineRule="auto"/>
        <w:ind w:firstLine="420" w:firstLineChars="200"/>
        <w:rPr>
          <w:rFonts w:ascii="宋体" w:hAnsi="宋体"/>
          <w:color w:val="000000"/>
          <w:szCs w:val="21"/>
        </w:rPr>
      </w:pPr>
      <w:r>
        <w:rPr>
          <w:rFonts w:ascii="宋体" w:hAnsi="宋体"/>
          <w:color w:val="000000"/>
          <w:szCs w:val="21"/>
        </w:rPr>
        <w:t xml:space="preserve">3.3.3 </w:t>
      </w:r>
      <w:r>
        <w:rPr>
          <w:rFonts w:hint="eastAsia" w:ascii="宋体" w:hAnsi="宋体"/>
          <w:color w:val="000000"/>
          <w:szCs w:val="21"/>
        </w:rPr>
        <w:t>承包人无正当理由拒绝撤换主要施工管理人员的违约责任：</w:t>
      </w:r>
      <w:permStart w:id="348" w:edGrp="everyone"/>
      <w:r>
        <w:rPr>
          <w:rFonts w:ascii="宋体" w:hAnsi="宋体"/>
          <w:color w:val="000000"/>
          <w:szCs w:val="21"/>
          <w:u w:val="single"/>
        </w:rPr>
        <w:t xml:space="preserve">             </w:t>
      </w:r>
      <w:r>
        <w:rPr>
          <w:rFonts w:hint="eastAsia" w:ascii="宋体" w:hAnsi="宋体" w:cs="仿宋_GB2312"/>
          <w:color w:val="000000"/>
          <w:szCs w:val="21"/>
          <w:u w:val="single"/>
        </w:rPr>
        <w:t></w:t>
      </w:r>
      <w:r>
        <w:rPr>
          <w:rFonts w:hint="eastAsia" w:ascii="宋体" w:hAnsi="宋体"/>
          <w:color w:val="000000"/>
          <w:szCs w:val="21"/>
        </w:rPr>
        <w:t>。</w:t>
      </w:r>
    </w:p>
    <w:permEnd w:id="348"/>
    <w:p>
      <w:pPr>
        <w:spacing w:line="360" w:lineRule="auto"/>
        <w:ind w:firstLine="420" w:firstLineChars="200"/>
        <w:rPr>
          <w:rFonts w:ascii="宋体" w:hAnsi="宋体"/>
          <w:color w:val="000000"/>
          <w:szCs w:val="21"/>
          <w:u w:val="single"/>
        </w:rPr>
      </w:pPr>
      <w:r>
        <w:rPr>
          <w:rFonts w:ascii="宋体" w:hAnsi="宋体"/>
          <w:color w:val="000000"/>
          <w:szCs w:val="21"/>
        </w:rPr>
        <w:t xml:space="preserve">3.3.4 </w:t>
      </w:r>
      <w:r>
        <w:rPr>
          <w:rFonts w:hint="eastAsia" w:ascii="宋体" w:hAnsi="宋体"/>
          <w:color w:val="000000"/>
          <w:szCs w:val="21"/>
        </w:rPr>
        <w:t>承包人主要施工管理人员离开施工现场的批准要求：</w:t>
      </w:r>
      <w:permStart w:id="349" w:edGrp="everyone"/>
      <w:r>
        <w:rPr>
          <w:rFonts w:hint="eastAsia" w:ascii="宋体" w:hAnsi="宋体"/>
          <w:color w:val="000000"/>
          <w:szCs w:val="21"/>
        </w:rPr>
        <w:t xml:space="preserve">                     </w:t>
      </w:r>
      <w:permEnd w:id="349"/>
      <w:r>
        <w:rPr>
          <w:rFonts w:hint="eastAsia" w:ascii="宋体" w:hAnsi="宋体"/>
          <w:color w:val="000000"/>
          <w:szCs w:val="21"/>
        </w:rPr>
        <w:t>。</w:t>
      </w:r>
    </w:p>
    <w:p>
      <w:pPr>
        <w:spacing w:line="360" w:lineRule="auto"/>
        <w:ind w:firstLine="420" w:firstLineChars="200"/>
        <w:rPr>
          <w:rFonts w:ascii="宋体" w:hAnsi="宋体"/>
          <w:color w:val="000000"/>
          <w:szCs w:val="21"/>
          <w:u w:val="single"/>
        </w:rPr>
      </w:pPr>
      <w:r>
        <w:rPr>
          <w:rFonts w:ascii="宋体" w:hAnsi="宋体"/>
          <w:color w:val="000000"/>
          <w:szCs w:val="21"/>
        </w:rPr>
        <w:t>3.3.5</w:t>
      </w:r>
      <w:r>
        <w:rPr>
          <w:rFonts w:hint="eastAsia" w:ascii="宋体" w:hAnsi="宋体"/>
          <w:color w:val="000000"/>
          <w:szCs w:val="21"/>
        </w:rPr>
        <w:t>承包人擅自更换主要施工管理人员的违约责任</w:t>
      </w:r>
      <w:r>
        <w:rPr>
          <w:rFonts w:hint="eastAsia" w:ascii="宋体" w:hAnsi="宋体"/>
          <w:color w:val="000000"/>
          <w:szCs w:val="21"/>
          <w:lang w:eastAsia="zh-CN"/>
        </w:rPr>
        <w:t>：</w:t>
      </w:r>
      <w:permStart w:id="350" w:edGrp="everyone"/>
    </w:p>
    <w:permEnd w:id="350"/>
    <w:p>
      <w:pPr>
        <w:spacing w:line="360" w:lineRule="auto"/>
        <w:ind w:firstLine="420" w:firstLineChars="200"/>
        <w:rPr>
          <w:rFonts w:ascii="宋体" w:hAnsi="宋体"/>
          <w:color w:val="000000"/>
          <w:szCs w:val="21"/>
        </w:rPr>
      </w:pPr>
      <w:r>
        <w:rPr>
          <w:rFonts w:hint="eastAsia" w:ascii="宋体" w:hAnsi="宋体"/>
          <w:color w:val="000000"/>
          <w:szCs w:val="21"/>
        </w:rPr>
        <w:t>承包人主要施工管理人员擅自离开施工现场的违约责任</w:t>
      </w:r>
      <w:r>
        <w:rPr>
          <w:rFonts w:hint="eastAsia" w:ascii="宋体" w:hAnsi="宋体"/>
          <w:color w:val="000000"/>
          <w:szCs w:val="21"/>
          <w:lang w:eastAsia="zh-CN"/>
        </w:rPr>
        <w:t>：</w:t>
      </w:r>
      <w:permStart w:id="351" w:edGrp="everyone"/>
    </w:p>
    <w:permEnd w:id="351"/>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3</w:t>
      </w:r>
      <w:bookmarkStart w:id="726" w:name="_Toc303539102"/>
      <w:bookmarkStart w:id="727" w:name="_Toc297048345"/>
      <w:bookmarkStart w:id="728" w:name="_Toc297216151"/>
      <w:bookmarkStart w:id="729" w:name="_Toc297120459"/>
      <w:bookmarkStart w:id="730" w:name="_Toc296346660"/>
      <w:bookmarkStart w:id="731" w:name="_Toc304295523"/>
      <w:bookmarkStart w:id="732" w:name="_Toc296890987"/>
      <w:bookmarkStart w:id="733" w:name="_Toc297123492"/>
      <w:bookmarkStart w:id="734" w:name="_Toc300934945"/>
      <w:bookmarkStart w:id="735" w:name="_Toc292559869"/>
      <w:bookmarkStart w:id="736" w:name="_Toc292559364"/>
      <w:bookmarkStart w:id="737" w:name="_Toc296891199"/>
      <w:bookmarkStart w:id="738" w:name="_Toc312677988"/>
      <w:bookmarkStart w:id="739" w:name="_Toc296944498"/>
      <w:bookmarkStart w:id="740" w:name="_Toc296503159"/>
      <w:bookmarkStart w:id="741" w:name="_Toc296347158"/>
      <w:r>
        <w:rPr>
          <w:rFonts w:ascii="黑体" w:hAnsi="黑体" w:eastAsia="黑体"/>
          <w:color w:val="000000"/>
          <w:szCs w:val="21"/>
        </w:rPr>
        <w:t xml:space="preserve">.5 </w:t>
      </w:r>
      <w:r>
        <w:rPr>
          <w:rFonts w:hint="eastAsia" w:ascii="黑体" w:hAnsi="黑体" w:eastAsia="黑体"/>
          <w:color w:val="000000"/>
          <w:szCs w:val="21"/>
        </w:rPr>
        <w:t>分包</w:t>
      </w:r>
    </w:p>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Pr>
        <w:spacing w:line="360" w:lineRule="auto"/>
        <w:ind w:firstLine="420" w:firstLineChars="200"/>
        <w:rPr>
          <w:rFonts w:ascii="宋体" w:hAnsi="宋体"/>
          <w:color w:val="000000"/>
          <w:szCs w:val="21"/>
        </w:rPr>
      </w:pPr>
      <w:r>
        <w:rPr>
          <w:rFonts w:ascii="宋体" w:hAnsi="宋体"/>
          <w:color w:val="000000"/>
          <w:szCs w:val="21"/>
        </w:rPr>
        <w:t>3</w:t>
      </w:r>
      <w:bookmarkStart w:id="742" w:name="_Toc296346661"/>
      <w:bookmarkStart w:id="743" w:name="_Toc303539103"/>
      <w:bookmarkStart w:id="744" w:name="_Toc296944499"/>
      <w:bookmarkStart w:id="745" w:name="_Toc296890988"/>
      <w:bookmarkStart w:id="746" w:name="_Toc296503160"/>
      <w:bookmarkStart w:id="747" w:name="_Toc292559870"/>
      <w:bookmarkStart w:id="748" w:name="_Toc297123493"/>
      <w:bookmarkStart w:id="749" w:name="_Toc292559365"/>
      <w:bookmarkStart w:id="750" w:name="_Toc297216152"/>
      <w:bookmarkStart w:id="751" w:name="_Toc296891200"/>
      <w:bookmarkStart w:id="752" w:name="_Toc297048346"/>
      <w:bookmarkStart w:id="753" w:name="_Toc297120460"/>
      <w:bookmarkStart w:id="754" w:name="_Toc296347159"/>
      <w:bookmarkStart w:id="755" w:name="_Toc304295524"/>
      <w:bookmarkStart w:id="756" w:name="_Toc300934946"/>
      <w:bookmarkStart w:id="757" w:name="_Toc318581158"/>
      <w:bookmarkStart w:id="758" w:name="_Toc312677989"/>
      <w:r>
        <w:rPr>
          <w:rFonts w:ascii="宋体" w:hAnsi="宋体"/>
          <w:color w:val="000000"/>
          <w:szCs w:val="21"/>
        </w:rPr>
        <w:t xml:space="preserve">.5.1 </w:t>
      </w:r>
      <w:r>
        <w:rPr>
          <w:rFonts w:hint="eastAsia" w:ascii="宋体" w:hAnsi="宋体"/>
          <w:color w:val="000000"/>
          <w:szCs w:val="21"/>
        </w:rPr>
        <w:t>分包的一般约定</w:t>
      </w:r>
    </w:p>
    <w:p>
      <w:pPr>
        <w:spacing w:line="360" w:lineRule="auto"/>
        <w:ind w:firstLine="420" w:firstLineChars="200"/>
        <w:jc w:val="left"/>
        <w:rPr>
          <w:rFonts w:ascii="宋体" w:hAnsi="宋体"/>
          <w:color w:val="000000"/>
          <w:szCs w:val="21"/>
        </w:rPr>
      </w:pPr>
      <w:r>
        <w:rPr>
          <w:rFonts w:hint="eastAsia" w:ascii="宋体" w:hAnsi="宋体"/>
          <w:color w:val="000000"/>
          <w:szCs w:val="21"/>
        </w:rPr>
        <w:t>禁止分包的工程包括：</w:t>
      </w:r>
      <w:permStart w:id="352" w:edGrp="everyone"/>
      <w:r>
        <w:rPr>
          <w:rFonts w:hint="eastAsia" w:ascii="宋体" w:hAnsi="宋体" w:cs="仿宋_GB2312"/>
          <w:color w:val="000000"/>
          <w:szCs w:val="21"/>
          <w:u w:val="single"/>
        </w:rPr>
        <w:t></w:t>
      </w:r>
      <w:r>
        <w:rPr>
          <w:rFonts w:hint="eastAsia" w:ascii="宋体" w:hAnsi="宋体"/>
          <w:color w:val="000000"/>
          <w:szCs w:val="21"/>
        </w:rPr>
        <w:t>。</w:t>
      </w:r>
    </w:p>
    <w:permEnd w:id="352"/>
    <w:p>
      <w:pPr>
        <w:spacing w:line="360" w:lineRule="auto"/>
        <w:ind w:firstLine="420" w:firstLineChars="200"/>
        <w:jc w:val="left"/>
        <w:rPr>
          <w:rFonts w:ascii="宋体" w:hAnsi="宋体"/>
          <w:color w:val="000000"/>
          <w:szCs w:val="21"/>
          <w:u w:val="single"/>
        </w:rPr>
      </w:pPr>
      <w:r>
        <w:rPr>
          <w:rFonts w:hint="eastAsia" w:ascii="宋体" w:hAnsi="宋体"/>
          <w:color w:val="000000"/>
          <w:szCs w:val="21"/>
        </w:rPr>
        <w:t>主体结构、关键性工作的范围：</w:t>
      </w:r>
      <w:permStart w:id="353" w:edGrp="everyone"/>
      <w:r>
        <w:rPr>
          <w:rFonts w:hint="eastAsia" w:ascii="宋体" w:hAnsi="宋体" w:cs="仿宋_GB2312"/>
          <w:color w:val="000000"/>
          <w:szCs w:val="21"/>
          <w:u w:val="single"/>
        </w:rPr>
        <w:t></w:t>
      </w:r>
      <w:permEnd w:id="353"/>
    </w:p>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pPr>
        <w:spacing w:line="360" w:lineRule="auto"/>
        <w:jc w:val="left"/>
        <w:rPr>
          <w:rFonts w:ascii="宋体" w:hAnsi="宋体"/>
          <w:color w:val="000000"/>
          <w:szCs w:val="21"/>
          <w:u w:val="single"/>
        </w:rPr>
      </w:pPr>
      <w:bookmarkStart w:id="759" w:name="_Toc296890989"/>
      <w:bookmarkStart w:id="760" w:name="_Toc304295525"/>
      <w:bookmarkStart w:id="761" w:name="_Toc297120461"/>
      <w:bookmarkStart w:id="762" w:name="_Toc296347160"/>
      <w:bookmarkStart w:id="763" w:name="_Toc300934947"/>
      <w:bookmarkStart w:id="764" w:name="_Toc297123494"/>
      <w:bookmarkStart w:id="765" w:name="_Toc296503161"/>
      <w:bookmarkStart w:id="766" w:name="_Toc296891201"/>
      <w:bookmarkStart w:id="767" w:name="_Toc303539104"/>
      <w:bookmarkStart w:id="768" w:name="_Toc296944500"/>
      <w:bookmarkStart w:id="769" w:name="_Toc297216153"/>
      <w:bookmarkStart w:id="770" w:name="_Toc296346662"/>
      <w:bookmarkStart w:id="771" w:name="_Toc297048347"/>
    </w:p>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pPr>
        <w:spacing w:line="360" w:lineRule="auto"/>
        <w:rPr>
          <w:rFonts w:ascii="宋体" w:hAnsi="宋体"/>
          <w:color w:val="000000"/>
          <w:szCs w:val="21"/>
        </w:rPr>
      </w:pPr>
      <w:r>
        <w:rPr>
          <w:rFonts w:ascii="宋体" w:hAnsi="宋体"/>
          <w:color w:val="000000"/>
          <w:szCs w:val="21"/>
        </w:rPr>
        <w:t xml:space="preserve">    3</w:t>
      </w:r>
      <w:bookmarkStart w:id="772" w:name="_Toc318581159"/>
      <w:bookmarkStart w:id="773" w:name="_Toc312677990"/>
      <w:r>
        <w:rPr>
          <w:rFonts w:ascii="宋体" w:hAnsi="宋体"/>
          <w:color w:val="000000"/>
          <w:szCs w:val="21"/>
        </w:rPr>
        <w:t>.5.2</w:t>
      </w:r>
      <w:r>
        <w:rPr>
          <w:rFonts w:hint="eastAsia" w:ascii="宋体" w:hAnsi="宋体"/>
          <w:color w:val="000000"/>
          <w:szCs w:val="21"/>
        </w:rPr>
        <w:t>分包的确定</w:t>
      </w:r>
    </w:p>
    <w:p>
      <w:pPr>
        <w:spacing w:line="360" w:lineRule="auto"/>
        <w:ind w:firstLine="420" w:firstLineChars="200"/>
        <w:rPr>
          <w:rFonts w:ascii="宋体" w:hAnsi="宋体"/>
          <w:color w:val="000000"/>
          <w:szCs w:val="21"/>
          <w:u w:val="single"/>
        </w:rPr>
      </w:pPr>
      <w:r>
        <w:rPr>
          <w:rFonts w:hint="eastAsia" w:ascii="宋体" w:hAnsi="宋体"/>
          <w:color w:val="000000"/>
          <w:szCs w:val="21"/>
        </w:rPr>
        <w:t>允许分包的专业工程包括：</w:t>
      </w:r>
      <w:permStart w:id="354" w:edGrp="everyone"/>
      <w:r>
        <w:rPr>
          <w:rFonts w:hint="eastAsia" w:ascii="宋体" w:hAnsi="宋体" w:cs="仿宋_GB2312"/>
          <w:color w:val="000000"/>
          <w:szCs w:val="21"/>
          <w:u w:val="single"/>
        </w:rPr>
        <w:t xml:space="preserve"> </w:t>
      </w:r>
      <w:r>
        <w:rPr>
          <w:rFonts w:ascii="宋体" w:hAnsi="宋体" w:cs="仿宋_GB2312"/>
          <w:color w:val="000000"/>
          <w:szCs w:val="21"/>
          <w:u w:val="single"/>
        </w:rPr>
        <w:t xml:space="preserve">                                                    </w:t>
      </w:r>
      <w:r>
        <w:rPr>
          <w:rFonts w:hint="eastAsia" w:ascii="宋体" w:hAnsi="宋体" w:cs="仿宋_GB2312"/>
          <w:color w:val="000000"/>
          <w:szCs w:val="21"/>
          <w:u w:val="single"/>
        </w:rPr>
        <w:t></w:t>
      </w:r>
      <w:permEnd w:id="354"/>
      <w:r>
        <w:rPr>
          <w:rFonts w:hint="eastAsia" w:ascii="宋体" w:hAnsi="宋体"/>
          <w:color w:val="000000"/>
          <w:szCs w:val="21"/>
        </w:rPr>
        <w:t>。</w:t>
      </w:r>
    </w:p>
    <w:p>
      <w:pPr>
        <w:spacing w:line="360" w:lineRule="auto"/>
        <w:ind w:firstLine="420" w:firstLineChars="200"/>
        <w:rPr>
          <w:rFonts w:ascii="宋体" w:hAnsi="宋体"/>
          <w:color w:val="000000"/>
          <w:szCs w:val="21"/>
          <w:u w:val="single"/>
        </w:rPr>
      </w:pPr>
      <w:r>
        <w:rPr>
          <w:rFonts w:hint="eastAsia" w:ascii="宋体" w:hAnsi="宋体"/>
          <w:color w:val="000000"/>
          <w:szCs w:val="21"/>
        </w:rPr>
        <w:t>其他关于分包的约定：</w:t>
      </w:r>
      <w:permStart w:id="355" w:edGrp="everyone"/>
      <w:r>
        <w:rPr>
          <w:rFonts w:hint="eastAsia" w:ascii="宋体" w:hAnsi="宋体"/>
          <w:color w:val="000000"/>
          <w:szCs w:val="21"/>
        </w:rPr>
        <w:t xml:space="preserve">                                                            </w:t>
      </w:r>
      <w:r>
        <w:rPr>
          <w:rFonts w:hint="eastAsia" w:ascii="宋体" w:hAnsi="宋体"/>
          <w:color w:val="000000"/>
          <w:szCs w:val="21"/>
          <w:u w:val="single"/>
        </w:rPr>
        <w:t>。</w:t>
      </w:r>
      <w:permEnd w:id="355"/>
    </w:p>
    <w:p>
      <w:pPr>
        <w:spacing w:line="360" w:lineRule="auto"/>
        <w:ind w:firstLine="420" w:firstLineChars="200"/>
        <w:rPr>
          <w:rFonts w:ascii="宋体" w:hAnsi="宋体"/>
          <w:color w:val="000000"/>
          <w:szCs w:val="21"/>
        </w:rPr>
      </w:pPr>
      <w:r>
        <w:rPr>
          <w:rFonts w:ascii="宋体" w:hAnsi="宋体"/>
          <w:color w:val="000000"/>
          <w:szCs w:val="21"/>
        </w:rPr>
        <w:t xml:space="preserve">3.5.4 </w:t>
      </w:r>
      <w:r>
        <w:rPr>
          <w:rFonts w:hint="eastAsia" w:ascii="宋体" w:hAnsi="宋体"/>
          <w:color w:val="000000"/>
          <w:szCs w:val="21"/>
        </w:rPr>
        <w:t>分包合同价款</w:t>
      </w:r>
    </w:p>
    <w:p>
      <w:pPr>
        <w:spacing w:line="360" w:lineRule="auto"/>
        <w:ind w:firstLine="420" w:firstLineChars="200"/>
        <w:rPr>
          <w:rFonts w:ascii="宋体" w:hAnsi="宋体"/>
          <w:color w:val="000000"/>
          <w:szCs w:val="21"/>
        </w:rPr>
      </w:pPr>
      <w:r>
        <w:rPr>
          <w:rFonts w:hint="eastAsia" w:ascii="宋体" w:hAnsi="宋体"/>
          <w:color w:val="000000"/>
          <w:szCs w:val="21"/>
        </w:rPr>
        <w:t>关于分包合同价款支付的约定：</w:t>
      </w:r>
      <w:permStart w:id="356" w:edGrp="everyone"/>
      <w:r>
        <w:rPr>
          <w:rFonts w:hint="eastAsia" w:ascii="宋体" w:hAnsi="宋体" w:cs="仿宋_GB2312"/>
          <w:color w:val="000000"/>
          <w:szCs w:val="21"/>
          <w:u w:val="single"/>
        </w:rPr>
        <w:t></w:t>
      </w:r>
      <w:permEnd w:id="356"/>
      <w:r>
        <w:rPr>
          <w:rFonts w:hint="eastAsia" w:ascii="宋体" w:hAnsi="宋体"/>
          <w:color w:val="000000"/>
          <w:szCs w:val="21"/>
        </w:rPr>
        <w:t>。</w:t>
      </w:r>
    </w:p>
    <w:bookmarkEnd w:id="772"/>
    <w:bookmarkEnd w:id="773"/>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 xml:space="preserve">3.6 </w:t>
      </w:r>
      <w:r>
        <w:rPr>
          <w:rFonts w:hint="eastAsia" w:ascii="黑体" w:hAnsi="黑体" w:eastAsia="黑体"/>
          <w:color w:val="000000"/>
          <w:szCs w:val="21"/>
        </w:rPr>
        <w:t>工程照管与成品、半成品保护</w:t>
      </w:r>
    </w:p>
    <w:p>
      <w:pPr>
        <w:spacing w:before="120" w:after="120" w:line="360" w:lineRule="auto"/>
        <w:ind w:firstLine="420" w:firstLineChars="200"/>
        <w:rPr>
          <w:rFonts w:ascii="宋体" w:hAnsi="宋体"/>
          <w:color w:val="000000"/>
          <w:kern w:val="0"/>
          <w:szCs w:val="21"/>
          <w:u w:val="single"/>
        </w:rPr>
      </w:pPr>
      <w:r>
        <w:rPr>
          <w:rFonts w:hint="eastAsia" w:ascii="宋体" w:hAnsi="宋体"/>
          <w:color w:val="000000"/>
          <w:kern w:val="0"/>
          <w:szCs w:val="21"/>
        </w:rPr>
        <w:t>承包人负责照管工程及工程相关的材料、工程设备的起始时间：</w:t>
      </w:r>
      <w:permStart w:id="357" w:edGrp="everyone"/>
      <w:r>
        <w:rPr>
          <w:rFonts w:hint="eastAsia" w:ascii="宋体" w:hAnsi="宋体"/>
          <w:color w:val="000000"/>
          <w:kern w:val="0"/>
          <w:szCs w:val="21"/>
        </w:rPr>
        <w:t xml:space="preserve">                 </w:t>
      </w:r>
      <w:permEnd w:id="357"/>
      <w:r>
        <w:rPr>
          <w:rFonts w:hint="eastAsia" w:ascii="宋体" w:hAnsi="宋体"/>
          <w:color w:val="000000"/>
          <w:kern w:val="0"/>
          <w:szCs w:val="21"/>
        </w:rPr>
        <w:t>。</w:t>
      </w:r>
    </w:p>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 xml:space="preserve">3.7 </w:t>
      </w:r>
      <w:r>
        <w:rPr>
          <w:rFonts w:hint="eastAsia" w:ascii="黑体" w:hAnsi="黑体" w:eastAsia="黑体"/>
          <w:color w:val="000000"/>
          <w:szCs w:val="21"/>
        </w:rPr>
        <w:t>履约担保</w:t>
      </w:r>
    </w:p>
    <w:p>
      <w:pPr>
        <w:spacing w:line="360" w:lineRule="auto"/>
        <w:ind w:firstLine="420" w:firstLineChars="200"/>
        <w:jc w:val="left"/>
        <w:rPr>
          <w:rFonts w:ascii="宋体" w:hAnsi="宋体"/>
          <w:color w:val="000000"/>
          <w:szCs w:val="21"/>
        </w:rPr>
      </w:pPr>
      <w:r>
        <w:rPr>
          <w:rFonts w:hint="eastAsia" w:ascii="宋体" w:hAnsi="宋体"/>
          <w:color w:val="000000"/>
          <w:szCs w:val="21"/>
        </w:rPr>
        <w:t>承包人是否提供履约担保：</w:t>
      </w:r>
      <w:permStart w:id="358" w:edGrp="everyone"/>
      <w:r>
        <w:rPr>
          <w:rFonts w:hint="eastAsia" w:ascii="宋体" w:hAnsi="宋体"/>
          <w:color w:val="000000"/>
          <w:szCs w:val="21"/>
        </w:rPr>
        <w:t xml:space="preserve">                                              </w:t>
      </w:r>
      <w:permEnd w:id="358"/>
      <w:r>
        <w:rPr>
          <w:rFonts w:hint="eastAsia" w:ascii="宋体" w:hAnsi="宋体"/>
          <w:color w:val="000000"/>
          <w:szCs w:val="21"/>
        </w:rPr>
        <w:t>。</w:t>
      </w:r>
    </w:p>
    <w:p>
      <w:pPr>
        <w:spacing w:line="360" w:lineRule="auto"/>
        <w:ind w:firstLine="420" w:firstLineChars="200"/>
        <w:jc w:val="left"/>
        <w:rPr>
          <w:rFonts w:ascii="宋体" w:hAnsi="宋体"/>
          <w:color w:val="000000"/>
          <w:szCs w:val="21"/>
          <w:u w:val="single"/>
        </w:rPr>
      </w:pPr>
      <w:r>
        <w:rPr>
          <w:rFonts w:hint="eastAsia" w:ascii="宋体" w:hAnsi="宋体"/>
          <w:color w:val="000000"/>
          <w:szCs w:val="21"/>
        </w:rPr>
        <w:t>承包人提供履约担保的形式、金额及期限的：</w:t>
      </w:r>
      <w:permStart w:id="359" w:edGrp="everyone"/>
    </w:p>
    <w:permEnd w:id="359"/>
    <w:p>
      <w:pPr>
        <w:spacing w:line="360" w:lineRule="auto"/>
        <w:jc w:val="left"/>
        <w:rPr>
          <w:rFonts w:ascii="宋体" w:hAnsi="宋体"/>
          <w:color w:val="000000"/>
          <w:szCs w:val="21"/>
        </w:rPr>
      </w:pPr>
    </w:p>
    <w:p>
      <w:pPr>
        <w:pStyle w:val="5"/>
        <w:spacing w:before="120" w:after="120" w:line="360" w:lineRule="auto"/>
        <w:rPr>
          <w:rFonts w:ascii="黑体" w:hAnsi="黑体"/>
          <w:b w:val="0"/>
          <w:color w:val="000000"/>
        </w:rPr>
      </w:pPr>
      <w:bookmarkStart w:id="774" w:name="_Toc362623191"/>
      <w:bookmarkStart w:id="775" w:name="_Toc114222826"/>
      <w:r>
        <w:rPr>
          <w:rFonts w:ascii="黑体" w:hAnsi="黑体"/>
          <w:b w:val="0"/>
          <w:color w:val="000000"/>
        </w:rPr>
        <w:t>4</w:t>
      </w:r>
      <w:bookmarkStart w:id="776" w:name="_Toc296346663"/>
      <w:bookmarkStart w:id="777" w:name="_Toc296944501"/>
      <w:bookmarkStart w:id="778" w:name="_Toc292559366"/>
      <w:bookmarkStart w:id="779" w:name="_Toc296503162"/>
      <w:bookmarkStart w:id="780" w:name="_Toc292559871"/>
      <w:bookmarkStart w:id="781" w:name="_Toc297048348"/>
      <w:bookmarkStart w:id="782" w:name="_Toc296891202"/>
      <w:bookmarkStart w:id="783" w:name="_Toc296890990"/>
      <w:bookmarkStart w:id="784" w:name="_Toc267251413"/>
      <w:bookmarkStart w:id="785" w:name="_Toc296347161"/>
      <w:bookmarkStart w:id="786" w:name="_Toc297120462"/>
      <w:r>
        <w:rPr>
          <w:rFonts w:ascii="黑体" w:hAnsi="黑体"/>
          <w:b w:val="0"/>
          <w:color w:val="000000"/>
        </w:rPr>
        <w:t xml:space="preserve">. </w:t>
      </w:r>
      <w:r>
        <w:rPr>
          <w:rFonts w:hint="eastAsia" w:ascii="黑体" w:hAnsi="黑体"/>
          <w:b w:val="0"/>
          <w:color w:val="000000"/>
        </w:rPr>
        <w:t>监</w:t>
      </w:r>
      <w:bookmarkEnd w:id="776"/>
      <w:bookmarkEnd w:id="777"/>
      <w:bookmarkEnd w:id="778"/>
      <w:bookmarkEnd w:id="779"/>
      <w:bookmarkEnd w:id="780"/>
      <w:bookmarkEnd w:id="781"/>
      <w:bookmarkEnd w:id="782"/>
      <w:bookmarkEnd w:id="783"/>
      <w:bookmarkEnd w:id="784"/>
      <w:bookmarkEnd w:id="785"/>
      <w:bookmarkEnd w:id="786"/>
      <w:r>
        <w:rPr>
          <w:rFonts w:hint="eastAsia" w:ascii="黑体" w:hAnsi="黑体"/>
          <w:b w:val="0"/>
          <w:color w:val="000000"/>
        </w:rPr>
        <w:t>理人</w:t>
      </w:r>
      <w:bookmarkEnd w:id="774"/>
      <w:bookmarkEnd w:id="775"/>
    </w:p>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4.1</w:t>
      </w:r>
      <w:r>
        <w:rPr>
          <w:rFonts w:hint="eastAsia" w:ascii="黑体" w:hAnsi="黑体" w:eastAsia="黑体"/>
          <w:color w:val="000000"/>
          <w:szCs w:val="21"/>
        </w:rPr>
        <w:t>监理人的一般规定</w:t>
      </w:r>
    </w:p>
    <w:p>
      <w:pPr>
        <w:spacing w:line="360" w:lineRule="auto"/>
        <w:ind w:firstLine="420" w:firstLineChars="200"/>
        <w:jc w:val="left"/>
        <w:rPr>
          <w:rFonts w:ascii="宋体" w:hAnsi="宋体"/>
          <w:color w:val="000000"/>
          <w:szCs w:val="21"/>
        </w:rPr>
      </w:pPr>
      <w:r>
        <w:rPr>
          <w:rFonts w:hint="eastAsia" w:ascii="宋体" w:hAnsi="宋体"/>
          <w:color w:val="000000"/>
          <w:szCs w:val="21"/>
        </w:rPr>
        <w:t>关于监理人的监理内容：</w:t>
      </w:r>
      <w:permStart w:id="360" w:edGrp="everyone"/>
      <w:r>
        <w:rPr>
          <w:rFonts w:hint="eastAsia" w:ascii="宋体" w:hAnsi="宋体"/>
          <w:color w:val="000000"/>
          <w:szCs w:val="21"/>
        </w:rPr>
        <w:t xml:space="preserve"> </w:t>
      </w:r>
      <w:r>
        <w:rPr>
          <w:rFonts w:ascii="宋体" w:hAnsi="宋体"/>
          <w:color w:val="000000"/>
          <w:szCs w:val="21"/>
        </w:rPr>
        <w:t xml:space="preserve">                                                   </w:t>
      </w:r>
      <w:permEnd w:id="360"/>
      <w:r>
        <w:rPr>
          <w:rFonts w:hint="eastAsia" w:ascii="宋体" w:hAnsi="宋体"/>
          <w:color w:val="000000"/>
          <w:szCs w:val="21"/>
        </w:rPr>
        <w:t>。</w:t>
      </w:r>
    </w:p>
    <w:p>
      <w:pPr>
        <w:spacing w:line="360" w:lineRule="auto"/>
        <w:ind w:firstLine="420" w:firstLineChars="200"/>
        <w:jc w:val="left"/>
        <w:rPr>
          <w:rFonts w:ascii="宋体" w:hAnsi="宋体"/>
          <w:color w:val="000000"/>
          <w:szCs w:val="21"/>
        </w:rPr>
      </w:pPr>
      <w:r>
        <w:rPr>
          <w:rFonts w:hint="eastAsia" w:ascii="宋体" w:hAnsi="宋体"/>
          <w:color w:val="000000"/>
          <w:szCs w:val="21"/>
        </w:rPr>
        <w:t>关于监理人的监理权限：</w:t>
      </w:r>
      <w:permStart w:id="361" w:edGrp="everyone"/>
      <w:r>
        <w:rPr>
          <w:rFonts w:hint="eastAsia" w:ascii="宋体" w:hAnsi="宋体"/>
          <w:color w:val="000000"/>
          <w:szCs w:val="21"/>
        </w:rPr>
        <w:t xml:space="preserve"> </w:t>
      </w:r>
      <w:r>
        <w:rPr>
          <w:rFonts w:ascii="宋体" w:hAnsi="宋体"/>
          <w:color w:val="000000"/>
          <w:szCs w:val="21"/>
        </w:rPr>
        <w:t xml:space="preserve">                                                   </w:t>
      </w:r>
      <w:permEnd w:id="361"/>
      <w:r>
        <w:rPr>
          <w:rFonts w:hint="eastAsia" w:ascii="宋体" w:hAnsi="宋体"/>
          <w:color w:val="000000"/>
          <w:szCs w:val="21"/>
        </w:rPr>
        <w:t>。</w:t>
      </w:r>
    </w:p>
    <w:p>
      <w:pPr>
        <w:spacing w:line="360" w:lineRule="auto"/>
        <w:ind w:firstLine="420" w:firstLineChars="200"/>
        <w:rPr>
          <w:rFonts w:ascii="宋体" w:hAnsi="宋体"/>
          <w:color w:val="000000"/>
          <w:szCs w:val="21"/>
        </w:rPr>
      </w:pPr>
      <w:r>
        <w:rPr>
          <w:rFonts w:hint="eastAsia" w:ascii="宋体" w:hAnsi="宋体"/>
          <w:color w:val="000000"/>
          <w:szCs w:val="21"/>
        </w:rPr>
        <w:t>关于监理人在施工现场的办公场所、生活场所的提供和费用承担的约定：</w:t>
      </w:r>
      <w:permStart w:id="362" w:edGrp="everyone"/>
      <w:r>
        <w:rPr>
          <w:rFonts w:hint="eastAsia" w:ascii="宋体" w:hAnsi="宋体"/>
          <w:color w:val="000000"/>
          <w:szCs w:val="21"/>
        </w:rPr>
        <w:t xml:space="preserve"> </w:t>
      </w:r>
      <w:r>
        <w:rPr>
          <w:rFonts w:ascii="宋体" w:hAnsi="宋体"/>
          <w:color w:val="000000"/>
          <w:szCs w:val="21"/>
        </w:rPr>
        <w:t xml:space="preserve">               </w:t>
      </w:r>
      <w:permEnd w:id="362"/>
      <w:r>
        <w:rPr>
          <w:rFonts w:hint="eastAsia" w:ascii="宋体" w:hAnsi="宋体"/>
          <w:color w:val="000000"/>
          <w:szCs w:val="21"/>
        </w:rPr>
        <w:t>。</w:t>
      </w:r>
    </w:p>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 xml:space="preserve">4.2 </w:t>
      </w:r>
      <w:r>
        <w:rPr>
          <w:rFonts w:hint="eastAsia" w:ascii="黑体" w:hAnsi="黑体" w:eastAsia="黑体"/>
          <w:color w:val="000000"/>
          <w:szCs w:val="21"/>
        </w:rPr>
        <w:t>监理人员</w:t>
      </w:r>
    </w:p>
    <w:p>
      <w:pPr>
        <w:spacing w:line="360" w:lineRule="auto"/>
        <w:ind w:firstLine="420" w:firstLineChars="200"/>
        <w:rPr>
          <w:rFonts w:ascii="宋体" w:hAnsi="宋体"/>
          <w:color w:val="000000"/>
          <w:szCs w:val="21"/>
        </w:rPr>
      </w:pPr>
      <w:r>
        <w:rPr>
          <w:rFonts w:hint="eastAsia" w:ascii="宋体" w:hAnsi="宋体"/>
          <w:color w:val="000000"/>
          <w:szCs w:val="21"/>
        </w:rPr>
        <w:t>总监理工程师：</w:t>
      </w:r>
    </w:p>
    <w:p>
      <w:pPr>
        <w:spacing w:line="360" w:lineRule="auto"/>
        <w:ind w:firstLine="420" w:firstLineChars="200"/>
        <w:rPr>
          <w:rFonts w:ascii="宋体" w:hAnsi="宋体"/>
          <w:color w:val="000000"/>
          <w:szCs w:val="21"/>
        </w:rPr>
      </w:pPr>
      <w:r>
        <w:rPr>
          <w:rFonts w:hint="eastAsia" w:ascii="宋体" w:hAnsi="宋体"/>
          <w:color w:val="000000"/>
          <w:szCs w:val="21"/>
        </w:rPr>
        <w:t>姓名：</w:t>
      </w:r>
      <w:permStart w:id="363" w:edGrp="everyone"/>
      <w:r>
        <w:rPr>
          <w:rFonts w:hint="eastAsia" w:ascii="宋体" w:hAnsi="宋体" w:cs="仿宋_GB2312"/>
          <w:color w:val="000000"/>
          <w:szCs w:val="21"/>
          <w:u w:val="single"/>
        </w:rPr>
        <w:t></w:t>
      </w:r>
      <w:r>
        <w:rPr>
          <w:rFonts w:ascii="宋体" w:hAnsi="宋体"/>
          <w:color w:val="000000"/>
          <w:szCs w:val="21"/>
          <w:u w:val="single"/>
        </w:rPr>
        <w:t xml:space="preserve">   </w:t>
      </w:r>
      <w:permEnd w:id="363"/>
      <w:r>
        <w:rPr>
          <w:rFonts w:hint="eastAsia" w:ascii="宋体" w:hAnsi="宋体"/>
          <w:color w:val="000000"/>
          <w:szCs w:val="21"/>
        </w:rPr>
        <w:t>；</w:t>
      </w:r>
    </w:p>
    <w:p>
      <w:pPr>
        <w:spacing w:line="360" w:lineRule="auto"/>
        <w:ind w:firstLine="420" w:firstLineChars="200"/>
        <w:rPr>
          <w:rFonts w:ascii="宋体" w:hAnsi="宋体"/>
          <w:color w:val="000000"/>
          <w:szCs w:val="21"/>
        </w:rPr>
      </w:pPr>
      <w:r>
        <w:rPr>
          <w:rFonts w:hint="eastAsia" w:ascii="宋体" w:hAnsi="宋体"/>
          <w:color w:val="000000"/>
          <w:szCs w:val="21"/>
        </w:rPr>
        <w:t>职务：</w:t>
      </w:r>
      <w:permStart w:id="364" w:edGrp="everyone"/>
      <w:r>
        <w:rPr>
          <w:rFonts w:hint="eastAsia" w:ascii="宋体" w:hAnsi="宋体" w:cs="仿宋_GB2312"/>
          <w:color w:val="000000"/>
          <w:szCs w:val="21"/>
          <w:u w:val="single"/>
        </w:rPr>
        <w:t></w:t>
      </w:r>
      <w:r>
        <w:rPr>
          <w:rFonts w:ascii="宋体" w:hAnsi="宋体"/>
          <w:color w:val="000000"/>
          <w:szCs w:val="21"/>
          <w:u w:val="single"/>
        </w:rPr>
        <w:t xml:space="preserve">   </w:t>
      </w:r>
      <w:permEnd w:id="364"/>
      <w:r>
        <w:rPr>
          <w:rFonts w:hint="eastAsia" w:ascii="宋体" w:hAnsi="宋体"/>
          <w:color w:val="000000"/>
          <w:szCs w:val="21"/>
        </w:rPr>
        <w:t>；</w:t>
      </w:r>
    </w:p>
    <w:p>
      <w:pPr>
        <w:spacing w:line="360" w:lineRule="auto"/>
        <w:ind w:firstLine="420" w:firstLineChars="200"/>
        <w:rPr>
          <w:rFonts w:ascii="宋体" w:hAnsi="宋体"/>
          <w:color w:val="000000"/>
          <w:szCs w:val="21"/>
        </w:rPr>
      </w:pPr>
      <w:r>
        <w:rPr>
          <w:rFonts w:hint="eastAsia" w:ascii="宋体" w:hAnsi="宋体"/>
          <w:color w:val="000000"/>
          <w:szCs w:val="21"/>
        </w:rPr>
        <w:t>监理工程师执业资格证书号：</w:t>
      </w:r>
      <w:permStart w:id="365" w:edGrp="everyone"/>
      <w:r>
        <w:rPr>
          <w:rFonts w:hint="eastAsia" w:ascii="宋体" w:hAnsi="宋体" w:cs="仿宋_GB2312"/>
          <w:color w:val="000000"/>
          <w:szCs w:val="21"/>
          <w:u w:val="single"/>
        </w:rPr>
        <w:t></w:t>
      </w:r>
      <w:r>
        <w:rPr>
          <w:rFonts w:ascii="宋体" w:hAnsi="宋体"/>
          <w:color w:val="000000"/>
          <w:szCs w:val="21"/>
          <w:u w:val="single"/>
        </w:rPr>
        <w:t xml:space="preserve"> </w:t>
      </w:r>
      <w:permEnd w:id="365"/>
      <w:r>
        <w:rPr>
          <w:rFonts w:hint="eastAsia" w:ascii="宋体" w:hAnsi="宋体"/>
          <w:color w:val="000000"/>
          <w:szCs w:val="21"/>
        </w:rPr>
        <w:t>；</w:t>
      </w:r>
    </w:p>
    <w:p>
      <w:pPr>
        <w:spacing w:line="360" w:lineRule="auto"/>
        <w:ind w:firstLine="420" w:firstLineChars="200"/>
        <w:rPr>
          <w:rFonts w:ascii="宋体" w:hAnsi="宋体"/>
          <w:color w:val="000000"/>
          <w:szCs w:val="21"/>
        </w:rPr>
      </w:pPr>
      <w:r>
        <w:rPr>
          <w:rFonts w:hint="eastAsia" w:ascii="宋体" w:hAnsi="宋体"/>
          <w:color w:val="000000"/>
          <w:szCs w:val="21"/>
        </w:rPr>
        <w:t>联系电话：</w:t>
      </w:r>
      <w:permStart w:id="366" w:edGrp="everyone"/>
      <w:r>
        <w:rPr>
          <w:rFonts w:hint="eastAsia" w:ascii="宋体" w:hAnsi="宋体" w:cs="仿宋_GB2312"/>
          <w:color w:val="000000"/>
          <w:szCs w:val="21"/>
          <w:u w:val="single"/>
        </w:rPr>
        <w:t></w:t>
      </w:r>
      <w:r>
        <w:rPr>
          <w:rFonts w:ascii="宋体" w:hAnsi="宋体"/>
          <w:color w:val="000000"/>
          <w:szCs w:val="21"/>
          <w:u w:val="single"/>
        </w:rPr>
        <w:t xml:space="preserve">   </w:t>
      </w:r>
      <w:permEnd w:id="366"/>
      <w:r>
        <w:rPr>
          <w:rFonts w:hint="eastAsia" w:ascii="宋体" w:hAnsi="宋体"/>
          <w:color w:val="000000"/>
          <w:szCs w:val="21"/>
        </w:rPr>
        <w:t>；</w:t>
      </w:r>
    </w:p>
    <w:p>
      <w:pPr>
        <w:spacing w:line="360" w:lineRule="auto"/>
        <w:ind w:firstLine="420" w:firstLineChars="200"/>
        <w:rPr>
          <w:rFonts w:ascii="宋体" w:hAnsi="宋体"/>
          <w:color w:val="000000"/>
          <w:szCs w:val="21"/>
        </w:rPr>
      </w:pPr>
      <w:r>
        <w:rPr>
          <w:rFonts w:hint="eastAsia" w:ascii="宋体" w:hAnsi="宋体"/>
          <w:color w:val="000000"/>
          <w:szCs w:val="21"/>
        </w:rPr>
        <w:t>电子信箱：</w:t>
      </w:r>
      <w:permStart w:id="367" w:edGrp="everyone"/>
      <w:r>
        <w:rPr>
          <w:rFonts w:hint="eastAsia" w:ascii="宋体" w:hAnsi="宋体" w:cs="仿宋_GB2312"/>
          <w:color w:val="000000"/>
          <w:szCs w:val="21"/>
          <w:u w:val="single"/>
        </w:rPr>
        <w:t></w:t>
      </w:r>
      <w:r>
        <w:rPr>
          <w:rFonts w:ascii="宋体" w:hAnsi="宋体"/>
          <w:color w:val="000000"/>
          <w:szCs w:val="21"/>
          <w:u w:val="single"/>
        </w:rPr>
        <w:t xml:space="preserve">   </w:t>
      </w:r>
      <w:permEnd w:id="367"/>
      <w:r>
        <w:rPr>
          <w:rFonts w:hint="eastAsia" w:ascii="宋体" w:hAnsi="宋体"/>
          <w:color w:val="000000"/>
          <w:szCs w:val="21"/>
        </w:rPr>
        <w:t>；</w:t>
      </w:r>
    </w:p>
    <w:p>
      <w:pPr>
        <w:spacing w:line="360" w:lineRule="auto"/>
        <w:ind w:firstLine="420" w:firstLineChars="200"/>
        <w:rPr>
          <w:rFonts w:ascii="宋体" w:hAnsi="宋体"/>
          <w:color w:val="000000"/>
          <w:szCs w:val="21"/>
        </w:rPr>
      </w:pPr>
      <w:r>
        <w:rPr>
          <w:rFonts w:hint="eastAsia" w:ascii="宋体" w:hAnsi="宋体"/>
          <w:color w:val="000000"/>
          <w:szCs w:val="21"/>
        </w:rPr>
        <w:t>通信地址：</w:t>
      </w:r>
      <w:permStart w:id="368" w:edGrp="everyone"/>
      <w:r>
        <w:rPr>
          <w:rFonts w:hint="eastAsia" w:ascii="宋体" w:hAnsi="宋体" w:cs="仿宋_GB2312"/>
          <w:color w:val="000000"/>
          <w:szCs w:val="21"/>
          <w:u w:val="single"/>
        </w:rPr>
        <w:t></w:t>
      </w:r>
      <w:r>
        <w:rPr>
          <w:rFonts w:ascii="宋体" w:hAnsi="宋体"/>
          <w:color w:val="000000"/>
          <w:szCs w:val="21"/>
          <w:u w:val="single"/>
        </w:rPr>
        <w:t xml:space="preserve">   </w:t>
      </w:r>
      <w:permEnd w:id="368"/>
      <w:r>
        <w:rPr>
          <w:rFonts w:hint="eastAsia" w:ascii="宋体" w:hAnsi="宋体"/>
          <w:color w:val="000000"/>
          <w:szCs w:val="21"/>
        </w:rPr>
        <w:t>；</w:t>
      </w:r>
    </w:p>
    <w:p>
      <w:pPr>
        <w:spacing w:line="360" w:lineRule="auto"/>
        <w:ind w:firstLine="420" w:firstLineChars="200"/>
        <w:rPr>
          <w:rFonts w:ascii="宋体" w:hAnsi="宋体"/>
          <w:color w:val="000000"/>
          <w:szCs w:val="21"/>
        </w:rPr>
      </w:pPr>
      <w:r>
        <w:rPr>
          <w:rFonts w:hint="eastAsia" w:ascii="宋体" w:hAnsi="宋体"/>
          <w:color w:val="000000"/>
          <w:szCs w:val="21"/>
        </w:rPr>
        <w:t>关于监理人的其他约定：</w:t>
      </w:r>
      <w:permStart w:id="369" w:edGrp="everyone"/>
      <w:r>
        <w:rPr>
          <w:rFonts w:hint="eastAsia" w:ascii="宋体" w:hAnsi="宋体" w:cs="仿宋_GB2312"/>
          <w:color w:val="000000"/>
          <w:szCs w:val="21"/>
          <w:u w:val="single"/>
        </w:rPr>
        <w:t></w:t>
      </w:r>
      <w:r>
        <w:rPr>
          <w:rFonts w:ascii="宋体" w:hAnsi="宋体"/>
          <w:color w:val="000000"/>
          <w:szCs w:val="21"/>
          <w:u w:val="single"/>
        </w:rPr>
        <w:t xml:space="preserve">   </w:t>
      </w:r>
      <w:permEnd w:id="369"/>
      <w:r>
        <w:rPr>
          <w:rFonts w:hint="eastAsia" w:ascii="宋体" w:hAnsi="宋体"/>
          <w:color w:val="000000"/>
          <w:szCs w:val="21"/>
        </w:rPr>
        <w:t>。</w:t>
      </w:r>
    </w:p>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 xml:space="preserve">4.4 </w:t>
      </w:r>
      <w:r>
        <w:rPr>
          <w:rFonts w:hint="eastAsia" w:ascii="黑体" w:hAnsi="黑体" w:eastAsia="黑体"/>
          <w:color w:val="000000"/>
          <w:szCs w:val="21"/>
        </w:rPr>
        <w:t>商定或确定</w:t>
      </w:r>
    </w:p>
    <w:p>
      <w:pPr>
        <w:spacing w:line="360" w:lineRule="auto"/>
        <w:ind w:firstLine="420" w:firstLineChars="200"/>
        <w:rPr>
          <w:rFonts w:ascii="宋体" w:hAnsi="宋体"/>
          <w:color w:val="000000"/>
          <w:szCs w:val="21"/>
        </w:rPr>
      </w:pPr>
      <w:bookmarkStart w:id="787" w:name="_Toc267251418"/>
      <w:r>
        <w:rPr>
          <w:rFonts w:hint="eastAsia" w:ascii="宋体" w:hAnsi="宋体"/>
          <w:color w:val="000000"/>
          <w:szCs w:val="21"/>
        </w:rPr>
        <w:t>在发包人和承包人不能通过协商达成一致意见时，发包人授权监理人对以下事项进行确定：</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w:t>
      </w:r>
      <w:permStart w:id="370" w:edGrp="everyone"/>
      <w:r>
        <w:rPr>
          <w:rFonts w:hint="eastAsia" w:ascii="宋体" w:hAnsi="宋体"/>
          <w:color w:val="000000"/>
          <w:kern w:val="0"/>
          <w:szCs w:val="21"/>
        </w:rPr>
        <w:t xml:space="preserve"> </w:t>
      </w:r>
      <w:r>
        <w:rPr>
          <w:rFonts w:ascii="宋体" w:hAnsi="宋体"/>
          <w:color w:val="000000"/>
          <w:kern w:val="0"/>
          <w:szCs w:val="21"/>
        </w:rPr>
        <w:t xml:space="preserve">                                                                          </w:t>
      </w:r>
      <w:permEnd w:id="370"/>
      <w:r>
        <w:rPr>
          <w:rFonts w:hint="eastAsia" w:ascii="宋体" w:hAnsi="宋体"/>
          <w:color w:val="000000"/>
          <w:szCs w:val="21"/>
        </w:rPr>
        <w:t>；</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w:t>
      </w:r>
      <w:permStart w:id="371" w:edGrp="everyone"/>
      <w:r>
        <w:rPr>
          <w:rFonts w:hint="eastAsia" w:ascii="宋体" w:hAnsi="宋体"/>
          <w:color w:val="000000"/>
          <w:kern w:val="0"/>
          <w:szCs w:val="21"/>
        </w:rPr>
        <w:t xml:space="preserve">                                                                          </w:t>
      </w:r>
      <w:permEnd w:id="371"/>
      <w:r>
        <w:rPr>
          <w:rFonts w:hint="eastAsia" w:ascii="宋体" w:hAnsi="宋体"/>
          <w:color w:val="000000"/>
          <w:szCs w:val="21"/>
        </w:rPr>
        <w:t>；</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3</w:t>
      </w:r>
      <w:r>
        <w:rPr>
          <w:rFonts w:hint="eastAsia" w:ascii="宋体" w:hAnsi="宋体"/>
          <w:color w:val="000000"/>
          <w:kern w:val="0"/>
          <w:szCs w:val="21"/>
        </w:rPr>
        <w:t>）</w:t>
      </w:r>
      <w:permStart w:id="372" w:edGrp="everyone"/>
      <w:r>
        <w:rPr>
          <w:rFonts w:hint="eastAsia" w:ascii="宋体" w:hAnsi="宋体"/>
          <w:color w:val="000000"/>
          <w:kern w:val="0"/>
          <w:szCs w:val="21"/>
        </w:rPr>
        <w:t xml:space="preserve">                                                                          </w:t>
      </w:r>
      <w:permEnd w:id="372"/>
      <w:r>
        <w:rPr>
          <w:rFonts w:hint="eastAsia" w:ascii="宋体" w:hAnsi="宋体"/>
          <w:color w:val="000000"/>
          <w:szCs w:val="21"/>
        </w:rPr>
        <w:t>。</w:t>
      </w:r>
    </w:p>
    <w:p>
      <w:pPr>
        <w:pStyle w:val="5"/>
        <w:spacing w:before="120" w:after="120" w:line="360" w:lineRule="auto"/>
        <w:rPr>
          <w:rFonts w:ascii="黑体" w:hAnsi="黑体"/>
          <w:b w:val="0"/>
          <w:color w:val="000000"/>
        </w:rPr>
      </w:pPr>
      <w:bookmarkStart w:id="788" w:name="_Toc362623192"/>
      <w:bookmarkStart w:id="789" w:name="_Toc114222827"/>
      <w:r>
        <w:rPr>
          <w:rFonts w:ascii="黑体" w:hAnsi="黑体"/>
          <w:b w:val="0"/>
          <w:color w:val="000000"/>
        </w:rPr>
        <w:t>5</w:t>
      </w:r>
      <w:bookmarkEnd w:id="787"/>
      <w:bookmarkStart w:id="790" w:name="_Toc297048349"/>
      <w:bookmarkStart w:id="791" w:name="_Toc292559872"/>
      <w:bookmarkStart w:id="792" w:name="_Toc296503163"/>
      <w:bookmarkStart w:id="793" w:name="_Toc296890991"/>
      <w:bookmarkStart w:id="794" w:name="_Toc297120463"/>
      <w:bookmarkStart w:id="795" w:name="_Toc296347162"/>
      <w:bookmarkStart w:id="796" w:name="_Toc296944502"/>
      <w:bookmarkStart w:id="797" w:name="_Toc296891203"/>
      <w:bookmarkStart w:id="798" w:name="_Toc296346664"/>
      <w:bookmarkStart w:id="799" w:name="_Toc292559367"/>
      <w:r>
        <w:rPr>
          <w:rFonts w:ascii="黑体" w:hAnsi="黑体"/>
          <w:b w:val="0"/>
          <w:color w:val="000000"/>
        </w:rPr>
        <w:t xml:space="preserve">. </w:t>
      </w:r>
      <w:r>
        <w:rPr>
          <w:rFonts w:hint="eastAsia" w:ascii="黑体" w:hAnsi="黑体"/>
          <w:b w:val="0"/>
          <w:color w:val="000000"/>
        </w:rPr>
        <w:t>工程质量</w:t>
      </w:r>
      <w:bookmarkEnd w:id="788"/>
      <w:bookmarkEnd w:id="789"/>
    </w:p>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 xml:space="preserve">5.1 </w:t>
      </w:r>
      <w:r>
        <w:rPr>
          <w:rFonts w:hint="eastAsia" w:ascii="黑体" w:hAnsi="黑体" w:eastAsia="黑体"/>
          <w:color w:val="000000"/>
          <w:szCs w:val="21"/>
        </w:rPr>
        <w:t>质量要求</w:t>
      </w:r>
    </w:p>
    <w:p>
      <w:pPr>
        <w:spacing w:line="360" w:lineRule="auto"/>
        <w:ind w:firstLine="420" w:firstLineChars="200"/>
        <w:jc w:val="left"/>
        <w:rPr>
          <w:rFonts w:ascii="宋体" w:hAnsi="宋体"/>
          <w:color w:val="000000"/>
          <w:szCs w:val="21"/>
        </w:rPr>
      </w:pPr>
      <w:r>
        <w:rPr>
          <w:rFonts w:ascii="宋体" w:hAnsi="宋体"/>
          <w:color w:val="000000"/>
          <w:szCs w:val="21"/>
        </w:rPr>
        <w:t>5</w:t>
      </w:r>
      <w:bookmarkStart w:id="800" w:name="_Toc303539106"/>
      <w:bookmarkStart w:id="801" w:name="_Toc318581164"/>
      <w:bookmarkStart w:id="802" w:name="_Toc297123496"/>
      <w:bookmarkStart w:id="803" w:name="_Toc300934949"/>
      <w:bookmarkStart w:id="804" w:name="_Toc297216155"/>
      <w:bookmarkStart w:id="805" w:name="_Toc312677997"/>
      <w:bookmarkStart w:id="806" w:name="_Toc304295527"/>
      <w:r>
        <w:rPr>
          <w:rFonts w:ascii="宋体" w:hAnsi="宋体"/>
          <w:color w:val="000000"/>
          <w:szCs w:val="21"/>
        </w:rPr>
        <w:t xml:space="preserve">.1.1 </w:t>
      </w:r>
      <w:r>
        <w:rPr>
          <w:rFonts w:hint="eastAsia" w:ascii="宋体" w:hAnsi="宋体"/>
          <w:color w:val="000000"/>
          <w:szCs w:val="21"/>
        </w:rPr>
        <w:t>特殊质量标准和要求：</w:t>
      </w:r>
      <w:permStart w:id="373" w:edGrp="everyone"/>
      <w:r>
        <w:rPr>
          <w:rFonts w:hint="eastAsia" w:ascii="宋体" w:hAnsi="宋体"/>
          <w:color w:val="000000"/>
          <w:szCs w:val="21"/>
        </w:rPr>
        <w:t xml:space="preserve">                                                     。</w:t>
      </w:r>
    </w:p>
    <w:permEnd w:id="373"/>
    <w:p>
      <w:pPr>
        <w:spacing w:line="360" w:lineRule="auto"/>
        <w:ind w:firstLine="420" w:firstLineChars="200"/>
        <w:jc w:val="left"/>
        <w:rPr>
          <w:rFonts w:ascii="宋体" w:hAnsi="宋体"/>
          <w:color w:val="000000"/>
          <w:szCs w:val="21"/>
        </w:rPr>
      </w:pPr>
      <w:r>
        <w:rPr>
          <w:rFonts w:hint="eastAsia" w:ascii="宋体" w:hAnsi="宋体"/>
          <w:color w:val="000000"/>
          <w:szCs w:val="21"/>
        </w:rPr>
        <w:t>关于工程奖项的约定：</w:t>
      </w:r>
      <w:permStart w:id="374" w:edGrp="everyone"/>
      <w:r>
        <w:rPr>
          <w:rFonts w:hint="eastAsia" w:ascii="宋体" w:hAnsi="宋体"/>
          <w:color w:val="000000"/>
          <w:szCs w:val="21"/>
        </w:rPr>
        <w:t xml:space="preserve">                                                           。</w:t>
      </w:r>
    </w:p>
    <w:permEnd w:id="374"/>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 xml:space="preserve">5.3 </w:t>
      </w:r>
      <w:r>
        <w:rPr>
          <w:rFonts w:hint="eastAsia" w:ascii="黑体" w:hAnsi="黑体" w:eastAsia="黑体"/>
          <w:color w:val="000000"/>
          <w:szCs w:val="21"/>
        </w:rPr>
        <w:t>隐蔽工程检查</w:t>
      </w:r>
    </w:p>
    <w:p>
      <w:pPr>
        <w:spacing w:line="360" w:lineRule="auto"/>
        <w:ind w:firstLine="420" w:firstLineChars="200"/>
        <w:jc w:val="left"/>
        <w:rPr>
          <w:rFonts w:ascii="宋体" w:hAnsi="宋体"/>
          <w:color w:val="000000"/>
          <w:szCs w:val="21"/>
        </w:rPr>
      </w:pPr>
      <w:r>
        <w:rPr>
          <w:rFonts w:ascii="宋体" w:hAnsi="宋体"/>
          <w:color w:val="000000"/>
          <w:szCs w:val="21"/>
        </w:rPr>
        <w:t>5.3.2</w:t>
      </w:r>
      <w:r>
        <w:rPr>
          <w:rFonts w:hint="eastAsia" w:ascii="宋体" w:hAnsi="宋体"/>
          <w:color w:val="000000"/>
          <w:szCs w:val="21"/>
        </w:rPr>
        <w:t>承包人提前通知监理人隐蔽工程检查的期限的约定：</w:t>
      </w:r>
      <w:permStart w:id="375" w:edGrp="everyone"/>
      <w:r>
        <w:rPr>
          <w:rFonts w:hint="eastAsia" w:ascii="宋体" w:hAnsi="宋体"/>
          <w:color w:val="000000"/>
          <w:szCs w:val="21"/>
        </w:rPr>
        <w:t xml:space="preserve">                             。</w:t>
      </w:r>
    </w:p>
    <w:permEnd w:id="375"/>
    <w:p>
      <w:pPr>
        <w:spacing w:line="360" w:lineRule="auto"/>
        <w:ind w:firstLine="420" w:firstLineChars="200"/>
        <w:jc w:val="left"/>
        <w:rPr>
          <w:rFonts w:ascii="宋体" w:hAnsi="宋体"/>
          <w:color w:val="000000"/>
          <w:szCs w:val="21"/>
        </w:rPr>
      </w:pPr>
      <w:r>
        <w:rPr>
          <w:rFonts w:hint="eastAsia" w:ascii="宋体" w:hAnsi="宋体"/>
          <w:color w:val="000000"/>
          <w:szCs w:val="21"/>
        </w:rPr>
        <w:t>监理人不能按时进行检查时，应提前</w:t>
      </w:r>
      <w:permStart w:id="376" w:edGrp="everyone"/>
      <w:r>
        <w:rPr>
          <w:rFonts w:hint="eastAsia" w:ascii="宋体" w:hAnsi="宋体"/>
          <w:color w:val="000000"/>
          <w:szCs w:val="21"/>
        </w:rPr>
        <w:t xml:space="preserve"> </w:t>
      </w:r>
      <w:r>
        <w:rPr>
          <w:rFonts w:ascii="宋体" w:hAnsi="宋体"/>
          <w:color w:val="000000"/>
          <w:szCs w:val="21"/>
        </w:rPr>
        <w:t xml:space="preserve">   </w:t>
      </w:r>
      <w:permEnd w:id="376"/>
      <w:r>
        <w:rPr>
          <w:rFonts w:hint="eastAsia" w:ascii="宋体" w:hAnsi="宋体"/>
          <w:color w:val="000000"/>
          <w:szCs w:val="21"/>
        </w:rPr>
        <w:t>小时提交书面延期要求。</w:t>
      </w:r>
    </w:p>
    <w:p>
      <w:pPr>
        <w:spacing w:line="360" w:lineRule="auto"/>
        <w:ind w:firstLine="420" w:firstLineChars="200"/>
        <w:jc w:val="left"/>
        <w:rPr>
          <w:rFonts w:ascii="宋体" w:hAnsi="宋体"/>
          <w:color w:val="000000"/>
          <w:szCs w:val="21"/>
        </w:rPr>
      </w:pPr>
      <w:r>
        <w:rPr>
          <w:rFonts w:hint="eastAsia" w:ascii="宋体" w:hAnsi="宋体"/>
          <w:color w:val="000000"/>
          <w:szCs w:val="21"/>
        </w:rPr>
        <w:t>关于延期最长不得超过：</w:t>
      </w:r>
      <w:permStart w:id="377" w:edGrp="everyone"/>
      <w:r>
        <w:rPr>
          <w:rFonts w:hint="eastAsia" w:ascii="宋体" w:hAnsi="宋体"/>
          <w:color w:val="000000"/>
          <w:szCs w:val="21"/>
        </w:rPr>
        <w:t xml:space="preserve">     </w:t>
      </w:r>
      <w:permEnd w:id="377"/>
      <w:r>
        <w:rPr>
          <w:rFonts w:hint="eastAsia" w:ascii="宋体" w:hAnsi="宋体"/>
          <w:color w:val="000000"/>
          <w:szCs w:val="21"/>
        </w:rPr>
        <w:t>小时。</w:t>
      </w:r>
    </w:p>
    <w:p>
      <w:pPr>
        <w:pStyle w:val="5"/>
        <w:spacing w:before="120" w:after="120" w:line="360" w:lineRule="auto"/>
        <w:rPr>
          <w:rFonts w:ascii="黑体" w:hAnsi="黑体"/>
          <w:b w:val="0"/>
          <w:color w:val="000000"/>
        </w:rPr>
      </w:pPr>
      <w:bookmarkStart w:id="807" w:name="_Toc114222828"/>
      <w:bookmarkStart w:id="808" w:name="_Toc362623193"/>
      <w:r>
        <w:rPr>
          <w:rFonts w:ascii="黑体" w:hAnsi="黑体"/>
          <w:b w:val="0"/>
          <w:color w:val="000000"/>
        </w:rPr>
        <w:t xml:space="preserve">6. </w:t>
      </w:r>
      <w:r>
        <w:rPr>
          <w:rFonts w:hint="eastAsia" w:ascii="黑体" w:hAnsi="黑体"/>
          <w:b w:val="0"/>
          <w:color w:val="000000"/>
        </w:rPr>
        <w:t>安全文明施工与环境保护</w:t>
      </w:r>
      <w:bookmarkEnd w:id="807"/>
      <w:bookmarkEnd w:id="808"/>
    </w:p>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6.1</w:t>
      </w:r>
      <w:r>
        <w:rPr>
          <w:rFonts w:hint="eastAsia" w:ascii="黑体" w:hAnsi="黑体" w:eastAsia="黑体"/>
          <w:color w:val="000000"/>
          <w:szCs w:val="21"/>
        </w:rPr>
        <w:t>安全文明施工</w:t>
      </w:r>
    </w:p>
    <w:p>
      <w:pPr>
        <w:spacing w:line="360" w:lineRule="auto"/>
        <w:ind w:firstLine="420" w:firstLineChars="200"/>
        <w:jc w:val="left"/>
        <w:rPr>
          <w:rFonts w:ascii="宋体" w:hAnsi="宋体"/>
          <w:color w:val="000000"/>
          <w:szCs w:val="21"/>
        </w:rPr>
      </w:pPr>
      <w:r>
        <w:rPr>
          <w:rFonts w:ascii="宋体" w:hAnsi="宋体"/>
          <w:color w:val="000000"/>
          <w:szCs w:val="21"/>
        </w:rPr>
        <w:t xml:space="preserve">6.1.1 </w:t>
      </w:r>
      <w:r>
        <w:rPr>
          <w:rFonts w:hint="eastAsia" w:ascii="宋体" w:hAnsi="宋体"/>
          <w:color w:val="000000"/>
          <w:szCs w:val="21"/>
        </w:rPr>
        <w:t>项目安全生产的达标目标及相应事项的约定：</w:t>
      </w:r>
      <w:permStart w:id="378" w:edGrp="everyone"/>
      <w:r>
        <w:rPr>
          <w:rFonts w:hint="eastAsia" w:ascii="宋体" w:hAnsi="宋体"/>
          <w:color w:val="000000"/>
          <w:szCs w:val="21"/>
        </w:rPr>
        <w:t xml:space="preserve">                                  。</w:t>
      </w:r>
    </w:p>
    <w:permEnd w:id="378"/>
    <w:p>
      <w:pPr>
        <w:spacing w:line="360" w:lineRule="auto"/>
        <w:ind w:firstLine="420" w:firstLineChars="200"/>
        <w:jc w:val="left"/>
        <w:rPr>
          <w:rFonts w:ascii="宋体" w:hAnsi="宋体"/>
          <w:color w:val="000000"/>
          <w:szCs w:val="21"/>
        </w:rPr>
      </w:pPr>
      <w:r>
        <w:rPr>
          <w:rFonts w:ascii="宋体" w:hAnsi="宋体"/>
          <w:color w:val="000000"/>
          <w:szCs w:val="21"/>
        </w:rPr>
        <w:t xml:space="preserve">6.1.4 </w:t>
      </w:r>
      <w:r>
        <w:rPr>
          <w:rFonts w:hint="eastAsia" w:ascii="宋体" w:hAnsi="宋体"/>
          <w:color w:val="000000"/>
          <w:szCs w:val="21"/>
        </w:rPr>
        <w:t>关于治安保卫的特别约定</w:t>
      </w:r>
      <w:permStart w:id="379" w:edGrp="everyone"/>
      <w:r>
        <w:rPr>
          <w:rFonts w:hint="eastAsia" w:ascii="宋体" w:hAnsi="宋体"/>
          <w:color w:val="000000"/>
          <w:szCs w:val="21"/>
        </w:rPr>
        <w:t>：                                                。</w:t>
      </w:r>
    </w:p>
    <w:permEnd w:id="379"/>
    <w:p>
      <w:pPr>
        <w:spacing w:line="360" w:lineRule="auto"/>
        <w:ind w:firstLine="420" w:firstLineChars="200"/>
        <w:jc w:val="left"/>
        <w:rPr>
          <w:rFonts w:ascii="宋体" w:hAnsi="宋体"/>
          <w:color w:val="000000"/>
          <w:szCs w:val="21"/>
        </w:rPr>
      </w:pPr>
      <w:r>
        <w:rPr>
          <w:rFonts w:hint="eastAsia" w:ascii="宋体" w:hAnsi="宋体"/>
          <w:color w:val="000000"/>
          <w:szCs w:val="21"/>
        </w:rPr>
        <w:t>关于编制施工场地治安管理计划的约定：</w:t>
      </w:r>
      <w:permStart w:id="380" w:edGrp="everyone"/>
      <w:r>
        <w:rPr>
          <w:rFonts w:hint="eastAsia" w:ascii="宋体" w:hAnsi="宋体"/>
          <w:color w:val="000000"/>
          <w:szCs w:val="21"/>
        </w:rPr>
        <w:t xml:space="preserve">                                          。</w:t>
      </w:r>
    </w:p>
    <w:permEnd w:id="380"/>
    <w:p>
      <w:pPr>
        <w:spacing w:line="360" w:lineRule="auto"/>
        <w:ind w:firstLine="420" w:firstLineChars="200"/>
        <w:jc w:val="left"/>
        <w:rPr>
          <w:rFonts w:ascii="宋体" w:hAnsi="宋体"/>
          <w:color w:val="000000"/>
          <w:szCs w:val="21"/>
        </w:rPr>
      </w:pPr>
      <w:r>
        <w:rPr>
          <w:rFonts w:ascii="宋体" w:hAnsi="宋体"/>
          <w:color w:val="000000"/>
          <w:szCs w:val="21"/>
        </w:rPr>
        <w:t xml:space="preserve">6.1.5 </w:t>
      </w:r>
      <w:r>
        <w:rPr>
          <w:rFonts w:hint="eastAsia" w:ascii="宋体" w:hAnsi="宋体"/>
          <w:color w:val="000000"/>
          <w:szCs w:val="21"/>
        </w:rPr>
        <w:t>文明施工</w:t>
      </w:r>
    </w:p>
    <w:p>
      <w:pPr>
        <w:spacing w:line="360" w:lineRule="auto"/>
        <w:ind w:firstLine="420" w:firstLineChars="200"/>
        <w:jc w:val="left"/>
        <w:rPr>
          <w:rFonts w:ascii="宋体" w:hAnsi="宋体"/>
          <w:color w:val="000000"/>
          <w:szCs w:val="21"/>
          <w:u w:val="single"/>
        </w:rPr>
      </w:pPr>
      <w:r>
        <w:rPr>
          <w:rFonts w:hint="eastAsia" w:ascii="宋体" w:hAnsi="宋体"/>
          <w:color w:val="000000"/>
          <w:szCs w:val="21"/>
        </w:rPr>
        <w:t>合同当事人对文明施工的要求：</w:t>
      </w:r>
      <w:permStart w:id="381" w:edGrp="everyone"/>
      <w:r>
        <w:rPr>
          <w:rFonts w:hint="eastAsia" w:ascii="宋体" w:hAnsi="宋体"/>
          <w:color w:val="000000"/>
          <w:szCs w:val="21"/>
        </w:rPr>
        <w:t xml:space="preserve"> </w:t>
      </w:r>
      <w:r>
        <w:rPr>
          <w:rFonts w:ascii="宋体" w:hAnsi="宋体"/>
          <w:color w:val="000000"/>
          <w:szCs w:val="21"/>
        </w:rPr>
        <w:t xml:space="preserve">                                                      </w:t>
      </w:r>
    </w:p>
    <w:permEnd w:id="381"/>
    <w:p>
      <w:pPr>
        <w:spacing w:line="360" w:lineRule="auto"/>
        <w:jc w:val="left"/>
        <w:rPr>
          <w:rFonts w:ascii="宋体" w:hAnsi="宋体"/>
          <w:color w:val="000000"/>
          <w:szCs w:val="21"/>
        </w:rPr>
      </w:pPr>
    </w:p>
    <w:p>
      <w:pPr>
        <w:spacing w:line="360" w:lineRule="auto"/>
        <w:ind w:firstLine="420" w:firstLineChars="200"/>
        <w:jc w:val="left"/>
        <w:rPr>
          <w:rFonts w:ascii="宋体" w:hAnsi="宋体"/>
          <w:color w:val="000000"/>
          <w:szCs w:val="21"/>
        </w:rPr>
      </w:pPr>
      <w:r>
        <w:rPr>
          <w:rFonts w:ascii="宋体" w:hAnsi="宋体"/>
          <w:color w:val="000000"/>
          <w:szCs w:val="21"/>
        </w:rPr>
        <w:t xml:space="preserve">6.1.6 </w:t>
      </w:r>
      <w:r>
        <w:rPr>
          <w:rFonts w:hint="eastAsia" w:ascii="宋体" w:hAnsi="宋体"/>
          <w:color w:val="000000"/>
          <w:szCs w:val="21"/>
        </w:rPr>
        <w:t>关于安全文明施工费支付比例和支付期限的约定：</w:t>
      </w:r>
      <w:permStart w:id="382" w:edGrp="everyone"/>
    </w:p>
    <w:permEnd w:id="382"/>
    <w:p>
      <w:pPr>
        <w:spacing w:line="360" w:lineRule="auto"/>
        <w:jc w:val="left"/>
        <w:rPr>
          <w:rFonts w:ascii="宋体" w:hAnsi="宋体"/>
          <w:color w:val="000000"/>
          <w:szCs w:val="21"/>
        </w:rPr>
      </w:pPr>
    </w:p>
    <w:bookmarkEnd w:id="800"/>
    <w:bookmarkEnd w:id="801"/>
    <w:bookmarkEnd w:id="802"/>
    <w:bookmarkEnd w:id="803"/>
    <w:bookmarkEnd w:id="804"/>
    <w:bookmarkEnd w:id="805"/>
    <w:bookmarkEnd w:id="806"/>
    <w:p>
      <w:pPr>
        <w:pStyle w:val="5"/>
        <w:spacing w:before="120" w:after="120" w:line="360" w:lineRule="auto"/>
        <w:rPr>
          <w:rFonts w:ascii="黑体" w:hAnsi="黑体"/>
          <w:b w:val="0"/>
          <w:color w:val="000000"/>
        </w:rPr>
      </w:pPr>
      <w:bookmarkStart w:id="809" w:name="_Toc362623194"/>
      <w:bookmarkStart w:id="810" w:name="_Toc114222829"/>
      <w:r>
        <w:rPr>
          <w:rFonts w:ascii="黑体" w:hAnsi="黑体"/>
          <w:b w:val="0"/>
          <w:color w:val="000000"/>
        </w:rPr>
        <w:t xml:space="preserve">7. </w:t>
      </w:r>
      <w:r>
        <w:rPr>
          <w:rFonts w:hint="eastAsia" w:ascii="黑体" w:hAnsi="黑体"/>
          <w:b w:val="0"/>
          <w:color w:val="000000"/>
        </w:rPr>
        <w:t>工期和进度</w:t>
      </w:r>
      <w:bookmarkEnd w:id="809"/>
      <w:bookmarkEnd w:id="810"/>
    </w:p>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 xml:space="preserve">7.1 </w:t>
      </w:r>
      <w:r>
        <w:rPr>
          <w:rFonts w:hint="eastAsia" w:ascii="黑体" w:hAnsi="黑体" w:eastAsia="黑体"/>
          <w:color w:val="000000"/>
          <w:szCs w:val="21"/>
        </w:rPr>
        <w:t>施工组织设计</w:t>
      </w:r>
    </w:p>
    <w:p>
      <w:pPr>
        <w:autoSpaceDE w:val="0"/>
        <w:autoSpaceDN w:val="0"/>
        <w:adjustRightInd w:val="0"/>
        <w:spacing w:line="360" w:lineRule="auto"/>
        <w:ind w:firstLine="420" w:firstLineChars="200"/>
        <w:jc w:val="left"/>
        <w:rPr>
          <w:rFonts w:ascii="宋体" w:hAnsi="宋体"/>
          <w:color w:val="000000"/>
          <w:szCs w:val="21"/>
          <w:u w:val="single"/>
        </w:rPr>
      </w:pPr>
      <w:r>
        <w:rPr>
          <w:rFonts w:ascii="宋体" w:hAnsi="宋体"/>
          <w:color w:val="000000"/>
          <w:szCs w:val="21"/>
        </w:rPr>
        <w:t xml:space="preserve">7.1.1 </w:t>
      </w:r>
      <w:r>
        <w:rPr>
          <w:rFonts w:hint="eastAsia" w:ascii="宋体" w:hAnsi="宋体"/>
          <w:color w:val="000000"/>
          <w:szCs w:val="21"/>
        </w:rPr>
        <w:t>合</w:t>
      </w:r>
      <w:r>
        <w:rPr>
          <w:rFonts w:hint="eastAsia" w:ascii="宋体" w:hAnsi="宋体"/>
          <w:color w:val="000000"/>
          <w:kern w:val="0"/>
          <w:szCs w:val="21"/>
        </w:rPr>
        <w:t>同当事人约定的施工组织设计应包括的其他内容：</w:t>
      </w:r>
      <w:permStart w:id="383" w:edGrp="everyone"/>
    </w:p>
    <w:permEnd w:id="383"/>
    <w:p>
      <w:pPr>
        <w:autoSpaceDE w:val="0"/>
        <w:autoSpaceDN w:val="0"/>
        <w:adjustRightInd w:val="0"/>
        <w:spacing w:line="360" w:lineRule="auto"/>
        <w:jc w:val="left"/>
        <w:rPr>
          <w:rFonts w:ascii="宋体" w:hAnsi="宋体"/>
          <w:color w:val="000000"/>
          <w:kern w:val="0"/>
          <w:szCs w:val="21"/>
        </w:rPr>
      </w:pP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szCs w:val="21"/>
        </w:rPr>
        <w:t xml:space="preserve">7.1.2 </w:t>
      </w:r>
      <w:r>
        <w:rPr>
          <w:rFonts w:hint="eastAsia" w:ascii="宋体" w:hAnsi="宋体"/>
          <w:color w:val="000000"/>
          <w:kern w:val="0"/>
          <w:szCs w:val="21"/>
        </w:rPr>
        <w:t>施工组织设计的提交和修改</w:t>
      </w:r>
    </w:p>
    <w:p>
      <w:pPr>
        <w:autoSpaceDE w:val="0"/>
        <w:autoSpaceDN w:val="0"/>
        <w:adjustRightInd w:val="0"/>
        <w:spacing w:line="360" w:lineRule="auto"/>
        <w:ind w:firstLine="420" w:firstLineChars="200"/>
        <w:jc w:val="left"/>
        <w:rPr>
          <w:rFonts w:ascii="宋体" w:hAnsi="宋体"/>
          <w:color w:val="000000"/>
          <w:szCs w:val="21"/>
        </w:rPr>
      </w:pPr>
      <w:r>
        <w:rPr>
          <w:rFonts w:hint="eastAsia" w:ascii="宋体" w:hAnsi="宋体"/>
          <w:color w:val="000000"/>
          <w:kern w:val="0"/>
          <w:szCs w:val="21"/>
        </w:rPr>
        <w:t>承包人提交详细施工组织设计的期限的约定：</w:t>
      </w:r>
      <w:permStart w:id="384" w:edGrp="everyone"/>
      <w:r>
        <w:rPr>
          <w:rFonts w:hint="eastAsia" w:ascii="宋体" w:hAnsi="宋体"/>
          <w:color w:val="000000"/>
          <w:kern w:val="0"/>
          <w:szCs w:val="21"/>
        </w:rPr>
        <w:t xml:space="preserve">                                 </w:t>
      </w:r>
      <w:permEnd w:id="384"/>
      <w:r>
        <w:rPr>
          <w:rFonts w:hint="eastAsia" w:ascii="宋体" w:hAnsi="宋体"/>
          <w:color w:val="000000"/>
          <w:szCs w:val="21"/>
        </w:rPr>
        <w:t>。</w:t>
      </w:r>
    </w:p>
    <w:p>
      <w:pPr>
        <w:spacing w:line="360" w:lineRule="auto"/>
        <w:ind w:firstLine="420" w:firstLineChars="200"/>
        <w:jc w:val="left"/>
        <w:rPr>
          <w:rFonts w:ascii="宋体" w:hAnsi="宋体"/>
          <w:color w:val="000000"/>
          <w:szCs w:val="21"/>
        </w:rPr>
      </w:pPr>
      <w:r>
        <w:rPr>
          <w:rFonts w:hint="eastAsia" w:ascii="宋体" w:hAnsi="宋体"/>
          <w:color w:val="000000"/>
          <w:szCs w:val="21"/>
        </w:rPr>
        <w:t>发包人和监理人在收到详细的施工组织设计后确认或提出修改意见的期限：</w:t>
      </w:r>
      <w:permStart w:id="385" w:edGrp="everyone"/>
      <w:r>
        <w:rPr>
          <w:rFonts w:hint="eastAsia" w:ascii="宋体" w:hAnsi="宋体"/>
          <w:color w:val="000000"/>
          <w:szCs w:val="21"/>
        </w:rPr>
        <w:t xml:space="preserve">          </w:t>
      </w:r>
      <w:permEnd w:id="385"/>
      <w:r>
        <w:rPr>
          <w:rFonts w:hint="eastAsia" w:ascii="宋体" w:hAnsi="宋体"/>
          <w:color w:val="000000"/>
          <w:szCs w:val="21"/>
        </w:rPr>
        <w:t>。</w:t>
      </w:r>
    </w:p>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7</w:t>
      </w:r>
      <w:bookmarkStart w:id="811" w:name="_Toc300934966"/>
      <w:bookmarkStart w:id="812" w:name="_Toc297123514"/>
      <w:bookmarkStart w:id="813" w:name="_Toc303539123"/>
      <w:bookmarkStart w:id="814" w:name="_Toc297216173"/>
      <w:bookmarkStart w:id="815" w:name="_Toc312677479"/>
      <w:bookmarkStart w:id="816" w:name="_Toc312678005"/>
      <w:bookmarkStart w:id="817" w:name="_Toc304295541"/>
      <w:r>
        <w:rPr>
          <w:rFonts w:ascii="黑体" w:hAnsi="黑体" w:eastAsia="黑体"/>
          <w:color w:val="000000"/>
          <w:szCs w:val="21"/>
        </w:rPr>
        <w:t xml:space="preserve">.2 </w:t>
      </w:r>
      <w:r>
        <w:rPr>
          <w:rFonts w:hint="eastAsia" w:ascii="黑体" w:hAnsi="黑体" w:eastAsia="黑体"/>
          <w:color w:val="000000"/>
          <w:szCs w:val="21"/>
        </w:rPr>
        <w:t>施工进度计划</w:t>
      </w:r>
    </w:p>
    <w:p>
      <w:pPr>
        <w:spacing w:line="360" w:lineRule="auto"/>
        <w:ind w:firstLine="420" w:firstLineChars="200"/>
        <w:jc w:val="left"/>
        <w:rPr>
          <w:rFonts w:ascii="宋体" w:hAnsi="宋体"/>
          <w:color w:val="000000"/>
          <w:szCs w:val="21"/>
        </w:rPr>
      </w:pPr>
      <w:r>
        <w:rPr>
          <w:rFonts w:ascii="宋体" w:hAnsi="宋体"/>
          <w:color w:val="000000"/>
          <w:szCs w:val="21"/>
        </w:rPr>
        <w:t xml:space="preserve">7.2.2 </w:t>
      </w:r>
      <w:r>
        <w:rPr>
          <w:rFonts w:hint="eastAsia" w:ascii="宋体" w:hAnsi="宋体"/>
          <w:color w:val="000000"/>
          <w:szCs w:val="21"/>
        </w:rPr>
        <w:t>施工进度计划的修订</w:t>
      </w:r>
    </w:p>
    <w:p>
      <w:pPr>
        <w:spacing w:line="360" w:lineRule="auto"/>
        <w:ind w:firstLine="420" w:firstLineChars="200"/>
        <w:jc w:val="left"/>
        <w:rPr>
          <w:rFonts w:ascii="宋体" w:hAnsi="宋体"/>
          <w:color w:val="000000"/>
          <w:szCs w:val="21"/>
        </w:rPr>
      </w:pPr>
      <w:r>
        <w:rPr>
          <w:rFonts w:hint="eastAsia" w:ascii="宋体" w:hAnsi="宋体"/>
          <w:color w:val="000000"/>
          <w:szCs w:val="21"/>
        </w:rPr>
        <w:t>发包人和监理人在收到修订的施工进度计划后确认或提出修改意见的期限：</w:t>
      </w:r>
      <w:permStart w:id="386" w:edGrp="everyone"/>
      <w:r>
        <w:rPr>
          <w:rFonts w:hint="eastAsia" w:ascii="宋体" w:hAnsi="宋体"/>
          <w:color w:val="000000"/>
          <w:szCs w:val="21"/>
        </w:rPr>
        <w:t xml:space="preserve"> </w:t>
      </w:r>
      <w:r>
        <w:rPr>
          <w:rFonts w:ascii="宋体" w:hAnsi="宋体"/>
          <w:color w:val="000000"/>
          <w:szCs w:val="21"/>
        </w:rPr>
        <w:t xml:space="preserve">                </w:t>
      </w:r>
      <w:permEnd w:id="386"/>
      <w:r>
        <w:rPr>
          <w:rFonts w:hint="eastAsia" w:ascii="宋体" w:hAnsi="宋体"/>
          <w:color w:val="000000"/>
          <w:szCs w:val="21"/>
        </w:rPr>
        <w:t>。</w:t>
      </w:r>
    </w:p>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 xml:space="preserve">7.3 </w:t>
      </w:r>
      <w:r>
        <w:rPr>
          <w:rFonts w:hint="eastAsia" w:ascii="黑体" w:hAnsi="黑体" w:eastAsia="黑体"/>
          <w:color w:val="000000"/>
          <w:szCs w:val="21"/>
        </w:rPr>
        <w:t>开工</w:t>
      </w:r>
    </w:p>
    <w:p>
      <w:pPr>
        <w:spacing w:line="360" w:lineRule="auto"/>
        <w:ind w:firstLine="420" w:firstLineChars="200"/>
        <w:jc w:val="left"/>
        <w:rPr>
          <w:rFonts w:ascii="宋体" w:hAnsi="宋体"/>
          <w:color w:val="000000"/>
          <w:szCs w:val="21"/>
        </w:rPr>
      </w:pPr>
      <w:r>
        <w:rPr>
          <w:rFonts w:ascii="宋体" w:hAnsi="宋体"/>
          <w:color w:val="000000"/>
          <w:szCs w:val="21"/>
        </w:rPr>
        <w:t xml:space="preserve">7.3.1 </w:t>
      </w:r>
      <w:r>
        <w:rPr>
          <w:rFonts w:hint="eastAsia" w:ascii="宋体" w:hAnsi="宋体"/>
          <w:color w:val="000000"/>
          <w:szCs w:val="21"/>
        </w:rPr>
        <w:t>开工准备</w:t>
      </w:r>
    </w:p>
    <w:p>
      <w:pPr>
        <w:spacing w:line="360" w:lineRule="auto"/>
        <w:ind w:firstLine="645"/>
        <w:jc w:val="left"/>
        <w:rPr>
          <w:rFonts w:ascii="宋体" w:hAnsi="宋体"/>
          <w:color w:val="000000"/>
          <w:szCs w:val="21"/>
          <w:u w:val="single"/>
        </w:rPr>
      </w:pPr>
      <w:r>
        <w:rPr>
          <w:rFonts w:hint="eastAsia" w:ascii="宋体" w:hAnsi="宋体"/>
          <w:color w:val="000000"/>
          <w:szCs w:val="21"/>
        </w:rPr>
        <w:t>关于承包人提交</w:t>
      </w:r>
      <w:r>
        <w:rPr>
          <w:rFonts w:hint="eastAsia" w:ascii="宋体" w:hAnsi="宋体"/>
          <w:color w:val="000000"/>
          <w:kern w:val="0"/>
          <w:szCs w:val="21"/>
        </w:rPr>
        <w:t>工程开工报审表的期限：</w:t>
      </w:r>
      <w:permStart w:id="387" w:edGrp="everyone"/>
      <w:r>
        <w:rPr>
          <w:rFonts w:hint="eastAsia" w:ascii="宋体" w:hAnsi="宋体"/>
          <w:color w:val="000000"/>
          <w:kern w:val="0"/>
          <w:szCs w:val="21"/>
        </w:rPr>
        <w:t xml:space="preserve">                              </w:t>
      </w:r>
      <w:permEnd w:id="387"/>
      <w:r>
        <w:rPr>
          <w:rFonts w:hint="eastAsia" w:ascii="宋体" w:hAnsi="宋体"/>
          <w:color w:val="000000"/>
          <w:szCs w:val="21"/>
        </w:rPr>
        <w:t>。</w:t>
      </w:r>
    </w:p>
    <w:p>
      <w:pPr>
        <w:spacing w:line="360" w:lineRule="auto"/>
        <w:ind w:firstLine="645"/>
        <w:jc w:val="left"/>
        <w:rPr>
          <w:rFonts w:ascii="宋体" w:hAnsi="宋体"/>
          <w:color w:val="000000"/>
          <w:szCs w:val="21"/>
          <w:u w:val="single"/>
        </w:rPr>
      </w:pPr>
      <w:r>
        <w:rPr>
          <w:rFonts w:hint="eastAsia" w:ascii="宋体" w:hAnsi="宋体"/>
          <w:color w:val="000000"/>
          <w:szCs w:val="21"/>
        </w:rPr>
        <w:t>关于发包人应完成的其他开工准备工作及期限：</w:t>
      </w:r>
      <w:permStart w:id="388" w:edGrp="everyone"/>
      <w:r>
        <w:rPr>
          <w:rFonts w:hint="eastAsia" w:ascii="宋体" w:hAnsi="宋体"/>
          <w:color w:val="000000"/>
          <w:szCs w:val="21"/>
        </w:rPr>
        <w:t xml:space="preserve">                      </w:t>
      </w:r>
    </w:p>
    <w:permEnd w:id="388"/>
    <w:p>
      <w:pPr>
        <w:spacing w:line="360" w:lineRule="auto"/>
        <w:jc w:val="left"/>
        <w:rPr>
          <w:rFonts w:ascii="宋体" w:hAnsi="宋体"/>
          <w:color w:val="000000"/>
          <w:szCs w:val="21"/>
        </w:rPr>
      </w:pPr>
    </w:p>
    <w:p>
      <w:pPr>
        <w:spacing w:line="360" w:lineRule="auto"/>
        <w:ind w:firstLine="420" w:firstLineChars="200"/>
        <w:jc w:val="left"/>
        <w:rPr>
          <w:rFonts w:ascii="宋体" w:hAnsi="宋体"/>
          <w:color w:val="000000"/>
          <w:szCs w:val="21"/>
          <w:u w:val="single"/>
        </w:rPr>
      </w:pPr>
      <w:r>
        <w:rPr>
          <w:rFonts w:hint="eastAsia" w:ascii="宋体" w:hAnsi="宋体"/>
          <w:color w:val="000000"/>
          <w:szCs w:val="21"/>
        </w:rPr>
        <w:t>关于承包人应完成的其他开工准备工作及期限：</w:t>
      </w:r>
      <w:permStart w:id="389" w:edGrp="everyone"/>
      <w:r>
        <w:rPr>
          <w:rFonts w:hint="eastAsia" w:ascii="宋体" w:hAnsi="宋体"/>
          <w:color w:val="000000"/>
          <w:szCs w:val="21"/>
        </w:rPr>
        <w:t xml:space="preserve"> </w:t>
      </w:r>
      <w:r>
        <w:rPr>
          <w:rFonts w:ascii="宋体" w:hAnsi="宋体"/>
          <w:color w:val="000000"/>
          <w:szCs w:val="21"/>
        </w:rPr>
        <w:t xml:space="preserve">                            </w:t>
      </w:r>
    </w:p>
    <w:permEnd w:id="389"/>
    <w:p>
      <w:pPr>
        <w:spacing w:line="360" w:lineRule="auto"/>
        <w:jc w:val="left"/>
        <w:rPr>
          <w:rFonts w:ascii="宋体" w:hAnsi="宋体"/>
          <w:color w:val="000000"/>
          <w:szCs w:val="21"/>
        </w:rPr>
      </w:pPr>
    </w:p>
    <w:p>
      <w:pPr>
        <w:spacing w:line="360" w:lineRule="auto"/>
        <w:ind w:firstLine="420" w:firstLineChars="200"/>
        <w:jc w:val="left"/>
        <w:rPr>
          <w:rFonts w:ascii="宋体" w:hAnsi="宋体"/>
          <w:color w:val="000000"/>
          <w:szCs w:val="21"/>
        </w:rPr>
      </w:pPr>
      <w:r>
        <w:rPr>
          <w:rFonts w:ascii="宋体" w:hAnsi="宋体"/>
          <w:color w:val="000000"/>
          <w:szCs w:val="21"/>
        </w:rPr>
        <w:t>7.3.2</w:t>
      </w:r>
      <w:r>
        <w:rPr>
          <w:rFonts w:hint="eastAsia" w:ascii="宋体" w:hAnsi="宋体"/>
          <w:color w:val="000000"/>
          <w:szCs w:val="21"/>
        </w:rPr>
        <w:t>开工通知</w:t>
      </w:r>
    </w:p>
    <w:p>
      <w:pPr>
        <w:spacing w:line="360" w:lineRule="auto"/>
        <w:ind w:firstLine="420" w:firstLineChars="200"/>
        <w:jc w:val="left"/>
        <w:rPr>
          <w:rFonts w:ascii="宋体" w:hAnsi="宋体"/>
          <w:color w:val="000000"/>
          <w:szCs w:val="21"/>
        </w:rPr>
      </w:pPr>
      <w:r>
        <w:rPr>
          <w:rFonts w:hint="eastAsia" w:ascii="宋体" w:hAnsi="宋体"/>
          <w:color w:val="000000"/>
          <w:szCs w:val="21"/>
        </w:rPr>
        <w:t>因发包人原因造成监理人未能在计划开工日期之日起</w:t>
      </w:r>
      <w:permStart w:id="390" w:edGrp="everyone"/>
      <w:r>
        <w:rPr>
          <w:rFonts w:hint="eastAsia" w:ascii="宋体" w:hAnsi="宋体"/>
          <w:color w:val="000000"/>
          <w:szCs w:val="21"/>
        </w:rPr>
        <w:t xml:space="preserve">                     </w:t>
      </w:r>
      <w:permEnd w:id="390"/>
      <w:r>
        <w:rPr>
          <w:rFonts w:hint="eastAsia" w:ascii="宋体" w:hAnsi="宋体"/>
          <w:color w:val="000000"/>
          <w:szCs w:val="21"/>
        </w:rPr>
        <w:t>天内发出开工通知的，承包人有权提出价格调整要求，或者解除合同。</w:t>
      </w:r>
    </w:p>
    <w:bookmarkEnd w:id="811"/>
    <w:bookmarkEnd w:id="812"/>
    <w:bookmarkEnd w:id="813"/>
    <w:bookmarkEnd w:id="814"/>
    <w:bookmarkEnd w:id="815"/>
    <w:bookmarkEnd w:id="816"/>
    <w:bookmarkEnd w:id="817"/>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 xml:space="preserve">7.4 </w:t>
      </w:r>
      <w:r>
        <w:rPr>
          <w:rFonts w:hint="eastAsia" w:ascii="黑体" w:hAnsi="黑体" w:eastAsia="黑体"/>
          <w:color w:val="000000"/>
          <w:szCs w:val="21"/>
        </w:rPr>
        <w:t>测量放线</w:t>
      </w:r>
    </w:p>
    <w:p>
      <w:pPr>
        <w:spacing w:line="360" w:lineRule="auto"/>
        <w:ind w:firstLine="420" w:firstLineChars="200"/>
        <w:jc w:val="left"/>
        <w:rPr>
          <w:rFonts w:ascii="宋体" w:hAnsi="宋体"/>
          <w:color w:val="000000"/>
          <w:szCs w:val="21"/>
          <w:u w:val="single"/>
        </w:rPr>
      </w:pPr>
      <w:r>
        <w:rPr>
          <w:rFonts w:ascii="宋体" w:hAnsi="宋体"/>
          <w:color w:val="000000"/>
          <w:szCs w:val="21"/>
        </w:rPr>
        <w:t>7.4.1</w:t>
      </w:r>
      <w:r>
        <w:rPr>
          <w:rFonts w:hint="eastAsia" w:ascii="宋体" w:hAnsi="宋体"/>
          <w:color w:val="000000"/>
          <w:szCs w:val="21"/>
        </w:rPr>
        <w:t>发包人通过监理人向承包人提供测量基准点、基准线和水准点及其书面资料的期限：</w:t>
      </w:r>
      <w:permStart w:id="391" w:edGrp="everyone"/>
      <w:r>
        <w:rPr>
          <w:rFonts w:hint="eastAsia" w:ascii="宋体" w:hAnsi="宋体"/>
          <w:color w:val="000000"/>
          <w:szCs w:val="21"/>
        </w:rPr>
        <w:t xml:space="preserve"> </w:t>
      </w:r>
      <w:r>
        <w:rPr>
          <w:rFonts w:ascii="宋体" w:hAnsi="宋体"/>
          <w:color w:val="000000"/>
          <w:szCs w:val="21"/>
        </w:rPr>
        <w:t xml:space="preserve">                                     </w:t>
      </w:r>
      <w:permEnd w:id="391"/>
      <w:r>
        <w:rPr>
          <w:rFonts w:hint="eastAsia" w:ascii="宋体" w:hAnsi="宋体"/>
          <w:color w:val="000000"/>
          <w:szCs w:val="21"/>
        </w:rPr>
        <w:t>。</w:t>
      </w:r>
    </w:p>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7</w:t>
      </w:r>
      <w:bookmarkStart w:id="818" w:name="_Toc303539125"/>
      <w:bookmarkStart w:id="819" w:name="_Toc297216175"/>
      <w:bookmarkStart w:id="820" w:name="_Toc297123516"/>
      <w:bookmarkStart w:id="821" w:name="_Toc300934968"/>
      <w:bookmarkStart w:id="822" w:name="_Toc312677484"/>
      <w:bookmarkStart w:id="823" w:name="_Toc312678010"/>
      <w:bookmarkStart w:id="824" w:name="_Toc304295546"/>
      <w:r>
        <w:rPr>
          <w:rFonts w:ascii="黑体" w:hAnsi="黑体" w:eastAsia="黑体"/>
          <w:color w:val="000000"/>
          <w:szCs w:val="21"/>
        </w:rPr>
        <w:t xml:space="preserve">.5 </w:t>
      </w:r>
      <w:r>
        <w:rPr>
          <w:rFonts w:hint="eastAsia" w:ascii="黑体" w:hAnsi="黑体" w:eastAsia="黑体"/>
          <w:color w:val="000000"/>
          <w:szCs w:val="21"/>
        </w:rPr>
        <w:t>工期延误</w:t>
      </w:r>
    </w:p>
    <w:bookmarkEnd w:id="818"/>
    <w:bookmarkEnd w:id="819"/>
    <w:bookmarkEnd w:id="820"/>
    <w:bookmarkEnd w:id="821"/>
    <w:bookmarkEnd w:id="822"/>
    <w:bookmarkEnd w:id="823"/>
    <w:bookmarkEnd w:id="824"/>
    <w:p>
      <w:pPr>
        <w:spacing w:line="360" w:lineRule="auto"/>
        <w:ind w:firstLine="420" w:firstLineChars="200"/>
        <w:jc w:val="left"/>
        <w:rPr>
          <w:rFonts w:ascii="宋体" w:hAnsi="宋体"/>
          <w:color w:val="000000"/>
          <w:szCs w:val="21"/>
        </w:rPr>
      </w:pPr>
      <w:r>
        <w:rPr>
          <w:rFonts w:ascii="宋体" w:hAnsi="宋体"/>
          <w:color w:val="000000"/>
          <w:szCs w:val="21"/>
        </w:rPr>
        <w:t xml:space="preserve">7.5.1 </w:t>
      </w:r>
      <w:r>
        <w:rPr>
          <w:rFonts w:hint="eastAsia" w:ascii="宋体" w:hAnsi="宋体"/>
          <w:color w:val="000000"/>
          <w:szCs w:val="21"/>
        </w:rPr>
        <w:t>因发包人原因导致工期延误</w:t>
      </w:r>
    </w:p>
    <w:p>
      <w:pPr>
        <w:spacing w:line="360" w:lineRule="auto"/>
        <w:ind w:firstLine="420" w:firstLineChars="200"/>
        <w:jc w:val="left"/>
        <w:rPr>
          <w:rFonts w:ascii="宋体" w:hAnsi="宋体"/>
          <w:color w:val="000000"/>
          <w:szCs w:val="21"/>
        </w:rPr>
      </w:pPr>
      <w:r>
        <w:rPr>
          <w:rFonts w:hint="eastAsia" w:ascii="宋体" w:hAnsi="宋体"/>
          <w:color w:val="000000"/>
          <w:szCs w:val="21"/>
        </w:rPr>
        <w:t>（</w:t>
      </w:r>
      <w:r>
        <w:rPr>
          <w:rFonts w:ascii="宋体" w:hAnsi="宋体"/>
          <w:color w:val="000000"/>
          <w:szCs w:val="21"/>
        </w:rPr>
        <w:t>7</w:t>
      </w:r>
      <w:r>
        <w:rPr>
          <w:rFonts w:hint="eastAsia" w:ascii="宋体" w:hAnsi="宋体"/>
          <w:color w:val="000000"/>
          <w:szCs w:val="21"/>
        </w:rPr>
        <w:t>）因发包人原因导致工期延误的其他情形：</w:t>
      </w:r>
      <w:permStart w:id="392" w:edGrp="everyone"/>
      <w:r>
        <w:rPr>
          <w:rFonts w:hint="eastAsia" w:ascii="宋体" w:hAnsi="宋体"/>
          <w:color w:val="000000"/>
          <w:szCs w:val="21"/>
        </w:rPr>
        <w:t xml:space="preserve"> </w:t>
      </w:r>
      <w:r>
        <w:rPr>
          <w:rFonts w:ascii="宋体" w:hAnsi="宋体"/>
          <w:color w:val="000000"/>
          <w:szCs w:val="21"/>
        </w:rPr>
        <w:t xml:space="preserve">                                  </w:t>
      </w:r>
      <w:permEnd w:id="392"/>
      <w:r>
        <w:rPr>
          <w:rFonts w:hint="eastAsia" w:ascii="宋体" w:hAnsi="宋体"/>
          <w:color w:val="000000"/>
          <w:szCs w:val="21"/>
        </w:rPr>
        <w:t>。</w:t>
      </w:r>
    </w:p>
    <w:p>
      <w:pPr>
        <w:spacing w:line="360" w:lineRule="auto"/>
        <w:ind w:firstLine="420" w:firstLineChars="200"/>
        <w:jc w:val="left"/>
        <w:rPr>
          <w:rFonts w:ascii="宋体" w:hAnsi="宋体"/>
          <w:color w:val="000000"/>
          <w:szCs w:val="21"/>
        </w:rPr>
      </w:pPr>
      <w:r>
        <w:rPr>
          <w:rFonts w:ascii="宋体" w:hAnsi="宋体"/>
          <w:color w:val="000000"/>
          <w:szCs w:val="21"/>
        </w:rPr>
        <w:t>7</w:t>
      </w:r>
      <w:bookmarkStart w:id="825" w:name="_Toc312677486"/>
      <w:bookmarkStart w:id="826" w:name="_Toc312678012"/>
      <w:bookmarkStart w:id="827" w:name="_Toc318581169"/>
      <w:bookmarkStart w:id="828" w:name="_Toc300934970"/>
      <w:bookmarkStart w:id="829" w:name="_Toc297216177"/>
      <w:bookmarkStart w:id="830" w:name="_Toc297123518"/>
      <w:bookmarkStart w:id="831" w:name="_Toc303539127"/>
      <w:bookmarkStart w:id="832" w:name="_Toc304295548"/>
      <w:r>
        <w:rPr>
          <w:rFonts w:ascii="宋体" w:hAnsi="宋体"/>
          <w:color w:val="000000"/>
          <w:szCs w:val="21"/>
        </w:rPr>
        <w:t xml:space="preserve">.5.2 </w:t>
      </w:r>
      <w:r>
        <w:rPr>
          <w:rFonts w:hint="eastAsia" w:ascii="宋体" w:hAnsi="宋体"/>
          <w:color w:val="000000"/>
          <w:szCs w:val="21"/>
        </w:rPr>
        <w:t>因承包人原因导致工期延误</w:t>
      </w:r>
    </w:p>
    <w:bookmarkEnd w:id="825"/>
    <w:bookmarkEnd w:id="826"/>
    <w:bookmarkEnd w:id="827"/>
    <w:p>
      <w:pPr>
        <w:spacing w:line="360" w:lineRule="auto"/>
        <w:ind w:firstLine="420" w:firstLineChars="200"/>
        <w:jc w:val="left"/>
        <w:rPr>
          <w:rFonts w:ascii="宋体" w:hAnsi="宋体"/>
          <w:color w:val="000000"/>
          <w:szCs w:val="21"/>
          <w:u w:val="single"/>
        </w:rPr>
      </w:pPr>
      <w:r>
        <w:rPr>
          <w:rFonts w:hint="eastAsia" w:ascii="宋体" w:hAnsi="宋体"/>
          <w:color w:val="000000"/>
          <w:szCs w:val="21"/>
        </w:rPr>
        <w:t>因</w:t>
      </w:r>
      <w:bookmarkStart w:id="833" w:name="_Toc312677487"/>
      <w:bookmarkStart w:id="834" w:name="_Toc312678013"/>
      <w:bookmarkStart w:id="835" w:name="_Toc318581170"/>
      <w:r>
        <w:rPr>
          <w:rFonts w:hint="eastAsia" w:ascii="宋体" w:hAnsi="宋体"/>
          <w:color w:val="000000"/>
          <w:szCs w:val="21"/>
        </w:rPr>
        <w:t xml:space="preserve">承包人原因造成工期延误，逾期竣工违约金的计算方法为： </w:t>
      </w:r>
      <w:permStart w:id="393" w:edGrp="everyone"/>
      <w:r>
        <w:rPr>
          <w:rFonts w:ascii="宋体" w:hAnsi="宋体"/>
          <w:color w:val="000000"/>
          <w:szCs w:val="21"/>
        </w:rPr>
        <w:t xml:space="preserve">                       </w:t>
      </w:r>
      <w:permEnd w:id="393"/>
      <w:bookmarkEnd w:id="828"/>
      <w:bookmarkEnd w:id="829"/>
      <w:bookmarkEnd w:id="830"/>
      <w:bookmarkEnd w:id="831"/>
      <w:bookmarkEnd w:id="832"/>
      <w:bookmarkEnd w:id="833"/>
      <w:bookmarkEnd w:id="834"/>
    </w:p>
    <w:bookmarkEnd w:id="835"/>
    <w:p>
      <w:pPr>
        <w:spacing w:line="360" w:lineRule="auto"/>
        <w:ind w:firstLine="420" w:firstLineChars="200"/>
        <w:jc w:val="left"/>
        <w:rPr>
          <w:rFonts w:ascii="宋体" w:hAnsi="宋体"/>
          <w:color w:val="000000"/>
          <w:szCs w:val="21"/>
        </w:rPr>
      </w:pPr>
      <w:r>
        <w:rPr>
          <w:rFonts w:hint="eastAsia" w:ascii="宋体" w:hAnsi="宋体"/>
          <w:color w:val="000000"/>
          <w:szCs w:val="21"/>
        </w:rPr>
        <w:t>因承包人原因造成工期延误，逾</w:t>
      </w:r>
      <w:bookmarkStart w:id="836" w:name="_Toc318581171"/>
      <w:bookmarkStart w:id="837" w:name="_Toc312678014"/>
      <w:r>
        <w:rPr>
          <w:rFonts w:hint="eastAsia" w:ascii="宋体" w:hAnsi="宋体"/>
          <w:color w:val="000000"/>
          <w:szCs w:val="21"/>
        </w:rPr>
        <w:t>期竣工违约金的上限：</w:t>
      </w:r>
      <w:permStart w:id="394" w:edGrp="everyone"/>
      <w:r>
        <w:rPr>
          <w:rFonts w:hint="eastAsia" w:ascii="宋体" w:hAnsi="宋体"/>
          <w:color w:val="000000"/>
          <w:szCs w:val="21"/>
        </w:rPr>
        <w:t xml:space="preserve"> </w:t>
      </w:r>
      <w:r>
        <w:rPr>
          <w:rFonts w:ascii="宋体" w:hAnsi="宋体"/>
          <w:color w:val="000000"/>
          <w:szCs w:val="21"/>
        </w:rPr>
        <w:t xml:space="preserve">                                 </w:t>
      </w:r>
      <w:permEnd w:id="394"/>
    </w:p>
    <w:bookmarkEnd w:id="836"/>
    <w:bookmarkEnd w:id="837"/>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7</w:t>
      </w:r>
      <w:bookmarkStart w:id="838" w:name="_Toc304295549"/>
      <w:bookmarkStart w:id="839" w:name="_Toc312678015"/>
      <w:bookmarkStart w:id="840" w:name="_Toc300934971"/>
      <w:bookmarkStart w:id="841" w:name="_Toc297216178"/>
      <w:bookmarkStart w:id="842" w:name="_Toc303539128"/>
      <w:bookmarkStart w:id="843" w:name="_Toc297123519"/>
      <w:r>
        <w:rPr>
          <w:rFonts w:ascii="黑体" w:hAnsi="黑体" w:eastAsia="黑体"/>
          <w:color w:val="000000"/>
          <w:szCs w:val="21"/>
        </w:rPr>
        <w:t xml:space="preserve">.6 </w:t>
      </w:r>
      <w:r>
        <w:rPr>
          <w:rFonts w:hint="eastAsia" w:ascii="黑体" w:hAnsi="黑体" w:eastAsia="黑体"/>
          <w:color w:val="000000"/>
          <w:szCs w:val="21"/>
        </w:rPr>
        <w:t>不</w:t>
      </w:r>
      <w:bookmarkEnd w:id="838"/>
      <w:bookmarkEnd w:id="839"/>
      <w:bookmarkEnd w:id="840"/>
      <w:bookmarkEnd w:id="841"/>
      <w:bookmarkEnd w:id="842"/>
      <w:bookmarkEnd w:id="843"/>
      <w:r>
        <w:rPr>
          <w:rFonts w:hint="eastAsia" w:ascii="黑体" w:hAnsi="黑体" w:eastAsia="黑体"/>
          <w:color w:val="000000"/>
          <w:szCs w:val="21"/>
        </w:rPr>
        <w:t>利物质条件</w:t>
      </w:r>
    </w:p>
    <w:p>
      <w:pPr>
        <w:spacing w:line="360" w:lineRule="auto"/>
        <w:ind w:firstLine="420" w:firstLineChars="200"/>
        <w:jc w:val="left"/>
        <w:rPr>
          <w:rFonts w:ascii="宋体" w:hAnsi="宋体"/>
          <w:color w:val="000000"/>
          <w:szCs w:val="21"/>
          <w:u w:val="single"/>
        </w:rPr>
      </w:pPr>
      <w:bookmarkStart w:id="844" w:name="_Toc297123520"/>
      <w:bookmarkStart w:id="845" w:name="_Toc318581172"/>
      <w:bookmarkStart w:id="846" w:name="_Toc304295550"/>
      <w:bookmarkStart w:id="847" w:name="_Toc303539129"/>
      <w:bookmarkStart w:id="848" w:name="_Toc297216179"/>
      <w:bookmarkStart w:id="849" w:name="_Toc300934972"/>
      <w:bookmarkStart w:id="850" w:name="_Toc312678016"/>
      <w:r>
        <w:rPr>
          <w:rFonts w:hint="eastAsia" w:ascii="宋体" w:hAnsi="宋体"/>
          <w:color w:val="000000"/>
          <w:szCs w:val="21"/>
        </w:rPr>
        <w:t>不利物质条件的其他情形和有关约定：</w:t>
      </w:r>
      <w:permStart w:id="395" w:edGrp="everyone"/>
    </w:p>
    <w:permEnd w:id="395"/>
    <w:p>
      <w:pPr>
        <w:spacing w:line="360" w:lineRule="auto"/>
        <w:jc w:val="left"/>
        <w:rPr>
          <w:rFonts w:ascii="宋体" w:hAnsi="宋体"/>
          <w:color w:val="000000"/>
          <w:szCs w:val="21"/>
        </w:rPr>
      </w:pPr>
    </w:p>
    <w:bookmarkEnd w:id="844"/>
    <w:bookmarkEnd w:id="845"/>
    <w:bookmarkEnd w:id="846"/>
    <w:bookmarkEnd w:id="847"/>
    <w:bookmarkEnd w:id="848"/>
    <w:bookmarkEnd w:id="849"/>
    <w:bookmarkEnd w:id="850"/>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7</w:t>
      </w:r>
      <w:bookmarkStart w:id="851" w:name="_Toc300934973"/>
      <w:bookmarkStart w:id="852" w:name="_Toc297123521"/>
      <w:bookmarkStart w:id="853" w:name="_Toc303539130"/>
      <w:bookmarkStart w:id="854" w:name="_Toc304295551"/>
      <w:bookmarkStart w:id="855" w:name="_Toc297216180"/>
      <w:bookmarkStart w:id="856" w:name="_Toc312678017"/>
      <w:r>
        <w:rPr>
          <w:rFonts w:ascii="黑体" w:hAnsi="黑体" w:eastAsia="黑体"/>
          <w:color w:val="000000"/>
          <w:szCs w:val="21"/>
        </w:rPr>
        <w:t>.7</w:t>
      </w:r>
      <w:r>
        <w:rPr>
          <w:rFonts w:hint="eastAsia" w:ascii="黑体" w:hAnsi="黑体" w:eastAsia="黑体"/>
          <w:color w:val="000000"/>
          <w:szCs w:val="21"/>
        </w:rPr>
        <w:t>异常恶劣的气候条件</w:t>
      </w:r>
    </w:p>
    <w:bookmarkEnd w:id="851"/>
    <w:bookmarkEnd w:id="852"/>
    <w:bookmarkEnd w:id="853"/>
    <w:bookmarkEnd w:id="854"/>
    <w:bookmarkEnd w:id="855"/>
    <w:bookmarkEnd w:id="856"/>
    <w:p>
      <w:pPr>
        <w:spacing w:line="360" w:lineRule="auto"/>
        <w:ind w:firstLine="420" w:firstLineChars="200"/>
        <w:jc w:val="left"/>
        <w:rPr>
          <w:rFonts w:ascii="宋体" w:hAnsi="宋体"/>
          <w:color w:val="000000"/>
          <w:szCs w:val="21"/>
        </w:rPr>
      </w:pPr>
      <w:r>
        <w:rPr>
          <w:rFonts w:hint="eastAsia" w:ascii="宋体" w:hAnsi="宋体"/>
          <w:color w:val="000000"/>
          <w:szCs w:val="21"/>
        </w:rPr>
        <w:t>发包人和承包人同意以下情形视为异常恶劣的气候条件：</w:t>
      </w:r>
    </w:p>
    <w:p>
      <w:pPr>
        <w:spacing w:line="360" w:lineRule="auto"/>
        <w:ind w:firstLine="420" w:firstLineChars="200"/>
        <w:jc w:val="left"/>
        <w:rPr>
          <w:rFonts w:ascii="宋体" w:hAns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w:t>
      </w:r>
      <w:permStart w:id="396" w:edGrp="everyone"/>
      <w:r>
        <w:rPr>
          <w:rFonts w:hint="eastAsia" w:ascii="宋体" w:hAnsi="宋体"/>
          <w:color w:val="000000"/>
          <w:szCs w:val="21"/>
        </w:rPr>
        <w:t xml:space="preserve"> </w:t>
      </w:r>
      <w:r>
        <w:rPr>
          <w:rFonts w:ascii="宋体" w:hAnsi="宋体"/>
          <w:color w:val="000000"/>
          <w:szCs w:val="21"/>
        </w:rPr>
        <w:t xml:space="preserve">                 </w:t>
      </w:r>
      <w:permEnd w:id="396"/>
      <w:r>
        <w:rPr>
          <w:rFonts w:hint="eastAsia" w:ascii="宋体" w:hAnsi="宋体"/>
          <w:color w:val="000000"/>
          <w:szCs w:val="21"/>
        </w:rPr>
        <w:t>；</w:t>
      </w:r>
    </w:p>
    <w:p>
      <w:pPr>
        <w:spacing w:line="360" w:lineRule="auto"/>
        <w:ind w:firstLine="420" w:firstLineChars="200"/>
        <w:jc w:val="left"/>
        <w:rPr>
          <w:rFonts w:ascii="宋体" w:hAns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w:t>
      </w:r>
      <w:permStart w:id="397" w:edGrp="everyone"/>
      <w:r>
        <w:rPr>
          <w:rFonts w:hint="eastAsia" w:ascii="宋体" w:hAnsi="宋体"/>
          <w:color w:val="000000"/>
          <w:szCs w:val="21"/>
        </w:rPr>
        <w:t xml:space="preserve">                  </w:t>
      </w:r>
      <w:permEnd w:id="397"/>
      <w:r>
        <w:rPr>
          <w:rFonts w:hint="eastAsia" w:ascii="宋体" w:hAnsi="宋体"/>
          <w:color w:val="000000"/>
          <w:szCs w:val="21"/>
        </w:rPr>
        <w:t>；</w:t>
      </w:r>
    </w:p>
    <w:p>
      <w:pPr>
        <w:spacing w:line="360" w:lineRule="auto"/>
        <w:ind w:firstLine="420" w:firstLineChars="200"/>
        <w:jc w:val="left"/>
        <w:rPr>
          <w:rFonts w:ascii="宋体" w:hAns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w:t>
      </w:r>
      <w:permStart w:id="398" w:edGrp="everyone"/>
      <w:r>
        <w:rPr>
          <w:rFonts w:hint="eastAsia" w:ascii="宋体" w:hAnsi="宋体"/>
          <w:color w:val="000000"/>
          <w:szCs w:val="21"/>
        </w:rPr>
        <w:t xml:space="preserve">                        。</w:t>
      </w:r>
    </w:p>
    <w:permEnd w:id="398"/>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 xml:space="preserve">7.9 </w:t>
      </w:r>
      <w:r>
        <w:rPr>
          <w:rFonts w:hint="eastAsia" w:ascii="黑体" w:hAnsi="黑体" w:eastAsia="黑体"/>
          <w:color w:val="000000"/>
          <w:szCs w:val="21"/>
        </w:rPr>
        <w:t>提前竣工的奖励</w:t>
      </w:r>
    </w:p>
    <w:p>
      <w:pPr>
        <w:spacing w:line="360" w:lineRule="auto"/>
        <w:ind w:firstLine="420" w:firstLineChars="200"/>
        <w:jc w:val="left"/>
        <w:rPr>
          <w:rFonts w:ascii="宋体" w:hAnsi="宋体"/>
          <w:color w:val="000000"/>
          <w:szCs w:val="21"/>
        </w:rPr>
      </w:pPr>
      <w:r>
        <w:rPr>
          <w:rFonts w:ascii="宋体" w:hAnsi="宋体"/>
          <w:color w:val="000000"/>
          <w:szCs w:val="21"/>
        </w:rPr>
        <w:t>7.9.2</w:t>
      </w:r>
      <w:r>
        <w:rPr>
          <w:rFonts w:hint="eastAsia" w:ascii="宋体" w:hAnsi="宋体"/>
          <w:color w:val="000000"/>
          <w:szCs w:val="21"/>
        </w:rPr>
        <w:t>提前竣工的奖励：</w:t>
      </w:r>
      <w:permStart w:id="399" w:edGrp="everyone"/>
      <w:r>
        <w:rPr>
          <w:rFonts w:hint="eastAsia" w:ascii="宋体" w:hAnsi="宋体"/>
          <w:color w:val="000000"/>
          <w:szCs w:val="21"/>
        </w:rPr>
        <w:t xml:space="preserve">                          </w:t>
      </w:r>
      <w:permEnd w:id="399"/>
      <w:r>
        <w:rPr>
          <w:rFonts w:hint="eastAsia" w:ascii="宋体" w:hAnsi="宋体"/>
          <w:color w:val="000000"/>
          <w:szCs w:val="21"/>
        </w:rPr>
        <w:t>。</w:t>
      </w:r>
    </w:p>
    <w:p>
      <w:pPr>
        <w:pStyle w:val="5"/>
        <w:spacing w:before="120" w:after="120" w:line="360" w:lineRule="auto"/>
        <w:rPr>
          <w:rFonts w:ascii="黑体" w:hAnsi="黑体"/>
          <w:b w:val="0"/>
          <w:color w:val="000000"/>
        </w:rPr>
      </w:pPr>
      <w:bookmarkStart w:id="857" w:name="_Toc114222830"/>
      <w:bookmarkStart w:id="858" w:name="_Toc362623195"/>
      <w:r>
        <w:rPr>
          <w:rFonts w:ascii="黑体" w:hAnsi="黑体"/>
          <w:b w:val="0"/>
          <w:color w:val="000000"/>
        </w:rPr>
        <w:t xml:space="preserve">8. </w:t>
      </w:r>
      <w:r>
        <w:rPr>
          <w:rFonts w:hint="eastAsia" w:ascii="黑体" w:hAnsi="黑体"/>
          <w:b w:val="0"/>
          <w:color w:val="000000"/>
        </w:rPr>
        <w:t>材料与设备</w:t>
      </w:r>
      <w:bookmarkEnd w:id="857"/>
      <w:bookmarkEnd w:id="858"/>
    </w:p>
    <w:bookmarkEnd w:id="790"/>
    <w:bookmarkEnd w:id="791"/>
    <w:bookmarkEnd w:id="792"/>
    <w:bookmarkEnd w:id="793"/>
    <w:bookmarkEnd w:id="794"/>
    <w:bookmarkEnd w:id="795"/>
    <w:bookmarkEnd w:id="796"/>
    <w:bookmarkEnd w:id="797"/>
    <w:bookmarkEnd w:id="798"/>
    <w:bookmarkEnd w:id="799"/>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8</w:t>
      </w:r>
      <w:bookmarkStart w:id="859" w:name="_Toc300934979"/>
      <w:bookmarkStart w:id="860" w:name="_Toc304295556"/>
      <w:bookmarkStart w:id="861" w:name="_Toc303539136"/>
      <w:bookmarkStart w:id="862" w:name="_Toc297048353"/>
      <w:bookmarkStart w:id="863" w:name="_Toc296944506"/>
      <w:bookmarkStart w:id="864" w:name="_Toc297120467"/>
      <w:bookmarkStart w:id="865" w:name="_Toc296891207"/>
      <w:bookmarkStart w:id="866" w:name="_Toc292559372"/>
      <w:bookmarkStart w:id="867" w:name="_Toc296890995"/>
      <w:bookmarkStart w:id="868" w:name="_Toc296503167"/>
      <w:bookmarkStart w:id="869" w:name="_Toc312678019"/>
      <w:bookmarkStart w:id="870" w:name="_Toc312677493"/>
      <w:bookmarkStart w:id="871" w:name="_Toc296347166"/>
      <w:bookmarkStart w:id="872" w:name="_Toc296346668"/>
      <w:bookmarkStart w:id="873" w:name="_Toc292559877"/>
      <w:bookmarkStart w:id="874" w:name="_Toc297216186"/>
      <w:bookmarkStart w:id="875" w:name="_Toc297123527"/>
      <w:bookmarkStart w:id="876" w:name="_Toc280868654"/>
      <w:bookmarkStart w:id="877" w:name="_Toc267251424"/>
      <w:bookmarkStart w:id="878" w:name="_Toc280868655"/>
      <w:bookmarkStart w:id="879" w:name="_Toc280868656"/>
      <w:r>
        <w:rPr>
          <w:rFonts w:ascii="黑体" w:hAnsi="黑体" w:eastAsia="黑体"/>
          <w:color w:val="000000"/>
          <w:szCs w:val="21"/>
        </w:rPr>
        <w:t>.4</w:t>
      </w:r>
      <w:r>
        <w:rPr>
          <w:rFonts w:hint="eastAsia" w:ascii="黑体" w:hAnsi="黑体" w:eastAsia="黑体"/>
          <w:color w:val="000000"/>
          <w:szCs w:val="21"/>
        </w:rPr>
        <w:t>材料与工程设备的保管与使用</w:t>
      </w:r>
    </w:p>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pPr>
        <w:spacing w:line="360" w:lineRule="auto"/>
        <w:ind w:firstLine="420" w:firstLineChars="200"/>
        <w:jc w:val="left"/>
        <w:rPr>
          <w:rFonts w:ascii="宋体" w:hAnsi="宋体"/>
          <w:color w:val="000000"/>
          <w:szCs w:val="21"/>
          <w:u w:val="single"/>
        </w:rPr>
      </w:pPr>
      <w:r>
        <w:rPr>
          <w:rFonts w:ascii="宋体" w:hAnsi="宋体"/>
          <w:color w:val="000000"/>
          <w:szCs w:val="21"/>
        </w:rPr>
        <w:t>8</w:t>
      </w:r>
      <w:bookmarkStart w:id="880" w:name="_Toc292559878"/>
      <w:bookmarkStart w:id="881" w:name="_Toc292559373"/>
      <w:bookmarkStart w:id="882" w:name="_Toc318581173"/>
      <w:bookmarkStart w:id="883" w:name="_Toc296944507"/>
      <w:bookmarkStart w:id="884" w:name="_Toc297120468"/>
      <w:bookmarkStart w:id="885" w:name="_Toc296891208"/>
      <w:bookmarkStart w:id="886" w:name="_Toc296503168"/>
      <w:bookmarkStart w:id="887" w:name="_Toc312677494"/>
      <w:bookmarkStart w:id="888" w:name="_Toc296890996"/>
      <w:bookmarkStart w:id="889" w:name="_Toc304295557"/>
      <w:bookmarkStart w:id="890" w:name="_Toc297216187"/>
      <w:bookmarkStart w:id="891" w:name="_Toc300934980"/>
      <w:bookmarkStart w:id="892" w:name="_Toc296346669"/>
      <w:bookmarkStart w:id="893" w:name="_Toc303539137"/>
      <w:bookmarkStart w:id="894" w:name="_Toc312678020"/>
      <w:bookmarkStart w:id="895" w:name="_Toc297048354"/>
      <w:bookmarkStart w:id="896" w:name="_Toc296347167"/>
      <w:bookmarkStart w:id="897" w:name="_Toc297123528"/>
      <w:r>
        <w:rPr>
          <w:rFonts w:ascii="宋体" w:hAnsi="宋体"/>
          <w:color w:val="000000"/>
          <w:szCs w:val="21"/>
        </w:rPr>
        <w:t>.4.1</w:t>
      </w:r>
      <w:r>
        <w:rPr>
          <w:rFonts w:hint="eastAsia" w:ascii="宋体" w:hAnsi="宋体"/>
          <w:color w:val="000000"/>
          <w:szCs w:val="21"/>
        </w:rPr>
        <w:t>发包人供应的材料设备的保管费用的承担：</w:t>
      </w:r>
      <w:permStart w:id="400" w:edGrp="everyone"/>
      <w:r>
        <w:rPr>
          <w:rFonts w:hint="eastAsia" w:ascii="宋体" w:hAnsi="宋体"/>
          <w:color w:val="000000"/>
          <w:szCs w:val="21"/>
        </w:rPr>
        <w:t xml:space="preserve">                      </w:t>
      </w:r>
      <w:permEnd w:id="400"/>
    </w:p>
    <w:bookmarkEnd w:id="880"/>
    <w:bookmarkEnd w:id="881"/>
    <w:p>
      <w:pPr>
        <w:spacing w:line="360" w:lineRule="auto"/>
        <w:jc w:val="left"/>
        <w:rPr>
          <w:rFonts w:ascii="宋体" w:hAnsi="宋体"/>
          <w:color w:val="000000"/>
          <w:szCs w:val="21"/>
        </w:rPr>
      </w:pPr>
    </w:p>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 xml:space="preserve">8.6 </w:t>
      </w:r>
      <w:r>
        <w:rPr>
          <w:rFonts w:hint="eastAsia" w:ascii="黑体" w:hAnsi="黑体" w:eastAsia="黑体"/>
          <w:color w:val="000000"/>
          <w:szCs w:val="21"/>
        </w:rPr>
        <w:t>样品</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8.6.1</w:t>
      </w:r>
      <w:r>
        <w:rPr>
          <w:rFonts w:ascii="宋体" w:hAnsi="宋体"/>
          <w:color w:val="000000"/>
          <w:kern w:val="0"/>
          <w:szCs w:val="21"/>
        </w:rPr>
        <w:tab/>
      </w:r>
      <w:r>
        <w:rPr>
          <w:rFonts w:hint="eastAsia" w:ascii="宋体" w:hAnsi="宋体"/>
          <w:color w:val="000000"/>
          <w:kern w:val="0"/>
          <w:szCs w:val="21"/>
        </w:rPr>
        <w:t>样品的报送与封存</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需要承包人报送样品的材料或工程设备，样品的种类、名称、规格、数量要求：</w:t>
      </w:r>
      <w:permStart w:id="401" w:edGrp="everyone"/>
      <w:r>
        <w:rPr>
          <w:rFonts w:hint="eastAsia" w:ascii="宋体" w:hAnsi="宋体"/>
          <w:color w:val="000000"/>
          <w:kern w:val="0"/>
          <w:szCs w:val="21"/>
        </w:rPr>
        <w:t xml:space="preserve">               </w:t>
      </w:r>
    </w:p>
    <w:permEnd w:id="401"/>
    <w:p>
      <w:pPr>
        <w:autoSpaceDE w:val="0"/>
        <w:autoSpaceDN w:val="0"/>
        <w:adjustRightInd w:val="0"/>
        <w:spacing w:line="360" w:lineRule="auto"/>
        <w:ind w:firstLine="420" w:firstLineChars="200"/>
        <w:jc w:val="left"/>
        <w:rPr>
          <w:rFonts w:ascii="宋体" w:hAnsi="宋体"/>
          <w:color w:val="000000"/>
          <w:kern w:val="0"/>
          <w:szCs w:val="21"/>
        </w:rPr>
      </w:pPr>
      <w:r>
        <w:rPr>
          <w:rFonts w:ascii="黑体" w:hAnsi="黑体" w:eastAsia="黑体"/>
          <w:color w:val="000000"/>
          <w:szCs w:val="21"/>
        </w:rPr>
        <w:t xml:space="preserve">8.8 </w:t>
      </w:r>
      <w:r>
        <w:rPr>
          <w:rFonts w:hint="eastAsia" w:ascii="黑体" w:hAnsi="黑体" w:eastAsia="黑体"/>
          <w:color w:val="000000"/>
          <w:szCs w:val="21"/>
        </w:rPr>
        <w:t>施工设备和临时设施</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szCs w:val="21"/>
        </w:rPr>
        <w:t xml:space="preserve">8.8.1 </w:t>
      </w:r>
      <w:r>
        <w:rPr>
          <w:rFonts w:hint="eastAsia" w:ascii="宋体" w:hAnsi="宋体"/>
          <w:color w:val="000000"/>
          <w:szCs w:val="21"/>
        </w:rPr>
        <w:t>承包人提供的施工设备和临时设施</w:t>
      </w:r>
    </w:p>
    <w:p>
      <w:pPr>
        <w:autoSpaceDE w:val="0"/>
        <w:autoSpaceDN w:val="0"/>
        <w:adjustRightInd w:val="0"/>
        <w:spacing w:line="360" w:lineRule="auto"/>
        <w:ind w:firstLine="420" w:firstLineChars="200"/>
        <w:jc w:val="left"/>
        <w:rPr>
          <w:rFonts w:ascii="宋体" w:hAnsi="宋体"/>
          <w:color w:val="000000"/>
          <w:szCs w:val="21"/>
          <w:u w:val="single"/>
        </w:rPr>
      </w:pPr>
      <w:r>
        <w:rPr>
          <w:rFonts w:hint="eastAsia" w:ascii="宋体" w:hAnsi="宋体"/>
          <w:color w:val="000000"/>
          <w:szCs w:val="21"/>
        </w:rPr>
        <w:t>关于修建临时设施费用承担的约定：</w:t>
      </w:r>
      <w:permStart w:id="402" w:edGrp="everyone"/>
    </w:p>
    <w:permEnd w:id="402"/>
    <w:p>
      <w:pPr>
        <w:autoSpaceDE w:val="0"/>
        <w:autoSpaceDN w:val="0"/>
        <w:adjustRightInd w:val="0"/>
        <w:spacing w:line="360" w:lineRule="auto"/>
        <w:jc w:val="left"/>
        <w:rPr>
          <w:rFonts w:ascii="宋体" w:hAnsi="宋体"/>
          <w:color w:val="000000"/>
          <w:szCs w:val="21"/>
        </w:rPr>
      </w:pPr>
    </w:p>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p>
      <w:pPr>
        <w:pStyle w:val="5"/>
        <w:spacing w:before="120" w:after="120" w:line="360" w:lineRule="auto"/>
        <w:rPr>
          <w:rFonts w:ascii="黑体" w:hAnsi="黑体"/>
          <w:b w:val="0"/>
          <w:color w:val="000000"/>
        </w:rPr>
      </w:pPr>
      <w:bookmarkStart w:id="898" w:name="_Toc362623196"/>
      <w:bookmarkStart w:id="899" w:name="_Toc114222831"/>
      <w:r>
        <w:rPr>
          <w:rFonts w:ascii="黑体" w:hAnsi="黑体"/>
          <w:b w:val="0"/>
          <w:color w:val="000000"/>
        </w:rPr>
        <w:t>9</w:t>
      </w:r>
      <w:bookmarkEnd w:id="877"/>
      <w:bookmarkEnd w:id="878"/>
      <w:bookmarkEnd w:id="879"/>
      <w:bookmarkStart w:id="900" w:name="_Toc303539139"/>
      <w:bookmarkStart w:id="901" w:name="_Toc312677495"/>
      <w:bookmarkStart w:id="902" w:name="_Toc300934982"/>
      <w:bookmarkStart w:id="903" w:name="_Toc312678021"/>
      <w:bookmarkStart w:id="904" w:name="_Toc297123533"/>
      <w:bookmarkStart w:id="905" w:name="_Toc304295559"/>
      <w:bookmarkStart w:id="906" w:name="_Toc297216192"/>
      <w:bookmarkStart w:id="907" w:name="_Toc296891213"/>
      <w:bookmarkStart w:id="908" w:name="_Toc296346674"/>
      <w:bookmarkStart w:id="909" w:name="_Toc267251428"/>
      <w:bookmarkStart w:id="910" w:name="_Toc296891001"/>
      <w:bookmarkStart w:id="911" w:name="_Toc296347172"/>
      <w:bookmarkStart w:id="912" w:name="_Toc297120473"/>
      <w:bookmarkStart w:id="913" w:name="_Toc292559378"/>
      <w:bookmarkStart w:id="914" w:name="_Toc296944512"/>
      <w:bookmarkStart w:id="915" w:name="_Toc292559883"/>
      <w:bookmarkStart w:id="916" w:name="_Toc296503173"/>
      <w:bookmarkStart w:id="917" w:name="_Toc267251427"/>
      <w:bookmarkStart w:id="918" w:name="_Toc297048359"/>
      <w:r>
        <w:rPr>
          <w:rFonts w:ascii="黑体" w:hAnsi="黑体"/>
          <w:b w:val="0"/>
          <w:color w:val="000000"/>
        </w:rPr>
        <w:t xml:space="preserve">. </w:t>
      </w:r>
      <w:r>
        <w:rPr>
          <w:rFonts w:hint="eastAsia" w:ascii="黑体" w:hAnsi="黑体"/>
          <w:b w:val="0"/>
          <w:color w:val="000000"/>
        </w:rPr>
        <w:t>试验与检验</w:t>
      </w:r>
      <w:bookmarkEnd w:id="898"/>
      <w:bookmarkEnd w:id="899"/>
    </w:p>
    <w:bookmarkEnd w:id="900"/>
    <w:bookmarkEnd w:id="901"/>
    <w:bookmarkEnd w:id="902"/>
    <w:bookmarkEnd w:id="903"/>
    <w:bookmarkEnd w:id="904"/>
    <w:bookmarkEnd w:id="905"/>
    <w:bookmarkEnd w:id="906"/>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9</w:t>
      </w:r>
      <w:bookmarkStart w:id="919" w:name="_Toc297123534"/>
      <w:bookmarkStart w:id="920" w:name="_Toc303539140"/>
      <w:bookmarkStart w:id="921" w:name="_Toc312677496"/>
      <w:bookmarkStart w:id="922" w:name="_Toc300934983"/>
      <w:bookmarkStart w:id="923" w:name="_Toc297216193"/>
      <w:bookmarkStart w:id="924" w:name="_Toc304295560"/>
      <w:bookmarkStart w:id="925" w:name="_Toc312678022"/>
      <w:r>
        <w:rPr>
          <w:rFonts w:ascii="黑体" w:hAnsi="黑体" w:eastAsia="黑体"/>
          <w:color w:val="000000"/>
          <w:szCs w:val="21"/>
        </w:rPr>
        <w:t>.1</w:t>
      </w:r>
      <w:r>
        <w:rPr>
          <w:rFonts w:hint="eastAsia" w:ascii="黑体" w:hAnsi="黑体" w:eastAsia="黑体"/>
          <w:color w:val="000000"/>
          <w:szCs w:val="21"/>
        </w:rPr>
        <w:t>试验设备与试验人员</w:t>
      </w:r>
    </w:p>
    <w:bookmarkEnd w:id="919"/>
    <w:bookmarkEnd w:id="920"/>
    <w:bookmarkEnd w:id="921"/>
    <w:bookmarkEnd w:id="922"/>
    <w:bookmarkEnd w:id="923"/>
    <w:bookmarkEnd w:id="924"/>
    <w:bookmarkEnd w:id="925"/>
    <w:p>
      <w:pPr>
        <w:spacing w:line="360" w:lineRule="auto"/>
        <w:ind w:firstLine="420" w:firstLineChars="200"/>
        <w:jc w:val="left"/>
        <w:rPr>
          <w:rFonts w:ascii="宋体" w:hAnsi="宋体"/>
          <w:color w:val="000000"/>
          <w:szCs w:val="21"/>
        </w:rPr>
      </w:pPr>
      <w:r>
        <w:rPr>
          <w:rFonts w:ascii="宋体" w:hAnsi="宋体"/>
          <w:color w:val="000000"/>
          <w:szCs w:val="21"/>
        </w:rPr>
        <w:t>9</w:t>
      </w:r>
      <w:bookmarkStart w:id="926" w:name="_Toc312677497"/>
      <w:bookmarkStart w:id="927" w:name="_Toc297123535"/>
      <w:bookmarkStart w:id="928" w:name="_Toc300934984"/>
      <w:bookmarkStart w:id="929" w:name="_Toc312678023"/>
      <w:bookmarkStart w:id="930" w:name="_Toc304295561"/>
      <w:bookmarkStart w:id="931" w:name="_Toc297216194"/>
      <w:bookmarkStart w:id="932" w:name="_Toc303539141"/>
      <w:bookmarkStart w:id="933" w:name="_Toc318581174"/>
      <w:r>
        <w:rPr>
          <w:rFonts w:ascii="宋体" w:hAnsi="宋体"/>
          <w:color w:val="000000"/>
          <w:szCs w:val="21"/>
        </w:rPr>
        <w:t xml:space="preserve">.1.2 </w:t>
      </w:r>
      <w:r>
        <w:rPr>
          <w:rFonts w:hint="eastAsia" w:ascii="宋体" w:hAnsi="宋体"/>
          <w:color w:val="000000"/>
          <w:szCs w:val="21"/>
        </w:rPr>
        <w:t>试验设备</w:t>
      </w:r>
    </w:p>
    <w:p>
      <w:pPr>
        <w:spacing w:line="360" w:lineRule="auto"/>
        <w:ind w:firstLine="420" w:firstLineChars="200"/>
        <w:jc w:val="left"/>
        <w:rPr>
          <w:rFonts w:ascii="宋体" w:hAnsi="宋体"/>
          <w:color w:val="000000"/>
          <w:szCs w:val="21"/>
          <w:u w:val="single"/>
        </w:rPr>
      </w:pPr>
      <w:r>
        <w:rPr>
          <w:rFonts w:hint="eastAsia" w:ascii="宋体" w:hAnsi="宋体"/>
          <w:color w:val="000000"/>
          <w:szCs w:val="21"/>
        </w:rPr>
        <w:t>施工现场需要配置的试验场所：</w:t>
      </w:r>
      <w:bookmarkEnd w:id="926"/>
      <w:bookmarkEnd w:id="927"/>
      <w:bookmarkEnd w:id="928"/>
      <w:bookmarkEnd w:id="929"/>
      <w:bookmarkEnd w:id="930"/>
      <w:bookmarkEnd w:id="931"/>
      <w:bookmarkEnd w:id="932"/>
      <w:permStart w:id="403" w:edGrp="everyone"/>
      <w:bookmarkStart w:id="934" w:name="_Toc312677498"/>
      <w:bookmarkStart w:id="935" w:name="_Toc297216195"/>
      <w:bookmarkStart w:id="936" w:name="_Toc304295562"/>
      <w:bookmarkStart w:id="937" w:name="_Toc312678024"/>
      <w:bookmarkStart w:id="938" w:name="_Toc300934985"/>
      <w:bookmarkStart w:id="939" w:name="_Toc297123536"/>
      <w:bookmarkStart w:id="940" w:name="_Toc303539142"/>
    </w:p>
    <w:permEnd w:id="403"/>
    <w:p>
      <w:pPr>
        <w:spacing w:line="360" w:lineRule="auto"/>
        <w:jc w:val="left"/>
        <w:rPr>
          <w:rFonts w:ascii="宋体" w:hAnsi="宋体"/>
          <w:color w:val="000000"/>
          <w:szCs w:val="21"/>
        </w:rPr>
      </w:pPr>
    </w:p>
    <w:p>
      <w:pPr>
        <w:spacing w:line="360" w:lineRule="auto"/>
        <w:ind w:firstLine="420" w:firstLineChars="200"/>
        <w:jc w:val="left"/>
        <w:rPr>
          <w:rFonts w:ascii="宋体" w:hAnsi="宋体"/>
          <w:color w:val="000000"/>
          <w:szCs w:val="21"/>
          <w:u w:val="single"/>
        </w:rPr>
      </w:pPr>
      <w:r>
        <w:rPr>
          <w:rFonts w:hint="eastAsia" w:ascii="宋体" w:hAnsi="宋体"/>
          <w:color w:val="000000"/>
          <w:szCs w:val="21"/>
        </w:rPr>
        <w:t>施工现场需要配备的试验设备：</w:t>
      </w:r>
      <w:permStart w:id="404" w:edGrp="everyone"/>
    </w:p>
    <w:permEnd w:id="404"/>
    <w:p>
      <w:pPr>
        <w:spacing w:line="360" w:lineRule="auto"/>
        <w:jc w:val="left"/>
        <w:rPr>
          <w:rFonts w:ascii="宋体" w:hAnsi="宋体"/>
          <w:color w:val="000000"/>
          <w:szCs w:val="21"/>
        </w:rPr>
      </w:pPr>
    </w:p>
    <w:p>
      <w:pPr>
        <w:spacing w:line="360" w:lineRule="auto"/>
        <w:ind w:firstLine="420" w:firstLineChars="200"/>
        <w:jc w:val="left"/>
        <w:rPr>
          <w:rFonts w:ascii="宋体" w:hAnsi="宋体"/>
          <w:color w:val="000000"/>
          <w:szCs w:val="21"/>
          <w:u w:val="single"/>
        </w:rPr>
      </w:pPr>
      <w:r>
        <w:rPr>
          <w:rFonts w:hint="eastAsia" w:ascii="宋体" w:hAnsi="宋体"/>
          <w:color w:val="000000"/>
          <w:szCs w:val="21"/>
        </w:rPr>
        <w:t>施工现场需要具备的其他试验条件：</w:t>
      </w:r>
      <w:permStart w:id="405" w:edGrp="everyone"/>
    </w:p>
    <w:permEnd w:id="405"/>
    <w:p>
      <w:pPr>
        <w:spacing w:line="360" w:lineRule="auto"/>
        <w:jc w:val="left"/>
        <w:rPr>
          <w:rFonts w:ascii="宋体" w:hAnsi="宋体"/>
          <w:color w:val="000000"/>
          <w:szCs w:val="21"/>
        </w:rPr>
      </w:pPr>
    </w:p>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 xml:space="preserve">9.4 </w:t>
      </w:r>
      <w:r>
        <w:rPr>
          <w:rFonts w:hint="eastAsia" w:ascii="黑体" w:hAnsi="黑体" w:eastAsia="黑体"/>
          <w:color w:val="000000"/>
          <w:szCs w:val="21"/>
        </w:rPr>
        <w:t>现场工艺试验</w:t>
      </w:r>
    </w:p>
    <w:p>
      <w:pPr>
        <w:spacing w:line="360" w:lineRule="auto"/>
        <w:ind w:firstLine="420" w:firstLineChars="200"/>
        <w:jc w:val="left"/>
        <w:rPr>
          <w:rFonts w:ascii="宋体" w:hAnsi="宋体"/>
          <w:color w:val="000000"/>
          <w:szCs w:val="21"/>
          <w:u w:val="single"/>
        </w:rPr>
      </w:pPr>
      <w:r>
        <w:rPr>
          <w:rFonts w:hint="eastAsia" w:ascii="宋体" w:hAnsi="宋体"/>
          <w:color w:val="000000"/>
          <w:szCs w:val="21"/>
        </w:rPr>
        <w:t>现场工艺试验的有关约定：</w:t>
      </w:r>
      <w:permStart w:id="406" w:edGrp="everyone"/>
    </w:p>
    <w:permEnd w:id="406"/>
    <w:p>
      <w:pPr>
        <w:spacing w:line="360" w:lineRule="auto"/>
        <w:jc w:val="left"/>
        <w:rPr>
          <w:rFonts w:ascii="宋体" w:hAnsi="宋体"/>
          <w:color w:val="000000"/>
          <w:szCs w:val="21"/>
        </w:rPr>
      </w:pPr>
    </w:p>
    <w:bookmarkEnd w:id="933"/>
    <w:bookmarkEnd w:id="934"/>
    <w:bookmarkEnd w:id="935"/>
    <w:bookmarkEnd w:id="936"/>
    <w:bookmarkEnd w:id="937"/>
    <w:bookmarkEnd w:id="938"/>
    <w:bookmarkEnd w:id="939"/>
    <w:bookmarkEnd w:id="940"/>
    <w:p>
      <w:pPr>
        <w:pStyle w:val="5"/>
        <w:spacing w:before="120" w:after="120" w:line="360" w:lineRule="auto"/>
        <w:rPr>
          <w:rFonts w:ascii="黑体" w:hAnsi="黑体"/>
          <w:b w:val="0"/>
          <w:color w:val="000000"/>
        </w:rPr>
      </w:pPr>
      <w:bookmarkStart w:id="941" w:name="_Toc362623197"/>
      <w:bookmarkStart w:id="942" w:name="_Toc114222832"/>
      <w:r>
        <w:rPr>
          <w:rFonts w:ascii="黑体" w:hAnsi="黑体"/>
          <w:b w:val="0"/>
          <w:color w:val="000000"/>
        </w:rPr>
        <w:t>1</w:t>
      </w:r>
      <w:bookmarkEnd w:id="907"/>
      <w:bookmarkEnd w:id="908"/>
      <w:bookmarkEnd w:id="909"/>
      <w:bookmarkEnd w:id="910"/>
      <w:bookmarkEnd w:id="911"/>
      <w:bookmarkEnd w:id="912"/>
      <w:bookmarkEnd w:id="913"/>
      <w:bookmarkEnd w:id="914"/>
      <w:bookmarkEnd w:id="915"/>
      <w:bookmarkEnd w:id="916"/>
      <w:bookmarkEnd w:id="917"/>
      <w:bookmarkEnd w:id="918"/>
      <w:bookmarkStart w:id="943" w:name="_Toc296503193"/>
      <w:bookmarkStart w:id="944" w:name="_Toc303539146"/>
      <w:bookmarkStart w:id="945" w:name="_Toc292559398"/>
      <w:bookmarkStart w:id="946" w:name="_Toc297120493"/>
      <w:bookmarkStart w:id="947" w:name="_Toc296891233"/>
      <w:bookmarkStart w:id="948" w:name="_Toc296944532"/>
      <w:bookmarkStart w:id="949" w:name="_Toc296347192"/>
      <w:bookmarkStart w:id="950" w:name="_Toc297216199"/>
      <w:bookmarkStart w:id="951" w:name="_Toc297123540"/>
      <w:bookmarkStart w:id="952" w:name="_Toc300934989"/>
      <w:bookmarkStart w:id="953" w:name="_Toc297048379"/>
      <w:bookmarkStart w:id="954" w:name="_Toc292559903"/>
      <w:bookmarkStart w:id="955" w:name="_Toc296891021"/>
      <w:bookmarkStart w:id="956" w:name="_Toc296346694"/>
      <w:bookmarkStart w:id="957" w:name="_Toc304295566"/>
      <w:bookmarkStart w:id="958" w:name="_Toc312678025"/>
      <w:bookmarkStart w:id="959" w:name="_Toc312677499"/>
      <w:bookmarkStart w:id="960" w:name="_Toc267251437"/>
      <w:bookmarkStart w:id="961" w:name="_Toc267251440"/>
      <w:bookmarkStart w:id="962" w:name="_Toc267251439"/>
      <w:bookmarkStart w:id="963" w:name="_Toc267251435"/>
      <w:bookmarkStart w:id="964" w:name="_Toc267251433"/>
      <w:bookmarkStart w:id="965" w:name="_Toc267251441"/>
      <w:bookmarkStart w:id="966" w:name="_Toc267251442"/>
      <w:r>
        <w:rPr>
          <w:rFonts w:ascii="黑体" w:hAnsi="黑体"/>
          <w:b w:val="0"/>
          <w:color w:val="000000"/>
        </w:rPr>
        <w:t xml:space="preserve">0. </w:t>
      </w:r>
      <w:r>
        <w:rPr>
          <w:rFonts w:hint="eastAsia" w:ascii="黑体" w:hAnsi="黑体"/>
          <w:b w:val="0"/>
          <w:color w:val="000000"/>
        </w:rPr>
        <w:t>变更</w:t>
      </w:r>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p>
    <w:bookmarkEnd w:id="958"/>
    <w:bookmarkEnd w:id="959"/>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1</w:t>
      </w:r>
      <w:bookmarkStart w:id="967" w:name="_Toc303539147"/>
      <w:bookmarkStart w:id="968" w:name="_Toc292559399"/>
      <w:bookmarkStart w:id="969" w:name="_Toc312677500"/>
      <w:bookmarkStart w:id="970" w:name="_Toc296346695"/>
      <w:bookmarkStart w:id="971" w:name="_Toc296944533"/>
      <w:bookmarkStart w:id="972" w:name="_Toc296891022"/>
      <w:bookmarkStart w:id="973" w:name="_Toc304295567"/>
      <w:bookmarkStart w:id="974" w:name="_Toc297048380"/>
      <w:bookmarkStart w:id="975" w:name="_Toc296891234"/>
      <w:bookmarkStart w:id="976" w:name="_Toc296503194"/>
      <w:bookmarkStart w:id="977" w:name="_Toc300934990"/>
      <w:bookmarkStart w:id="978" w:name="_Toc297120494"/>
      <w:bookmarkStart w:id="979" w:name="_Toc296347193"/>
      <w:bookmarkStart w:id="980" w:name="_Toc297216200"/>
      <w:bookmarkStart w:id="981" w:name="_Toc292559904"/>
      <w:bookmarkStart w:id="982" w:name="_Toc297123541"/>
      <w:bookmarkStart w:id="983" w:name="_Toc312678026"/>
      <w:r>
        <w:rPr>
          <w:rFonts w:ascii="黑体" w:hAnsi="黑体" w:eastAsia="黑体"/>
          <w:color w:val="000000"/>
          <w:szCs w:val="21"/>
        </w:rPr>
        <w:t>0.1</w:t>
      </w:r>
      <w:r>
        <w:rPr>
          <w:rFonts w:hint="eastAsia" w:ascii="黑体" w:hAnsi="黑体" w:eastAsia="黑体"/>
          <w:color w:val="000000"/>
          <w:szCs w:val="21"/>
        </w:rPr>
        <w:t>变更的范围</w:t>
      </w:r>
    </w:p>
    <w:p>
      <w:pPr>
        <w:spacing w:line="360" w:lineRule="auto"/>
        <w:ind w:firstLine="600"/>
        <w:jc w:val="left"/>
        <w:rPr>
          <w:rFonts w:ascii="宋体" w:hAnsi="宋体"/>
          <w:color w:val="000000"/>
          <w:szCs w:val="21"/>
          <w:u w:val="single"/>
        </w:rPr>
      </w:pPr>
      <w:r>
        <w:rPr>
          <w:rFonts w:hint="eastAsia" w:ascii="宋体" w:hAnsi="宋体"/>
          <w:color w:val="000000"/>
          <w:szCs w:val="21"/>
        </w:rPr>
        <w:t>关于变更的范围的约定：</w:t>
      </w:r>
      <w:permStart w:id="407" w:edGrp="everyone"/>
    </w:p>
    <w:permEnd w:id="407"/>
    <w:p>
      <w:pPr>
        <w:spacing w:line="360" w:lineRule="auto"/>
        <w:jc w:val="left"/>
        <w:rPr>
          <w:rFonts w:ascii="宋体" w:hAnsi="宋体"/>
          <w:color w:val="000000"/>
          <w:szCs w:val="21"/>
        </w:rPr>
      </w:pPr>
    </w:p>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 xml:space="preserve">10.4 </w:t>
      </w:r>
      <w:r>
        <w:rPr>
          <w:rFonts w:hint="eastAsia" w:ascii="黑体" w:hAnsi="黑体" w:eastAsia="黑体"/>
          <w:color w:val="000000"/>
          <w:szCs w:val="21"/>
        </w:rPr>
        <w:t>变更估价</w:t>
      </w:r>
    </w:p>
    <w:p>
      <w:pPr>
        <w:spacing w:line="360" w:lineRule="auto"/>
        <w:ind w:firstLine="420" w:firstLineChars="200"/>
        <w:jc w:val="left"/>
        <w:rPr>
          <w:rFonts w:ascii="宋体" w:hAnsi="宋体"/>
          <w:color w:val="000000"/>
          <w:szCs w:val="21"/>
        </w:rPr>
      </w:pPr>
      <w:r>
        <w:rPr>
          <w:rFonts w:ascii="宋体" w:hAnsi="宋体"/>
          <w:color w:val="000000"/>
          <w:szCs w:val="21"/>
        </w:rPr>
        <w:t xml:space="preserve">10.4.1 </w:t>
      </w:r>
      <w:r>
        <w:rPr>
          <w:rFonts w:hint="eastAsia" w:ascii="宋体" w:hAnsi="宋体"/>
          <w:color w:val="000000"/>
          <w:szCs w:val="21"/>
        </w:rPr>
        <w:t>变更估价原则</w:t>
      </w:r>
    </w:p>
    <w:p>
      <w:pPr>
        <w:spacing w:line="360" w:lineRule="auto"/>
        <w:ind w:firstLine="420" w:firstLineChars="200"/>
        <w:jc w:val="left"/>
        <w:rPr>
          <w:rFonts w:ascii="宋体" w:hAnsi="宋体"/>
          <w:color w:val="000000"/>
          <w:szCs w:val="21"/>
          <w:u w:val="single"/>
        </w:rPr>
      </w:pPr>
      <w:r>
        <w:rPr>
          <w:rFonts w:hint="eastAsia" w:ascii="宋体" w:hAnsi="宋体"/>
          <w:color w:val="000000"/>
          <w:szCs w:val="21"/>
        </w:rPr>
        <w:t>关于变更估价的约定</w:t>
      </w:r>
      <w:r>
        <w:rPr>
          <w:rFonts w:hint="eastAsia" w:ascii="宋体" w:hAnsi="宋体"/>
          <w:color w:val="000000"/>
          <w:szCs w:val="21"/>
          <w:lang w:eastAsia="zh-CN"/>
        </w:rPr>
        <w:t>：</w:t>
      </w:r>
      <w:r>
        <w:rPr>
          <w:rFonts w:ascii="宋体" w:hAnsi="宋体"/>
          <w:color w:val="000000"/>
          <w:szCs w:val="21"/>
        </w:rPr>
        <w:t xml:space="preserve"> </w:t>
      </w:r>
      <w:permStart w:id="408" w:edGrp="everyone"/>
    </w:p>
    <w:permEnd w:id="408"/>
    <w:p>
      <w:pPr>
        <w:spacing w:line="360" w:lineRule="auto"/>
        <w:jc w:val="left"/>
        <w:rPr>
          <w:rFonts w:ascii="宋体" w:hAnsi="宋体"/>
          <w:color w:val="000000"/>
          <w:szCs w:val="21"/>
          <w:u w:val="single"/>
        </w:rPr>
      </w:pPr>
    </w:p>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1</w:t>
      </w:r>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Start w:id="984" w:name="_Toc297120497"/>
      <w:bookmarkStart w:id="985" w:name="_Toc292559402"/>
      <w:bookmarkStart w:id="986" w:name="_Toc296346698"/>
      <w:bookmarkStart w:id="987" w:name="_Toc303539150"/>
      <w:bookmarkStart w:id="988" w:name="_Toc297123544"/>
      <w:bookmarkStart w:id="989" w:name="_Toc296944536"/>
      <w:bookmarkStart w:id="990" w:name="_Toc297048383"/>
      <w:bookmarkStart w:id="991" w:name="_Toc300934993"/>
      <w:bookmarkStart w:id="992" w:name="_Toc296503197"/>
      <w:bookmarkStart w:id="993" w:name="_Toc296347196"/>
      <w:bookmarkStart w:id="994" w:name="_Toc296891237"/>
      <w:bookmarkStart w:id="995" w:name="_Toc296891025"/>
      <w:bookmarkStart w:id="996" w:name="_Toc297216203"/>
      <w:bookmarkStart w:id="997" w:name="_Toc292559907"/>
      <w:bookmarkStart w:id="998" w:name="_Toc304295570"/>
      <w:bookmarkStart w:id="999" w:name="_Toc312677503"/>
      <w:bookmarkStart w:id="1000" w:name="_Toc312678029"/>
      <w:r>
        <w:rPr>
          <w:rFonts w:ascii="黑体" w:hAnsi="黑体" w:eastAsia="黑体"/>
          <w:color w:val="000000"/>
          <w:szCs w:val="21"/>
        </w:rPr>
        <w:t>0.5</w:t>
      </w:r>
      <w:r>
        <w:rPr>
          <w:rFonts w:hint="eastAsia" w:ascii="黑体" w:hAnsi="黑体" w:eastAsia="黑体"/>
          <w:color w:val="000000"/>
          <w:szCs w:val="21"/>
        </w:rPr>
        <w:t>承</w:t>
      </w:r>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Start w:id="1001" w:name="_Toc292559913"/>
      <w:bookmarkStart w:id="1002" w:name="_Toc296944542"/>
      <w:bookmarkStart w:id="1003" w:name="_Toc300934994"/>
      <w:bookmarkStart w:id="1004" w:name="_Toc297048389"/>
      <w:bookmarkStart w:id="1005" w:name="_Toc296503203"/>
      <w:bookmarkStart w:id="1006" w:name="_Toc297123545"/>
      <w:bookmarkStart w:id="1007" w:name="_Toc296346704"/>
      <w:bookmarkStart w:id="1008" w:name="_Toc303539151"/>
      <w:bookmarkStart w:id="1009" w:name="_Toc296347202"/>
      <w:bookmarkStart w:id="1010" w:name="_Toc297120503"/>
      <w:bookmarkStart w:id="1011" w:name="_Toc297216204"/>
      <w:bookmarkStart w:id="1012" w:name="_Toc296891031"/>
      <w:bookmarkStart w:id="1013" w:name="_Toc296891243"/>
      <w:bookmarkStart w:id="1014" w:name="_Toc292559408"/>
      <w:r>
        <w:rPr>
          <w:rFonts w:hint="eastAsia" w:ascii="黑体" w:hAnsi="黑体" w:eastAsia="黑体"/>
          <w:color w:val="000000"/>
          <w:szCs w:val="21"/>
        </w:rPr>
        <w:t>包人的合理化建议</w:t>
      </w:r>
    </w:p>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p>
      <w:pPr>
        <w:spacing w:line="360" w:lineRule="auto"/>
        <w:ind w:firstLine="420" w:firstLineChars="200"/>
        <w:jc w:val="left"/>
        <w:rPr>
          <w:rFonts w:ascii="宋体" w:hAnsi="宋体"/>
          <w:color w:val="000000"/>
          <w:szCs w:val="21"/>
        </w:rPr>
      </w:pPr>
      <w:r>
        <w:rPr>
          <w:rFonts w:hint="eastAsia" w:ascii="宋体" w:hAnsi="宋体"/>
          <w:color w:val="000000"/>
          <w:szCs w:val="21"/>
        </w:rPr>
        <w:t>监理人审查承包人合理化建议的期限：</w:t>
      </w:r>
      <w:permStart w:id="409" w:edGrp="everyone"/>
      <w:r>
        <w:rPr>
          <w:rFonts w:hint="eastAsia" w:ascii="宋体" w:hAnsi="宋体"/>
          <w:color w:val="000000"/>
          <w:szCs w:val="21"/>
        </w:rPr>
        <w:t xml:space="preserve">                                </w:t>
      </w:r>
      <w:permEnd w:id="409"/>
      <w:r>
        <w:rPr>
          <w:rFonts w:hint="eastAsia" w:ascii="宋体" w:hAnsi="宋体"/>
          <w:color w:val="000000"/>
          <w:szCs w:val="21"/>
        </w:rPr>
        <w:t>。</w:t>
      </w:r>
    </w:p>
    <w:p>
      <w:pPr>
        <w:spacing w:line="360" w:lineRule="auto"/>
        <w:ind w:firstLine="420" w:firstLineChars="200"/>
        <w:jc w:val="left"/>
        <w:rPr>
          <w:rFonts w:ascii="宋体" w:hAnsi="宋体"/>
          <w:color w:val="000000"/>
          <w:szCs w:val="21"/>
        </w:rPr>
      </w:pPr>
      <w:r>
        <w:rPr>
          <w:rFonts w:hint="eastAsia" w:ascii="宋体" w:hAnsi="宋体"/>
          <w:color w:val="000000"/>
          <w:szCs w:val="21"/>
        </w:rPr>
        <w:t>发包人审批承包人合理化建议的期限：</w:t>
      </w:r>
      <w:permStart w:id="410" w:edGrp="everyone"/>
      <w:r>
        <w:rPr>
          <w:rFonts w:hint="eastAsia" w:ascii="宋体" w:hAnsi="宋体"/>
          <w:color w:val="000000"/>
          <w:szCs w:val="21"/>
        </w:rPr>
        <w:t xml:space="preserve"> </w:t>
      </w:r>
      <w:r>
        <w:rPr>
          <w:rFonts w:ascii="宋体" w:hAnsi="宋体"/>
          <w:color w:val="000000"/>
          <w:szCs w:val="21"/>
        </w:rPr>
        <w:t xml:space="preserve">                                 </w:t>
      </w:r>
      <w:permEnd w:id="410"/>
      <w:r>
        <w:rPr>
          <w:rFonts w:hint="eastAsia" w:ascii="宋体" w:hAnsi="宋体"/>
          <w:color w:val="000000"/>
          <w:szCs w:val="21"/>
        </w:rPr>
        <w:t>。</w:t>
      </w:r>
    </w:p>
    <w:p>
      <w:pPr>
        <w:spacing w:line="360" w:lineRule="auto"/>
        <w:ind w:firstLine="420" w:firstLineChars="200"/>
        <w:jc w:val="left"/>
        <w:rPr>
          <w:rFonts w:ascii="宋体" w:hAnsi="宋体"/>
          <w:color w:val="000000"/>
          <w:szCs w:val="21"/>
          <w:u w:val="single"/>
        </w:rPr>
      </w:pPr>
      <w:r>
        <w:rPr>
          <w:rFonts w:hint="eastAsia" w:ascii="宋体" w:hAnsi="宋体"/>
          <w:color w:val="000000"/>
          <w:szCs w:val="21"/>
        </w:rPr>
        <w:t>承</w:t>
      </w:r>
      <w:bookmarkStart w:id="1015" w:name="_Toc304295571"/>
      <w:bookmarkStart w:id="1016" w:name="_Toc292559409"/>
      <w:bookmarkStart w:id="1017" w:name="_Toc297123546"/>
      <w:bookmarkStart w:id="1018" w:name="_Toc312678030"/>
      <w:bookmarkStart w:id="1019" w:name="_Toc296503204"/>
      <w:bookmarkStart w:id="1020" w:name="_Toc296891032"/>
      <w:bookmarkStart w:id="1021" w:name="_Toc296347203"/>
      <w:bookmarkStart w:id="1022" w:name="_Toc296891244"/>
      <w:bookmarkStart w:id="1023" w:name="_Toc297120504"/>
      <w:bookmarkStart w:id="1024" w:name="_Toc312677504"/>
      <w:bookmarkStart w:id="1025" w:name="_Toc292559914"/>
      <w:bookmarkStart w:id="1026" w:name="_Toc303539152"/>
      <w:bookmarkStart w:id="1027" w:name="_Toc300934995"/>
      <w:bookmarkStart w:id="1028" w:name="_Toc297048390"/>
      <w:bookmarkStart w:id="1029" w:name="_Toc296944543"/>
      <w:bookmarkStart w:id="1030" w:name="_Toc296346705"/>
      <w:bookmarkStart w:id="1031" w:name="_Toc297216205"/>
      <w:bookmarkStart w:id="1032" w:name="_Toc318581175"/>
      <w:r>
        <w:rPr>
          <w:rFonts w:hint="eastAsia" w:ascii="宋体" w:hAnsi="宋体"/>
          <w:color w:val="000000"/>
          <w:szCs w:val="21"/>
        </w:rPr>
        <w:t>包人提出的合理化建议降低了合同价格或者提高了工程经济效益的奖励的方法和金额为：</w:t>
      </w:r>
      <w:permStart w:id="411" w:edGrp="everyone"/>
      <w:r>
        <w:rPr>
          <w:rFonts w:hint="eastAsia" w:ascii="宋体" w:hAnsi="宋体"/>
          <w:color w:val="000000"/>
          <w:szCs w:val="21"/>
        </w:rPr>
        <w:t xml:space="preserve">        </w:t>
      </w:r>
    </w:p>
    <w:p>
      <w:pPr>
        <w:spacing w:line="360" w:lineRule="auto"/>
        <w:ind w:firstLine="420" w:firstLineChars="200"/>
        <w:jc w:val="left"/>
        <w:rPr>
          <w:rFonts w:ascii="宋体" w:hAnsi="宋体"/>
          <w:color w:val="000000"/>
          <w:szCs w:val="21"/>
          <w:u w:val="single"/>
        </w:rPr>
      </w:pPr>
      <w:r>
        <w:rPr>
          <w:rFonts w:ascii="宋体" w:hAnsi="宋体"/>
          <w:color w:val="000000"/>
          <w:szCs w:val="21"/>
          <w:u w:val="single"/>
        </w:rPr>
        <w:t xml:space="preserve">                                                                                       </w:t>
      </w:r>
      <w:permEnd w:id="411"/>
    </w:p>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1</w:t>
      </w:r>
      <w:bookmarkStart w:id="1033" w:name="_Toc303539154"/>
      <w:bookmarkStart w:id="1034" w:name="_Toc304295574"/>
      <w:bookmarkStart w:id="1035" w:name="_Toc296346700"/>
      <w:bookmarkStart w:id="1036" w:name="_Toc297216207"/>
      <w:bookmarkStart w:id="1037" w:name="_Toc297120499"/>
      <w:bookmarkStart w:id="1038" w:name="_Toc296891239"/>
      <w:bookmarkStart w:id="1039" w:name="_Toc296347198"/>
      <w:bookmarkStart w:id="1040" w:name="_Toc297123548"/>
      <w:bookmarkStart w:id="1041" w:name="_Toc292559909"/>
      <w:bookmarkStart w:id="1042" w:name="_Toc297048385"/>
      <w:bookmarkStart w:id="1043" w:name="_Toc296944538"/>
      <w:bookmarkStart w:id="1044" w:name="_Toc296891027"/>
      <w:bookmarkStart w:id="1045" w:name="_Toc300934997"/>
      <w:bookmarkStart w:id="1046" w:name="_Toc292559404"/>
      <w:bookmarkStart w:id="1047" w:name="_Toc296503199"/>
      <w:bookmarkStart w:id="1048" w:name="_Toc312677507"/>
      <w:bookmarkStart w:id="1049" w:name="_Toc312678033"/>
      <w:r>
        <w:rPr>
          <w:rFonts w:ascii="黑体" w:hAnsi="黑体" w:eastAsia="黑体"/>
          <w:color w:val="000000"/>
          <w:szCs w:val="21"/>
        </w:rPr>
        <w:t xml:space="preserve">0.7 </w:t>
      </w:r>
      <w:r>
        <w:rPr>
          <w:rFonts w:hint="eastAsia" w:ascii="黑体" w:hAnsi="黑体" w:eastAsia="黑体"/>
          <w:color w:val="000000"/>
          <w:szCs w:val="21"/>
        </w:rPr>
        <w:t>暂估价</w:t>
      </w:r>
    </w:p>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p>
      <w:pPr>
        <w:spacing w:line="360" w:lineRule="auto"/>
        <w:ind w:firstLine="420" w:firstLineChars="200"/>
        <w:jc w:val="left"/>
        <w:rPr>
          <w:rFonts w:ascii="宋体" w:hAnsi="宋体"/>
          <w:color w:val="000000"/>
          <w:szCs w:val="21"/>
        </w:rPr>
      </w:pPr>
      <w:r>
        <w:rPr>
          <w:rFonts w:hint="eastAsia" w:ascii="宋体" w:hAnsi="宋体"/>
          <w:color w:val="000000"/>
          <w:kern w:val="0"/>
          <w:szCs w:val="21"/>
        </w:rPr>
        <w:t>暂</w:t>
      </w:r>
      <w:bookmarkStart w:id="1050" w:name="_Toc318581176"/>
      <w:bookmarkStart w:id="1051" w:name="_Toc312678034"/>
      <w:bookmarkStart w:id="1052" w:name="_Toc312677508"/>
      <w:r>
        <w:rPr>
          <w:rFonts w:hint="eastAsia" w:ascii="宋体" w:hAnsi="宋体"/>
          <w:color w:val="000000"/>
          <w:kern w:val="0"/>
          <w:szCs w:val="21"/>
        </w:rPr>
        <w:t>估价材料和工程设备的明细详见附件</w:t>
      </w:r>
      <w:r>
        <w:rPr>
          <w:rFonts w:ascii="宋体" w:hAnsi="宋体"/>
          <w:color w:val="000000"/>
          <w:kern w:val="0"/>
          <w:szCs w:val="21"/>
        </w:rPr>
        <w:t>11</w:t>
      </w:r>
      <w:r>
        <w:rPr>
          <w:rFonts w:hint="eastAsia" w:ascii="宋体" w:hAnsi="宋体"/>
          <w:color w:val="000000"/>
          <w:kern w:val="0"/>
          <w:szCs w:val="21"/>
        </w:rPr>
        <w:t>：《</w:t>
      </w:r>
      <w:r>
        <w:rPr>
          <w:rFonts w:hint="eastAsia" w:ascii="宋体" w:hAnsi="宋体"/>
          <w:color w:val="000000"/>
          <w:szCs w:val="21"/>
        </w:rPr>
        <w:t>暂估价一览表》</w:t>
      </w:r>
      <w:r>
        <w:rPr>
          <w:rFonts w:hint="eastAsia" w:ascii="宋体" w:hAnsi="宋体"/>
          <w:color w:val="000000"/>
          <w:kern w:val="0"/>
          <w:szCs w:val="21"/>
        </w:rPr>
        <w:t>。</w:t>
      </w:r>
    </w:p>
    <w:bookmarkEnd w:id="1050"/>
    <w:bookmarkEnd w:id="1051"/>
    <w:bookmarkEnd w:id="1052"/>
    <w:p>
      <w:pPr>
        <w:spacing w:line="360" w:lineRule="auto"/>
        <w:ind w:firstLine="420" w:firstLineChars="200"/>
        <w:jc w:val="left"/>
        <w:rPr>
          <w:rFonts w:ascii="宋体" w:hAnsi="宋体"/>
          <w:color w:val="000000"/>
          <w:szCs w:val="21"/>
        </w:rPr>
      </w:pPr>
      <w:r>
        <w:rPr>
          <w:rFonts w:ascii="宋体" w:hAnsi="宋体"/>
          <w:color w:val="000000"/>
          <w:szCs w:val="21"/>
        </w:rPr>
        <w:t>1</w:t>
      </w:r>
      <w:bookmarkStart w:id="1053" w:name="_Toc312677509"/>
      <w:bookmarkStart w:id="1054" w:name="_Toc312678035"/>
      <w:bookmarkStart w:id="1055" w:name="_Toc318581177"/>
      <w:r>
        <w:rPr>
          <w:rFonts w:ascii="宋体" w:hAnsi="宋体"/>
          <w:color w:val="000000"/>
          <w:szCs w:val="21"/>
        </w:rPr>
        <w:t xml:space="preserve">0.7.1 </w:t>
      </w:r>
      <w:r>
        <w:rPr>
          <w:rFonts w:hint="eastAsia" w:ascii="宋体" w:hAnsi="宋体"/>
          <w:color w:val="000000"/>
          <w:szCs w:val="21"/>
        </w:rPr>
        <w:t>依法必须招标的暂估价项目</w:t>
      </w:r>
    </w:p>
    <w:bookmarkEnd w:id="1053"/>
    <w:bookmarkEnd w:id="1054"/>
    <w:bookmarkEnd w:id="1055"/>
    <w:p>
      <w:pPr>
        <w:spacing w:line="360" w:lineRule="auto"/>
        <w:ind w:firstLine="420" w:firstLineChars="200"/>
        <w:jc w:val="left"/>
        <w:rPr>
          <w:rFonts w:ascii="宋体" w:hAnsi="宋体"/>
          <w:color w:val="000000"/>
          <w:szCs w:val="21"/>
        </w:rPr>
      </w:pPr>
      <w:r>
        <w:rPr>
          <w:rFonts w:hint="eastAsia" w:ascii="宋体" w:hAnsi="宋体"/>
          <w:color w:val="000000"/>
          <w:szCs w:val="21"/>
        </w:rPr>
        <w:t>对于依法必须招标的暂估价项目的确认和批准采取第</w:t>
      </w:r>
      <w:permStart w:id="412" w:edGrp="everyone"/>
      <w:r>
        <w:rPr>
          <w:rFonts w:hint="eastAsia" w:ascii="宋体" w:hAnsi="宋体"/>
          <w:color w:val="000000"/>
          <w:szCs w:val="21"/>
        </w:rPr>
        <w:t xml:space="preserve">           </w:t>
      </w:r>
      <w:permEnd w:id="412"/>
      <w:r>
        <w:rPr>
          <w:rFonts w:hint="eastAsia" w:ascii="宋体" w:hAnsi="宋体"/>
          <w:color w:val="000000"/>
          <w:szCs w:val="21"/>
        </w:rPr>
        <w:t>种方式确定。</w:t>
      </w:r>
    </w:p>
    <w:p>
      <w:pPr>
        <w:spacing w:line="360" w:lineRule="auto"/>
        <w:ind w:firstLine="420" w:firstLineChars="200"/>
        <w:jc w:val="left"/>
        <w:rPr>
          <w:rFonts w:ascii="宋体" w:hAnsi="宋体"/>
          <w:color w:val="000000"/>
          <w:szCs w:val="21"/>
        </w:rPr>
      </w:pPr>
      <w:r>
        <w:rPr>
          <w:rFonts w:ascii="宋体" w:hAnsi="宋体"/>
          <w:color w:val="000000"/>
          <w:szCs w:val="21"/>
        </w:rPr>
        <w:t xml:space="preserve">10.7.2 </w:t>
      </w:r>
      <w:r>
        <w:rPr>
          <w:rFonts w:hint="eastAsia" w:ascii="宋体" w:hAnsi="宋体"/>
          <w:color w:val="000000"/>
          <w:szCs w:val="21"/>
        </w:rPr>
        <w:t>不属于依法必须招标的暂估价项目</w:t>
      </w:r>
    </w:p>
    <w:p>
      <w:pPr>
        <w:spacing w:line="360" w:lineRule="auto"/>
        <w:ind w:firstLine="420" w:firstLineChars="200"/>
        <w:jc w:val="left"/>
        <w:rPr>
          <w:rFonts w:ascii="宋体" w:hAnsi="宋体"/>
          <w:color w:val="000000"/>
          <w:szCs w:val="21"/>
        </w:rPr>
      </w:pPr>
      <w:r>
        <w:rPr>
          <w:rFonts w:hint="eastAsia" w:ascii="宋体" w:hAnsi="宋体"/>
          <w:color w:val="000000"/>
          <w:szCs w:val="21"/>
        </w:rPr>
        <w:t>对于不属于依法必须招标的暂估价项目的确认和批准采取第</w:t>
      </w:r>
      <w:permStart w:id="413" w:edGrp="everyone"/>
      <w:r>
        <w:rPr>
          <w:rFonts w:hint="eastAsia" w:ascii="宋体" w:hAnsi="宋体"/>
          <w:color w:val="000000"/>
          <w:szCs w:val="21"/>
        </w:rPr>
        <w:t xml:space="preserve"> </w:t>
      </w:r>
      <w:r>
        <w:rPr>
          <w:rFonts w:ascii="宋体" w:hAnsi="宋体"/>
          <w:color w:val="000000"/>
          <w:szCs w:val="21"/>
        </w:rPr>
        <w:t xml:space="preserve">              </w:t>
      </w:r>
      <w:permEnd w:id="413"/>
      <w:r>
        <w:rPr>
          <w:rFonts w:hint="eastAsia" w:ascii="宋体" w:hAnsi="宋体"/>
          <w:color w:val="000000"/>
          <w:szCs w:val="21"/>
        </w:rPr>
        <w:t>种方式确定。</w:t>
      </w:r>
    </w:p>
    <w:p>
      <w:pPr>
        <w:spacing w:line="360" w:lineRule="auto"/>
        <w:ind w:firstLine="420" w:firstLineChars="200"/>
        <w:jc w:val="left"/>
        <w:rPr>
          <w:rFonts w:ascii="宋体" w:hAnsi="宋体"/>
          <w:color w:val="000000"/>
          <w:kern w:val="0"/>
          <w:szCs w:val="21"/>
        </w:rPr>
      </w:pPr>
      <w:r>
        <w:rPr>
          <w:rFonts w:hint="eastAsia" w:ascii="宋体" w:hAnsi="宋体"/>
          <w:color w:val="000000"/>
          <w:szCs w:val="21"/>
        </w:rPr>
        <w:t>第</w:t>
      </w:r>
      <w:r>
        <w:rPr>
          <w:rFonts w:ascii="宋体" w:hAnsi="宋体"/>
          <w:color w:val="000000"/>
          <w:szCs w:val="21"/>
        </w:rPr>
        <w:t>3</w:t>
      </w:r>
      <w:r>
        <w:rPr>
          <w:rFonts w:hint="eastAsia" w:ascii="宋体" w:hAnsi="宋体"/>
          <w:color w:val="000000"/>
          <w:szCs w:val="21"/>
        </w:rPr>
        <w:t>种方式：</w:t>
      </w:r>
      <w:r>
        <w:rPr>
          <w:rFonts w:hint="eastAsia" w:ascii="宋体" w:hAnsi="宋体"/>
          <w:color w:val="000000"/>
          <w:kern w:val="0"/>
          <w:szCs w:val="21"/>
        </w:rPr>
        <w:t>承包人直接实施的暂估价项目</w:t>
      </w:r>
    </w:p>
    <w:p>
      <w:pPr>
        <w:spacing w:line="360" w:lineRule="auto"/>
        <w:ind w:firstLine="420" w:firstLineChars="200"/>
        <w:jc w:val="left"/>
        <w:rPr>
          <w:rFonts w:ascii="宋体" w:hAnsi="宋体"/>
          <w:color w:val="000000"/>
          <w:szCs w:val="21"/>
        </w:rPr>
      </w:pPr>
      <w:r>
        <w:rPr>
          <w:rFonts w:hint="eastAsia" w:ascii="宋体" w:hAnsi="宋体"/>
          <w:color w:val="000000"/>
          <w:szCs w:val="21"/>
        </w:rPr>
        <w:t>承包人直接实施的暂估价项目的约定：</w:t>
      </w:r>
      <w:permStart w:id="414" w:edGrp="everyone"/>
    </w:p>
    <w:permEnd w:id="414"/>
    <w:p>
      <w:pPr>
        <w:spacing w:line="360" w:lineRule="auto"/>
        <w:jc w:val="left"/>
        <w:rPr>
          <w:rFonts w:ascii="宋体" w:hAnsi="宋体"/>
          <w:color w:val="000000"/>
          <w:szCs w:val="21"/>
        </w:rPr>
      </w:pPr>
    </w:p>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 xml:space="preserve">10.8 </w:t>
      </w:r>
      <w:r>
        <w:rPr>
          <w:rFonts w:hint="eastAsia" w:ascii="黑体" w:hAnsi="黑体" w:eastAsia="黑体"/>
          <w:color w:val="000000"/>
          <w:szCs w:val="21"/>
        </w:rPr>
        <w:t>暂列金额</w:t>
      </w:r>
    </w:p>
    <w:p>
      <w:pPr>
        <w:autoSpaceDE w:val="0"/>
        <w:autoSpaceDN w:val="0"/>
        <w:adjustRightInd w:val="0"/>
        <w:spacing w:line="360" w:lineRule="auto"/>
        <w:ind w:firstLine="420" w:firstLineChars="200"/>
        <w:jc w:val="left"/>
        <w:rPr>
          <w:rFonts w:ascii="宋体" w:hAnsi="宋体"/>
          <w:color w:val="000000"/>
          <w:szCs w:val="21"/>
          <w:u w:val="single"/>
        </w:rPr>
      </w:pPr>
      <w:r>
        <w:rPr>
          <w:rFonts w:hint="eastAsia" w:ascii="宋体" w:hAnsi="宋体"/>
          <w:color w:val="000000"/>
          <w:kern w:val="0"/>
          <w:szCs w:val="21"/>
        </w:rPr>
        <w:t>合同当事人关于暂列金额使用的约定：</w:t>
      </w:r>
      <w:permStart w:id="415" w:edGrp="everyone"/>
    </w:p>
    <w:permEnd w:id="415"/>
    <w:p>
      <w:pPr>
        <w:autoSpaceDE w:val="0"/>
        <w:autoSpaceDN w:val="0"/>
        <w:adjustRightInd w:val="0"/>
        <w:spacing w:line="360" w:lineRule="auto"/>
        <w:jc w:val="left"/>
        <w:rPr>
          <w:rFonts w:ascii="宋体" w:hAnsi="宋体"/>
          <w:color w:val="000000"/>
          <w:kern w:val="0"/>
          <w:szCs w:val="21"/>
        </w:rPr>
      </w:pPr>
    </w:p>
    <w:p>
      <w:pPr>
        <w:pStyle w:val="5"/>
        <w:spacing w:before="120" w:after="120" w:line="360" w:lineRule="auto"/>
        <w:rPr>
          <w:rFonts w:ascii="黑体" w:hAnsi="黑体"/>
          <w:b w:val="0"/>
          <w:color w:val="000000"/>
        </w:rPr>
      </w:pPr>
      <w:bookmarkStart w:id="1056" w:name="_Toc362623198"/>
      <w:bookmarkStart w:id="1057" w:name="_Toc114222833"/>
      <w:r>
        <w:rPr>
          <w:rFonts w:ascii="黑体" w:hAnsi="黑体"/>
          <w:b w:val="0"/>
          <w:color w:val="000000"/>
        </w:rPr>
        <w:t xml:space="preserve">11. </w:t>
      </w:r>
      <w:r>
        <w:rPr>
          <w:rFonts w:hint="eastAsia" w:ascii="黑体" w:hAnsi="黑体"/>
          <w:b w:val="0"/>
          <w:color w:val="000000"/>
        </w:rPr>
        <w:t>价格调整</w:t>
      </w:r>
      <w:bookmarkEnd w:id="1056"/>
      <w:bookmarkEnd w:id="1057"/>
    </w:p>
    <w:p>
      <w:pPr>
        <w:spacing w:after="120" w:line="360" w:lineRule="auto"/>
        <w:ind w:firstLine="420" w:firstLineChars="200"/>
        <w:rPr>
          <w:rFonts w:ascii="黑体" w:hAnsi="黑体" w:eastAsia="黑体"/>
          <w:color w:val="000000"/>
          <w:szCs w:val="21"/>
        </w:rPr>
      </w:pPr>
      <w:bookmarkStart w:id="1058" w:name="_Toc296347200"/>
      <w:bookmarkStart w:id="1059" w:name="_Toc296891029"/>
      <w:bookmarkStart w:id="1060" w:name="_Toc296346702"/>
      <w:bookmarkStart w:id="1061" w:name="_Toc296944540"/>
      <w:bookmarkStart w:id="1062" w:name="_Toc292559911"/>
      <w:bookmarkStart w:id="1063" w:name="_Toc297216209"/>
      <w:bookmarkStart w:id="1064" w:name="_Toc292559406"/>
      <w:bookmarkStart w:id="1065" w:name="_Toc297123550"/>
      <w:bookmarkStart w:id="1066" w:name="_Toc312678039"/>
      <w:bookmarkStart w:id="1067" w:name="_Toc303539157"/>
      <w:bookmarkStart w:id="1068" w:name="_Toc297048387"/>
      <w:bookmarkStart w:id="1069" w:name="_Toc296891241"/>
      <w:bookmarkStart w:id="1070" w:name="_Toc296503201"/>
      <w:bookmarkStart w:id="1071" w:name="_Toc297120501"/>
      <w:bookmarkStart w:id="1072" w:name="_Toc300935000"/>
      <w:bookmarkStart w:id="1073" w:name="_Toc304295577"/>
      <w:r>
        <w:rPr>
          <w:rFonts w:ascii="黑体" w:hAnsi="黑体" w:eastAsia="黑体"/>
          <w:color w:val="000000"/>
          <w:szCs w:val="21"/>
        </w:rPr>
        <w:t xml:space="preserve">11.1 </w:t>
      </w:r>
      <w:r>
        <w:rPr>
          <w:rFonts w:hint="eastAsia" w:ascii="黑体" w:hAnsi="黑体" w:eastAsia="黑体"/>
          <w:color w:val="000000"/>
          <w:szCs w:val="21"/>
        </w:rPr>
        <w:t>市场价格波动引起的调整</w:t>
      </w:r>
    </w:p>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p>
      <w:pPr>
        <w:spacing w:line="360" w:lineRule="auto"/>
        <w:ind w:firstLine="420" w:firstLineChars="200"/>
        <w:jc w:val="left"/>
        <w:rPr>
          <w:rFonts w:ascii="宋体" w:hAnsi="宋体"/>
          <w:color w:val="000000"/>
          <w:szCs w:val="21"/>
        </w:rPr>
      </w:pPr>
      <w:r>
        <w:rPr>
          <w:rFonts w:hint="eastAsia" w:ascii="宋体" w:hAnsi="宋体"/>
          <w:color w:val="000000"/>
          <w:kern w:val="0"/>
          <w:szCs w:val="21"/>
        </w:rPr>
        <w:t>市场价格波动是否调整合同价格的约定：</w:t>
      </w:r>
      <w:permStart w:id="416" w:edGrp="everyone"/>
      <w:r>
        <w:rPr>
          <w:rFonts w:hint="eastAsia" w:ascii="宋体" w:hAnsi="宋体"/>
          <w:color w:val="000000"/>
          <w:kern w:val="0"/>
          <w:szCs w:val="21"/>
        </w:rPr>
        <w:t xml:space="preserve">                                       </w:t>
      </w:r>
      <w:permEnd w:id="416"/>
      <w:r>
        <w:rPr>
          <w:rFonts w:hint="eastAsia" w:ascii="宋体" w:hAnsi="宋体"/>
          <w:color w:val="000000"/>
          <w:szCs w:val="21"/>
        </w:rPr>
        <w:t xml:space="preserve">。 </w:t>
      </w:r>
    </w:p>
    <w:p>
      <w:pPr>
        <w:spacing w:line="360" w:lineRule="auto"/>
        <w:ind w:firstLine="420" w:firstLineChars="200"/>
        <w:jc w:val="left"/>
        <w:rPr>
          <w:rFonts w:ascii="宋体" w:hAnsi="宋体"/>
          <w:color w:val="000000"/>
          <w:szCs w:val="21"/>
        </w:rPr>
      </w:pPr>
      <w:r>
        <w:rPr>
          <w:rFonts w:hint="eastAsia" w:ascii="宋体" w:hAnsi="宋体"/>
          <w:color w:val="000000"/>
          <w:szCs w:val="21"/>
        </w:rPr>
        <w:t>因市场价格波动调整合同价格，采用以下第</w:t>
      </w:r>
      <w:permStart w:id="417" w:edGrp="everyone"/>
      <w:r>
        <w:rPr>
          <w:rFonts w:hint="eastAsia" w:ascii="宋体" w:hAnsi="宋体"/>
          <w:color w:val="000000"/>
          <w:szCs w:val="21"/>
        </w:rPr>
        <w:t xml:space="preserve"> </w:t>
      </w:r>
      <w:r>
        <w:rPr>
          <w:rFonts w:ascii="宋体" w:hAnsi="宋体"/>
          <w:color w:val="000000"/>
          <w:szCs w:val="21"/>
        </w:rPr>
        <w:t xml:space="preserve">                             </w:t>
      </w:r>
      <w:permEnd w:id="417"/>
      <w:r>
        <w:rPr>
          <w:rFonts w:hint="eastAsia" w:ascii="宋体" w:hAnsi="宋体"/>
          <w:color w:val="000000"/>
          <w:szCs w:val="21"/>
        </w:rPr>
        <w:t>种方式对合同价格进行调整：</w:t>
      </w:r>
    </w:p>
    <w:p>
      <w:pPr>
        <w:spacing w:line="360" w:lineRule="auto"/>
        <w:ind w:firstLine="420" w:firstLineChars="200"/>
        <w:jc w:val="left"/>
        <w:rPr>
          <w:rFonts w:ascii="宋体" w:hAnsi="宋体"/>
          <w:color w:val="000000"/>
          <w:szCs w:val="21"/>
        </w:rPr>
      </w:pPr>
      <w:r>
        <w:rPr>
          <w:rFonts w:hint="eastAsia" w:ascii="宋体" w:hAnsi="宋体"/>
          <w:color w:val="000000"/>
          <w:szCs w:val="21"/>
        </w:rPr>
        <w:t>第</w:t>
      </w:r>
      <w:r>
        <w:rPr>
          <w:rFonts w:ascii="宋体" w:hAnsi="宋体"/>
          <w:color w:val="000000"/>
          <w:szCs w:val="21"/>
        </w:rPr>
        <w:t>1</w:t>
      </w:r>
      <w:r>
        <w:rPr>
          <w:rFonts w:hint="eastAsia" w:ascii="宋体" w:hAnsi="宋体"/>
          <w:color w:val="000000"/>
          <w:szCs w:val="21"/>
        </w:rPr>
        <w:t>种方式：采用价格指数进行价格调整。</w:t>
      </w:r>
    </w:p>
    <w:p>
      <w:pPr>
        <w:spacing w:line="360" w:lineRule="auto"/>
        <w:ind w:firstLine="420" w:firstLineChars="200"/>
        <w:jc w:val="left"/>
        <w:rPr>
          <w:rFonts w:ascii="宋体" w:hAnsi="宋体"/>
          <w:color w:val="000000"/>
          <w:szCs w:val="21"/>
          <w:u w:val="single"/>
        </w:rPr>
      </w:pPr>
      <w:r>
        <w:rPr>
          <w:rFonts w:hint="eastAsia" w:ascii="宋体" w:hAnsi="宋体"/>
          <w:color w:val="000000"/>
          <w:szCs w:val="21"/>
        </w:rPr>
        <w:t>关于各可调因子、定值和变值权重，以及基本价格指数及其来源的约定：</w:t>
      </w:r>
      <w:permStart w:id="418" w:edGrp="everyone"/>
      <w:r>
        <w:rPr>
          <w:rFonts w:hint="eastAsia" w:ascii="宋体" w:hAnsi="宋体"/>
          <w:color w:val="000000"/>
          <w:szCs w:val="21"/>
        </w:rPr>
        <w:t xml:space="preserve"> </w:t>
      </w:r>
      <w:r>
        <w:rPr>
          <w:rFonts w:ascii="宋体" w:hAnsi="宋体"/>
          <w:color w:val="000000"/>
          <w:szCs w:val="21"/>
        </w:rPr>
        <w:t xml:space="preserve">                    </w:t>
      </w:r>
      <w:permEnd w:id="418"/>
      <w:r>
        <w:rPr>
          <w:rFonts w:hint="eastAsia" w:ascii="宋体" w:hAnsi="宋体"/>
          <w:color w:val="000000"/>
          <w:szCs w:val="21"/>
        </w:rPr>
        <w:t>；</w:t>
      </w:r>
    </w:p>
    <w:p>
      <w:pPr>
        <w:spacing w:line="360" w:lineRule="auto"/>
        <w:ind w:firstLine="420" w:firstLineChars="200"/>
        <w:jc w:val="left"/>
        <w:rPr>
          <w:rFonts w:ascii="宋体" w:hAnsi="宋体"/>
          <w:color w:val="000000"/>
          <w:szCs w:val="21"/>
        </w:rPr>
      </w:pPr>
      <w:r>
        <w:rPr>
          <w:rFonts w:hint="eastAsia" w:ascii="宋体" w:hAnsi="宋体"/>
          <w:color w:val="000000"/>
          <w:szCs w:val="21"/>
        </w:rPr>
        <w:t>第</w:t>
      </w:r>
      <w:r>
        <w:rPr>
          <w:rFonts w:ascii="宋体" w:hAnsi="宋体"/>
          <w:color w:val="000000"/>
          <w:szCs w:val="21"/>
        </w:rPr>
        <w:t>2</w:t>
      </w:r>
      <w:r>
        <w:rPr>
          <w:rFonts w:hint="eastAsia" w:ascii="宋体" w:hAnsi="宋体"/>
          <w:color w:val="000000"/>
          <w:szCs w:val="21"/>
        </w:rPr>
        <w:t>种方式：采用造价信息进行价格调整。</w:t>
      </w:r>
    </w:p>
    <w:p>
      <w:pPr>
        <w:spacing w:line="360" w:lineRule="auto"/>
        <w:ind w:firstLine="420" w:firstLineChars="200"/>
        <w:jc w:val="left"/>
        <w:rPr>
          <w:rFonts w:ascii="宋体" w:hAns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）关于基准价格的约定：</w:t>
      </w:r>
      <w:permStart w:id="419" w:edGrp="everyone"/>
      <w:r>
        <w:rPr>
          <w:rFonts w:hint="eastAsia" w:ascii="宋体" w:hAnsi="宋体"/>
          <w:color w:val="000000"/>
          <w:szCs w:val="21"/>
        </w:rPr>
        <w:t xml:space="preserve"> </w:t>
      </w:r>
      <w:r>
        <w:rPr>
          <w:rFonts w:ascii="宋体" w:hAnsi="宋体"/>
          <w:color w:val="000000"/>
          <w:szCs w:val="21"/>
        </w:rPr>
        <w:t xml:space="preserve">                            </w:t>
      </w:r>
      <w:permEnd w:id="419"/>
      <w:r>
        <w:rPr>
          <w:rFonts w:hint="eastAsia" w:ascii="宋体" w:hAnsi="宋体"/>
          <w:color w:val="000000"/>
          <w:szCs w:val="21"/>
        </w:rPr>
        <w:t>。</w:t>
      </w:r>
    </w:p>
    <w:p>
      <w:pPr>
        <w:spacing w:line="360" w:lineRule="auto"/>
        <w:ind w:firstLine="420" w:firstLineChars="200"/>
        <w:jc w:val="left"/>
        <w:rPr>
          <w:rFonts w:ascii="宋体" w:hAnsi="宋体"/>
          <w:color w:val="000000"/>
          <w:szCs w:val="21"/>
        </w:rPr>
      </w:pPr>
      <w:r>
        <w:rPr>
          <w:rFonts w:hint="eastAsia" w:ascii="宋体" w:hAnsi="宋体"/>
          <w:color w:val="000000"/>
          <w:szCs w:val="21"/>
        </w:rPr>
        <w:t>专用合同条款</w:t>
      </w:r>
      <w:r>
        <w:rPr>
          <w:rFonts w:hint="eastAsia" w:ascii="宋体" w:hAnsi="宋体" w:cs="宋体"/>
          <w:color w:val="000000"/>
          <w:szCs w:val="21"/>
        </w:rPr>
        <w:t>①</w:t>
      </w:r>
      <w:r>
        <w:rPr>
          <w:rFonts w:hint="eastAsia" w:ascii="宋体" w:hAnsi="宋体"/>
          <w:color w:val="000000"/>
          <w:szCs w:val="21"/>
        </w:rPr>
        <w:t>承包人在已标价工程量清单或预算书中载明的材料单价低于基准价格的：专用合同条款合同履行期间材料单价涨幅以基准价格为基础超过</w:t>
      </w:r>
      <w:permStart w:id="420" w:edGrp="everyone"/>
      <w:r>
        <w:rPr>
          <w:rFonts w:hint="eastAsia" w:ascii="宋体" w:hAnsi="宋体"/>
          <w:color w:val="000000"/>
          <w:szCs w:val="21"/>
        </w:rPr>
        <w:t xml:space="preserve">                          </w:t>
      </w:r>
      <w:permEnd w:id="420"/>
      <w:r>
        <w:rPr>
          <w:rFonts w:ascii="宋体" w:hAnsi="宋体"/>
          <w:color w:val="000000"/>
          <w:szCs w:val="21"/>
        </w:rPr>
        <w:t>%</w:t>
      </w:r>
      <w:r>
        <w:rPr>
          <w:rFonts w:hint="eastAsia" w:ascii="宋体" w:hAnsi="宋体"/>
          <w:color w:val="000000"/>
          <w:szCs w:val="21"/>
        </w:rPr>
        <w:t>时，或材料单价跌幅以已标价工程量清单或预算书中载明材料单价为基础超过</w:t>
      </w:r>
      <w:permStart w:id="421" w:edGrp="everyone"/>
      <w:r>
        <w:rPr>
          <w:rFonts w:hint="eastAsia" w:ascii="宋体" w:hAnsi="宋体"/>
          <w:color w:val="000000"/>
          <w:szCs w:val="21"/>
        </w:rPr>
        <w:t xml:space="preserve">              </w:t>
      </w:r>
      <w:permEnd w:id="421"/>
      <w:r>
        <w:rPr>
          <w:rFonts w:ascii="宋体" w:hAnsi="宋体"/>
          <w:color w:val="000000"/>
          <w:szCs w:val="21"/>
        </w:rPr>
        <w:t>%</w:t>
      </w:r>
      <w:r>
        <w:rPr>
          <w:rFonts w:hint="eastAsia" w:ascii="宋体" w:hAnsi="宋体"/>
          <w:color w:val="000000"/>
          <w:szCs w:val="21"/>
        </w:rPr>
        <w:t>时，其超过部分据实调整。</w:t>
      </w:r>
    </w:p>
    <w:p>
      <w:pPr>
        <w:spacing w:line="360" w:lineRule="auto"/>
        <w:ind w:firstLine="420" w:firstLineChars="200"/>
        <w:jc w:val="left"/>
        <w:rPr>
          <w:rFonts w:ascii="宋体" w:hAnsi="宋体"/>
          <w:color w:val="000000"/>
          <w:szCs w:val="21"/>
        </w:rPr>
      </w:pPr>
      <w:r>
        <w:rPr>
          <w:rFonts w:hint="eastAsia" w:ascii="宋体" w:hAnsi="宋体" w:cs="宋体"/>
          <w:color w:val="000000"/>
          <w:szCs w:val="21"/>
        </w:rPr>
        <w:t>②</w:t>
      </w:r>
      <w:r>
        <w:rPr>
          <w:rFonts w:hint="eastAsia" w:ascii="宋体" w:hAnsi="宋体"/>
          <w:color w:val="000000"/>
          <w:szCs w:val="21"/>
        </w:rPr>
        <w:t>承包人在已标价工程量清单或预算书中载明的材料单价高于基准价格的：专用合同条款合同履行期间材料单价跌幅以基准价格为基础超过</w:t>
      </w:r>
      <w:permStart w:id="422" w:edGrp="everyone"/>
      <w:r>
        <w:rPr>
          <w:rFonts w:hint="eastAsia" w:ascii="宋体" w:hAnsi="宋体"/>
          <w:color w:val="000000"/>
          <w:szCs w:val="21"/>
        </w:rPr>
        <w:t xml:space="preserve"> </w:t>
      </w:r>
      <w:r>
        <w:rPr>
          <w:rFonts w:ascii="宋体" w:hAnsi="宋体"/>
          <w:color w:val="000000"/>
          <w:szCs w:val="21"/>
        </w:rPr>
        <w:t xml:space="preserve">          </w:t>
      </w:r>
      <w:permEnd w:id="422"/>
      <w:r>
        <w:rPr>
          <w:rFonts w:ascii="宋体" w:hAnsi="宋体"/>
          <w:color w:val="000000"/>
          <w:szCs w:val="21"/>
        </w:rPr>
        <w:t>%</w:t>
      </w:r>
      <w:r>
        <w:rPr>
          <w:rFonts w:hint="eastAsia" w:ascii="宋体" w:hAnsi="宋体"/>
          <w:color w:val="000000"/>
          <w:szCs w:val="21"/>
        </w:rPr>
        <w:t>时，材料单价涨幅以已标价工程量清单或预算书中载明材料单价为基础超过</w:t>
      </w:r>
      <w:permStart w:id="423" w:edGrp="everyone"/>
      <w:r>
        <w:rPr>
          <w:rFonts w:hint="eastAsia" w:ascii="宋体" w:hAnsi="宋体"/>
          <w:color w:val="000000"/>
          <w:szCs w:val="21"/>
        </w:rPr>
        <w:t xml:space="preserve">         </w:t>
      </w:r>
      <w:permEnd w:id="423"/>
      <w:r>
        <w:rPr>
          <w:rFonts w:ascii="宋体" w:hAnsi="宋体"/>
          <w:color w:val="000000"/>
          <w:szCs w:val="21"/>
        </w:rPr>
        <w:t>%</w:t>
      </w:r>
      <w:r>
        <w:rPr>
          <w:rFonts w:hint="eastAsia" w:ascii="宋体" w:hAnsi="宋体"/>
          <w:color w:val="000000"/>
          <w:szCs w:val="21"/>
        </w:rPr>
        <w:t>时，其超过部分据实调整。</w:t>
      </w:r>
    </w:p>
    <w:p>
      <w:pPr>
        <w:spacing w:line="360" w:lineRule="auto"/>
        <w:ind w:firstLine="645"/>
        <w:jc w:val="left"/>
        <w:rPr>
          <w:rFonts w:ascii="宋体" w:hAnsi="宋体"/>
          <w:color w:val="000000"/>
          <w:szCs w:val="21"/>
        </w:rPr>
      </w:pPr>
      <w:r>
        <w:rPr>
          <w:rFonts w:hint="eastAsia" w:ascii="宋体" w:hAnsi="宋体" w:cs="宋体"/>
          <w:color w:val="000000"/>
          <w:szCs w:val="21"/>
        </w:rPr>
        <w:t>③</w:t>
      </w:r>
      <w:r>
        <w:rPr>
          <w:rFonts w:hint="eastAsia" w:ascii="宋体" w:hAnsi="宋体"/>
          <w:color w:val="000000"/>
          <w:szCs w:val="21"/>
        </w:rPr>
        <w:t>承包人在已标价工程量清单或预算书中载明的材料单价等于基准单价的：专用合同条款合同履行期间材料单价涨跌幅以基准单价为基础超过</w:t>
      </w:r>
      <w:r>
        <w:rPr>
          <w:rFonts w:ascii="宋体" w:hAnsi="宋体"/>
          <w:color w:val="000000"/>
          <w:szCs w:val="21"/>
        </w:rPr>
        <w:t>±</w:t>
      </w:r>
      <w:permStart w:id="424" w:edGrp="everyone"/>
      <w:r>
        <w:rPr>
          <w:rFonts w:ascii="宋体" w:hAnsi="宋体"/>
          <w:color w:val="000000"/>
          <w:szCs w:val="21"/>
        </w:rPr>
        <w:t xml:space="preserve">                </w:t>
      </w:r>
      <w:permEnd w:id="424"/>
      <w:r>
        <w:rPr>
          <w:rFonts w:ascii="宋体" w:hAnsi="宋体"/>
          <w:color w:val="000000"/>
          <w:szCs w:val="21"/>
        </w:rPr>
        <w:t>%</w:t>
      </w:r>
      <w:r>
        <w:rPr>
          <w:rFonts w:hint="eastAsia" w:ascii="宋体" w:hAnsi="宋体"/>
          <w:color w:val="000000"/>
          <w:szCs w:val="21"/>
        </w:rPr>
        <w:t>时，其超过部分据实调整。</w:t>
      </w:r>
    </w:p>
    <w:p>
      <w:pPr>
        <w:spacing w:line="360" w:lineRule="auto"/>
        <w:ind w:firstLine="645"/>
        <w:jc w:val="left"/>
        <w:rPr>
          <w:rFonts w:ascii="宋体" w:hAnsi="宋体"/>
          <w:color w:val="000000"/>
          <w:szCs w:val="21"/>
          <w:u w:val="single"/>
        </w:rPr>
      </w:pPr>
      <w:r>
        <w:rPr>
          <w:rFonts w:hint="eastAsia" w:ascii="宋体" w:hAnsi="宋体"/>
          <w:color w:val="000000"/>
          <w:szCs w:val="21"/>
        </w:rPr>
        <w:t>第</w:t>
      </w:r>
      <w:r>
        <w:rPr>
          <w:rFonts w:ascii="宋体" w:hAnsi="宋体"/>
          <w:color w:val="000000"/>
          <w:szCs w:val="21"/>
        </w:rPr>
        <w:t>3</w:t>
      </w:r>
      <w:r>
        <w:rPr>
          <w:rFonts w:hint="eastAsia" w:ascii="宋体" w:hAnsi="宋体"/>
          <w:color w:val="000000"/>
          <w:szCs w:val="21"/>
        </w:rPr>
        <w:t>种方式：其他价格调整方式：</w:t>
      </w:r>
      <w:permStart w:id="425" w:edGrp="everyone"/>
    </w:p>
    <w:permEnd w:id="425"/>
    <w:p>
      <w:pPr>
        <w:spacing w:line="360" w:lineRule="auto"/>
        <w:jc w:val="left"/>
        <w:rPr>
          <w:rFonts w:ascii="宋体" w:hAnsi="宋体"/>
          <w:color w:val="000000"/>
          <w:szCs w:val="21"/>
        </w:rPr>
      </w:pPr>
    </w:p>
    <w:bookmarkEnd w:id="960"/>
    <w:bookmarkEnd w:id="961"/>
    <w:bookmarkEnd w:id="962"/>
    <w:bookmarkEnd w:id="963"/>
    <w:bookmarkEnd w:id="964"/>
    <w:bookmarkEnd w:id="965"/>
    <w:p>
      <w:pPr>
        <w:pStyle w:val="5"/>
        <w:spacing w:before="120" w:after="120" w:line="360" w:lineRule="auto"/>
        <w:rPr>
          <w:rFonts w:ascii="黑体" w:hAnsi="黑体"/>
          <w:b w:val="0"/>
          <w:color w:val="000000"/>
        </w:rPr>
      </w:pPr>
      <w:bookmarkStart w:id="1074" w:name="_Toc296891245"/>
      <w:bookmarkStart w:id="1075" w:name="_Toc292559410"/>
      <w:bookmarkStart w:id="1076" w:name="_Toc297120505"/>
      <w:bookmarkStart w:id="1077" w:name="_Toc296347204"/>
      <w:bookmarkStart w:id="1078" w:name="_Toc296891033"/>
      <w:bookmarkStart w:id="1079" w:name="_Toc297048391"/>
      <w:bookmarkStart w:id="1080" w:name="_Toc296346706"/>
      <w:bookmarkStart w:id="1081" w:name="_Toc296944544"/>
      <w:bookmarkStart w:id="1082" w:name="_Toc296503205"/>
      <w:bookmarkStart w:id="1083" w:name="_Toc292559915"/>
      <w:bookmarkStart w:id="1084" w:name="_Toc362623199"/>
      <w:bookmarkStart w:id="1085" w:name="_Toc114222834"/>
      <w:bookmarkStart w:id="1086" w:name="_Toc297123552"/>
      <w:bookmarkStart w:id="1087" w:name="_Toc300935002"/>
      <w:bookmarkStart w:id="1088" w:name="_Toc312678040"/>
      <w:bookmarkStart w:id="1089" w:name="_Toc303539159"/>
      <w:bookmarkStart w:id="1090" w:name="_Toc297216211"/>
      <w:bookmarkStart w:id="1091" w:name="_Toc304295579"/>
      <w:r>
        <w:rPr>
          <w:rFonts w:ascii="黑体" w:hAnsi="黑体"/>
          <w:b w:val="0"/>
          <w:color w:val="000000"/>
        </w:rPr>
        <w:t xml:space="preserve">12. </w:t>
      </w:r>
      <w:bookmarkEnd w:id="1074"/>
      <w:bookmarkEnd w:id="1075"/>
      <w:bookmarkEnd w:id="1076"/>
      <w:bookmarkEnd w:id="1077"/>
      <w:bookmarkEnd w:id="1078"/>
      <w:bookmarkEnd w:id="1079"/>
      <w:bookmarkEnd w:id="1080"/>
      <w:bookmarkEnd w:id="1081"/>
      <w:bookmarkEnd w:id="1082"/>
      <w:bookmarkEnd w:id="1083"/>
      <w:r>
        <w:rPr>
          <w:rFonts w:hint="eastAsia" w:ascii="黑体" w:hAnsi="黑体"/>
          <w:b w:val="0"/>
          <w:color w:val="000000"/>
        </w:rPr>
        <w:t>合同价格、计量与支付</w:t>
      </w:r>
      <w:bookmarkEnd w:id="1084"/>
      <w:bookmarkEnd w:id="1085"/>
    </w:p>
    <w:bookmarkEnd w:id="1086"/>
    <w:bookmarkEnd w:id="1087"/>
    <w:bookmarkEnd w:id="1088"/>
    <w:bookmarkEnd w:id="1089"/>
    <w:bookmarkEnd w:id="1090"/>
    <w:bookmarkEnd w:id="1091"/>
    <w:p>
      <w:pPr>
        <w:spacing w:after="120" w:line="360" w:lineRule="auto"/>
        <w:ind w:firstLine="420" w:firstLineChars="200"/>
        <w:rPr>
          <w:rFonts w:ascii="黑体" w:hAnsi="黑体" w:eastAsia="黑体"/>
          <w:color w:val="000000"/>
          <w:szCs w:val="21"/>
        </w:rPr>
      </w:pPr>
      <w:bookmarkStart w:id="1092" w:name="_Toc292559411"/>
      <w:bookmarkStart w:id="1093" w:name="_Toc292559916"/>
      <w:bookmarkStart w:id="1094" w:name="_Toc267251461"/>
      <w:bookmarkStart w:id="1095" w:name="_Toc296944545"/>
      <w:bookmarkStart w:id="1096" w:name="_Toc296347205"/>
      <w:bookmarkStart w:id="1097" w:name="_Toc297048392"/>
      <w:bookmarkStart w:id="1098" w:name="_Toc297120506"/>
      <w:bookmarkStart w:id="1099" w:name="_Toc296891246"/>
      <w:bookmarkStart w:id="1100" w:name="_Toc296503206"/>
      <w:bookmarkStart w:id="1101" w:name="_Toc296346707"/>
      <w:bookmarkStart w:id="1102" w:name="_Toc296891034"/>
      <w:bookmarkStart w:id="1103" w:name="_Toc297123553"/>
      <w:bookmarkStart w:id="1104" w:name="_Toc312678041"/>
      <w:bookmarkStart w:id="1105" w:name="_Toc304295580"/>
      <w:bookmarkStart w:id="1106" w:name="_Toc297216212"/>
      <w:bookmarkStart w:id="1107" w:name="_Toc303539160"/>
      <w:bookmarkStart w:id="1108" w:name="_Toc300935003"/>
      <w:r>
        <w:rPr>
          <w:rFonts w:ascii="黑体" w:hAnsi="黑体" w:eastAsia="黑体"/>
          <w:color w:val="000000"/>
          <w:szCs w:val="21"/>
        </w:rPr>
        <w:t xml:space="preserve">12.1 </w:t>
      </w:r>
      <w:r>
        <w:rPr>
          <w:rFonts w:hint="eastAsia" w:ascii="黑体" w:hAnsi="黑体" w:eastAsia="黑体"/>
          <w:color w:val="000000"/>
          <w:szCs w:val="21"/>
        </w:rPr>
        <w:t>合</w:t>
      </w:r>
      <w:bookmarkEnd w:id="1092"/>
      <w:bookmarkEnd w:id="1093"/>
      <w:bookmarkEnd w:id="1094"/>
      <w:r>
        <w:rPr>
          <w:rFonts w:hint="eastAsia" w:ascii="黑体" w:hAnsi="黑体" w:eastAsia="黑体"/>
          <w:color w:val="000000"/>
          <w:szCs w:val="21"/>
        </w:rPr>
        <w:t>同价</w:t>
      </w:r>
      <w:bookmarkEnd w:id="1095"/>
      <w:bookmarkEnd w:id="1096"/>
      <w:bookmarkEnd w:id="1097"/>
      <w:bookmarkEnd w:id="1098"/>
      <w:bookmarkEnd w:id="1099"/>
      <w:bookmarkEnd w:id="1100"/>
      <w:bookmarkEnd w:id="1101"/>
      <w:bookmarkEnd w:id="1102"/>
      <w:r>
        <w:rPr>
          <w:rFonts w:hint="eastAsia" w:ascii="黑体" w:hAnsi="黑体" w:eastAsia="黑体"/>
          <w:color w:val="000000"/>
          <w:szCs w:val="21"/>
        </w:rPr>
        <w:t>格形式</w:t>
      </w:r>
    </w:p>
    <w:bookmarkEnd w:id="1103"/>
    <w:bookmarkEnd w:id="1104"/>
    <w:bookmarkEnd w:id="1105"/>
    <w:bookmarkEnd w:id="1106"/>
    <w:bookmarkEnd w:id="1107"/>
    <w:bookmarkEnd w:id="1108"/>
    <w:p>
      <w:pPr>
        <w:spacing w:line="360" w:lineRule="auto"/>
        <w:ind w:firstLine="420" w:firstLineChars="200"/>
        <w:jc w:val="left"/>
        <w:rPr>
          <w:rFonts w:ascii="宋体" w:hAnsi="宋体"/>
          <w:color w:val="000000"/>
          <w:szCs w:val="21"/>
        </w:rPr>
      </w:pPr>
      <w:r>
        <w:rPr>
          <w:rFonts w:ascii="宋体" w:hAnsi="宋体"/>
          <w:color w:val="000000"/>
          <w:szCs w:val="21"/>
        </w:rPr>
        <w:t>1</w:t>
      </w:r>
      <w:r>
        <w:rPr>
          <w:rFonts w:hint="eastAsia" w:ascii="宋体" w:hAnsi="宋体"/>
          <w:color w:val="000000"/>
          <w:szCs w:val="21"/>
        </w:rPr>
        <w:t>、单价合同。</w:t>
      </w:r>
    </w:p>
    <w:p>
      <w:pPr>
        <w:spacing w:line="360" w:lineRule="auto"/>
        <w:ind w:firstLine="420" w:firstLineChars="200"/>
        <w:jc w:val="left"/>
        <w:rPr>
          <w:rFonts w:ascii="宋体" w:hAnsi="宋体"/>
          <w:color w:val="000000"/>
          <w:szCs w:val="21"/>
          <w:u w:val="single"/>
        </w:rPr>
      </w:pPr>
      <w:r>
        <w:rPr>
          <w:rFonts w:hint="eastAsia" w:ascii="宋体" w:hAnsi="宋体"/>
          <w:color w:val="000000"/>
          <w:szCs w:val="21"/>
        </w:rPr>
        <w:t>综合单价包含的风险范围：</w:t>
      </w:r>
      <w:permStart w:id="426" w:edGrp="everyone"/>
    </w:p>
    <w:permEnd w:id="426"/>
    <w:p>
      <w:pPr>
        <w:spacing w:line="360" w:lineRule="auto"/>
        <w:jc w:val="left"/>
        <w:rPr>
          <w:rFonts w:ascii="宋体" w:hAnsi="宋体"/>
          <w:color w:val="000000"/>
          <w:szCs w:val="21"/>
        </w:rPr>
      </w:pPr>
    </w:p>
    <w:p>
      <w:pPr>
        <w:spacing w:line="360" w:lineRule="auto"/>
        <w:ind w:firstLine="420" w:firstLineChars="200"/>
        <w:jc w:val="left"/>
        <w:rPr>
          <w:rFonts w:ascii="宋体" w:hAnsi="宋体"/>
          <w:color w:val="000000"/>
          <w:szCs w:val="21"/>
          <w:u w:val="single"/>
        </w:rPr>
      </w:pPr>
      <w:r>
        <w:rPr>
          <w:rFonts w:hint="eastAsia" w:ascii="宋体" w:hAnsi="宋体"/>
          <w:color w:val="000000"/>
          <w:szCs w:val="21"/>
        </w:rPr>
        <w:t>风险费用的计算方法：</w:t>
      </w:r>
      <w:permStart w:id="427" w:edGrp="everyone"/>
    </w:p>
    <w:permEnd w:id="427"/>
    <w:p>
      <w:pPr>
        <w:spacing w:line="360" w:lineRule="auto"/>
        <w:jc w:val="left"/>
        <w:rPr>
          <w:rFonts w:ascii="宋体" w:hAnsi="宋体"/>
          <w:color w:val="000000"/>
          <w:szCs w:val="21"/>
        </w:rPr>
      </w:pPr>
    </w:p>
    <w:p>
      <w:pPr>
        <w:spacing w:line="360" w:lineRule="auto"/>
        <w:ind w:firstLine="420" w:firstLineChars="200"/>
        <w:jc w:val="left"/>
        <w:rPr>
          <w:rFonts w:ascii="宋体" w:hAnsi="宋体"/>
          <w:color w:val="000000"/>
          <w:szCs w:val="21"/>
          <w:u w:val="single"/>
        </w:rPr>
      </w:pPr>
      <w:r>
        <w:rPr>
          <w:rFonts w:hint="eastAsia" w:ascii="宋体" w:hAnsi="宋体"/>
          <w:color w:val="000000"/>
          <w:szCs w:val="21"/>
        </w:rPr>
        <w:t>风险范围以外合同价格的调整方法：</w:t>
      </w:r>
      <w:permStart w:id="428" w:edGrp="everyone"/>
    </w:p>
    <w:permEnd w:id="428"/>
    <w:p>
      <w:pPr>
        <w:spacing w:line="360" w:lineRule="auto"/>
        <w:ind w:firstLine="420" w:firstLineChars="200"/>
        <w:jc w:val="left"/>
        <w:rPr>
          <w:rFonts w:ascii="宋体" w:hAnsi="宋体"/>
          <w:color w:val="000000"/>
          <w:szCs w:val="21"/>
        </w:rPr>
      </w:pPr>
    </w:p>
    <w:p>
      <w:pPr>
        <w:spacing w:line="360" w:lineRule="auto"/>
        <w:ind w:firstLine="420" w:firstLineChars="200"/>
        <w:jc w:val="left"/>
        <w:rPr>
          <w:rFonts w:ascii="宋体" w:hAnsi="宋体"/>
          <w:color w:val="000000"/>
          <w:szCs w:val="21"/>
        </w:rPr>
      </w:pPr>
      <w:r>
        <w:rPr>
          <w:rFonts w:ascii="宋体" w:hAnsi="宋体"/>
          <w:color w:val="000000"/>
          <w:szCs w:val="21"/>
        </w:rPr>
        <w:t>2</w:t>
      </w:r>
      <w:r>
        <w:rPr>
          <w:rFonts w:hint="eastAsia" w:ascii="宋体" w:hAnsi="宋体"/>
          <w:color w:val="000000"/>
          <w:szCs w:val="21"/>
        </w:rPr>
        <w:t>、总价合同。</w:t>
      </w:r>
    </w:p>
    <w:p>
      <w:pPr>
        <w:spacing w:line="360" w:lineRule="auto"/>
        <w:ind w:firstLine="420" w:firstLineChars="200"/>
        <w:jc w:val="left"/>
        <w:rPr>
          <w:rFonts w:ascii="宋体" w:hAnsi="宋体"/>
          <w:color w:val="000000"/>
          <w:szCs w:val="21"/>
        </w:rPr>
      </w:pPr>
      <w:r>
        <w:rPr>
          <w:rFonts w:hint="eastAsia" w:ascii="宋体" w:hAnsi="宋体"/>
          <w:color w:val="000000"/>
          <w:szCs w:val="21"/>
        </w:rPr>
        <w:t>总价包含的风险范围：</w:t>
      </w:r>
      <w:permStart w:id="429" w:edGrp="everyone"/>
      <w:r>
        <w:rPr>
          <w:rFonts w:hint="eastAsia" w:ascii="宋体" w:hAnsi="宋体"/>
          <w:color w:val="000000"/>
          <w:szCs w:val="21"/>
        </w:rPr>
        <w:t xml:space="preserve">               。</w:t>
      </w:r>
    </w:p>
    <w:permEnd w:id="429"/>
    <w:p>
      <w:pPr>
        <w:spacing w:line="360" w:lineRule="auto"/>
        <w:ind w:firstLine="420" w:firstLineChars="200"/>
        <w:jc w:val="left"/>
        <w:rPr>
          <w:rFonts w:ascii="宋体" w:hAnsi="宋体"/>
          <w:color w:val="000000"/>
          <w:szCs w:val="21"/>
        </w:rPr>
      </w:pPr>
      <w:r>
        <w:rPr>
          <w:rFonts w:hint="eastAsia" w:ascii="宋体" w:hAnsi="宋体"/>
          <w:color w:val="000000"/>
          <w:szCs w:val="21"/>
        </w:rPr>
        <w:t>风险费用的计算方法：</w:t>
      </w:r>
      <w:permStart w:id="430" w:edGrp="everyone"/>
      <w:r>
        <w:rPr>
          <w:rFonts w:hint="eastAsia" w:ascii="宋体" w:hAnsi="宋体"/>
          <w:color w:val="000000"/>
          <w:szCs w:val="21"/>
        </w:rPr>
        <w:t xml:space="preserve">                    。</w:t>
      </w:r>
    </w:p>
    <w:permEnd w:id="430"/>
    <w:p>
      <w:pPr>
        <w:spacing w:line="360" w:lineRule="auto"/>
        <w:ind w:firstLine="420" w:firstLineChars="200"/>
        <w:jc w:val="left"/>
        <w:rPr>
          <w:rFonts w:ascii="宋体" w:hAnsi="宋体"/>
          <w:color w:val="000000"/>
          <w:szCs w:val="21"/>
        </w:rPr>
      </w:pPr>
      <w:r>
        <w:rPr>
          <w:rFonts w:hint="eastAsia" w:ascii="宋体" w:hAnsi="宋体"/>
          <w:color w:val="000000"/>
          <w:szCs w:val="21"/>
        </w:rPr>
        <w:t>风险范围以外合同价格的调整方法：</w:t>
      </w:r>
      <w:permStart w:id="431" w:edGrp="everyone"/>
      <w:r>
        <w:rPr>
          <w:rFonts w:hint="eastAsia" w:ascii="宋体" w:hAnsi="宋体"/>
          <w:color w:val="000000"/>
          <w:szCs w:val="21"/>
        </w:rPr>
        <w:t xml:space="preserve">                       。</w:t>
      </w:r>
      <w:permEnd w:id="431"/>
    </w:p>
    <w:p>
      <w:pPr>
        <w:spacing w:line="360" w:lineRule="auto"/>
        <w:jc w:val="left"/>
        <w:rPr>
          <w:rFonts w:ascii="宋体" w:hAnsi="宋体"/>
          <w:color w:val="000000"/>
          <w:szCs w:val="21"/>
        </w:rPr>
      </w:pPr>
      <w:r>
        <w:rPr>
          <w:rFonts w:ascii="宋体" w:hAnsi="宋体"/>
          <w:color w:val="000000"/>
          <w:szCs w:val="21"/>
        </w:rPr>
        <w:t>3</w:t>
      </w:r>
      <w:r>
        <w:rPr>
          <w:rFonts w:hint="eastAsia" w:ascii="宋体" w:hAnsi="宋体"/>
          <w:color w:val="000000"/>
          <w:szCs w:val="21"/>
        </w:rPr>
        <w:t>、其他价格方式</w:t>
      </w:r>
      <w:r>
        <w:rPr>
          <w:rFonts w:hint="eastAsia" w:ascii="宋体" w:hAnsi="宋体"/>
          <w:color w:val="000000"/>
          <w:szCs w:val="21"/>
          <w:lang w:eastAsia="zh-CN"/>
        </w:rPr>
        <w:t>：</w:t>
      </w:r>
    </w:p>
    <w:p>
      <w:pPr>
        <w:spacing w:line="360" w:lineRule="auto"/>
        <w:jc w:val="left"/>
        <w:rPr>
          <w:rFonts w:ascii="宋体" w:hAnsi="宋体"/>
          <w:color w:val="000000"/>
          <w:szCs w:val="21"/>
          <w:u w:val="single"/>
        </w:rPr>
      </w:pPr>
      <w:permStart w:id="432" w:edGrp="everyone"/>
    </w:p>
    <w:permEnd w:id="432"/>
    <w:p>
      <w:pPr>
        <w:spacing w:after="120" w:line="360" w:lineRule="auto"/>
        <w:ind w:firstLine="420" w:firstLineChars="200"/>
        <w:rPr>
          <w:rFonts w:ascii="黑体" w:hAnsi="黑体" w:eastAsia="黑体"/>
          <w:color w:val="000000"/>
          <w:szCs w:val="21"/>
        </w:rPr>
      </w:pPr>
      <w:bookmarkStart w:id="1109" w:name="_Toc300935004"/>
      <w:bookmarkStart w:id="1110" w:name="_Toc304295581"/>
      <w:bookmarkStart w:id="1111" w:name="_Toc297123554"/>
      <w:bookmarkStart w:id="1112" w:name="_Toc303539161"/>
      <w:bookmarkStart w:id="1113" w:name="_Toc297216213"/>
      <w:bookmarkStart w:id="1114" w:name="_Toc312678042"/>
      <w:bookmarkStart w:id="1115" w:name="_Toc296503207"/>
      <w:bookmarkStart w:id="1116" w:name="_Toc292559412"/>
      <w:bookmarkStart w:id="1117" w:name="_Toc297048393"/>
      <w:bookmarkStart w:id="1118" w:name="_Toc296944546"/>
      <w:bookmarkStart w:id="1119" w:name="_Toc296346708"/>
      <w:bookmarkStart w:id="1120" w:name="_Toc296347206"/>
      <w:bookmarkStart w:id="1121" w:name="_Toc297120507"/>
      <w:bookmarkStart w:id="1122" w:name="_Toc296891247"/>
      <w:bookmarkStart w:id="1123" w:name="_Toc296891035"/>
      <w:bookmarkStart w:id="1124" w:name="_Toc292559917"/>
      <w:r>
        <w:rPr>
          <w:rFonts w:ascii="黑体" w:hAnsi="黑体" w:eastAsia="黑体"/>
          <w:color w:val="000000"/>
          <w:szCs w:val="21"/>
        </w:rPr>
        <w:t xml:space="preserve">12.2 </w:t>
      </w:r>
      <w:r>
        <w:rPr>
          <w:rFonts w:hint="eastAsia" w:ascii="黑体" w:hAnsi="黑体" w:eastAsia="黑体"/>
          <w:color w:val="000000"/>
          <w:szCs w:val="21"/>
        </w:rPr>
        <w:t>预付款</w:t>
      </w:r>
    </w:p>
    <w:bookmarkEnd w:id="1109"/>
    <w:bookmarkEnd w:id="1110"/>
    <w:bookmarkEnd w:id="1111"/>
    <w:bookmarkEnd w:id="1112"/>
    <w:bookmarkEnd w:id="1113"/>
    <w:bookmarkEnd w:id="1114"/>
    <w:p>
      <w:pPr>
        <w:spacing w:line="360" w:lineRule="auto"/>
        <w:ind w:firstLine="420" w:firstLineChars="200"/>
        <w:jc w:val="left"/>
        <w:rPr>
          <w:rFonts w:ascii="宋体" w:hAnsi="宋体"/>
          <w:color w:val="000000"/>
          <w:szCs w:val="21"/>
        </w:rPr>
      </w:pPr>
      <w:r>
        <w:rPr>
          <w:rFonts w:ascii="宋体" w:hAnsi="宋体"/>
          <w:color w:val="000000"/>
          <w:szCs w:val="21"/>
        </w:rPr>
        <w:t xml:space="preserve">12.2.1 </w:t>
      </w:r>
      <w:r>
        <w:rPr>
          <w:rFonts w:hint="eastAsia" w:ascii="宋体" w:hAnsi="宋体"/>
          <w:color w:val="000000"/>
          <w:szCs w:val="21"/>
        </w:rPr>
        <w:t>预付款的支付</w:t>
      </w:r>
    </w:p>
    <w:p>
      <w:pPr>
        <w:spacing w:line="360" w:lineRule="auto"/>
        <w:ind w:firstLine="420" w:firstLineChars="200"/>
        <w:jc w:val="left"/>
        <w:rPr>
          <w:rFonts w:ascii="宋体" w:hAnsi="宋体"/>
          <w:color w:val="000000"/>
          <w:szCs w:val="21"/>
        </w:rPr>
      </w:pPr>
      <w:r>
        <w:rPr>
          <w:rFonts w:hint="eastAsia" w:ascii="宋体" w:hAnsi="宋体"/>
          <w:color w:val="000000"/>
          <w:szCs w:val="21"/>
        </w:rPr>
        <w:t>预付款支付比例或金额：</w:t>
      </w:r>
      <w:permStart w:id="433" w:edGrp="everyone"/>
      <w:r>
        <w:rPr>
          <w:rFonts w:hint="eastAsia" w:ascii="宋体" w:hAnsi="宋体"/>
          <w:color w:val="000000"/>
          <w:szCs w:val="21"/>
        </w:rPr>
        <w:t xml:space="preserve"> </w:t>
      </w:r>
      <w:r>
        <w:rPr>
          <w:rFonts w:ascii="宋体" w:hAnsi="宋体"/>
          <w:color w:val="000000"/>
          <w:szCs w:val="21"/>
        </w:rPr>
        <w:t xml:space="preserve">                                 </w:t>
      </w:r>
      <w:permEnd w:id="433"/>
      <w:r>
        <w:rPr>
          <w:rFonts w:hint="eastAsia" w:ascii="宋体" w:hAnsi="宋体"/>
          <w:color w:val="000000"/>
          <w:szCs w:val="21"/>
        </w:rPr>
        <w:t>。</w:t>
      </w:r>
    </w:p>
    <w:p>
      <w:pPr>
        <w:spacing w:line="360" w:lineRule="auto"/>
        <w:ind w:firstLine="420" w:firstLineChars="200"/>
        <w:jc w:val="left"/>
        <w:rPr>
          <w:rFonts w:ascii="宋体" w:hAnsi="宋体"/>
          <w:color w:val="000000"/>
          <w:szCs w:val="21"/>
        </w:rPr>
      </w:pPr>
      <w:r>
        <w:rPr>
          <w:rFonts w:hint="eastAsia" w:ascii="宋体" w:hAnsi="宋体"/>
          <w:color w:val="000000"/>
          <w:szCs w:val="21"/>
        </w:rPr>
        <w:t>预付款支付期限：</w:t>
      </w:r>
      <w:permStart w:id="434" w:edGrp="everyone"/>
      <w:r>
        <w:rPr>
          <w:rFonts w:hint="eastAsia" w:ascii="宋体" w:hAnsi="宋体"/>
          <w:color w:val="000000"/>
          <w:szCs w:val="21"/>
        </w:rPr>
        <w:t xml:space="preserve"> </w:t>
      </w:r>
      <w:r>
        <w:rPr>
          <w:rFonts w:ascii="宋体" w:hAnsi="宋体"/>
          <w:color w:val="000000"/>
          <w:szCs w:val="21"/>
        </w:rPr>
        <w:t xml:space="preserve">                                       </w:t>
      </w:r>
      <w:permEnd w:id="434"/>
      <w:r>
        <w:rPr>
          <w:rFonts w:hint="eastAsia" w:ascii="宋体" w:hAnsi="宋体"/>
          <w:color w:val="000000"/>
          <w:szCs w:val="21"/>
        </w:rPr>
        <w:t>。</w:t>
      </w:r>
    </w:p>
    <w:p>
      <w:pPr>
        <w:spacing w:line="360" w:lineRule="auto"/>
        <w:ind w:firstLine="420" w:firstLineChars="200"/>
        <w:jc w:val="left"/>
        <w:rPr>
          <w:rFonts w:ascii="宋体" w:hAnsi="宋体"/>
          <w:color w:val="000000"/>
          <w:szCs w:val="21"/>
        </w:rPr>
      </w:pPr>
      <w:r>
        <w:rPr>
          <w:rFonts w:hint="eastAsia" w:ascii="宋体" w:hAnsi="宋体"/>
          <w:color w:val="000000"/>
          <w:szCs w:val="21"/>
        </w:rPr>
        <w:t>预付款扣回的方式：</w:t>
      </w:r>
      <w:permStart w:id="435" w:edGrp="everyone"/>
      <w:r>
        <w:rPr>
          <w:rFonts w:hint="eastAsia" w:ascii="宋体" w:hAnsi="宋体"/>
          <w:color w:val="000000"/>
          <w:szCs w:val="21"/>
        </w:rPr>
        <w:t xml:space="preserve">                                           </w:t>
      </w:r>
      <w:permEnd w:id="435"/>
      <w:r>
        <w:rPr>
          <w:rFonts w:hint="eastAsia" w:ascii="宋体" w:hAnsi="宋体"/>
          <w:color w:val="000000"/>
          <w:szCs w:val="21"/>
        </w:rPr>
        <w:t>。</w:t>
      </w:r>
    </w:p>
    <w:p>
      <w:pPr>
        <w:spacing w:line="360" w:lineRule="auto"/>
        <w:ind w:firstLine="420" w:firstLineChars="200"/>
        <w:jc w:val="left"/>
        <w:rPr>
          <w:rFonts w:ascii="宋体" w:hAnsi="宋体"/>
          <w:color w:val="000000"/>
          <w:szCs w:val="21"/>
        </w:rPr>
      </w:pPr>
      <w:r>
        <w:rPr>
          <w:rFonts w:ascii="宋体" w:hAnsi="宋体"/>
          <w:color w:val="000000"/>
          <w:szCs w:val="21"/>
        </w:rPr>
        <w:t xml:space="preserve">12.2.2 </w:t>
      </w:r>
      <w:r>
        <w:rPr>
          <w:rFonts w:hint="eastAsia" w:ascii="宋体" w:hAnsi="宋体"/>
          <w:color w:val="000000"/>
          <w:szCs w:val="21"/>
        </w:rPr>
        <w:t>预付款担保</w:t>
      </w:r>
    </w:p>
    <w:p>
      <w:pPr>
        <w:spacing w:line="360" w:lineRule="auto"/>
        <w:ind w:firstLine="420" w:firstLineChars="200"/>
        <w:jc w:val="left"/>
        <w:rPr>
          <w:rFonts w:ascii="宋体" w:hAnsi="宋体"/>
          <w:color w:val="000000"/>
          <w:szCs w:val="21"/>
        </w:rPr>
      </w:pPr>
      <w:r>
        <w:rPr>
          <w:rFonts w:hint="eastAsia" w:ascii="宋体" w:hAnsi="宋体"/>
          <w:color w:val="000000"/>
          <w:szCs w:val="21"/>
        </w:rPr>
        <w:t>承包人提交预付款担保的期限：</w:t>
      </w:r>
      <w:permStart w:id="436" w:edGrp="everyone"/>
      <w:r>
        <w:rPr>
          <w:rFonts w:hint="eastAsia" w:ascii="宋体" w:hAnsi="宋体"/>
          <w:color w:val="000000"/>
          <w:szCs w:val="21"/>
        </w:rPr>
        <w:t xml:space="preserve">                                          </w:t>
      </w:r>
      <w:permEnd w:id="436"/>
      <w:r>
        <w:rPr>
          <w:rFonts w:hint="eastAsia" w:ascii="宋体" w:hAnsi="宋体"/>
          <w:color w:val="000000"/>
          <w:szCs w:val="21"/>
        </w:rPr>
        <w:t>。</w:t>
      </w:r>
    </w:p>
    <w:p>
      <w:pPr>
        <w:spacing w:line="360" w:lineRule="auto"/>
        <w:ind w:firstLine="420" w:firstLineChars="200"/>
        <w:jc w:val="left"/>
        <w:rPr>
          <w:rFonts w:ascii="宋体" w:hAnsi="宋体"/>
          <w:color w:val="000000"/>
          <w:szCs w:val="21"/>
        </w:rPr>
      </w:pPr>
      <w:r>
        <w:rPr>
          <w:rFonts w:hint="eastAsia" w:ascii="宋体" w:hAnsi="宋体"/>
          <w:color w:val="000000"/>
          <w:szCs w:val="21"/>
        </w:rPr>
        <w:t>预付款担保的形式为</w:t>
      </w:r>
      <w:r>
        <w:rPr>
          <w:rFonts w:hint="eastAsia" w:ascii="宋体" w:hAnsi="宋体"/>
          <w:color w:val="000000"/>
          <w:szCs w:val="21"/>
          <w:lang w:eastAsia="zh-CN"/>
        </w:rPr>
        <w:t>：</w:t>
      </w:r>
    </w:p>
    <w:bookmarkEnd w:id="1115"/>
    <w:bookmarkEnd w:id="1116"/>
    <w:bookmarkEnd w:id="1117"/>
    <w:bookmarkEnd w:id="1118"/>
    <w:bookmarkEnd w:id="1119"/>
    <w:bookmarkEnd w:id="1120"/>
    <w:bookmarkEnd w:id="1121"/>
    <w:bookmarkEnd w:id="1122"/>
    <w:bookmarkEnd w:id="1123"/>
    <w:bookmarkEnd w:id="1124"/>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 xml:space="preserve">12.3 </w:t>
      </w:r>
      <w:r>
        <w:rPr>
          <w:rFonts w:hint="eastAsia" w:ascii="黑体" w:hAnsi="黑体" w:eastAsia="黑体"/>
          <w:color w:val="000000"/>
          <w:szCs w:val="21"/>
        </w:rPr>
        <w:t>计量</w:t>
      </w:r>
    </w:p>
    <w:p>
      <w:pPr>
        <w:spacing w:line="360" w:lineRule="auto"/>
        <w:ind w:firstLine="420" w:firstLineChars="200"/>
        <w:jc w:val="left"/>
        <w:rPr>
          <w:rFonts w:ascii="宋体" w:hAnsi="宋体"/>
          <w:color w:val="000000"/>
          <w:szCs w:val="21"/>
        </w:rPr>
      </w:pPr>
      <w:r>
        <w:rPr>
          <w:rFonts w:ascii="宋体" w:hAnsi="宋体"/>
          <w:color w:val="000000"/>
          <w:szCs w:val="21"/>
        </w:rPr>
        <w:t xml:space="preserve">12.3.1 </w:t>
      </w:r>
      <w:r>
        <w:rPr>
          <w:rFonts w:hint="eastAsia" w:ascii="宋体" w:hAnsi="宋体"/>
          <w:color w:val="000000"/>
          <w:szCs w:val="21"/>
        </w:rPr>
        <w:t>计量原则</w:t>
      </w:r>
    </w:p>
    <w:p>
      <w:pPr>
        <w:spacing w:line="360" w:lineRule="auto"/>
        <w:ind w:firstLine="420" w:firstLineChars="200"/>
        <w:jc w:val="left"/>
        <w:rPr>
          <w:rFonts w:ascii="宋体" w:hAnsi="宋体"/>
          <w:color w:val="000000"/>
          <w:szCs w:val="21"/>
        </w:rPr>
      </w:pPr>
      <w:r>
        <w:rPr>
          <w:rFonts w:hint="eastAsia" w:ascii="宋体" w:hAnsi="宋体"/>
          <w:color w:val="000000"/>
          <w:szCs w:val="21"/>
        </w:rPr>
        <w:t>工程量计算规则：</w:t>
      </w:r>
      <w:permStart w:id="437" w:edGrp="everyone"/>
      <w:r>
        <w:rPr>
          <w:rFonts w:hint="eastAsia" w:ascii="宋体" w:hAnsi="宋体"/>
          <w:color w:val="000000"/>
          <w:szCs w:val="21"/>
        </w:rPr>
        <w:t xml:space="preserve">                                                          </w:t>
      </w:r>
      <w:permEnd w:id="437"/>
      <w:r>
        <w:rPr>
          <w:rFonts w:hint="eastAsia" w:ascii="宋体" w:hAnsi="宋体"/>
          <w:color w:val="000000"/>
          <w:szCs w:val="21"/>
        </w:rPr>
        <w:t>。</w:t>
      </w:r>
    </w:p>
    <w:p>
      <w:pPr>
        <w:spacing w:line="360" w:lineRule="auto"/>
        <w:ind w:firstLine="420" w:firstLineChars="200"/>
        <w:jc w:val="left"/>
        <w:rPr>
          <w:rFonts w:ascii="宋体" w:hAnsi="宋体"/>
          <w:color w:val="000000"/>
          <w:szCs w:val="21"/>
        </w:rPr>
      </w:pPr>
      <w:r>
        <w:rPr>
          <w:rFonts w:ascii="宋体" w:hAnsi="宋体"/>
          <w:color w:val="000000"/>
          <w:szCs w:val="21"/>
        </w:rPr>
        <w:t xml:space="preserve">12.3.2 </w:t>
      </w:r>
      <w:r>
        <w:rPr>
          <w:rFonts w:hint="eastAsia" w:ascii="宋体" w:hAnsi="宋体"/>
          <w:color w:val="000000"/>
          <w:szCs w:val="21"/>
        </w:rPr>
        <w:t>计量周期</w:t>
      </w:r>
    </w:p>
    <w:p>
      <w:pPr>
        <w:spacing w:line="360" w:lineRule="auto"/>
        <w:ind w:firstLine="420" w:firstLineChars="200"/>
        <w:jc w:val="left"/>
        <w:rPr>
          <w:rFonts w:ascii="宋体" w:hAnsi="宋体"/>
          <w:color w:val="000000"/>
          <w:szCs w:val="21"/>
        </w:rPr>
      </w:pPr>
      <w:r>
        <w:rPr>
          <w:rFonts w:hint="eastAsia" w:ascii="宋体" w:hAnsi="宋体"/>
          <w:color w:val="000000"/>
          <w:szCs w:val="21"/>
        </w:rPr>
        <w:t>关于计量周期的约定：</w:t>
      </w:r>
      <w:permStart w:id="438" w:edGrp="everyone"/>
      <w:r>
        <w:rPr>
          <w:rFonts w:hint="eastAsia" w:ascii="宋体" w:hAnsi="宋体"/>
          <w:color w:val="000000"/>
          <w:szCs w:val="21"/>
        </w:rPr>
        <w:t xml:space="preserve">                                                               </w:t>
      </w:r>
      <w:permEnd w:id="438"/>
      <w:r>
        <w:rPr>
          <w:rFonts w:hint="eastAsia" w:ascii="宋体" w:hAnsi="宋体"/>
          <w:color w:val="000000"/>
          <w:szCs w:val="21"/>
        </w:rPr>
        <w:t>。</w:t>
      </w:r>
    </w:p>
    <w:p>
      <w:pPr>
        <w:spacing w:line="360" w:lineRule="auto"/>
        <w:ind w:firstLine="420" w:firstLineChars="200"/>
        <w:jc w:val="left"/>
        <w:rPr>
          <w:rFonts w:ascii="宋体" w:hAnsi="宋体"/>
          <w:color w:val="000000"/>
          <w:szCs w:val="21"/>
        </w:rPr>
      </w:pPr>
      <w:r>
        <w:rPr>
          <w:rFonts w:ascii="宋体" w:hAnsi="宋体"/>
          <w:color w:val="000000"/>
          <w:szCs w:val="21"/>
        </w:rPr>
        <w:t xml:space="preserve">12.3.3 </w:t>
      </w:r>
      <w:r>
        <w:rPr>
          <w:rFonts w:hint="eastAsia" w:ascii="宋体" w:hAnsi="宋体"/>
          <w:color w:val="000000"/>
          <w:szCs w:val="21"/>
        </w:rPr>
        <w:t>单价合同的计量</w:t>
      </w:r>
    </w:p>
    <w:p>
      <w:pPr>
        <w:spacing w:line="360" w:lineRule="auto"/>
        <w:ind w:firstLine="420" w:firstLineChars="200"/>
        <w:jc w:val="left"/>
        <w:rPr>
          <w:rFonts w:ascii="宋体" w:hAnsi="宋体"/>
          <w:color w:val="000000"/>
          <w:szCs w:val="21"/>
        </w:rPr>
      </w:pPr>
      <w:r>
        <w:rPr>
          <w:rFonts w:hint="eastAsia" w:ascii="宋体" w:hAnsi="宋体"/>
          <w:color w:val="000000"/>
          <w:szCs w:val="21"/>
        </w:rPr>
        <w:t>关于单价合同计量的约定：</w:t>
      </w:r>
      <w:permStart w:id="439" w:edGrp="everyone"/>
      <w:r>
        <w:rPr>
          <w:rFonts w:hint="eastAsia" w:ascii="宋体" w:hAnsi="宋体"/>
          <w:color w:val="000000"/>
          <w:szCs w:val="21"/>
        </w:rPr>
        <w:t xml:space="preserve">                           </w:t>
      </w:r>
      <w:permEnd w:id="439"/>
      <w:r>
        <w:rPr>
          <w:rFonts w:hint="eastAsia" w:ascii="宋体" w:hAnsi="宋体"/>
          <w:color w:val="000000"/>
          <w:szCs w:val="21"/>
        </w:rPr>
        <w:t>。</w:t>
      </w:r>
    </w:p>
    <w:p>
      <w:pPr>
        <w:spacing w:line="360" w:lineRule="auto"/>
        <w:ind w:firstLine="420" w:firstLineChars="200"/>
        <w:jc w:val="left"/>
        <w:rPr>
          <w:rFonts w:ascii="宋体" w:hAnsi="宋体"/>
          <w:color w:val="000000"/>
          <w:szCs w:val="21"/>
        </w:rPr>
      </w:pPr>
      <w:r>
        <w:rPr>
          <w:rFonts w:ascii="宋体" w:hAnsi="宋体"/>
          <w:color w:val="000000"/>
          <w:szCs w:val="21"/>
        </w:rPr>
        <w:t xml:space="preserve">12.3.4 </w:t>
      </w:r>
      <w:r>
        <w:rPr>
          <w:rFonts w:hint="eastAsia" w:ascii="宋体" w:hAnsi="宋体"/>
          <w:color w:val="000000"/>
          <w:szCs w:val="21"/>
        </w:rPr>
        <w:t>总价合同的计量</w:t>
      </w:r>
    </w:p>
    <w:p>
      <w:pPr>
        <w:spacing w:line="360" w:lineRule="auto"/>
        <w:ind w:firstLine="420" w:firstLineChars="200"/>
        <w:jc w:val="left"/>
        <w:rPr>
          <w:rFonts w:ascii="宋体" w:hAnsi="宋体"/>
          <w:color w:val="000000"/>
          <w:szCs w:val="21"/>
        </w:rPr>
      </w:pPr>
      <w:r>
        <w:rPr>
          <w:rFonts w:hint="eastAsia" w:ascii="宋体" w:hAnsi="宋体"/>
          <w:color w:val="000000"/>
          <w:szCs w:val="21"/>
        </w:rPr>
        <w:t>关于总价合同计量的约定：</w:t>
      </w:r>
      <w:permStart w:id="440" w:edGrp="everyone"/>
      <w:r>
        <w:rPr>
          <w:rFonts w:hint="eastAsia" w:ascii="宋体" w:hAnsi="宋体"/>
          <w:color w:val="000000"/>
          <w:szCs w:val="21"/>
        </w:rPr>
        <w:t xml:space="preserve"> </w:t>
      </w:r>
      <w:r>
        <w:rPr>
          <w:rFonts w:ascii="宋体" w:hAnsi="宋体"/>
          <w:color w:val="000000"/>
          <w:szCs w:val="21"/>
        </w:rPr>
        <w:t xml:space="preserve">                                </w:t>
      </w:r>
      <w:permEnd w:id="440"/>
      <w:r>
        <w:rPr>
          <w:rFonts w:hint="eastAsia" w:ascii="宋体" w:hAnsi="宋体"/>
          <w:color w:val="000000"/>
          <w:szCs w:val="21"/>
        </w:rPr>
        <w:t>。</w:t>
      </w:r>
    </w:p>
    <w:p>
      <w:pPr>
        <w:spacing w:line="360" w:lineRule="auto"/>
        <w:ind w:firstLine="420" w:firstLineChars="200"/>
        <w:jc w:val="left"/>
        <w:rPr>
          <w:rFonts w:ascii="宋体" w:hAnsi="宋体"/>
          <w:color w:val="000000"/>
          <w:szCs w:val="21"/>
        </w:rPr>
      </w:pPr>
      <w:r>
        <w:rPr>
          <w:rFonts w:ascii="宋体" w:hAnsi="宋体"/>
          <w:color w:val="000000"/>
          <w:szCs w:val="21"/>
        </w:rPr>
        <w:t>12.3.5</w:t>
      </w:r>
      <w:r>
        <w:rPr>
          <w:rFonts w:hint="eastAsia" w:ascii="宋体" w:hAnsi="宋体"/>
          <w:color w:val="000000"/>
          <w:szCs w:val="21"/>
        </w:rPr>
        <w:t>总价合同采用支付分解表计量支付的，是否适用第</w:t>
      </w:r>
      <w:r>
        <w:rPr>
          <w:rFonts w:ascii="宋体" w:hAnsi="宋体"/>
          <w:color w:val="000000"/>
          <w:kern w:val="0"/>
          <w:szCs w:val="21"/>
        </w:rPr>
        <w:t xml:space="preserve">12.3.4 </w:t>
      </w:r>
      <w:r>
        <w:rPr>
          <w:rFonts w:hint="eastAsia" w:ascii="宋体" w:hAnsi="宋体"/>
          <w:color w:val="000000"/>
          <w:szCs w:val="21"/>
        </w:rPr>
        <w:t>项</w:t>
      </w:r>
      <w:r>
        <w:rPr>
          <w:rFonts w:hint="eastAsia" w:ascii="宋体" w:hAnsi="宋体"/>
          <w:color w:val="000000"/>
          <w:kern w:val="0"/>
          <w:szCs w:val="21"/>
        </w:rPr>
        <w:t>〔总价合同的计量〕</w:t>
      </w:r>
      <w:r>
        <w:rPr>
          <w:rFonts w:hint="eastAsia" w:ascii="宋体" w:hAnsi="宋体"/>
          <w:color w:val="000000"/>
          <w:szCs w:val="21"/>
        </w:rPr>
        <w:t>约定进行计量：</w:t>
      </w:r>
      <w:permStart w:id="441" w:edGrp="everyone"/>
      <w:r>
        <w:rPr>
          <w:rFonts w:hint="eastAsia" w:ascii="宋体" w:hAnsi="宋体"/>
          <w:color w:val="000000"/>
          <w:szCs w:val="21"/>
        </w:rPr>
        <w:t xml:space="preserve"> </w:t>
      </w:r>
      <w:r>
        <w:rPr>
          <w:rFonts w:ascii="宋体" w:hAnsi="宋体"/>
          <w:color w:val="000000"/>
          <w:szCs w:val="21"/>
        </w:rPr>
        <w:t xml:space="preserve">                           </w:t>
      </w:r>
      <w:permEnd w:id="441"/>
      <w:r>
        <w:rPr>
          <w:rFonts w:hint="eastAsia" w:ascii="宋体" w:hAnsi="宋体"/>
          <w:color w:val="000000"/>
          <w:szCs w:val="21"/>
        </w:rPr>
        <w:t>。</w:t>
      </w:r>
    </w:p>
    <w:p>
      <w:pPr>
        <w:spacing w:line="360" w:lineRule="auto"/>
        <w:ind w:firstLine="420" w:firstLineChars="200"/>
        <w:jc w:val="left"/>
        <w:rPr>
          <w:rFonts w:ascii="宋体" w:hAnsi="宋体"/>
          <w:color w:val="000000"/>
          <w:szCs w:val="21"/>
        </w:rPr>
      </w:pPr>
      <w:r>
        <w:rPr>
          <w:rFonts w:ascii="宋体" w:hAnsi="宋体"/>
          <w:color w:val="000000"/>
          <w:szCs w:val="21"/>
        </w:rPr>
        <w:t xml:space="preserve">12.3.6 </w:t>
      </w:r>
      <w:r>
        <w:rPr>
          <w:rFonts w:hint="eastAsia" w:ascii="宋体" w:hAnsi="宋体"/>
          <w:color w:val="000000"/>
          <w:szCs w:val="21"/>
        </w:rPr>
        <w:t>其他价格形式合同的计量</w:t>
      </w:r>
    </w:p>
    <w:p>
      <w:pPr>
        <w:spacing w:line="360" w:lineRule="auto"/>
        <w:ind w:firstLine="420" w:firstLineChars="200"/>
        <w:jc w:val="left"/>
        <w:rPr>
          <w:rFonts w:ascii="宋体" w:hAnsi="宋体"/>
          <w:color w:val="000000"/>
          <w:szCs w:val="21"/>
          <w:u w:val="single"/>
        </w:rPr>
      </w:pPr>
      <w:r>
        <w:rPr>
          <w:rFonts w:hint="eastAsia" w:ascii="宋体" w:hAnsi="宋体"/>
          <w:color w:val="000000"/>
          <w:szCs w:val="21"/>
        </w:rPr>
        <w:t>其他价格形式的计量方式和程序：</w:t>
      </w:r>
      <w:permStart w:id="442" w:edGrp="everyone"/>
      <w:r>
        <w:rPr>
          <w:rFonts w:hint="eastAsia" w:ascii="宋体" w:hAnsi="宋体"/>
          <w:color w:val="000000"/>
          <w:szCs w:val="21"/>
        </w:rPr>
        <w:t xml:space="preserve"> </w:t>
      </w:r>
      <w:r>
        <w:rPr>
          <w:rFonts w:ascii="宋体" w:hAnsi="宋体"/>
          <w:color w:val="000000"/>
          <w:szCs w:val="21"/>
        </w:rPr>
        <w:t xml:space="preserve">                       </w:t>
      </w:r>
    </w:p>
    <w:permEnd w:id="442"/>
    <w:p>
      <w:pPr>
        <w:spacing w:line="360" w:lineRule="auto"/>
        <w:jc w:val="left"/>
        <w:rPr>
          <w:rFonts w:ascii="宋体" w:hAnsi="宋体"/>
          <w:color w:val="000000"/>
          <w:szCs w:val="21"/>
        </w:rPr>
      </w:pPr>
    </w:p>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 xml:space="preserve">12.4 </w:t>
      </w:r>
      <w:r>
        <w:rPr>
          <w:rFonts w:hint="eastAsia" w:ascii="黑体" w:hAnsi="黑体" w:eastAsia="黑体"/>
          <w:color w:val="000000"/>
          <w:szCs w:val="21"/>
        </w:rPr>
        <w:t>工程进度款支付</w:t>
      </w:r>
    </w:p>
    <w:p>
      <w:pPr>
        <w:spacing w:line="360" w:lineRule="auto"/>
        <w:ind w:firstLine="420" w:firstLineChars="200"/>
        <w:jc w:val="left"/>
        <w:rPr>
          <w:rFonts w:ascii="宋体" w:hAnsi="宋体"/>
          <w:color w:val="000000"/>
          <w:szCs w:val="21"/>
        </w:rPr>
      </w:pPr>
      <w:bookmarkStart w:id="1125" w:name="_Toc292559416"/>
      <w:bookmarkStart w:id="1126" w:name="_Toc296891039"/>
      <w:bookmarkStart w:id="1127" w:name="_Toc292559921"/>
      <w:bookmarkStart w:id="1128" w:name="_Toc296503211"/>
      <w:bookmarkStart w:id="1129" w:name="_Toc297048397"/>
      <w:bookmarkStart w:id="1130" w:name="_Toc297123556"/>
      <w:bookmarkStart w:id="1131" w:name="_Toc303539163"/>
      <w:bookmarkStart w:id="1132" w:name="_Toc296347210"/>
      <w:bookmarkStart w:id="1133" w:name="_Toc296346712"/>
      <w:bookmarkStart w:id="1134" w:name="_Toc296891251"/>
      <w:bookmarkStart w:id="1135" w:name="_Toc297216215"/>
      <w:bookmarkStart w:id="1136" w:name="_Toc297120511"/>
      <w:bookmarkStart w:id="1137" w:name="_Toc300935006"/>
      <w:bookmarkStart w:id="1138" w:name="_Toc296944550"/>
      <w:r>
        <w:rPr>
          <w:rFonts w:ascii="宋体" w:hAnsi="宋体"/>
          <w:color w:val="000000"/>
          <w:szCs w:val="21"/>
        </w:rPr>
        <w:t xml:space="preserve">12.4.1 </w:t>
      </w:r>
      <w:r>
        <w:rPr>
          <w:rFonts w:hint="eastAsia" w:ascii="宋体" w:hAnsi="宋体"/>
          <w:color w:val="000000"/>
          <w:szCs w:val="21"/>
        </w:rPr>
        <w:t>付款周期</w:t>
      </w:r>
    </w:p>
    <w:p>
      <w:pPr>
        <w:spacing w:line="360" w:lineRule="auto"/>
        <w:ind w:firstLine="420" w:firstLineChars="200"/>
        <w:jc w:val="left"/>
        <w:rPr>
          <w:rFonts w:ascii="宋体" w:hAnsi="宋体"/>
          <w:color w:val="000000"/>
          <w:szCs w:val="21"/>
        </w:rPr>
      </w:pPr>
      <w:r>
        <w:rPr>
          <w:rFonts w:hint="eastAsia" w:ascii="宋体" w:hAnsi="宋体"/>
          <w:color w:val="000000"/>
          <w:szCs w:val="21"/>
        </w:rPr>
        <w:t>关于付款周期的约定：</w:t>
      </w:r>
      <w:permStart w:id="443" w:edGrp="everyone"/>
      <w:r>
        <w:rPr>
          <w:rFonts w:hint="eastAsia" w:ascii="宋体" w:hAnsi="宋体"/>
          <w:color w:val="000000"/>
          <w:szCs w:val="21"/>
        </w:rPr>
        <w:t xml:space="preserve">                            </w:t>
      </w:r>
      <w:permEnd w:id="443"/>
      <w:r>
        <w:rPr>
          <w:rFonts w:hint="eastAsia" w:ascii="宋体" w:hAnsi="宋体"/>
          <w:color w:val="000000"/>
          <w:szCs w:val="21"/>
        </w:rPr>
        <w:t>。</w:t>
      </w:r>
    </w:p>
    <w:p>
      <w:pPr>
        <w:spacing w:line="360" w:lineRule="auto"/>
        <w:ind w:firstLine="420" w:firstLineChars="200"/>
        <w:jc w:val="left"/>
        <w:rPr>
          <w:rFonts w:ascii="宋体" w:hAnsi="宋体"/>
          <w:color w:val="000000"/>
          <w:szCs w:val="21"/>
        </w:rPr>
      </w:pPr>
      <w:r>
        <w:rPr>
          <w:rFonts w:ascii="宋体" w:hAnsi="宋体"/>
          <w:color w:val="000000"/>
          <w:szCs w:val="21"/>
        </w:rPr>
        <w:t xml:space="preserve">12.4.2 </w:t>
      </w:r>
      <w:r>
        <w:rPr>
          <w:rFonts w:hint="eastAsia" w:ascii="宋体" w:hAnsi="宋体"/>
          <w:color w:val="000000"/>
          <w:szCs w:val="21"/>
        </w:rPr>
        <w:t>进度付款申请单的编制</w:t>
      </w:r>
    </w:p>
    <w:p>
      <w:pPr>
        <w:spacing w:line="360" w:lineRule="auto"/>
        <w:ind w:firstLine="420" w:firstLineChars="200"/>
        <w:jc w:val="left"/>
        <w:rPr>
          <w:rFonts w:ascii="宋体" w:hAnsi="宋体"/>
          <w:color w:val="000000"/>
          <w:szCs w:val="21"/>
          <w:u w:val="single"/>
        </w:rPr>
      </w:pPr>
      <w:r>
        <w:rPr>
          <w:rFonts w:hint="eastAsia" w:ascii="宋体" w:hAnsi="宋体"/>
          <w:color w:val="000000"/>
          <w:szCs w:val="21"/>
        </w:rPr>
        <w:t>关于进度付款申请单编制的约定：</w:t>
      </w:r>
      <w:permStart w:id="444" w:edGrp="everyone"/>
      <w:r>
        <w:rPr>
          <w:rFonts w:hint="eastAsia" w:ascii="宋体" w:hAnsi="宋体"/>
          <w:color w:val="000000"/>
          <w:szCs w:val="21"/>
        </w:rPr>
        <w:t xml:space="preserve"> </w:t>
      </w:r>
      <w:r>
        <w:rPr>
          <w:rFonts w:ascii="宋体" w:hAnsi="宋体"/>
          <w:color w:val="000000"/>
          <w:szCs w:val="21"/>
        </w:rPr>
        <w:t xml:space="preserve">                               </w:t>
      </w:r>
    </w:p>
    <w:permEnd w:id="444"/>
    <w:p>
      <w:pPr>
        <w:spacing w:line="360" w:lineRule="auto"/>
        <w:jc w:val="left"/>
        <w:rPr>
          <w:rFonts w:ascii="宋体" w:hAnsi="宋体"/>
          <w:color w:val="000000"/>
          <w:szCs w:val="21"/>
        </w:rPr>
      </w:pPr>
    </w:p>
    <w:p>
      <w:pPr>
        <w:spacing w:line="360" w:lineRule="auto"/>
        <w:ind w:firstLine="420" w:firstLineChars="200"/>
        <w:jc w:val="left"/>
        <w:rPr>
          <w:rFonts w:ascii="宋体" w:hAnsi="宋体"/>
          <w:color w:val="000000"/>
          <w:szCs w:val="21"/>
        </w:rPr>
      </w:pPr>
      <w:r>
        <w:rPr>
          <w:rFonts w:ascii="宋体" w:hAnsi="宋体"/>
          <w:color w:val="000000"/>
          <w:szCs w:val="21"/>
        </w:rPr>
        <w:t>1</w:t>
      </w:r>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r>
        <w:rPr>
          <w:rFonts w:ascii="宋体" w:hAnsi="宋体"/>
          <w:color w:val="000000"/>
          <w:szCs w:val="21"/>
        </w:rPr>
        <w:t xml:space="preserve">2.4.3 </w:t>
      </w:r>
      <w:r>
        <w:rPr>
          <w:rFonts w:hint="eastAsia" w:ascii="宋体" w:hAnsi="宋体"/>
          <w:color w:val="000000"/>
          <w:szCs w:val="21"/>
        </w:rPr>
        <w:t>进度付款申请单的提交</w:t>
      </w:r>
    </w:p>
    <w:p>
      <w:pPr>
        <w:spacing w:line="360" w:lineRule="auto"/>
        <w:ind w:firstLine="420" w:firstLineChars="200"/>
        <w:jc w:val="left"/>
        <w:rPr>
          <w:rFonts w:ascii="宋体" w:hAns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）单价合同进度付款申请单提交的约定：</w:t>
      </w:r>
      <w:permStart w:id="445" w:edGrp="everyone"/>
      <w:r>
        <w:rPr>
          <w:rFonts w:hint="eastAsia" w:ascii="宋体" w:hAnsi="宋体"/>
          <w:color w:val="000000"/>
          <w:szCs w:val="21"/>
        </w:rPr>
        <w:t xml:space="preserve"> </w:t>
      </w:r>
      <w:r>
        <w:rPr>
          <w:rFonts w:ascii="宋体" w:hAnsi="宋体"/>
          <w:color w:val="000000"/>
          <w:szCs w:val="21"/>
        </w:rPr>
        <w:t xml:space="preserve">                                                                 </w:t>
      </w:r>
      <w:permEnd w:id="445"/>
      <w:r>
        <w:rPr>
          <w:rFonts w:hint="eastAsia" w:ascii="宋体" w:hAnsi="宋体"/>
          <w:color w:val="000000"/>
          <w:szCs w:val="21"/>
        </w:rPr>
        <w:t>。</w:t>
      </w:r>
    </w:p>
    <w:p>
      <w:pPr>
        <w:spacing w:line="360" w:lineRule="auto"/>
        <w:ind w:firstLine="420" w:firstLineChars="200"/>
        <w:jc w:val="left"/>
        <w:rPr>
          <w:rFonts w:ascii="宋体" w:hAns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）总价合同进度付款申请单提交的约定：</w:t>
      </w:r>
      <w:permStart w:id="446" w:edGrp="everyone"/>
      <w:r>
        <w:rPr>
          <w:rFonts w:hint="eastAsia" w:ascii="宋体" w:hAnsi="宋体"/>
          <w:color w:val="000000"/>
          <w:szCs w:val="21"/>
        </w:rPr>
        <w:t xml:space="preserve">                </w:t>
      </w:r>
      <w:permEnd w:id="446"/>
      <w:r>
        <w:rPr>
          <w:rFonts w:hint="eastAsia" w:ascii="宋体" w:hAnsi="宋体"/>
          <w:color w:val="000000"/>
          <w:szCs w:val="21"/>
        </w:rPr>
        <w:t>。</w:t>
      </w:r>
    </w:p>
    <w:p>
      <w:pPr>
        <w:spacing w:line="360" w:lineRule="auto"/>
        <w:ind w:firstLine="420" w:firstLineChars="200"/>
        <w:jc w:val="left"/>
        <w:rPr>
          <w:rFonts w:ascii="宋体" w:hAnsi="宋体"/>
          <w:color w:val="000000"/>
          <w:szCs w:val="21"/>
          <w:u w:val="single"/>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）其他价格形式合同进度付款申请单提交的约定：</w:t>
      </w:r>
      <w:permStart w:id="447" w:edGrp="everyone"/>
      <w:r>
        <w:rPr>
          <w:rFonts w:hint="eastAsia" w:ascii="宋体" w:hAnsi="宋体"/>
          <w:color w:val="000000"/>
          <w:szCs w:val="21"/>
        </w:rPr>
        <w:t xml:space="preserve">  </w:t>
      </w:r>
      <w:r>
        <w:rPr>
          <w:rFonts w:ascii="宋体" w:hAnsi="宋体"/>
          <w:color w:val="000000"/>
          <w:szCs w:val="21"/>
        </w:rPr>
        <w:t xml:space="preserve">  </w:t>
      </w:r>
    </w:p>
    <w:permEnd w:id="447"/>
    <w:p>
      <w:pPr>
        <w:spacing w:line="360" w:lineRule="auto"/>
        <w:jc w:val="left"/>
        <w:rPr>
          <w:rFonts w:ascii="宋体" w:hAnsi="宋体"/>
          <w:color w:val="000000"/>
          <w:szCs w:val="21"/>
        </w:rPr>
      </w:pPr>
    </w:p>
    <w:p>
      <w:pPr>
        <w:spacing w:line="360" w:lineRule="auto"/>
        <w:ind w:firstLine="420" w:firstLineChars="200"/>
        <w:jc w:val="left"/>
        <w:rPr>
          <w:rFonts w:ascii="宋体" w:hAnsi="宋体"/>
          <w:color w:val="000000"/>
          <w:szCs w:val="21"/>
        </w:rPr>
      </w:pPr>
      <w:r>
        <w:rPr>
          <w:rFonts w:ascii="宋体" w:hAnsi="宋体"/>
          <w:color w:val="000000"/>
          <w:szCs w:val="21"/>
        </w:rPr>
        <w:t xml:space="preserve">12.4.4 </w:t>
      </w:r>
      <w:r>
        <w:rPr>
          <w:rFonts w:hint="eastAsia" w:ascii="宋体" w:hAnsi="宋体"/>
          <w:color w:val="000000"/>
          <w:szCs w:val="21"/>
        </w:rPr>
        <w:t>进度款审核和支付</w:t>
      </w:r>
    </w:p>
    <w:p>
      <w:pPr>
        <w:spacing w:line="360" w:lineRule="auto"/>
        <w:ind w:firstLine="420" w:firstLineChars="200"/>
        <w:jc w:val="left"/>
        <w:rPr>
          <w:rFonts w:ascii="宋体" w:hAnsi="宋体"/>
          <w:color w:val="000000"/>
          <w:szCs w:val="21"/>
          <w:u w:val="single"/>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）监理人审查并报送发包人的期限：</w:t>
      </w:r>
      <w:permStart w:id="448" w:edGrp="everyone"/>
      <w:r>
        <w:rPr>
          <w:rFonts w:hint="eastAsia" w:ascii="宋体" w:hAnsi="宋体"/>
          <w:color w:val="000000"/>
          <w:szCs w:val="21"/>
        </w:rPr>
        <w:t xml:space="preserve"> </w:t>
      </w:r>
      <w:r>
        <w:rPr>
          <w:rFonts w:ascii="宋体" w:hAnsi="宋体"/>
          <w:color w:val="000000"/>
          <w:szCs w:val="21"/>
        </w:rPr>
        <w:t xml:space="preserve">                                 </w:t>
      </w:r>
      <w:permEnd w:id="448"/>
      <w:r>
        <w:rPr>
          <w:rFonts w:hint="eastAsia" w:ascii="宋体" w:hAnsi="宋体"/>
          <w:color w:val="000000"/>
          <w:szCs w:val="21"/>
        </w:rPr>
        <w:t>。</w:t>
      </w:r>
    </w:p>
    <w:p>
      <w:pPr>
        <w:spacing w:line="360" w:lineRule="auto"/>
        <w:ind w:firstLine="420" w:firstLineChars="200"/>
        <w:jc w:val="left"/>
        <w:rPr>
          <w:rFonts w:ascii="宋体" w:hAnsi="宋体"/>
          <w:color w:val="000000"/>
          <w:szCs w:val="21"/>
          <w:u w:val="single"/>
        </w:rPr>
      </w:pPr>
      <w:r>
        <w:rPr>
          <w:rFonts w:hint="eastAsia" w:ascii="宋体" w:hAnsi="宋体"/>
          <w:color w:val="000000"/>
          <w:szCs w:val="21"/>
        </w:rPr>
        <w:t>发包人完成审批并签发进度款支付证书的期限：</w:t>
      </w:r>
      <w:permStart w:id="449" w:edGrp="everyone"/>
      <w:r>
        <w:rPr>
          <w:rFonts w:hint="eastAsia" w:ascii="宋体" w:hAnsi="宋体"/>
          <w:color w:val="000000"/>
          <w:szCs w:val="21"/>
        </w:rPr>
        <w:t xml:space="preserve"> </w:t>
      </w:r>
      <w:r>
        <w:rPr>
          <w:rFonts w:ascii="宋体" w:hAnsi="宋体"/>
          <w:color w:val="000000"/>
          <w:szCs w:val="21"/>
        </w:rPr>
        <w:t xml:space="preserve">     </w:t>
      </w:r>
    </w:p>
    <w:permEnd w:id="449"/>
    <w:p>
      <w:pPr>
        <w:spacing w:line="360" w:lineRule="auto"/>
        <w:jc w:val="left"/>
        <w:rPr>
          <w:rFonts w:ascii="宋体" w:hAnsi="宋体"/>
          <w:color w:val="000000"/>
          <w:szCs w:val="21"/>
        </w:rPr>
      </w:pPr>
    </w:p>
    <w:p>
      <w:pPr>
        <w:spacing w:line="360" w:lineRule="auto"/>
        <w:ind w:firstLine="420" w:firstLineChars="200"/>
        <w:jc w:val="left"/>
        <w:rPr>
          <w:rFonts w:ascii="宋体" w:hAns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）发包人支付进度款的期限：</w:t>
      </w:r>
      <w:permStart w:id="450" w:edGrp="everyone"/>
      <w:r>
        <w:rPr>
          <w:rFonts w:hint="eastAsia" w:ascii="宋体" w:hAnsi="宋体"/>
          <w:color w:val="000000"/>
          <w:szCs w:val="21"/>
        </w:rPr>
        <w:t xml:space="preserve"> </w:t>
      </w:r>
      <w:r>
        <w:rPr>
          <w:rFonts w:ascii="宋体" w:hAnsi="宋体"/>
          <w:color w:val="000000"/>
          <w:szCs w:val="21"/>
        </w:rPr>
        <w:t xml:space="preserve">       </w:t>
      </w:r>
      <w:permEnd w:id="450"/>
      <w:r>
        <w:rPr>
          <w:rFonts w:hint="eastAsia" w:ascii="宋体" w:hAnsi="宋体"/>
          <w:color w:val="000000"/>
          <w:szCs w:val="21"/>
        </w:rPr>
        <w:t>。</w:t>
      </w:r>
    </w:p>
    <w:p>
      <w:pPr>
        <w:spacing w:line="360" w:lineRule="auto"/>
        <w:ind w:firstLine="525" w:firstLineChars="250"/>
        <w:jc w:val="left"/>
        <w:rPr>
          <w:rFonts w:ascii="宋体" w:hAnsi="宋体"/>
          <w:color w:val="000000"/>
          <w:szCs w:val="21"/>
          <w:u w:val="single"/>
        </w:rPr>
      </w:pPr>
      <w:r>
        <w:rPr>
          <w:rFonts w:hint="eastAsia" w:ascii="宋体" w:hAnsi="宋体"/>
          <w:color w:val="000000"/>
          <w:szCs w:val="21"/>
        </w:rPr>
        <w:t>发包人逾期支付进度款的违约金的计算方式：</w:t>
      </w:r>
      <w:permStart w:id="451" w:edGrp="everyone"/>
      <w:r>
        <w:rPr>
          <w:rFonts w:hint="eastAsia" w:ascii="宋体" w:hAnsi="宋体"/>
          <w:color w:val="000000"/>
          <w:szCs w:val="21"/>
        </w:rPr>
        <w:t xml:space="preserve"> </w:t>
      </w:r>
      <w:r>
        <w:rPr>
          <w:rFonts w:ascii="宋体" w:hAnsi="宋体"/>
          <w:color w:val="000000"/>
          <w:szCs w:val="21"/>
        </w:rPr>
        <w:t xml:space="preserve">          </w:t>
      </w:r>
    </w:p>
    <w:permEnd w:id="451"/>
    <w:p>
      <w:pPr>
        <w:spacing w:line="360" w:lineRule="auto"/>
        <w:jc w:val="left"/>
        <w:rPr>
          <w:rFonts w:ascii="宋体" w:hAnsi="宋体"/>
          <w:color w:val="000000"/>
          <w:szCs w:val="21"/>
        </w:rPr>
      </w:pPr>
    </w:p>
    <w:p>
      <w:pPr>
        <w:spacing w:line="360" w:lineRule="auto"/>
        <w:ind w:firstLine="525" w:firstLineChars="250"/>
        <w:jc w:val="left"/>
        <w:rPr>
          <w:rFonts w:ascii="宋体" w:hAnsi="宋体"/>
          <w:color w:val="000000"/>
          <w:szCs w:val="21"/>
        </w:rPr>
      </w:pPr>
      <w:r>
        <w:rPr>
          <w:rFonts w:ascii="宋体" w:hAnsi="宋体"/>
          <w:color w:val="000000"/>
          <w:szCs w:val="21"/>
        </w:rPr>
        <w:t xml:space="preserve">12.4.6 </w:t>
      </w:r>
      <w:r>
        <w:rPr>
          <w:rFonts w:hint="eastAsia" w:ascii="宋体" w:hAnsi="宋体"/>
          <w:color w:val="000000"/>
          <w:szCs w:val="21"/>
        </w:rPr>
        <w:t>支付分解表的编制</w:t>
      </w:r>
    </w:p>
    <w:p>
      <w:pPr>
        <w:spacing w:line="360" w:lineRule="auto"/>
        <w:ind w:firstLine="420" w:firstLineChars="200"/>
        <w:jc w:val="left"/>
        <w:rPr>
          <w:rFonts w:ascii="宋体" w:hAnsi="宋体"/>
          <w:color w:val="000000"/>
          <w:szCs w:val="21"/>
          <w:u w:val="single"/>
        </w:rPr>
      </w:pPr>
      <w:r>
        <w:rPr>
          <w:rFonts w:ascii="宋体" w:hAnsi="宋体"/>
          <w:color w:val="000000"/>
          <w:szCs w:val="21"/>
        </w:rPr>
        <w:t>2</w:t>
      </w:r>
      <w:r>
        <w:rPr>
          <w:rFonts w:hint="eastAsia" w:ascii="宋体" w:hAnsi="宋体"/>
          <w:color w:val="000000"/>
          <w:szCs w:val="21"/>
        </w:rPr>
        <w:t>、总价合同支付分解表的编制与审批：</w:t>
      </w:r>
      <w:permStart w:id="452" w:edGrp="everyone"/>
      <w:r>
        <w:rPr>
          <w:rFonts w:hint="eastAsia" w:ascii="宋体" w:hAnsi="宋体"/>
          <w:color w:val="000000"/>
          <w:szCs w:val="21"/>
        </w:rPr>
        <w:t xml:space="preserve">                     </w:t>
      </w:r>
    </w:p>
    <w:permEnd w:id="452"/>
    <w:p>
      <w:pPr>
        <w:spacing w:line="360" w:lineRule="auto"/>
        <w:ind w:left="4200" w:hanging="4200" w:hangingChars="2000"/>
        <w:jc w:val="left"/>
        <w:rPr>
          <w:rFonts w:ascii="宋体" w:hAnsi="宋体"/>
          <w:color w:val="000000"/>
          <w:szCs w:val="21"/>
        </w:rPr>
      </w:pPr>
    </w:p>
    <w:p>
      <w:pPr>
        <w:spacing w:line="360" w:lineRule="auto"/>
        <w:ind w:firstLine="420" w:firstLineChars="200"/>
        <w:jc w:val="left"/>
        <w:rPr>
          <w:rFonts w:ascii="宋体" w:hAnsi="宋体"/>
          <w:color w:val="000000"/>
          <w:szCs w:val="21"/>
          <w:u w:val="single"/>
        </w:rPr>
      </w:pPr>
      <w:r>
        <w:rPr>
          <w:rFonts w:ascii="宋体" w:hAnsi="宋体"/>
          <w:color w:val="000000"/>
          <w:szCs w:val="21"/>
        </w:rPr>
        <w:t>3</w:t>
      </w:r>
      <w:r>
        <w:rPr>
          <w:rFonts w:hint="eastAsia" w:ascii="宋体" w:hAnsi="宋体"/>
          <w:color w:val="000000"/>
          <w:szCs w:val="21"/>
        </w:rPr>
        <w:t>、单价合同的总价项目支付分解表的编制与审批：</w:t>
      </w:r>
      <w:permStart w:id="453" w:edGrp="everyone"/>
      <w:r>
        <w:rPr>
          <w:rFonts w:hint="eastAsia" w:ascii="宋体" w:hAnsi="宋体"/>
          <w:color w:val="000000"/>
          <w:szCs w:val="21"/>
        </w:rPr>
        <w:t xml:space="preserve"> </w:t>
      </w:r>
      <w:r>
        <w:rPr>
          <w:rFonts w:ascii="宋体" w:hAnsi="宋体"/>
          <w:color w:val="000000"/>
          <w:szCs w:val="21"/>
        </w:rPr>
        <w:t xml:space="preserve">                    </w:t>
      </w:r>
    </w:p>
    <w:permEnd w:id="453"/>
    <w:p>
      <w:pPr>
        <w:spacing w:line="360" w:lineRule="auto"/>
        <w:jc w:val="left"/>
        <w:rPr>
          <w:rFonts w:ascii="宋体" w:hAnsi="宋体"/>
          <w:color w:val="000000"/>
          <w:szCs w:val="21"/>
        </w:rPr>
      </w:pPr>
    </w:p>
    <w:bookmarkEnd w:id="966"/>
    <w:p>
      <w:pPr>
        <w:pStyle w:val="5"/>
        <w:spacing w:before="120" w:after="120" w:line="360" w:lineRule="auto"/>
        <w:rPr>
          <w:rFonts w:ascii="黑体" w:hAnsi="黑体"/>
          <w:b w:val="0"/>
          <w:color w:val="000000"/>
        </w:rPr>
      </w:pPr>
      <w:bookmarkStart w:id="1139" w:name="_Toc362623200"/>
      <w:bookmarkStart w:id="1140" w:name="_Toc114222835"/>
      <w:bookmarkStart w:id="1141" w:name="_Toc297216223"/>
      <w:bookmarkStart w:id="1142" w:name="_Toc296503219"/>
      <w:bookmarkStart w:id="1143" w:name="_Toc296944558"/>
      <w:bookmarkStart w:id="1144" w:name="_Toc292559424"/>
      <w:bookmarkStart w:id="1145" w:name="_Toc304295593"/>
      <w:bookmarkStart w:id="1146" w:name="_Toc312678053"/>
      <w:bookmarkStart w:id="1147" w:name="_Toc303539172"/>
      <w:bookmarkStart w:id="1148" w:name="_Toc296891259"/>
      <w:bookmarkStart w:id="1149" w:name="_Toc296346720"/>
      <w:bookmarkStart w:id="1150" w:name="_Toc296891047"/>
      <w:bookmarkStart w:id="1151" w:name="_Toc297123564"/>
      <w:bookmarkStart w:id="1152" w:name="_Toc296347218"/>
      <w:bookmarkStart w:id="1153" w:name="_Toc297120519"/>
      <w:bookmarkStart w:id="1154" w:name="_Toc300935015"/>
      <w:bookmarkStart w:id="1155" w:name="_Toc292559929"/>
      <w:bookmarkStart w:id="1156" w:name="_Toc297048405"/>
      <w:r>
        <w:rPr>
          <w:rFonts w:ascii="黑体" w:hAnsi="黑体"/>
          <w:b w:val="0"/>
          <w:color w:val="000000"/>
        </w:rPr>
        <w:t xml:space="preserve">13. </w:t>
      </w:r>
      <w:r>
        <w:rPr>
          <w:rFonts w:hint="eastAsia" w:ascii="黑体" w:hAnsi="黑体"/>
          <w:b w:val="0"/>
          <w:color w:val="000000"/>
        </w:rPr>
        <w:t>验收和工程试车</w:t>
      </w:r>
      <w:bookmarkEnd w:id="1139"/>
      <w:bookmarkEnd w:id="1140"/>
    </w:p>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 xml:space="preserve">13.1 </w:t>
      </w:r>
      <w:r>
        <w:rPr>
          <w:rFonts w:hint="eastAsia" w:ascii="黑体" w:hAnsi="黑体" w:eastAsia="黑体"/>
          <w:color w:val="000000"/>
          <w:szCs w:val="21"/>
        </w:rPr>
        <w:t>分部分项工程验收</w:t>
      </w:r>
    </w:p>
    <w:p>
      <w:pPr>
        <w:spacing w:line="360" w:lineRule="auto"/>
        <w:ind w:firstLine="420" w:firstLineChars="200"/>
        <w:jc w:val="left"/>
        <w:rPr>
          <w:rFonts w:ascii="宋体" w:hAnsi="宋体"/>
          <w:color w:val="000000"/>
          <w:szCs w:val="21"/>
        </w:rPr>
      </w:pPr>
      <w:r>
        <w:rPr>
          <w:rFonts w:ascii="宋体" w:hAnsi="宋体"/>
          <w:color w:val="000000"/>
          <w:szCs w:val="21"/>
        </w:rPr>
        <w:t>13.1.2</w:t>
      </w:r>
      <w:r>
        <w:rPr>
          <w:rFonts w:hint="eastAsia" w:ascii="宋体" w:hAnsi="宋体"/>
          <w:color w:val="000000"/>
          <w:szCs w:val="21"/>
        </w:rPr>
        <w:t>监理人不能按时进行验收时，应提前</w:t>
      </w:r>
      <w:permStart w:id="454" w:edGrp="everyone"/>
      <w:r>
        <w:rPr>
          <w:rFonts w:hint="eastAsia" w:ascii="宋体" w:hAnsi="宋体"/>
          <w:color w:val="000000"/>
          <w:szCs w:val="21"/>
        </w:rPr>
        <w:t xml:space="preserve"> </w:t>
      </w:r>
      <w:r>
        <w:rPr>
          <w:rFonts w:ascii="宋体" w:hAnsi="宋体"/>
          <w:color w:val="000000"/>
          <w:szCs w:val="21"/>
        </w:rPr>
        <w:t xml:space="preserve">           </w:t>
      </w:r>
      <w:r>
        <w:rPr>
          <w:rFonts w:hint="eastAsia" w:ascii="宋体" w:hAnsi="宋体"/>
          <w:color w:val="000000"/>
          <w:szCs w:val="21"/>
        </w:rPr>
        <w:t xml:space="preserve"> </w:t>
      </w:r>
      <w:permEnd w:id="454"/>
      <w:r>
        <w:rPr>
          <w:rFonts w:hint="eastAsia" w:ascii="宋体" w:hAnsi="宋体"/>
          <w:color w:val="000000"/>
          <w:szCs w:val="21"/>
        </w:rPr>
        <w:t>小时提交书面延期要求。</w:t>
      </w:r>
    </w:p>
    <w:p>
      <w:pPr>
        <w:spacing w:line="360" w:lineRule="auto"/>
        <w:ind w:firstLine="420" w:firstLineChars="200"/>
        <w:jc w:val="left"/>
        <w:rPr>
          <w:rFonts w:ascii="宋体" w:hAnsi="宋体"/>
          <w:b/>
          <w:color w:val="000000"/>
          <w:szCs w:val="21"/>
        </w:rPr>
      </w:pPr>
      <w:r>
        <w:rPr>
          <w:rFonts w:hint="eastAsia" w:ascii="宋体" w:hAnsi="宋体"/>
          <w:color w:val="000000"/>
          <w:szCs w:val="21"/>
        </w:rPr>
        <w:t>关于延期最长不得超过 ：</w:t>
      </w:r>
      <w:permStart w:id="455" w:edGrp="everyone"/>
      <w:r>
        <w:rPr>
          <w:rFonts w:hint="eastAsia" w:ascii="宋体" w:hAnsi="宋体"/>
          <w:color w:val="000000"/>
          <w:szCs w:val="21"/>
        </w:rPr>
        <w:t xml:space="preserve">         </w:t>
      </w:r>
      <w:permEnd w:id="455"/>
      <w:r>
        <w:rPr>
          <w:rFonts w:hint="eastAsia" w:ascii="宋体" w:hAnsi="宋体"/>
          <w:color w:val="000000"/>
          <w:szCs w:val="21"/>
        </w:rPr>
        <w:t>小时。</w:t>
      </w:r>
    </w:p>
    <w:p>
      <w:pPr>
        <w:spacing w:after="120" w:line="360" w:lineRule="auto"/>
        <w:ind w:firstLine="420" w:firstLineChars="200"/>
        <w:rPr>
          <w:rFonts w:ascii="宋体" w:hAnsi="宋体"/>
          <w:color w:val="000000"/>
          <w:szCs w:val="21"/>
        </w:rPr>
      </w:pPr>
      <w:bookmarkStart w:id="1157" w:name="_Toc296944562"/>
      <w:bookmarkStart w:id="1158" w:name="_Toc292559933"/>
      <w:bookmarkStart w:id="1159" w:name="_Toc296346724"/>
      <w:bookmarkStart w:id="1160" w:name="_Toc296347222"/>
      <w:bookmarkStart w:id="1161" w:name="_Toc303539173"/>
      <w:bookmarkStart w:id="1162" w:name="_Toc297048409"/>
      <w:bookmarkStart w:id="1163" w:name="_Toc304295596"/>
      <w:bookmarkStart w:id="1164" w:name="_Toc296503223"/>
      <w:bookmarkStart w:id="1165" w:name="_Toc312678056"/>
      <w:bookmarkStart w:id="1166" w:name="_Toc297120523"/>
      <w:bookmarkStart w:id="1167" w:name="_Toc292559428"/>
      <w:bookmarkStart w:id="1168" w:name="_Toc296891263"/>
      <w:bookmarkStart w:id="1169" w:name="_Toc300935016"/>
      <w:bookmarkStart w:id="1170" w:name="_Toc297216224"/>
      <w:bookmarkStart w:id="1171" w:name="_Toc296891051"/>
      <w:bookmarkStart w:id="1172" w:name="_Toc297123565"/>
      <w:bookmarkStart w:id="1173" w:name="_Toc267251471"/>
      <w:bookmarkStart w:id="1174" w:name="_Toc267251470"/>
      <w:bookmarkStart w:id="1175" w:name="_Toc267251472"/>
      <w:bookmarkStart w:id="1176" w:name="_Toc267251475"/>
      <w:bookmarkStart w:id="1177" w:name="_Toc267251476"/>
      <w:bookmarkStart w:id="1178" w:name="_Toc267251474"/>
      <w:bookmarkStart w:id="1179" w:name="_Toc267251473"/>
      <w:r>
        <w:rPr>
          <w:rFonts w:ascii="宋体" w:hAnsi="宋体"/>
          <w:color w:val="000000"/>
          <w:szCs w:val="21"/>
        </w:rPr>
        <w:t xml:space="preserve">13.2 </w:t>
      </w:r>
      <w:r>
        <w:rPr>
          <w:rFonts w:hint="eastAsia" w:ascii="宋体" w:hAnsi="宋体"/>
          <w:color w:val="000000"/>
          <w:szCs w:val="21"/>
        </w:rPr>
        <w:t>竣工验收</w:t>
      </w:r>
    </w:p>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p>
      <w:pPr>
        <w:spacing w:line="360" w:lineRule="auto"/>
        <w:ind w:firstLine="420" w:firstLineChars="200"/>
        <w:jc w:val="left"/>
        <w:rPr>
          <w:rFonts w:ascii="宋体" w:hAnsi="宋体"/>
          <w:color w:val="000000"/>
          <w:szCs w:val="21"/>
        </w:rPr>
      </w:pPr>
      <w:bookmarkStart w:id="1180" w:name="_Toc280868704"/>
      <w:bookmarkStart w:id="1181" w:name="_Toc280868705"/>
      <w:bookmarkStart w:id="1182" w:name="_Toc280868706"/>
      <w:bookmarkStart w:id="1183" w:name="_Toc280868707"/>
      <w:bookmarkStart w:id="1184" w:name="_Toc280868708"/>
      <w:bookmarkStart w:id="1185" w:name="_Toc280868709"/>
      <w:r>
        <w:rPr>
          <w:rFonts w:ascii="宋体" w:hAnsi="宋体"/>
          <w:color w:val="000000"/>
          <w:szCs w:val="21"/>
        </w:rPr>
        <w:t>13.2.2</w:t>
      </w:r>
      <w:r>
        <w:rPr>
          <w:rFonts w:hint="eastAsia" w:ascii="宋体" w:hAnsi="宋体"/>
          <w:color w:val="000000"/>
          <w:szCs w:val="21"/>
        </w:rPr>
        <w:t>竣工验收程序</w:t>
      </w:r>
    </w:p>
    <w:bookmarkEnd w:id="1180"/>
    <w:p>
      <w:pPr>
        <w:spacing w:line="360" w:lineRule="auto"/>
        <w:ind w:firstLine="420" w:firstLineChars="200"/>
        <w:jc w:val="left"/>
        <w:rPr>
          <w:rFonts w:ascii="宋体" w:hAnsi="宋体"/>
          <w:color w:val="000000"/>
          <w:szCs w:val="21"/>
          <w:u w:val="single"/>
        </w:rPr>
      </w:pPr>
      <w:r>
        <w:rPr>
          <w:rFonts w:hint="eastAsia" w:ascii="宋体" w:hAnsi="宋体"/>
          <w:color w:val="000000"/>
          <w:kern w:val="0"/>
          <w:szCs w:val="21"/>
        </w:rPr>
        <w:t>关于竣工验收程序的约定：</w:t>
      </w:r>
      <w:permStart w:id="456" w:edGrp="everyone"/>
    </w:p>
    <w:permEnd w:id="456"/>
    <w:p>
      <w:pPr>
        <w:spacing w:line="360" w:lineRule="auto"/>
        <w:ind w:left="4200" w:hanging="4200" w:hangingChars="2000"/>
        <w:jc w:val="left"/>
        <w:rPr>
          <w:rFonts w:ascii="宋体" w:hAnsi="宋体"/>
          <w:color w:val="000000"/>
          <w:szCs w:val="21"/>
        </w:rPr>
      </w:pPr>
    </w:p>
    <w:p>
      <w:pPr>
        <w:spacing w:line="360" w:lineRule="auto"/>
        <w:ind w:firstLine="420" w:firstLineChars="200"/>
        <w:jc w:val="left"/>
        <w:rPr>
          <w:rFonts w:ascii="宋体" w:hAnsi="宋体"/>
          <w:color w:val="000000"/>
          <w:szCs w:val="21"/>
          <w:u w:val="single"/>
        </w:rPr>
      </w:pPr>
      <w:r>
        <w:rPr>
          <w:rFonts w:hint="eastAsia" w:ascii="宋体" w:hAnsi="宋体"/>
          <w:color w:val="000000"/>
          <w:kern w:val="0"/>
          <w:szCs w:val="21"/>
        </w:rPr>
        <w:t>发包人不按照本项约定组织竣工验收、颁发工程接收证书的违约金的计算方法</w:t>
      </w:r>
      <w:permStart w:id="457" w:edGrp="everyone"/>
      <w:r>
        <w:rPr>
          <w:rFonts w:hint="eastAsia" w:ascii="宋体" w:hAnsi="宋体"/>
          <w:color w:val="000000"/>
          <w:kern w:val="0"/>
          <w:szCs w:val="21"/>
        </w:rPr>
        <w:t>：</w:t>
      </w:r>
    </w:p>
    <w:permEnd w:id="457"/>
    <w:p>
      <w:pPr>
        <w:spacing w:line="360" w:lineRule="auto"/>
        <w:jc w:val="left"/>
        <w:rPr>
          <w:rFonts w:ascii="宋体" w:hAnsi="宋体"/>
          <w:color w:val="000000"/>
          <w:szCs w:val="21"/>
        </w:rPr>
      </w:pPr>
    </w:p>
    <w:bookmarkEnd w:id="1181"/>
    <w:p>
      <w:pPr>
        <w:spacing w:line="360" w:lineRule="auto"/>
        <w:ind w:firstLine="420" w:firstLineChars="200"/>
        <w:jc w:val="left"/>
        <w:rPr>
          <w:rFonts w:ascii="宋体" w:hAnsi="宋体"/>
          <w:color w:val="000000"/>
          <w:szCs w:val="21"/>
        </w:rPr>
      </w:pPr>
      <w:r>
        <w:rPr>
          <w:rFonts w:ascii="宋体" w:hAnsi="宋体"/>
          <w:color w:val="000000"/>
          <w:szCs w:val="21"/>
        </w:rPr>
        <w:t>13.2.5</w:t>
      </w:r>
      <w:r>
        <w:rPr>
          <w:rFonts w:hint="eastAsia" w:ascii="宋体" w:hAnsi="宋体"/>
          <w:color w:val="000000"/>
          <w:szCs w:val="21"/>
        </w:rPr>
        <w:t>移交、接收全部与部分工程</w:t>
      </w:r>
    </w:p>
    <w:bookmarkEnd w:id="1182"/>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承包人向发包人移交工程的期限：</w:t>
      </w:r>
      <w:permStart w:id="458" w:edGrp="everyone"/>
      <w:r>
        <w:rPr>
          <w:rFonts w:hint="eastAsia" w:ascii="宋体" w:hAnsi="宋体"/>
          <w:color w:val="000000"/>
          <w:kern w:val="0"/>
          <w:szCs w:val="21"/>
        </w:rPr>
        <w:t xml:space="preserve"> </w:t>
      </w:r>
      <w:r>
        <w:rPr>
          <w:rFonts w:ascii="宋体" w:hAnsi="宋体"/>
          <w:color w:val="000000"/>
          <w:kern w:val="0"/>
          <w:szCs w:val="21"/>
        </w:rPr>
        <w:t xml:space="preserve">               </w:t>
      </w:r>
      <w:permEnd w:id="458"/>
      <w:r>
        <w:rPr>
          <w:rFonts w:hint="eastAsia" w:ascii="宋体" w:hAnsi="宋体"/>
          <w:color w:val="000000"/>
          <w:szCs w:val="21"/>
        </w:rPr>
        <w:t>。</w:t>
      </w:r>
    </w:p>
    <w:p>
      <w:pPr>
        <w:spacing w:line="360" w:lineRule="auto"/>
        <w:ind w:firstLine="420" w:firstLineChars="200"/>
        <w:jc w:val="left"/>
        <w:rPr>
          <w:rFonts w:ascii="宋体" w:hAnsi="宋体"/>
          <w:color w:val="000000"/>
          <w:szCs w:val="21"/>
          <w:u w:val="single"/>
        </w:rPr>
      </w:pPr>
      <w:r>
        <w:rPr>
          <w:rFonts w:hint="eastAsia" w:ascii="宋体" w:hAnsi="宋体"/>
          <w:color w:val="000000"/>
          <w:kern w:val="0"/>
          <w:szCs w:val="21"/>
        </w:rPr>
        <w:t>发包人未按本合同约定接收全部或部分工程的，违约金的计算方法为：</w:t>
      </w:r>
      <w:permStart w:id="459" w:edGrp="everyone"/>
      <w:r>
        <w:rPr>
          <w:rFonts w:hint="eastAsia" w:ascii="宋体" w:hAnsi="宋体"/>
          <w:color w:val="000000"/>
          <w:kern w:val="0"/>
          <w:szCs w:val="21"/>
        </w:rPr>
        <w:t xml:space="preserve"> </w:t>
      </w:r>
      <w:r>
        <w:rPr>
          <w:rFonts w:ascii="宋体" w:hAnsi="宋体"/>
          <w:color w:val="000000"/>
          <w:kern w:val="0"/>
          <w:szCs w:val="21"/>
        </w:rPr>
        <w:t xml:space="preserve">                   </w:t>
      </w:r>
      <w:permEnd w:id="459"/>
      <w:r>
        <w:rPr>
          <w:rFonts w:hint="eastAsia" w:ascii="宋体" w:hAnsi="宋体"/>
          <w:color w:val="000000"/>
          <w:szCs w:val="21"/>
        </w:rPr>
        <w:t>。</w:t>
      </w:r>
    </w:p>
    <w:bookmarkEnd w:id="1183"/>
    <w:p>
      <w:pPr>
        <w:spacing w:line="360" w:lineRule="auto"/>
        <w:ind w:firstLine="420" w:firstLineChars="200"/>
        <w:jc w:val="left"/>
        <w:rPr>
          <w:rFonts w:ascii="宋体" w:hAnsi="宋体"/>
          <w:color w:val="000000"/>
          <w:szCs w:val="21"/>
          <w:u w:val="single"/>
        </w:rPr>
      </w:pPr>
      <w:r>
        <w:rPr>
          <w:rFonts w:hint="eastAsia" w:ascii="宋体" w:hAnsi="宋体"/>
          <w:color w:val="000000"/>
          <w:szCs w:val="21"/>
        </w:rPr>
        <w:t>承包人未按时移交工程的，违约金的计算方法为：</w:t>
      </w:r>
      <w:permStart w:id="460" w:edGrp="everyone"/>
    </w:p>
    <w:p>
      <w:pPr>
        <w:spacing w:line="360" w:lineRule="auto"/>
        <w:jc w:val="left"/>
        <w:rPr>
          <w:rFonts w:ascii="宋体" w:hAnsi="宋体"/>
          <w:color w:val="000000"/>
          <w:szCs w:val="21"/>
        </w:rPr>
      </w:pPr>
    </w:p>
    <w:permEnd w:id="460"/>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 xml:space="preserve">13.3 </w:t>
      </w:r>
      <w:r>
        <w:rPr>
          <w:rFonts w:hint="eastAsia" w:ascii="黑体" w:hAnsi="黑体" w:eastAsia="黑体"/>
          <w:color w:val="000000"/>
          <w:szCs w:val="21"/>
        </w:rPr>
        <w:t>工程试车</w:t>
      </w:r>
    </w:p>
    <w:bookmarkEnd w:id="1184"/>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13.3.1 </w:t>
      </w:r>
      <w:r>
        <w:rPr>
          <w:rFonts w:hint="eastAsia" w:ascii="宋体" w:hAnsi="宋体"/>
          <w:color w:val="000000"/>
          <w:kern w:val="0"/>
          <w:szCs w:val="21"/>
        </w:rPr>
        <w:t>试车程序</w:t>
      </w:r>
    </w:p>
    <w:p>
      <w:pPr>
        <w:spacing w:line="360" w:lineRule="auto"/>
        <w:ind w:firstLine="420" w:firstLineChars="200"/>
        <w:jc w:val="left"/>
        <w:rPr>
          <w:rFonts w:ascii="宋体" w:hAnsi="宋体"/>
          <w:color w:val="000000"/>
          <w:szCs w:val="21"/>
          <w:u w:val="single"/>
        </w:rPr>
      </w:pPr>
      <w:r>
        <w:rPr>
          <w:rFonts w:hint="eastAsia" w:ascii="宋体" w:hAnsi="宋体"/>
          <w:color w:val="000000"/>
          <w:kern w:val="0"/>
          <w:szCs w:val="21"/>
        </w:rPr>
        <w:t>工程试车内容：</w:t>
      </w:r>
      <w:permStart w:id="461" w:edGrp="everyone"/>
    </w:p>
    <w:permEnd w:id="461"/>
    <w:p>
      <w:pPr>
        <w:spacing w:line="360" w:lineRule="auto"/>
        <w:jc w:val="left"/>
        <w:rPr>
          <w:rFonts w:ascii="宋体" w:hAnsi="宋体"/>
          <w:color w:val="000000"/>
          <w:kern w:val="0"/>
          <w:szCs w:val="21"/>
        </w:rPr>
      </w:pP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）单机无负荷试车费用由</w:t>
      </w:r>
      <w:permStart w:id="462" w:edGrp="everyone"/>
      <w:r>
        <w:rPr>
          <w:rFonts w:hint="eastAsia" w:ascii="宋体" w:hAnsi="宋体"/>
          <w:color w:val="000000"/>
          <w:kern w:val="0"/>
          <w:szCs w:val="21"/>
        </w:rPr>
        <w:t xml:space="preserve"> </w:t>
      </w:r>
      <w:r>
        <w:rPr>
          <w:rFonts w:ascii="宋体" w:hAnsi="宋体"/>
          <w:color w:val="000000"/>
          <w:kern w:val="0"/>
          <w:szCs w:val="21"/>
        </w:rPr>
        <w:t xml:space="preserve">               </w:t>
      </w:r>
      <w:permEnd w:id="462"/>
      <w:r>
        <w:rPr>
          <w:rFonts w:hint="eastAsia" w:ascii="宋体" w:hAnsi="宋体"/>
          <w:color w:val="000000"/>
          <w:kern w:val="0"/>
          <w:szCs w:val="21"/>
        </w:rPr>
        <w:t>承担；</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）无负荷联动试车费用由</w:t>
      </w:r>
      <w:permStart w:id="463" w:edGrp="everyone"/>
      <w:r>
        <w:rPr>
          <w:rFonts w:hint="eastAsia" w:ascii="宋体" w:hAnsi="宋体"/>
          <w:color w:val="000000"/>
          <w:kern w:val="0"/>
          <w:szCs w:val="21"/>
        </w:rPr>
        <w:t xml:space="preserve"> </w:t>
      </w:r>
      <w:r>
        <w:rPr>
          <w:rFonts w:ascii="宋体" w:hAnsi="宋体"/>
          <w:color w:val="000000"/>
          <w:kern w:val="0"/>
          <w:szCs w:val="21"/>
        </w:rPr>
        <w:t xml:space="preserve">                </w:t>
      </w:r>
      <w:permEnd w:id="463"/>
      <w:r>
        <w:rPr>
          <w:rFonts w:hint="eastAsia" w:ascii="宋体" w:hAnsi="宋体"/>
          <w:color w:val="000000"/>
          <w:kern w:val="0"/>
          <w:szCs w:val="21"/>
        </w:rPr>
        <w:t>承担。</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13.3.3 </w:t>
      </w:r>
      <w:r>
        <w:rPr>
          <w:rFonts w:hint="eastAsia" w:ascii="宋体" w:hAnsi="宋体"/>
          <w:color w:val="000000"/>
          <w:kern w:val="0"/>
          <w:szCs w:val="21"/>
        </w:rPr>
        <w:t>投料试车</w:t>
      </w:r>
    </w:p>
    <w:p>
      <w:pPr>
        <w:spacing w:line="360" w:lineRule="auto"/>
        <w:ind w:firstLine="420" w:firstLineChars="200"/>
        <w:jc w:val="left"/>
        <w:rPr>
          <w:rFonts w:ascii="宋体" w:hAnsi="宋体"/>
          <w:color w:val="000000"/>
          <w:szCs w:val="21"/>
          <w:u w:val="single"/>
        </w:rPr>
      </w:pPr>
      <w:r>
        <w:rPr>
          <w:rFonts w:hint="eastAsia" w:ascii="宋体" w:hAnsi="宋体"/>
          <w:color w:val="000000"/>
          <w:kern w:val="0"/>
          <w:szCs w:val="21"/>
        </w:rPr>
        <w:t>关于投料试车相关事项的约定：</w:t>
      </w:r>
      <w:permStart w:id="464" w:edGrp="everyone"/>
    </w:p>
    <w:permEnd w:id="464"/>
    <w:p>
      <w:pPr>
        <w:spacing w:line="360" w:lineRule="auto"/>
        <w:jc w:val="left"/>
        <w:rPr>
          <w:rFonts w:ascii="宋体" w:hAnsi="宋体"/>
          <w:color w:val="000000"/>
          <w:kern w:val="0"/>
          <w:szCs w:val="21"/>
        </w:rPr>
      </w:pPr>
    </w:p>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 xml:space="preserve">13.6 </w:t>
      </w:r>
      <w:r>
        <w:rPr>
          <w:rFonts w:hint="eastAsia" w:ascii="黑体" w:hAnsi="黑体" w:eastAsia="黑体"/>
          <w:color w:val="000000"/>
          <w:szCs w:val="21"/>
        </w:rPr>
        <w:t>竣工退场</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13.6.1 </w:t>
      </w:r>
      <w:r>
        <w:rPr>
          <w:rFonts w:hint="eastAsia" w:ascii="宋体" w:hAnsi="宋体"/>
          <w:color w:val="000000"/>
          <w:kern w:val="0"/>
          <w:szCs w:val="21"/>
        </w:rPr>
        <w:t>竣工退场</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承包人完成竣工退场的期限：</w:t>
      </w:r>
      <w:permStart w:id="465" w:edGrp="everyone"/>
      <w:r>
        <w:rPr>
          <w:rFonts w:hint="eastAsia" w:ascii="宋体" w:hAnsi="宋体"/>
          <w:color w:val="000000"/>
          <w:kern w:val="0"/>
          <w:szCs w:val="21"/>
        </w:rPr>
        <w:t xml:space="preserve">                  </w:t>
      </w:r>
      <w:permEnd w:id="465"/>
      <w:r>
        <w:rPr>
          <w:rFonts w:hint="eastAsia" w:ascii="宋体" w:hAnsi="宋体"/>
          <w:color w:val="000000"/>
          <w:kern w:val="0"/>
          <w:szCs w:val="21"/>
        </w:rPr>
        <w:t>。</w:t>
      </w:r>
    </w:p>
    <w:p>
      <w:pPr>
        <w:pStyle w:val="5"/>
        <w:spacing w:before="120" w:after="120" w:line="360" w:lineRule="auto"/>
        <w:rPr>
          <w:rFonts w:ascii="黑体" w:hAnsi="黑体"/>
          <w:b w:val="0"/>
          <w:color w:val="000000"/>
        </w:rPr>
      </w:pPr>
      <w:bookmarkStart w:id="1186" w:name="_Toc114222836"/>
      <w:bookmarkStart w:id="1187" w:name="_Toc362623201"/>
      <w:r>
        <w:rPr>
          <w:rFonts w:ascii="黑体" w:hAnsi="黑体"/>
          <w:b w:val="0"/>
          <w:color w:val="000000"/>
        </w:rPr>
        <w:t xml:space="preserve">14. </w:t>
      </w:r>
      <w:r>
        <w:rPr>
          <w:rFonts w:hint="eastAsia" w:ascii="黑体" w:hAnsi="黑体"/>
          <w:b w:val="0"/>
          <w:color w:val="000000"/>
        </w:rPr>
        <w:t>竣工结算</w:t>
      </w:r>
      <w:bookmarkEnd w:id="1186"/>
      <w:bookmarkEnd w:id="1187"/>
    </w:p>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 xml:space="preserve">14.1 </w:t>
      </w:r>
      <w:r>
        <w:rPr>
          <w:rFonts w:hint="eastAsia" w:ascii="黑体" w:hAnsi="黑体" w:eastAsia="黑体"/>
          <w:color w:val="000000"/>
          <w:szCs w:val="21"/>
        </w:rPr>
        <w:t>竣工付款申请</w:t>
      </w:r>
    </w:p>
    <w:p>
      <w:pPr>
        <w:spacing w:line="360" w:lineRule="auto"/>
        <w:ind w:firstLine="420" w:firstLineChars="200"/>
        <w:jc w:val="left"/>
        <w:rPr>
          <w:rFonts w:ascii="宋体" w:hAnsi="宋体"/>
          <w:color w:val="000000"/>
          <w:szCs w:val="21"/>
        </w:rPr>
      </w:pPr>
      <w:r>
        <w:rPr>
          <w:rFonts w:hint="eastAsia" w:ascii="宋体" w:hAnsi="宋体"/>
          <w:color w:val="000000"/>
          <w:szCs w:val="21"/>
        </w:rPr>
        <w:t>承包人提交竣工付款申请单的期限：</w:t>
      </w:r>
      <w:permStart w:id="466" w:edGrp="everyone"/>
      <w:r>
        <w:rPr>
          <w:rFonts w:hint="eastAsia" w:ascii="宋体" w:hAnsi="宋体"/>
          <w:color w:val="000000"/>
          <w:szCs w:val="21"/>
        </w:rPr>
        <w:t xml:space="preserve"> </w:t>
      </w:r>
      <w:r>
        <w:rPr>
          <w:rFonts w:ascii="宋体" w:hAnsi="宋体"/>
          <w:color w:val="000000"/>
          <w:szCs w:val="21"/>
        </w:rPr>
        <w:t xml:space="preserve">               </w:t>
      </w:r>
      <w:permEnd w:id="466"/>
      <w:r>
        <w:rPr>
          <w:rFonts w:hint="eastAsia" w:ascii="宋体" w:hAnsi="宋体"/>
          <w:color w:val="000000"/>
          <w:szCs w:val="21"/>
        </w:rPr>
        <w:t>。</w:t>
      </w:r>
    </w:p>
    <w:p>
      <w:pPr>
        <w:spacing w:line="360" w:lineRule="auto"/>
        <w:ind w:firstLine="420" w:firstLineChars="200"/>
        <w:jc w:val="left"/>
        <w:rPr>
          <w:rFonts w:ascii="宋体" w:hAnsi="宋体"/>
          <w:color w:val="000000"/>
          <w:szCs w:val="21"/>
          <w:u w:val="single"/>
        </w:rPr>
      </w:pPr>
      <w:r>
        <w:rPr>
          <w:rFonts w:hint="eastAsia" w:ascii="宋体" w:hAnsi="宋体"/>
          <w:color w:val="000000"/>
          <w:szCs w:val="21"/>
        </w:rPr>
        <w:t>竣工付款申请单应包括的内容：</w:t>
      </w:r>
      <w:permStart w:id="467" w:edGrp="everyone"/>
    </w:p>
    <w:permEnd w:id="467"/>
    <w:p>
      <w:pPr>
        <w:spacing w:line="360" w:lineRule="auto"/>
        <w:jc w:val="left"/>
        <w:rPr>
          <w:rFonts w:ascii="宋体" w:hAnsi="宋体"/>
          <w:color w:val="000000"/>
          <w:szCs w:val="21"/>
        </w:rPr>
      </w:pPr>
    </w:p>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 xml:space="preserve">14.2 </w:t>
      </w:r>
      <w:r>
        <w:rPr>
          <w:rFonts w:hint="eastAsia" w:ascii="黑体" w:hAnsi="黑体" w:eastAsia="黑体"/>
          <w:color w:val="000000"/>
          <w:szCs w:val="21"/>
        </w:rPr>
        <w:t>竣工结算审核</w:t>
      </w:r>
    </w:p>
    <w:p>
      <w:pPr>
        <w:spacing w:line="360" w:lineRule="auto"/>
        <w:ind w:firstLine="420" w:firstLineChars="200"/>
        <w:jc w:val="left"/>
        <w:rPr>
          <w:rFonts w:ascii="宋体" w:hAnsi="宋体"/>
          <w:color w:val="000000"/>
          <w:szCs w:val="21"/>
        </w:rPr>
      </w:pPr>
      <w:r>
        <w:rPr>
          <w:rFonts w:hint="eastAsia" w:ascii="宋体" w:hAnsi="宋体"/>
          <w:color w:val="000000"/>
          <w:szCs w:val="21"/>
        </w:rPr>
        <w:t>发包人审批竣工付款申请单的期限：</w:t>
      </w:r>
      <w:permStart w:id="468" w:edGrp="everyone"/>
      <w:r>
        <w:rPr>
          <w:rFonts w:hint="eastAsia" w:ascii="宋体" w:hAnsi="宋体"/>
          <w:color w:val="000000"/>
          <w:szCs w:val="21"/>
        </w:rPr>
        <w:t xml:space="preserve"> </w:t>
      </w:r>
      <w:r>
        <w:rPr>
          <w:rFonts w:ascii="宋体" w:hAnsi="宋体"/>
          <w:color w:val="000000"/>
          <w:szCs w:val="21"/>
        </w:rPr>
        <w:t xml:space="preserve">           </w:t>
      </w:r>
      <w:permEnd w:id="468"/>
      <w:r>
        <w:rPr>
          <w:rFonts w:hint="eastAsia" w:ascii="宋体" w:hAnsi="宋体"/>
          <w:color w:val="000000"/>
          <w:szCs w:val="21"/>
        </w:rPr>
        <w:t>。</w:t>
      </w:r>
    </w:p>
    <w:p>
      <w:pPr>
        <w:spacing w:line="360" w:lineRule="auto"/>
        <w:ind w:firstLine="420" w:firstLineChars="200"/>
        <w:jc w:val="left"/>
        <w:rPr>
          <w:rFonts w:ascii="宋体" w:hAnsi="宋体"/>
          <w:color w:val="000000"/>
          <w:szCs w:val="21"/>
        </w:rPr>
      </w:pPr>
      <w:r>
        <w:rPr>
          <w:rFonts w:hint="eastAsia" w:ascii="宋体" w:hAnsi="宋体"/>
          <w:color w:val="000000"/>
          <w:szCs w:val="21"/>
        </w:rPr>
        <w:t>发包人完成竣工付款的期限：</w:t>
      </w:r>
      <w:permStart w:id="469" w:edGrp="everyone"/>
      <w:r>
        <w:rPr>
          <w:rFonts w:hint="eastAsia" w:ascii="宋体" w:hAnsi="宋体"/>
          <w:color w:val="000000"/>
          <w:szCs w:val="21"/>
        </w:rPr>
        <w:t xml:space="preserve"> </w:t>
      </w:r>
      <w:r>
        <w:rPr>
          <w:rFonts w:ascii="宋体" w:hAnsi="宋体"/>
          <w:color w:val="000000"/>
          <w:szCs w:val="21"/>
        </w:rPr>
        <w:t xml:space="preserve">               </w:t>
      </w:r>
      <w:permEnd w:id="469"/>
      <w:r>
        <w:rPr>
          <w:rFonts w:hint="eastAsia" w:ascii="宋体" w:hAnsi="宋体"/>
          <w:color w:val="000000"/>
          <w:szCs w:val="21"/>
        </w:rPr>
        <w:t>。</w:t>
      </w:r>
    </w:p>
    <w:p>
      <w:pPr>
        <w:spacing w:line="360" w:lineRule="auto"/>
        <w:ind w:firstLine="420" w:firstLineChars="200"/>
        <w:jc w:val="left"/>
        <w:rPr>
          <w:rFonts w:ascii="宋体" w:hAnsi="宋体"/>
          <w:color w:val="000000"/>
          <w:szCs w:val="21"/>
          <w:u w:val="single"/>
        </w:rPr>
      </w:pPr>
      <w:r>
        <w:rPr>
          <w:rFonts w:hint="eastAsia" w:ascii="宋体" w:hAnsi="宋体"/>
          <w:color w:val="000000"/>
          <w:szCs w:val="21"/>
        </w:rPr>
        <w:t>关于竣工付款证书异议部分复核的方式和程序：</w:t>
      </w:r>
      <w:permStart w:id="470" w:edGrp="everyone"/>
    </w:p>
    <w:permEnd w:id="470"/>
    <w:p>
      <w:pPr>
        <w:spacing w:line="360" w:lineRule="auto"/>
        <w:jc w:val="left"/>
        <w:rPr>
          <w:rFonts w:ascii="宋体" w:hAnsi="宋体"/>
          <w:color w:val="000000"/>
          <w:szCs w:val="21"/>
        </w:rPr>
      </w:pPr>
    </w:p>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 xml:space="preserve">14.4 </w:t>
      </w:r>
      <w:r>
        <w:rPr>
          <w:rFonts w:hint="eastAsia" w:ascii="黑体" w:hAnsi="黑体" w:eastAsia="黑体"/>
          <w:color w:val="000000"/>
          <w:szCs w:val="21"/>
        </w:rPr>
        <w:t>最终结清</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14.4.1 </w:t>
      </w:r>
      <w:r>
        <w:rPr>
          <w:rFonts w:hint="eastAsia" w:ascii="宋体" w:hAnsi="宋体"/>
          <w:color w:val="000000"/>
          <w:kern w:val="0"/>
          <w:szCs w:val="21"/>
        </w:rPr>
        <w:t>最终结清申请单</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承包人提交最终结清申请单的份数：</w:t>
      </w:r>
      <w:permStart w:id="471" w:edGrp="everyone"/>
      <w:r>
        <w:rPr>
          <w:rFonts w:hint="eastAsia" w:ascii="宋体" w:hAnsi="宋体"/>
          <w:color w:val="000000"/>
          <w:kern w:val="0"/>
          <w:szCs w:val="21"/>
        </w:rPr>
        <w:t xml:space="preserve"> </w:t>
      </w:r>
      <w:r>
        <w:rPr>
          <w:rFonts w:ascii="宋体" w:hAnsi="宋体"/>
          <w:color w:val="000000"/>
          <w:kern w:val="0"/>
          <w:szCs w:val="21"/>
        </w:rPr>
        <w:t xml:space="preserve">            </w:t>
      </w:r>
      <w:permEnd w:id="471"/>
      <w:r>
        <w:rPr>
          <w:rFonts w:hint="eastAsia" w:ascii="宋体" w:hAnsi="宋体"/>
          <w:color w:val="000000"/>
          <w:szCs w:val="21"/>
        </w:rPr>
        <w:t>。</w:t>
      </w:r>
    </w:p>
    <w:p>
      <w:pPr>
        <w:spacing w:line="360" w:lineRule="auto"/>
        <w:ind w:firstLine="420" w:firstLineChars="200"/>
        <w:jc w:val="left"/>
        <w:rPr>
          <w:rFonts w:ascii="宋体" w:hAnsi="宋体"/>
          <w:color w:val="000000"/>
          <w:szCs w:val="21"/>
        </w:rPr>
      </w:pPr>
      <w:r>
        <w:rPr>
          <w:rFonts w:hint="eastAsia" w:ascii="宋体" w:hAnsi="宋体"/>
          <w:color w:val="000000"/>
          <w:kern w:val="0"/>
          <w:szCs w:val="21"/>
        </w:rPr>
        <w:t>承包人提交最终结算申请单的期限：</w:t>
      </w:r>
      <w:permStart w:id="472" w:edGrp="everyone"/>
      <w:r>
        <w:rPr>
          <w:rFonts w:hint="eastAsia" w:ascii="宋体" w:hAnsi="宋体"/>
          <w:color w:val="000000"/>
          <w:kern w:val="0"/>
          <w:szCs w:val="21"/>
        </w:rPr>
        <w:t xml:space="preserve"> </w:t>
      </w:r>
      <w:r>
        <w:rPr>
          <w:rFonts w:ascii="宋体" w:hAnsi="宋体"/>
          <w:color w:val="000000"/>
          <w:kern w:val="0"/>
          <w:szCs w:val="21"/>
        </w:rPr>
        <w:t xml:space="preserve">                </w:t>
      </w:r>
      <w:permEnd w:id="472"/>
      <w:r>
        <w:rPr>
          <w:rFonts w:hint="eastAsia" w:ascii="宋体" w:hAnsi="宋体"/>
          <w:color w:val="000000"/>
          <w:szCs w:val="21"/>
        </w:rPr>
        <w:t>。</w:t>
      </w:r>
    </w:p>
    <w:p>
      <w:pPr>
        <w:spacing w:line="360" w:lineRule="auto"/>
        <w:ind w:firstLine="420" w:firstLineChars="200"/>
        <w:jc w:val="left"/>
        <w:rPr>
          <w:rFonts w:ascii="宋体" w:hAnsi="宋体"/>
          <w:color w:val="000000"/>
          <w:szCs w:val="21"/>
        </w:rPr>
      </w:pPr>
      <w:r>
        <w:rPr>
          <w:rFonts w:ascii="宋体" w:hAnsi="宋体"/>
          <w:color w:val="000000"/>
          <w:szCs w:val="21"/>
        </w:rPr>
        <w:t xml:space="preserve">14.4.2 </w:t>
      </w:r>
      <w:r>
        <w:rPr>
          <w:rFonts w:hint="eastAsia" w:ascii="宋体" w:hAnsi="宋体"/>
          <w:color w:val="000000"/>
          <w:szCs w:val="21"/>
        </w:rPr>
        <w:t>最终结清证书和支付</w:t>
      </w:r>
    </w:p>
    <w:p>
      <w:pPr>
        <w:spacing w:line="360" w:lineRule="auto"/>
        <w:ind w:firstLine="420" w:firstLineChars="200"/>
        <w:jc w:val="left"/>
        <w:rPr>
          <w:rFonts w:ascii="宋体" w:hAns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）发包人完成最终结清申请单的审批并颁发最终结清证书的期限：</w:t>
      </w:r>
      <w:permStart w:id="473" w:edGrp="everyone"/>
      <w:r>
        <w:rPr>
          <w:rFonts w:hint="eastAsia" w:ascii="宋体" w:hAnsi="宋体"/>
          <w:color w:val="000000"/>
          <w:szCs w:val="21"/>
        </w:rPr>
        <w:t xml:space="preserve"> </w:t>
      </w:r>
      <w:r>
        <w:rPr>
          <w:rFonts w:ascii="宋体" w:hAnsi="宋体"/>
          <w:color w:val="000000"/>
          <w:szCs w:val="21"/>
        </w:rPr>
        <w:t xml:space="preserve">               </w:t>
      </w:r>
      <w:permEnd w:id="473"/>
      <w:r>
        <w:rPr>
          <w:rFonts w:hint="eastAsia" w:ascii="宋体" w:hAnsi="宋体"/>
          <w:color w:val="000000"/>
          <w:szCs w:val="21"/>
        </w:rPr>
        <w:t>。</w:t>
      </w:r>
    </w:p>
    <w:p>
      <w:pPr>
        <w:spacing w:line="360" w:lineRule="auto"/>
        <w:ind w:firstLine="420" w:firstLineChars="200"/>
        <w:jc w:val="left"/>
        <w:rPr>
          <w:rFonts w:ascii="宋体" w:hAns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）发包人完成支付的期限：</w:t>
      </w:r>
      <w:permStart w:id="474" w:edGrp="everyone"/>
      <w:r>
        <w:rPr>
          <w:rFonts w:hint="eastAsia" w:ascii="宋体" w:hAnsi="宋体"/>
          <w:color w:val="000000"/>
          <w:szCs w:val="21"/>
        </w:rPr>
        <w:t xml:space="preserve"> </w:t>
      </w:r>
      <w:r>
        <w:rPr>
          <w:rFonts w:ascii="宋体" w:hAnsi="宋体"/>
          <w:color w:val="000000"/>
          <w:szCs w:val="21"/>
        </w:rPr>
        <w:t xml:space="preserve">                  </w:t>
      </w:r>
      <w:permEnd w:id="474"/>
      <w:r>
        <w:rPr>
          <w:rFonts w:hint="eastAsia" w:ascii="宋体" w:hAnsi="宋体"/>
          <w:color w:val="000000"/>
          <w:szCs w:val="21"/>
        </w:rPr>
        <w:t>。</w:t>
      </w:r>
    </w:p>
    <w:bookmarkEnd w:id="1173"/>
    <w:bookmarkEnd w:id="1174"/>
    <w:bookmarkEnd w:id="1175"/>
    <w:bookmarkEnd w:id="1176"/>
    <w:bookmarkEnd w:id="1177"/>
    <w:bookmarkEnd w:id="1178"/>
    <w:bookmarkEnd w:id="1179"/>
    <w:bookmarkEnd w:id="1185"/>
    <w:p>
      <w:pPr>
        <w:pStyle w:val="5"/>
        <w:spacing w:before="120" w:after="120" w:line="360" w:lineRule="auto"/>
        <w:rPr>
          <w:rFonts w:ascii="黑体" w:hAnsi="黑体"/>
          <w:b w:val="0"/>
          <w:color w:val="000000"/>
        </w:rPr>
      </w:pPr>
      <w:bookmarkStart w:id="1188" w:name="_Toc114222837"/>
      <w:bookmarkStart w:id="1189" w:name="_Toc362623202"/>
      <w:bookmarkStart w:id="1190" w:name="_Toc267251483"/>
      <w:bookmarkStart w:id="1191" w:name="_Toc267251484"/>
      <w:bookmarkStart w:id="1192" w:name="_Toc267251482"/>
      <w:bookmarkStart w:id="1193" w:name="_Toc267251485"/>
      <w:bookmarkStart w:id="1194" w:name="_Toc267251488"/>
      <w:bookmarkStart w:id="1195" w:name="_Toc267251490"/>
      <w:bookmarkStart w:id="1196" w:name="_Toc267251486"/>
      <w:bookmarkStart w:id="1197" w:name="_Toc267251489"/>
      <w:bookmarkStart w:id="1198" w:name="_Toc267251502"/>
      <w:bookmarkStart w:id="1199" w:name="_Toc267251501"/>
      <w:bookmarkStart w:id="1200" w:name="_Toc267251503"/>
      <w:bookmarkStart w:id="1201" w:name="_Toc267251497"/>
      <w:bookmarkStart w:id="1202" w:name="_Toc267251491"/>
      <w:bookmarkStart w:id="1203" w:name="_Toc267251493"/>
      <w:bookmarkStart w:id="1204" w:name="_Toc267251495"/>
      <w:bookmarkStart w:id="1205" w:name="_Toc267251498"/>
      <w:bookmarkStart w:id="1206" w:name="_Toc267251496"/>
      <w:bookmarkStart w:id="1207" w:name="_Toc267251492"/>
      <w:bookmarkStart w:id="1208" w:name="_Toc267251499"/>
      <w:bookmarkStart w:id="1209" w:name="_Toc267251494"/>
      <w:bookmarkStart w:id="1210" w:name="_Toc267251504"/>
      <w:bookmarkStart w:id="1211" w:name="_Toc267251506"/>
      <w:bookmarkStart w:id="1212" w:name="_Toc267251507"/>
      <w:bookmarkStart w:id="1213" w:name="_Toc267251508"/>
      <w:bookmarkStart w:id="1214" w:name="_Toc267251515"/>
      <w:bookmarkStart w:id="1215" w:name="_Toc267251514"/>
      <w:bookmarkStart w:id="1216" w:name="_Toc267251509"/>
      <w:bookmarkStart w:id="1217" w:name="_Toc267251511"/>
      <w:bookmarkStart w:id="1218" w:name="_Toc267251513"/>
      <w:bookmarkStart w:id="1219" w:name="_Toc267251510"/>
      <w:r>
        <w:rPr>
          <w:rFonts w:ascii="黑体" w:hAnsi="黑体"/>
          <w:b w:val="0"/>
          <w:color w:val="000000"/>
        </w:rPr>
        <w:t xml:space="preserve">15. </w:t>
      </w:r>
      <w:r>
        <w:rPr>
          <w:rFonts w:hint="eastAsia" w:ascii="黑体" w:hAnsi="黑体"/>
          <w:b w:val="0"/>
          <w:color w:val="000000"/>
        </w:rPr>
        <w:t>缺陷责任期与保修</w:t>
      </w:r>
      <w:bookmarkEnd w:id="1188"/>
      <w:bookmarkEnd w:id="1189"/>
    </w:p>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15.2</w:t>
      </w:r>
      <w:r>
        <w:rPr>
          <w:rFonts w:hint="eastAsia" w:ascii="黑体" w:hAnsi="黑体" w:eastAsia="黑体"/>
          <w:color w:val="000000"/>
          <w:szCs w:val="21"/>
        </w:rPr>
        <w:t>缺陷责任期</w:t>
      </w:r>
      <w:bookmarkEnd w:id="1190"/>
    </w:p>
    <w:p>
      <w:pPr>
        <w:spacing w:line="360" w:lineRule="auto"/>
        <w:ind w:firstLine="420" w:firstLineChars="200"/>
        <w:jc w:val="left"/>
        <w:rPr>
          <w:rFonts w:ascii="宋体" w:hAnsi="宋体"/>
          <w:color w:val="000000"/>
          <w:szCs w:val="21"/>
          <w:u w:val="single"/>
        </w:rPr>
      </w:pPr>
      <w:r>
        <w:rPr>
          <w:rFonts w:hint="eastAsia" w:ascii="宋体" w:hAnsi="宋体"/>
          <w:color w:val="000000"/>
          <w:szCs w:val="21"/>
        </w:rPr>
        <w:t>缺陷责任期的具体期限：</w:t>
      </w:r>
      <w:permStart w:id="475" w:edGrp="everyone"/>
    </w:p>
    <w:permEnd w:id="475"/>
    <w:p>
      <w:pPr>
        <w:spacing w:line="360" w:lineRule="auto"/>
        <w:jc w:val="left"/>
        <w:rPr>
          <w:rFonts w:ascii="宋体" w:hAnsi="宋体"/>
          <w:color w:val="000000"/>
          <w:szCs w:val="21"/>
        </w:rPr>
      </w:pPr>
    </w:p>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 xml:space="preserve">15.3 </w:t>
      </w:r>
      <w:r>
        <w:rPr>
          <w:rFonts w:hint="eastAsia" w:ascii="黑体" w:hAnsi="黑体" w:eastAsia="黑体"/>
          <w:color w:val="000000"/>
          <w:szCs w:val="21"/>
        </w:rPr>
        <w:t>质量保证金</w:t>
      </w:r>
    </w:p>
    <w:p>
      <w:pPr>
        <w:spacing w:line="360" w:lineRule="auto"/>
        <w:ind w:firstLine="420" w:firstLineChars="200"/>
        <w:jc w:val="left"/>
        <w:rPr>
          <w:rFonts w:ascii="宋体" w:hAnsi="宋体"/>
          <w:color w:val="000000"/>
          <w:szCs w:val="21"/>
        </w:rPr>
      </w:pPr>
      <w:r>
        <w:rPr>
          <w:rFonts w:hint="eastAsia" w:ascii="宋体" w:hAnsi="宋体"/>
          <w:color w:val="000000"/>
          <w:szCs w:val="21"/>
        </w:rPr>
        <w:t>关于是否扣留质量保证金的约定</w:t>
      </w:r>
      <w:r>
        <w:rPr>
          <w:rFonts w:hint="eastAsia" w:ascii="宋体" w:hAnsi="宋体"/>
          <w:color w:val="000000"/>
          <w:szCs w:val="21"/>
          <w:lang w:eastAsia="zh-CN"/>
        </w:rPr>
        <w:t>：</w:t>
      </w:r>
    </w:p>
    <w:p>
      <w:pPr>
        <w:spacing w:line="360" w:lineRule="auto"/>
        <w:ind w:firstLine="420" w:firstLineChars="200"/>
        <w:jc w:val="left"/>
        <w:rPr>
          <w:rFonts w:ascii="宋体" w:hAnsi="宋体"/>
          <w:color w:val="000000"/>
          <w:szCs w:val="21"/>
        </w:rPr>
      </w:pPr>
      <w:r>
        <w:rPr>
          <w:rFonts w:hint="eastAsia" w:ascii="宋体" w:hAnsi="宋体"/>
          <w:color w:val="000000"/>
          <w:szCs w:val="21"/>
        </w:rPr>
        <w:t>在工程项目竣工前，承包人按专用合同条款第3.7条提供履约担保的，发包人不得同时预留工程质量保证金。</w:t>
      </w:r>
    </w:p>
    <w:p>
      <w:pPr>
        <w:spacing w:line="360" w:lineRule="auto"/>
        <w:ind w:firstLine="420" w:firstLineChars="200"/>
        <w:jc w:val="left"/>
        <w:rPr>
          <w:rFonts w:ascii="宋体" w:hAnsi="宋体"/>
          <w:color w:val="000000"/>
          <w:szCs w:val="21"/>
        </w:rPr>
      </w:pPr>
      <w:r>
        <w:rPr>
          <w:rFonts w:ascii="宋体" w:hAnsi="宋体"/>
          <w:color w:val="000000"/>
          <w:szCs w:val="21"/>
        </w:rPr>
        <w:t xml:space="preserve">15.3.1 </w:t>
      </w:r>
      <w:r>
        <w:rPr>
          <w:rFonts w:hint="eastAsia" w:ascii="宋体" w:hAnsi="宋体"/>
          <w:color w:val="000000"/>
          <w:szCs w:val="21"/>
        </w:rPr>
        <w:t>承包人提供质量保证金的方式</w:t>
      </w:r>
    </w:p>
    <w:p>
      <w:pPr>
        <w:spacing w:line="360" w:lineRule="auto"/>
        <w:ind w:firstLine="420" w:firstLineChars="200"/>
        <w:jc w:val="left"/>
        <w:rPr>
          <w:rFonts w:ascii="宋体" w:hAnsi="宋体"/>
          <w:color w:val="000000"/>
          <w:szCs w:val="21"/>
        </w:rPr>
      </w:pPr>
      <w:r>
        <w:rPr>
          <w:rFonts w:hint="eastAsia" w:ascii="宋体" w:hAnsi="宋体"/>
          <w:color w:val="000000"/>
          <w:szCs w:val="21"/>
        </w:rPr>
        <w:t>质量保证金采用以下第</w:t>
      </w:r>
      <w:permStart w:id="476" w:edGrp="everyone"/>
      <w:r>
        <w:rPr>
          <w:rFonts w:hint="eastAsia" w:ascii="宋体" w:hAnsi="宋体"/>
          <w:color w:val="000000"/>
          <w:szCs w:val="21"/>
        </w:rPr>
        <w:t xml:space="preserve">  </w:t>
      </w:r>
      <w:permEnd w:id="476"/>
      <w:r>
        <w:rPr>
          <w:rFonts w:hint="eastAsia" w:ascii="宋体" w:hAnsi="宋体"/>
          <w:color w:val="000000"/>
          <w:szCs w:val="21"/>
        </w:rPr>
        <w:t>种方式：</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）质量保证金保函，保证金额为：</w:t>
      </w:r>
      <w:permStart w:id="477" w:edGrp="everyone"/>
      <w:r>
        <w:rPr>
          <w:rFonts w:hint="eastAsia" w:ascii="宋体" w:hAnsi="宋体"/>
          <w:color w:val="000000"/>
          <w:kern w:val="0"/>
          <w:szCs w:val="21"/>
        </w:rPr>
        <w:t xml:space="preserve"> </w:t>
      </w:r>
      <w:r>
        <w:rPr>
          <w:rFonts w:ascii="宋体" w:hAnsi="宋体"/>
          <w:color w:val="000000"/>
          <w:kern w:val="0"/>
          <w:szCs w:val="21"/>
        </w:rPr>
        <w:t xml:space="preserve">                   </w:t>
      </w:r>
      <w:permEnd w:id="477"/>
      <w:r>
        <w:rPr>
          <w:rFonts w:hint="eastAsia" w:ascii="宋体" w:hAnsi="宋体"/>
          <w:color w:val="000000"/>
          <w:kern w:val="0"/>
          <w:szCs w:val="21"/>
        </w:rPr>
        <w:t>；</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w:t>
      </w:r>
      <w:permStart w:id="478" w:edGrp="everyone"/>
      <w:r>
        <w:rPr>
          <w:rFonts w:hint="eastAsia" w:ascii="宋体" w:hAnsi="宋体"/>
          <w:color w:val="000000"/>
          <w:kern w:val="0"/>
          <w:szCs w:val="21"/>
        </w:rPr>
        <w:t xml:space="preserve">  </w:t>
      </w:r>
      <w:permEnd w:id="478"/>
      <w:r>
        <w:rPr>
          <w:rFonts w:ascii="宋体" w:hAnsi="宋体"/>
          <w:color w:val="000000"/>
          <w:kern w:val="0"/>
          <w:szCs w:val="21"/>
        </w:rPr>
        <w:t>%</w:t>
      </w:r>
      <w:r>
        <w:rPr>
          <w:rFonts w:hint="eastAsia" w:ascii="宋体" w:hAnsi="宋体"/>
          <w:color w:val="000000"/>
          <w:kern w:val="0"/>
          <w:szCs w:val="21"/>
        </w:rPr>
        <w:t>的工程款；</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3</w:t>
      </w:r>
      <w:r>
        <w:rPr>
          <w:rFonts w:hint="eastAsia" w:ascii="宋体" w:hAnsi="宋体"/>
          <w:color w:val="000000"/>
          <w:kern w:val="0"/>
          <w:szCs w:val="21"/>
        </w:rPr>
        <w:t>）其他方式</w:t>
      </w:r>
      <w:r>
        <w:rPr>
          <w:rFonts w:hint="eastAsia" w:ascii="宋体" w:hAnsi="宋体"/>
          <w:color w:val="000000"/>
          <w:kern w:val="0"/>
          <w:szCs w:val="21"/>
          <w:lang w:eastAsia="zh-CN"/>
        </w:rPr>
        <w:t>：</w:t>
      </w:r>
      <w:permStart w:id="479" w:edGrp="everyone"/>
      <w:r>
        <w:rPr>
          <w:rFonts w:ascii="宋体" w:hAnsi="宋体"/>
          <w:color w:val="000000"/>
          <w:kern w:val="0"/>
          <w:szCs w:val="21"/>
        </w:rPr>
        <w:t xml:space="preserve">                       </w:t>
      </w:r>
      <w:permEnd w:id="479"/>
      <w:r>
        <w:rPr>
          <w:rFonts w:hint="eastAsia" w:ascii="宋体" w:hAnsi="宋体"/>
          <w:color w:val="000000"/>
          <w:kern w:val="0"/>
          <w:szCs w:val="21"/>
        </w:rPr>
        <w:t>。</w:t>
      </w:r>
    </w:p>
    <w:p>
      <w:pPr>
        <w:spacing w:line="360" w:lineRule="auto"/>
        <w:ind w:firstLine="420" w:firstLineChars="200"/>
        <w:jc w:val="left"/>
        <w:rPr>
          <w:rFonts w:ascii="宋体" w:hAnsi="宋体"/>
          <w:color w:val="000000"/>
          <w:szCs w:val="21"/>
        </w:rPr>
      </w:pPr>
      <w:r>
        <w:rPr>
          <w:rFonts w:ascii="宋体" w:hAnsi="宋体"/>
          <w:color w:val="000000"/>
          <w:szCs w:val="21"/>
        </w:rPr>
        <w:t xml:space="preserve">15.3.2 </w:t>
      </w:r>
      <w:r>
        <w:rPr>
          <w:rFonts w:hint="eastAsia" w:ascii="宋体" w:hAnsi="宋体"/>
          <w:color w:val="000000"/>
          <w:szCs w:val="21"/>
        </w:rPr>
        <w:t>质量保证金的扣留</w:t>
      </w:r>
    </w:p>
    <w:p>
      <w:pPr>
        <w:spacing w:line="360" w:lineRule="auto"/>
        <w:ind w:firstLine="420" w:firstLineChars="200"/>
        <w:jc w:val="left"/>
        <w:rPr>
          <w:rFonts w:ascii="宋体" w:hAnsi="宋体"/>
          <w:color w:val="000000"/>
          <w:szCs w:val="21"/>
        </w:rPr>
      </w:pPr>
      <w:r>
        <w:rPr>
          <w:rFonts w:hint="eastAsia" w:ascii="宋体" w:hAnsi="宋体"/>
          <w:color w:val="000000"/>
          <w:szCs w:val="21"/>
        </w:rPr>
        <w:t>质量保证金的扣留采取以下第</w:t>
      </w:r>
      <w:permStart w:id="480" w:edGrp="everyone"/>
      <w:r>
        <w:rPr>
          <w:rFonts w:hint="eastAsia" w:ascii="宋体" w:hAnsi="宋体"/>
          <w:color w:val="000000"/>
          <w:szCs w:val="21"/>
        </w:rPr>
        <w:t xml:space="preserve">  </w:t>
      </w:r>
      <w:permEnd w:id="480"/>
      <w:r>
        <w:rPr>
          <w:rFonts w:hint="eastAsia" w:ascii="宋体" w:hAnsi="宋体"/>
          <w:color w:val="000000"/>
          <w:szCs w:val="21"/>
        </w:rPr>
        <w:t>种方式：</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）在支付工程进度款时逐次扣留，在此情形下，质量保证金的计算基数不包括预付款的支付、扣回以及价格调整的金额；</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）工程竣工结算时一次性扣留质量保证金；</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3</w:t>
      </w:r>
      <w:r>
        <w:rPr>
          <w:rFonts w:hint="eastAsia" w:ascii="宋体" w:hAnsi="宋体"/>
          <w:color w:val="000000"/>
          <w:kern w:val="0"/>
          <w:szCs w:val="21"/>
        </w:rPr>
        <w:t>）其他扣留方式</w:t>
      </w:r>
      <w:r>
        <w:rPr>
          <w:rFonts w:hint="eastAsia" w:ascii="宋体" w:hAnsi="宋体"/>
          <w:color w:val="000000"/>
          <w:kern w:val="0"/>
          <w:szCs w:val="21"/>
          <w:lang w:eastAsia="zh-CN"/>
        </w:rPr>
        <w:t>：</w:t>
      </w:r>
      <w:permStart w:id="481" w:edGrp="everyone"/>
      <w:r>
        <w:rPr>
          <w:rFonts w:ascii="宋体" w:hAnsi="宋体"/>
          <w:color w:val="000000"/>
          <w:kern w:val="0"/>
          <w:szCs w:val="21"/>
        </w:rPr>
        <w:t xml:space="preserve">                   </w:t>
      </w:r>
      <w:permEnd w:id="481"/>
      <w:r>
        <w:rPr>
          <w:rFonts w:hint="eastAsia" w:ascii="宋体" w:hAnsi="宋体"/>
          <w:color w:val="000000"/>
          <w:kern w:val="0"/>
          <w:szCs w:val="21"/>
        </w:rPr>
        <w:t>。</w:t>
      </w:r>
    </w:p>
    <w:p>
      <w:pPr>
        <w:spacing w:line="360" w:lineRule="auto"/>
        <w:ind w:firstLine="420" w:firstLineChars="200"/>
        <w:jc w:val="left"/>
        <w:rPr>
          <w:rFonts w:ascii="宋体" w:hAnsi="宋体"/>
          <w:color w:val="000000"/>
          <w:kern w:val="0"/>
          <w:szCs w:val="21"/>
          <w:u w:val="single"/>
        </w:rPr>
      </w:pPr>
      <w:r>
        <w:rPr>
          <w:rFonts w:hint="eastAsia" w:ascii="宋体" w:hAnsi="宋体"/>
          <w:color w:val="000000"/>
          <w:szCs w:val="21"/>
        </w:rPr>
        <w:t>关于质量保证金的补充约定：</w:t>
      </w:r>
      <w:permStart w:id="482" w:edGrp="everyone"/>
      <w:r>
        <w:rPr>
          <w:rFonts w:hint="eastAsia" w:ascii="宋体" w:hAnsi="宋体"/>
          <w:color w:val="000000"/>
          <w:szCs w:val="21"/>
        </w:rPr>
        <w:t xml:space="preserve">                  </w:t>
      </w:r>
    </w:p>
    <w:permEnd w:id="482"/>
    <w:p>
      <w:pPr>
        <w:spacing w:line="360" w:lineRule="auto"/>
        <w:jc w:val="left"/>
        <w:rPr>
          <w:rFonts w:ascii="宋体" w:hAnsi="宋体"/>
          <w:color w:val="000000"/>
          <w:szCs w:val="21"/>
        </w:rPr>
      </w:pPr>
    </w:p>
    <w:bookmarkEnd w:id="1191"/>
    <w:bookmarkEnd w:id="1192"/>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15.4</w:t>
      </w:r>
      <w:r>
        <w:rPr>
          <w:rFonts w:hint="eastAsia" w:ascii="黑体" w:hAnsi="黑体" w:eastAsia="黑体"/>
          <w:color w:val="000000"/>
          <w:szCs w:val="21"/>
        </w:rPr>
        <w:t>保修</w:t>
      </w:r>
    </w:p>
    <w:bookmarkEnd w:id="1193"/>
    <w:p>
      <w:pPr>
        <w:spacing w:line="360" w:lineRule="auto"/>
        <w:ind w:firstLine="409" w:firstLineChars="195"/>
        <w:jc w:val="left"/>
        <w:rPr>
          <w:rFonts w:ascii="宋体" w:hAnsi="宋体"/>
          <w:color w:val="000000"/>
          <w:szCs w:val="21"/>
        </w:rPr>
      </w:pPr>
      <w:r>
        <w:rPr>
          <w:rFonts w:ascii="宋体" w:hAnsi="宋体"/>
          <w:color w:val="000000"/>
          <w:szCs w:val="21"/>
        </w:rPr>
        <w:t xml:space="preserve">15.4.1 </w:t>
      </w:r>
      <w:r>
        <w:rPr>
          <w:rFonts w:hint="eastAsia" w:ascii="宋体" w:hAnsi="宋体"/>
          <w:color w:val="000000"/>
          <w:szCs w:val="21"/>
        </w:rPr>
        <w:t>保修责任</w:t>
      </w:r>
    </w:p>
    <w:p>
      <w:pPr>
        <w:spacing w:line="360" w:lineRule="auto"/>
        <w:ind w:firstLine="409" w:firstLineChars="195"/>
        <w:jc w:val="left"/>
        <w:rPr>
          <w:rFonts w:ascii="宋体" w:hAnsi="宋体"/>
          <w:color w:val="000000"/>
          <w:kern w:val="0"/>
          <w:szCs w:val="21"/>
          <w:u w:val="single"/>
        </w:rPr>
      </w:pPr>
      <w:r>
        <w:rPr>
          <w:rFonts w:hint="eastAsia" w:ascii="宋体" w:hAnsi="宋体"/>
          <w:color w:val="000000"/>
          <w:szCs w:val="21"/>
        </w:rPr>
        <w:t>工程保修期为：</w:t>
      </w:r>
      <w:permStart w:id="483" w:edGrp="everyone"/>
    </w:p>
    <w:permEnd w:id="483"/>
    <w:p>
      <w:pPr>
        <w:spacing w:line="360" w:lineRule="auto"/>
        <w:jc w:val="left"/>
        <w:rPr>
          <w:rFonts w:ascii="宋体" w:hAnsi="宋体"/>
          <w:color w:val="000000"/>
          <w:kern w:val="0"/>
          <w:szCs w:val="21"/>
        </w:rPr>
      </w:pPr>
    </w:p>
    <w:p>
      <w:pPr>
        <w:spacing w:line="360" w:lineRule="auto"/>
        <w:ind w:firstLine="409" w:firstLineChars="195"/>
        <w:jc w:val="left"/>
        <w:rPr>
          <w:rFonts w:ascii="宋体" w:hAnsi="宋体"/>
          <w:color w:val="000000"/>
          <w:szCs w:val="21"/>
        </w:rPr>
      </w:pPr>
      <w:r>
        <w:rPr>
          <w:rFonts w:ascii="宋体" w:hAnsi="宋体"/>
          <w:color w:val="000000"/>
          <w:szCs w:val="21"/>
        </w:rPr>
        <w:t xml:space="preserve">15.4.3 </w:t>
      </w:r>
      <w:r>
        <w:rPr>
          <w:rFonts w:hint="eastAsia" w:ascii="宋体" w:hAnsi="宋体"/>
          <w:color w:val="000000"/>
          <w:szCs w:val="21"/>
        </w:rPr>
        <w:t>修复通知</w:t>
      </w:r>
    </w:p>
    <w:p>
      <w:pPr>
        <w:spacing w:line="360" w:lineRule="auto"/>
        <w:ind w:firstLine="409" w:firstLineChars="195"/>
        <w:jc w:val="left"/>
        <w:rPr>
          <w:rFonts w:ascii="宋体" w:hAnsi="宋体"/>
          <w:color w:val="000000"/>
          <w:kern w:val="0"/>
          <w:szCs w:val="21"/>
          <w:u w:val="single"/>
        </w:rPr>
      </w:pPr>
      <w:r>
        <w:rPr>
          <w:rFonts w:hint="eastAsia" w:ascii="宋体" w:hAnsi="宋体"/>
          <w:color w:val="000000"/>
          <w:kern w:val="0"/>
          <w:szCs w:val="21"/>
        </w:rPr>
        <w:t>承包人收到保修通知并到达工程现场的合理时间：</w:t>
      </w:r>
      <w:permStart w:id="484" w:edGrp="everyone"/>
    </w:p>
    <w:permEnd w:id="484"/>
    <w:p>
      <w:pPr>
        <w:spacing w:line="360" w:lineRule="auto"/>
        <w:jc w:val="left"/>
        <w:rPr>
          <w:rFonts w:ascii="宋体" w:hAnsi="宋体"/>
          <w:color w:val="000000"/>
          <w:kern w:val="0"/>
          <w:szCs w:val="21"/>
        </w:rPr>
      </w:pPr>
    </w:p>
    <w:bookmarkEnd w:id="1194"/>
    <w:bookmarkEnd w:id="1195"/>
    <w:bookmarkEnd w:id="1196"/>
    <w:bookmarkEnd w:id="1197"/>
    <w:p>
      <w:pPr>
        <w:pStyle w:val="5"/>
        <w:spacing w:before="120" w:after="120" w:line="360" w:lineRule="auto"/>
        <w:rPr>
          <w:rFonts w:ascii="黑体" w:hAnsi="黑体"/>
          <w:b w:val="0"/>
          <w:color w:val="000000"/>
        </w:rPr>
      </w:pPr>
      <w:bookmarkStart w:id="1220" w:name="_Toc114222838"/>
      <w:bookmarkStart w:id="1221" w:name="_Toc362623203"/>
      <w:bookmarkStart w:id="1222" w:name="_Toc280868717"/>
      <w:bookmarkStart w:id="1223" w:name="_Toc280868718"/>
      <w:r>
        <w:rPr>
          <w:rFonts w:ascii="黑体" w:hAnsi="黑体"/>
          <w:b w:val="0"/>
          <w:color w:val="000000"/>
        </w:rPr>
        <w:t xml:space="preserve">16. </w:t>
      </w:r>
      <w:r>
        <w:rPr>
          <w:rFonts w:hint="eastAsia" w:ascii="黑体" w:hAnsi="黑体"/>
          <w:b w:val="0"/>
          <w:color w:val="000000"/>
        </w:rPr>
        <w:t>违约</w:t>
      </w:r>
      <w:bookmarkEnd w:id="1220"/>
      <w:bookmarkEnd w:id="1221"/>
    </w:p>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 xml:space="preserve">16.1 </w:t>
      </w:r>
      <w:r>
        <w:rPr>
          <w:rFonts w:hint="eastAsia" w:ascii="黑体" w:hAnsi="黑体" w:eastAsia="黑体"/>
          <w:color w:val="000000"/>
          <w:szCs w:val="21"/>
        </w:rPr>
        <w:t>发包人违约</w:t>
      </w:r>
    </w:p>
    <w:p>
      <w:pPr>
        <w:spacing w:line="360" w:lineRule="auto"/>
        <w:ind w:firstLine="420" w:firstLineChars="200"/>
        <w:jc w:val="left"/>
        <w:rPr>
          <w:rFonts w:ascii="宋体" w:hAnsi="宋体"/>
          <w:color w:val="000000"/>
          <w:szCs w:val="21"/>
        </w:rPr>
      </w:pPr>
      <w:r>
        <w:rPr>
          <w:rFonts w:ascii="宋体" w:hAnsi="宋体"/>
          <w:color w:val="000000"/>
          <w:szCs w:val="21"/>
        </w:rPr>
        <w:t>16.1.1</w:t>
      </w:r>
      <w:r>
        <w:rPr>
          <w:rFonts w:hint="eastAsia" w:ascii="宋体" w:hAnsi="宋体"/>
          <w:color w:val="000000"/>
          <w:szCs w:val="21"/>
        </w:rPr>
        <w:t>发包人违约的情形</w:t>
      </w:r>
    </w:p>
    <w:p>
      <w:pPr>
        <w:spacing w:line="360" w:lineRule="auto"/>
        <w:ind w:firstLine="420" w:firstLineChars="200"/>
        <w:jc w:val="left"/>
        <w:rPr>
          <w:rFonts w:ascii="宋体" w:hAnsi="宋体"/>
          <w:color w:val="000000"/>
          <w:kern w:val="0"/>
          <w:szCs w:val="21"/>
          <w:u w:val="single"/>
        </w:rPr>
      </w:pPr>
      <w:r>
        <w:rPr>
          <w:rFonts w:hint="eastAsia" w:ascii="宋体" w:hAnsi="宋体"/>
          <w:color w:val="000000"/>
          <w:kern w:val="0"/>
          <w:szCs w:val="21"/>
        </w:rPr>
        <w:t>发包人违约的其他情形：</w:t>
      </w:r>
      <w:permStart w:id="485" w:edGrp="everyone"/>
    </w:p>
    <w:permEnd w:id="485"/>
    <w:p>
      <w:pPr>
        <w:spacing w:line="360" w:lineRule="auto"/>
        <w:ind w:left="1050" w:hanging="1050" w:hangingChars="500"/>
        <w:jc w:val="left"/>
        <w:rPr>
          <w:rFonts w:ascii="宋体" w:hAnsi="宋体"/>
          <w:color w:val="000000"/>
          <w:kern w:val="0"/>
          <w:szCs w:val="21"/>
        </w:rPr>
      </w:pPr>
    </w:p>
    <w:p>
      <w:pPr>
        <w:spacing w:line="360" w:lineRule="auto"/>
        <w:ind w:left="1050" w:hanging="1050" w:hangingChars="500"/>
        <w:jc w:val="left"/>
        <w:rPr>
          <w:rFonts w:ascii="宋体" w:hAnsi="宋体"/>
          <w:color w:val="000000"/>
          <w:kern w:val="0"/>
          <w:szCs w:val="21"/>
        </w:rPr>
      </w:pPr>
      <w:r>
        <w:rPr>
          <w:rFonts w:ascii="宋体" w:hAnsi="宋体"/>
          <w:color w:val="000000"/>
          <w:kern w:val="0"/>
          <w:szCs w:val="21"/>
        </w:rPr>
        <w:t xml:space="preserve">    16.1.2 </w:t>
      </w:r>
      <w:r>
        <w:rPr>
          <w:rFonts w:hint="eastAsia" w:ascii="宋体" w:hAnsi="宋体"/>
          <w:color w:val="000000"/>
          <w:kern w:val="0"/>
          <w:szCs w:val="21"/>
        </w:rPr>
        <w:t>发包人违约的责任</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发包人违约责任的承担方式和计算方法：</w:t>
      </w:r>
    </w:p>
    <w:p>
      <w:pPr>
        <w:spacing w:line="360" w:lineRule="auto"/>
        <w:ind w:firstLine="420" w:firstLineChars="200"/>
        <w:jc w:val="left"/>
        <w:rPr>
          <w:rFonts w:ascii="宋体" w:hAnsi="宋体"/>
          <w:color w:val="000000"/>
          <w:kern w:val="0"/>
          <w:szCs w:val="21"/>
          <w:u w:val="single"/>
        </w:rPr>
      </w:pPr>
      <w:r>
        <w:rPr>
          <w:rFonts w:hint="eastAsia" w:ascii="宋体" w:hAnsi="宋体"/>
          <w:color w:val="000000"/>
          <w:kern w:val="0"/>
          <w:szCs w:val="21"/>
        </w:rPr>
        <w:t>（</w:t>
      </w:r>
      <w:r>
        <w:rPr>
          <w:rFonts w:ascii="宋体" w:hAnsi="宋体"/>
          <w:color w:val="000000"/>
          <w:kern w:val="0"/>
          <w:szCs w:val="21"/>
        </w:rPr>
        <w:t>1</w:t>
      </w:r>
      <w:r>
        <w:rPr>
          <w:rFonts w:hint="eastAsia" w:ascii="宋体" w:hAnsi="宋体"/>
          <w:color w:val="000000"/>
          <w:kern w:val="0"/>
          <w:szCs w:val="21"/>
        </w:rPr>
        <w:t>）因发包人原因未能在计划开工日期前</w:t>
      </w:r>
      <w:r>
        <w:rPr>
          <w:rFonts w:ascii="宋体" w:hAnsi="宋体"/>
          <w:color w:val="000000"/>
          <w:kern w:val="0"/>
          <w:szCs w:val="21"/>
        </w:rPr>
        <w:t>7</w:t>
      </w:r>
      <w:r>
        <w:rPr>
          <w:rFonts w:hint="eastAsia" w:ascii="宋体" w:hAnsi="宋体"/>
          <w:color w:val="000000"/>
          <w:kern w:val="0"/>
          <w:szCs w:val="21"/>
        </w:rPr>
        <w:t>天内下达开工通知的违约责任：</w:t>
      </w:r>
      <w:permStart w:id="486" w:edGrp="everyone"/>
      <w:r>
        <w:rPr>
          <w:rFonts w:hint="eastAsia" w:ascii="宋体" w:hAnsi="宋体"/>
          <w:color w:val="000000"/>
          <w:kern w:val="0"/>
          <w:szCs w:val="21"/>
        </w:rPr>
        <w:t xml:space="preserve">         </w:t>
      </w:r>
      <w:permEnd w:id="486"/>
      <w:r>
        <w:rPr>
          <w:rFonts w:hint="eastAsia" w:ascii="宋体" w:hAnsi="宋体"/>
          <w:color w:val="000000"/>
          <w:kern w:val="0"/>
          <w:szCs w:val="21"/>
        </w:rPr>
        <w:t>。</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2</w:t>
      </w:r>
      <w:r>
        <w:rPr>
          <w:rFonts w:hint="eastAsia" w:ascii="宋体" w:hAnsi="宋体"/>
          <w:color w:val="000000"/>
          <w:kern w:val="0"/>
          <w:szCs w:val="21"/>
        </w:rPr>
        <w:t>）因发包人原因未能按合同约定支付合同价款的违约责任：</w:t>
      </w:r>
      <w:permStart w:id="487" w:edGrp="everyone"/>
      <w:r>
        <w:rPr>
          <w:rFonts w:hint="eastAsia" w:ascii="宋体" w:hAnsi="宋体"/>
          <w:color w:val="000000"/>
          <w:kern w:val="0"/>
          <w:szCs w:val="21"/>
        </w:rPr>
        <w:t xml:space="preserve"> </w:t>
      </w:r>
      <w:r>
        <w:rPr>
          <w:rFonts w:ascii="宋体" w:hAnsi="宋体"/>
          <w:color w:val="000000"/>
          <w:kern w:val="0"/>
          <w:szCs w:val="21"/>
        </w:rPr>
        <w:t xml:space="preserve">                  </w:t>
      </w:r>
      <w:permEnd w:id="487"/>
      <w:r>
        <w:rPr>
          <w:rFonts w:hint="eastAsia" w:ascii="宋体" w:hAnsi="宋体"/>
          <w:color w:val="000000"/>
          <w:kern w:val="0"/>
          <w:szCs w:val="21"/>
        </w:rPr>
        <w:t>。</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3</w:t>
      </w:r>
      <w:r>
        <w:rPr>
          <w:rFonts w:hint="eastAsia" w:ascii="宋体" w:hAnsi="宋体"/>
          <w:color w:val="000000"/>
          <w:kern w:val="0"/>
          <w:szCs w:val="21"/>
        </w:rPr>
        <w:t>）发包人违反第</w:t>
      </w:r>
      <w:r>
        <w:rPr>
          <w:rFonts w:ascii="宋体" w:hAnsi="宋体"/>
          <w:color w:val="000000"/>
          <w:kern w:val="0"/>
          <w:szCs w:val="21"/>
        </w:rPr>
        <w:t>10.1</w:t>
      </w:r>
      <w:r>
        <w:rPr>
          <w:rFonts w:hint="eastAsia" w:ascii="宋体" w:hAnsi="宋体"/>
          <w:color w:val="000000"/>
          <w:kern w:val="0"/>
          <w:szCs w:val="21"/>
        </w:rPr>
        <w:t>款〔变更的范围〕第（</w:t>
      </w:r>
      <w:r>
        <w:rPr>
          <w:rFonts w:ascii="宋体" w:hAnsi="宋体"/>
          <w:color w:val="000000"/>
          <w:kern w:val="0"/>
          <w:szCs w:val="21"/>
        </w:rPr>
        <w:t>2</w:t>
      </w:r>
      <w:r>
        <w:rPr>
          <w:rFonts w:hint="eastAsia" w:ascii="宋体" w:hAnsi="宋体"/>
          <w:color w:val="000000"/>
          <w:kern w:val="0"/>
          <w:szCs w:val="21"/>
        </w:rPr>
        <w:t>）项约定，自行实施被取消的工作或转由他人实施的违约责任：</w:t>
      </w:r>
      <w:permStart w:id="488" w:edGrp="everyone"/>
      <w:r>
        <w:rPr>
          <w:rFonts w:hint="eastAsia" w:ascii="宋体" w:hAnsi="宋体"/>
          <w:color w:val="000000"/>
          <w:kern w:val="0"/>
          <w:szCs w:val="21"/>
        </w:rPr>
        <w:t xml:space="preserve"> </w:t>
      </w:r>
      <w:r>
        <w:rPr>
          <w:rFonts w:ascii="宋体" w:hAnsi="宋体"/>
          <w:color w:val="000000"/>
          <w:kern w:val="0"/>
          <w:szCs w:val="21"/>
        </w:rPr>
        <w:t xml:space="preserve">                                                      </w:t>
      </w:r>
      <w:permEnd w:id="488"/>
      <w:r>
        <w:rPr>
          <w:rFonts w:hint="eastAsia" w:ascii="宋体" w:hAnsi="宋体"/>
          <w:color w:val="000000"/>
          <w:kern w:val="0"/>
          <w:szCs w:val="21"/>
        </w:rPr>
        <w:t>。</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4</w:t>
      </w:r>
      <w:r>
        <w:rPr>
          <w:rFonts w:hint="eastAsia" w:ascii="宋体" w:hAnsi="宋体"/>
          <w:color w:val="000000"/>
          <w:kern w:val="0"/>
          <w:szCs w:val="21"/>
        </w:rPr>
        <w:t>）发包人提供的材料、工程设备的规格、数量或质量不符合合同约定，或因发包人原因导致交货日期延误或交货地点变更等情况的违约责任：</w:t>
      </w:r>
      <w:permStart w:id="489" w:edGrp="everyone"/>
      <w:r>
        <w:rPr>
          <w:rFonts w:hint="eastAsia" w:ascii="宋体" w:hAnsi="宋体"/>
          <w:color w:val="000000"/>
          <w:kern w:val="0"/>
          <w:szCs w:val="21"/>
        </w:rPr>
        <w:t xml:space="preserve">                </w:t>
      </w:r>
      <w:permEnd w:id="489"/>
      <w:r>
        <w:rPr>
          <w:rFonts w:hint="eastAsia" w:ascii="宋体" w:hAnsi="宋体"/>
          <w:color w:val="000000"/>
          <w:kern w:val="0"/>
          <w:szCs w:val="21"/>
        </w:rPr>
        <w:t>。</w:t>
      </w:r>
    </w:p>
    <w:p>
      <w:pPr>
        <w:spacing w:line="360" w:lineRule="auto"/>
        <w:ind w:firstLine="420" w:firstLineChars="200"/>
        <w:jc w:val="left"/>
        <w:rPr>
          <w:rFonts w:ascii="宋体" w:hAnsi="宋体"/>
          <w:color w:val="000000"/>
          <w:kern w:val="0"/>
          <w:szCs w:val="21"/>
          <w:u w:val="single"/>
        </w:rPr>
      </w:pPr>
      <w:r>
        <w:rPr>
          <w:rFonts w:hint="eastAsia" w:ascii="宋体" w:hAnsi="宋体"/>
          <w:color w:val="000000"/>
          <w:kern w:val="0"/>
          <w:szCs w:val="21"/>
        </w:rPr>
        <w:t>（</w:t>
      </w:r>
      <w:r>
        <w:rPr>
          <w:rFonts w:ascii="宋体" w:hAnsi="宋体"/>
          <w:color w:val="000000"/>
          <w:kern w:val="0"/>
          <w:szCs w:val="21"/>
        </w:rPr>
        <w:t>5</w:t>
      </w:r>
      <w:r>
        <w:rPr>
          <w:rFonts w:hint="eastAsia" w:ascii="宋体" w:hAnsi="宋体"/>
          <w:color w:val="000000"/>
          <w:kern w:val="0"/>
          <w:szCs w:val="21"/>
        </w:rPr>
        <w:t>）因发包人违反合同约定造成暂停施工的违约责任：</w:t>
      </w:r>
      <w:permStart w:id="490" w:edGrp="everyone"/>
      <w:r>
        <w:rPr>
          <w:rFonts w:hint="eastAsia" w:ascii="宋体" w:hAnsi="宋体"/>
          <w:color w:val="000000"/>
          <w:kern w:val="0"/>
          <w:szCs w:val="21"/>
        </w:rPr>
        <w:t xml:space="preserve"> </w:t>
      </w:r>
      <w:r>
        <w:rPr>
          <w:rFonts w:ascii="宋体" w:hAnsi="宋体"/>
          <w:color w:val="000000"/>
          <w:kern w:val="0"/>
          <w:szCs w:val="21"/>
        </w:rPr>
        <w:t xml:space="preserve">          </w:t>
      </w:r>
    </w:p>
    <w:permEnd w:id="490"/>
    <w:p>
      <w:pPr>
        <w:spacing w:line="360" w:lineRule="auto"/>
        <w:jc w:val="left"/>
        <w:rPr>
          <w:rFonts w:ascii="宋体" w:hAnsi="宋体"/>
          <w:color w:val="000000"/>
          <w:kern w:val="0"/>
          <w:szCs w:val="21"/>
        </w:rPr>
      </w:pP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6</w:t>
      </w:r>
      <w:r>
        <w:rPr>
          <w:rFonts w:hint="eastAsia" w:ascii="宋体" w:hAnsi="宋体"/>
          <w:color w:val="000000"/>
          <w:kern w:val="0"/>
          <w:szCs w:val="21"/>
        </w:rPr>
        <w:t>）发包人无正当理由没有在约定期限内发出复工指示，导致承包人无法复工的违约责任：</w:t>
      </w:r>
      <w:permStart w:id="491" w:edGrp="everyone"/>
      <w:r>
        <w:rPr>
          <w:rFonts w:hint="eastAsia" w:ascii="宋体" w:hAnsi="宋体"/>
          <w:color w:val="000000"/>
          <w:kern w:val="0"/>
          <w:szCs w:val="21"/>
        </w:rPr>
        <w:t xml:space="preserve"> </w:t>
      </w:r>
      <w:r>
        <w:rPr>
          <w:rFonts w:ascii="宋体" w:hAnsi="宋体"/>
          <w:color w:val="000000"/>
          <w:kern w:val="0"/>
          <w:szCs w:val="21"/>
        </w:rPr>
        <w:t xml:space="preserve">                        </w:t>
      </w:r>
      <w:permEnd w:id="491"/>
      <w:r>
        <w:rPr>
          <w:rFonts w:hint="eastAsia" w:ascii="宋体" w:hAnsi="宋体"/>
          <w:color w:val="000000"/>
          <w:kern w:val="0"/>
          <w:szCs w:val="21"/>
        </w:rPr>
        <w:t>。</w:t>
      </w:r>
    </w:p>
    <w:p>
      <w:pPr>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w:t>
      </w:r>
      <w:r>
        <w:rPr>
          <w:rFonts w:ascii="宋体" w:hAnsi="宋体"/>
          <w:color w:val="000000"/>
          <w:kern w:val="0"/>
          <w:szCs w:val="21"/>
        </w:rPr>
        <w:t>7</w:t>
      </w:r>
      <w:r>
        <w:rPr>
          <w:rFonts w:hint="eastAsia" w:ascii="宋体" w:hAnsi="宋体"/>
          <w:color w:val="000000"/>
          <w:kern w:val="0"/>
          <w:szCs w:val="21"/>
        </w:rPr>
        <w:t>）其他：</w:t>
      </w:r>
      <w:permStart w:id="492" w:edGrp="everyone"/>
      <w:r>
        <w:rPr>
          <w:rFonts w:hint="eastAsia" w:ascii="宋体" w:hAnsi="宋体"/>
          <w:color w:val="000000"/>
          <w:kern w:val="0"/>
          <w:szCs w:val="21"/>
        </w:rPr>
        <w:t xml:space="preserve"> </w:t>
      </w:r>
      <w:r>
        <w:rPr>
          <w:rFonts w:ascii="宋体" w:hAnsi="宋体"/>
          <w:color w:val="000000"/>
          <w:kern w:val="0"/>
          <w:szCs w:val="21"/>
        </w:rPr>
        <w:t xml:space="preserve">                                            </w:t>
      </w:r>
      <w:permEnd w:id="492"/>
      <w:r>
        <w:rPr>
          <w:rFonts w:hint="eastAsia" w:ascii="宋体" w:hAnsi="宋体"/>
          <w:color w:val="000000"/>
          <w:kern w:val="0"/>
          <w:szCs w:val="21"/>
        </w:rPr>
        <w:t>。</w:t>
      </w:r>
    </w:p>
    <w:p>
      <w:pPr>
        <w:spacing w:line="360" w:lineRule="auto"/>
        <w:ind w:firstLine="420" w:firstLineChars="200"/>
        <w:jc w:val="left"/>
        <w:rPr>
          <w:rFonts w:ascii="宋体" w:hAnsi="宋体"/>
          <w:color w:val="000000"/>
          <w:szCs w:val="21"/>
        </w:rPr>
      </w:pPr>
      <w:r>
        <w:rPr>
          <w:rFonts w:ascii="宋体" w:hAnsi="宋体"/>
          <w:color w:val="000000"/>
          <w:szCs w:val="21"/>
        </w:rPr>
        <w:t xml:space="preserve">16.1.3 </w:t>
      </w:r>
      <w:r>
        <w:rPr>
          <w:rFonts w:hint="eastAsia" w:ascii="宋体" w:hAnsi="宋体"/>
          <w:color w:val="000000"/>
          <w:szCs w:val="21"/>
        </w:rPr>
        <w:t>因发包人违约解除合同</w:t>
      </w:r>
    </w:p>
    <w:p>
      <w:pPr>
        <w:autoSpaceDE w:val="0"/>
        <w:autoSpaceDN w:val="0"/>
        <w:adjustRightInd w:val="0"/>
        <w:spacing w:line="360" w:lineRule="auto"/>
        <w:ind w:firstLine="420" w:firstLineChars="200"/>
        <w:jc w:val="left"/>
        <w:rPr>
          <w:rFonts w:ascii="宋体" w:hAnsi="宋体"/>
          <w:color w:val="000000"/>
          <w:kern w:val="0"/>
          <w:szCs w:val="21"/>
        </w:rPr>
      </w:pPr>
      <w:r>
        <w:rPr>
          <w:rFonts w:hint="eastAsia" w:ascii="宋体" w:hAnsi="宋体"/>
          <w:color w:val="000000"/>
          <w:kern w:val="0"/>
          <w:szCs w:val="21"/>
        </w:rPr>
        <w:t>承包人按</w:t>
      </w:r>
      <w:r>
        <w:rPr>
          <w:rFonts w:ascii="宋体" w:hAnsi="宋体"/>
          <w:color w:val="000000"/>
          <w:kern w:val="0"/>
          <w:szCs w:val="21"/>
        </w:rPr>
        <w:t>16.1.1</w:t>
      </w:r>
      <w:r>
        <w:rPr>
          <w:rFonts w:hint="eastAsia" w:ascii="宋体" w:hAnsi="宋体"/>
          <w:color w:val="000000"/>
          <w:kern w:val="0"/>
          <w:szCs w:val="21"/>
        </w:rPr>
        <w:t>项〔发包人违约的情形〕约定暂停施工满</w:t>
      </w:r>
      <w:permStart w:id="493" w:edGrp="everyone"/>
      <w:permEnd w:id="493"/>
      <w:r>
        <w:rPr>
          <w:rFonts w:hint="eastAsia" w:ascii="宋体" w:hAnsi="宋体"/>
          <w:color w:val="000000"/>
          <w:kern w:val="0"/>
          <w:szCs w:val="21"/>
        </w:rPr>
        <w:t>天后发包人仍不纠正其违约行为并致使合同目的不能实现的，承包人有权解除合同。</w:t>
      </w:r>
    </w:p>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 xml:space="preserve">16.2 </w:t>
      </w:r>
      <w:r>
        <w:rPr>
          <w:rFonts w:hint="eastAsia" w:ascii="黑体" w:hAnsi="黑体" w:eastAsia="黑体"/>
          <w:color w:val="000000"/>
          <w:szCs w:val="21"/>
        </w:rPr>
        <w:t>承包人违约</w:t>
      </w: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16.2.1 </w:t>
      </w:r>
      <w:r>
        <w:rPr>
          <w:rFonts w:hint="eastAsia" w:ascii="宋体" w:hAnsi="宋体"/>
          <w:color w:val="000000"/>
          <w:kern w:val="0"/>
          <w:szCs w:val="21"/>
        </w:rPr>
        <w:t>承包人违约的情形</w:t>
      </w:r>
    </w:p>
    <w:p>
      <w:pPr>
        <w:spacing w:line="360" w:lineRule="auto"/>
        <w:ind w:firstLine="420" w:firstLineChars="200"/>
        <w:jc w:val="left"/>
        <w:rPr>
          <w:rFonts w:ascii="宋体" w:hAnsi="宋体"/>
          <w:color w:val="000000"/>
          <w:kern w:val="0"/>
          <w:szCs w:val="21"/>
          <w:u w:val="single"/>
        </w:rPr>
      </w:pPr>
      <w:r>
        <w:rPr>
          <w:rFonts w:hint="eastAsia" w:ascii="宋体" w:hAnsi="宋体"/>
          <w:color w:val="000000"/>
          <w:kern w:val="0"/>
          <w:szCs w:val="21"/>
        </w:rPr>
        <w:t>承包人违约的其他情形：</w:t>
      </w:r>
      <w:permStart w:id="494" w:edGrp="everyone"/>
    </w:p>
    <w:permEnd w:id="494"/>
    <w:p>
      <w:pPr>
        <w:spacing w:line="360" w:lineRule="auto"/>
        <w:jc w:val="left"/>
        <w:rPr>
          <w:rFonts w:ascii="宋体" w:hAnsi="宋体"/>
          <w:color w:val="000000"/>
          <w:kern w:val="0"/>
          <w:szCs w:val="21"/>
        </w:rPr>
      </w:pPr>
    </w:p>
    <w:p>
      <w:pPr>
        <w:spacing w:line="360" w:lineRule="auto"/>
        <w:ind w:firstLine="420" w:firstLineChars="200"/>
        <w:jc w:val="left"/>
        <w:rPr>
          <w:rFonts w:ascii="宋体" w:hAnsi="宋体"/>
          <w:color w:val="000000"/>
          <w:kern w:val="0"/>
          <w:szCs w:val="21"/>
        </w:rPr>
      </w:pPr>
      <w:r>
        <w:rPr>
          <w:rFonts w:ascii="宋体" w:hAnsi="宋体"/>
          <w:color w:val="000000"/>
          <w:kern w:val="0"/>
          <w:szCs w:val="21"/>
        </w:rPr>
        <w:t>16.2.2</w:t>
      </w:r>
      <w:r>
        <w:rPr>
          <w:rFonts w:hint="eastAsia" w:ascii="宋体" w:hAnsi="宋体"/>
          <w:color w:val="000000"/>
          <w:kern w:val="0"/>
          <w:szCs w:val="21"/>
        </w:rPr>
        <w:t>承包人违约的责任</w:t>
      </w:r>
    </w:p>
    <w:p>
      <w:pPr>
        <w:spacing w:line="360" w:lineRule="auto"/>
        <w:ind w:firstLine="420" w:firstLineChars="200"/>
        <w:jc w:val="left"/>
        <w:rPr>
          <w:rFonts w:ascii="宋体" w:hAnsi="宋体"/>
          <w:color w:val="000000"/>
          <w:kern w:val="0"/>
          <w:szCs w:val="21"/>
          <w:u w:val="single"/>
        </w:rPr>
      </w:pPr>
      <w:r>
        <w:rPr>
          <w:rFonts w:hint="eastAsia" w:ascii="宋体" w:hAnsi="宋体"/>
          <w:color w:val="000000"/>
          <w:kern w:val="0"/>
          <w:szCs w:val="21"/>
        </w:rPr>
        <w:t>承包人违约责任的承担方式和计算方法：</w:t>
      </w:r>
      <w:permStart w:id="495" w:edGrp="everyone"/>
    </w:p>
    <w:permEnd w:id="495"/>
    <w:p>
      <w:pPr>
        <w:spacing w:line="360" w:lineRule="auto"/>
        <w:ind w:left="1050" w:hanging="1050" w:hangingChars="500"/>
        <w:jc w:val="left"/>
        <w:rPr>
          <w:rFonts w:ascii="宋体" w:hAnsi="宋体"/>
          <w:color w:val="000000"/>
          <w:kern w:val="0"/>
          <w:szCs w:val="21"/>
          <w:u w:val="single"/>
        </w:rPr>
      </w:pPr>
    </w:p>
    <w:p>
      <w:pPr>
        <w:spacing w:line="360" w:lineRule="auto"/>
        <w:ind w:firstLine="420" w:firstLineChars="200"/>
        <w:jc w:val="left"/>
        <w:rPr>
          <w:rFonts w:ascii="宋体" w:hAnsi="宋体"/>
          <w:color w:val="000000"/>
          <w:szCs w:val="21"/>
        </w:rPr>
      </w:pPr>
      <w:r>
        <w:rPr>
          <w:rFonts w:ascii="宋体" w:hAnsi="宋体"/>
          <w:color w:val="000000"/>
          <w:szCs w:val="21"/>
        </w:rPr>
        <w:t xml:space="preserve">16.2.3 </w:t>
      </w:r>
      <w:r>
        <w:rPr>
          <w:rFonts w:hint="eastAsia" w:ascii="宋体" w:hAnsi="宋体"/>
          <w:color w:val="000000"/>
          <w:szCs w:val="21"/>
        </w:rPr>
        <w:t>因承包人违约解除合同</w:t>
      </w:r>
    </w:p>
    <w:p>
      <w:pPr>
        <w:spacing w:before="120" w:after="120" w:line="360" w:lineRule="auto"/>
        <w:ind w:firstLine="420" w:firstLineChars="200"/>
        <w:rPr>
          <w:rFonts w:ascii="宋体" w:hAnsi="宋体"/>
          <w:color w:val="000000"/>
          <w:kern w:val="0"/>
          <w:szCs w:val="21"/>
          <w:u w:val="single"/>
        </w:rPr>
      </w:pPr>
      <w:r>
        <w:rPr>
          <w:rFonts w:hint="eastAsia" w:ascii="宋体" w:hAnsi="宋体"/>
          <w:color w:val="000000"/>
          <w:kern w:val="0"/>
          <w:szCs w:val="21"/>
        </w:rPr>
        <w:t>关于承包人违约解除合同的特别约定：</w:t>
      </w:r>
      <w:permStart w:id="496" w:edGrp="everyone"/>
    </w:p>
    <w:permEnd w:id="496"/>
    <w:p>
      <w:pPr>
        <w:spacing w:before="120" w:after="120" w:line="360" w:lineRule="auto"/>
        <w:rPr>
          <w:rFonts w:ascii="宋体" w:hAnsi="宋体"/>
          <w:color w:val="000000"/>
          <w:kern w:val="0"/>
          <w:szCs w:val="21"/>
        </w:rPr>
      </w:pPr>
    </w:p>
    <w:p>
      <w:pPr>
        <w:spacing w:before="120" w:after="120" w:line="360" w:lineRule="auto"/>
        <w:ind w:firstLine="420" w:firstLineChars="200"/>
        <w:rPr>
          <w:rFonts w:ascii="宋体" w:hAnsi="宋体"/>
          <w:color w:val="000000"/>
          <w:kern w:val="0"/>
          <w:szCs w:val="21"/>
        </w:rPr>
      </w:pPr>
      <w:r>
        <w:rPr>
          <w:rFonts w:hint="eastAsia" w:ascii="宋体" w:hAnsi="宋体"/>
          <w:color w:val="000000"/>
          <w:kern w:val="0"/>
          <w:szCs w:val="21"/>
        </w:rPr>
        <w:t>发包人继续使用承包人在施工现场的材料、设备、临时工程、承包人文件和由承包人或以其名义编制的其他文件的费用承担方式：</w:t>
      </w:r>
      <w:permStart w:id="497" w:edGrp="everyone"/>
      <w:r>
        <w:rPr>
          <w:rFonts w:hint="eastAsia" w:ascii="宋体" w:hAnsi="宋体"/>
          <w:color w:val="000000"/>
          <w:kern w:val="0"/>
          <w:szCs w:val="21"/>
        </w:rPr>
        <w:t xml:space="preserve">                                               </w:t>
      </w:r>
      <w:permEnd w:id="497"/>
      <w:r>
        <w:rPr>
          <w:rFonts w:hint="eastAsia" w:ascii="宋体" w:hAnsi="宋体"/>
          <w:color w:val="000000"/>
          <w:kern w:val="0"/>
          <w:szCs w:val="21"/>
        </w:rPr>
        <w:t>。</w:t>
      </w:r>
    </w:p>
    <w:p>
      <w:pPr>
        <w:pStyle w:val="5"/>
        <w:spacing w:before="120" w:after="120" w:line="360" w:lineRule="auto"/>
        <w:rPr>
          <w:rFonts w:ascii="黑体" w:hAnsi="黑体"/>
          <w:b w:val="0"/>
          <w:color w:val="000000"/>
        </w:rPr>
      </w:pPr>
      <w:bookmarkStart w:id="1224" w:name="_Toc362623204"/>
      <w:bookmarkStart w:id="1225" w:name="_Toc114222839"/>
      <w:r>
        <w:rPr>
          <w:rFonts w:ascii="黑体" w:hAnsi="黑体"/>
          <w:b w:val="0"/>
          <w:color w:val="000000"/>
        </w:rPr>
        <w:t>17.</w:t>
      </w:r>
      <w:r>
        <w:rPr>
          <w:rFonts w:hint="eastAsia" w:ascii="黑体" w:hAnsi="黑体"/>
          <w:b w:val="0"/>
          <w:color w:val="000000"/>
        </w:rPr>
        <w:t>不可抗力</w:t>
      </w:r>
      <w:bookmarkEnd w:id="1222"/>
      <w:bookmarkEnd w:id="1224"/>
      <w:bookmarkEnd w:id="1225"/>
    </w:p>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 xml:space="preserve">17.1 </w:t>
      </w:r>
      <w:r>
        <w:rPr>
          <w:rFonts w:hint="eastAsia" w:ascii="黑体" w:hAnsi="黑体" w:eastAsia="黑体"/>
          <w:color w:val="000000"/>
          <w:szCs w:val="21"/>
        </w:rPr>
        <w:t>不可抗力的确认</w:t>
      </w:r>
    </w:p>
    <w:p>
      <w:pPr>
        <w:spacing w:line="360" w:lineRule="auto"/>
        <w:ind w:firstLine="420" w:firstLineChars="200"/>
        <w:jc w:val="left"/>
        <w:rPr>
          <w:rFonts w:ascii="宋体" w:hAnsi="宋体"/>
          <w:color w:val="000000"/>
          <w:kern w:val="0"/>
          <w:szCs w:val="21"/>
          <w:u w:val="single"/>
        </w:rPr>
      </w:pPr>
      <w:r>
        <w:rPr>
          <w:rFonts w:hint="eastAsia" w:ascii="宋体" w:hAnsi="宋体"/>
          <w:color w:val="000000"/>
          <w:szCs w:val="21"/>
        </w:rPr>
        <w:t>除通用合同条款约定的不可抗力事件之外，视为不可抗力的其他情形：</w:t>
      </w:r>
      <w:permStart w:id="498" w:edGrp="everyone"/>
      <w:r>
        <w:rPr>
          <w:rFonts w:hint="eastAsia" w:ascii="宋体" w:hAnsi="宋体"/>
          <w:color w:val="000000"/>
          <w:szCs w:val="21"/>
        </w:rPr>
        <w:t xml:space="preserve">                     </w:t>
      </w:r>
      <w:permEnd w:id="498"/>
      <w:r>
        <w:rPr>
          <w:rFonts w:hint="eastAsia" w:ascii="宋体" w:hAnsi="宋体"/>
          <w:color w:val="000000"/>
          <w:kern w:val="0"/>
          <w:szCs w:val="21"/>
        </w:rPr>
        <w:t>。</w:t>
      </w:r>
    </w:p>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 xml:space="preserve">17.4 </w:t>
      </w:r>
      <w:r>
        <w:rPr>
          <w:rFonts w:hint="eastAsia" w:ascii="黑体" w:hAnsi="黑体" w:eastAsia="黑体"/>
          <w:color w:val="000000"/>
          <w:szCs w:val="21"/>
        </w:rPr>
        <w:t>因不可抗力解除合同</w:t>
      </w:r>
    </w:p>
    <w:p>
      <w:pPr>
        <w:spacing w:line="360" w:lineRule="auto"/>
        <w:ind w:firstLine="420" w:firstLineChars="200"/>
        <w:jc w:val="left"/>
        <w:rPr>
          <w:rFonts w:ascii="宋体" w:hAnsi="宋体"/>
          <w:color w:val="000000"/>
          <w:szCs w:val="21"/>
        </w:rPr>
      </w:pPr>
      <w:r>
        <w:rPr>
          <w:rFonts w:hint="eastAsia" w:ascii="宋体" w:hAnsi="宋体"/>
          <w:color w:val="000000"/>
          <w:szCs w:val="21"/>
        </w:rPr>
        <w:t>合同解除后，发包人应在商定或确定发包人应支付款项后</w:t>
      </w:r>
      <w:permStart w:id="499" w:edGrp="everyone"/>
      <w:r>
        <w:rPr>
          <w:rFonts w:hint="eastAsia" w:ascii="宋体" w:hAnsi="宋体"/>
          <w:color w:val="000000"/>
          <w:szCs w:val="21"/>
        </w:rPr>
        <w:t xml:space="preserve"> </w:t>
      </w:r>
      <w:r>
        <w:rPr>
          <w:rFonts w:ascii="宋体" w:hAnsi="宋体"/>
          <w:color w:val="000000"/>
          <w:szCs w:val="21"/>
        </w:rPr>
        <w:t xml:space="preserve">               </w:t>
      </w:r>
      <w:permEnd w:id="499"/>
      <w:r>
        <w:rPr>
          <w:rFonts w:hint="eastAsia" w:ascii="宋体" w:hAnsi="宋体"/>
          <w:color w:val="000000"/>
          <w:szCs w:val="21"/>
        </w:rPr>
        <w:t>天内完成款项的支付。</w:t>
      </w:r>
    </w:p>
    <w:p>
      <w:pPr>
        <w:pStyle w:val="5"/>
        <w:spacing w:before="120" w:after="120" w:line="360" w:lineRule="auto"/>
        <w:rPr>
          <w:rFonts w:ascii="黑体" w:hAnsi="黑体"/>
          <w:b w:val="0"/>
          <w:color w:val="000000"/>
        </w:rPr>
      </w:pPr>
      <w:bookmarkStart w:id="1226" w:name="_Toc362623205"/>
      <w:bookmarkStart w:id="1227" w:name="_Toc114222840"/>
      <w:r>
        <w:rPr>
          <w:rFonts w:ascii="黑体" w:hAnsi="黑体"/>
          <w:b w:val="0"/>
          <w:color w:val="000000"/>
        </w:rPr>
        <w:t>18.</w:t>
      </w:r>
      <w:r>
        <w:rPr>
          <w:rFonts w:hint="eastAsia" w:ascii="黑体" w:hAnsi="黑体"/>
          <w:b w:val="0"/>
          <w:color w:val="000000"/>
        </w:rPr>
        <w:t>保险</w:t>
      </w:r>
      <w:bookmarkEnd w:id="1226"/>
      <w:bookmarkEnd w:id="1227"/>
    </w:p>
    <w:bookmarkEnd w:id="1223"/>
    <w:p>
      <w:pPr>
        <w:spacing w:after="120" w:line="360" w:lineRule="auto"/>
        <w:ind w:firstLine="420" w:firstLineChars="200"/>
        <w:rPr>
          <w:rFonts w:ascii="黑体" w:hAnsi="黑体" w:eastAsia="黑体"/>
          <w:color w:val="000000"/>
          <w:szCs w:val="21"/>
        </w:rPr>
      </w:pPr>
      <w:r>
        <w:rPr>
          <w:rFonts w:ascii="黑体" w:hAnsi="黑体" w:eastAsia="黑体"/>
          <w:color w:val="000000"/>
          <w:szCs w:val="21"/>
        </w:rPr>
        <w:t xml:space="preserve">18.1 </w:t>
      </w:r>
      <w:r>
        <w:rPr>
          <w:rFonts w:hint="eastAsia" w:ascii="黑体" w:hAnsi="黑体" w:eastAsia="黑体"/>
          <w:color w:val="000000"/>
          <w:szCs w:val="21"/>
        </w:rPr>
        <w:t>工程保险</w:t>
      </w:r>
    </w:p>
    <w:p>
      <w:pPr>
        <w:spacing w:line="360" w:lineRule="auto"/>
        <w:ind w:firstLine="420" w:firstLineChars="200"/>
        <w:jc w:val="left"/>
        <w:rPr>
          <w:rFonts w:ascii="宋体" w:hAnsi="宋体"/>
          <w:color w:val="000000"/>
          <w:szCs w:val="21"/>
        </w:rPr>
      </w:pPr>
      <w:r>
        <w:rPr>
          <w:rFonts w:hint="eastAsia" w:ascii="宋体" w:hAnsi="宋体"/>
          <w:color w:val="000000"/>
          <w:szCs w:val="21"/>
        </w:rPr>
        <w:t>关于工程保险的特别约定：</w:t>
      </w:r>
      <w:permStart w:id="500" w:edGrp="everyone"/>
      <w:r>
        <w:rPr>
          <w:rFonts w:hint="eastAsia" w:ascii="宋体" w:hAnsi="宋体"/>
          <w:color w:val="000000"/>
          <w:szCs w:val="21"/>
        </w:rPr>
        <w:t xml:space="preserve"> </w:t>
      </w:r>
      <w:r>
        <w:rPr>
          <w:rFonts w:ascii="宋体" w:hAnsi="宋体"/>
          <w:color w:val="000000"/>
          <w:szCs w:val="21"/>
        </w:rPr>
        <w:t xml:space="preserve">                                   </w:t>
      </w:r>
      <w:permEnd w:id="500"/>
      <w:r>
        <w:rPr>
          <w:rFonts w:hint="eastAsia" w:ascii="宋体" w:hAnsi="宋体"/>
          <w:color w:val="000000"/>
          <w:kern w:val="0"/>
          <w:szCs w:val="21"/>
        </w:rPr>
        <w:t>。</w:t>
      </w:r>
    </w:p>
    <w:p>
      <w:pPr>
        <w:spacing w:after="120"/>
        <w:ind w:firstLine="420" w:firstLineChars="200"/>
        <w:rPr>
          <w:rFonts w:ascii="黑体" w:hAnsi="黑体" w:eastAsia="黑体"/>
          <w:color w:val="000000"/>
          <w:szCs w:val="21"/>
        </w:rPr>
      </w:pPr>
      <w:r>
        <w:rPr>
          <w:rFonts w:ascii="黑体" w:hAnsi="黑体" w:eastAsia="黑体"/>
          <w:color w:val="000000"/>
          <w:szCs w:val="21"/>
        </w:rPr>
        <w:t xml:space="preserve">18.3 </w:t>
      </w:r>
      <w:r>
        <w:rPr>
          <w:rFonts w:hint="eastAsia" w:ascii="黑体" w:hAnsi="黑体" w:eastAsia="黑体"/>
          <w:color w:val="000000"/>
          <w:szCs w:val="21"/>
        </w:rPr>
        <w:t>其他保险</w:t>
      </w:r>
    </w:p>
    <w:p>
      <w:pPr>
        <w:spacing w:line="360" w:lineRule="auto"/>
        <w:ind w:firstLine="420" w:firstLineChars="200"/>
        <w:jc w:val="left"/>
        <w:rPr>
          <w:rFonts w:ascii="宋体" w:hAnsi="宋体"/>
          <w:color w:val="000000"/>
          <w:kern w:val="0"/>
          <w:szCs w:val="21"/>
        </w:rPr>
      </w:pPr>
      <w:r>
        <w:rPr>
          <w:rFonts w:hint="eastAsia" w:ascii="宋体" w:hAnsi="宋体"/>
          <w:color w:val="000000"/>
          <w:szCs w:val="21"/>
        </w:rPr>
        <w:t>关于其他保险的约定：</w:t>
      </w:r>
      <w:permStart w:id="501" w:edGrp="everyone"/>
      <w:r>
        <w:rPr>
          <w:rFonts w:hint="eastAsia" w:ascii="宋体" w:hAnsi="宋体"/>
          <w:color w:val="000000"/>
          <w:szCs w:val="21"/>
        </w:rPr>
        <w:t xml:space="preserve"> </w:t>
      </w:r>
      <w:r>
        <w:rPr>
          <w:rFonts w:ascii="宋体" w:hAnsi="宋体"/>
          <w:color w:val="000000"/>
          <w:szCs w:val="21"/>
        </w:rPr>
        <w:t xml:space="preserve">                                                            </w:t>
      </w:r>
      <w:permEnd w:id="501"/>
      <w:r>
        <w:rPr>
          <w:rFonts w:hint="eastAsia" w:ascii="宋体" w:hAnsi="宋体"/>
          <w:color w:val="000000"/>
          <w:kern w:val="0"/>
          <w:szCs w:val="21"/>
        </w:rPr>
        <w:t>。</w:t>
      </w:r>
    </w:p>
    <w:p>
      <w:pPr>
        <w:spacing w:line="360" w:lineRule="auto"/>
        <w:ind w:firstLine="420" w:firstLineChars="200"/>
        <w:jc w:val="left"/>
        <w:rPr>
          <w:rFonts w:ascii="宋体" w:hAnsi="宋体"/>
          <w:color w:val="000000"/>
          <w:szCs w:val="21"/>
          <w:u w:val="single"/>
        </w:rPr>
      </w:pPr>
      <w:r>
        <w:rPr>
          <w:rFonts w:hint="eastAsia" w:ascii="宋体" w:hAnsi="宋体"/>
          <w:color w:val="000000"/>
          <w:szCs w:val="21"/>
        </w:rPr>
        <w:t>承包人是否应为其施工设备等办理财产保险：</w:t>
      </w:r>
      <w:permStart w:id="502" w:edGrp="everyone"/>
      <w:r>
        <w:rPr>
          <w:rFonts w:hint="eastAsia" w:ascii="宋体" w:hAnsi="宋体"/>
          <w:color w:val="000000"/>
          <w:szCs w:val="21"/>
        </w:rPr>
        <w:t xml:space="preserve"> </w:t>
      </w:r>
      <w:r>
        <w:rPr>
          <w:rFonts w:ascii="宋体" w:hAnsi="宋体"/>
          <w:color w:val="000000"/>
          <w:szCs w:val="21"/>
        </w:rPr>
        <w:t xml:space="preserve">                          </w:t>
      </w:r>
    </w:p>
    <w:permEnd w:id="502"/>
    <w:p>
      <w:pPr>
        <w:spacing w:line="360" w:lineRule="auto"/>
        <w:jc w:val="left"/>
        <w:rPr>
          <w:rFonts w:ascii="宋体" w:hAnsi="宋体"/>
          <w:color w:val="000000"/>
          <w:kern w:val="0"/>
          <w:szCs w:val="21"/>
        </w:rPr>
      </w:pPr>
    </w:p>
    <w:p>
      <w:pPr>
        <w:spacing w:after="120"/>
        <w:ind w:firstLine="420" w:firstLineChars="200"/>
        <w:rPr>
          <w:rFonts w:ascii="黑体" w:hAnsi="黑体" w:eastAsia="黑体"/>
          <w:color w:val="000000"/>
          <w:szCs w:val="21"/>
        </w:rPr>
      </w:pPr>
      <w:r>
        <w:rPr>
          <w:rFonts w:ascii="黑体" w:hAnsi="黑体" w:eastAsia="黑体"/>
          <w:color w:val="000000"/>
          <w:szCs w:val="21"/>
        </w:rPr>
        <w:t xml:space="preserve">18.7 </w:t>
      </w:r>
      <w:r>
        <w:rPr>
          <w:rFonts w:hint="eastAsia" w:ascii="黑体" w:hAnsi="黑体" w:eastAsia="黑体"/>
          <w:color w:val="000000"/>
          <w:szCs w:val="21"/>
        </w:rPr>
        <w:t>通知义务</w:t>
      </w:r>
    </w:p>
    <w:p>
      <w:pPr>
        <w:spacing w:line="360" w:lineRule="auto"/>
        <w:ind w:firstLine="420" w:firstLineChars="200"/>
        <w:jc w:val="left"/>
        <w:rPr>
          <w:rFonts w:ascii="宋体" w:hAnsi="宋体"/>
          <w:color w:val="000000"/>
          <w:szCs w:val="21"/>
          <w:u w:val="single"/>
        </w:rPr>
      </w:pPr>
      <w:r>
        <w:rPr>
          <w:rFonts w:hint="eastAsia" w:ascii="宋体" w:hAnsi="宋体"/>
          <w:color w:val="000000"/>
          <w:kern w:val="0"/>
          <w:szCs w:val="21"/>
        </w:rPr>
        <w:t>关于变更保险合同时的通知义务的约定：</w:t>
      </w:r>
      <w:permStart w:id="503" w:edGrp="everyone"/>
    </w:p>
    <w:permEnd w:id="503"/>
    <w:p>
      <w:pPr>
        <w:spacing w:line="360" w:lineRule="auto"/>
        <w:jc w:val="left"/>
        <w:rPr>
          <w:rFonts w:ascii="宋体" w:hAnsi="宋体"/>
          <w:color w:val="000000"/>
          <w:szCs w:val="21"/>
        </w:rPr>
      </w:pPr>
    </w:p>
    <w:bookmarkEnd w:id="1198"/>
    <w:bookmarkEnd w:id="1199"/>
    <w:bookmarkEnd w:id="1200"/>
    <w:bookmarkEnd w:id="1201"/>
    <w:bookmarkEnd w:id="1202"/>
    <w:bookmarkEnd w:id="1203"/>
    <w:bookmarkEnd w:id="1204"/>
    <w:bookmarkEnd w:id="1205"/>
    <w:bookmarkEnd w:id="1206"/>
    <w:bookmarkEnd w:id="1207"/>
    <w:bookmarkEnd w:id="1208"/>
    <w:bookmarkEnd w:id="1209"/>
    <w:p>
      <w:pPr>
        <w:pStyle w:val="5"/>
        <w:spacing w:before="120" w:after="120" w:line="360" w:lineRule="auto"/>
        <w:rPr>
          <w:rFonts w:ascii="黑体" w:hAnsi="黑体"/>
          <w:b w:val="0"/>
          <w:color w:val="000000"/>
        </w:rPr>
      </w:pPr>
      <w:bookmarkStart w:id="1228" w:name="_Toc362623206"/>
      <w:bookmarkStart w:id="1229" w:name="_Toc114222841"/>
      <w:r>
        <w:rPr>
          <w:rFonts w:ascii="黑体" w:hAnsi="黑体"/>
          <w:b w:val="0"/>
          <w:color w:val="000000"/>
        </w:rPr>
        <w:t xml:space="preserve">20. </w:t>
      </w:r>
      <w:r>
        <w:rPr>
          <w:rFonts w:hint="eastAsia" w:ascii="黑体" w:hAnsi="黑体"/>
          <w:b w:val="0"/>
          <w:color w:val="000000"/>
        </w:rPr>
        <w:t>争议解决</w:t>
      </w:r>
      <w:bookmarkEnd w:id="1228"/>
      <w:bookmarkEnd w:id="1229"/>
    </w:p>
    <w:bookmarkEnd w:id="1210"/>
    <w:bookmarkEnd w:id="1211"/>
    <w:p>
      <w:pPr>
        <w:spacing w:after="120"/>
        <w:ind w:firstLine="420" w:firstLineChars="200"/>
        <w:rPr>
          <w:rFonts w:ascii="黑体" w:hAnsi="黑体" w:eastAsia="黑体"/>
          <w:color w:val="000000"/>
          <w:szCs w:val="21"/>
        </w:rPr>
      </w:pPr>
      <w:r>
        <w:rPr>
          <w:rFonts w:ascii="黑体" w:hAnsi="黑体" w:eastAsia="黑体"/>
          <w:color w:val="000000"/>
          <w:szCs w:val="21"/>
        </w:rPr>
        <w:t xml:space="preserve">20.3 </w:t>
      </w:r>
      <w:r>
        <w:rPr>
          <w:rFonts w:hint="eastAsia" w:ascii="黑体" w:hAnsi="黑体" w:eastAsia="黑体"/>
          <w:color w:val="000000"/>
          <w:szCs w:val="21"/>
        </w:rPr>
        <w:t>争</w:t>
      </w:r>
      <w:bookmarkEnd w:id="1212"/>
      <w:r>
        <w:rPr>
          <w:rFonts w:hint="eastAsia" w:ascii="黑体" w:hAnsi="黑体" w:eastAsia="黑体"/>
          <w:color w:val="000000"/>
          <w:szCs w:val="21"/>
        </w:rPr>
        <w:t>议评审</w:t>
      </w:r>
    </w:p>
    <w:p>
      <w:pPr>
        <w:spacing w:line="360" w:lineRule="auto"/>
        <w:ind w:left="149" w:leftChars="71" w:firstLine="315" w:firstLineChars="150"/>
        <w:jc w:val="left"/>
        <w:rPr>
          <w:rFonts w:ascii="宋体" w:hAnsi="宋体"/>
          <w:color w:val="000000"/>
          <w:szCs w:val="21"/>
          <w:u w:val="single"/>
        </w:rPr>
      </w:pPr>
      <w:r>
        <w:rPr>
          <w:rFonts w:hint="eastAsia" w:ascii="宋体" w:hAnsi="宋体"/>
          <w:color w:val="000000"/>
          <w:szCs w:val="21"/>
        </w:rPr>
        <w:t>合同当事人是否同意将工程争议提交争议评审小组决定：</w:t>
      </w:r>
      <w:permStart w:id="504" w:edGrp="everyone"/>
    </w:p>
    <w:permEnd w:id="504"/>
    <w:p>
      <w:pPr>
        <w:spacing w:line="360" w:lineRule="auto"/>
        <w:jc w:val="left"/>
        <w:rPr>
          <w:rFonts w:ascii="宋体" w:hAnsi="宋体"/>
          <w:color w:val="000000"/>
          <w:szCs w:val="21"/>
        </w:rPr>
      </w:pPr>
    </w:p>
    <w:p>
      <w:pPr>
        <w:spacing w:line="360" w:lineRule="auto"/>
        <w:ind w:firstLine="420" w:firstLineChars="200"/>
        <w:jc w:val="left"/>
        <w:rPr>
          <w:rFonts w:ascii="宋体" w:hAnsi="宋体"/>
          <w:color w:val="000000"/>
          <w:szCs w:val="21"/>
        </w:rPr>
      </w:pPr>
      <w:r>
        <w:rPr>
          <w:rFonts w:ascii="宋体" w:hAnsi="宋体"/>
          <w:color w:val="000000"/>
          <w:szCs w:val="21"/>
        </w:rPr>
        <w:t xml:space="preserve">20.3.1 </w:t>
      </w:r>
      <w:r>
        <w:rPr>
          <w:rFonts w:hint="eastAsia" w:ascii="宋体" w:hAnsi="宋体"/>
          <w:color w:val="000000"/>
          <w:szCs w:val="21"/>
        </w:rPr>
        <w:t>争议评审小组的确定</w:t>
      </w:r>
    </w:p>
    <w:p>
      <w:pPr>
        <w:spacing w:line="360" w:lineRule="auto"/>
        <w:ind w:firstLine="420" w:firstLineChars="200"/>
        <w:jc w:val="left"/>
        <w:rPr>
          <w:rFonts w:ascii="宋体" w:hAnsi="宋体"/>
          <w:color w:val="000000"/>
          <w:szCs w:val="21"/>
          <w:u w:val="single"/>
        </w:rPr>
      </w:pPr>
      <w:r>
        <w:rPr>
          <w:rFonts w:hint="eastAsia" w:ascii="宋体" w:hAnsi="宋体"/>
          <w:color w:val="000000"/>
          <w:szCs w:val="21"/>
        </w:rPr>
        <w:t>争议评审小组成员的确定：</w:t>
      </w:r>
      <w:permStart w:id="505" w:edGrp="everyone"/>
      <w:r>
        <w:rPr>
          <w:rFonts w:hint="eastAsia" w:ascii="宋体" w:hAnsi="宋体"/>
          <w:color w:val="000000"/>
          <w:szCs w:val="21"/>
        </w:rPr>
        <w:t xml:space="preserve">                       </w:t>
      </w:r>
      <w:permEnd w:id="505"/>
      <w:r>
        <w:rPr>
          <w:rFonts w:hint="eastAsia" w:ascii="宋体" w:hAnsi="宋体"/>
          <w:color w:val="000000"/>
          <w:szCs w:val="21"/>
        </w:rPr>
        <w:t>。</w:t>
      </w:r>
    </w:p>
    <w:p>
      <w:pPr>
        <w:spacing w:line="360" w:lineRule="auto"/>
        <w:ind w:firstLine="420" w:firstLineChars="200"/>
        <w:jc w:val="left"/>
        <w:rPr>
          <w:rFonts w:ascii="宋体" w:hAnsi="宋体"/>
          <w:color w:val="000000"/>
          <w:szCs w:val="21"/>
        </w:rPr>
      </w:pPr>
      <w:r>
        <w:rPr>
          <w:rFonts w:hint="eastAsia" w:ascii="宋体" w:hAnsi="宋体"/>
          <w:color w:val="000000"/>
          <w:szCs w:val="21"/>
        </w:rPr>
        <w:t>选定争议评审员的期限：</w:t>
      </w:r>
      <w:permStart w:id="506" w:edGrp="everyone"/>
      <w:r>
        <w:rPr>
          <w:rFonts w:hint="eastAsia" w:ascii="宋体" w:hAnsi="宋体"/>
          <w:color w:val="000000"/>
          <w:szCs w:val="21"/>
        </w:rPr>
        <w:t xml:space="preserve"> </w:t>
      </w:r>
      <w:r>
        <w:rPr>
          <w:rFonts w:ascii="宋体" w:hAnsi="宋体"/>
          <w:color w:val="000000"/>
          <w:szCs w:val="21"/>
        </w:rPr>
        <w:t xml:space="preserve">                              </w:t>
      </w:r>
      <w:permEnd w:id="506"/>
      <w:r>
        <w:rPr>
          <w:rFonts w:hint="eastAsia" w:ascii="宋体" w:hAnsi="宋体"/>
          <w:color w:val="000000"/>
          <w:szCs w:val="21"/>
        </w:rPr>
        <w:t>。</w:t>
      </w:r>
    </w:p>
    <w:p>
      <w:pPr>
        <w:spacing w:line="360" w:lineRule="auto"/>
        <w:ind w:firstLine="420" w:firstLineChars="200"/>
        <w:jc w:val="left"/>
        <w:rPr>
          <w:rFonts w:ascii="宋体" w:hAnsi="宋体"/>
          <w:color w:val="000000"/>
          <w:szCs w:val="21"/>
        </w:rPr>
      </w:pPr>
      <w:r>
        <w:rPr>
          <w:rFonts w:hint="eastAsia" w:ascii="宋体" w:hAnsi="宋体"/>
          <w:color w:val="000000"/>
          <w:szCs w:val="21"/>
        </w:rPr>
        <w:t>争议评审小组成员的报酬承担方式：</w:t>
      </w:r>
      <w:permStart w:id="507" w:edGrp="everyone"/>
      <w:r>
        <w:rPr>
          <w:rFonts w:hint="eastAsia" w:ascii="宋体" w:hAnsi="宋体"/>
          <w:color w:val="000000"/>
          <w:szCs w:val="21"/>
        </w:rPr>
        <w:t xml:space="preserve"> </w:t>
      </w:r>
      <w:r>
        <w:rPr>
          <w:rFonts w:ascii="宋体" w:hAnsi="宋体"/>
          <w:color w:val="000000"/>
          <w:szCs w:val="21"/>
        </w:rPr>
        <w:t xml:space="preserve">                          </w:t>
      </w:r>
      <w:permEnd w:id="507"/>
      <w:r>
        <w:rPr>
          <w:rFonts w:hint="eastAsia" w:ascii="宋体" w:hAnsi="宋体"/>
          <w:color w:val="000000"/>
          <w:szCs w:val="21"/>
        </w:rPr>
        <w:t>。</w:t>
      </w:r>
    </w:p>
    <w:p>
      <w:pPr>
        <w:spacing w:line="360" w:lineRule="auto"/>
        <w:ind w:firstLine="420" w:firstLineChars="200"/>
        <w:jc w:val="left"/>
        <w:rPr>
          <w:rFonts w:ascii="宋体" w:hAnsi="宋体"/>
          <w:color w:val="000000"/>
          <w:szCs w:val="21"/>
        </w:rPr>
      </w:pPr>
      <w:r>
        <w:rPr>
          <w:rFonts w:hint="eastAsia" w:ascii="宋体" w:hAnsi="宋体"/>
          <w:color w:val="000000"/>
          <w:szCs w:val="21"/>
        </w:rPr>
        <w:t>其他事项的约定：</w:t>
      </w:r>
      <w:permStart w:id="508" w:edGrp="everyone"/>
      <w:r>
        <w:rPr>
          <w:rFonts w:hint="eastAsia" w:ascii="宋体" w:hAnsi="宋体"/>
          <w:color w:val="000000"/>
          <w:szCs w:val="21"/>
        </w:rPr>
        <w:t xml:space="preserve">                                     </w:t>
      </w:r>
      <w:permEnd w:id="508"/>
      <w:r>
        <w:rPr>
          <w:rFonts w:hint="eastAsia" w:ascii="宋体" w:hAnsi="宋体"/>
          <w:color w:val="000000"/>
          <w:szCs w:val="21"/>
        </w:rPr>
        <w:t>。</w:t>
      </w:r>
    </w:p>
    <w:p>
      <w:pPr>
        <w:autoSpaceDE w:val="0"/>
        <w:autoSpaceDN w:val="0"/>
        <w:adjustRightInd w:val="0"/>
        <w:spacing w:line="360" w:lineRule="auto"/>
        <w:ind w:firstLine="420" w:firstLineChars="200"/>
        <w:jc w:val="left"/>
        <w:rPr>
          <w:rFonts w:ascii="宋体" w:hAnsi="宋体"/>
          <w:color w:val="000000"/>
          <w:kern w:val="0"/>
          <w:szCs w:val="21"/>
        </w:rPr>
      </w:pPr>
      <w:r>
        <w:rPr>
          <w:rFonts w:ascii="宋体" w:hAnsi="宋体"/>
          <w:color w:val="000000"/>
          <w:kern w:val="0"/>
          <w:szCs w:val="21"/>
        </w:rPr>
        <w:t xml:space="preserve">20.3.2 </w:t>
      </w:r>
      <w:r>
        <w:rPr>
          <w:rFonts w:hint="eastAsia" w:ascii="宋体" w:hAnsi="宋体"/>
          <w:color w:val="000000"/>
          <w:kern w:val="0"/>
          <w:szCs w:val="21"/>
        </w:rPr>
        <w:t>争议评审小组的决定</w:t>
      </w:r>
    </w:p>
    <w:p>
      <w:pPr>
        <w:spacing w:line="360" w:lineRule="auto"/>
        <w:ind w:firstLine="420" w:firstLineChars="200"/>
        <w:jc w:val="left"/>
        <w:rPr>
          <w:rFonts w:ascii="宋体" w:hAnsi="宋体"/>
          <w:color w:val="000000"/>
          <w:szCs w:val="21"/>
        </w:rPr>
      </w:pPr>
      <w:r>
        <w:rPr>
          <w:rFonts w:hint="eastAsia" w:ascii="宋体" w:hAnsi="宋体"/>
          <w:color w:val="000000"/>
          <w:szCs w:val="21"/>
        </w:rPr>
        <w:t>合同当事人关于本项的约定：</w:t>
      </w:r>
      <w:permStart w:id="509" w:edGrp="everyone"/>
      <w:r>
        <w:rPr>
          <w:rFonts w:hint="eastAsia" w:ascii="宋体" w:hAnsi="宋体"/>
          <w:color w:val="000000"/>
          <w:szCs w:val="21"/>
        </w:rPr>
        <w:t xml:space="preserve">                          </w:t>
      </w:r>
      <w:permEnd w:id="509"/>
      <w:r>
        <w:rPr>
          <w:rFonts w:hint="eastAsia" w:ascii="宋体" w:hAnsi="宋体"/>
          <w:color w:val="000000"/>
          <w:szCs w:val="21"/>
        </w:rPr>
        <w:t>。</w:t>
      </w:r>
    </w:p>
    <w:p>
      <w:pPr>
        <w:spacing w:after="120"/>
        <w:ind w:firstLine="420" w:firstLineChars="200"/>
        <w:rPr>
          <w:rFonts w:ascii="黑体" w:hAnsi="黑体" w:eastAsia="黑体"/>
          <w:color w:val="000000"/>
          <w:szCs w:val="21"/>
        </w:rPr>
      </w:pPr>
      <w:r>
        <w:rPr>
          <w:rFonts w:ascii="黑体" w:hAnsi="黑体" w:eastAsia="黑体"/>
          <w:color w:val="000000"/>
          <w:szCs w:val="21"/>
        </w:rPr>
        <w:t>20.4</w:t>
      </w:r>
      <w:r>
        <w:rPr>
          <w:rFonts w:hint="eastAsia" w:ascii="黑体" w:hAnsi="黑体" w:eastAsia="黑体"/>
          <w:color w:val="000000"/>
          <w:szCs w:val="21"/>
        </w:rPr>
        <w:t>仲裁或诉讼</w:t>
      </w:r>
      <w:bookmarkEnd w:id="1213"/>
    </w:p>
    <w:p>
      <w:pPr>
        <w:spacing w:after="120" w:line="360" w:lineRule="auto"/>
        <w:ind w:firstLine="420" w:firstLineChars="200"/>
        <w:rPr>
          <w:rFonts w:ascii="宋体" w:hAnsi="宋体"/>
          <w:color w:val="000000"/>
          <w:szCs w:val="21"/>
        </w:rPr>
      </w:pPr>
      <w:r>
        <w:rPr>
          <w:rFonts w:hint="eastAsia" w:ascii="宋体" w:hAnsi="宋体"/>
          <w:color w:val="000000"/>
          <w:szCs w:val="21"/>
        </w:rPr>
        <w:t>因合同及合同有关事项发生的争议，按下列第</w:t>
      </w:r>
      <w:permStart w:id="510" w:edGrp="everyone"/>
      <w:r>
        <w:rPr>
          <w:rFonts w:hint="eastAsia" w:ascii="宋体" w:hAnsi="宋体"/>
          <w:color w:val="000000"/>
          <w:szCs w:val="21"/>
        </w:rPr>
        <w:t xml:space="preserve">  </w:t>
      </w:r>
      <w:r>
        <w:rPr>
          <w:rFonts w:ascii="宋体" w:hAnsi="宋体"/>
          <w:color w:val="000000"/>
          <w:szCs w:val="21"/>
        </w:rPr>
        <w:t xml:space="preserve"> </w:t>
      </w:r>
      <w:permEnd w:id="510"/>
      <w:r>
        <w:rPr>
          <w:rFonts w:hint="eastAsia" w:ascii="宋体" w:hAnsi="宋体"/>
          <w:color w:val="000000"/>
          <w:szCs w:val="21"/>
        </w:rPr>
        <w:t>种方式解决：</w:t>
      </w:r>
    </w:p>
    <w:p>
      <w:pPr>
        <w:spacing w:line="360" w:lineRule="auto"/>
        <w:ind w:firstLine="420" w:firstLineChars="200"/>
        <w:jc w:val="left"/>
        <w:rPr>
          <w:rFonts w:ascii="宋体" w:hAns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）向</w:t>
      </w:r>
      <w:permStart w:id="511" w:edGrp="everyone"/>
      <w:r>
        <w:rPr>
          <w:rFonts w:hint="eastAsia" w:ascii="宋体" w:hAnsi="宋体"/>
          <w:color w:val="000000"/>
          <w:szCs w:val="21"/>
        </w:rPr>
        <w:t xml:space="preserve"> </w:t>
      </w:r>
      <w:r>
        <w:rPr>
          <w:rFonts w:ascii="宋体" w:hAnsi="宋体"/>
          <w:color w:val="000000"/>
          <w:szCs w:val="21"/>
        </w:rPr>
        <w:t xml:space="preserve">  </w:t>
      </w:r>
      <w:permEnd w:id="511"/>
      <w:r>
        <w:rPr>
          <w:rFonts w:hint="eastAsia" w:ascii="宋体" w:hAnsi="宋体"/>
          <w:color w:val="000000"/>
          <w:szCs w:val="21"/>
        </w:rPr>
        <w:t>仲裁委员会申请仲裁；</w:t>
      </w:r>
    </w:p>
    <w:p>
      <w:pPr>
        <w:spacing w:line="360" w:lineRule="auto"/>
        <w:ind w:firstLine="420" w:firstLineChars="200"/>
        <w:jc w:val="left"/>
        <w:rPr>
          <w:rFonts w:ascii="宋体" w:hAns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）向</w:t>
      </w:r>
      <w:permStart w:id="512" w:edGrp="everyone"/>
      <w:r>
        <w:rPr>
          <w:rFonts w:hint="eastAsia" w:ascii="宋体" w:hAnsi="宋体"/>
          <w:color w:val="000000"/>
          <w:szCs w:val="21"/>
        </w:rPr>
        <w:t xml:space="preserve">  </w:t>
      </w:r>
      <w:r>
        <w:rPr>
          <w:rFonts w:ascii="宋体" w:hAnsi="宋体"/>
          <w:color w:val="000000"/>
          <w:szCs w:val="21"/>
        </w:rPr>
        <w:t xml:space="preserve"> </w:t>
      </w:r>
      <w:permEnd w:id="512"/>
      <w:r>
        <w:rPr>
          <w:rFonts w:hint="eastAsia" w:ascii="宋体" w:hAnsi="宋体"/>
          <w:color w:val="000000"/>
          <w:szCs w:val="21"/>
        </w:rPr>
        <w:t>人民法院起诉。</w:t>
      </w:r>
      <w:bookmarkEnd w:id="1214"/>
      <w:bookmarkEnd w:id="1215"/>
      <w:bookmarkEnd w:id="1216"/>
      <w:bookmarkEnd w:id="1217"/>
      <w:bookmarkEnd w:id="1218"/>
      <w:bookmarkEnd w:id="1219"/>
    </w:p>
    <w:p>
      <w:pPr>
        <w:spacing w:line="360" w:lineRule="auto"/>
        <w:ind w:firstLine="420" w:firstLineChars="200"/>
        <w:jc w:val="left"/>
        <w:rPr>
          <w:rFonts w:ascii="宋体" w:hAnsi="宋体"/>
          <w:color w:val="000000"/>
          <w:szCs w:val="21"/>
        </w:rPr>
      </w:pPr>
      <w:permStart w:id="513" w:edGrp="everyone"/>
      <w:r>
        <w:rPr>
          <w:rFonts w:hint="eastAsia" w:ascii="宋体" w:hAnsi="宋体"/>
          <w:color w:val="000000"/>
          <w:szCs w:val="21"/>
        </w:rPr>
        <w:t>附加条款</w:t>
      </w:r>
      <w:permEnd w:id="513"/>
    </w:p>
    <w:p>
      <w:pPr>
        <w:spacing w:line="360" w:lineRule="auto"/>
        <w:jc w:val="center"/>
        <w:outlineLvl w:val="2"/>
        <w:rPr>
          <w:rFonts w:ascii="黑体" w:hAnsi="宋体" w:eastAsia="黑体"/>
          <w:color w:val="000000"/>
          <w:sz w:val="28"/>
          <w:szCs w:val="28"/>
        </w:rPr>
      </w:pPr>
      <w:r>
        <w:rPr>
          <w:rFonts w:ascii="宋体" w:hAnsi="宋体"/>
          <w:color w:val="000000"/>
          <w:szCs w:val="21"/>
        </w:rPr>
        <w:br w:type="page"/>
      </w:r>
      <w:bookmarkStart w:id="1230" w:name="_Toc114222842"/>
      <w:r>
        <w:rPr>
          <w:rFonts w:hint="eastAsia" w:ascii="黑体" w:hAnsi="宋体" w:eastAsia="黑体"/>
          <w:color w:val="000000"/>
          <w:sz w:val="28"/>
          <w:szCs w:val="28"/>
        </w:rPr>
        <w:t xml:space="preserve">第四节 </w:t>
      </w:r>
      <w:r>
        <w:rPr>
          <w:rFonts w:ascii="黑体" w:hAnsi="宋体" w:eastAsia="黑体"/>
          <w:color w:val="000000"/>
          <w:sz w:val="28"/>
          <w:szCs w:val="28"/>
        </w:rPr>
        <w:t xml:space="preserve"> </w:t>
      </w:r>
      <w:r>
        <w:rPr>
          <w:rFonts w:hint="eastAsia" w:ascii="黑体" w:hAnsi="宋体" w:eastAsia="黑体"/>
          <w:color w:val="000000"/>
          <w:sz w:val="28"/>
          <w:szCs w:val="28"/>
        </w:rPr>
        <w:t>合同附件格式</w:t>
      </w:r>
      <w:bookmarkEnd w:id="1230"/>
    </w:p>
    <w:p>
      <w:pPr>
        <w:spacing w:line="360" w:lineRule="auto"/>
        <w:jc w:val="left"/>
        <w:rPr>
          <w:rFonts w:ascii="宋体" w:hAnsi="宋体"/>
          <w:b/>
          <w:color w:val="000000"/>
          <w:szCs w:val="21"/>
        </w:rPr>
      </w:pPr>
      <w:permStart w:id="514" w:edGrp="everyone"/>
      <w:r>
        <w:rPr>
          <w:rFonts w:hint="eastAsia" w:ascii="宋体" w:hAnsi="宋体"/>
          <w:b/>
          <w:color w:val="000000"/>
          <w:szCs w:val="21"/>
        </w:rPr>
        <w:t>附件</w:t>
      </w:r>
    </w:p>
    <w:p>
      <w:pPr>
        <w:spacing w:line="360" w:lineRule="auto"/>
        <w:jc w:val="left"/>
        <w:rPr>
          <w:rFonts w:ascii="宋体" w:hAnsi="宋体"/>
          <w:color w:val="000000"/>
          <w:szCs w:val="21"/>
        </w:rPr>
      </w:pPr>
      <w:r>
        <w:rPr>
          <w:rFonts w:hint="eastAsia" w:ascii="宋体" w:hAnsi="宋体"/>
          <w:color w:val="000000"/>
          <w:szCs w:val="21"/>
        </w:rPr>
        <w:t>附件</w:t>
      </w:r>
      <w:r>
        <w:rPr>
          <w:rFonts w:ascii="宋体" w:hAnsi="宋体"/>
          <w:color w:val="000000"/>
          <w:szCs w:val="21"/>
        </w:rPr>
        <w:t>1</w:t>
      </w:r>
      <w:r>
        <w:rPr>
          <w:rFonts w:hint="eastAsia" w:ascii="宋体" w:hAnsi="宋体"/>
          <w:color w:val="000000"/>
          <w:szCs w:val="21"/>
        </w:rPr>
        <w:t>：承包人承揽工程项目一览表</w:t>
      </w:r>
    </w:p>
    <w:p>
      <w:pPr>
        <w:spacing w:line="360" w:lineRule="auto"/>
        <w:jc w:val="left"/>
        <w:rPr>
          <w:rFonts w:ascii="宋体" w:hAnsi="宋体"/>
          <w:color w:val="000000"/>
          <w:szCs w:val="21"/>
        </w:rPr>
      </w:pPr>
      <w:r>
        <w:rPr>
          <w:rFonts w:hint="eastAsia" w:ascii="宋体" w:hAnsi="宋体"/>
          <w:color w:val="000000"/>
          <w:szCs w:val="21"/>
        </w:rPr>
        <w:t>附件</w:t>
      </w:r>
      <w:r>
        <w:rPr>
          <w:rFonts w:ascii="宋体" w:hAnsi="宋体"/>
          <w:color w:val="000000"/>
          <w:szCs w:val="21"/>
        </w:rPr>
        <w:t>2</w:t>
      </w:r>
      <w:r>
        <w:rPr>
          <w:rFonts w:hint="eastAsia" w:ascii="宋体" w:hAnsi="宋体"/>
          <w:color w:val="000000"/>
          <w:szCs w:val="21"/>
        </w:rPr>
        <w:t>：发包人供应材料设备一览表</w:t>
      </w:r>
    </w:p>
    <w:p>
      <w:pPr>
        <w:spacing w:line="360" w:lineRule="auto"/>
        <w:jc w:val="left"/>
        <w:rPr>
          <w:rFonts w:ascii="宋体" w:hAnsi="宋体"/>
          <w:color w:val="000000"/>
          <w:szCs w:val="21"/>
        </w:rPr>
      </w:pPr>
      <w:r>
        <w:rPr>
          <w:rFonts w:hint="eastAsia" w:ascii="宋体" w:hAnsi="宋体"/>
          <w:color w:val="000000"/>
          <w:szCs w:val="21"/>
        </w:rPr>
        <w:t>附件</w:t>
      </w:r>
      <w:r>
        <w:rPr>
          <w:rFonts w:ascii="宋体" w:hAnsi="宋体"/>
          <w:color w:val="000000"/>
          <w:szCs w:val="21"/>
        </w:rPr>
        <w:t>3</w:t>
      </w:r>
      <w:r>
        <w:rPr>
          <w:rFonts w:hint="eastAsia" w:ascii="宋体" w:hAnsi="宋体"/>
          <w:color w:val="000000"/>
          <w:szCs w:val="21"/>
        </w:rPr>
        <w:t>：工程质量保修书</w:t>
      </w:r>
    </w:p>
    <w:p>
      <w:pPr>
        <w:spacing w:line="360" w:lineRule="auto"/>
        <w:jc w:val="left"/>
        <w:rPr>
          <w:rFonts w:ascii="宋体" w:hAnsi="宋体"/>
          <w:color w:val="000000"/>
          <w:szCs w:val="21"/>
        </w:rPr>
      </w:pPr>
      <w:r>
        <w:rPr>
          <w:rFonts w:hint="eastAsia" w:ascii="宋体" w:hAnsi="宋体"/>
          <w:color w:val="000000"/>
          <w:szCs w:val="21"/>
        </w:rPr>
        <w:t>附件</w:t>
      </w:r>
      <w:r>
        <w:rPr>
          <w:rFonts w:ascii="宋体" w:hAnsi="宋体"/>
          <w:color w:val="000000"/>
          <w:szCs w:val="21"/>
        </w:rPr>
        <w:t>4</w:t>
      </w:r>
      <w:r>
        <w:rPr>
          <w:rFonts w:hint="eastAsia" w:ascii="宋体" w:hAnsi="宋体"/>
          <w:color w:val="000000"/>
          <w:szCs w:val="21"/>
        </w:rPr>
        <w:t>：主要建设工程文件目录</w:t>
      </w:r>
    </w:p>
    <w:p>
      <w:pPr>
        <w:spacing w:line="360" w:lineRule="auto"/>
        <w:jc w:val="left"/>
        <w:rPr>
          <w:rFonts w:ascii="宋体" w:hAnsi="宋体"/>
          <w:color w:val="000000"/>
          <w:szCs w:val="21"/>
        </w:rPr>
      </w:pPr>
      <w:r>
        <w:rPr>
          <w:rFonts w:hint="eastAsia" w:ascii="宋体" w:hAnsi="宋体"/>
          <w:color w:val="000000"/>
          <w:szCs w:val="21"/>
        </w:rPr>
        <w:t>附件</w:t>
      </w:r>
      <w:r>
        <w:rPr>
          <w:rFonts w:ascii="宋体" w:hAnsi="宋体"/>
          <w:color w:val="000000"/>
          <w:szCs w:val="21"/>
        </w:rPr>
        <w:t>5</w:t>
      </w:r>
      <w:r>
        <w:rPr>
          <w:rFonts w:hint="eastAsia" w:ascii="宋体" w:hAnsi="宋体"/>
          <w:color w:val="000000"/>
          <w:szCs w:val="21"/>
        </w:rPr>
        <w:t>：承包人用于本工程施工的机械设备表</w:t>
      </w:r>
    </w:p>
    <w:p>
      <w:pPr>
        <w:spacing w:line="360" w:lineRule="auto"/>
        <w:jc w:val="left"/>
        <w:rPr>
          <w:rFonts w:ascii="宋体" w:hAnsi="宋体"/>
          <w:color w:val="000000"/>
          <w:szCs w:val="21"/>
        </w:rPr>
      </w:pPr>
      <w:r>
        <w:rPr>
          <w:rFonts w:hint="eastAsia" w:ascii="宋体" w:hAnsi="宋体"/>
          <w:color w:val="000000"/>
          <w:szCs w:val="21"/>
        </w:rPr>
        <w:t>附件</w:t>
      </w:r>
      <w:r>
        <w:rPr>
          <w:rFonts w:ascii="宋体" w:hAnsi="宋体"/>
          <w:color w:val="000000"/>
          <w:szCs w:val="21"/>
        </w:rPr>
        <w:t>6</w:t>
      </w:r>
      <w:r>
        <w:rPr>
          <w:rFonts w:hint="eastAsia" w:ascii="宋体" w:hAnsi="宋体"/>
          <w:color w:val="000000"/>
          <w:szCs w:val="21"/>
        </w:rPr>
        <w:t>：承包人主要施工管理人员表</w:t>
      </w:r>
    </w:p>
    <w:p>
      <w:pPr>
        <w:spacing w:line="360" w:lineRule="auto"/>
        <w:jc w:val="left"/>
        <w:rPr>
          <w:rFonts w:ascii="宋体" w:hAnsi="宋体"/>
          <w:color w:val="000000"/>
          <w:szCs w:val="21"/>
        </w:rPr>
      </w:pPr>
      <w:r>
        <w:rPr>
          <w:rFonts w:hint="eastAsia" w:ascii="宋体" w:hAnsi="宋体"/>
          <w:color w:val="000000"/>
          <w:szCs w:val="21"/>
        </w:rPr>
        <w:t>附件</w:t>
      </w:r>
      <w:r>
        <w:rPr>
          <w:rFonts w:ascii="宋体" w:hAnsi="宋体"/>
          <w:color w:val="000000"/>
          <w:szCs w:val="21"/>
        </w:rPr>
        <w:t>7</w:t>
      </w:r>
      <w:r>
        <w:rPr>
          <w:rFonts w:hint="eastAsia" w:ascii="宋体" w:hAnsi="宋体"/>
          <w:color w:val="000000"/>
          <w:szCs w:val="21"/>
        </w:rPr>
        <w:t>：分包人主要施工管理人员表</w:t>
      </w:r>
    </w:p>
    <w:p>
      <w:pPr>
        <w:spacing w:line="360" w:lineRule="auto"/>
        <w:jc w:val="left"/>
        <w:rPr>
          <w:rFonts w:ascii="宋体" w:hAnsi="宋体"/>
          <w:color w:val="000000"/>
          <w:szCs w:val="21"/>
        </w:rPr>
      </w:pPr>
      <w:r>
        <w:rPr>
          <w:rFonts w:hint="eastAsia" w:ascii="宋体" w:hAnsi="宋体"/>
          <w:color w:val="000000"/>
          <w:szCs w:val="21"/>
        </w:rPr>
        <w:t>附件</w:t>
      </w:r>
      <w:r>
        <w:rPr>
          <w:rFonts w:ascii="宋体" w:hAnsi="宋体"/>
          <w:color w:val="000000"/>
          <w:szCs w:val="21"/>
        </w:rPr>
        <w:t>8</w:t>
      </w:r>
      <w:r>
        <w:rPr>
          <w:rFonts w:hint="eastAsia" w:ascii="宋体" w:hAnsi="宋体"/>
          <w:color w:val="000000"/>
          <w:szCs w:val="21"/>
        </w:rPr>
        <w:t>：履约担保格式</w:t>
      </w:r>
    </w:p>
    <w:p>
      <w:pPr>
        <w:spacing w:line="360" w:lineRule="auto"/>
        <w:jc w:val="left"/>
        <w:rPr>
          <w:rFonts w:ascii="宋体" w:hAnsi="宋体"/>
          <w:color w:val="000000"/>
          <w:szCs w:val="21"/>
        </w:rPr>
      </w:pPr>
      <w:r>
        <w:rPr>
          <w:rFonts w:hint="eastAsia" w:ascii="宋体" w:hAnsi="宋体"/>
          <w:color w:val="000000"/>
          <w:szCs w:val="21"/>
        </w:rPr>
        <w:t>附件</w:t>
      </w:r>
      <w:r>
        <w:rPr>
          <w:rFonts w:ascii="宋体" w:hAnsi="宋体"/>
          <w:color w:val="000000"/>
          <w:szCs w:val="21"/>
        </w:rPr>
        <w:t>9</w:t>
      </w:r>
      <w:r>
        <w:rPr>
          <w:rFonts w:hint="eastAsia" w:ascii="宋体" w:hAnsi="宋体"/>
          <w:color w:val="000000"/>
          <w:szCs w:val="21"/>
        </w:rPr>
        <w:t>：预付款担保格式</w:t>
      </w:r>
    </w:p>
    <w:p>
      <w:pPr>
        <w:spacing w:line="360" w:lineRule="auto"/>
        <w:jc w:val="left"/>
        <w:rPr>
          <w:rFonts w:ascii="宋体" w:hAnsi="宋体"/>
          <w:color w:val="000000"/>
          <w:szCs w:val="21"/>
        </w:rPr>
      </w:pPr>
      <w:r>
        <w:rPr>
          <w:rFonts w:hint="eastAsia" w:ascii="宋体" w:hAnsi="宋体"/>
          <w:color w:val="000000"/>
          <w:szCs w:val="21"/>
        </w:rPr>
        <w:t>附件</w:t>
      </w:r>
      <w:r>
        <w:rPr>
          <w:rFonts w:ascii="宋体" w:hAnsi="宋体"/>
          <w:color w:val="000000"/>
          <w:szCs w:val="21"/>
        </w:rPr>
        <w:t>10</w:t>
      </w:r>
      <w:r>
        <w:rPr>
          <w:rFonts w:hint="eastAsia" w:ascii="宋体" w:hAnsi="宋体"/>
          <w:color w:val="000000"/>
          <w:szCs w:val="21"/>
        </w:rPr>
        <w:t>：支付担保格式</w:t>
      </w:r>
    </w:p>
    <w:p>
      <w:pPr>
        <w:spacing w:line="360" w:lineRule="auto"/>
        <w:jc w:val="left"/>
        <w:rPr>
          <w:rFonts w:ascii="宋体" w:hAnsi="宋体"/>
          <w:color w:val="000000"/>
          <w:szCs w:val="21"/>
        </w:rPr>
      </w:pPr>
      <w:r>
        <w:rPr>
          <w:rFonts w:hint="eastAsia" w:ascii="宋体" w:hAnsi="宋体"/>
          <w:color w:val="000000"/>
          <w:szCs w:val="21"/>
        </w:rPr>
        <w:t>附件</w:t>
      </w:r>
      <w:r>
        <w:rPr>
          <w:rFonts w:ascii="宋体" w:hAnsi="宋体"/>
          <w:color w:val="000000"/>
          <w:szCs w:val="21"/>
        </w:rPr>
        <w:t>11</w:t>
      </w:r>
      <w:r>
        <w:rPr>
          <w:rFonts w:hint="eastAsia" w:ascii="宋体" w:hAnsi="宋体"/>
          <w:color w:val="000000"/>
          <w:szCs w:val="21"/>
        </w:rPr>
        <w:t>：暂估价一览表</w:t>
      </w:r>
    </w:p>
    <w:p>
      <w:pPr>
        <w:pStyle w:val="33"/>
        <w:spacing w:before="156" w:beforeLines="50" w:beforeAutospacing="0" w:after="156" w:afterLines="50" w:afterAutospacing="0"/>
        <w:jc w:val="both"/>
        <w:rPr>
          <w:color w:val="000000"/>
        </w:rPr>
      </w:pPr>
      <w:r>
        <w:rPr>
          <w:rFonts w:hint="eastAsia" w:ascii="宋体" w:hAnsi="宋体"/>
          <w:color w:val="000000"/>
          <w:kern w:val="2"/>
          <w:sz w:val="21"/>
          <w:szCs w:val="21"/>
        </w:rPr>
        <w:t>附件12：施工廉政合同</w:t>
      </w:r>
    </w:p>
    <w:p>
      <w:pPr>
        <w:spacing w:line="360" w:lineRule="auto"/>
        <w:jc w:val="left"/>
        <w:rPr>
          <w:rFonts w:ascii="宋体" w:hAnsi="宋体"/>
          <w:color w:val="000000"/>
          <w:szCs w:val="21"/>
        </w:rPr>
        <w:sectPr>
          <w:headerReference r:id="rId23" w:type="first"/>
          <w:headerReference r:id="rId21" w:type="default"/>
          <w:footerReference r:id="rId24" w:type="default"/>
          <w:headerReference r:id="rId22" w:type="even"/>
          <w:footerReference r:id="rId25" w:type="even"/>
          <w:pgSz w:w="11906" w:h="16838"/>
          <w:pgMar w:top="1418" w:right="1555" w:bottom="1418" w:left="1531" w:header="851" w:footer="992" w:gutter="0"/>
          <w:cols w:space="720" w:num="1"/>
          <w:titlePg/>
          <w:docGrid w:type="lines" w:linePitch="312" w:charSpace="0"/>
        </w:sectPr>
      </w:pPr>
    </w:p>
    <w:p>
      <w:pPr>
        <w:spacing w:before="156" w:beforeLines="50" w:after="156" w:afterLines="50" w:line="440" w:lineRule="exact"/>
        <w:jc w:val="left"/>
        <w:rPr>
          <w:rFonts w:ascii="宋体" w:hAnsi="宋体"/>
          <w:color w:val="000000"/>
          <w:szCs w:val="21"/>
        </w:rPr>
      </w:pPr>
      <w:r>
        <w:rPr>
          <w:rFonts w:hint="eastAsia" w:ascii="宋体" w:hAnsi="宋体"/>
          <w:color w:val="000000"/>
          <w:szCs w:val="21"/>
        </w:rPr>
        <w:t>附件</w:t>
      </w:r>
      <w:r>
        <w:rPr>
          <w:rFonts w:ascii="宋体" w:hAnsi="宋体"/>
          <w:color w:val="000000"/>
          <w:szCs w:val="21"/>
        </w:rPr>
        <w:t>1</w:t>
      </w:r>
      <w:r>
        <w:rPr>
          <w:rFonts w:hint="eastAsia" w:ascii="宋体" w:hAnsi="宋体"/>
          <w:color w:val="000000"/>
          <w:szCs w:val="21"/>
        </w:rPr>
        <w:t>：</w:t>
      </w:r>
    </w:p>
    <w:p>
      <w:pPr>
        <w:spacing w:before="156" w:beforeLines="50" w:after="156" w:afterLines="50" w:line="440" w:lineRule="exact"/>
        <w:jc w:val="center"/>
        <w:rPr>
          <w:rFonts w:ascii="宋体" w:hAnsi="宋体"/>
          <w:b/>
          <w:color w:val="000000"/>
          <w:sz w:val="28"/>
          <w:szCs w:val="28"/>
        </w:rPr>
      </w:pPr>
      <w:r>
        <w:rPr>
          <w:rFonts w:hint="eastAsia" w:ascii="宋体" w:hAnsi="宋体"/>
          <w:b/>
          <w:color w:val="000000"/>
          <w:sz w:val="28"/>
          <w:szCs w:val="28"/>
        </w:rPr>
        <w:t>承包人承揽工程项目一览表</w:t>
      </w:r>
    </w:p>
    <w:tbl>
      <w:tblPr>
        <w:tblStyle w:val="36"/>
        <w:tblW w:w="14601" w:type="dxa"/>
        <w:tblInd w:w="2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410"/>
        <w:gridCol w:w="850"/>
        <w:gridCol w:w="1560"/>
        <w:gridCol w:w="2126"/>
        <w:gridCol w:w="1417"/>
        <w:gridCol w:w="851"/>
        <w:gridCol w:w="8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1277" w:type="dxa"/>
            <w:tcBorders>
              <w:top w:val="single" w:color="auto" w:sz="12" w:space="0"/>
              <w:left w:val="single" w:color="auto" w:sz="12" w:space="0"/>
              <w:bottom w:val="doub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单位工程名称</w:t>
            </w:r>
          </w:p>
        </w:tc>
        <w:tc>
          <w:tcPr>
            <w:tcW w:w="1843" w:type="dxa"/>
            <w:tcBorders>
              <w:top w:val="single" w:color="auto" w:sz="12" w:space="0"/>
              <w:left w:val="single" w:color="auto" w:sz="6" w:space="0"/>
              <w:bottom w:val="doub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建设规模</w:t>
            </w:r>
          </w:p>
        </w:tc>
        <w:tc>
          <w:tcPr>
            <w:tcW w:w="1417" w:type="dxa"/>
            <w:tcBorders>
              <w:top w:val="single" w:color="auto" w:sz="12" w:space="0"/>
              <w:left w:val="single" w:color="auto" w:sz="6" w:space="0"/>
              <w:bottom w:val="doub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建筑面积</w:t>
            </w:r>
            <w:r>
              <w:rPr>
                <w:rFonts w:hint="eastAsia" w:ascii="宋体" w:hAnsi="宋体"/>
                <w:color w:val="000000"/>
                <w:szCs w:val="21"/>
                <w:lang w:eastAsia="zh-CN"/>
              </w:rPr>
              <w:t>（</w:t>
            </w:r>
            <w:r>
              <w:rPr>
                <w:rFonts w:hint="eastAsia" w:ascii="宋体" w:hAnsi="宋体"/>
                <w:color w:val="000000"/>
                <w:szCs w:val="21"/>
              </w:rPr>
              <w:t>平方米</w:t>
            </w:r>
            <w:r>
              <w:rPr>
                <w:rFonts w:hint="eastAsia" w:ascii="宋体" w:hAnsi="宋体"/>
                <w:color w:val="000000"/>
                <w:szCs w:val="21"/>
                <w:lang w:eastAsia="zh-CN"/>
              </w:rPr>
              <w:t>）</w:t>
            </w:r>
          </w:p>
        </w:tc>
        <w:tc>
          <w:tcPr>
            <w:tcW w:w="2410" w:type="dxa"/>
            <w:tcBorders>
              <w:top w:val="single" w:color="auto" w:sz="12" w:space="0"/>
              <w:left w:val="single" w:color="auto" w:sz="6" w:space="0"/>
              <w:bottom w:val="doub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结构形式</w:t>
            </w:r>
          </w:p>
        </w:tc>
        <w:tc>
          <w:tcPr>
            <w:tcW w:w="850" w:type="dxa"/>
            <w:tcBorders>
              <w:top w:val="single" w:color="auto" w:sz="12" w:space="0"/>
              <w:left w:val="single" w:color="auto" w:sz="6" w:space="0"/>
              <w:bottom w:val="doub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层数</w:t>
            </w:r>
          </w:p>
        </w:tc>
        <w:tc>
          <w:tcPr>
            <w:tcW w:w="1560" w:type="dxa"/>
            <w:tcBorders>
              <w:top w:val="single" w:color="auto" w:sz="12" w:space="0"/>
              <w:left w:val="single" w:color="auto" w:sz="6" w:space="0"/>
              <w:bottom w:val="doub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生产能力</w:t>
            </w:r>
          </w:p>
        </w:tc>
        <w:tc>
          <w:tcPr>
            <w:tcW w:w="2126" w:type="dxa"/>
            <w:tcBorders>
              <w:top w:val="single" w:color="auto" w:sz="12" w:space="0"/>
              <w:left w:val="single" w:color="auto" w:sz="6" w:space="0"/>
              <w:bottom w:val="doub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设备安装内容</w:t>
            </w:r>
          </w:p>
        </w:tc>
        <w:tc>
          <w:tcPr>
            <w:tcW w:w="1417" w:type="dxa"/>
            <w:tcBorders>
              <w:top w:val="single" w:color="auto" w:sz="12" w:space="0"/>
              <w:left w:val="single" w:color="auto" w:sz="6" w:space="0"/>
              <w:bottom w:val="doub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合同价格（元）</w:t>
            </w:r>
          </w:p>
        </w:tc>
        <w:tc>
          <w:tcPr>
            <w:tcW w:w="851" w:type="dxa"/>
            <w:tcBorders>
              <w:top w:val="single" w:color="auto" w:sz="12" w:space="0"/>
              <w:left w:val="single" w:color="auto" w:sz="6" w:space="0"/>
              <w:bottom w:val="doub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开工日期</w:t>
            </w:r>
          </w:p>
        </w:tc>
        <w:tc>
          <w:tcPr>
            <w:tcW w:w="850" w:type="dxa"/>
            <w:tcBorders>
              <w:top w:val="single" w:color="auto" w:sz="12" w:space="0"/>
              <w:left w:val="single" w:color="auto" w:sz="6" w:space="0"/>
              <w:bottom w:val="doub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竣工日期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trPr>
        <w:tc>
          <w:tcPr>
            <w:tcW w:w="1277" w:type="dxa"/>
            <w:tcBorders>
              <w:top w:val="doub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843" w:type="dxa"/>
            <w:tcBorders>
              <w:top w:val="doub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17" w:type="dxa"/>
            <w:tcBorders>
              <w:top w:val="doub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2410" w:type="dxa"/>
            <w:tcBorders>
              <w:top w:val="doub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0" w:type="dxa"/>
            <w:tcBorders>
              <w:top w:val="doub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560" w:type="dxa"/>
            <w:tcBorders>
              <w:top w:val="doub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2126" w:type="dxa"/>
            <w:tcBorders>
              <w:top w:val="doub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17" w:type="dxa"/>
            <w:tcBorders>
              <w:top w:val="doub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1" w:type="dxa"/>
            <w:tcBorders>
              <w:top w:val="doub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0" w:type="dxa"/>
            <w:tcBorders>
              <w:top w:val="doub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trPr>
        <w:tc>
          <w:tcPr>
            <w:tcW w:w="1277" w:type="dxa"/>
            <w:tcBorders>
              <w:top w:val="nil"/>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843"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17"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2410"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0"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560"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2126"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17"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1"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0" w:type="dxa"/>
            <w:tcBorders>
              <w:top w:val="nil"/>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trPr>
        <w:tc>
          <w:tcPr>
            <w:tcW w:w="1277" w:type="dxa"/>
            <w:tcBorders>
              <w:top w:val="nil"/>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843"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17"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2410"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0"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560"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2126"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17"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1"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0" w:type="dxa"/>
            <w:tcBorders>
              <w:top w:val="nil"/>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trPr>
        <w:tc>
          <w:tcPr>
            <w:tcW w:w="1277" w:type="dxa"/>
            <w:tcBorders>
              <w:top w:val="sing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843"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17"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241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56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2126"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17"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0"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trPr>
        <w:tc>
          <w:tcPr>
            <w:tcW w:w="1277" w:type="dxa"/>
            <w:tcBorders>
              <w:top w:val="nil"/>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843"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17"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2410"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0"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560"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2126"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17"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1"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0" w:type="dxa"/>
            <w:tcBorders>
              <w:top w:val="nil"/>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trPr>
        <w:tc>
          <w:tcPr>
            <w:tcW w:w="1277" w:type="dxa"/>
            <w:tcBorders>
              <w:top w:val="sing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843"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17"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241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56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2126"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17"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0"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trPr>
        <w:tc>
          <w:tcPr>
            <w:tcW w:w="1277" w:type="dxa"/>
            <w:tcBorders>
              <w:top w:val="nil"/>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843"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17"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2410"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0"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560"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2126"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17"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1"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0" w:type="dxa"/>
            <w:tcBorders>
              <w:top w:val="nil"/>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trPr>
        <w:tc>
          <w:tcPr>
            <w:tcW w:w="1277" w:type="dxa"/>
            <w:tcBorders>
              <w:top w:val="single" w:color="auto" w:sz="6" w:space="0"/>
              <w:left w:val="single" w:color="auto" w:sz="12" w:space="0"/>
              <w:bottom w:val="single" w:color="auto" w:sz="12"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843" w:type="dxa"/>
            <w:tcBorders>
              <w:top w:val="single" w:color="auto" w:sz="6" w:space="0"/>
              <w:left w:val="single" w:color="auto" w:sz="6" w:space="0"/>
              <w:bottom w:val="single" w:color="auto" w:sz="12"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17" w:type="dxa"/>
            <w:tcBorders>
              <w:top w:val="single" w:color="auto" w:sz="6" w:space="0"/>
              <w:left w:val="single" w:color="auto" w:sz="6" w:space="0"/>
              <w:bottom w:val="single" w:color="auto" w:sz="12"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2410" w:type="dxa"/>
            <w:tcBorders>
              <w:top w:val="single" w:color="auto" w:sz="6" w:space="0"/>
              <w:left w:val="single" w:color="auto" w:sz="6" w:space="0"/>
              <w:bottom w:val="single" w:color="auto" w:sz="12"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0" w:type="dxa"/>
            <w:tcBorders>
              <w:top w:val="single" w:color="auto" w:sz="6" w:space="0"/>
              <w:left w:val="single" w:color="auto" w:sz="6" w:space="0"/>
              <w:bottom w:val="single" w:color="auto" w:sz="12"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560" w:type="dxa"/>
            <w:tcBorders>
              <w:top w:val="single" w:color="auto" w:sz="6" w:space="0"/>
              <w:left w:val="single" w:color="auto" w:sz="6" w:space="0"/>
              <w:bottom w:val="single" w:color="auto" w:sz="12"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2126" w:type="dxa"/>
            <w:tcBorders>
              <w:top w:val="single" w:color="auto" w:sz="6" w:space="0"/>
              <w:left w:val="single" w:color="auto" w:sz="6" w:space="0"/>
              <w:bottom w:val="single" w:color="auto" w:sz="12"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17" w:type="dxa"/>
            <w:tcBorders>
              <w:top w:val="single" w:color="auto" w:sz="6" w:space="0"/>
              <w:left w:val="single" w:color="auto" w:sz="6" w:space="0"/>
              <w:bottom w:val="single" w:color="auto" w:sz="12"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12"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0" w:type="dxa"/>
            <w:tcBorders>
              <w:top w:val="single" w:color="auto" w:sz="6" w:space="0"/>
              <w:left w:val="single" w:color="auto" w:sz="6" w:space="0"/>
              <w:bottom w:val="single" w:color="auto" w:sz="12" w:space="0"/>
              <w:right w:val="single" w:color="auto" w:sz="12" w:space="0"/>
            </w:tcBorders>
            <w:vAlign w:val="center"/>
          </w:tcPr>
          <w:p>
            <w:pPr>
              <w:pStyle w:val="16"/>
              <w:keepNext/>
              <w:spacing w:after="0" w:line="440" w:lineRule="exact"/>
              <w:ind w:left="63" w:right="63"/>
              <w:rPr>
                <w:rFonts w:ascii="宋体" w:hAnsi="宋体"/>
                <w:color w:val="000000"/>
                <w:szCs w:val="21"/>
              </w:rPr>
            </w:pPr>
          </w:p>
        </w:tc>
      </w:tr>
    </w:tbl>
    <w:p>
      <w:pPr>
        <w:spacing w:line="440" w:lineRule="exact"/>
        <w:rPr>
          <w:rFonts w:ascii="宋体" w:hAnsi="宋体"/>
          <w:b/>
          <w:color w:val="000000"/>
          <w:szCs w:val="21"/>
        </w:rPr>
        <w:sectPr>
          <w:pgSz w:w="16838" w:h="11906" w:orient="landscape"/>
          <w:pgMar w:top="1554" w:right="1418" w:bottom="1531" w:left="1418" w:header="851" w:footer="992" w:gutter="0"/>
          <w:cols w:space="720" w:num="1"/>
          <w:titlePg/>
          <w:docGrid w:type="linesAndChars" w:linePitch="312" w:charSpace="0"/>
        </w:sectPr>
      </w:pPr>
    </w:p>
    <w:p>
      <w:pPr>
        <w:spacing w:line="440" w:lineRule="exact"/>
        <w:rPr>
          <w:rFonts w:ascii="宋体" w:hAnsi="宋体"/>
          <w:color w:val="000000"/>
          <w:szCs w:val="21"/>
        </w:rPr>
      </w:pPr>
      <w:r>
        <w:rPr>
          <w:rFonts w:hint="eastAsia" w:ascii="宋体" w:hAnsi="宋体"/>
          <w:color w:val="000000"/>
          <w:szCs w:val="21"/>
        </w:rPr>
        <w:t>附</w:t>
      </w:r>
      <w:bookmarkStart w:id="1231" w:name="_Toc267261692"/>
      <w:bookmarkStart w:id="1232" w:name="_Toc296891265"/>
      <w:bookmarkStart w:id="1233" w:name="_Toc296944564"/>
      <w:bookmarkStart w:id="1234" w:name="_Toc296346726"/>
      <w:bookmarkStart w:id="1235" w:name="_Toc296891053"/>
      <w:bookmarkStart w:id="1236" w:name="_Toc296503225"/>
      <w:bookmarkStart w:id="1237" w:name="_Toc296347224"/>
      <w:r>
        <w:rPr>
          <w:rFonts w:hint="eastAsia" w:ascii="宋体" w:hAnsi="宋体"/>
          <w:color w:val="000000"/>
          <w:szCs w:val="21"/>
        </w:rPr>
        <w:t>件</w:t>
      </w:r>
      <w:r>
        <w:rPr>
          <w:rFonts w:ascii="宋体" w:hAnsi="宋体"/>
          <w:color w:val="000000"/>
          <w:szCs w:val="21"/>
        </w:rPr>
        <w:t>2</w:t>
      </w:r>
      <w:r>
        <w:rPr>
          <w:rFonts w:hint="eastAsia" w:ascii="宋体" w:hAnsi="宋体"/>
          <w:color w:val="000000"/>
          <w:szCs w:val="21"/>
        </w:rPr>
        <w:t>：</w:t>
      </w:r>
    </w:p>
    <w:bookmarkEnd w:id="1231"/>
    <w:bookmarkEnd w:id="1232"/>
    <w:bookmarkEnd w:id="1233"/>
    <w:bookmarkEnd w:id="1234"/>
    <w:bookmarkEnd w:id="1235"/>
    <w:bookmarkEnd w:id="1236"/>
    <w:bookmarkEnd w:id="1237"/>
    <w:p>
      <w:pPr>
        <w:spacing w:before="120" w:beforeLines="50" w:after="120" w:afterLines="50" w:line="440" w:lineRule="exact"/>
        <w:jc w:val="center"/>
        <w:rPr>
          <w:rFonts w:ascii="宋体" w:hAnsi="宋体"/>
          <w:b/>
          <w:color w:val="000000"/>
          <w:sz w:val="28"/>
          <w:szCs w:val="28"/>
        </w:rPr>
      </w:pPr>
      <w:r>
        <w:rPr>
          <w:rFonts w:hint="eastAsia" w:ascii="宋体" w:hAnsi="宋体"/>
          <w:b/>
          <w:color w:val="000000"/>
          <w:sz w:val="28"/>
          <w:szCs w:val="28"/>
        </w:rPr>
        <w:t>发包人供应材料设备一览表</w:t>
      </w:r>
    </w:p>
    <w:tbl>
      <w:tblPr>
        <w:tblStyle w:val="36"/>
        <w:tblW w:w="1070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51"/>
        <w:gridCol w:w="1276"/>
        <w:gridCol w:w="1418"/>
        <w:gridCol w:w="940"/>
        <w:gridCol w:w="851"/>
        <w:gridCol w:w="1044"/>
        <w:gridCol w:w="992"/>
        <w:gridCol w:w="851"/>
        <w:gridCol w:w="1487"/>
        <w:gridCol w:w="99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851" w:type="dxa"/>
            <w:tcBorders>
              <w:top w:val="single" w:color="auto" w:sz="12" w:space="0"/>
              <w:left w:val="single" w:color="auto" w:sz="12" w:space="0"/>
              <w:bottom w:val="doub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序号</w:t>
            </w:r>
          </w:p>
        </w:tc>
        <w:tc>
          <w:tcPr>
            <w:tcW w:w="1276" w:type="dxa"/>
            <w:tcBorders>
              <w:top w:val="single" w:color="auto" w:sz="12" w:space="0"/>
              <w:left w:val="single" w:color="auto" w:sz="6" w:space="0"/>
              <w:bottom w:val="doub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材料、</w:t>
            </w:r>
          </w:p>
          <w:p>
            <w:pPr>
              <w:pStyle w:val="16"/>
              <w:keepNext/>
              <w:spacing w:after="0" w:line="440" w:lineRule="exact"/>
              <w:ind w:right="63"/>
              <w:rPr>
                <w:rFonts w:ascii="宋体" w:hAnsi="宋体"/>
                <w:color w:val="000000"/>
                <w:szCs w:val="21"/>
              </w:rPr>
            </w:pPr>
            <w:r>
              <w:rPr>
                <w:rFonts w:hint="eastAsia" w:ascii="宋体" w:hAnsi="宋体"/>
                <w:color w:val="000000"/>
                <w:szCs w:val="21"/>
              </w:rPr>
              <w:t>设备品种</w:t>
            </w:r>
          </w:p>
        </w:tc>
        <w:tc>
          <w:tcPr>
            <w:tcW w:w="1418" w:type="dxa"/>
            <w:tcBorders>
              <w:top w:val="single" w:color="auto" w:sz="12" w:space="0"/>
              <w:left w:val="single" w:color="auto" w:sz="6" w:space="0"/>
              <w:bottom w:val="doub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规格型号</w:t>
            </w:r>
          </w:p>
        </w:tc>
        <w:tc>
          <w:tcPr>
            <w:tcW w:w="940" w:type="dxa"/>
            <w:tcBorders>
              <w:top w:val="single" w:color="auto" w:sz="12" w:space="0"/>
              <w:left w:val="single" w:color="auto" w:sz="6" w:space="0"/>
              <w:bottom w:val="doub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单位</w:t>
            </w:r>
          </w:p>
        </w:tc>
        <w:tc>
          <w:tcPr>
            <w:tcW w:w="851" w:type="dxa"/>
            <w:tcBorders>
              <w:top w:val="single" w:color="auto" w:sz="12" w:space="0"/>
              <w:left w:val="single" w:color="auto" w:sz="6" w:space="0"/>
              <w:bottom w:val="doub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数量</w:t>
            </w:r>
          </w:p>
        </w:tc>
        <w:tc>
          <w:tcPr>
            <w:tcW w:w="1044" w:type="dxa"/>
            <w:tcBorders>
              <w:top w:val="single" w:color="auto" w:sz="12" w:space="0"/>
              <w:left w:val="single" w:color="auto" w:sz="6" w:space="0"/>
              <w:bottom w:val="doub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单价（元）</w:t>
            </w:r>
          </w:p>
        </w:tc>
        <w:tc>
          <w:tcPr>
            <w:tcW w:w="992" w:type="dxa"/>
            <w:tcBorders>
              <w:top w:val="single" w:color="auto" w:sz="12" w:space="0"/>
              <w:left w:val="single" w:color="auto" w:sz="6" w:space="0"/>
              <w:bottom w:val="doub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质量等级</w:t>
            </w:r>
          </w:p>
        </w:tc>
        <w:tc>
          <w:tcPr>
            <w:tcW w:w="851" w:type="dxa"/>
            <w:tcBorders>
              <w:top w:val="single" w:color="auto" w:sz="12" w:space="0"/>
              <w:left w:val="single" w:color="auto" w:sz="6" w:space="0"/>
              <w:bottom w:val="doub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供应时间</w:t>
            </w:r>
          </w:p>
        </w:tc>
        <w:tc>
          <w:tcPr>
            <w:tcW w:w="1487" w:type="dxa"/>
            <w:tcBorders>
              <w:top w:val="single" w:color="auto" w:sz="12" w:space="0"/>
              <w:left w:val="single" w:color="auto" w:sz="6" w:space="0"/>
              <w:bottom w:val="doub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送达地点</w:t>
            </w:r>
          </w:p>
        </w:tc>
        <w:tc>
          <w:tcPr>
            <w:tcW w:w="992" w:type="dxa"/>
            <w:tcBorders>
              <w:top w:val="single" w:color="auto" w:sz="12" w:space="0"/>
              <w:left w:val="single" w:color="auto" w:sz="6" w:space="0"/>
              <w:bottom w:val="doub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851" w:type="dxa"/>
            <w:tcBorders>
              <w:top w:val="doub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276" w:type="dxa"/>
            <w:tcBorders>
              <w:top w:val="doub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18" w:type="dxa"/>
            <w:tcBorders>
              <w:top w:val="doub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940" w:type="dxa"/>
            <w:tcBorders>
              <w:top w:val="doub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1" w:type="dxa"/>
            <w:tcBorders>
              <w:top w:val="doub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044" w:type="dxa"/>
            <w:tcBorders>
              <w:top w:val="doub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992" w:type="dxa"/>
            <w:tcBorders>
              <w:top w:val="doub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1" w:type="dxa"/>
            <w:tcBorders>
              <w:top w:val="doub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87" w:type="dxa"/>
            <w:tcBorders>
              <w:top w:val="doub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992" w:type="dxa"/>
            <w:tcBorders>
              <w:top w:val="doub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851" w:type="dxa"/>
            <w:tcBorders>
              <w:top w:val="nil"/>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276"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18"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940"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1"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044"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992"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1"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87"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992" w:type="dxa"/>
            <w:tcBorders>
              <w:top w:val="nil"/>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851" w:type="dxa"/>
            <w:tcBorders>
              <w:top w:val="sing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276"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94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04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992"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87"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992"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851" w:type="dxa"/>
            <w:tcBorders>
              <w:top w:val="sing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276"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94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04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992"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87"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992"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851" w:type="dxa"/>
            <w:tcBorders>
              <w:top w:val="sing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276"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94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04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992"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87"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992"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851" w:type="dxa"/>
            <w:tcBorders>
              <w:top w:val="sing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276"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94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04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992"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87"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992"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851" w:type="dxa"/>
            <w:tcBorders>
              <w:top w:val="sing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276"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94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04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992"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87"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992"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851" w:type="dxa"/>
            <w:tcBorders>
              <w:top w:val="sing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276"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94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04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992"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87"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992"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851" w:type="dxa"/>
            <w:tcBorders>
              <w:top w:val="single" w:color="auto" w:sz="6" w:space="0"/>
              <w:left w:val="single" w:color="auto" w:sz="12" w:space="0"/>
              <w:bottom w:val="single" w:color="auto" w:sz="6" w:space="0"/>
              <w:right w:val="single" w:color="auto" w:sz="6" w:space="0"/>
            </w:tcBorders>
            <w:vAlign w:val="center"/>
          </w:tcPr>
          <w:p>
            <w:pPr>
              <w:jc w:val="center"/>
              <w:rPr>
                <w:rFonts w:ascii="宋体" w:hAnsi="宋体"/>
                <w:color w:val="000000"/>
                <w:szCs w:val="21"/>
              </w:rPr>
            </w:pP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olor w:val="000000"/>
                <w:szCs w:val="21"/>
              </w:rPr>
            </w:pPr>
          </w:p>
        </w:tc>
        <w:tc>
          <w:tcPr>
            <w:tcW w:w="94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olor w:val="000000"/>
                <w:szCs w:val="21"/>
              </w:rPr>
            </w:pPr>
          </w:p>
        </w:tc>
        <w:tc>
          <w:tcPr>
            <w:tcW w:w="104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olor w:val="000000"/>
                <w:szCs w:val="21"/>
              </w:rPr>
            </w:pP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olor w:val="000000"/>
                <w:szCs w:val="21"/>
              </w:rPr>
            </w:pPr>
          </w:p>
        </w:tc>
        <w:tc>
          <w:tcPr>
            <w:tcW w:w="148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olor w:val="000000"/>
                <w:szCs w:val="21"/>
              </w:rPr>
            </w:pPr>
          </w:p>
        </w:tc>
        <w:tc>
          <w:tcPr>
            <w:tcW w:w="992" w:type="dxa"/>
            <w:tcBorders>
              <w:top w:val="single" w:color="auto" w:sz="6" w:space="0"/>
              <w:left w:val="single" w:color="auto" w:sz="6" w:space="0"/>
              <w:bottom w:val="single" w:color="auto" w:sz="6" w:space="0"/>
              <w:right w:val="single" w:color="auto" w:sz="12" w:space="0"/>
            </w:tcBorders>
            <w:vAlign w:val="center"/>
          </w:tcPr>
          <w:p>
            <w:pPr>
              <w:jc w:val="center"/>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851" w:type="dxa"/>
            <w:tcBorders>
              <w:top w:val="sing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276"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94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04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992"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87"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992"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851" w:type="dxa"/>
            <w:tcBorders>
              <w:top w:val="single" w:color="auto" w:sz="6" w:space="0"/>
              <w:left w:val="single" w:color="auto" w:sz="12" w:space="0"/>
              <w:bottom w:val="single" w:color="auto" w:sz="6" w:space="0"/>
              <w:right w:val="single" w:color="auto" w:sz="6" w:space="0"/>
            </w:tcBorders>
            <w:vAlign w:val="center"/>
          </w:tcPr>
          <w:p>
            <w:pPr>
              <w:jc w:val="center"/>
              <w:rPr>
                <w:rFonts w:ascii="宋体" w:hAnsi="宋体"/>
                <w:color w:val="000000"/>
                <w:szCs w:val="21"/>
              </w:rPr>
            </w:pP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olor w:val="000000"/>
                <w:szCs w:val="21"/>
              </w:rPr>
            </w:pPr>
          </w:p>
        </w:tc>
        <w:tc>
          <w:tcPr>
            <w:tcW w:w="94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olor w:val="000000"/>
                <w:szCs w:val="21"/>
              </w:rPr>
            </w:pPr>
          </w:p>
        </w:tc>
        <w:tc>
          <w:tcPr>
            <w:tcW w:w="104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olor w:val="000000"/>
                <w:szCs w:val="21"/>
              </w:rPr>
            </w:pP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olor w:val="000000"/>
                <w:szCs w:val="21"/>
              </w:rPr>
            </w:pPr>
          </w:p>
        </w:tc>
        <w:tc>
          <w:tcPr>
            <w:tcW w:w="148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olor w:val="000000"/>
                <w:szCs w:val="21"/>
              </w:rPr>
            </w:pPr>
          </w:p>
        </w:tc>
        <w:tc>
          <w:tcPr>
            <w:tcW w:w="992" w:type="dxa"/>
            <w:tcBorders>
              <w:top w:val="single" w:color="auto" w:sz="6" w:space="0"/>
              <w:left w:val="single" w:color="auto" w:sz="6" w:space="0"/>
              <w:bottom w:val="single" w:color="auto" w:sz="6" w:space="0"/>
              <w:right w:val="single" w:color="auto" w:sz="12" w:space="0"/>
            </w:tcBorders>
            <w:vAlign w:val="center"/>
          </w:tcPr>
          <w:p>
            <w:pPr>
              <w:jc w:val="center"/>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851" w:type="dxa"/>
            <w:tcBorders>
              <w:top w:val="single" w:color="auto" w:sz="6" w:space="0"/>
              <w:left w:val="single" w:color="auto" w:sz="12" w:space="0"/>
              <w:bottom w:val="single" w:color="auto" w:sz="6" w:space="0"/>
              <w:right w:val="single" w:color="auto" w:sz="6" w:space="0"/>
            </w:tcBorders>
            <w:vAlign w:val="center"/>
          </w:tcPr>
          <w:p>
            <w:pPr>
              <w:jc w:val="center"/>
              <w:rPr>
                <w:rFonts w:ascii="宋体" w:hAnsi="宋体"/>
                <w:color w:val="000000"/>
                <w:szCs w:val="21"/>
              </w:rPr>
            </w:pPr>
          </w:p>
        </w:tc>
        <w:tc>
          <w:tcPr>
            <w:tcW w:w="1276"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olor w:val="000000"/>
                <w:szCs w:val="21"/>
              </w:rPr>
            </w:pPr>
          </w:p>
        </w:tc>
        <w:tc>
          <w:tcPr>
            <w:tcW w:w="94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olor w:val="000000"/>
                <w:szCs w:val="21"/>
              </w:rPr>
            </w:pPr>
          </w:p>
        </w:tc>
        <w:tc>
          <w:tcPr>
            <w:tcW w:w="104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olor w:val="000000"/>
                <w:szCs w:val="21"/>
              </w:rPr>
            </w:pP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olor w:val="000000"/>
                <w:szCs w:val="21"/>
              </w:rPr>
            </w:pPr>
          </w:p>
        </w:tc>
        <w:tc>
          <w:tcPr>
            <w:tcW w:w="148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olor w:val="000000"/>
                <w:szCs w:val="21"/>
              </w:rPr>
            </w:pPr>
          </w:p>
        </w:tc>
        <w:tc>
          <w:tcPr>
            <w:tcW w:w="992" w:type="dxa"/>
            <w:tcBorders>
              <w:top w:val="single" w:color="auto" w:sz="6" w:space="0"/>
              <w:left w:val="single" w:color="auto" w:sz="6" w:space="0"/>
              <w:bottom w:val="single" w:color="auto" w:sz="6" w:space="0"/>
              <w:right w:val="single" w:color="auto" w:sz="12" w:space="0"/>
            </w:tcBorders>
            <w:vAlign w:val="center"/>
          </w:tcPr>
          <w:p>
            <w:pPr>
              <w:jc w:val="center"/>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851" w:type="dxa"/>
            <w:tcBorders>
              <w:top w:val="single" w:color="auto" w:sz="6" w:space="0"/>
              <w:left w:val="single" w:color="auto" w:sz="12" w:space="0"/>
              <w:bottom w:val="single" w:color="auto" w:sz="12" w:space="0"/>
              <w:right w:val="single" w:color="auto" w:sz="6" w:space="0"/>
            </w:tcBorders>
            <w:vAlign w:val="center"/>
          </w:tcPr>
          <w:p>
            <w:pPr>
              <w:jc w:val="center"/>
              <w:rPr>
                <w:rFonts w:ascii="宋体" w:hAnsi="宋体"/>
                <w:color w:val="000000"/>
                <w:szCs w:val="21"/>
              </w:rPr>
            </w:pPr>
          </w:p>
        </w:tc>
        <w:tc>
          <w:tcPr>
            <w:tcW w:w="1276" w:type="dxa"/>
            <w:tcBorders>
              <w:top w:val="single" w:color="auto" w:sz="6" w:space="0"/>
              <w:left w:val="single" w:color="auto" w:sz="6" w:space="0"/>
              <w:bottom w:val="single" w:color="auto" w:sz="12" w:space="0"/>
              <w:right w:val="single" w:color="auto" w:sz="6" w:space="0"/>
            </w:tcBorders>
            <w:vAlign w:val="center"/>
          </w:tcPr>
          <w:p>
            <w:pPr>
              <w:jc w:val="center"/>
              <w:rPr>
                <w:rFonts w:ascii="宋体" w:hAnsi="宋体"/>
                <w:color w:val="000000"/>
                <w:szCs w:val="21"/>
              </w:rPr>
            </w:pPr>
          </w:p>
        </w:tc>
        <w:tc>
          <w:tcPr>
            <w:tcW w:w="1418" w:type="dxa"/>
            <w:tcBorders>
              <w:top w:val="single" w:color="auto" w:sz="6" w:space="0"/>
              <w:left w:val="single" w:color="auto" w:sz="6" w:space="0"/>
              <w:bottom w:val="single" w:color="auto" w:sz="12" w:space="0"/>
              <w:right w:val="single" w:color="auto" w:sz="6" w:space="0"/>
            </w:tcBorders>
            <w:vAlign w:val="center"/>
          </w:tcPr>
          <w:p>
            <w:pPr>
              <w:jc w:val="center"/>
              <w:rPr>
                <w:rFonts w:ascii="宋体" w:hAnsi="宋体"/>
                <w:color w:val="000000"/>
                <w:szCs w:val="21"/>
              </w:rPr>
            </w:pPr>
          </w:p>
        </w:tc>
        <w:tc>
          <w:tcPr>
            <w:tcW w:w="940" w:type="dxa"/>
            <w:tcBorders>
              <w:top w:val="single" w:color="auto" w:sz="6" w:space="0"/>
              <w:left w:val="single" w:color="auto" w:sz="6" w:space="0"/>
              <w:bottom w:val="single" w:color="auto" w:sz="12" w:space="0"/>
              <w:right w:val="single" w:color="auto" w:sz="6" w:space="0"/>
            </w:tcBorders>
            <w:vAlign w:val="center"/>
          </w:tcPr>
          <w:p>
            <w:pPr>
              <w:jc w:val="center"/>
              <w:rPr>
                <w:rFonts w:ascii="宋体" w:hAnsi="宋体"/>
                <w:color w:val="000000"/>
                <w:szCs w:val="21"/>
              </w:rPr>
            </w:pPr>
          </w:p>
        </w:tc>
        <w:tc>
          <w:tcPr>
            <w:tcW w:w="851" w:type="dxa"/>
            <w:tcBorders>
              <w:top w:val="single" w:color="auto" w:sz="6" w:space="0"/>
              <w:left w:val="single" w:color="auto" w:sz="6" w:space="0"/>
              <w:bottom w:val="single" w:color="auto" w:sz="12" w:space="0"/>
              <w:right w:val="single" w:color="auto" w:sz="6" w:space="0"/>
            </w:tcBorders>
            <w:vAlign w:val="center"/>
          </w:tcPr>
          <w:p>
            <w:pPr>
              <w:jc w:val="center"/>
              <w:rPr>
                <w:rFonts w:ascii="宋体" w:hAnsi="宋体"/>
                <w:color w:val="000000"/>
                <w:szCs w:val="21"/>
              </w:rPr>
            </w:pPr>
          </w:p>
        </w:tc>
        <w:tc>
          <w:tcPr>
            <w:tcW w:w="1044" w:type="dxa"/>
            <w:tcBorders>
              <w:top w:val="single" w:color="auto" w:sz="6" w:space="0"/>
              <w:left w:val="single" w:color="auto" w:sz="6" w:space="0"/>
              <w:bottom w:val="single" w:color="auto" w:sz="12" w:space="0"/>
              <w:right w:val="single" w:color="auto" w:sz="6" w:space="0"/>
            </w:tcBorders>
            <w:vAlign w:val="center"/>
          </w:tcPr>
          <w:p>
            <w:pPr>
              <w:jc w:val="center"/>
              <w:rPr>
                <w:rFonts w:ascii="宋体" w:hAnsi="宋体"/>
                <w:color w:val="000000"/>
                <w:szCs w:val="21"/>
              </w:rPr>
            </w:pPr>
          </w:p>
        </w:tc>
        <w:tc>
          <w:tcPr>
            <w:tcW w:w="992" w:type="dxa"/>
            <w:tcBorders>
              <w:top w:val="single" w:color="auto" w:sz="6" w:space="0"/>
              <w:left w:val="single" w:color="auto" w:sz="6" w:space="0"/>
              <w:bottom w:val="single" w:color="auto" w:sz="12" w:space="0"/>
              <w:right w:val="single" w:color="auto" w:sz="6" w:space="0"/>
            </w:tcBorders>
            <w:vAlign w:val="center"/>
          </w:tcPr>
          <w:p>
            <w:pPr>
              <w:jc w:val="center"/>
              <w:rPr>
                <w:rFonts w:ascii="宋体" w:hAnsi="宋体"/>
                <w:color w:val="000000"/>
                <w:szCs w:val="21"/>
              </w:rPr>
            </w:pPr>
          </w:p>
        </w:tc>
        <w:tc>
          <w:tcPr>
            <w:tcW w:w="851" w:type="dxa"/>
            <w:tcBorders>
              <w:top w:val="single" w:color="auto" w:sz="6" w:space="0"/>
              <w:left w:val="single" w:color="auto" w:sz="6" w:space="0"/>
              <w:bottom w:val="single" w:color="auto" w:sz="12" w:space="0"/>
              <w:right w:val="single" w:color="auto" w:sz="6" w:space="0"/>
            </w:tcBorders>
            <w:vAlign w:val="center"/>
          </w:tcPr>
          <w:p>
            <w:pPr>
              <w:jc w:val="center"/>
              <w:rPr>
                <w:rFonts w:ascii="宋体" w:hAnsi="宋体"/>
                <w:color w:val="000000"/>
                <w:szCs w:val="21"/>
              </w:rPr>
            </w:pPr>
          </w:p>
        </w:tc>
        <w:tc>
          <w:tcPr>
            <w:tcW w:w="1487" w:type="dxa"/>
            <w:tcBorders>
              <w:top w:val="single" w:color="auto" w:sz="6" w:space="0"/>
              <w:left w:val="single" w:color="auto" w:sz="6" w:space="0"/>
              <w:bottom w:val="single" w:color="auto" w:sz="12" w:space="0"/>
              <w:right w:val="single" w:color="auto" w:sz="6" w:space="0"/>
            </w:tcBorders>
            <w:vAlign w:val="center"/>
          </w:tcPr>
          <w:p>
            <w:pPr>
              <w:jc w:val="center"/>
              <w:rPr>
                <w:rFonts w:ascii="宋体" w:hAnsi="宋体"/>
                <w:color w:val="000000"/>
                <w:szCs w:val="21"/>
              </w:rPr>
            </w:pPr>
          </w:p>
        </w:tc>
        <w:tc>
          <w:tcPr>
            <w:tcW w:w="992" w:type="dxa"/>
            <w:tcBorders>
              <w:top w:val="single" w:color="auto" w:sz="6" w:space="0"/>
              <w:left w:val="single" w:color="auto" w:sz="6" w:space="0"/>
              <w:bottom w:val="single" w:color="auto" w:sz="12" w:space="0"/>
              <w:right w:val="single" w:color="auto" w:sz="12" w:space="0"/>
            </w:tcBorders>
            <w:vAlign w:val="center"/>
          </w:tcPr>
          <w:p>
            <w:pPr>
              <w:jc w:val="center"/>
              <w:rPr>
                <w:rFonts w:ascii="宋体" w:hAnsi="宋体"/>
                <w:color w:val="000000"/>
                <w:szCs w:val="21"/>
              </w:rPr>
            </w:pPr>
          </w:p>
        </w:tc>
      </w:tr>
    </w:tbl>
    <w:p>
      <w:pPr>
        <w:spacing w:line="440" w:lineRule="exact"/>
        <w:rPr>
          <w:rFonts w:ascii="宋体" w:hAnsi="宋体"/>
          <w:color w:val="000000"/>
          <w:szCs w:val="21"/>
        </w:rPr>
      </w:pPr>
      <w:r>
        <w:rPr>
          <w:rFonts w:ascii="宋体" w:hAnsi="宋体"/>
          <w:color w:val="000000"/>
          <w:szCs w:val="21"/>
        </w:rPr>
        <w:br w:type="page"/>
      </w:r>
      <w:r>
        <w:rPr>
          <w:rFonts w:hint="eastAsia" w:ascii="宋体" w:hAnsi="宋体"/>
          <w:color w:val="000000"/>
          <w:szCs w:val="21"/>
        </w:rPr>
        <w:t>附</w:t>
      </w:r>
      <w:bookmarkStart w:id="1238" w:name="_Toc296891266"/>
      <w:bookmarkStart w:id="1239" w:name="_Toc296944565"/>
      <w:bookmarkStart w:id="1240" w:name="_Toc296347225"/>
      <w:bookmarkStart w:id="1241" w:name="_Toc267261693"/>
      <w:bookmarkStart w:id="1242" w:name="_Toc296891054"/>
      <w:bookmarkStart w:id="1243" w:name="_Toc296346727"/>
      <w:bookmarkStart w:id="1244" w:name="_Toc296503226"/>
      <w:r>
        <w:rPr>
          <w:rFonts w:hint="eastAsia" w:ascii="宋体" w:hAnsi="宋体"/>
          <w:color w:val="000000"/>
          <w:szCs w:val="21"/>
        </w:rPr>
        <w:t>件</w:t>
      </w:r>
      <w:r>
        <w:rPr>
          <w:rFonts w:ascii="宋体" w:hAnsi="宋体"/>
          <w:color w:val="000000"/>
          <w:szCs w:val="21"/>
        </w:rPr>
        <w:t>3</w:t>
      </w:r>
      <w:r>
        <w:rPr>
          <w:rFonts w:hint="eastAsia" w:ascii="宋体" w:hAnsi="宋体"/>
          <w:color w:val="000000"/>
          <w:szCs w:val="21"/>
        </w:rPr>
        <w:t>：</w:t>
      </w:r>
      <w:bookmarkEnd w:id="1238"/>
      <w:bookmarkEnd w:id="1239"/>
      <w:bookmarkEnd w:id="1240"/>
      <w:bookmarkEnd w:id="1241"/>
      <w:bookmarkEnd w:id="1242"/>
      <w:bookmarkEnd w:id="1243"/>
      <w:bookmarkEnd w:id="1244"/>
    </w:p>
    <w:p>
      <w:pPr>
        <w:spacing w:before="120" w:beforeLines="50" w:after="120" w:afterLines="50" w:line="440" w:lineRule="exact"/>
        <w:jc w:val="center"/>
        <w:rPr>
          <w:rFonts w:ascii="宋体" w:hAnsi="宋体"/>
          <w:b/>
          <w:color w:val="000000"/>
          <w:sz w:val="28"/>
          <w:szCs w:val="28"/>
        </w:rPr>
      </w:pPr>
      <w:r>
        <w:rPr>
          <w:rFonts w:hint="eastAsia" w:ascii="宋体" w:hAnsi="宋体"/>
          <w:b/>
          <w:color w:val="000000"/>
          <w:sz w:val="28"/>
          <w:szCs w:val="28"/>
        </w:rPr>
        <w:t>工程质量保修书</w:t>
      </w:r>
    </w:p>
    <w:p>
      <w:pPr>
        <w:spacing w:line="440" w:lineRule="exact"/>
        <w:ind w:firstLine="420" w:firstLineChars="200"/>
        <w:rPr>
          <w:rFonts w:ascii="宋体" w:hAnsi="宋体"/>
          <w:color w:val="000000"/>
          <w:szCs w:val="21"/>
        </w:rPr>
      </w:pPr>
      <w:r>
        <w:rPr>
          <w:rFonts w:hint="eastAsia" w:ascii="宋体" w:hAnsi="宋体"/>
          <w:color w:val="000000"/>
          <w:szCs w:val="21"/>
        </w:rPr>
        <w:t>发包人（全称）：</w:t>
      </w:r>
    </w:p>
    <w:p>
      <w:pPr>
        <w:spacing w:line="440" w:lineRule="exact"/>
        <w:rPr>
          <w:rFonts w:ascii="宋体" w:hAnsi="宋体"/>
          <w:color w:val="000000"/>
          <w:szCs w:val="21"/>
        </w:rPr>
      </w:pPr>
      <w:r>
        <w:rPr>
          <w:rFonts w:hint="eastAsia" w:ascii="宋体" w:hAnsi="宋体"/>
          <w:color w:val="000000"/>
          <w:szCs w:val="21"/>
        </w:rPr>
        <w:t>　　承包人（全称）：</w:t>
      </w:r>
    </w:p>
    <w:p>
      <w:pPr>
        <w:spacing w:line="440" w:lineRule="exact"/>
        <w:rPr>
          <w:rFonts w:ascii="宋体" w:hAnsi="宋体"/>
          <w:color w:val="000000"/>
          <w:szCs w:val="21"/>
        </w:rPr>
      </w:pPr>
    </w:p>
    <w:p>
      <w:pPr>
        <w:spacing w:line="360" w:lineRule="auto"/>
        <w:rPr>
          <w:rFonts w:ascii="宋体" w:hAnsi="宋体"/>
          <w:color w:val="000000"/>
          <w:szCs w:val="21"/>
        </w:rPr>
      </w:pPr>
      <w:r>
        <w:rPr>
          <w:rFonts w:hint="eastAsia" w:ascii="宋体" w:hAnsi="宋体"/>
          <w:color w:val="000000"/>
          <w:szCs w:val="21"/>
        </w:rPr>
        <w:t>　　发包人和承包人根据《中华人民共和国建筑法》和《建设工程质量管理条例》，经协商一致就（工程全称）签订工程质量保修书。</w:t>
      </w:r>
    </w:p>
    <w:p>
      <w:pPr>
        <w:spacing w:line="360" w:lineRule="auto"/>
        <w:rPr>
          <w:rFonts w:ascii="宋体" w:hAnsi="宋体"/>
          <w:color w:val="000000"/>
          <w:szCs w:val="21"/>
        </w:rPr>
      </w:pPr>
      <w:r>
        <w:rPr>
          <w:rFonts w:hint="eastAsia" w:ascii="宋体" w:hAnsi="宋体"/>
          <w:color w:val="000000"/>
          <w:szCs w:val="21"/>
        </w:rPr>
        <w:t>　　一、工程质量保修范围和内容</w:t>
      </w:r>
    </w:p>
    <w:p>
      <w:pPr>
        <w:spacing w:line="360" w:lineRule="auto"/>
        <w:rPr>
          <w:rFonts w:ascii="宋体" w:hAnsi="宋体"/>
          <w:color w:val="000000"/>
          <w:szCs w:val="21"/>
        </w:rPr>
      </w:pPr>
      <w:r>
        <w:rPr>
          <w:rFonts w:hint="eastAsia" w:ascii="宋体" w:hAnsi="宋体"/>
          <w:color w:val="000000"/>
          <w:szCs w:val="21"/>
        </w:rPr>
        <w:t>　　承包人在质量保修期内，按照有关法律规定和合同约定，承担工程质量保修责任。</w:t>
      </w:r>
    </w:p>
    <w:p>
      <w:pPr>
        <w:spacing w:line="360" w:lineRule="auto"/>
        <w:rPr>
          <w:rFonts w:ascii="宋体" w:hAnsi="宋体"/>
          <w:color w:val="000000"/>
          <w:szCs w:val="21"/>
        </w:rPr>
      </w:pPr>
      <w:r>
        <w:rPr>
          <w:rFonts w:hint="eastAsia" w:ascii="宋体" w:hAnsi="宋体"/>
          <w:color w:val="000000"/>
          <w:szCs w:val="21"/>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pPr>
        <w:spacing w:line="360" w:lineRule="auto"/>
        <w:rPr>
          <w:rFonts w:ascii="宋体" w:hAnsi="宋体"/>
          <w:color w:val="000000"/>
          <w:szCs w:val="21"/>
        </w:rPr>
      </w:pPr>
      <w:r>
        <w:rPr>
          <w:rFonts w:hint="eastAsia" w:ascii="宋体" w:hAnsi="宋体"/>
          <w:color w:val="000000"/>
          <w:szCs w:val="21"/>
        </w:rPr>
        <w:t>　　</w:t>
      </w:r>
    </w:p>
    <w:p>
      <w:pPr>
        <w:spacing w:line="360" w:lineRule="auto"/>
        <w:rPr>
          <w:rFonts w:ascii="宋体" w:hAnsi="宋体"/>
          <w:color w:val="000000"/>
          <w:szCs w:val="21"/>
        </w:rPr>
      </w:pPr>
      <w:r>
        <w:rPr>
          <w:rFonts w:hint="eastAsia" w:ascii="宋体" w:hAnsi="宋体"/>
          <w:b/>
          <w:color w:val="000000"/>
          <w:szCs w:val="21"/>
        </w:rPr>
        <w:t>　　</w:t>
      </w:r>
      <w:r>
        <w:rPr>
          <w:rFonts w:hint="eastAsia" w:ascii="宋体" w:hAnsi="宋体"/>
          <w:color w:val="000000"/>
          <w:szCs w:val="21"/>
        </w:rPr>
        <w:t>二、质量保修期</w:t>
      </w:r>
    </w:p>
    <w:p>
      <w:pPr>
        <w:spacing w:line="360" w:lineRule="auto"/>
        <w:ind w:firstLine="420" w:firstLineChars="200"/>
        <w:rPr>
          <w:rFonts w:ascii="宋体" w:hAnsi="宋体"/>
          <w:color w:val="000000"/>
          <w:szCs w:val="21"/>
        </w:rPr>
      </w:pPr>
      <w:r>
        <w:rPr>
          <w:rFonts w:hint="eastAsia" w:ascii="宋体" w:hAnsi="宋体"/>
          <w:color w:val="000000"/>
          <w:szCs w:val="21"/>
        </w:rPr>
        <w:t>根据《建设工程质量管理条例》及有关规定，工程的质量保修期如下：</w:t>
      </w:r>
    </w:p>
    <w:p>
      <w:pPr>
        <w:ind w:firstLine="420" w:firstLineChars="200"/>
        <w:rPr>
          <w:rFonts w:ascii="宋体" w:hAnsi="宋体"/>
          <w:color w:val="000000"/>
          <w:szCs w:val="21"/>
        </w:rPr>
      </w:pPr>
      <w:r>
        <w:rPr>
          <w:rFonts w:ascii="宋体" w:hAnsi="宋体"/>
          <w:color w:val="000000"/>
          <w:szCs w:val="21"/>
        </w:rPr>
        <w:t>1</w:t>
      </w:r>
      <w:r>
        <w:rPr>
          <w:rFonts w:hint="eastAsia" w:ascii="宋体" w:hAnsi="宋体"/>
          <w:color w:val="000000"/>
          <w:szCs w:val="21"/>
        </w:rPr>
        <w:t>．地基基础工程和主体结构工程为设计文件规定的工程合理使用年限；</w:t>
      </w:r>
    </w:p>
    <w:p>
      <w:pPr>
        <w:spacing w:line="360" w:lineRule="auto"/>
        <w:ind w:firstLine="420" w:firstLineChars="200"/>
        <w:rPr>
          <w:rFonts w:ascii="宋体" w:hAnsi="宋体"/>
          <w:color w:val="000000"/>
          <w:szCs w:val="21"/>
        </w:rPr>
      </w:pPr>
      <w:r>
        <w:rPr>
          <w:rFonts w:ascii="宋体" w:hAnsi="宋体"/>
          <w:color w:val="000000"/>
          <w:szCs w:val="21"/>
        </w:rPr>
        <w:t>2</w:t>
      </w:r>
      <w:r>
        <w:rPr>
          <w:rFonts w:hint="eastAsia" w:ascii="宋体" w:hAnsi="宋体"/>
          <w:color w:val="000000"/>
          <w:szCs w:val="21"/>
        </w:rPr>
        <w:t>．屋面防水工程、有防水要求的卫生间、房间和外墙面的防渗为年；</w:t>
      </w:r>
    </w:p>
    <w:p>
      <w:pPr>
        <w:spacing w:line="360" w:lineRule="auto"/>
        <w:ind w:left="420" w:leftChars="200" w:firstLine="105" w:firstLineChars="50"/>
        <w:rPr>
          <w:rFonts w:ascii="宋体" w:hAnsi="宋体"/>
          <w:color w:val="000000"/>
          <w:szCs w:val="21"/>
        </w:rPr>
      </w:pPr>
      <w:r>
        <w:rPr>
          <w:rFonts w:ascii="宋体" w:hAnsi="宋体"/>
          <w:color w:val="000000"/>
          <w:szCs w:val="21"/>
        </w:rPr>
        <w:t>3</w:t>
      </w:r>
      <w:r>
        <w:rPr>
          <w:rFonts w:hint="eastAsia" w:ascii="宋体" w:hAnsi="宋体"/>
          <w:color w:val="000000"/>
          <w:szCs w:val="21"/>
        </w:rPr>
        <w:t>．装修工程为年；</w:t>
      </w:r>
    </w:p>
    <w:p>
      <w:pPr>
        <w:spacing w:line="360" w:lineRule="auto"/>
        <w:ind w:left="420" w:leftChars="200" w:firstLine="105" w:firstLineChars="50"/>
        <w:rPr>
          <w:rFonts w:ascii="宋体" w:hAnsi="宋体"/>
          <w:color w:val="000000"/>
          <w:szCs w:val="21"/>
        </w:rPr>
      </w:pPr>
      <w:r>
        <w:rPr>
          <w:rFonts w:ascii="宋体" w:hAnsi="宋体"/>
          <w:color w:val="000000"/>
          <w:szCs w:val="21"/>
        </w:rPr>
        <w:t>4</w:t>
      </w:r>
      <w:r>
        <w:rPr>
          <w:rFonts w:hint="eastAsia" w:ascii="宋体" w:hAnsi="宋体"/>
          <w:color w:val="000000"/>
          <w:szCs w:val="21"/>
        </w:rPr>
        <w:t>．电气管线、给排水管道、设备安装工程为年；</w:t>
      </w:r>
    </w:p>
    <w:p>
      <w:pPr>
        <w:spacing w:line="360" w:lineRule="auto"/>
        <w:ind w:left="420" w:leftChars="200" w:firstLine="105" w:firstLineChars="50"/>
        <w:rPr>
          <w:rFonts w:ascii="宋体" w:hAnsi="宋体"/>
          <w:color w:val="000000"/>
          <w:szCs w:val="21"/>
        </w:rPr>
      </w:pPr>
      <w:r>
        <w:rPr>
          <w:rFonts w:ascii="宋体" w:hAnsi="宋体"/>
          <w:color w:val="000000"/>
          <w:szCs w:val="21"/>
        </w:rPr>
        <w:t>5</w:t>
      </w:r>
      <w:r>
        <w:rPr>
          <w:rFonts w:hint="eastAsia" w:ascii="宋体" w:hAnsi="宋体"/>
          <w:color w:val="000000"/>
          <w:szCs w:val="21"/>
        </w:rPr>
        <w:t>．供热与供冷系统为个采暖期、供冷期；</w:t>
      </w:r>
    </w:p>
    <w:p>
      <w:pPr>
        <w:spacing w:line="360" w:lineRule="auto"/>
        <w:ind w:left="420" w:leftChars="200" w:firstLine="105" w:firstLineChars="50"/>
        <w:rPr>
          <w:rFonts w:ascii="宋体" w:hAnsi="宋体"/>
          <w:color w:val="000000"/>
          <w:szCs w:val="21"/>
        </w:rPr>
      </w:pPr>
      <w:r>
        <w:rPr>
          <w:rFonts w:ascii="宋体" w:hAnsi="宋体"/>
          <w:color w:val="000000"/>
          <w:szCs w:val="21"/>
        </w:rPr>
        <w:t>6</w:t>
      </w:r>
      <w:r>
        <w:rPr>
          <w:rFonts w:hint="eastAsia" w:ascii="宋体" w:hAnsi="宋体"/>
          <w:color w:val="000000"/>
          <w:szCs w:val="21"/>
        </w:rPr>
        <w:t>．住宅小区内的给排水设施、道路等配套工程为年；</w:t>
      </w:r>
    </w:p>
    <w:p>
      <w:pPr>
        <w:spacing w:line="360" w:lineRule="auto"/>
        <w:ind w:left="420" w:leftChars="200" w:firstLine="105" w:firstLineChars="50"/>
        <w:rPr>
          <w:rFonts w:ascii="宋体" w:hAnsi="宋体"/>
          <w:color w:val="000000"/>
          <w:szCs w:val="21"/>
        </w:rPr>
      </w:pPr>
      <w:r>
        <w:rPr>
          <w:rFonts w:ascii="宋体" w:hAnsi="宋体"/>
          <w:color w:val="000000"/>
          <w:szCs w:val="21"/>
        </w:rPr>
        <w:t>7</w:t>
      </w:r>
      <w:r>
        <w:rPr>
          <w:rFonts w:hint="eastAsia" w:ascii="宋体" w:hAnsi="宋体"/>
          <w:color w:val="000000"/>
          <w:szCs w:val="21"/>
        </w:rPr>
        <w:t>．其他项目保修期限约定如下：</w:t>
      </w:r>
    </w:p>
    <w:p>
      <w:pPr>
        <w:spacing w:line="360" w:lineRule="auto"/>
        <w:rPr>
          <w:rFonts w:ascii="宋体" w:hAnsi="宋体"/>
          <w:color w:val="000000"/>
          <w:szCs w:val="21"/>
        </w:rPr>
      </w:pPr>
    </w:p>
    <w:p>
      <w:pPr>
        <w:spacing w:line="360" w:lineRule="auto"/>
        <w:rPr>
          <w:rFonts w:ascii="宋体" w:hAnsi="宋体"/>
          <w:color w:val="000000"/>
          <w:szCs w:val="21"/>
        </w:rPr>
      </w:pPr>
      <w:r>
        <w:rPr>
          <w:rFonts w:hint="eastAsia" w:ascii="宋体" w:hAnsi="宋体"/>
          <w:color w:val="000000"/>
          <w:szCs w:val="21"/>
        </w:rPr>
        <w:t>　　质量保修期自工程竣工验收合格之日起计算。</w:t>
      </w:r>
    </w:p>
    <w:p>
      <w:pPr>
        <w:spacing w:line="360" w:lineRule="auto"/>
        <w:ind w:firstLine="420" w:firstLineChars="200"/>
        <w:rPr>
          <w:rFonts w:ascii="宋体" w:hAnsi="宋体"/>
          <w:color w:val="000000"/>
          <w:szCs w:val="21"/>
        </w:rPr>
      </w:pPr>
      <w:r>
        <w:rPr>
          <w:rFonts w:hint="eastAsia" w:ascii="宋体" w:hAnsi="宋体"/>
          <w:color w:val="000000"/>
          <w:szCs w:val="21"/>
        </w:rPr>
        <w:t>三、缺陷责任期</w:t>
      </w:r>
    </w:p>
    <w:p>
      <w:pPr>
        <w:spacing w:line="360" w:lineRule="auto"/>
        <w:ind w:firstLine="420" w:firstLineChars="200"/>
        <w:rPr>
          <w:rFonts w:ascii="宋体" w:hAnsi="宋体"/>
          <w:color w:val="000000"/>
          <w:szCs w:val="21"/>
        </w:rPr>
      </w:pPr>
      <w:r>
        <w:rPr>
          <w:rFonts w:hint="eastAsia" w:ascii="宋体" w:hAnsi="宋体"/>
          <w:color w:val="000000"/>
          <w:szCs w:val="21"/>
        </w:rPr>
        <w:t>工程缺陷责任期为个月，缺陷责任期自工程竣工验收合格之日起计算。单位工程先于全部工程进行验收，单位工程缺陷责任期自单位工程验收合格之日起算。</w:t>
      </w:r>
    </w:p>
    <w:p>
      <w:pPr>
        <w:spacing w:line="360" w:lineRule="auto"/>
        <w:ind w:firstLine="420" w:firstLineChars="200"/>
        <w:rPr>
          <w:rFonts w:ascii="宋体" w:hAnsi="宋体"/>
          <w:color w:val="000000"/>
          <w:szCs w:val="21"/>
        </w:rPr>
      </w:pPr>
      <w:r>
        <w:rPr>
          <w:rFonts w:hint="eastAsia" w:ascii="宋体" w:hAnsi="宋体"/>
          <w:color w:val="000000"/>
          <w:szCs w:val="21"/>
        </w:rPr>
        <w:t>缺陷责任期终止后，发包人应退还剩余的质量保证金。</w:t>
      </w:r>
    </w:p>
    <w:p>
      <w:pPr>
        <w:spacing w:line="360" w:lineRule="auto"/>
        <w:rPr>
          <w:rFonts w:ascii="宋体" w:hAnsi="宋体"/>
          <w:color w:val="000000"/>
          <w:szCs w:val="21"/>
        </w:rPr>
      </w:pPr>
      <w:r>
        <w:rPr>
          <w:rFonts w:hint="eastAsia" w:ascii="宋体" w:hAnsi="宋体"/>
          <w:color w:val="000000"/>
          <w:szCs w:val="21"/>
        </w:rPr>
        <w:t>四、质量保修责任</w:t>
      </w:r>
    </w:p>
    <w:p>
      <w:pPr>
        <w:spacing w:line="360" w:lineRule="auto"/>
        <w:ind w:left="105" w:leftChars="50" w:firstLine="430" w:firstLineChars="205"/>
        <w:rPr>
          <w:rFonts w:ascii="宋体" w:hAnsi="宋体"/>
          <w:color w:val="000000"/>
          <w:szCs w:val="21"/>
        </w:rPr>
      </w:pPr>
      <w:r>
        <w:rPr>
          <w:rFonts w:ascii="宋体" w:hAnsi="宋体"/>
          <w:color w:val="000000"/>
          <w:szCs w:val="21"/>
        </w:rPr>
        <w:t>1</w:t>
      </w:r>
      <w:r>
        <w:rPr>
          <w:rFonts w:hint="eastAsia" w:ascii="宋体" w:hAnsi="宋体"/>
          <w:color w:val="000000"/>
          <w:szCs w:val="21"/>
        </w:rPr>
        <w:t>．属于保修范围、内容的项目，承包人应当在接到保修通知之日起</w:t>
      </w:r>
      <w:r>
        <w:rPr>
          <w:rFonts w:ascii="宋体" w:hAnsi="宋体"/>
          <w:color w:val="000000"/>
          <w:szCs w:val="21"/>
        </w:rPr>
        <w:t>7</w:t>
      </w:r>
      <w:r>
        <w:rPr>
          <w:rFonts w:hint="eastAsia" w:ascii="宋体" w:hAnsi="宋体"/>
          <w:color w:val="000000"/>
          <w:szCs w:val="21"/>
        </w:rPr>
        <w:t>天内派人保修。承包人不在约定期限内派人保修的，发包人可以委托他人修理。</w:t>
      </w:r>
    </w:p>
    <w:p>
      <w:pPr>
        <w:spacing w:line="360" w:lineRule="auto"/>
        <w:ind w:left="105" w:leftChars="50" w:firstLine="430" w:firstLineChars="205"/>
        <w:rPr>
          <w:rFonts w:ascii="宋体" w:hAnsi="宋体"/>
          <w:color w:val="000000"/>
          <w:szCs w:val="21"/>
        </w:rPr>
      </w:pPr>
      <w:r>
        <w:rPr>
          <w:rFonts w:ascii="宋体" w:hAnsi="宋体"/>
          <w:color w:val="000000"/>
          <w:szCs w:val="21"/>
        </w:rPr>
        <w:t>2</w:t>
      </w:r>
      <w:r>
        <w:rPr>
          <w:rFonts w:hint="eastAsia" w:ascii="宋体" w:hAnsi="宋体"/>
          <w:color w:val="000000"/>
          <w:szCs w:val="21"/>
        </w:rPr>
        <w:t>．发生紧急事故需抢修的，承包人在接到事故通知后，应当立即到达事故现场抢修。</w:t>
      </w:r>
    </w:p>
    <w:p>
      <w:pPr>
        <w:spacing w:line="360" w:lineRule="auto"/>
        <w:ind w:left="105" w:leftChars="50" w:firstLine="430" w:firstLineChars="205"/>
        <w:rPr>
          <w:rFonts w:ascii="宋体" w:hAnsi="宋体"/>
          <w:color w:val="000000"/>
          <w:szCs w:val="21"/>
        </w:rPr>
      </w:pPr>
      <w:r>
        <w:rPr>
          <w:rFonts w:ascii="宋体" w:hAnsi="宋体"/>
          <w:color w:val="000000"/>
          <w:szCs w:val="21"/>
        </w:rPr>
        <w:t>3</w:t>
      </w:r>
      <w:r>
        <w:rPr>
          <w:rFonts w:hint="eastAsia" w:ascii="宋体" w:hAnsi="宋体"/>
          <w:color w:val="000000"/>
          <w:szCs w:val="21"/>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spacing w:line="360" w:lineRule="auto"/>
        <w:ind w:left="420" w:leftChars="200" w:firstLine="105" w:firstLineChars="50"/>
        <w:rPr>
          <w:rFonts w:ascii="宋体" w:hAnsi="宋体"/>
          <w:color w:val="000000"/>
          <w:szCs w:val="21"/>
        </w:rPr>
      </w:pPr>
      <w:r>
        <w:rPr>
          <w:rFonts w:ascii="宋体" w:hAnsi="宋体"/>
          <w:color w:val="000000"/>
          <w:szCs w:val="21"/>
        </w:rPr>
        <w:t>4</w:t>
      </w:r>
      <w:r>
        <w:rPr>
          <w:rFonts w:hint="eastAsia" w:ascii="宋体" w:hAnsi="宋体"/>
          <w:color w:val="000000"/>
          <w:szCs w:val="21"/>
        </w:rPr>
        <w:t>．质量保修完成后，由发包人组织验收。</w:t>
      </w:r>
    </w:p>
    <w:p>
      <w:pPr>
        <w:spacing w:line="360" w:lineRule="auto"/>
        <w:rPr>
          <w:rFonts w:ascii="宋体" w:hAnsi="宋体"/>
          <w:color w:val="000000"/>
          <w:szCs w:val="21"/>
        </w:rPr>
      </w:pPr>
      <w:r>
        <w:rPr>
          <w:rFonts w:hint="eastAsia" w:ascii="宋体" w:hAnsi="宋体"/>
          <w:color w:val="000000"/>
          <w:szCs w:val="21"/>
        </w:rPr>
        <w:t>　　五、保修费用</w:t>
      </w:r>
    </w:p>
    <w:p>
      <w:pPr>
        <w:spacing w:line="360" w:lineRule="auto"/>
        <w:rPr>
          <w:rFonts w:ascii="宋体" w:hAnsi="宋体"/>
          <w:color w:val="000000"/>
          <w:szCs w:val="21"/>
        </w:rPr>
      </w:pPr>
      <w:r>
        <w:rPr>
          <w:rFonts w:hint="eastAsia" w:ascii="宋体" w:hAnsi="宋体"/>
          <w:color w:val="000000"/>
          <w:szCs w:val="21"/>
        </w:rPr>
        <w:t>　　保修费用由造成质量缺陷的责任方承担。</w:t>
      </w:r>
    </w:p>
    <w:p>
      <w:pPr>
        <w:spacing w:line="360" w:lineRule="auto"/>
        <w:ind w:firstLine="600"/>
        <w:jc w:val="left"/>
        <w:rPr>
          <w:rFonts w:ascii="宋体" w:hAnsi="宋体"/>
          <w:color w:val="000000"/>
          <w:szCs w:val="21"/>
          <w:u w:val="single"/>
        </w:rPr>
      </w:pPr>
      <w:r>
        <w:rPr>
          <w:rFonts w:hint="eastAsia" w:ascii="宋体" w:hAnsi="宋体"/>
          <w:b/>
          <w:color w:val="000000"/>
          <w:szCs w:val="21"/>
        </w:rPr>
        <w:t>六</w:t>
      </w:r>
      <w:r>
        <w:rPr>
          <w:rFonts w:hint="eastAsia" w:ascii="宋体" w:hAnsi="宋体"/>
          <w:color w:val="000000"/>
          <w:szCs w:val="21"/>
        </w:rPr>
        <w:t>、双方约定的其他工程质量保修事项：</w:t>
      </w:r>
    </w:p>
    <w:p>
      <w:pPr>
        <w:spacing w:line="360" w:lineRule="auto"/>
        <w:jc w:val="left"/>
        <w:rPr>
          <w:rFonts w:ascii="宋体" w:hAnsi="宋体"/>
          <w:color w:val="000000"/>
          <w:szCs w:val="21"/>
        </w:rPr>
      </w:pPr>
    </w:p>
    <w:p>
      <w:pPr>
        <w:spacing w:line="360" w:lineRule="auto"/>
        <w:ind w:firstLine="399" w:firstLineChars="190"/>
        <w:rPr>
          <w:rFonts w:ascii="宋体" w:hAnsi="宋体"/>
          <w:color w:val="000000"/>
          <w:szCs w:val="21"/>
        </w:rPr>
      </w:pPr>
      <w:r>
        <w:rPr>
          <w:rFonts w:hint="eastAsia" w:ascii="宋体" w:hAnsi="宋体"/>
          <w:color w:val="000000"/>
          <w:szCs w:val="21"/>
        </w:rPr>
        <w:t>工程质量保修书由发包人、承包人在工程竣工验收前共同签署，作为施工合同附件，其有效期限至保修期满。</w:t>
      </w:r>
    </w:p>
    <w:p>
      <w:pPr>
        <w:spacing w:line="360" w:lineRule="auto"/>
        <w:ind w:firstLine="420"/>
        <w:rPr>
          <w:rFonts w:ascii="宋体" w:hAnsi="宋体"/>
          <w:color w:val="000000"/>
          <w:szCs w:val="21"/>
        </w:rPr>
      </w:pPr>
    </w:p>
    <w:p>
      <w:pPr>
        <w:spacing w:line="360" w:lineRule="auto"/>
        <w:rPr>
          <w:rFonts w:ascii="宋体" w:hAnsi="宋体"/>
          <w:color w:val="000000"/>
          <w:szCs w:val="21"/>
        </w:rPr>
      </w:pPr>
      <w:r>
        <w:rPr>
          <w:rFonts w:hint="eastAsia" w:ascii="宋体" w:hAnsi="宋体"/>
          <w:color w:val="000000"/>
          <w:szCs w:val="21"/>
        </w:rPr>
        <w:t>发包人</w:t>
      </w:r>
      <w:r>
        <w:rPr>
          <w:rFonts w:hint="eastAsia" w:ascii="宋体" w:hAnsi="宋体"/>
          <w:color w:val="000000"/>
          <w:szCs w:val="21"/>
          <w:lang w:eastAsia="zh-CN"/>
        </w:rPr>
        <w:t>（</w:t>
      </w:r>
      <w:r>
        <w:rPr>
          <w:rFonts w:hint="eastAsia" w:ascii="宋体" w:hAnsi="宋体"/>
          <w:color w:val="000000"/>
          <w:szCs w:val="21"/>
        </w:rPr>
        <w:t>公章</w:t>
      </w:r>
      <w:r>
        <w:rPr>
          <w:rFonts w:hint="eastAsia" w:ascii="宋体" w:hAnsi="宋体"/>
          <w:color w:val="000000"/>
          <w:szCs w:val="21"/>
          <w:lang w:eastAsia="zh-CN"/>
        </w:rPr>
        <w:t>）</w:t>
      </w:r>
      <w:r>
        <w:rPr>
          <w:rFonts w:hint="eastAsia" w:ascii="宋体" w:hAnsi="宋体"/>
          <w:color w:val="000000"/>
          <w:szCs w:val="21"/>
        </w:rPr>
        <w:t>：</w:t>
      </w:r>
      <w:r>
        <w:rPr>
          <w:rFonts w:ascii="宋体" w:hAnsi="宋体"/>
          <w:color w:val="000000"/>
          <w:szCs w:val="21"/>
          <w:u w:val="single"/>
        </w:rPr>
        <w:t xml:space="preserve">         </w:t>
      </w:r>
      <w:r>
        <w:rPr>
          <w:rFonts w:hint="eastAsia" w:ascii="宋体" w:hAnsi="宋体"/>
          <w:color w:val="000000"/>
          <w:szCs w:val="21"/>
        </w:rPr>
        <w:t xml:space="preserve">    承包人</w:t>
      </w:r>
      <w:r>
        <w:rPr>
          <w:rFonts w:hint="eastAsia" w:ascii="宋体" w:hAnsi="宋体"/>
          <w:color w:val="000000"/>
          <w:szCs w:val="21"/>
          <w:lang w:eastAsia="zh-CN"/>
        </w:rPr>
        <w:t>（</w:t>
      </w:r>
      <w:r>
        <w:rPr>
          <w:rFonts w:hint="eastAsia" w:ascii="宋体" w:hAnsi="宋体"/>
          <w:color w:val="000000"/>
          <w:szCs w:val="21"/>
        </w:rPr>
        <w:t>公章</w:t>
      </w:r>
      <w:r>
        <w:rPr>
          <w:rFonts w:hint="eastAsia" w:ascii="宋体" w:hAnsi="宋体"/>
          <w:color w:val="000000"/>
          <w:szCs w:val="21"/>
          <w:lang w:eastAsia="zh-CN"/>
        </w:rPr>
        <w:t>）</w:t>
      </w:r>
      <w:r>
        <w:rPr>
          <w:rFonts w:hint="eastAsia" w:ascii="宋体" w:hAnsi="宋体"/>
          <w:color w:val="000000"/>
          <w:szCs w:val="21"/>
        </w:rPr>
        <w:t>：</w:t>
      </w:r>
      <w:r>
        <w:rPr>
          <w:rFonts w:hint="eastAsia" w:ascii="宋体" w:hAnsi="宋体" w:cs="仿宋_GB2312"/>
          <w:color w:val="000000"/>
          <w:szCs w:val="21"/>
          <w:u w:val="single"/>
        </w:rPr>
        <w:t></w:t>
      </w:r>
    </w:p>
    <w:p>
      <w:pPr>
        <w:spacing w:line="360" w:lineRule="auto"/>
        <w:rPr>
          <w:rFonts w:ascii="宋体" w:hAnsi="宋体"/>
          <w:color w:val="000000"/>
          <w:szCs w:val="21"/>
        </w:rPr>
      </w:pPr>
      <w:r>
        <w:rPr>
          <w:rFonts w:hint="eastAsia" w:ascii="宋体" w:hAnsi="宋体"/>
          <w:color w:val="000000"/>
          <w:szCs w:val="21"/>
        </w:rPr>
        <w:t>地址：</w:t>
      </w:r>
      <w:r>
        <w:rPr>
          <w:rFonts w:ascii="宋体" w:hAnsi="宋体"/>
          <w:color w:val="000000"/>
          <w:szCs w:val="21"/>
          <w:u w:val="single"/>
        </w:rPr>
        <w:t xml:space="preserve">      </w:t>
      </w:r>
      <w:r>
        <w:rPr>
          <w:rFonts w:hint="eastAsia" w:ascii="宋体" w:hAnsi="宋体"/>
          <w:color w:val="000000"/>
          <w:szCs w:val="21"/>
        </w:rPr>
        <w:t xml:space="preserve">    地址：</w:t>
      </w:r>
      <w:r>
        <w:rPr>
          <w:rFonts w:hint="eastAsia" w:ascii="宋体" w:hAnsi="宋体" w:cs="仿宋_GB2312"/>
          <w:color w:val="000000"/>
          <w:szCs w:val="21"/>
          <w:u w:val="single"/>
        </w:rPr>
        <w:t></w:t>
      </w:r>
    </w:p>
    <w:p>
      <w:pPr>
        <w:spacing w:line="360" w:lineRule="auto"/>
        <w:rPr>
          <w:rFonts w:ascii="宋体" w:hAnsi="宋体"/>
          <w:color w:val="000000"/>
          <w:szCs w:val="21"/>
        </w:rPr>
      </w:pPr>
      <w:r>
        <w:rPr>
          <w:rFonts w:hint="eastAsia" w:ascii="宋体" w:hAnsi="宋体"/>
          <w:color w:val="000000"/>
          <w:szCs w:val="21"/>
        </w:rPr>
        <w:t>法定代表人</w:t>
      </w:r>
      <w:r>
        <w:rPr>
          <w:rFonts w:hint="eastAsia" w:ascii="宋体" w:hAnsi="宋体"/>
          <w:color w:val="000000"/>
          <w:szCs w:val="21"/>
          <w:lang w:eastAsia="zh-CN"/>
        </w:rPr>
        <w:t>（</w:t>
      </w:r>
      <w:r>
        <w:rPr>
          <w:rFonts w:hint="eastAsia" w:ascii="宋体" w:hAnsi="宋体"/>
          <w:color w:val="000000"/>
          <w:szCs w:val="21"/>
        </w:rPr>
        <w:t>签字或盖章</w:t>
      </w:r>
      <w:r>
        <w:rPr>
          <w:rFonts w:hint="eastAsia" w:ascii="宋体" w:hAnsi="宋体"/>
          <w:color w:val="000000"/>
          <w:szCs w:val="21"/>
          <w:lang w:eastAsia="zh-CN"/>
        </w:rPr>
        <w:t>）</w:t>
      </w:r>
      <w:r>
        <w:rPr>
          <w:rFonts w:hint="eastAsia" w:ascii="宋体" w:hAnsi="宋体"/>
          <w:color w:val="000000"/>
          <w:szCs w:val="21"/>
        </w:rPr>
        <w:t>：</w:t>
      </w:r>
      <w:r>
        <w:rPr>
          <w:rFonts w:hint="eastAsia" w:ascii="宋体" w:hAnsi="宋体" w:cs="仿宋_GB2312"/>
          <w:color w:val="000000"/>
          <w:szCs w:val="21"/>
          <w:u w:val="single"/>
        </w:rPr>
        <w:t></w:t>
      </w:r>
      <w:r>
        <w:rPr>
          <w:rFonts w:hint="eastAsia" w:ascii="宋体" w:hAnsi="宋体"/>
          <w:color w:val="000000"/>
          <w:szCs w:val="21"/>
        </w:rPr>
        <w:t xml:space="preserve">    法定代表人</w:t>
      </w:r>
      <w:r>
        <w:rPr>
          <w:rFonts w:hint="eastAsia" w:ascii="宋体" w:hAnsi="宋体"/>
          <w:color w:val="000000"/>
          <w:szCs w:val="21"/>
          <w:lang w:eastAsia="zh-CN"/>
        </w:rPr>
        <w:t>（</w:t>
      </w:r>
      <w:r>
        <w:rPr>
          <w:rFonts w:hint="eastAsia" w:ascii="宋体" w:hAnsi="宋体"/>
          <w:color w:val="000000"/>
          <w:szCs w:val="21"/>
        </w:rPr>
        <w:t>签字或盖章</w:t>
      </w:r>
      <w:r>
        <w:rPr>
          <w:rFonts w:hint="eastAsia" w:ascii="宋体" w:hAnsi="宋体"/>
          <w:color w:val="000000"/>
          <w:szCs w:val="21"/>
          <w:lang w:eastAsia="zh-CN"/>
        </w:rPr>
        <w:t>）</w:t>
      </w:r>
      <w:r>
        <w:rPr>
          <w:rFonts w:hint="eastAsia" w:ascii="宋体" w:hAnsi="宋体"/>
          <w:color w:val="000000"/>
          <w:szCs w:val="21"/>
        </w:rPr>
        <w:t>：</w:t>
      </w:r>
      <w:r>
        <w:rPr>
          <w:rFonts w:hint="eastAsia" w:ascii="宋体" w:hAnsi="宋体" w:cs="仿宋_GB2312"/>
          <w:color w:val="000000"/>
          <w:szCs w:val="21"/>
          <w:u w:val="single"/>
        </w:rPr>
        <w:t></w:t>
      </w:r>
    </w:p>
    <w:p>
      <w:pPr>
        <w:spacing w:line="360" w:lineRule="auto"/>
        <w:rPr>
          <w:rFonts w:ascii="宋体" w:hAnsi="宋体"/>
          <w:color w:val="000000"/>
          <w:szCs w:val="21"/>
        </w:rPr>
      </w:pPr>
      <w:r>
        <w:rPr>
          <w:rFonts w:hint="eastAsia" w:ascii="宋体" w:hAnsi="宋体"/>
          <w:color w:val="000000"/>
          <w:szCs w:val="21"/>
        </w:rPr>
        <w:t>委托代理人</w:t>
      </w:r>
      <w:r>
        <w:rPr>
          <w:rFonts w:hint="eastAsia" w:ascii="宋体" w:hAnsi="宋体"/>
          <w:color w:val="000000"/>
          <w:szCs w:val="21"/>
          <w:lang w:eastAsia="zh-CN"/>
        </w:rPr>
        <w:t>（</w:t>
      </w:r>
      <w:r>
        <w:rPr>
          <w:rFonts w:hint="eastAsia" w:ascii="宋体" w:hAnsi="宋体"/>
          <w:color w:val="000000"/>
          <w:szCs w:val="21"/>
        </w:rPr>
        <w:t>签字或盖章</w:t>
      </w:r>
      <w:r>
        <w:rPr>
          <w:rFonts w:hint="eastAsia" w:ascii="宋体" w:hAnsi="宋体"/>
          <w:color w:val="000000"/>
          <w:szCs w:val="21"/>
          <w:lang w:eastAsia="zh-CN"/>
        </w:rPr>
        <w:t>）</w:t>
      </w:r>
      <w:r>
        <w:rPr>
          <w:rFonts w:hint="eastAsia" w:ascii="宋体" w:hAnsi="宋体"/>
          <w:color w:val="000000"/>
          <w:szCs w:val="21"/>
        </w:rPr>
        <w:t>：</w:t>
      </w:r>
      <w:r>
        <w:rPr>
          <w:rFonts w:hint="eastAsia" w:ascii="宋体" w:hAnsi="宋体" w:cs="仿宋_GB2312"/>
          <w:color w:val="000000"/>
          <w:szCs w:val="21"/>
          <w:u w:val="single"/>
        </w:rPr>
        <w:t></w:t>
      </w:r>
      <w:r>
        <w:rPr>
          <w:rFonts w:hint="eastAsia" w:ascii="宋体" w:hAnsi="宋体"/>
          <w:color w:val="000000"/>
          <w:szCs w:val="21"/>
        </w:rPr>
        <w:t xml:space="preserve">    委托代理人</w:t>
      </w:r>
      <w:r>
        <w:rPr>
          <w:rFonts w:hint="eastAsia" w:ascii="宋体" w:hAnsi="宋体"/>
          <w:color w:val="000000"/>
          <w:szCs w:val="21"/>
          <w:lang w:eastAsia="zh-CN"/>
        </w:rPr>
        <w:t>（</w:t>
      </w:r>
      <w:r>
        <w:rPr>
          <w:rFonts w:hint="eastAsia" w:ascii="宋体" w:hAnsi="宋体"/>
          <w:color w:val="000000"/>
          <w:szCs w:val="21"/>
        </w:rPr>
        <w:t>签字或盖章</w:t>
      </w:r>
      <w:r>
        <w:rPr>
          <w:rFonts w:hint="eastAsia" w:ascii="宋体" w:hAnsi="宋体"/>
          <w:color w:val="000000"/>
          <w:szCs w:val="21"/>
          <w:lang w:eastAsia="zh-CN"/>
        </w:rPr>
        <w:t>）</w:t>
      </w:r>
      <w:r>
        <w:rPr>
          <w:rFonts w:hint="eastAsia" w:ascii="宋体" w:hAnsi="宋体"/>
          <w:color w:val="000000"/>
          <w:szCs w:val="21"/>
        </w:rPr>
        <w:t>：</w:t>
      </w:r>
      <w:r>
        <w:rPr>
          <w:rFonts w:hint="eastAsia" w:ascii="宋体" w:hAnsi="宋体" w:cs="仿宋_GB2312"/>
          <w:color w:val="000000"/>
          <w:szCs w:val="21"/>
          <w:u w:val="single"/>
        </w:rPr>
        <w:t></w:t>
      </w:r>
    </w:p>
    <w:p>
      <w:pPr>
        <w:spacing w:line="360" w:lineRule="auto"/>
        <w:rPr>
          <w:rFonts w:ascii="宋体" w:hAnsi="宋体"/>
          <w:color w:val="000000"/>
          <w:szCs w:val="21"/>
        </w:rPr>
      </w:pPr>
      <w:r>
        <w:rPr>
          <w:rFonts w:hint="eastAsia" w:ascii="宋体" w:hAnsi="宋体"/>
          <w:color w:val="000000"/>
          <w:szCs w:val="21"/>
        </w:rPr>
        <w:t>电话：</w:t>
      </w:r>
      <w:r>
        <w:rPr>
          <w:rFonts w:hint="eastAsia" w:ascii="宋体" w:hAnsi="宋体" w:cs="仿宋_GB2312"/>
          <w:color w:val="000000"/>
          <w:szCs w:val="21"/>
          <w:u w:val="single"/>
        </w:rPr>
        <w:t></w:t>
      </w:r>
      <w:r>
        <w:rPr>
          <w:rFonts w:hint="eastAsia" w:ascii="宋体" w:hAnsi="宋体"/>
          <w:color w:val="000000"/>
          <w:szCs w:val="21"/>
        </w:rPr>
        <w:t xml:space="preserve">     电话：</w:t>
      </w:r>
      <w:r>
        <w:rPr>
          <w:rFonts w:hint="eastAsia" w:ascii="宋体" w:hAnsi="宋体" w:cs="仿宋_GB2312"/>
          <w:color w:val="000000"/>
          <w:szCs w:val="21"/>
          <w:u w:val="single"/>
        </w:rPr>
        <w:t></w:t>
      </w:r>
    </w:p>
    <w:p>
      <w:pPr>
        <w:spacing w:line="360" w:lineRule="auto"/>
        <w:rPr>
          <w:rFonts w:ascii="宋体" w:hAnsi="宋体"/>
          <w:color w:val="000000"/>
          <w:szCs w:val="21"/>
        </w:rPr>
      </w:pPr>
      <w:r>
        <w:rPr>
          <w:rFonts w:hint="eastAsia" w:ascii="宋体" w:hAnsi="宋体"/>
          <w:color w:val="000000"/>
          <w:szCs w:val="21"/>
        </w:rPr>
        <w:t>传真：</w:t>
      </w:r>
      <w:r>
        <w:rPr>
          <w:rFonts w:hint="eastAsia" w:ascii="宋体" w:hAnsi="宋体" w:cs="仿宋_GB2312"/>
          <w:color w:val="000000"/>
          <w:szCs w:val="21"/>
          <w:u w:val="single"/>
        </w:rPr>
        <w:t></w:t>
      </w:r>
      <w:r>
        <w:rPr>
          <w:rFonts w:hint="eastAsia" w:ascii="宋体" w:hAnsi="宋体"/>
          <w:color w:val="000000"/>
          <w:szCs w:val="21"/>
        </w:rPr>
        <w:t xml:space="preserve">     传真：</w:t>
      </w:r>
      <w:r>
        <w:rPr>
          <w:rFonts w:hint="eastAsia" w:ascii="宋体" w:hAnsi="宋体" w:cs="仿宋_GB2312"/>
          <w:color w:val="000000"/>
          <w:szCs w:val="21"/>
          <w:u w:val="single"/>
        </w:rPr>
        <w:t></w:t>
      </w:r>
    </w:p>
    <w:p>
      <w:pPr>
        <w:spacing w:line="360" w:lineRule="auto"/>
        <w:rPr>
          <w:rFonts w:ascii="宋体" w:hAnsi="宋体"/>
          <w:color w:val="000000"/>
          <w:szCs w:val="21"/>
        </w:rPr>
      </w:pPr>
      <w:r>
        <w:rPr>
          <w:rFonts w:hint="eastAsia" w:ascii="宋体" w:hAnsi="宋体"/>
          <w:color w:val="000000"/>
          <w:szCs w:val="21"/>
        </w:rPr>
        <w:t>开户银行：</w:t>
      </w:r>
      <w:r>
        <w:rPr>
          <w:rFonts w:hint="eastAsia" w:ascii="宋体" w:hAnsi="宋体" w:cs="仿宋_GB2312"/>
          <w:color w:val="000000"/>
          <w:szCs w:val="21"/>
          <w:u w:val="single"/>
        </w:rPr>
        <w:t></w:t>
      </w:r>
      <w:r>
        <w:rPr>
          <w:rFonts w:hint="eastAsia" w:ascii="宋体" w:hAnsi="宋体"/>
          <w:color w:val="000000"/>
          <w:szCs w:val="21"/>
        </w:rPr>
        <w:t xml:space="preserve">     开户银行：</w:t>
      </w:r>
      <w:r>
        <w:rPr>
          <w:rFonts w:hint="eastAsia" w:ascii="宋体" w:hAnsi="宋体" w:cs="仿宋_GB2312"/>
          <w:color w:val="000000"/>
          <w:szCs w:val="21"/>
          <w:u w:val="single"/>
        </w:rPr>
        <w:t></w:t>
      </w:r>
    </w:p>
    <w:p>
      <w:pPr>
        <w:spacing w:line="360" w:lineRule="auto"/>
        <w:rPr>
          <w:rFonts w:ascii="宋体" w:hAnsi="宋体"/>
          <w:color w:val="000000"/>
          <w:szCs w:val="21"/>
        </w:rPr>
      </w:pPr>
      <w:r>
        <w:rPr>
          <w:rFonts w:hint="eastAsia" w:ascii="宋体" w:hAnsi="宋体"/>
          <w:color w:val="000000"/>
          <w:szCs w:val="21"/>
        </w:rPr>
        <w:t>账号：</w:t>
      </w:r>
      <w:r>
        <w:rPr>
          <w:rFonts w:hint="eastAsia" w:ascii="宋体" w:hAnsi="宋体" w:cs="仿宋_GB2312"/>
          <w:color w:val="000000"/>
          <w:szCs w:val="21"/>
          <w:u w:val="single"/>
        </w:rPr>
        <w:t></w:t>
      </w:r>
      <w:r>
        <w:rPr>
          <w:rFonts w:ascii="宋体" w:hAnsi="宋体"/>
          <w:color w:val="000000"/>
          <w:szCs w:val="21"/>
          <w:u w:val="single"/>
        </w:rPr>
        <w:t xml:space="preserve">        </w:t>
      </w:r>
      <w:r>
        <w:rPr>
          <w:rFonts w:hint="eastAsia" w:ascii="宋体" w:hAnsi="宋体"/>
          <w:color w:val="000000"/>
          <w:szCs w:val="21"/>
        </w:rPr>
        <w:t xml:space="preserve">     账号：</w:t>
      </w:r>
      <w:r>
        <w:rPr>
          <w:rFonts w:hint="eastAsia" w:ascii="宋体" w:hAnsi="宋体" w:cs="仿宋_GB2312"/>
          <w:color w:val="000000"/>
          <w:szCs w:val="21"/>
          <w:u w:val="single"/>
        </w:rPr>
        <w:t></w:t>
      </w:r>
    </w:p>
    <w:p>
      <w:pPr>
        <w:spacing w:line="360" w:lineRule="auto"/>
        <w:rPr>
          <w:rFonts w:ascii="宋体" w:hAnsi="宋体"/>
          <w:color w:val="000000"/>
          <w:szCs w:val="21"/>
        </w:rPr>
      </w:pPr>
      <w:r>
        <w:rPr>
          <w:rFonts w:hint="eastAsia" w:ascii="宋体" w:hAnsi="宋体"/>
          <w:color w:val="000000"/>
          <w:szCs w:val="21"/>
        </w:rPr>
        <w:t>邮政编码：</w:t>
      </w:r>
      <w:r>
        <w:rPr>
          <w:rFonts w:ascii="宋体" w:hAnsi="宋体"/>
          <w:color w:val="000000"/>
          <w:szCs w:val="21"/>
          <w:u w:val="single"/>
        </w:rPr>
        <w:t xml:space="preserve">      </w:t>
      </w:r>
      <w:r>
        <w:rPr>
          <w:rFonts w:hint="eastAsia" w:ascii="宋体" w:hAnsi="宋体"/>
          <w:color w:val="000000"/>
          <w:szCs w:val="21"/>
        </w:rPr>
        <w:t xml:space="preserve">     邮政编码：</w:t>
      </w:r>
      <w:r>
        <w:rPr>
          <w:rFonts w:hint="eastAsia" w:ascii="宋体" w:hAnsi="宋体" w:cs="仿宋_GB2312"/>
          <w:color w:val="000000"/>
          <w:szCs w:val="21"/>
          <w:u w:val="single"/>
        </w:rPr>
        <w:t></w:t>
      </w:r>
    </w:p>
    <w:p>
      <w:pPr>
        <w:spacing w:line="440" w:lineRule="exact"/>
        <w:rPr>
          <w:rFonts w:ascii="宋体" w:hAnsi="宋体"/>
          <w:color w:val="000000"/>
          <w:szCs w:val="21"/>
        </w:rPr>
      </w:pPr>
      <w:r>
        <w:rPr>
          <w:rFonts w:ascii="宋体" w:hAnsi="宋体"/>
          <w:b/>
          <w:color w:val="000000"/>
          <w:szCs w:val="21"/>
        </w:rPr>
        <w:br w:type="page"/>
      </w:r>
      <w:r>
        <w:rPr>
          <w:rFonts w:hint="eastAsia" w:ascii="宋体" w:hAnsi="宋体"/>
          <w:color w:val="000000"/>
          <w:szCs w:val="21"/>
        </w:rPr>
        <w:t>附件</w:t>
      </w:r>
      <w:r>
        <w:rPr>
          <w:rFonts w:ascii="宋体" w:hAnsi="宋体"/>
          <w:color w:val="000000"/>
          <w:szCs w:val="21"/>
        </w:rPr>
        <w:t>4</w:t>
      </w:r>
      <w:r>
        <w:rPr>
          <w:rFonts w:hint="eastAsia" w:ascii="宋体" w:hAnsi="宋体"/>
          <w:color w:val="000000"/>
          <w:szCs w:val="21"/>
        </w:rPr>
        <w:t>：</w:t>
      </w:r>
    </w:p>
    <w:p>
      <w:pPr>
        <w:spacing w:before="120" w:beforeLines="50" w:after="120" w:afterLines="50" w:line="440" w:lineRule="exact"/>
        <w:jc w:val="center"/>
        <w:rPr>
          <w:rFonts w:ascii="宋体" w:hAnsi="宋体"/>
          <w:b/>
          <w:color w:val="000000"/>
          <w:sz w:val="28"/>
          <w:szCs w:val="28"/>
        </w:rPr>
      </w:pPr>
      <w:r>
        <w:rPr>
          <w:rFonts w:hint="eastAsia" w:ascii="宋体" w:hAnsi="宋体"/>
          <w:b/>
          <w:color w:val="000000"/>
          <w:sz w:val="28"/>
          <w:szCs w:val="28"/>
        </w:rPr>
        <w:t>主要建设工程文件目录</w:t>
      </w:r>
    </w:p>
    <w:tbl>
      <w:tblPr>
        <w:tblStyle w:val="36"/>
        <w:tblW w:w="90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953" w:type="dxa"/>
            <w:tcBorders>
              <w:top w:val="single" w:color="auto" w:sz="12" w:space="0"/>
              <w:left w:val="single" w:color="auto" w:sz="12" w:space="0"/>
              <w:bottom w:val="doub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文件名称</w:t>
            </w:r>
          </w:p>
        </w:tc>
        <w:tc>
          <w:tcPr>
            <w:tcW w:w="1276" w:type="dxa"/>
            <w:tcBorders>
              <w:top w:val="single" w:color="auto" w:sz="12" w:space="0"/>
              <w:left w:val="single" w:color="auto" w:sz="6" w:space="0"/>
              <w:bottom w:val="doub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套数</w:t>
            </w:r>
          </w:p>
        </w:tc>
        <w:tc>
          <w:tcPr>
            <w:tcW w:w="1450" w:type="dxa"/>
            <w:tcBorders>
              <w:top w:val="single" w:color="auto" w:sz="12" w:space="0"/>
              <w:left w:val="single" w:color="auto" w:sz="6" w:space="0"/>
              <w:bottom w:val="doub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费用（元）</w:t>
            </w:r>
          </w:p>
        </w:tc>
        <w:tc>
          <w:tcPr>
            <w:tcW w:w="1243" w:type="dxa"/>
            <w:tcBorders>
              <w:top w:val="single" w:color="auto" w:sz="12" w:space="0"/>
              <w:left w:val="single" w:color="auto" w:sz="6" w:space="0"/>
              <w:bottom w:val="doub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质量</w:t>
            </w:r>
          </w:p>
        </w:tc>
        <w:tc>
          <w:tcPr>
            <w:tcW w:w="1450" w:type="dxa"/>
            <w:tcBorders>
              <w:top w:val="single" w:color="auto" w:sz="12" w:space="0"/>
              <w:left w:val="single" w:color="auto" w:sz="6" w:space="0"/>
              <w:bottom w:val="double" w:color="auto" w:sz="6" w:space="0"/>
              <w:right w:val="single" w:color="auto" w:sz="6" w:space="0"/>
            </w:tcBorders>
          </w:tcPr>
          <w:p>
            <w:pPr>
              <w:spacing w:line="440" w:lineRule="exact"/>
              <w:jc w:val="center"/>
              <w:rPr>
                <w:rFonts w:ascii="宋体" w:hAnsi="宋体"/>
                <w:color w:val="000000"/>
                <w:szCs w:val="21"/>
              </w:rPr>
            </w:pPr>
            <w:r>
              <w:rPr>
                <w:rFonts w:hint="eastAsia" w:ascii="宋体" w:hAnsi="宋体"/>
                <w:color w:val="000000"/>
                <w:szCs w:val="21"/>
              </w:rPr>
              <w:t>移交时间</w:t>
            </w:r>
          </w:p>
        </w:tc>
        <w:tc>
          <w:tcPr>
            <w:tcW w:w="1667" w:type="dxa"/>
            <w:tcBorders>
              <w:top w:val="single" w:color="auto" w:sz="12" w:space="0"/>
              <w:left w:val="single" w:color="auto" w:sz="6" w:space="0"/>
              <w:bottom w:val="double" w:color="auto" w:sz="6" w:space="0"/>
              <w:right w:val="single" w:color="auto" w:sz="12" w:space="0"/>
            </w:tcBorders>
          </w:tcPr>
          <w:p>
            <w:pPr>
              <w:spacing w:line="440" w:lineRule="exact"/>
              <w:jc w:val="center"/>
              <w:rPr>
                <w:rFonts w:ascii="宋体" w:hAnsi="宋体"/>
                <w:color w:val="000000"/>
                <w:szCs w:val="21"/>
              </w:rPr>
            </w:pPr>
            <w:r>
              <w:rPr>
                <w:rFonts w:hint="eastAsia" w:ascii="宋体" w:hAnsi="宋体"/>
                <w:color w:val="000000"/>
                <w:szCs w:val="21"/>
              </w:rPr>
              <w:t>责任人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1953" w:type="dxa"/>
            <w:tcBorders>
              <w:top w:val="doub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276" w:type="dxa"/>
            <w:tcBorders>
              <w:top w:val="doub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50" w:type="dxa"/>
            <w:tcBorders>
              <w:top w:val="doub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243" w:type="dxa"/>
            <w:tcBorders>
              <w:top w:val="doub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50" w:type="dxa"/>
            <w:tcBorders>
              <w:top w:val="doub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667" w:type="dxa"/>
            <w:tcBorders>
              <w:top w:val="doub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1953" w:type="dxa"/>
            <w:tcBorders>
              <w:top w:val="nil"/>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276"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50"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243"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50"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667" w:type="dxa"/>
            <w:tcBorders>
              <w:top w:val="nil"/>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276"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5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243"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5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667"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276"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5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243"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5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667"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276"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5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243"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5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667"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276"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5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243"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5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667"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276"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5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243"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5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667"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276"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5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243"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5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667"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tcPr>
          <w:p>
            <w:pPr>
              <w:rPr>
                <w:rFonts w:ascii="宋体" w:hAnsi="宋体"/>
                <w:color w:val="000000"/>
                <w:szCs w:val="21"/>
              </w:rPr>
            </w:pPr>
          </w:p>
        </w:tc>
        <w:tc>
          <w:tcPr>
            <w:tcW w:w="1276" w:type="dxa"/>
            <w:tcBorders>
              <w:top w:val="single" w:color="auto" w:sz="6" w:space="0"/>
              <w:left w:val="single" w:color="auto" w:sz="6" w:space="0"/>
              <w:bottom w:val="single" w:color="auto" w:sz="6" w:space="0"/>
              <w:right w:val="single" w:color="auto" w:sz="6" w:space="0"/>
            </w:tcBorders>
          </w:tcPr>
          <w:p>
            <w:pPr>
              <w:rPr>
                <w:rFonts w:ascii="宋体" w:hAnsi="宋体"/>
                <w:color w:val="000000"/>
                <w:szCs w:val="21"/>
              </w:rPr>
            </w:pPr>
          </w:p>
        </w:tc>
        <w:tc>
          <w:tcPr>
            <w:tcW w:w="1450" w:type="dxa"/>
            <w:tcBorders>
              <w:top w:val="single" w:color="auto" w:sz="6" w:space="0"/>
              <w:left w:val="single" w:color="auto" w:sz="6" w:space="0"/>
              <w:bottom w:val="single" w:color="auto" w:sz="6" w:space="0"/>
              <w:right w:val="single" w:color="auto" w:sz="6" w:space="0"/>
            </w:tcBorders>
          </w:tcPr>
          <w:p>
            <w:pPr>
              <w:rPr>
                <w:rFonts w:ascii="宋体" w:hAnsi="宋体"/>
                <w:color w:val="000000"/>
                <w:szCs w:val="21"/>
              </w:rPr>
            </w:pPr>
          </w:p>
        </w:tc>
        <w:tc>
          <w:tcPr>
            <w:tcW w:w="1243" w:type="dxa"/>
            <w:tcBorders>
              <w:top w:val="single" w:color="auto" w:sz="6" w:space="0"/>
              <w:left w:val="single" w:color="auto" w:sz="6" w:space="0"/>
              <w:bottom w:val="single" w:color="auto" w:sz="6" w:space="0"/>
              <w:right w:val="single" w:color="auto" w:sz="6" w:space="0"/>
            </w:tcBorders>
          </w:tcPr>
          <w:p>
            <w:pPr>
              <w:rPr>
                <w:rFonts w:ascii="宋体" w:hAnsi="宋体"/>
                <w:color w:val="000000"/>
                <w:szCs w:val="21"/>
              </w:rPr>
            </w:pPr>
          </w:p>
        </w:tc>
        <w:tc>
          <w:tcPr>
            <w:tcW w:w="1450" w:type="dxa"/>
            <w:tcBorders>
              <w:top w:val="single" w:color="auto" w:sz="6" w:space="0"/>
              <w:left w:val="single" w:color="auto" w:sz="6" w:space="0"/>
              <w:bottom w:val="single" w:color="auto" w:sz="6" w:space="0"/>
              <w:right w:val="single" w:color="auto" w:sz="6" w:space="0"/>
            </w:tcBorders>
          </w:tcPr>
          <w:p>
            <w:pPr>
              <w:rPr>
                <w:rFonts w:ascii="宋体" w:hAnsi="宋体"/>
                <w:color w:val="000000"/>
                <w:szCs w:val="21"/>
              </w:rPr>
            </w:pPr>
          </w:p>
        </w:tc>
        <w:tc>
          <w:tcPr>
            <w:tcW w:w="1667" w:type="dxa"/>
            <w:tcBorders>
              <w:top w:val="single" w:color="auto" w:sz="6" w:space="0"/>
              <w:left w:val="single" w:color="auto" w:sz="6" w:space="0"/>
              <w:bottom w:val="single" w:color="auto" w:sz="6" w:space="0"/>
              <w:right w:val="single" w:color="auto" w:sz="12" w:space="0"/>
            </w:tcBorders>
          </w:tcPr>
          <w:p>
            <w:pPr>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276"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5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243"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5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667"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tcPr>
          <w:p>
            <w:pPr>
              <w:rPr>
                <w:rFonts w:ascii="宋体" w:hAnsi="宋体"/>
                <w:color w:val="000000"/>
                <w:szCs w:val="21"/>
              </w:rPr>
            </w:pPr>
          </w:p>
        </w:tc>
        <w:tc>
          <w:tcPr>
            <w:tcW w:w="1276" w:type="dxa"/>
            <w:tcBorders>
              <w:top w:val="single" w:color="auto" w:sz="6" w:space="0"/>
              <w:left w:val="single" w:color="auto" w:sz="6" w:space="0"/>
              <w:bottom w:val="single" w:color="auto" w:sz="6" w:space="0"/>
              <w:right w:val="single" w:color="auto" w:sz="6" w:space="0"/>
            </w:tcBorders>
          </w:tcPr>
          <w:p>
            <w:pPr>
              <w:rPr>
                <w:rFonts w:ascii="宋体" w:hAnsi="宋体"/>
                <w:color w:val="000000"/>
                <w:szCs w:val="21"/>
              </w:rPr>
            </w:pPr>
          </w:p>
        </w:tc>
        <w:tc>
          <w:tcPr>
            <w:tcW w:w="1450" w:type="dxa"/>
            <w:tcBorders>
              <w:top w:val="single" w:color="auto" w:sz="6" w:space="0"/>
              <w:left w:val="single" w:color="auto" w:sz="6" w:space="0"/>
              <w:bottom w:val="single" w:color="auto" w:sz="6" w:space="0"/>
              <w:right w:val="single" w:color="auto" w:sz="6" w:space="0"/>
            </w:tcBorders>
          </w:tcPr>
          <w:p>
            <w:pPr>
              <w:rPr>
                <w:rFonts w:ascii="宋体" w:hAnsi="宋体"/>
                <w:color w:val="000000"/>
                <w:szCs w:val="21"/>
              </w:rPr>
            </w:pPr>
          </w:p>
        </w:tc>
        <w:tc>
          <w:tcPr>
            <w:tcW w:w="1243" w:type="dxa"/>
            <w:tcBorders>
              <w:top w:val="single" w:color="auto" w:sz="6" w:space="0"/>
              <w:left w:val="single" w:color="auto" w:sz="6" w:space="0"/>
              <w:bottom w:val="single" w:color="auto" w:sz="6" w:space="0"/>
              <w:right w:val="single" w:color="auto" w:sz="6" w:space="0"/>
            </w:tcBorders>
          </w:tcPr>
          <w:p>
            <w:pPr>
              <w:rPr>
                <w:rFonts w:ascii="宋体" w:hAnsi="宋体"/>
                <w:color w:val="000000"/>
                <w:szCs w:val="21"/>
              </w:rPr>
            </w:pPr>
          </w:p>
        </w:tc>
        <w:tc>
          <w:tcPr>
            <w:tcW w:w="1450" w:type="dxa"/>
            <w:tcBorders>
              <w:top w:val="single" w:color="auto" w:sz="6" w:space="0"/>
              <w:left w:val="single" w:color="auto" w:sz="6" w:space="0"/>
              <w:bottom w:val="single" w:color="auto" w:sz="6" w:space="0"/>
              <w:right w:val="single" w:color="auto" w:sz="6" w:space="0"/>
            </w:tcBorders>
          </w:tcPr>
          <w:p>
            <w:pPr>
              <w:rPr>
                <w:rFonts w:ascii="宋体" w:hAnsi="宋体"/>
                <w:color w:val="000000"/>
                <w:szCs w:val="21"/>
              </w:rPr>
            </w:pPr>
          </w:p>
        </w:tc>
        <w:tc>
          <w:tcPr>
            <w:tcW w:w="1667" w:type="dxa"/>
            <w:tcBorders>
              <w:top w:val="single" w:color="auto" w:sz="6" w:space="0"/>
              <w:left w:val="single" w:color="auto" w:sz="6" w:space="0"/>
              <w:bottom w:val="single" w:color="auto" w:sz="6" w:space="0"/>
              <w:right w:val="single" w:color="auto" w:sz="12" w:space="0"/>
            </w:tcBorders>
          </w:tcPr>
          <w:p>
            <w:pPr>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tcPr>
          <w:p>
            <w:pPr>
              <w:rPr>
                <w:rFonts w:ascii="宋体" w:hAnsi="宋体"/>
                <w:color w:val="000000"/>
                <w:szCs w:val="21"/>
              </w:rPr>
            </w:pPr>
          </w:p>
        </w:tc>
        <w:tc>
          <w:tcPr>
            <w:tcW w:w="1276" w:type="dxa"/>
            <w:tcBorders>
              <w:top w:val="single" w:color="auto" w:sz="6" w:space="0"/>
              <w:left w:val="single" w:color="auto" w:sz="6" w:space="0"/>
              <w:bottom w:val="single" w:color="auto" w:sz="6" w:space="0"/>
              <w:right w:val="single" w:color="auto" w:sz="6" w:space="0"/>
            </w:tcBorders>
          </w:tcPr>
          <w:p>
            <w:pPr>
              <w:rPr>
                <w:rFonts w:ascii="宋体" w:hAnsi="宋体"/>
                <w:color w:val="000000"/>
                <w:szCs w:val="21"/>
              </w:rPr>
            </w:pPr>
          </w:p>
        </w:tc>
        <w:tc>
          <w:tcPr>
            <w:tcW w:w="1450" w:type="dxa"/>
            <w:tcBorders>
              <w:top w:val="single" w:color="auto" w:sz="6" w:space="0"/>
              <w:left w:val="single" w:color="auto" w:sz="6" w:space="0"/>
              <w:bottom w:val="single" w:color="auto" w:sz="6" w:space="0"/>
              <w:right w:val="single" w:color="auto" w:sz="6" w:space="0"/>
            </w:tcBorders>
          </w:tcPr>
          <w:p>
            <w:pPr>
              <w:rPr>
                <w:rFonts w:ascii="宋体" w:hAnsi="宋体"/>
                <w:color w:val="000000"/>
                <w:szCs w:val="21"/>
              </w:rPr>
            </w:pPr>
          </w:p>
        </w:tc>
        <w:tc>
          <w:tcPr>
            <w:tcW w:w="1243" w:type="dxa"/>
            <w:tcBorders>
              <w:top w:val="single" w:color="auto" w:sz="6" w:space="0"/>
              <w:left w:val="single" w:color="auto" w:sz="6" w:space="0"/>
              <w:bottom w:val="single" w:color="auto" w:sz="6" w:space="0"/>
              <w:right w:val="single" w:color="auto" w:sz="6" w:space="0"/>
            </w:tcBorders>
          </w:tcPr>
          <w:p>
            <w:pPr>
              <w:rPr>
                <w:rFonts w:ascii="宋体" w:hAnsi="宋体"/>
                <w:color w:val="000000"/>
                <w:szCs w:val="21"/>
              </w:rPr>
            </w:pPr>
          </w:p>
        </w:tc>
        <w:tc>
          <w:tcPr>
            <w:tcW w:w="1450" w:type="dxa"/>
            <w:tcBorders>
              <w:top w:val="single" w:color="auto" w:sz="6" w:space="0"/>
              <w:left w:val="single" w:color="auto" w:sz="6" w:space="0"/>
              <w:bottom w:val="single" w:color="auto" w:sz="6" w:space="0"/>
              <w:right w:val="single" w:color="auto" w:sz="6" w:space="0"/>
            </w:tcBorders>
          </w:tcPr>
          <w:p>
            <w:pPr>
              <w:rPr>
                <w:rFonts w:ascii="宋体" w:hAnsi="宋体"/>
                <w:color w:val="000000"/>
                <w:szCs w:val="21"/>
              </w:rPr>
            </w:pPr>
          </w:p>
        </w:tc>
        <w:tc>
          <w:tcPr>
            <w:tcW w:w="1667" w:type="dxa"/>
            <w:tcBorders>
              <w:top w:val="single" w:color="auto" w:sz="6" w:space="0"/>
              <w:left w:val="single" w:color="auto" w:sz="6" w:space="0"/>
              <w:bottom w:val="single" w:color="auto" w:sz="6" w:space="0"/>
              <w:right w:val="single" w:color="auto" w:sz="12" w:space="0"/>
            </w:tcBorders>
          </w:tcPr>
          <w:p>
            <w:pPr>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tcPr>
          <w:p>
            <w:pPr>
              <w:rPr>
                <w:rFonts w:ascii="宋体" w:hAnsi="宋体"/>
                <w:color w:val="000000"/>
                <w:szCs w:val="21"/>
              </w:rPr>
            </w:pPr>
          </w:p>
        </w:tc>
        <w:tc>
          <w:tcPr>
            <w:tcW w:w="1276" w:type="dxa"/>
            <w:tcBorders>
              <w:top w:val="single" w:color="auto" w:sz="6" w:space="0"/>
              <w:left w:val="single" w:color="auto" w:sz="6" w:space="0"/>
              <w:bottom w:val="single" w:color="auto" w:sz="6" w:space="0"/>
              <w:right w:val="single" w:color="auto" w:sz="6" w:space="0"/>
            </w:tcBorders>
          </w:tcPr>
          <w:p>
            <w:pPr>
              <w:rPr>
                <w:rFonts w:ascii="宋体" w:hAnsi="宋体"/>
                <w:color w:val="000000"/>
                <w:szCs w:val="21"/>
              </w:rPr>
            </w:pPr>
          </w:p>
        </w:tc>
        <w:tc>
          <w:tcPr>
            <w:tcW w:w="1450" w:type="dxa"/>
            <w:tcBorders>
              <w:top w:val="single" w:color="auto" w:sz="6" w:space="0"/>
              <w:left w:val="single" w:color="auto" w:sz="6" w:space="0"/>
              <w:bottom w:val="single" w:color="auto" w:sz="6" w:space="0"/>
              <w:right w:val="single" w:color="auto" w:sz="6" w:space="0"/>
            </w:tcBorders>
          </w:tcPr>
          <w:p>
            <w:pPr>
              <w:rPr>
                <w:rFonts w:ascii="宋体" w:hAnsi="宋体"/>
                <w:color w:val="000000"/>
                <w:szCs w:val="21"/>
              </w:rPr>
            </w:pPr>
          </w:p>
        </w:tc>
        <w:tc>
          <w:tcPr>
            <w:tcW w:w="1243" w:type="dxa"/>
            <w:tcBorders>
              <w:top w:val="single" w:color="auto" w:sz="6" w:space="0"/>
              <w:left w:val="single" w:color="auto" w:sz="6" w:space="0"/>
              <w:bottom w:val="single" w:color="auto" w:sz="6" w:space="0"/>
              <w:right w:val="single" w:color="auto" w:sz="6" w:space="0"/>
            </w:tcBorders>
          </w:tcPr>
          <w:p>
            <w:pPr>
              <w:rPr>
                <w:rFonts w:ascii="宋体" w:hAnsi="宋体"/>
                <w:color w:val="000000"/>
                <w:szCs w:val="21"/>
              </w:rPr>
            </w:pPr>
          </w:p>
        </w:tc>
        <w:tc>
          <w:tcPr>
            <w:tcW w:w="1450" w:type="dxa"/>
            <w:tcBorders>
              <w:top w:val="single" w:color="auto" w:sz="6" w:space="0"/>
              <w:left w:val="single" w:color="auto" w:sz="6" w:space="0"/>
              <w:bottom w:val="single" w:color="auto" w:sz="6" w:space="0"/>
              <w:right w:val="single" w:color="auto" w:sz="6" w:space="0"/>
            </w:tcBorders>
          </w:tcPr>
          <w:p>
            <w:pPr>
              <w:rPr>
                <w:rFonts w:ascii="宋体" w:hAnsi="宋体"/>
                <w:color w:val="000000"/>
                <w:szCs w:val="21"/>
              </w:rPr>
            </w:pPr>
          </w:p>
        </w:tc>
        <w:tc>
          <w:tcPr>
            <w:tcW w:w="1667" w:type="dxa"/>
            <w:tcBorders>
              <w:top w:val="single" w:color="auto" w:sz="6" w:space="0"/>
              <w:left w:val="single" w:color="auto" w:sz="6" w:space="0"/>
              <w:bottom w:val="single" w:color="auto" w:sz="6" w:space="0"/>
              <w:right w:val="single" w:color="auto" w:sz="12" w:space="0"/>
            </w:tcBorders>
          </w:tcPr>
          <w:p>
            <w:pPr>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tcPr>
          <w:p>
            <w:pPr>
              <w:rPr>
                <w:rFonts w:ascii="宋体" w:hAnsi="宋体"/>
                <w:color w:val="000000"/>
                <w:szCs w:val="21"/>
              </w:rPr>
            </w:pPr>
          </w:p>
        </w:tc>
        <w:tc>
          <w:tcPr>
            <w:tcW w:w="1276" w:type="dxa"/>
            <w:tcBorders>
              <w:top w:val="single" w:color="auto" w:sz="6" w:space="0"/>
              <w:left w:val="single" w:color="auto" w:sz="6" w:space="0"/>
              <w:bottom w:val="single" w:color="auto" w:sz="6" w:space="0"/>
              <w:right w:val="single" w:color="auto" w:sz="6" w:space="0"/>
            </w:tcBorders>
          </w:tcPr>
          <w:p>
            <w:pPr>
              <w:rPr>
                <w:rFonts w:ascii="宋体" w:hAnsi="宋体"/>
                <w:color w:val="000000"/>
                <w:szCs w:val="21"/>
              </w:rPr>
            </w:pPr>
          </w:p>
        </w:tc>
        <w:tc>
          <w:tcPr>
            <w:tcW w:w="1450" w:type="dxa"/>
            <w:tcBorders>
              <w:top w:val="single" w:color="auto" w:sz="6" w:space="0"/>
              <w:left w:val="single" w:color="auto" w:sz="6" w:space="0"/>
              <w:bottom w:val="single" w:color="auto" w:sz="6" w:space="0"/>
              <w:right w:val="single" w:color="auto" w:sz="6" w:space="0"/>
            </w:tcBorders>
          </w:tcPr>
          <w:p>
            <w:pPr>
              <w:rPr>
                <w:rFonts w:ascii="宋体" w:hAnsi="宋体"/>
                <w:color w:val="000000"/>
                <w:szCs w:val="21"/>
              </w:rPr>
            </w:pPr>
          </w:p>
        </w:tc>
        <w:tc>
          <w:tcPr>
            <w:tcW w:w="1243" w:type="dxa"/>
            <w:tcBorders>
              <w:top w:val="single" w:color="auto" w:sz="6" w:space="0"/>
              <w:left w:val="single" w:color="auto" w:sz="6" w:space="0"/>
              <w:bottom w:val="single" w:color="auto" w:sz="6" w:space="0"/>
              <w:right w:val="single" w:color="auto" w:sz="6" w:space="0"/>
            </w:tcBorders>
          </w:tcPr>
          <w:p>
            <w:pPr>
              <w:rPr>
                <w:rFonts w:ascii="宋体" w:hAnsi="宋体"/>
                <w:color w:val="000000"/>
                <w:szCs w:val="21"/>
              </w:rPr>
            </w:pPr>
          </w:p>
        </w:tc>
        <w:tc>
          <w:tcPr>
            <w:tcW w:w="1450" w:type="dxa"/>
            <w:tcBorders>
              <w:top w:val="single" w:color="auto" w:sz="6" w:space="0"/>
              <w:left w:val="single" w:color="auto" w:sz="6" w:space="0"/>
              <w:bottom w:val="single" w:color="auto" w:sz="6" w:space="0"/>
              <w:right w:val="single" w:color="auto" w:sz="6" w:space="0"/>
            </w:tcBorders>
          </w:tcPr>
          <w:p>
            <w:pPr>
              <w:rPr>
                <w:rFonts w:ascii="宋体" w:hAnsi="宋体"/>
                <w:color w:val="000000"/>
                <w:szCs w:val="21"/>
              </w:rPr>
            </w:pPr>
          </w:p>
        </w:tc>
        <w:tc>
          <w:tcPr>
            <w:tcW w:w="1667" w:type="dxa"/>
            <w:tcBorders>
              <w:top w:val="single" w:color="auto" w:sz="6" w:space="0"/>
              <w:left w:val="single" w:color="auto" w:sz="6" w:space="0"/>
              <w:bottom w:val="single" w:color="auto" w:sz="6" w:space="0"/>
              <w:right w:val="single" w:color="auto" w:sz="12" w:space="0"/>
            </w:tcBorders>
          </w:tcPr>
          <w:p>
            <w:pPr>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1953" w:type="dxa"/>
            <w:tcBorders>
              <w:top w:val="single" w:color="auto" w:sz="6" w:space="0"/>
              <w:left w:val="single" w:color="auto" w:sz="12" w:space="0"/>
              <w:bottom w:val="single" w:color="auto" w:sz="12" w:space="0"/>
              <w:right w:val="single" w:color="auto" w:sz="6" w:space="0"/>
            </w:tcBorders>
          </w:tcPr>
          <w:p>
            <w:pPr>
              <w:rPr>
                <w:rFonts w:ascii="宋体" w:hAnsi="宋体"/>
                <w:color w:val="000000"/>
                <w:szCs w:val="21"/>
              </w:rPr>
            </w:pPr>
          </w:p>
        </w:tc>
        <w:tc>
          <w:tcPr>
            <w:tcW w:w="1276" w:type="dxa"/>
            <w:tcBorders>
              <w:top w:val="single" w:color="auto" w:sz="6" w:space="0"/>
              <w:left w:val="single" w:color="auto" w:sz="6" w:space="0"/>
              <w:bottom w:val="single" w:color="auto" w:sz="12" w:space="0"/>
              <w:right w:val="single" w:color="auto" w:sz="6" w:space="0"/>
            </w:tcBorders>
          </w:tcPr>
          <w:p>
            <w:pPr>
              <w:rPr>
                <w:rFonts w:ascii="宋体" w:hAnsi="宋体"/>
                <w:color w:val="000000"/>
                <w:szCs w:val="21"/>
              </w:rPr>
            </w:pPr>
          </w:p>
        </w:tc>
        <w:tc>
          <w:tcPr>
            <w:tcW w:w="1450" w:type="dxa"/>
            <w:tcBorders>
              <w:top w:val="single" w:color="auto" w:sz="6" w:space="0"/>
              <w:left w:val="single" w:color="auto" w:sz="6" w:space="0"/>
              <w:bottom w:val="single" w:color="auto" w:sz="12" w:space="0"/>
              <w:right w:val="single" w:color="auto" w:sz="6" w:space="0"/>
            </w:tcBorders>
          </w:tcPr>
          <w:p>
            <w:pPr>
              <w:rPr>
                <w:rFonts w:ascii="宋体" w:hAnsi="宋体"/>
                <w:color w:val="000000"/>
                <w:szCs w:val="21"/>
              </w:rPr>
            </w:pPr>
          </w:p>
        </w:tc>
        <w:tc>
          <w:tcPr>
            <w:tcW w:w="1243" w:type="dxa"/>
            <w:tcBorders>
              <w:top w:val="single" w:color="auto" w:sz="6" w:space="0"/>
              <w:left w:val="single" w:color="auto" w:sz="6" w:space="0"/>
              <w:bottom w:val="single" w:color="auto" w:sz="12" w:space="0"/>
              <w:right w:val="single" w:color="auto" w:sz="6" w:space="0"/>
            </w:tcBorders>
          </w:tcPr>
          <w:p>
            <w:pPr>
              <w:rPr>
                <w:rFonts w:ascii="宋体" w:hAnsi="宋体"/>
                <w:color w:val="000000"/>
                <w:szCs w:val="21"/>
              </w:rPr>
            </w:pPr>
          </w:p>
        </w:tc>
        <w:tc>
          <w:tcPr>
            <w:tcW w:w="1450" w:type="dxa"/>
            <w:tcBorders>
              <w:top w:val="single" w:color="auto" w:sz="6" w:space="0"/>
              <w:left w:val="single" w:color="auto" w:sz="6" w:space="0"/>
              <w:bottom w:val="single" w:color="auto" w:sz="12" w:space="0"/>
              <w:right w:val="single" w:color="auto" w:sz="6" w:space="0"/>
            </w:tcBorders>
          </w:tcPr>
          <w:p>
            <w:pPr>
              <w:rPr>
                <w:rFonts w:ascii="宋体" w:hAnsi="宋体"/>
                <w:color w:val="000000"/>
                <w:szCs w:val="21"/>
              </w:rPr>
            </w:pPr>
          </w:p>
        </w:tc>
        <w:tc>
          <w:tcPr>
            <w:tcW w:w="1667" w:type="dxa"/>
            <w:tcBorders>
              <w:top w:val="single" w:color="auto" w:sz="6" w:space="0"/>
              <w:left w:val="single" w:color="auto" w:sz="6" w:space="0"/>
              <w:bottom w:val="single" w:color="auto" w:sz="12" w:space="0"/>
              <w:right w:val="single" w:color="auto" w:sz="12" w:space="0"/>
            </w:tcBorders>
          </w:tcPr>
          <w:p>
            <w:pPr>
              <w:rPr>
                <w:rFonts w:ascii="宋体" w:hAnsi="宋体"/>
                <w:color w:val="000000"/>
                <w:szCs w:val="21"/>
              </w:rPr>
            </w:pPr>
          </w:p>
        </w:tc>
      </w:tr>
    </w:tbl>
    <w:p>
      <w:pPr>
        <w:spacing w:line="440" w:lineRule="exact"/>
        <w:rPr>
          <w:rFonts w:ascii="宋体" w:hAnsi="宋体"/>
          <w:color w:val="000000"/>
          <w:szCs w:val="21"/>
        </w:rPr>
      </w:pPr>
      <w:r>
        <w:rPr>
          <w:rFonts w:ascii="宋体" w:hAnsi="宋体"/>
          <w:color w:val="000000"/>
          <w:szCs w:val="21"/>
        </w:rPr>
        <w:br w:type="page"/>
      </w:r>
      <w:r>
        <w:rPr>
          <w:rFonts w:hint="eastAsia" w:ascii="宋体" w:hAnsi="宋体"/>
          <w:color w:val="000000"/>
          <w:szCs w:val="21"/>
        </w:rPr>
        <w:t>附</w:t>
      </w:r>
      <w:bookmarkStart w:id="1245" w:name="_Toc296944566"/>
      <w:bookmarkStart w:id="1246" w:name="_Toc296891267"/>
      <w:bookmarkStart w:id="1247" w:name="_Toc296891055"/>
      <w:bookmarkStart w:id="1248" w:name="_Toc296503227"/>
      <w:bookmarkStart w:id="1249" w:name="_Toc296347226"/>
      <w:bookmarkStart w:id="1250" w:name="_Toc296346728"/>
      <w:bookmarkStart w:id="1251" w:name="_Toc267261698"/>
      <w:r>
        <w:rPr>
          <w:rFonts w:hint="eastAsia" w:ascii="宋体" w:hAnsi="宋体"/>
          <w:color w:val="000000"/>
          <w:szCs w:val="21"/>
        </w:rPr>
        <w:t>件</w:t>
      </w:r>
      <w:r>
        <w:rPr>
          <w:rFonts w:ascii="宋体" w:hAnsi="宋体"/>
          <w:color w:val="000000"/>
          <w:szCs w:val="21"/>
        </w:rPr>
        <w:t>5</w:t>
      </w:r>
      <w:r>
        <w:rPr>
          <w:rFonts w:hint="eastAsia" w:ascii="宋体" w:hAnsi="宋体"/>
          <w:color w:val="000000"/>
          <w:szCs w:val="21"/>
        </w:rPr>
        <w:t>：</w:t>
      </w:r>
    </w:p>
    <w:bookmarkEnd w:id="1245"/>
    <w:bookmarkEnd w:id="1246"/>
    <w:bookmarkEnd w:id="1247"/>
    <w:bookmarkEnd w:id="1248"/>
    <w:bookmarkEnd w:id="1249"/>
    <w:bookmarkEnd w:id="1250"/>
    <w:bookmarkEnd w:id="1251"/>
    <w:p>
      <w:pPr>
        <w:spacing w:before="120" w:beforeLines="50" w:after="120" w:afterLines="50" w:line="440" w:lineRule="exact"/>
        <w:jc w:val="center"/>
        <w:rPr>
          <w:rFonts w:ascii="宋体" w:hAnsi="宋体"/>
          <w:b/>
          <w:color w:val="000000"/>
          <w:sz w:val="28"/>
          <w:szCs w:val="28"/>
        </w:rPr>
      </w:pPr>
      <w:r>
        <w:rPr>
          <w:rFonts w:hint="eastAsia" w:ascii="宋体" w:hAnsi="宋体"/>
          <w:b/>
          <w:color w:val="000000"/>
          <w:sz w:val="28"/>
          <w:szCs w:val="28"/>
        </w:rPr>
        <w:t>承包人用于本工程施工的机械设备表</w:t>
      </w:r>
    </w:p>
    <w:tbl>
      <w:tblPr>
        <w:tblStyle w:val="36"/>
        <w:tblW w:w="98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162" w:type="dxa"/>
            <w:tcBorders>
              <w:top w:val="single" w:color="auto" w:sz="12" w:space="0"/>
              <w:left w:val="single" w:color="auto" w:sz="12" w:space="0"/>
              <w:bottom w:val="doub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序号</w:t>
            </w:r>
          </w:p>
        </w:tc>
        <w:tc>
          <w:tcPr>
            <w:tcW w:w="1418" w:type="dxa"/>
            <w:tcBorders>
              <w:top w:val="single" w:color="auto" w:sz="12" w:space="0"/>
              <w:left w:val="single" w:color="auto" w:sz="6" w:space="0"/>
              <w:bottom w:val="doub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机械或设备名称</w:t>
            </w:r>
          </w:p>
        </w:tc>
        <w:tc>
          <w:tcPr>
            <w:tcW w:w="850" w:type="dxa"/>
            <w:tcBorders>
              <w:top w:val="single" w:color="auto" w:sz="12" w:space="0"/>
              <w:left w:val="single" w:color="auto" w:sz="6" w:space="0"/>
              <w:bottom w:val="doub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规格型号</w:t>
            </w:r>
          </w:p>
        </w:tc>
        <w:tc>
          <w:tcPr>
            <w:tcW w:w="1058" w:type="dxa"/>
            <w:tcBorders>
              <w:top w:val="single" w:color="auto" w:sz="12" w:space="0"/>
              <w:left w:val="single" w:color="auto" w:sz="6" w:space="0"/>
              <w:bottom w:val="doub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数量</w:t>
            </w:r>
          </w:p>
        </w:tc>
        <w:tc>
          <w:tcPr>
            <w:tcW w:w="880" w:type="dxa"/>
            <w:tcBorders>
              <w:top w:val="single" w:color="auto" w:sz="12" w:space="0"/>
              <w:left w:val="single" w:color="auto" w:sz="6" w:space="0"/>
              <w:bottom w:val="doub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产地</w:t>
            </w:r>
          </w:p>
        </w:tc>
        <w:tc>
          <w:tcPr>
            <w:tcW w:w="1020" w:type="dxa"/>
            <w:tcBorders>
              <w:top w:val="single" w:color="auto" w:sz="12" w:space="0"/>
              <w:left w:val="single" w:color="auto" w:sz="6" w:space="0"/>
              <w:bottom w:val="doub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制造年份</w:t>
            </w:r>
          </w:p>
        </w:tc>
        <w:tc>
          <w:tcPr>
            <w:tcW w:w="1480" w:type="dxa"/>
            <w:tcBorders>
              <w:top w:val="single" w:color="auto" w:sz="12" w:space="0"/>
              <w:left w:val="single" w:color="auto" w:sz="6" w:space="0"/>
              <w:bottom w:val="doub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额定功率</w:t>
            </w:r>
            <w:r>
              <w:rPr>
                <w:rFonts w:hint="eastAsia" w:ascii="宋体" w:hAnsi="宋体"/>
                <w:color w:val="000000"/>
                <w:szCs w:val="21"/>
                <w:lang w:eastAsia="zh-CN"/>
              </w:rPr>
              <w:t>（</w:t>
            </w:r>
            <w:r>
              <w:rPr>
                <w:rFonts w:ascii="宋体" w:hAnsi="宋体"/>
                <w:color w:val="000000"/>
                <w:szCs w:val="21"/>
              </w:rPr>
              <w:t>kW)</w:t>
            </w:r>
          </w:p>
        </w:tc>
        <w:tc>
          <w:tcPr>
            <w:tcW w:w="1020" w:type="dxa"/>
            <w:tcBorders>
              <w:top w:val="single" w:color="auto" w:sz="12" w:space="0"/>
              <w:left w:val="single" w:color="auto" w:sz="6" w:space="0"/>
              <w:bottom w:val="doub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生产能力</w:t>
            </w:r>
          </w:p>
        </w:tc>
        <w:tc>
          <w:tcPr>
            <w:tcW w:w="921" w:type="dxa"/>
            <w:tcBorders>
              <w:top w:val="single" w:color="auto" w:sz="12" w:space="0"/>
              <w:left w:val="single" w:color="auto" w:sz="6" w:space="0"/>
              <w:bottom w:val="doub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1162" w:type="dxa"/>
            <w:tcBorders>
              <w:top w:val="doub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18" w:type="dxa"/>
            <w:tcBorders>
              <w:top w:val="doub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0" w:type="dxa"/>
            <w:tcBorders>
              <w:top w:val="doub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058" w:type="dxa"/>
            <w:tcBorders>
              <w:top w:val="doub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80" w:type="dxa"/>
            <w:tcBorders>
              <w:top w:val="doub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020" w:type="dxa"/>
            <w:tcBorders>
              <w:top w:val="doub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80" w:type="dxa"/>
            <w:tcBorders>
              <w:top w:val="doub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020" w:type="dxa"/>
            <w:tcBorders>
              <w:top w:val="doub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921" w:type="dxa"/>
            <w:tcBorders>
              <w:top w:val="doub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1162" w:type="dxa"/>
            <w:tcBorders>
              <w:top w:val="nil"/>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18"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0"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058"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80"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020"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80"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020"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921" w:type="dxa"/>
            <w:tcBorders>
              <w:top w:val="nil"/>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1162" w:type="dxa"/>
            <w:tcBorders>
              <w:top w:val="sing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05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8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02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8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02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921"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1162" w:type="dxa"/>
            <w:tcBorders>
              <w:top w:val="sing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05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8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02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8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02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921"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1162" w:type="dxa"/>
            <w:tcBorders>
              <w:top w:val="sing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05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8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02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8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02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921"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1162" w:type="dxa"/>
            <w:tcBorders>
              <w:top w:val="sing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05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8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02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8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02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921"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1162" w:type="dxa"/>
            <w:tcBorders>
              <w:top w:val="sing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05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8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02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8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02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921"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1162" w:type="dxa"/>
            <w:tcBorders>
              <w:top w:val="sing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05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8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02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8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02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921"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1162" w:type="dxa"/>
            <w:tcBorders>
              <w:top w:val="single" w:color="auto" w:sz="6" w:space="0"/>
              <w:left w:val="single" w:color="auto" w:sz="12" w:space="0"/>
              <w:bottom w:val="single" w:color="auto" w:sz="6" w:space="0"/>
              <w:right w:val="single" w:color="auto" w:sz="6" w:space="0"/>
            </w:tcBorders>
          </w:tcPr>
          <w:p>
            <w:pPr>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rPr>
                <w:rFonts w:ascii="宋体" w:hAnsi="宋体"/>
                <w:color w:val="000000"/>
                <w:szCs w:val="21"/>
              </w:rPr>
            </w:pPr>
          </w:p>
        </w:tc>
        <w:tc>
          <w:tcPr>
            <w:tcW w:w="850" w:type="dxa"/>
            <w:tcBorders>
              <w:top w:val="single" w:color="auto" w:sz="6" w:space="0"/>
              <w:left w:val="single" w:color="auto" w:sz="6" w:space="0"/>
              <w:bottom w:val="single" w:color="auto" w:sz="6" w:space="0"/>
              <w:right w:val="single" w:color="auto" w:sz="6" w:space="0"/>
            </w:tcBorders>
          </w:tcPr>
          <w:p>
            <w:pPr>
              <w:rPr>
                <w:rFonts w:ascii="宋体" w:hAnsi="宋体"/>
                <w:color w:val="000000"/>
                <w:szCs w:val="21"/>
              </w:rPr>
            </w:pPr>
          </w:p>
        </w:tc>
        <w:tc>
          <w:tcPr>
            <w:tcW w:w="1058" w:type="dxa"/>
            <w:tcBorders>
              <w:top w:val="single" w:color="auto" w:sz="6" w:space="0"/>
              <w:left w:val="single" w:color="auto" w:sz="6" w:space="0"/>
              <w:bottom w:val="single" w:color="auto" w:sz="6" w:space="0"/>
              <w:right w:val="single" w:color="auto" w:sz="6" w:space="0"/>
            </w:tcBorders>
          </w:tcPr>
          <w:p>
            <w:pPr>
              <w:rPr>
                <w:rFonts w:ascii="宋体" w:hAnsi="宋体"/>
                <w:color w:val="000000"/>
                <w:szCs w:val="21"/>
              </w:rPr>
            </w:pPr>
          </w:p>
        </w:tc>
        <w:tc>
          <w:tcPr>
            <w:tcW w:w="880" w:type="dxa"/>
            <w:tcBorders>
              <w:top w:val="single" w:color="auto" w:sz="6" w:space="0"/>
              <w:left w:val="single" w:color="auto" w:sz="6" w:space="0"/>
              <w:bottom w:val="single" w:color="auto" w:sz="6" w:space="0"/>
              <w:right w:val="single" w:color="auto" w:sz="6" w:space="0"/>
            </w:tcBorders>
          </w:tcPr>
          <w:p>
            <w:pPr>
              <w:rPr>
                <w:rFonts w:ascii="宋体" w:hAnsi="宋体"/>
                <w:color w:val="000000"/>
                <w:szCs w:val="21"/>
              </w:rPr>
            </w:pPr>
          </w:p>
        </w:tc>
        <w:tc>
          <w:tcPr>
            <w:tcW w:w="1020" w:type="dxa"/>
            <w:tcBorders>
              <w:top w:val="single" w:color="auto" w:sz="6" w:space="0"/>
              <w:left w:val="single" w:color="auto" w:sz="6" w:space="0"/>
              <w:bottom w:val="single" w:color="auto" w:sz="6" w:space="0"/>
              <w:right w:val="single" w:color="auto" w:sz="6" w:space="0"/>
            </w:tcBorders>
          </w:tcPr>
          <w:p>
            <w:pPr>
              <w:rPr>
                <w:rFonts w:ascii="宋体" w:hAnsi="宋体"/>
                <w:color w:val="000000"/>
                <w:szCs w:val="21"/>
              </w:rPr>
            </w:pPr>
          </w:p>
        </w:tc>
        <w:tc>
          <w:tcPr>
            <w:tcW w:w="1480" w:type="dxa"/>
            <w:tcBorders>
              <w:top w:val="single" w:color="auto" w:sz="6" w:space="0"/>
              <w:left w:val="single" w:color="auto" w:sz="6" w:space="0"/>
              <w:bottom w:val="single" w:color="auto" w:sz="6" w:space="0"/>
              <w:right w:val="single" w:color="auto" w:sz="6" w:space="0"/>
            </w:tcBorders>
          </w:tcPr>
          <w:p>
            <w:pPr>
              <w:rPr>
                <w:rFonts w:ascii="宋体" w:hAnsi="宋体"/>
                <w:color w:val="000000"/>
                <w:szCs w:val="21"/>
              </w:rPr>
            </w:pPr>
          </w:p>
        </w:tc>
        <w:tc>
          <w:tcPr>
            <w:tcW w:w="1020" w:type="dxa"/>
            <w:tcBorders>
              <w:top w:val="single" w:color="auto" w:sz="6" w:space="0"/>
              <w:left w:val="single" w:color="auto" w:sz="6" w:space="0"/>
              <w:bottom w:val="single" w:color="auto" w:sz="6" w:space="0"/>
              <w:right w:val="single" w:color="auto" w:sz="6" w:space="0"/>
            </w:tcBorders>
          </w:tcPr>
          <w:p>
            <w:pPr>
              <w:rPr>
                <w:rFonts w:ascii="宋体" w:hAnsi="宋体"/>
                <w:color w:val="000000"/>
                <w:szCs w:val="21"/>
              </w:rPr>
            </w:pPr>
          </w:p>
        </w:tc>
        <w:tc>
          <w:tcPr>
            <w:tcW w:w="921" w:type="dxa"/>
            <w:tcBorders>
              <w:top w:val="single" w:color="auto" w:sz="6" w:space="0"/>
              <w:left w:val="single" w:color="auto" w:sz="6" w:space="0"/>
              <w:bottom w:val="single" w:color="auto" w:sz="6" w:space="0"/>
              <w:right w:val="single" w:color="auto" w:sz="12" w:space="0"/>
            </w:tcBorders>
          </w:tcPr>
          <w:p>
            <w:pPr>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1162" w:type="dxa"/>
            <w:tcBorders>
              <w:top w:val="sing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05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88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02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8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020"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921"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1162" w:type="dxa"/>
            <w:tcBorders>
              <w:top w:val="single" w:color="auto" w:sz="6" w:space="0"/>
              <w:left w:val="single" w:color="auto" w:sz="12" w:space="0"/>
              <w:bottom w:val="single" w:color="auto" w:sz="6" w:space="0"/>
              <w:right w:val="single" w:color="auto" w:sz="6" w:space="0"/>
            </w:tcBorders>
          </w:tcPr>
          <w:p>
            <w:pPr>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rPr>
                <w:rFonts w:ascii="宋体" w:hAnsi="宋体"/>
                <w:color w:val="000000"/>
                <w:szCs w:val="21"/>
              </w:rPr>
            </w:pPr>
          </w:p>
        </w:tc>
        <w:tc>
          <w:tcPr>
            <w:tcW w:w="850" w:type="dxa"/>
            <w:tcBorders>
              <w:top w:val="single" w:color="auto" w:sz="6" w:space="0"/>
              <w:left w:val="single" w:color="auto" w:sz="6" w:space="0"/>
              <w:bottom w:val="single" w:color="auto" w:sz="6" w:space="0"/>
              <w:right w:val="single" w:color="auto" w:sz="6" w:space="0"/>
            </w:tcBorders>
          </w:tcPr>
          <w:p>
            <w:pPr>
              <w:rPr>
                <w:rFonts w:ascii="宋体" w:hAnsi="宋体"/>
                <w:color w:val="000000"/>
                <w:szCs w:val="21"/>
              </w:rPr>
            </w:pPr>
          </w:p>
        </w:tc>
        <w:tc>
          <w:tcPr>
            <w:tcW w:w="1058" w:type="dxa"/>
            <w:tcBorders>
              <w:top w:val="single" w:color="auto" w:sz="6" w:space="0"/>
              <w:left w:val="single" w:color="auto" w:sz="6" w:space="0"/>
              <w:bottom w:val="single" w:color="auto" w:sz="6" w:space="0"/>
              <w:right w:val="single" w:color="auto" w:sz="6" w:space="0"/>
            </w:tcBorders>
          </w:tcPr>
          <w:p>
            <w:pPr>
              <w:rPr>
                <w:rFonts w:ascii="宋体" w:hAnsi="宋体"/>
                <w:color w:val="000000"/>
                <w:szCs w:val="21"/>
              </w:rPr>
            </w:pPr>
          </w:p>
        </w:tc>
        <w:tc>
          <w:tcPr>
            <w:tcW w:w="880" w:type="dxa"/>
            <w:tcBorders>
              <w:top w:val="single" w:color="auto" w:sz="6" w:space="0"/>
              <w:left w:val="single" w:color="auto" w:sz="6" w:space="0"/>
              <w:bottom w:val="single" w:color="auto" w:sz="6" w:space="0"/>
              <w:right w:val="single" w:color="auto" w:sz="6" w:space="0"/>
            </w:tcBorders>
          </w:tcPr>
          <w:p>
            <w:pPr>
              <w:rPr>
                <w:rFonts w:ascii="宋体" w:hAnsi="宋体"/>
                <w:color w:val="000000"/>
                <w:szCs w:val="21"/>
              </w:rPr>
            </w:pPr>
          </w:p>
        </w:tc>
        <w:tc>
          <w:tcPr>
            <w:tcW w:w="1020" w:type="dxa"/>
            <w:tcBorders>
              <w:top w:val="single" w:color="auto" w:sz="6" w:space="0"/>
              <w:left w:val="single" w:color="auto" w:sz="6" w:space="0"/>
              <w:bottom w:val="single" w:color="auto" w:sz="6" w:space="0"/>
              <w:right w:val="single" w:color="auto" w:sz="6" w:space="0"/>
            </w:tcBorders>
          </w:tcPr>
          <w:p>
            <w:pPr>
              <w:rPr>
                <w:rFonts w:ascii="宋体" w:hAnsi="宋体"/>
                <w:color w:val="000000"/>
                <w:szCs w:val="21"/>
              </w:rPr>
            </w:pPr>
          </w:p>
        </w:tc>
        <w:tc>
          <w:tcPr>
            <w:tcW w:w="1480" w:type="dxa"/>
            <w:tcBorders>
              <w:top w:val="single" w:color="auto" w:sz="6" w:space="0"/>
              <w:left w:val="single" w:color="auto" w:sz="6" w:space="0"/>
              <w:bottom w:val="single" w:color="auto" w:sz="6" w:space="0"/>
              <w:right w:val="single" w:color="auto" w:sz="6" w:space="0"/>
            </w:tcBorders>
          </w:tcPr>
          <w:p>
            <w:pPr>
              <w:rPr>
                <w:rFonts w:ascii="宋体" w:hAnsi="宋体"/>
                <w:color w:val="000000"/>
                <w:szCs w:val="21"/>
              </w:rPr>
            </w:pPr>
          </w:p>
        </w:tc>
        <w:tc>
          <w:tcPr>
            <w:tcW w:w="1020" w:type="dxa"/>
            <w:tcBorders>
              <w:top w:val="single" w:color="auto" w:sz="6" w:space="0"/>
              <w:left w:val="single" w:color="auto" w:sz="6" w:space="0"/>
              <w:bottom w:val="single" w:color="auto" w:sz="6" w:space="0"/>
              <w:right w:val="single" w:color="auto" w:sz="6" w:space="0"/>
            </w:tcBorders>
          </w:tcPr>
          <w:p>
            <w:pPr>
              <w:rPr>
                <w:rFonts w:ascii="宋体" w:hAnsi="宋体"/>
                <w:color w:val="000000"/>
                <w:szCs w:val="21"/>
              </w:rPr>
            </w:pPr>
          </w:p>
        </w:tc>
        <w:tc>
          <w:tcPr>
            <w:tcW w:w="921" w:type="dxa"/>
            <w:tcBorders>
              <w:top w:val="single" w:color="auto" w:sz="6" w:space="0"/>
              <w:left w:val="single" w:color="auto" w:sz="6" w:space="0"/>
              <w:bottom w:val="single" w:color="auto" w:sz="6" w:space="0"/>
              <w:right w:val="single" w:color="auto" w:sz="12" w:space="0"/>
            </w:tcBorders>
          </w:tcPr>
          <w:p>
            <w:pPr>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1162" w:type="dxa"/>
            <w:tcBorders>
              <w:top w:val="single" w:color="auto" w:sz="6" w:space="0"/>
              <w:left w:val="single" w:color="auto" w:sz="12" w:space="0"/>
              <w:bottom w:val="single" w:color="auto" w:sz="6" w:space="0"/>
              <w:right w:val="single" w:color="auto" w:sz="6" w:space="0"/>
            </w:tcBorders>
          </w:tcPr>
          <w:p>
            <w:pPr>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rPr>
                <w:rFonts w:ascii="宋体" w:hAnsi="宋体"/>
                <w:color w:val="000000"/>
                <w:szCs w:val="21"/>
              </w:rPr>
            </w:pPr>
          </w:p>
        </w:tc>
        <w:tc>
          <w:tcPr>
            <w:tcW w:w="850" w:type="dxa"/>
            <w:tcBorders>
              <w:top w:val="single" w:color="auto" w:sz="6" w:space="0"/>
              <w:left w:val="single" w:color="auto" w:sz="6" w:space="0"/>
              <w:bottom w:val="single" w:color="auto" w:sz="6" w:space="0"/>
              <w:right w:val="single" w:color="auto" w:sz="6" w:space="0"/>
            </w:tcBorders>
          </w:tcPr>
          <w:p>
            <w:pPr>
              <w:rPr>
                <w:rFonts w:ascii="宋体" w:hAnsi="宋体"/>
                <w:color w:val="000000"/>
                <w:szCs w:val="21"/>
              </w:rPr>
            </w:pPr>
          </w:p>
        </w:tc>
        <w:tc>
          <w:tcPr>
            <w:tcW w:w="1058" w:type="dxa"/>
            <w:tcBorders>
              <w:top w:val="single" w:color="auto" w:sz="6" w:space="0"/>
              <w:left w:val="single" w:color="auto" w:sz="6" w:space="0"/>
              <w:bottom w:val="single" w:color="auto" w:sz="6" w:space="0"/>
              <w:right w:val="single" w:color="auto" w:sz="6" w:space="0"/>
            </w:tcBorders>
          </w:tcPr>
          <w:p>
            <w:pPr>
              <w:rPr>
                <w:rFonts w:ascii="宋体" w:hAnsi="宋体"/>
                <w:color w:val="000000"/>
                <w:szCs w:val="21"/>
              </w:rPr>
            </w:pPr>
          </w:p>
        </w:tc>
        <w:tc>
          <w:tcPr>
            <w:tcW w:w="880" w:type="dxa"/>
            <w:tcBorders>
              <w:top w:val="single" w:color="auto" w:sz="6" w:space="0"/>
              <w:left w:val="single" w:color="auto" w:sz="6" w:space="0"/>
              <w:bottom w:val="single" w:color="auto" w:sz="6" w:space="0"/>
              <w:right w:val="single" w:color="auto" w:sz="6" w:space="0"/>
            </w:tcBorders>
          </w:tcPr>
          <w:p>
            <w:pPr>
              <w:rPr>
                <w:rFonts w:ascii="宋体" w:hAnsi="宋体"/>
                <w:color w:val="000000"/>
                <w:szCs w:val="21"/>
              </w:rPr>
            </w:pPr>
          </w:p>
        </w:tc>
        <w:tc>
          <w:tcPr>
            <w:tcW w:w="1020" w:type="dxa"/>
            <w:tcBorders>
              <w:top w:val="single" w:color="auto" w:sz="6" w:space="0"/>
              <w:left w:val="single" w:color="auto" w:sz="6" w:space="0"/>
              <w:bottom w:val="single" w:color="auto" w:sz="6" w:space="0"/>
              <w:right w:val="single" w:color="auto" w:sz="6" w:space="0"/>
            </w:tcBorders>
          </w:tcPr>
          <w:p>
            <w:pPr>
              <w:rPr>
                <w:rFonts w:ascii="宋体" w:hAnsi="宋体"/>
                <w:color w:val="000000"/>
                <w:szCs w:val="21"/>
              </w:rPr>
            </w:pPr>
          </w:p>
        </w:tc>
        <w:tc>
          <w:tcPr>
            <w:tcW w:w="1480" w:type="dxa"/>
            <w:tcBorders>
              <w:top w:val="single" w:color="auto" w:sz="6" w:space="0"/>
              <w:left w:val="single" w:color="auto" w:sz="6" w:space="0"/>
              <w:bottom w:val="single" w:color="auto" w:sz="6" w:space="0"/>
              <w:right w:val="single" w:color="auto" w:sz="6" w:space="0"/>
            </w:tcBorders>
          </w:tcPr>
          <w:p>
            <w:pPr>
              <w:rPr>
                <w:rFonts w:ascii="宋体" w:hAnsi="宋体"/>
                <w:color w:val="000000"/>
                <w:szCs w:val="21"/>
              </w:rPr>
            </w:pPr>
          </w:p>
        </w:tc>
        <w:tc>
          <w:tcPr>
            <w:tcW w:w="1020" w:type="dxa"/>
            <w:tcBorders>
              <w:top w:val="single" w:color="auto" w:sz="6" w:space="0"/>
              <w:left w:val="single" w:color="auto" w:sz="6" w:space="0"/>
              <w:bottom w:val="single" w:color="auto" w:sz="6" w:space="0"/>
              <w:right w:val="single" w:color="auto" w:sz="6" w:space="0"/>
            </w:tcBorders>
          </w:tcPr>
          <w:p>
            <w:pPr>
              <w:rPr>
                <w:rFonts w:ascii="宋体" w:hAnsi="宋体"/>
                <w:color w:val="000000"/>
                <w:szCs w:val="21"/>
              </w:rPr>
            </w:pPr>
          </w:p>
        </w:tc>
        <w:tc>
          <w:tcPr>
            <w:tcW w:w="921" w:type="dxa"/>
            <w:tcBorders>
              <w:top w:val="single" w:color="auto" w:sz="6" w:space="0"/>
              <w:left w:val="single" w:color="auto" w:sz="6" w:space="0"/>
              <w:bottom w:val="single" w:color="auto" w:sz="6" w:space="0"/>
              <w:right w:val="single" w:color="auto" w:sz="12" w:space="0"/>
            </w:tcBorders>
          </w:tcPr>
          <w:p>
            <w:pPr>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1162" w:type="dxa"/>
            <w:tcBorders>
              <w:top w:val="single" w:color="auto" w:sz="6" w:space="0"/>
              <w:left w:val="single" w:color="auto" w:sz="12" w:space="0"/>
              <w:bottom w:val="single" w:color="auto" w:sz="12" w:space="0"/>
              <w:right w:val="single" w:color="auto" w:sz="6" w:space="0"/>
            </w:tcBorders>
          </w:tcPr>
          <w:p>
            <w:pPr>
              <w:rPr>
                <w:rFonts w:ascii="宋体" w:hAnsi="宋体"/>
                <w:color w:val="000000"/>
                <w:szCs w:val="21"/>
              </w:rPr>
            </w:pPr>
          </w:p>
        </w:tc>
        <w:tc>
          <w:tcPr>
            <w:tcW w:w="1418" w:type="dxa"/>
            <w:tcBorders>
              <w:top w:val="single" w:color="auto" w:sz="6" w:space="0"/>
              <w:left w:val="single" w:color="auto" w:sz="6" w:space="0"/>
              <w:bottom w:val="single" w:color="auto" w:sz="12" w:space="0"/>
              <w:right w:val="single" w:color="auto" w:sz="6" w:space="0"/>
            </w:tcBorders>
          </w:tcPr>
          <w:p>
            <w:pPr>
              <w:rPr>
                <w:rFonts w:ascii="宋体" w:hAnsi="宋体"/>
                <w:color w:val="000000"/>
                <w:szCs w:val="21"/>
              </w:rPr>
            </w:pPr>
          </w:p>
        </w:tc>
        <w:tc>
          <w:tcPr>
            <w:tcW w:w="850" w:type="dxa"/>
            <w:tcBorders>
              <w:top w:val="single" w:color="auto" w:sz="6" w:space="0"/>
              <w:left w:val="single" w:color="auto" w:sz="6" w:space="0"/>
              <w:bottom w:val="single" w:color="auto" w:sz="12" w:space="0"/>
              <w:right w:val="single" w:color="auto" w:sz="6" w:space="0"/>
            </w:tcBorders>
          </w:tcPr>
          <w:p>
            <w:pPr>
              <w:rPr>
                <w:rFonts w:ascii="宋体" w:hAnsi="宋体"/>
                <w:color w:val="000000"/>
                <w:szCs w:val="21"/>
              </w:rPr>
            </w:pPr>
          </w:p>
        </w:tc>
        <w:tc>
          <w:tcPr>
            <w:tcW w:w="1058" w:type="dxa"/>
            <w:tcBorders>
              <w:top w:val="single" w:color="auto" w:sz="6" w:space="0"/>
              <w:left w:val="single" w:color="auto" w:sz="6" w:space="0"/>
              <w:bottom w:val="single" w:color="auto" w:sz="12" w:space="0"/>
              <w:right w:val="single" w:color="auto" w:sz="6" w:space="0"/>
            </w:tcBorders>
          </w:tcPr>
          <w:p>
            <w:pPr>
              <w:rPr>
                <w:rFonts w:ascii="宋体" w:hAnsi="宋体"/>
                <w:color w:val="000000"/>
                <w:szCs w:val="21"/>
              </w:rPr>
            </w:pPr>
          </w:p>
        </w:tc>
        <w:tc>
          <w:tcPr>
            <w:tcW w:w="880" w:type="dxa"/>
            <w:tcBorders>
              <w:top w:val="single" w:color="auto" w:sz="6" w:space="0"/>
              <w:left w:val="single" w:color="auto" w:sz="6" w:space="0"/>
              <w:bottom w:val="single" w:color="auto" w:sz="12" w:space="0"/>
              <w:right w:val="single" w:color="auto" w:sz="6" w:space="0"/>
            </w:tcBorders>
          </w:tcPr>
          <w:p>
            <w:pPr>
              <w:rPr>
                <w:rFonts w:ascii="宋体" w:hAnsi="宋体"/>
                <w:color w:val="000000"/>
                <w:szCs w:val="21"/>
              </w:rPr>
            </w:pPr>
          </w:p>
        </w:tc>
        <w:tc>
          <w:tcPr>
            <w:tcW w:w="1020" w:type="dxa"/>
            <w:tcBorders>
              <w:top w:val="single" w:color="auto" w:sz="6" w:space="0"/>
              <w:left w:val="single" w:color="auto" w:sz="6" w:space="0"/>
              <w:bottom w:val="single" w:color="auto" w:sz="12" w:space="0"/>
              <w:right w:val="single" w:color="auto" w:sz="6" w:space="0"/>
            </w:tcBorders>
          </w:tcPr>
          <w:p>
            <w:pPr>
              <w:rPr>
                <w:rFonts w:ascii="宋体" w:hAnsi="宋体"/>
                <w:color w:val="000000"/>
                <w:szCs w:val="21"/>
              </w:rPr>
            </w:pPr>
          </w:p>
        </w:tc>
        <w:tc>
          <w:tcPr>
            <w:tcW w:w="1480" w:type="dxa"/>
            <w:tcBorders>
              <w:top w:val="single" w:color="auto" w:sz="6" w:space="0"/>
              <w:left w:val="single" w:color="auto" w:sz="6" w:space="0"/>
              <w:bottom w:val="single" w:color="auto" w:sz="12" w:space="0"/>
              <w:right w:val="single" w:color="auto" w:sz="6" w:space="0"/>
            </w:tcBorders>
          </w:tcPr>
          <w:p>
            <w:pPr>
              <w:rPr>
                <w:rFonts w:ascii="宋体" w:hAnsi="宋体"/>
                <w:color w:val="000000"/>
                <w:szCs w:val="21"/>
              </w:rPr>
            </w:pPr>
          </w:p>
        </w:tc>
        <w:tc>
          <w:tcPr>
            <w:tcW w:w="1020" w:type="dxa"/>
            <w:tcBorders>
              <w:top w:val="single" w:color="auto" w:sz="6" w:space="0"/>
              <w:left w:val="single" w:color="auto" w:sz="6" w:space="0"/>
              <w:bottom w:val="single" w:color="auto" w:sz="12" w:space="0"/>
              <w:right w:val="single" w:color="auto" w:sz="6" w:space="0"/>
            </w:tcBorders>
          </w:tcPr>
          <w:p>
            <w:pPr>
              <w:rPr>
                <w:rFonts w:ascii="宋体" w:hAnsi="宋体"/>
                <w:color w:val="000000"/>
                <w:szCs w:val="21"/>
              </w:rPr>
            </w:pPr>
          </w:p>
        </w:tc>
        <w:tc>
          <w:tcPr>
            <w:tcW w:w="921" w:type="dxa"/>
            <w:tcBorders>
              <w:top w:val="single" w:color="auto" w:sz="6" w:space="0"/>
              <w:left w:val="single" w:color="auto" w:sz="6" w:space="0"/>
              <w:bottom w:val="single" w:color="auto" w:sz="12" w:space="0"/>
              <w:right w:val="single" w:color="auto" w:sz="12" w:space="0"/>
            </w:tcBorders>
          </w:tcPr>
          <w:p>
            <w:pPr>
              <w:rPr>
                <w:rFonts w:ascii="宋体" w:hAnsi="宋体"/>
                <w:color w:val="000000"/>
                <w:szCs w:val="21"/>
              </w:rPr>
            </w:pPr>
          </w:p>
        </w:tc>
      </w:tr>
    </w:tbl>
    <w:p>
      <w:pPr>
        <w:spacing w:line="440" w:lineRule="exact"/>
        <w:rPr>
          <w:rFonts w:ascii="宋体" w:hAnsi="宋体"/>
          <w:color w:val="000000"/>
          <w:szCs w:val="21"/>
        </w:rPr>
      </w:pPr>
      <w:r>
        <w:rPr>
          <w:rFonts w:ascii="宋体" w:hAnsi="宋体"/>
          <w:color w:val="000000"/>
          <w:szCs w:val="21"/>
        </w:rPr>
        <w:br w:type="page"/>
      </w:r>
      <w:r>
        <w:rPr>
          <w:rFonts w:hint="eastAsia" w:ascii="宋体" w:hAnsi="宋体"/>
          <w:color w:val="000000"/>
          <w:szCs w:val="21"/>
        </w:rPr>
        <w:t>附</w:t>
      </w:r>
      <w:bookmarkStart w:id="1252" w:name="_Toc296347227"/>
      <w:bookmarkStart w:id="1253" w:name="_Toc296891056"/>
      <w:bookmarkStart w:id="1254" w:name="_Toc296944567"/>
      <w:bookmarkStart w:id="1255" w:name="_Toc296891268"/>
      <w:bookmarkStart w:id="1256" w:name="_Toc296503228"/>
      <w:bookmarkStart w:id="1257" w:name="_Toc267261699"/>
      <w:bookmarkStart w:id="1258" w:name="_Toc296346729"/>
      <w:r>
        <w:rPr>
          <w:rFonts w:hint="eastAsia" w:ascii="宋体" w:hAnsi="宋体"/>
          <w:color w:val="000000"/>
          <w:szCs w:val="21"/>
        </w:rPr>
        <w:t>件</w:t>
      </w:r>
      <w:r>
        <w:rPr>
          <w:rFonts w:ascii="宋体" w:hAnsi="宋体"/>
          <w:color w:val="000000"/>
          <w:szCs w:val="21"/>
        </w:rPr>
        <w:t>6</w:t>
      </w:r>
      <w:r>
        <w:rPr>
          <w:rFonts w:hint="eastAsia" w:ascii="宋体" w:hAnsi="宋体"/>
          <w:color w:val="000000"/>
          <w:szCs w:val="21"/>
        </w:rPr>
        <w:t>：</w:t>
      </w:r>
    </w:p>
    <w:bookmarkEnd w:id="1252"/>
    <w:bookmarkEnd w:id="1253"/>
    <w:bookmarkEnd w:id="1254"/>
    <w:bookmarkEnd w:id="1255"/>
    <w:bookmarkEnd w:id="1256"/>
    <w:bookmarkEnd w:id="1257"/>
    <w:bookmarkEnd w:id="1258"/>
    <w:p>
      <w:pPr>
        <w:spacing w:line="440" w:lineRule="exact"/>
        <w:jc w:val="center"/>
        <w:rPr>
          <w:rFonts w:ascii="宋体" w:hAnsi="宋体"/>
          <w:b/>
          <w:color w:val="000000"/>
          <w:sz w:val="28"/>
          <w:szCs w:val="28"/>
        </w:rPr>
      </w:pPr>
      <w:r>
        <w:rPr>
          <w:rFonts w:hint="eastAsia" w:ascii="宋体" w:hAnsi="宋体"/>
          <w:b/>
          <w:color w:val="000000"/>
          <w:sz w:val="28"/>
          <w:szCs w:val="28"/>
        </w:rPr>
        <w:t>承包人主要施工管理人员表</w:t>
      </w:r>
    </w:p>
    <w:tbl>
      <w:tblPr>
        <w:tblStyle w:val="36"/>
        <w:tblW w:w="98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tcBorders>
              <w:top w:val="single" w:color="auto" w:sz="12" w:space="0"/>
              <w:left w:val="single" w:color="auto" w:sz="12" w:space="0"/>
              <w:bottom w:val="doub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名称</w:t>
            </w:r>
          </w:p>
        </w:tc>
        <w:tc>
          <w:tcPr>
            <w:tcW w:w="1418" w:type="dxa"/>
            <w:tcBorders>
              <w:top w:val="single" w:color="auto" w:sz="12" w:space="0"/>
              <w:left w:val="single" w:color="auto" w:sz="6" w:space="0"/>
              <w:bottom w:val="doub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姓名</w:t>
            </w:r>
          </w:p>
        </w:tc>
        <w:tc>
          <w:tcPr>
            <w:tcW w:w="1134" w:type="dxa"/>
            <w:tcBorders>
              <w:top w:val="single" w:color="auto" w:sz="12" w:space="0"/>
              <w:left w:val="single" w:color="auto" w:sz="6" w:space="0"/>
              <w:bottom w:val="doub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职务</w:t>
            </w:r>
          </w:p>
        </w:tc>
        <w:tc>
          <w:tcPr>
            <w:tcW w:w="1134" w:type="dxa"/>
            <w:tcBorders>
              <w:top w:val="single" w:color="auto" w:sz="12" w:space="0"/>
              <w:left w:val="single" w:color="auto" w:sz="6" w:space="0"/>
              <w:bottom w:val="doub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职称</w:t>
            </w:r>
          </w:p>
        </w:tc>
        <w:tc>
          <w:tcPr>
            <w:tcW w:w="4252" w:type="dxa"/>
            <w:tcBorders>
              <w:top w:val="single" w:color="auto" w:sz="12" w:space="0"/>
              <w:left w:val="single" w:color="auto" w:sz="6" w:space="0"/>
              <w:bottom w:val="doub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9809" w:type="dxa"/>
            <w:gridSpan w:val="5"/>
            <w:tcBorders>
              <w:top w:val="double" w:color="auto" w:sz="6" w:space="0"/>
              <w:left w:val="single" w:color="auto" w:sz="12"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tcBorders>
              <w:top w:val="nil"/>
              <w:left w:val="single" w:color="auto" w:sz="12" w:space="0"/>
              <w:bottom w:val="nil"/>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项目主管</w:t>
            </w:r>
          </w:p>
        </w:tc>
        <w:tc>
          <w:tcPr>
            <w:tcW w:w="1418"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4252" w:type="dxa"/>
            <w:tcBorders>
              <w:top w:val="nil"/>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4252"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其他人员</w:t>
            </w:r>
          </w:p>
        </w:tc>
        <w:tc>
          <w:tcPr>
            <w:tcW w:w="141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4252"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tcBorders>
              <w:top w:val="single" w:color="auto" w:sz="6" w:space="0"/>
              <w:left w:val="single" w:color="auto" w:sz="12" w:space="0"/>
              <w:bottom w:val="nil"/>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4252"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9809" w:type="dxa"/>
            <w:gridSpan w:val="5"/>
            <w:tcBorders>
              <w:top w:val="single" w:color="auto" w:sz="6" w:space="0"/>
              <w:left w:val="single" w:color="auto" w:sz="12"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项目经理</w:t>
            </w:r>
          </w:p>
        </w:tc>
        <w:tc>
          <w:tcPr>
            <w:tcW w:w="141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4252"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项目副经理</w:t>
            </w:r>
          </w:p>
        </w:tc>
        <w:tc>
          <w:tcPr>
            <w:tcW w:w="141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4252"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技术负责人</w:t>
            </w:r>
          </w:p>
        </w:tc>
        <w:tc>
          <w:tcPr>
            <w:tcW w:w="141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4252"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造价管理</w:t>
            </w:r>
          </w:p>
        </w:tc>
        <w:tc>
          <w:tcPr>
            <w:tcW w:w="141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4252"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质量管理</w:t>
            </w:r>
          </w:p>
        </w:tc>
        <w:tc>
          <w:tcPr>
            <w:tcW w:w="141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4252"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材料管理</w:t>
            </w:r>
          </w:p>
        </w:tc>
        <w:tc>
          <w:tcPr>
            <w:tcW w:w="141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4252"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计划管理</w:t>
            </w:r>
          </w:p>
        </w:tc>
        <w:tc>
          <w:tcPr>
            <w:tcW w:w="141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4252"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安全管理</w:t>
            </w:r>
          </w:p>
        </w:tc>
        <w:tc>
          <w:tcPr>
            <w:tcW w:w="141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4252"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vMerge w:val="restart"/>
            <w:tcBorders>
              <w:top w:val="sing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其他人员</w:t>
            </w:r>
          </w:p>
        </w:tc>
        <w:tc>
          <w:tcPr>
            <w:tcW w:w="141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4252"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vMerge w:val="continue"/>
            <w:tcBorders>
              <w:top w:val="sing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nil"/>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nil"/>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nil"/>
              <w:right w:val="single" w:color="auto" w:sz="6" w:space="0"/>
            </w:tcBorders>
            <w:vAlign w:val="center"/>
          </w:tcPr>
          <w:p>
            <w:pPr>
              <w:pStyle w:val="16"/>
              <w:keepNext/>
              <w:spacing w:after="0" w:line="440" w:lineRule="exact"/>
              <w:ind w:left="63" w:right="63"/>
              <w:rPr>
                <w:rFonts w:ascii="宋体" w:hAnsi="宋体"/>
                <w:color w:val="000000"/>
                <w:szCs w:val="21"/>
              </w:rPr>
            </w:pPr>
          </w:p>
        </w:tc>
        <w:tc>
          <w:tcPr>
            <w:tcW w:w="4252" w:type="dxa"/>
            <w:tcBorders>
              <w:top w:val="single" w:color="auto" w:sz="6" w:space="0"/>
              <w:left w:val="single" w:color="auto" w:sz="6" w:space="0"/>
              <w:bottom w:val="nil"/>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vMerge w:val="continue"/>
            <w:tcBorders>
              <w:top w:val="sing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4252"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vMerge w:val="continue"/>
            <w:tcBorders>
              <w:top w:val="single" w:color="auto" w:sz="6" w:space="0"/>
              <w:left w:val="single" w:color="auto" w:sz="12" w:space="0"/>
              <w:bottom w:val="single" w:color="auto" w:sz="12"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12"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12"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12"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4252" w:type="dxa"/>
            <w:tcBorders>
              <w:top w:val="single" w:color="auto" w:sz="6" w:space="0"/>
              <w:left w:val="single" w:color="auto" w:sz="6" w:space="0"/>
              <w:bottom w:val="single" w:color="auto" w:sz="12" w:space="0"/>
              <w:right w:val="single" w:color="auto" w:sz="12" w:space="0"/>
            </w:tcBorders>
            <w:vAlign w:val="center"/>
          </w:tcPr>
          <w:p>
            <w:pPr>
              <w:pStyle w:val="16"/>
              <w:keepNext/>
              <w:spacing w:after="0" w:line="440" w:lineRule="exact"/>
              <w:ind w:left="63" w:right="63"/>
              <w:rPr>
                <w:rFonts w:ascii="宋体" w:hAnsi="宋体"/>
                <w:color w:val="000000"/>
                <w:szCs w:val="21"/>
              </w:rPr>
            </w:pPr>
          </w:p>
        </w:tc>
      </w:tr>
    </w:tbl>
    <w:p>
      <w:pPr>
        <w:spacing w:line="440" w:lineRule="exact"/>
        <w:rPr>
          <w:rFonts w:ascii="宋体" w:hAnsi="宋体"/>
          <w:color w:val="000000"/>
          <w:szCs w:val="21"/>
        </w:rPr>
      </w:pPr>
      <w:r>
        <w:rPr>
          <w:rFonts w:ascii="宋体" w:hAnsi="宋体"/>
          <w:color w:val="000000"/>
          <w:szCs w:val="21"/>
        </w:rPr>
        <w:br w:type="page"/>
      </w:r>
      <w:r>
        <w:rPr>
          <w:rFonts w:hint="eastAsia" w:ascii="宋体" w:hAnsi="宋体"/>
          <w:color w:val="000000"/>
          <w:szCs w:val="21"/>
        </w:rPr>
        <w:t>附</w:t>
      </w:r>
      <w:bookmarkStart w:id="1259" w:name="_Toc296347228"/>
      <w:bookmarkStart w:id="1260" w:name="_Toc296346730"/>
      <w:bookmarkStart w:id="1261" w:name="_Toc296891057"/>
      <w:bookmarkStart w:id="1262" w:name="_Toc296944568"/>
      <w:bookmarkStart w:id="1263" w:name="_Toc296503229"/>
      <w:bookmarkStart w:id="1264" w:name="_Toc296891269"/>
      <w:r>
        <w:rPr>
          <w:rFonts w:hint="eastAsia" w:ascii="宋体" w:hAnsi="宋体"/>
          <w:color w:val="000000"/>
          <w:szCs w:val="21"/>
        </w:rPr>
        <w:t>件</w:t>
      </w:r>
      <w:r>
        <w:rPr>
          <w:rFonts w:ascii="宋体" w:hAnsi="宋体"/>
          <w:color w:val="000000"/>
          <w:szCs w:val="21"/>
        </w:rPr>
        <w:t>7</w:t>
      </w:r>
      <w:r>
        <w:rPr>
          <w:rFonts w:hint="eastAsia" w:ascii="宋体" w:hAnsi="宋体"/>
          <w:color w:val="000000"/>
          <w:szCs w:val="21"/>
        </w:rPr>
        <w:t>：</w:t>
      </w:r>
    </w:p>
    <w:bookmarkEnd w:id="1259"/>
    <w:bookmarkEnd w:id="1260"/>
    <w:bookmarkEnd w:id="1261"/>
    <w:bookmarkEnd w:id="1262"/>
    <w:bookmarkEnd w:id="1263"/>
    <w:bookmarkEnd w:id="1264"/>
    <w:p>
      <w:pPr>
        <w:spacing w:before="120" w:beforeLines="50" w:after="120" w:afterLines="50" w:line="440" w:lineRule="exact"/>
        <w:jc w:val="center"/>
        <w:rPr>
          <w:rFonts w:ascii="宋体" w:hAnsi="宋体"/>
          <w:b/>
          <w:color w:val="000000"/>
          <w:sz w:val="28"/>
          <w:szCs w:val="28"/>
        </w:rPr>
      </w:pPr>
      <w:r>
        <w:rPr>
          <w:rFonts w:hint="eastAsia" w:ascii="宋体" w:hAnsi="宋体"/>
          <w:b/>
          <w:color w:val="000000"/>
          <w:sz w:val="28"/>
          <w:szCs w:val="28"/>
        </w:rPr>
        <w:t>分包人主要施工管理人员表</w:t>
      </w:r>
    </w:p>
    <w:tbl>
      <w:tblPr>
        <w:tblStyle w:val="36"/>
        <w:tblW w:w="98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tcBorders>
              <w:top w:val="single" w:color="auto" w:sz="12" w:space="0"/>
              <w:left w:val="single" w:color="auto" w:sz="12" w:space="0"/>
              <w:bottom w:val="doub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名称</w:t>
            </w:r>
          </w:p>
        </w:tc>
        <w:tc>
          <w:tcPr>
            <w:tcW w:w="1418" w:type="dxa"/>
            <w:tcBorders>
              <w:top w:val="single" w:color="auto" w:sz="12" w:space="0"/>
              <w:left w:val="single" w:color="auto" w:sz="6" w:space="0"/>
              <w:bottom w:val="doub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姓名</w:t>
            </w:r>
          </w:p>
        </w:tc>
        <w:tc>
          <w:tcPr>
            <w:tcW w:w="1134" w:type="dxa"/>
            <w:tcBorders>
              <w:top w:val="single" w:color="auto" w:sz="12" w:space="0"/>
              <w:left w:val="single" w:color="auto" w:sz="6" w:space="0"/>
              <w:bottom w:val="doub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职务</w:t>
            </w:r>
          </w:p>
        </w:tc>
        <w:tc>
          <w:tcPr>
            <w:tcW w:w="1134" w:type="dxa"/>
            <w:tcBorders>
              <w:top w:val="single" w:color="auto" w:sz="12" w:space="0"/>
              <w:left w:val="single" w:color="auto" w:sz="6" w:space="0"/>
              <w:bottom w:val="doub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职称</w:t>
            </w:r>
          </w:p>
        </w:tc>
        <w:tc>
          <w:tcPr>
            <w:tcW w:w="4252" w:type="dxa"/>
            <w:tcBorders>
              <w:top w:val="single" w:color="auto" w:sz="12" w:space="0"/>
              <w:left w:val="single" w:color="auto" w:sz="6" w:space="0"/>
              <w:bottom w:val="doub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9809" w:type="dxa"/>
            <w:gridSpan w:val="5"/>
            <w:tcBorders>
              <w:top w:val="double" w:color="auto" w:sz="6" w:space="0"/>
              <w:left w:val="single" w:color="auto" w:sz="12"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tcBorders>
              <w:top w:val="nil"/>
              <w:left w:val="single" w:color="auto" w:sz="12" w:space="0"/>
              <w:bottom w:val="nil"/>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项目主管</w:t>
            </w:r>
          </w:p>
        </w:tc>
        <w:tc>
          <w:tcPr>
            <w:tcW w:w="1418"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nil"/>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4252" w:type="dxa"/>
            <w:tcBorders>
              <w:top w:val="nil"/>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4252"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其他人员</w:t>
            </w:r>
          </w:p>
        </w:tc>
        <w:tc>
          <w:tcPr>
            <w:tcW w:w="141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4252"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tcBorders>
              <w:top w:val="single" w:color="auto" w:sz="6" w:space="0"/>
              <w:left w:val="single" w:color="auto" w:sz="12" w:space="0"/>
              <w:bottom w:val="nil"/>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4252"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9809" w:type="dxa"/>
            <w:gridSpan w:val="5"/>
            <w:tcBorders>
              <w:top w:val="single" w:color="auto" w:sz="6" w:space="0"/>
              <w:left w:val="single" w:color="auto" w:sz="12"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项目经理</w:t>
            </w:r>
          </w:p>
        </w:tc>
        <w:tc>
          <w:tcPr>
            <w:tcW w:w="141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4252"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项目副经理</w:t>
            </w:r>
          </w:p>
        </w:tc>
        <w:tc>
          <w:tcPr>
            <w:tcW w:w="141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4252"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技术负责人</w:t>
            </w:r>
          </w:p>
        </w:tc>
        <w:tc>
          <w:tcPr>
            <w:tcW w:w="141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4252"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造价管理</w:t>
            </w:r>
          </w:p>
        </w:tc>
        <w:tc>
          <w:tcPr>
            <w:tcW w:w="141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4252"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质量管理</w:t>
            </w:r>
          </w:p>
        </w:tc>
        <w:tc>
          <w:tcPr>
            <w:tcW w:w="141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4252"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材料管理</w:t>
            </w:r>
          </w:p>
        </w:tc>
        <w:tc>
          <w:tcPr>
            <w:tcW w:w="141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4252"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计划管理</w:t>
            </w:r>
          </w:p>
        </w:tc>
        <w:tc>
          <w:tcPr>
            <w:tcW w:w="141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4252"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tcBorders>
              <w:top w:val="sing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安全管理</w:t>
            </w:r>
          </w:p>
        </w:tc>
        <w:tc>
          <w:tcPr>
            <w:tcW w:w="141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4252"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vMerge w:val="restart"/>
            <w:tcBorders>
              <w:top w:val="sing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r>
              <w:rPr>
                <w:rFonts w:hint="eastAsia" w:ascii="宋体" w:hAnsi="宋体"/>
                <w:color w:val="000000"/>
                <w:szCs w:val="21"/>
              </w:rPr>
              <w:t>其他人员</w:t>
            </w:r>
          </w:p>
        </w:tc>
        <w:tc>
          <w:tcPr>
            <w:tcW w:w="141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4252"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vMerge w:val="continue"/>
            <w:tcBorders>
              <w:top w:val="sing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nil"/>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nil"/>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nil"/>
              <w:right w:val="single" w:color="auto" w:sz="6" w:space="0"/>
            </w:tcBorders>
            <w:vAlign w:val="center"/>
          </w:tcPr>
          <w:p>
            <w:pPr>
              <w:pStyle w:val="16"/>
              <w:keepNext/>
              <w:spacing w:after="0" w:line="440" w:lineRule="exact"/>
              <w:ind w:left="63" w:right="63"/>
              <w:rPr>
                <w:rFonts w:ascii="宋体" w:hAnsi="宋体"/>
                <w:color w:val="000000"/>
                <w:szCs w:val="21"/>
              </w:rPr>
            </w:pPr>
          </w:p>
        </w:tc>
        <w:tc>
          <w:tcPr>
            <w:tcW w:w="4252" w:type="dxa"/>
            <w:tcBorders>
              <w:top w:val="single" w:color="auto" w:sz="6" w:space="0"/>
              <w:left w:val="single" w:color="auto" w:sz="6" w:space="0"/>
              <w:bottom w:val="nil"/>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vMerge w:val="continue"/>
            <w:tcBorders>
              <w:top w:val="single" w:color="auto" w:sz="6" w:space="0"/>
              <w:left w:val="single" w:color="auto" w:sz="12"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4252" w:type="dxa"/>
            <w:tcBorders>
              <w:top w:val="single" w:color="auto" w:sz="6" w:space="0"/>
              <w:left w:val="single" w:color="auto" w:sz="6" w:space="0"/>
              <w:bottom w:val="single" w:color="auto" w:sz="6" w:space="0"/>
              <w:right w:val="single" w:color="auto" w:sz="12" w:space="0"/>
            </w:tcBorders>
            <w:vAlign w:val="center"/>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vMerge w:val="continue"/>
            <w:tcBorders>
              <w:top w:val="single" w:color="auto" w:sz="6" w:space="0"/>
              <w:left w:val="single" w:color="auto" w:sz="12" w:space="0"/>
              <w:bottom w:val="single" w:color="auto" w:sz="12"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12"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12"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1134" w:type="dxa"/>
            <w:tcBorders>
              <w:top w:val="single" w:color="auto" w:sz="6" w:space="0"/>
              <w:left w:val="single" w:color="auto" w:sz="6" w:space="0"/>
              <w:bottom w:val="single" w:color="auto" w:sz="12" w:space="0"/>
              <w:right w:val="single" w:color="auto" w:sz="6" w:space="0"/>
            </w:tcBorders>
            <w:vAlign w:val="center"/>
          </w:tcPr>
          <w:p>
            <w:pPr>
              <w:pStyle w:val="16"/>
              <w:keepNext/>
              <w:spacing w:after="0" w:line="440" w:lineRule="exact"/>
              <w:ind w:left="63" w:right="63"/>
              <w:rPr>
                <w:rFonts w:ascii="宋体" w:hAnsi="宋体"/>
                <w:color w:val="000000"/>
                <w:szCs w:val="21"/>
              </w:rPr>
            </w:pPr>
          </w:p>
        </w:tc>
        <w:tc>
          <w:tcPr>
            <w:tcW w:w="4252" w:type="dxa"/>
            <w:tcBorders>
              <w:top w:val="single" w:color="auto" w:sz="6" w:space="0"/>
              <w:left w:val="single" w:color="auto" w:sz="6" w:space="0"/>
              <w:bottom w:val="single" w:color="auto" w:sz="12" w:space="0"/>
              <w:right w:val="single" w:color="auto" w:sz="12" w:space="0"/>
            </w:tcBorders>
            <w:vAlign w:val="center"/>
          </w:tcPr>
          <w:p>
            <w:pPr>
              <w:pStyle w:val="16"/>
              <w:keepNext/>
              <w:spacing w:after="0" w:line="440" w:lineRule="exact"/>
              <w:ind w:left="63" w:right="63"/>
              <w:rPr>
                <w:rFonts w:ascii="宋体" w:hAnsi="宋体"/>
                <w:color w:val="000000"/>
                <w:szCs w:val="21"/>
              </w:rPr>
            </w:pPr>
          </w:p>
        </w:tc>
      </w:tr>
    </w:tbl>
    <w:p>
      <w:pPr>
        <w:spacing w:line="440" w:lineRule="exact"/>
        <w:rPr>
          <w:rFonts w:ascii="宋体" w:hAnsi="宋体"/>
          <w:color w:val="000000"/>
          <w:szCs w:val="21"/>
        </w:rPr>
      </w:pPr>
      <w:r>
        <w:rPr>
          <w:rFonts w:ascii="宋体" w:hAnsi="宋体"/>
          <w:color w:val="000000"/>
          <w:szCs w:val="21"/>
        </w:rPr>
        <w:br w:type="page"/>
      </w:r>
      <w:bookmarkStart w:id="1265" w:name="_Toc267261701"/>
      <w:r>
        <w:rPr>
          <w:rFonts w:hint="eastAsia" w:ascii="宋体" w:hAnsi="宋体"/>
          <w:color w:val="000000"/>
          <w:szCs w:val="21"/>
        </w:rPr>
        <w:t>附</w:t>
      </w:r>
      <w:bookmarkStart w:id="1266" w:name="_Toc296891059"/>
      <w:bookmarkStart w:id="1267" w:name="_Toc296503231"/>
      <w:bookmarkStart w:id="1268" w:name="_Toc296346732"/>
      <w:bookmarkStart w:id="1269" w:name="_Toc296944570"/>
      <w:bookmarkStart w:id="1270" w:name="_Toc296347230"/>
      <w:bookmarkStart w:id="1271" w:name="_Toc296891271"/>
      <w:r>
        <w:rPr>
          <w:rFonts w:hint="eastAsia" w:ascii="宋体" w:hAnsi="宋体"/>
          <w:color w:val="000000"/>
          <w:szCs w:val="21"/>
        </w:rPr>
        <w:t>件</w:t>
      </w:r>
      <w:r>
        <w:rPr>
          <w:rFonts w:ascii="宋体" w:hAnsi="宋体"/>
          <w:color w:val="000000"/>
          <w:szCs w:val="21"/>
        </w:rPr>
        <w:t>8</w:t>
      </w:r>
      <w:r>
        <w:rPr>
          <w:rFonts w:hint="eastAsia" w:ascii="宋体" w:hAnsi="宋体"/>
          <w:color w:val="000000"/>
          <w:szCs w:val="21"/>
        </w:rPr>
        <w:t>：</w:t>
      </w:r>
    </w:p>
    <w:bookmarkEnd w:id="1265"/>
    <w:bookmarkEnd w:id="1266"/>
    <w:bookmarkEnd w:id="1267"/>
    <w:bookmarkEnd w:id="1268"/>
    <w:bookmarkEnd w:id="1269"/>
    <w:bookmarkEnd w:id="1270"/>
    <w:bookmarkEnd w:id="1271"/>
    <w:p>
      <w:pPr>
        <w:spacing w:before="120" w:beforeLines="50" w:after="120" w:afterLines="50" w:line="440" w:lineRule="exact"/>
        <w:jc w:val="center"/>
        <w:rPr>
          <w:rFonts w:ascii="宋体" w:hAnsi="宋体"/>
          <w:b/>
          <w:color w:val="000000"/>
          <w:sz w:val="28"/>
          <w:szCs w:val="28"/>
        </w:rPr>
      </w:pPr>
      <w:r>
        <w:rPr>
          <w:rFonts w:hint="eastAsia" w:ascii="宋体" w:hAnsi="宋体"/>
          <w:b/>
          <w:color w:val="000000"/>
          <w:sz w:val="28"/>
          <w:szCs w:val="28"/>
        </w:rPr>
        <w:t>履约担保</w:t>
      </w:r>
    </w:p>
    <w:p>
      <w:pPr>
        <w:spacing w:line="440" w:lineRule="exact"/>
        <w:rPr>
          <w:rFonts w:ascii="宋体" w:hAnsi="宋体"/>
          <w:color w:val="000000"/>
          <w:szCs w:val="21"/>
        </w:rPr>
      </w:pPr>
      <w:r>
        <w:rPr>
          <w:rFonts w:ascii="宋体" w:hAnsi="宋体"/>
          <w:color w:val="000000"/>
          <w:szCs w:val="21"/>
          <w:u w:val="single"/>
        </w:rPr>
        <w:tab/>
      </w:r>
      <w:r>
        <w:rPr>
          <w:rFonts w:hint="eastAsia" w:ascii="宋体" w:hAnsi="宋体"/>
          <w:color w:val="000000"/>
          <w:szCs w:val="21"/>
        </w:rPr>
        <w:t>（发包人名称）：</w:t>
      </w:r>
    </w:p>
    <w:p>
      <w:pPr>
        <w:spacing w:line="440" w:lineRule="exact"/>
        <w:rPr>
          <w:rFonts w:ascii="宋体" w:hAnsi="宋体"/>
          <w:color w:val="000000"/>
          <w:szCs w:val="21"/>
        </w:rPr>
      </w:pPr>
    </w:p>
    <w:p>
      <w:pPr>
        <w:spacing w:line="360" w:lineRule="auto"/>
        <w:ind w:firstLine="420" w:firstLineChars="200"/>
        <w:rPr>
          <w:rFonts w:ascii="宋体" w:hAnsi="宋体"/>
          <w:color w:val="000000"/>
          <w:szCs w:val="21"/>
        </w:rPr>
      </w:pPr>
      <w:r>
        <w:rPr>
          <w:rFonts w:hint="eastAsia" w:ascii="宋体" w:hAnsi="宋体"/>
          <w:color w:val="000000"/>
          <w:szCs w:val="21"/>
        </w:rPr>
        <w:t>鉴于（发包人名称）（以下简称</w:t>
      </w:r>
      <w:r>
        <w:rPr>
          <w:rFonts w:ascii="宋体" w:hAnsi="宋体"/>
          <w:color w:val="000000"/>
          <w:szCs w:val="21"/>
        </w:rPr>
        <w:t>“</w:t>
      </w:r>
      <w:r>
        <w:rPr>
          <w:rFonts w:hint="eastAsia" w:ascii="宋体" w:hAnsi="宋体"/>
          <w:color w:val="000000"/>
          <w:szCs w:val="21"/>
        </w:rPr>
        <w:t>发包人</w:t>
      </w:r>
      <w:r>
        <w:rPr>
          <w:rFonts w:ascii="宋体" w:hAnsi="宋体"/>
          <w:color w:val="000000"/>
          <w:szCs w:val="21"/>
        </w:rPr>
        <w:t>”</w:t>
      </w:r>
      <w:r>
        <w:rPr>
          <w:rFonts w:hint="eastAsia" w:ascii="宋体" w:hAnsi="宋体"/>
          <w:color w:val="000000"/>
          <w:szCs w:val="21"/>
        </w:rPr>
        <w:t>）与</w:t>
      </w:r>
    </w:p>
    <w:p>
      <w:pPr>
        <w:spacing w:line="360" w:lineRule="auto"/>
        <w:rPr>
          <w:rFonts w:ascii="宋体" w:hAnsi="宋体"/>
          <w:color w:val="000000"/>
          <w:szCs w:val="21"/>
        </w:rPr>
      </w:pPr>
      <w:r>
        <w:rPr>
          <w:rFonts w:hint="eastAsia" w:ascii="宋体" w:hAnsi="宋体"/>
          <w:color w:val="000000"/>
          <w:szCs w:val="21"/>
        </w:rPr>
        <w:t>（承包人名称）（以下称</w:t>
      </w:r>
      <w:r>
        <w:rPr>
          <w:rFonts w:ascii="宋体" w:hAnsi="宋体"/>
          <w:color w:val="000000"/>
          <w:szCs w:val="21"/>
        </w:rPr>
        <w:t>“</w:t>
      </w:r>
      <w:r>
        <w:rPr>
          <w:rFonts w:hint="eastAsia" w:ascii="宋体" w:hAnsi="宋体"/>
          <w:color w:val="000000"/>
          <w:szCs w:val="21"/>
        </w:rPr>
        <w:t>承包人</w:t>
      </w:r>
      <w:r>
        <w:rPr>
          <w:rFonts w:ascii="宋体" w:hAnsi="宋体"/>
          <w:color w:val="000000"/>
          <w:szCs w:val="21"/>
        </w:rPr>
        <w:t>”</w:t>
      </w:r>
      <w:r>
        <w:rPr>
          <w:rFonts w:hint="eastAsia" w:ascii="宋体" w:hAnsi="宋体"/>
          <w:color w:val="000000"/>
          <w:szCs w:val="21"/>
        </w:rPr>
        <w:t>）于年月日就（工程名称）施工及有关事项协商一致共同签订《建设工程施工合同》。我方愿意无条件地、不可撤销地就承包人履行与你方签订的合同，向你方提供连带责任担保。</w:t>
      </w:r>
    </w:p>
    <w:p>
      <w:pPr>
        <w:spacing w:line="360" w:lineRule="auto"/>
        <w:ind w:firstLine="420" w:firstLineChars="200"/>
        <w:rPr>
          <w:rFonts w:ascii="宋体" w:hAnsi="宋体"/>
          <w:color w:val="000000"/>
          <w:szCs w:val="21"/>
        </w:rPr>
      </w:pPr>
      <w:r>
        <w:rPr>
          <w:rFonts w:ascii="宋体" w:hAnsi="宋体"/>
          <w:color w:val="000000"/>
          <w:szCs w:val="21"/>
        </w:rPr>
        <w:t xml:space="preserve">1. </w:t>
      </w:r>
      <w:r>
        <w:rPr>
          <w:rFonts w:hint="eastAsia" w:ascii="宋体" w:hAnsi="宋体"/>
          <w:color w:val="000000"/>
          <w:szCs w:val="21"/>
        </w:rPr>
        <w:t>担保金额人民币（大写）元（</w:t>
      </w:r>
      <w:r>
        <w:rPr>
          <w:rFonts w:ascii="宋体" w:hAnsi="宋体"/>
          <w:color w:val="000000"/>
          <w:szCs w:val="21"/>
        </w:rPr>
        <w:t>¥</w:t>
      </w:r>
      <w:r>
        <w:rPr>
          <w:rFonts w:hint="eastAsia" w:ascii="宋体" w:hAnsi="宋体"/>
          <w:color w:val="000000"/>
          <w:szCs w:val="21"/>
        </w:rPr>
        <w:t>）。</w:t>
      </w:r>
    </w:p>
    <w:p>
      <w:pPr>
        <w:spacing w:line="360" w:lineRule="auto"/>
        <w:ind w:firstLine="420" w:firstLineChars="200"/>
        <w:rPr>
          <w:rFonts w:ascii="宋体" w:hAnsi="宋体"/>
          <w:color w:val="000000"/>
          <w:szCs w:val="21"/>
        </w:rPr>
      </w:pPr>
      <w:r>
        <w:rPr>
          <w:rFonts w:ascii="宋体" w:hAnsi="宋体"/>
          <w:color w:val="000000"/>
          <w:szCs w:val="21"/>
        </w:rPr>
        <w:t xml:space="preserve">2. </w:t>
      </w:r>
      <w:r>
        <w:rPr>
          <w:rFonts w:hint="eastAsia" w:ascii="宋体" w:hAnsi="宋体"/>
          <w:color w:val="000000"/>
          <w:szCs w:val="21"/>
        </w:rPr>
        <w:t>担保有效期自你方与承包人签订的合同生效之日起至你方签发或应签发工程接收证书之日止。</w:t>
      </w:r>
    </w:p>
    <w:p>
      <w:pPr>
        <w:spacing w:line="360" w:lineRule="auto"/>
        <w:ind w:firstLine="420" w:firstLineChars="200"/>
        <w:rPr>
          <w:rFonts w:ascii="宋体" w:hAnsi="宋体"/>
          <w:color w:val="000000"/>
          <w:szCs w:val="21"/>
        </w:rPr>
      </w:pPr>
      <w:r>
        <w:rPr>
          <w:rFonts w:ascii="宋体" w:hAnsi="宋体"/>
          <w:color w:val="000000"/>
          <w:szCs w:val="21"/>
        </w:rPr>
        <w:t xml:space="preserve">3. </w:t>
      </w:r>
      <w:r>
        <w:rPr>
          <w:rFonts w:hint="eastAsia" w:ascii="宋体" w:hAnsi="宋体"/>
          <w:color w:val="000000"/>
          <w:szCs w:val="21"/>
        </w:rPr>
        <w:t>在本担保有效期内，因承包人违反合同约定的义务给你方造成经济损失时，我方在收到你方以书面形式提出的在担保金额内的赔偿要求后，在</w:t>
      </w:r>
      <w:r>
        <w:rPr>
          <w:rFonts w:ascii="宋体" w:hAnsi="宋体"/>
          <w:color w:val="000000"/>
          <w:szCs w:val="21"/>
        </w:rPr>
        <w:t>7</w:t>
      </w:r>
      <w:r>
        <w:rPr>
          <w:rFonts w:hint="eastAsia" w:ascii="宋体" w:hAnsi="宋体"/>
          <w:color w:val="000000"/>
          <w:szCs w:val="21"/>
        </w:rPr>
        <w:t>天内无条件支付。</w:t>
      </w:r>
    </w:p>
    <w:p>
      <w:pPr>
        <w:spacing w:line="360" w:lineRule="auto"/>
        <w:ind w:firstLine="420" w:firstLineChars="200"/>
        <w:rPr>
          <w:rFonts w:ascii="宋体" w:hAnsi="宋体"/>
          <w:color w:val="000000"/>
          <w:szCs w:val="21"/>
        </w:rPr>
      </w:pPr>
      <w:r>
        <w:rPr>
          <w:rFonts w:ascii="宋体" w:hAnsi="宋体"/>
          <w:color w:val="000000"/>
          <w:szCs w:val="21"/>
        </w:rPr>
        <w:t xml:space="preserve">4. </w:t>
      </w:r>
      <w:r>
        <w:rPr>
          <w:rFonts w:hint="eastAsia" w:ascii="宋体" w:hAnsi="宋体"/>
          <w:color w:val="000000"/>
          <w:szCs w:val="21"/>
        </w:rPr>
        <w:t>你方和承包人按合同约定变更合同时，我方承担本担保规定的义务不变。</w:t>
      </w:r>
    </w:p>
    <w:p>
      <w:pPr>
        <w:spacing w:line="360" w:lineRule="auto"/>
        <w:ind w:firstLine="420" w:firstLineChars="200"/>
        <w:rPr>
          <w:rFonts w:ascii="宋体" w:hAnsi="宋体"/>
          <w:color w:val="000000"/>
          <w:szCs w:val="21"/>
        </w:rPr>
      </w:pPr>
      <w:r>
        <w:rPr>
          <w:rFonts w:ascii="宋体" w:hAnsi="宋体"/>
          <w:color w:val="000000"/>
          <w:szCs w:val="21"/>
        </w:rPr>
        <w:t xml:space="preserve">5. </w:t>
      </w:r>
      <w:r>
        <w:rPr>
          <w:rFonts w:hint="eastAsia" w:ascii="宋体" w:hAnsi="宋体"/>
          <w:color w:val="000000"/>
          <w:szCs w:val="21"/>
        </w:rPr>
        <w:t>因本保函发生的纠纷，可由双方协商解决，协商不成的，任何一方均可提请仲裁委员会仲裁。</w:t>
      </w:r>
    </w:p>
    <w:p>
      <w:pPr>
        <w:spacing w:line="360" w:lineRule="auto"/>
        <w:ind w:firstLine="420" w:firstLineChars="200"/>
        <w:rPr>
          <w:rFonts w:ascii="宋体" w:hAnsi="宋体"/>
          <w:color w:val="000000"/>
          <w:szCs w:val="21"/>
        </w:rPr>
      </w:pPr>
      <w:r>
        <w:rPr>
          <w:rFonts w:ascii="宋体" w:hAnsi="宋体"/>
          <w:color w:val="000000"/>
          <w:szCs w:val="21"/>
        </w:rPr>
        <w:t xml:space="preserve">6. </w:t>
      </w:r>
      <w:r>
        <w:rPr>
          <w:rFonts w:hint="eastAsia" w:ascii="宋体" w:hAnsi="宋体"/>
          <w:color w:val="000000"/>
          <w:szCs w:val="21"/>
        </w:rPr>
        <w:t>本保函自我方法定代表人（或其授权代理人）签字并加盖公章之日起生效。</w:t>
      </w:r>
    </w:p>
    <w:p>
      <w:pPr>
        <w:spacing w:line="360" w:lineRule="auto"/>
        <w:rPr>
          <w:rFonts w:ascii="宋体" w:hAnsi="宋体"/>
          <w:color w:val="000000"/>
          <w:szCs w:val="21"/>
        </w:rPr>
      </w:pPr>
    </w:p>
    <w:p>
      <w:pPr>
        <w:spacing w:line="360" w:lineRule="auto"/>
        <w:rPr>
          <w:rFonts w:ascii="宋体" w:hAnsi="宋体"/>
          <w:color w:val="000000"/>
          <w:szCs w:val="21"/>
        </w:rPr>
      </w:pPr>
      <w:r>
        <w:rPr>
          <w:rFonts w:hint="eastAsia" w:ascii="宋体" w:hAnsi="宋体"/>
          <w:color w:val="000000"/>
          <w:szCs w:val="21"/>
        </w:rPr>
        <w:t>担保人：（盖单位章）</w:t>
      </w:r>
    </w:p>
    <w:p>
      <w:pPr>
        <w:spacing w:line="360" w:lineRule="auto"/>
        <w:rPr>
          <w:rFonts w:ascii="宋体" w:hAnsi="宋体"/>
          <w:color w:val="000000"/>
          <w:szCs w:val="21"/>
        </w:rPr>
      </w:pPr>
      <w:r>
        <w:rPr>
          <w:rFonts w:hint="eastAsia" w:ascii="宋体" w:hAnsi="宋体"/>
          <w:color w:val="000000"/>
          <w:szCs w:val="21"/>
        </w:rPr>
        <w:t>法定代表人或其委托代理人：（签字或盖章）</w:t>
      </w:r>
    </w:p>
    <w:p>
      <w:pPr>
        <w:spacing w:line="360" w:lineRule="auto"/>
        <w:rPr>
          <w:rFonts w:ascii="宋体" w:hAnsi="宋体"/>
          <w:color w:val="000000"/>
          <w:szCs w:val="21"/>
        </w:rPr>
      </w:pPr>
      <w:r>
        <w:rPr>
          <w:rFonts w:hint="eastAsia" w:ascii="宋体" w:hAnsi="宋体"/>
          <w:color w:val="000000"/>
          <w:szCs w:val="21"/>
        </w:rPr>
        <w:t>地址：</w:t>
      </w:r>
    </w:p>
    <w:p>
      <w:pPr>
        <w:spacing w:line="360" w:lineRule="auto"/>
        <w:rPr>
          <w:rFonts w:ascii="宋体" w:hAnsi="宋体"/>
          <w:color w:val="000000"/>
          <w:szCs w:val="21"/>
        </w:rPr>
      </w:pPr>
      <w:r>
        <w:rPr>
          <w:rFonts w:hint="eastAsia" w:ascii="宋体" w:hAnsi="宋体"/>
          <w:color w:val="000000"/>
          <w:szCs w:val="21"/>
        </w:rPr>
        <w:t>邮政编码：</w:t>
      </w:r>
    </w:p>
    <w:p>
      <w:pPr>
        <w:spacing w:line="360" w:lineRule="auto"/>
        <w:rPr>
          <w:rFonts w:ascii="宋体" w:hAnsi="宋体"/>
          <w:color w:val="000000"/>
          <w:szCs w:val="21"/>
          <w:u w:val="single"/>
        </w:rPr>
      </w:pPr>
      <w:r>
        <w:rPr>
          <w:rFonts w:hint="eastAsia" w:ascii="宋体" w:hAnsi="宋体"/>
          <w:color w:val="000000"/>
          <w:szCs w:val="21"/>
        </w:rPr>
        <w:t>电话：</w:t>
      </w:r>
    </w:p>
    <w:p>
      <w:pPr>
        <w:spacing w:line="360" w:lineRule="auto"/>
        <w:rPr>
          <w:rFonts w:ascii="宋体" w:hAnsi="宋体"/>
          <w:color w:val="000000"/>
          <w:szCs w:val="21"/>
        </w:rPr>
      </w:pPr>
      <w:r>
        <w:rPr>
          <w:rFonts w:hint="eastAsia" w:ascii="宋体" w:hAnsi="宋体"/>
          <w:color w:val="000000"/>
          <w:szCs w:val="21"/>
        </w:rPr>
        <w:t>传真：</w:t>
      </w:r>
    </w:p>
    <w:p>
      <w:pPr>
        <w:spacing w:line="360" w:lineRule="auto"/>
        <w:jc w:val="left"/>
        <w:rPr>
          <w:rFonts w:ascii="宋体" w:hAnsi="宋体"/>
          <w:color w:val="000000"/>
          <w:szCs w:val="21"/>
          <w:u w:val="single"/>
        </w:rPr>
      </w:pPr>
    </w:p>
    <w:p>
      <w:pPr>
        <w:spacing w:line="360" w:lineRule="auto"/>
        <w:ind w:left="1329" w:hanging="1329" w:hangingChars="633"/>
        <w:rPr>
          <w:rFonts w:ascii="宋体" w:hAnsi="宋体"/>
          <w:color w:val="000000"/>
          <w:szCs w:val="21"/>
        </w:rPr>
      </w:pPr>
      <w:r>
        <w:rPr>
          <w:rFonts w:hint="eastAsia" w:ascii="宋体" w:hAnsi="宋体"/>
          <w:color w:val="000000"/>
          <w:szCs w:val="21"/>
        </w:rPr>
        <w:t>年月日</w:t>
      </w:r>
    </w:p>
    <w:p>
      <w:pPr>
        <w:spacing w:line="360" w:lineRule="auto"/>
        <w:ind w:left="1329" w:hanging="1329" w:hangingChars="633"/>
        <w:rPr>
          <w:rFonts w:ascii="宋体" w:hAnsi="宋体"/>
          <w:color w:val="000000"/>
          <w:szCs w:val="21"/>
        </w:rPr>
      </w:pPr>
    </w:p>
    <w:p>
      <w:pPr>
        <w:spacing w:line="360" w:lineRule="auto"/>
        <w:ind w:left="1329" w:hanging="1329" w:hangingChars="633"/>
        <w:rPr>
          <w:rFonts w:ascii="宋体" w:hAnsi="宋体"/>
          <w:color w:val="000000"/>
          <w:szCs w:val="21"/>
        </w:rPr>
      </w:pPr>
    </w:p>
    <w:p>
      <w:pPr>
        <w:spacing w:line="360" w:lineRule="auto"/>
        <w:ind w:left="1329" w:hanging="1329" w:hangingChars="633"/>
        <w:rPr>
          <w:rFonts w:ascii="宋体" w:hAnsi="宋体"/>
          <w:color w:val="000000"/>
          <w:szCs w:val="21"/>
        </w:rPr>
      </w:pPr>
    </w:p>
    <w:p>
      <w:pPr>
        <w:spacing w:line="360" w:lineRule="auto"/>
        <w:rPr>
          <w:rFonts w:ascii="宋体" w:hAnsi="宋体"/>
          <w:color w:val="000000"/>
          <w:szCs w:val="21"/>
        </w:rPr>
      </w:pPr>
      <w:r>
        <w:rPr>
          <w:rFonts w:hint="eastAsia" w:ascii="宋体" w:hAnsi="宋体"/>
          <w:color w:val="000000"/>
          <w:szCs w:val="21"/>
        </w:rPr>
        <w:t>附</w:t>
      </w:r>
      <w:bookmarkStart w:id="1272" w:name="_Toc296347231"/>
      <w:bookmarkStart w:id="1273" w:name="_Toc296346733"/>
      <w:bookmarkStart w:id="1274" w:name="_Toc296891272"/>
      <w:bookmarkStart w:id="1275" w:name="_Toc296891060"/>
      <w:bookmarkStart w:id="1276" w:name="_Toc296503232"/>
      <w:bookmarkStart w:id="1277" w:name="_Toc296944571"/>
      <w:bookmarkStart w:id="1278" w:name="_Toc267261702"/>
      <w:r>
        <w:rPr>
          <w:rFonts w:hint="eastAsia" w:ascii="宋体" w:hAnsi="宋体"/>
          <w:color w:val="000000"/>
          <w:szCs w:val="21"/>
        </w:rPr>
        <w:t>件</w:t>
      </w:r>
      <w:r>
        <w:rPr>
          <w:rFonts w:ascii="宋体" w:hAnsi="宋体"/>
          <w:color w:val="000000"/>
          <w:szCs w:val="21"/>
        </w:rPr>
        <w:t xml:space="preserve">9 </w:t>
      </w:r>
      <w:r>
        <w:rPr>
          <w:rFonts w:hint="eastAsia" w:ascii="宋体" w:hAnsi="宋体"/>
          <w:color w:val="000000"/>
          <w:szCs w:val="21"/>
        </w:rPr>
        <w:t>：</w:t>
      </w:r>
    </w:p>
    <w:bookmarkEnd w:id="1272"/>
    <w:bookmarkEnd w:id="1273"/>
    <w:bookmarkEnd w:id="1274"/>
    <w:bookmarkEnd w:id="1275"/>
    <w:bookmarkEnd w:id="1276"/>
    <w:bookmarkEnd w:id="1277"/>
    <w:bookmarkEnd w:id="1278"/>
    <w:p>
      <w:pPr>
        <w:spacing w:before="120" w:beforeLines="50" w:after="120" w:afterLines="50" w:line="440" w:lineRule="exact"/>
        <w:jc w:val="center"/>
        <w:rPr>
          <w:rFonts w:ascii="宋体" w:hAnsi="宋体"/>
          <w:b/>
          <w:color w:val="000000"/>
          <w:sz w:val="28"/>
          <w:szCs w:val="28"/>
        </w:rPr>
      </w:pPr>
      <w:r>
        <w:rPr>
          <w:rFonts w:hint="eastAsia" w:ascii="宋体" w:hAnsi="宋体"/>
          <w:b/>
          <w:color w:val="000000"/>
          <w:sz w:val="28"/>
          <w:szCs w:val="28"/>
        </w:rPr>
        <w:t>预付款担保</w:t>
      </w:r>
    </w:p>
    <w:p>
      <w:pPr>
        <w:spacing w:line="360" w:lineRule="auto"/>
        <w:rPr>
          <w:rFonts w:ascii="宋体" w:hAnsi="宋体"/>
          <w:color w:val="000000"/>
          <w:szCs w:val="21"/>
        </w:rPr>
      </w:pPr>
      <w:r>
        <w:rPr>
          <w:rFonts w:ascii="宋体" w:hAnsi="宋体"/>
          <w:color w:val="000000"/>
          <w:szCs w:val="21"/>
          <w:u w:val="single"/>
        </w:rPr>
        <w:tab/>
      </w:r>
      <w:r>
        <w:rPr>
          <w:rFonts w:ascii="宋体" w:hAnsi="宋体"/>
          <w:color w:val="000000"/>
          <w:szCs w:val="21"/>
          <w:u w:val="single"/>
        </w:rPr>
        <w:tab/>
      </w:r>
      <w:r>
        <w:rPr>
          <w:rFonts w:hint="eastAsia" w:ascii="宋体" w:hAnsi="宋体"/>
          <w:color w:val="000000"/>
          <w:szCs w:val="21"/>
        </w:rPr>
        <w:t>（发包人名称）：</w:t>
      </w:r>
    </w:p>
    <w:p>
      <w:pPr>
        <w:spacing w:line="360" w:lineRule="auto"/>
        <w:rPr>
          <w:rFonts w:ascii="宋体" w:hAnsi="宋体"/>
          <w:color w:val="000000"/>
          <w:szCs w:val="21"/>
        </w:rPr>
      </w:pPr>
    </w:p>
    <w:p>
      <w:pPr>
        <w:spacing w:line="360" w:lineRule="auto"/>
        <w:ind w:firstLine="420" w:firstLineChars="200"/>
        <w:rPr>
          <w:rFonts w:ascii="宋体" w:hAnsi="宋体"/>
          <w:color w:val="000000"/>
          <w:szCs w:val="21"/>
        </w:rPr>
      </w:pPr>
      <w:r>
        <w:rPr>
          <w:rFonts w:hint="eastAsia" w:ascii="宋体" w:hAnsi="宋体"/>
          <w:color w:val="000000"/>
          <w:szCs w:val="21"/>
        </w:rPr>
        <w:t>根据（承包人名称）（以下称“承包人”）与</w:t>
      </w:r>
    </w:p>
    <w:p>
      <w:pPr>
        <w:spacing w:line="360" w:lineRule="auto"/>
        <w:rPr>
          <w:rFonts w:ascii="宋体" w:hAnsi="宋体"/>
          <w:color w:val="000000"/>
          <w:szCs w:val="21"/>
        </w:rPr>
      </w:pPr>
      <w:r>
        <w:rPr>
          <w:rFonts w:hint="eastAsia" w:ascii="宋体" w:hAnsi="宋体"/>
          <w:color w:val="000000"/>
          <w:szCs w:val="21"/>
        </w:rPr>
        <w:t>（发包人名称）（以下简称“发包人”）</w:t>
      </w:r>
    </w:p>
    <w:p>
      <w:pPr>
        <w:spacing w:line="360" w:lineRule="auto"/>
        <w:rPr>
          <w:rFonts w:ascii="宋体" w:hAnsi="宋体"/>
          <w:color w:val="000000"/>
          <w:szCs w:val="21"/>
        </w:rPr>
      </w:pPr>
      <w:r>
        <w:rPr>
          <w:rFonts w:hint="eastAsia" w:ascii="宋体" w:hAnsi="宋体"/>
          <w:color w:val="000000"/>
          <w:szCs w:val="21"/>
        </w:rPr>
        <w:t>于年月日签订的（工程名称）《建设工程施工合同》，承包人按约定的金额向你方提交一份预付款担保，即有权得到你方支付相等金额的预付款。我方愿意就你方提供给承包人的预付款为承包人提供连带责任担保。</w:t>
      </w:r>
    </w:p>
    <w:p>
      <w:pPr>
        <w:spacing w:line="360" w:lineRule="auto"/>
        <w:ind w:firstLine="420" w:firstLineChars="200"/>
        <w:rPr>
          <w:rFonts w:ascii="宋体" w:hAnsi="宋体"/>
          <w:color w:val="000000"/>
          <w:szCs w:val="21"/>
        </w:rPr>
      </w:pPr>
      <w:r>
        <w:rPr>
          <w:rFonts w:ascii="宋体" w:hAnsi="宋体"/>
          <w:color w:val="000000"/>
          <w:szCs w:val="21"/>
        </w:rPr>
        <w:t xml:space="preserve">1. </w:t>
      </w:r>
      <w:r>
        <w:rPr>
          <w:rFonts w:hint="eastAsia" w:ascii="宋体" w:hAnsi="宋体"/>
          <w:color w:val="000000"/>
          <w:szCs w:val="21"/>
        </w:rPr>
        <w:t>担保金额人民币（大写）元（</w:t>
      </w:r>
      <w:r>
        <w:rPr>
          <w:rFonts w:ascii="宋体" w:hAnsi="宋体"/>
          <w:color w:val="000000"/>
          <w:szCs w:val="21"/>
        </w:rPr>
        <w:t>¥</w:t>
      </w:r>
      <w:r>
        <w:rPr>
          <w:rFonts w:hint="eastAsia" w:ascii="宋体" w:hAnsi="宋体"/>
          <w:color w:val="000000"/>
          <w:szCs w:val="21"/>
        </w:rPr>
        <w:t>）。</w:t>
      </w:r>
    </w:p>
    <w:p>
      <w:pPr>
        <w:spacing w:line="360" w:lineRule="auto"/>
        <w:ind w:firstLine="420" w:firstLineChars="200"/>
        <w:rPr>
          <w:rFonts w:ascii="宋体" w:hAnsi="宋体"/>
          <w:color w:val="000000"/>
          <w:szCs w:val="21"/>
        </w:rPr>
      </w:pPr>
      <w:r>
        <w:rPr>
          <w:rFonts w:ascii="宋体" w:hAnsi="宋体"/>
          <w:color w:val="000000"/>
          <w:szCs w:val="21"/>
        </w:rPr>
        <w:t xml:space="preserve">2. </w:t>
      </w:r>
      <w:r>
        <w:rPr>
          <w:rFonts w:hint="eastAsia" w:ascii="宋体" w:hAnsi="宋体"/>
          <w:color w:val="000000"/>
          <w:szCs w:val="21"/>
        </w:rPr>
        <w:t>担保有效期自预付款支付给承包人起生效，至你方签发的进度款支付证书说明已完全扣清止。</w:t>
      </w:r>
    </w:p>
    <w:p>
      <w:pPr>
        <w:spacing w:line="360" w:lineRule="auto"/>
        <w:ind w:firstLine="420" w:firstLineChars="200"/>
        <w:rPr>
          <w:rFonts w:ascii="宋体" w:hAnsi="宋体"/>
          <w:color w:val="000000"/>
          <w:szCs w:val="21"/>
        </w:rPr>
      </w:pPr>
      <w:r>
        <w:rPr>
          <w:rFonts w:ascii="宋体" w:hAnsi="宋体"/>
          <w:color w:val="000000"/>
          <w:szCs w:val="21"/>
        </w:rPr>
        <w:t xml:space="preserve">3. </w:t>
      </w:r>
      <w:r>
        <w:rPr>
          <w:rFonts w:hint="eastAsia" w:ascii="宋体" w:hAnsi="宋体"/>
          <w:color w:val="000000"/>
          <w:szCs w:val="21"/>
        </w:rPr>
        <w:t>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pPr>
        <w:spacing w:line="360" w:lineRule="auto"/>
        <w:ind w:firstLine="420" w:firstLineChars="200"/>
        <w:rPr>
          <w:rFonts w:ascii="宋体" w:hAnsi="宋体"/>
          <w:color w:val="000000"/>
          <w:szCs w:val="21"/>
        </w:rPr>
      </w:pPr>
      <w:r>
        <w:rPr>
          <w:rFonts w:ascii="宋体" w:hAnsi="宋体"/>
          <w:color w:val="000000"/>
          <w:szCs w:val="21"/>
        </w:rPr>
        <w:t xml:space="preserve">4. </w:t>
      </w:r>
      <w:r>
        <w:rPr>
          <w:rFonts w:hint="eastAsia" w:ascii="宋体" w:hAnsi="宋体"/>
          <w:color w:val="000000"/>
          <w:szCs w:val="21"/>
        </w:rPr>
        <w:t>你方和承包人按合同约定变更合同时，我方承担本保函规定的义务不变。</w:t>
      </w:r>
    </w:p>
    <w:p>
      <w:pPr>
        <w:spacing w:line="360" w:lineRule="auto"/>
        <w:ind w:firstLine="420" w:firstLineChars="200"/>
        <w:jc w:val="left"/>
        <w:rPr>
          <w:rFonts w:ascii="宋体" w:hAnsi="宋体"/>
          <w:color w:val="000000"/>
          <w:szCs w:val="21"/>
        </w:rPr>
      </w:pPr>
      <w:r>
        <w:rPr>
          <w:rFonts w:ascii="宋体" w:hAnsi="宋体"/>
          <w:color w:val="000000"/>
          <w:szCs w:val="21"/>
        </w:rPr>
        <w:t xml:space="preserve">5. </w:t>
      </w:r>
      <w:r>
        <w:rPr>
          <w:rFonts w:hint="eastAsia" w:ascii="宋体" w:hAnsi="宋体"/>
          <w:color w:val="000000"/>
          <w:szCs w:val="21"/>
        </w:rPr>
        <w:t>因本保函发生的纠纷，可由双方协商解决，协商不成的，任何一方均可提请仲裁委员会仲裁。</w:t>
      </w:r>
    </w:p>
    <w:p>
      <w:pPr>
        <w:spacing w:line="360" w:lineRule="auto"/>
        <w:ind w:firstLine="420" w:firstLineChars="200"/>
        <w:jc w:val="left"/>
        <w:rPr>
          <w:rFonts w:ascii="宋体" w:hAnsi="宋体"/>
          <w:color w:val="000000"/>
          <w:szCs w:val="21"/>
        </w:rPr>
      </w:pPr>
      <w:r>
        <w:rPr>
          <w:rFonts w:ascii="宋体" w:hAnsi="宋体"/>
          <w:color w:val="000000"/>
          <w:szCs w:val="21"/>
        </w:rPr>
        <w:t xml:space="preserve">6. </w:t>
      </w:r>
      <w:r>
        <w:rPr>
          <w:rFonts w:hint="eastAsia" w:ascii="宋体" w:hAnsi="宋体"/>
          <w:color w:val="000000"/>
          <w:szCs w:val="21"/>
        </w:rPr>
        <w:t>本保函自我方法定代表人（或其授权代理人）签字并加盖公章之日起生效。</w:t>
      </w:r>
    </w:p>
    <w:p>
      <w:pPr>
        <w:spacing w:line="360" w:lineRule="auto"/>
        <w:rPr>
          <w:rFonts w:ascii="宋体" w:hAnsi="宋体"/>
          <w:color w:val="000000"/>
          <w:szCs w:val="21"/>
        </w:rPr>
      </w:pPr>
    </w:p>
    <w:p>
      <w:pPr>
        <w:spacing w:line="360" w:lineRule="auto"/>
        <w:rPr>
          <w:rFonts w:ascii="宋体" w:hAnsi="宋体"/>
          <w:color w:val="000000"/>
          <w:szCs w:val="21"/>
        </w:rPr>
      </w:pPr>
    </w:p>
    <w:p>
      <w:pPr>
        <w:spacing w:line="360" w:lineRule="auto"/>
        <w:rPr>
          <w:rFonts w:ascii="宋体" w:hAnsi="宋体"/>
          <w:color w:val="000000"/>
          <w:szCs w:val="21"/>
        </w:rPr>
      </w:pPr>
      <w:r>
        <w:rPr>
          <w:rFonts w:hint="eastAsia" w:ascii="宋体" w:hAnsi="宋体"/>
          <w:color w:val="000000"/>
          <w:szCs w:val="21"/>
        </w:rPr>
        <w:t>担保人：（盖单位章）</w:t>
      </w:r>
    </w:p>
    <w:p>
      <w:pPr>
        <w:spacing w:line="360" w:lineRule="auto"/>
        <w:rPr>
          <w:rFonts w:ascii="宋体" w:hAnsi="宋体"/>
          <w:color w:val="000000"/>
          <w:szCs w:val="21"/>
        </w:rPr>
      </w:pPr>
      <w:r>
        <w:rPr>
          <w:rFonts w:hint="eastAsia" w:ascii="宋体" w:hAnsi="宋体"/>
          <w:color w:val="000000"/>
          <w:szCs w:val="21"/>
        </w:rPr>
        <w:t>法定代表人或其委托代理人：（签字或盖章）</w:t>
      </w:r>
    </w:p>
    <w:p>
      <w:pPr>
        <w:spacing w:line="360" w:lineRule="auto"/>
        <w:rPr>
          <w:rFonts w:ascii="宋体" w:hAnsi="宋体"/>
          <w:color w:val="000000"/>
          <w:szCs w:val="21"/>
        </w:rPr>
      </w:pPr>
      <w:r>
        <w:rPr>
          <w:rFonts w:hint="eastAsia" w:ascii="宋体" w:hAnsi="宋体"/>
          <w:color w:val="000000"/>
          <w:szCs w:val="21"/>
        </w:rPr>
        <w:t>地址：</w:t>
      </w:r>
      <w:r>
        <w:rPr>
          <w:rFonts w:ascii="宋体" w:hAnsi="宋体"/>
          <w:color w:val="000000"/>
          <w:szCs w:val="21"/>
          <w:u w:val="single"/>
        </w:rPr>
        <w:tab/>
      </w:r>
      <w:r>
        <w:rPr>
          <w:rFonts w:ascii="宋体" w:hAnsi="宋体"/>
          <w:color w:val="000000"/>
          <w:szCs w:val="21"/>
          <w:u w:val="single"/>
        </w:rPr>
        <w:tab/>
      </w:r>
      <w:r>
        <w:rPr>
          <w:rFonts w:ascii="宋体" w:hAnsi="宋体"/>
          <w:color w:val="000000"/>
          <w:szCs w:val="21"/>
          <w:u w:val="single"/>
        </w:rPr>
        <w:tab/>
      </w:r>
      <w:r>
        <w:rPr>
          <w:rFonts w:ascii="宋体" w:hAnsi="宋体"/>
          <w:color w:val="000000"/>
          <w:szCs w:val="21"/>
          <w:u w:val="single"/>
        </w:rPr>
        <w:tab/>
      </w:r>
      <w:r>
        <w:rPr>
          <w:rFonts w:ascii="宋体" w:hAnsi="宋体"/>
          <w:color w:val="000000"/>
          <w:szCs w:val="21"/>
          <w:u w:val="single"/>
        </w:rPr>
        <w:tab/>
      </w:r>
      <w:r>
        <w:rPr>
          <w:rFonts w:ascii="宋体" w:hAnsi="宋体"/>
          <w:color w:val="000000"/>
          <w:szCs w:val="21"/>
          <w:u w:val="single"/>
        </w:rPr>
        <w:tab/>
      </w:r>
      <w:r>
        <w:rPr>
          <w:rFonts w:ascii="宋体" w:hAnsi="宋体"/>
          <w:color w:val="000000"/>
          <w:szCs w:val="21"/>
          <w:u w:val="single"/>
        </w:rPr>
        <w:tab/>
      </w:r>
    </w:p>
    <w:p>
      <w:pPr>
        <w:spacing w:line="360" w:lineRule="auto"/>
        <w:rPr>
          <w:rFonts w:ascii="宋体" w:hAnsi="宋体"/>
          <w:color w:val="000000"/>
          <w:szCs w:val="21"/>
          <w:u w:val="single"/>
        </w:rPr>
      </w:pPr>
      <w:r>
        <w:rPr>
          <w:rFonts w:hint="eastAsia" w:ascii="宋体" w:hAnsi="宋体"/>
          <w:color w:val="000000"/>
          <w:szCs w:val="21"/>
        </w:rPr>
        <w:t>邮政编码：</w:t>
      </w:r>
      <w:r>
        <w:rPr>
          <w:rFonts w:ascii="宋体" w:hAnsi="宋体"/>
          <w:color w:val="000000"/>
          <w:szCs w:val="21"/>
          <w:u w:val="single"/>
        </w:rPr>
        <w:tab/>
      </w:r>
      <w:r>
        <w:rPr>
          <w:rFonts w:ascii="宋体" w:hAnsi="宋体"/>
          <w:color w:val="000000"/>
          <w:szCs w:val="21"/>
          <w:u w:val="single"/>
        </w:rPr>
        <w:tab/>
      </w:r>
      <w:r>
        <w:rPr>
          <w:rFonts w:ascii="宋体" w:hAnsi="宋体"/>
          <w:color w:val="000000"/>
          <w:szCs w:val="21"/>
          <w:u w:val="single"/>
        </w:rPr>
        <w:tab/>
      </w:r>
      <w:r>
        <w:rPr>
          <w:rFonts w:ascii="宋体" w:hAnsi="宋体"/>
          <w:color w:val="000000"/>
          <w:szCs w:val="21"/>
          <w:u w:val="single"/>
        </w:rPr>
        <w:tab/>
      </w:r>
      <w:r>
        <w:rPr>
          <w:rFonts w:ascii="宋体" w:hAnsi="宋体"/>
          <w:color w:val="000000"/>
          <w:szCs w:val="21"/>
          <w:u w:val="single"/>
        </w:rPr>
        <w:tab/>
      </w:r>
      <w:r>
        <w:rPr>
          <w:rFonts w:ascii="宋体" w:hAnsi="宋体"/>
          <w:color w:val="000000"/>
          <w:szCs w:val="21"/>
          <w:u w:val="single"/>
        </w:rPr>
        <w:tab/>
      </w:r>
      <w:r>
        <w:rPr>
          <w:rFonts w:ascii="宋体" w:hAnsi="宋体"/>
          <w:color w:val="000000"/>
          <w:szCs w:val="21"/>
          <w:u w:val="single"/>
        </w:rPr>
        <w:tab/>
      </w:r>
    </w:p>
    <w:p>
      <w:pPr>
        <w:spacing w:line="360" w:lineRule="auto"/>
        <w:rPr>
          <w:rFonts w:ascii="宋体" w:hAnsi="宋体"/>
          <w:color w:val="000000"/>
          <w:szCs w:val="21"/>
          <w:u w:val="single"/>
        </w:rPr>
      </w:pPr>
      <w:r>
        <w:rPr>
          <w:rFonts w:hint="eastAsia" w:ascii="宋体" w:hAnsi="宋体"/>
          <w:color w:val="000000"/>
          <w:szCs w:val="21"/>
        </w:rPr>
        <w:t>电话：</w:t>
      </w:r>
      <w:r>
        <w:rPr>
          <w:rFonts w:ascii="宋体" w:hAnsi="宋体"/>
          <w:color w:val="000000"/>
          <w:szCs w:val="21"/>
          <w:u w:val="single"/>
        </w:rPr>
        <w:tab/>
      </w:r>
      <w:r>
        <w:rPr>
          <w:rFonts w:ascii="宋体" w:hAnsi="宋体"/>
          <w:color w:val="000000"/>
          <w:szCs w:val="21"/>
          <w:u w:val="single"/>
        </w:rPr>
        <w:tab/>
      </w:r>
      <w:r>
        <w:rPr>
          <w:rFonts w:ascii="宋体" w:hAnsi="宋体"/>
          <w:color w:val="000000"/>
          <w:szCs w:val="21"/>
          <w:u w:val="single"/>
        </w:rPr>
        <w:tab/>
      </w:r>
      <w:r>
        <w:rPr>
          <w:rFonts w:ascii="宋体" w:hAnsi="宋体"/>
          <w:color w:val="000000"/>
          <w:szCs w:val="21"/>
          <w:u w:val="single"/>
        </w:rPr>
        <w:tab/>
      </w:r>
      <w:r>
        <w:rPr>
          <w:rFonts w:ascii="宋体" w:hAnsi="宋体"/>
          <w:color w:val="000000"/>
          <w:szCs w:val="21"/>
          <w:u w:val="single"/>
        </w:rPr>
        <w:tab/>
      </w:r>
      <w:r>
        <w:rPr>
          <w:rFonts w:ascii="宋体" w:hAnsi="宋体"/>
          <w:color w:val="000000"/>
          <w:szCs w:val="21"/>
          <w:u w:val="single"/>
        </w:rPr>
        <w:tab/>
      </w:r>
      <w:r>
        <w:rPr>
          <w:rFonts w:ascii="宋体" w:hAnsi="宋体"/>
          <w:color w:val="000000"/>
          <w:szCs w:val="21"/>
          <w:u w:val="single"/>
        </w:rPr>
        <w:tab/>
      </w:r>
    </w:p>
    <w:p>
      <w:pPr>
        <w:spacing w:line="360" w:lineRule="auto"/>
        <w:rPr>
          <w:rFonts w:ascii="宋体" w:hAnsi="宋体"/>
          <w:color w:val="000000"/>
          <w:szCs w:val="21"/>
          <w:u w:val="single"/>
        </w:rPr>
      </w:pPr>
      <w:r>
        <w:rPr>
          <w:rFonts w:hint="eastAsia" w:ascii="宋体" w:hAnsi="宋体"/>
          <w:color w:val="000000"/>
          <w:szCs w:val="21"/>
        </w:rPr>
        <w:t>传真：</w:t>
      </w:r>
      <w:r>
        <w:rPr>
          <w:rFonts w:ascii="宋体" w:hAnsi="宋体"/>
          <w:color w:val="000000"/>
          <w:szCs w:val="21"/>
          <w:u w:val="single"/>
        </w:rPr>
        <w:tab/>
      </w:r>
      <w:r>
        <w:rPr>
          <w:rFonts w:ascii="宋体" w:hAnsi="宋体"/>
          <w:color w:val="000000"/>
          <w:szCs w:val="21"/>
          <w:u w:val="single"/>
        </w:rPr>
        <w:tab/>
      </w:r>
      <w:r>
        <w:rPr>
          <w:rFonts w:ascii="宋体" w:hAnsi="宋体"/>
          <w:color w:val="000000"/>
          <w:szCs w:val="21"/>
          <w:u w:val="single"/>
        </w:rPr>
        <w:tab/>
      </w:r>
      <w:r>
        <w:rPr>
          <w:rFonts w:ascii="宋体" w:hAnsi="宋体"/>
          <w:color w:val="000000"/>
          <w:szCs w:val="21"/>
          <w:u w:val="single"/>
        </w:rPr>
        <w:tab/>
      </w:r>
      <w:r>
        <w:rPr>
          <w:rFonts w:ascii="宋体" w:hAnsi="宋体"/>
          <w:color w:val="000000"/>
          <w:szCs w:val="21"/>
          <w:u w:val="single"/>
        </w:rPr>
        <w:tab/>
      </w:r>
      <w:r>
        <w:rPr>
          <w:rFonts w:ascii="宋体" w:hAnsi="宋体"/>
          <w:color w:val="000000"/>
          <w:szCs w:val="21"/>
          <w:u w:val="single"/>
        </w:rPr>
        <w:tab/>
      </w:r>
      <w:r>
        <w:rPr>
          <w:rFonts w:ascii="宋体" w:hAnsi="宋体"/>
          <w:color w:val="000000"/>
          <w:szCs w:val="21"/>
          <w:u w:val="single"/>
        </w:rPr>
        <w:tab/>
      </w:r>
    </w:p>
    <w:p>
      <w:pPr>
        <w:spacing w:line="360" w:lineRule="auto"/>
        <w:rPr>
          <w:rFonts w:ascii="宋体" w:hAnsi="宋体"/>
          <w:color w:val="000000"/>
          <w:szCs w:val="21"/>
        </w:rPr>
      </w:pPr>
      <w:r>
        <w:rPr>
          <w:rFonts w:hint="eastAsia" w:ascii="宋体" w:hAnsi="宋体"/>
          <w:color w:val="000000"/>
          <w:szCs w:val="21"/>
        </w:rPr>
        <w:t>年月日</w:t>
      </w:r>
      <w:r>
        <w:rPr>
          <w:rFonts w:ascii="宋体" w:hAnsi="宋体"/>
          <w:b/>
          <w:color w:val="000000"/>
          <w:szCs w:val="21"/>
        </w:rPr>
        <w:br w:type="page"/>
      </w:r>
      <w:r>
        <w:rPr>
          <w:rFonts w:hint="eastAsia" w:ascii="宋体" w:hAnsi="宋体"/>
          <w:color w:val="000000"/>
          <w:szCs w:val="21"/>
        </w:rPr>
        <w:t>附</w:t>
      </w:r>
      <w:bookmarkStart w:id="1279" w:name="_Toc296891061"/>
      <w:bookmarkStart w:id="1280" w:name="_Toc296346734"/>
      <w:bookmarkStart w:id="1281" w:name="_Toc296944572"/>
      <w:bookmarkStart w:id="1282" w:name="_Toc296503233"/>
      <w:bookmarkStart w:id="1283" w:name="_Toc296347232"/>
      <w:bookmarkStart w:id="1284" w:name="_Toc296891273"/>
      <w:r>
        <w:rPr>
          <w:rFonts w:hint="eastAsia" w:ascii="宋体" w:hAnsi="宋体"/>
          <w:color w:val="000000"/>
          <w:szCs w:val="21"/>
        </w:rPr>
        <w:t>件</w:t>
      </w:r>
      <w:r>
        <w:rPr>
          <w:rFonts w:ascii="宋体" w:hAnsi="宋体"/>
          <w:color w:val="000000"/>
          <w:szCs w:val="21"/>
        </w:rPr>
        <w:t xml:space="preserve">10:  </w:t>
      </w:r>
    </w:p>
    <w:bookmarkEnd w:id="1279"/>
    <w:bookmarkEnd w:id="1280"/>
    <w:bookmarkEnd w:id="1281"/>
    <w:bookmarkEnd w:id="1282"/>
    <w:bookmarkEnd w:id="1283"/>
    <w:bookmarkEnd w:id="1284"/>
    <w:p>
      <w:pPr>
        <w:spacing w:before="120" w:beforeLines="50" w:after="120" w:afterLines="50" w:line="440" w:lineRule="exact"/>
        <w:jc w:val="center"/>
        <w:rPr>
          <w:rFonts w:ascii="宋体" w:hAnsi="宋体"/>
          <w:b/>
          <w:color w:val="000000"/>
          <w:sz w:val="28"/>
          <w:szCs w:val="28"/>
        </w:rPr>
      </w:pPr>
      <w:r>
        <w:rPr>
          <w:rFonts w:hint="eastAsia" w:ascii="宋体" w:hAnsi="宋体"/>
          <w:b/>
          <w:color w:val="000000"/>
          <w:sz w:val="28"/>
          <w:szCs w:val="28"/>
        </w:rPr>
        <w:t>支付担保</w:t>
      </w:r>
    </w:p>
    <w:p>
      <w:pPr>
        <w:spacing w:line="440" w:lineRule="exact"/>
        <w:jc w:val="left"/>
        <w:rPr>
          <w:rFonts w:ascii="宋体" w:hAnsi="宋体"/>
          <w:color w:val="000000"/>
          <w:szCs w:val="21"/>
        </w:rPr>
      </w:pPr>
      <w:r>
        <w:rPr>
          <w:rFonts w:hint="eastAsia" w:ascii="宋体" w:hAnsi="宋体"/>
          <w:color w:val="000000"/>
          <w:szCs w:val="21"/>
        </w:rPr>
        <w:t>（承包人）：</w:t>
      </w:r>
    </w:p>
    <w:p>
      <w:pPr>
        <w:spacing w:line="360" w:lineRule="auto"/>
        <w:ind w:left="105" w:leftChars="50" w:firstLine="315" w:firstLineChars="150"/>
        <w:jc w:val="left"/>
        <w:rPr>
          <w:rFonts w:ascii="宋体" w:hAnsi="宋体"/>
          <w:color w:val="000000"/>
          <w:szCs w:val="21"/>
        </w:rPr>
      </w:pPr>
      <w:r>
        <w:rPr>
          <w:rFonts w:hint="eastAsia" w:ascii="宋体" w:hAnsi="宋体"/>
          <w:color w:val="000000"/>
          <w:szCs w:val="21"/>
        </w:rPr>
        <w:t>鉴于你方作为承包人已经与（发包人名称）（以下称“发包人”）于年月日签订了（工程名称）《建设工程施工合同》（以下称“主合同”），应发包人的申请，我方愿就发包人履行主合同约定的工程款支付义务以保证的方式向你方提供如下担保：</w:t>
      </w:r>
    </w:p>
    <w:p>
      <w:pPr>
        <w:spacing w:line="360" w:lineRule="auto"/>
        <w:ind w:firstLine="420" w:firstLineChars="200"/>
        <w:jc w:val="left"/>
        <w:rPr>
          <w:rFonts w:ascii="宋体" w:hAnsi="宋体"/>
          <w:color w:val="000000"/>
          <w:szCs w:val="21"/>
        </w:rPr>
      </w:pPr>
      <w:r>
        <w:rPr>
          <w:rFonts w:hint="eastAsia" w:ascii="宋体" w:hAnsi="宋体"/>
          <w:color w:val="000000"/>
          <w:szCs w:val="21"/>
        </w:rPr>
        <w:t>一、保证的范围及保证金额</w:t>
      </w:r>
    </w:p>
    <w:p>
      <w:pPr>
        <w:spacing w:line="360" w:lineRule="auto"/>
        <w:ind w:firstLine="420" w:firstLineChars="200"/>
        <w:jc w:val="left"/>
        <w:rPr>
          <w:rFonts w:ascii="宋体" w:hAnsi="宋体"/>
          <w:color w:val="000000"/>
          <w:szCs w:val="21"/>
        </w:rPr>
      </w:pPr>
      <w:r>
        <w:rPr>
          <w:rFonts w:ascii="宋体" w:hAnsi="宋体"/>
          <w:color w:val="000000"/>
          <w:szCs w:val="21"/>
        </w:rPr>
        <w:t xml:space="preserve">1. </w:t>
      </w:r>
      <w:r>
        <w:rPr>
          <w:rFonts w:hint="eastAsia" w:ascii="宋体" w:hAnsi="宋体"/>
          <w:color w:val="000000"/>
          <w:szCs w:val="21"/>
        </w:rPr>
        <w:t>我方的保证范围是主合同约定的工程款。</w:t>
      </w:r>
    </w:p>
    <w:p>
      <w:pPr>
        <w:spacing w:line="360" w:lineRule="auto"/>
        <w:ind w:firstLine="420" w:firstLineChars="200"/>
        <w:jc w:val="left"/>
        <w:rPr>
          <w:rFonts w:ascii="宋体" w:hAnsi="宋体"/>
          <w:color w:val="000000"/>
          <w:szCs w:val="21"/>
        </w:rPr>
      </w:pPr>
      <w:r>
        <w:rPr>
          <w:rFonts w:ascii="宋体" w:hAnsi="宋体"/>
          <w:color w:val="000000"/>
          <w:szCs w:val="21"/>
        </w:rPr>
        <w:t xml:space="preserve">2. </w:t>
      </w:r>
      <w:r>
        <w:rPr>
          <w:rFonts w:hint="eastAsia" w:ascii="宋体" w:hAnsi="宋体"/>
          <w:color w:val="000000"/>
          <w:szCs w:val="21"/>
        </w:rPr>
        <w:t>本保函所称主合同约定的工程款是指主合同约定的除工程质量保证金以外的合同价款。</w:t>
      </w:r>
    </w:p>
    <w:p>
      <w:pPr>
        <w:spacing w:line="360" w:lineRule="auto"/>
        <w:ind w:left="105" w:leftChars="50" w:firstLine="315" w:firstLineChars="150"/>
        <w:jc w:val="left"/>
        <w:rPr>
          <w:rFonts w:ascii="宋体" w:hAnsi="宋体"/>
          <w:color w:val="000000"/>
          <w:szCs w:val="21"/>
        </w:rPr>
      </w:pPr>
      <w:r>
        <w:rPr>
          <w:rFonts w:ascii="宋体" w:hAnsi="宋体"/>
          <w:color w:val="000000"/>
          <w:szCs w:val="21"/>
        </w:rPr>
        <w:t xml:space="preserve">3. </w:t>
      </w:r>
      <w:r>
        <w:rPr>
          <w:rFonts w:hint="eastAsia" w:ascii="宋体" w:hAnsi="宋体"/>
          <w:color w:val="000000"/>
          <w:szCs w:val="21"/>
        </w:rPr>
        <w:t>我方保证的金额是主合同约定的工程款的</w:t>
      </w:r>
      <w:r>
        <w:rPr>
          <w:rFonts w:ascii="宋体" w:hAnsi="宋体"/>
          <w:color w:val="000000"/>
          <w:szCs w:val="21"/>
        </w:rPr>
        <w:t>%</w:t>
      </w:r>
      <w:r>
        <w:rPr>
          <w:rFonts w:hint="eastAsia" w:ascii="宋体" w:hAnsi="宋体"/>
          <w:color w:val="000000"/>
          <w:szCs w:val="21"/>
        </w:rPr>
        <w:t>，数额最高不超过人民币元（大写：）。</w:t>
      </w:r>
    </w:p>
    <w:p>
      <w:pPr>
        <w:spacing w:line="360" w:lineRule="auto"/>
        <w:ind w:firstLine="420" w:firstLineChars="200"/>
        <w:jc w:val="left"/>
        <w:rPr>
          <w:rFonts w:ascii="宋体" w:hAnsi="宋体"/>
          <w:color w:val="000000"/>
          <w:szCs w:val="21"/>
        </w:rPr>
      </w:pPr>
      <w:r>
        <w:rPr>
          <w:rFonts w:hint="eastAsia" w:ascii="宋体" w:hAnsi="宋体"/>
          <w:color w:val="000000"/>
          <w:szCs w:val="21"/>
        </w:rPr>
        <w:t>二、保证的方式及保证期间</w:t>
      </w:r>
    </w:p>
    <w:p>
      <w:pPr>
        <w:spacing w:line="360" w:lineRule="auto"/>
        <w:ind w:firstLine="420" w:firstLineChars="200"/>
        <w:jc w:val="left"/>
        <w:rPr>
          <w:rFonts w:ascii="宋体" w:hAnsi="宋体"/>
          <w:color w:val="000000"/>
          <w:szCs w:val="21"/>
        </w:rPr>
      </w:pPr>
      <w:r>
        <w:rPr>
          <w:rFonts w:ascii="宋体" w:hAnsi="宋体"/>
          <w:color w:val="000000"/>
          <w:szCs w:val="21"/>
        </w:rPr>
        <w:t xml:space="preserve">1. </w:t>
      </w:r>
      <w:r>
        <w:rPr>
          <w:rFonts w:hint="eastAsia" w:ascii="宋体" w:hAnsi="宋体"/>
          <w:color w:val="000000"/>
          <w:szCs w:val="21"/>
        </w:rPr>
        <w:t>我方保证的方式为：连带责任保证。</w:t>
      </w:r>
    </w:p>
    <w:p>
      <w:pPr>
        <w:spacing w:line="360" w:lineRule="auto"/>
        <w:ind w:firstLine="420" w:firstLineChars="200"/>
        <w:jc w:val="left"/>
        <w:rPr>
          <w:rFonts w:ascii="宋体" w:hAnsi="宋体"/>
          <w:color w:val="000000"/>
          <w:szCs w:val="21"/>
        </w:rPr>
      </w:pPr>
      <w:r>
        <w:rPr>
          <w:rFonts w:ascii="宋体" w:hAnsi="宋体"/>
          <w:color w:val="000000"/>
          <w:szCs w:val="21"/>
        </w:rPr>
        <w:t xml:space="preserve">2. </w:t>
      </w:r>
      <w:r>
        <w:rPr>
          <w:rFonts w:hint="eastAsia" w:ascii="宋体" w:hAnsi="宋体"/>
          <w:color w:val="000000"/>
          <w:szCs w:val="21"/>
        </w:rPr>
        <w:t>我方保证的期间为：自本合同生效之日起至主合同约定的工程款支付完毕之日后日内。</w:t>
      </w:r>
    </w:p>
    <w:p>
      <w:pPr>
        <w:spacing w:line="360" w:lineRule="auto"/>
        <w:ind w:firstLine="420" w:firstLineChars="200"/>
        <w:jc w:val="left"/>
        <w:rPr>
          <w:rFonts w:ascii="宋体" w:hAnsi="宋体"/>
          <w:color w:val="000000"/>
          <w:szCs w:val="21"/>
        </w:rPr>
      </w:pPr>
      <w:r>
        <w:rPr>
          <w:rFonts w:ascii="宋体" w:hAnsi="宋体"/>
          <w:color w:val="000000"/>
          <w:szCs w:val="21"/>
        </w:rPr>
        <w:t xml:space="preserve">3. </w:t>
      </w:r>
      <w:r>
        <w:rPr>
          <w:rFonts w:hint="eastAsia" w:ascii="宋体" w:hAnsi="宋体"/>
          <w:color w:val="000000"/>
          <w:szCs w:val="21"/>
        </w:rPr>
        <w:t>你方与发包人协议变更工程款支付日期的，经我方书面同意后，保证期间按照变更后的支付日期做相应调整。</w:t>
      </w:r>
    </w:p>
    <w:p>
      <w:pPr>
        <w:spacing w:line="360" w:lineRule="auto"/>
        <w:ind w:firstLine="420" w:firstLineChars="200"/>
        <w:jc w:val="left"/>
        <w:rPr>
          <w:rFonts w:ascii="宋体" w:hAnsi="宋体"/>
          <w:color w:val="000000"/>
          <w:szCs w:val="21"/>
        </w:rPr>
      </w:pPr>
      <w:r>
        <w:rPr>
          <w:rFonts w:hint="eastAsia" w:ascii="宋体" w:hAnsi="宋体"/>
          <w:color w:val="000000"/>
          <w:szCs w:val="21"/>
        </w:rPr>
        <w:t>三、承担保证责任的形式</w:t>
      </w:r>
    </w:p>
    <w:p>
      <w:pPr>
        <w:spacing w:line="360" w:lineRule="auto"/>
        <w:ind w:firstLine="420" w:firstLineChars="200"/>
        <w:jc w:val="left"/>
        <w:rPr>
          <w:rFonts w:ascii="宋体" w:hAnsi="宋体"/>
          <w:color w:val="000000"/>
          <w:szCs w:val="21"/>
        </w:rPr>
      </w:pPr>
      <w:r>
        <w:rPr>
          <w:rFonts w:hint="eastAsia" w:ascii="宋体" w:hAnsi="宋体"/>
          <w:color w:val="000000"/>
          <w:szCs w:val="21"/>
        </w:rPr>
        <w:t>我方承担保证责任的形式是代为支付。发包人未按主合同约定向你方支付工程款的，由我方在保证金额内代为支付。</w:t>
      </w:r>
    </w:p>
    <w:p>
      <w:pPr>
        <w:spacing w:line="360" w:lineRule="auto"/>
        <w:ind w:firstLine="420" w:firstLineChars="200"/>
        <w:jc w:val="left"/>
        <w:rPr>
          <w:rFonts w:ascii="宋体" w:hAnsi="宋体"/>
          <w:color w:val="000000"/>
          <w:szCs w:val="21"/>
        </w:rPr>
      </w:pPr>
      <w:r>
        <w:rPr>
          <w:rFonts w:hint="eastAsia" w:ascii="宋体" w:hAnsi="宋体"/>
          <w:color w:val="000000"/>
          <w:szCs w:val="21"/>
        </w:rPr>
        <w:t>四、代偿的安排</w:t>
      </w:r>
    </w:p>
    <w:p>
      <w:pPr>
        <w:spacing w:line="360" w:lineRule="auto"/>
        <w:ind w:firstLine="420" w:firstLineChars="200"/>
        <w:jc w:val="left"/>
        <w:rPr>
          <w:rFonts w:ascii="宋体" w:hAnsi="宋体"/>
          <w:color w:val="000000"/>
          <w:szCs w:val="21"/>
        </w:rPr>
      </w:pPr>
      <w:r>
        <w:rPr>
          <w:rFonts w:ascii="宋体" w:hAnsi="宋体"/>
          <w:color w:val="000000"/>
          <w:szCs w:val="21"/>
        </w:rPr>
        <w:t xml:space="preserve">1. </w:t>
      </w:r>
      <w:r>
        <w:rPr>
          <w:rFonts w:hint="eastAsia" w:ascii="宋体" w:hAnsi="宋体"/>
          <w:color w:val="000000"/>
          <w:szCs w:val="21"/>
        </w:rPr>
        <w:t>你方要求我方承担保证责任的，应向我方发出书面索赔通知及发包人未支付主合同约定工程款的证明材料。索赔通知应写明要求索赔的金额，支付款项应到达的账号。</w:t>
      </w:r>
    </w:p>
    <w:p>
      <w:pPr>
        <w:spacing w:line="360" w:lineRule="auto"/>
        <w:ind w:firstLine="420" w:firstLineChars="200"/>
        <w:jc w:val="left"/>
        <w:rPr>
          <w:rFonts w:ascii="宋体" w:hAnsi="宋体"/>
          <w:color w:val="000000"/>
          <w:szCs w:val="21"/>
        </w:rPr>
      </w:pPr>
      <w:r>
        <w:rPr>
          <w:rFonts w:ascii="宋体" w:hAnsi="宋体"/>
          <w:color w:val="000000"/>
          <w:szCs w:val="21"/>
        </w:rPr>
        <w:t xml:space="preserve">2. </w:t>
      </w:r>
      <w:r>
        <w:rPr>
          <w:rFonts w:hint="eastAsia" w:ascii="宋体" w:hAnsi="宋体"/>
          <w:color w:val="000000"/>
          <w:szCs w:val="21"/>
        </w:rPr>
        <w:t>在出现你方与发包人因工程质量发生争议，发包人拒绝向你方支付工程款的情形时，你方要求我方履行保证责任代为支付的，需提供符合相应条件要求的工程质量检测机构出具的质量说明材料。</w:t>
      </w:r>
    </w:p>
    <w:p>
      <w:pPr>
        <w:spacing w:line="360" w:lineRule="auto"/>
        <w:ind w:firstLine="420" w:firstLineChars="200"/>
        <w:jc w:val="left"/>
        <w:rPr>
          <w:rFonts w:ascii="宋体" w:hAnsi="宋体"/>
          <w:color w:val="000000"/>
          <w:szCs w:val="21"/>
        </w:rPr>
      </w:pPr>
      <w:r>
        <w:rPr>
          <w:rFonts w:ascii="宋体" w:hAnsi="宋体"/>
          <w:color w:val="000000"/>
          <w:szCs w:val="21"/>
        </w:rPr>
        <w:t xml:space="preserve">3. </w:t>
      </w:r>
      <w:r>
        <w:rPr>
          <w:rFonts w:hint="eastAsia" w:ascii="宋体" w:hAnsi="宋体"/>
          <w:color w:val="000000"/>
          <w:szCs w:val="21"/>
        </w:rPr>
        <w:t>我方收到你方的书面索赔通知及相应的证明材料后７天内无条件支付。</w:t>
      </w:r>
    </w:p>
    <w:p>
      <w:pPr>
        <w:spacing w:line="360" w:lineRule="auto"/>
        <w:ind w:firstLine="420" w:firstLineChars="200"/>
        <w:jc w:val="left"/>
        <w:rPr>
          <w:rFonts w:ascii="宋体" w:hAnsi="宋体"/>
          <w:color w:val="000000"/>
          <w:szCs w:val="21"/>
        </w:rPr>
      </w:pPr>
      <w:r>
        <w:rPr>
          <w:rFonts w:hint="eastAsia" w:ascii="宋体" w:hAnsi="宋体"/>
          <w:color w:val="000000"/>
          <w:szCs w:val="21"/>
        </w:rPr>
        <w:t>五、保证责任的解除</w:t>
      </w:r>
    </w:p>
    <w:p>
      <w:pPr>
        <w:spacing w:line="360" w:lineRule="auto"/>
        <w:ind w:firstLine="420" w:firstLineChars="200"/>
        <w:jc w:val="left"/>
        <w:rPr>
          <w:rFonts w:ascii="宋体" w:hAnsi="宋体"/>
          <w:color w:val="000000"/>
          <w:szCs w:val="21"/>
        </w:rPr>
      </w:pPr>
      <w:r>
        <w:rPr>
          <w:rFonts w:ascii="宋体" w:hAnsi="宋体"/>
          <w:color w:val="000000"/>
          <w:szCs w:val="21"/>
        </w:rPr>
        <w:t xml:space="preserve">1. </w:t>
      </w:r>
      <w:r>
        <w:rPr>
          <w:rFonts w:hint="eastAsia" w:ascii="宋体" w:hAnsi="宋体"/>
          <w:color w:val="000000"/>
          <w:szCs w:val="21"/>
        </w:rPr>
        <w:t>在本保函承诺的保证期间内，你方未书面向我方主张保证责任的，自保证期间届满次日起，我方保证责任解除。</w:t>
      </w:r>
    </w:p>
    <w:p>
      <w:pPr>
        <w:spacing w:line="360" w:lineRule="auto"/>
        <w:ind w:firstLine="420" w:firstLineChars="200"/>
        <w:jc w:val="left"/>
        <w:rPr>
          <w:rFonts w:ascii="宋体" w:hAnsi="宋体"/>
          <w:color w:val="000000"/>
          <w:szCs w:val="21"/>
        </w:rPr>
      </w:pPr>
      <w:r>
        <w:rPr>
          <w:rFonts w:ascii="宋体" w:hAnsi="宋体"/>
          <w:color w:val="000000"/>
          <w:szCs w:val="21"/>
        </w:rPr>
        <w:t xml:space="preserve">2. </w:t>
      </w:r>
      <w:r>
        <w:rPr>
          <w:rFonts w:hint="eastAsia" w:ascii="宋体" w:hAnsi="宋体"/>
          <w:color w:val="000000"/>
          <w:szCs w:val="21"/>
        </w:rPr>
        <w:t>发包人按主合同约定履行了工程款的全部支付义务的，自本保函承诺的保证期间届满次日起，我方保证责任解除。</w:t>
      </w:r>
    </w:p>
    <w:p>
      <w:pPr>
        <w:spacing w:line="360" w:lineRule="auto"/>
        <w:ind w:firstLine="420" w:firstLineChars="200"/>
        <w:jc w:val="left"/>
        <w:rPr>
          <w:rFonts w:ascii="宋体" w:hAnsi="宋体"/>
          <w:color w:val="000000"/>
          <w:szCs w:val="21"/>
        </w:rPr>
      </w:pPr>
      <w:r>
        <w:rPr>
          <w:rFonts w:ascii="宋体" w:hAnsi="宋体"/>
          <w:color w:val="000000"/>
          <w:szCs w:val="21"/>
        </w:rPr>
        <w:t xml:space="preserve">3. </w:t>
      </w:r>
      <w:r>
        <w:rPr>
          <w:rFonts w:hint="eastAsia" w:ascii="宋体" w:hAnsi="宋体"/>
          <w:color w:val="000000"/>
          <w:szCs w:val="21"/>
        </w:rPr>
        <w:t>我方按照本保函向你方履行保证责任所支付金额达到本保函保证金额时，自我方向你方支付（支付款项从我方账户划出）之日起，保证责任即解除。</w:t>
      </w:r>
    </w:p>
    <w:p>
      <w:pPr>
        <w:spacing w:line="360" w:lineRule="auto"/>
        <w:ind w:firstLine="420" w:firstLineChars="200"/>
        <w:jc w:val="left"/>
        <w:rPr>
          <w:rFonts w:ascii="宋体" w:hAnsi="宋体"/>
          <w:color w:val="000000"/>
          <w:szCs w:val="21"/>
        </w:rPr>
      </w:pPr>
      <w:r>
        <w:rPr>
          <w:rFonts w:ascii="宋体" w:hAnsi="宋体"/>
          <w:color w:val="000000"/>
          <w:szCs w:val="21"/>
        </w:rPr>
        <w:t xml:space="preserve">4. </w:t>
      </w:r>
      <w:r>
        <w:rPr>
          <w:rFonts w:hint="eastAsia" w:ascii="宋体" w:hAnsi="宋体"/>
          <w:color w:val="000000"/>
          <w:szCs w:val="21"/>
        </w:rPr>
        <w:t>按照法律法规的规定或出现应解除我方保证责任的其他情形的，我方在本保函项下的保证责任亦解除。</w:t>
      </w:r>
    </w:p>
    <w:p>
      <w:pPr>
        <w:spacing w:line="360" w:lineRule="auto"/>
        <w:ind w:firstLine="420" w:firstLineChars="200"/>
        <w:jc w:val="left"/>
        <w:rPr>
          <w:rFonts w:ascii="宋体" w:hAnsi="宋体"/>
          <w:color w:val="000000"/>
          <w:szCs w:val="21"/>
        </w:rPr>
      </w:pPr>
      <w:r>
        <w:rPr>
          <w:rFonts w:ascii="宋体" w:hAnsi="宋体"/>
          <w:color w:val="000000"/>
          <w:szCs w:val="21"/>
        </w:rPr>
        <w:t xml:space="preserve">5. </w:t>
      </w:r>
      <w:r>
        <w:rPr>
          <w:rFonts w:hint="eastAsia" w:ascii="宋体" w:hAnsi="宋体"/>
          <w:color w:val="000000"/>
          <w:szCs w:val="21"/>
        </w:rPr>
        <w:t>我方解除保证责任后，你方应自我方保证责任解除之日起个工作日内，将本保函原件返还我方。</w:t>
      </w:r>
    </w:p>
    <w:p>
      <w:pPr>
        <w:spacing w:line="360" w:lineRule="auto"/>
        <w:ind w:firstLine="420" w:firstLineChars="200"/>
        <w:jc w:val="left"/>
        <w:rPr>
          <w:rFonts w:ascii="宋体" w:hAnsi="宋体"/>
          <w:color w:val="000000"/>
          <w:szCs w:val="21"/>
        </w:rPr>
      </w:pPr>
      <w:r>
        <w:rPr>
          <w:rFonts w:hint="eastAsia" w:ascii="宋体" w:hAnsi="宋体"/>
          <w:color w:val="000000"/>
          <w:szCs w:val="21"/>
        </w:rPr>
        <w:t>六、免责条款</w:t>
      </w:r>
    </w:p>
    <w:p>
      <w:pPr>
        <w:spacing w:line="360" w:lineRule="auto"/>
        <w:ind w:firstLine="420" w:firstLineChars="200"/>
        <w:jc w:val="left"/>
        <w:rPr>
          <w:rFonts w:ascii="宋体" w:hAnsi="宋体"/>
          <w:color w:val="000000"/>
          <w:szCs w:val="21"/>
        </w:rPr>
      </w:pPr>
      <w:r>
        <w:rPr>
          <w:rFonts w:ascii="宋体" w:hAnsi="宋体"/>
          <w:color w:val="000000"/>
          <w:szCs w:val="21"/>
        </w:rPr>
        <w:t xml:space="preserve">1. </w:t>
      </w:r>
      <w:r>
        <w:rPr>
          <w:rFonts w:hint="eastAsia" w:ascii="宋体" w:hAnsi="宋体"/>
          <w:color w:val="000000"/>
          <w:szCs w:val="21"/>
        </w:rPr>
        <w:t>因你方违约致使发包人不能履行义务的，我方不承担保证责任。</w:t>
      </w:r>
    </w:p>
    <w:p>
      <w:pPr>
        <w:spacing w:line="360" w:lineRule="auto"/>
        <w:ind w:firstLine="420" w:firstLineChars="200"/>
        <w:jc w:val="left"/>
        <w:rPr>
          <w:rFonts w:ascii="宋体" w:hAnsi="宋体"/>
          <w:color w:val="000000"/>
          <w:szCs w:val="21"/>
        </w:rPr>
      </w:pPr>
      <w:r>
        <w:rPr>
          <w:rFonts w:ascii="宋体" w:hAnsi="宋体"/>
          <w:color w:val="000000"/>
          <w:szCs w:val="21"/>
        </w:rPr>
        <w:t xml:space="preserve">2. </w:t>
      </w:r>
      <w:r>
        <w:rPr>
          <w:rFonts w:hint="eastAsia" w:ascii="宋体" w:hAnsi="宋体"/>
          <w:color w:val="000000"/>
          <w:szCs w:val="21"/>
        </w:rPr>
        <w:t>依照法律法规的规定或你方与发包人的另行约定，免除发包人部分或全部义务的，我方亦免除其相应的保证责任。</w:t>
      </w:r>
    </w:p>
    <w:p>
      <w:pPr>
        <w:spacing w:line="360" w:lineRule="auto"/>
        <w:ind w:firstLine="420" w:firstLineChars="200"/>
        <w:jc w:val="left"/>
        <w:rPr>
          <w:rFonts w:ascii="宋体" w:hAnsi="宋体"/>
          <w:color w:val="000000"/>
          <w:szCs w:val="21"/>
        </w:rPr>
      </w:pPr>
      <w:r>
        <w:rPr>
          <w:rFonts w:ascii="宋体" w:hAnsi="宋体"/>
          <w:color w:val="000000"/>
          <w:szCs w:val="21"/>
        </w:rPr>
        <w:t xml:space="preserve">3. </w:t>
      </w:r>
      <w:r>
        <w:rPr>
          <w:rFonts w:hint="eastAsia" w:ascii="宋体" w:hAnsi="宋体"/>
          <w:color w:val="000000"/>
          <w:szCs w:val="21"/>
        </w:rPr>
        <w:t>你方与发包人协议变更主合同的，如加重发包人责任致使我方保证责任加重的，</w:t>
      </w:r>
      <w:r>
        <w:rPr>
          <w:rFonts w:hint="eastAsia" w:ascii="宋体" w:hAnsi="宋体"/>
          <w:color w:val="000000"/>
          <w:szCs w:val="21"/>
          <w:lang w:eastAsia="zh-CN"/>
        </w:rPr>
        <w:t>须</w:t>
      </w:r>
      <w:r>
        <w:rPr>
          <w:rFonts w:hint="eastAsia" w:ascii="宋体" w:hAnsi="宋体"/>
          <w:color w:val="000000"/>
          <w:szCs w:val="21"/>
        </w:rPr>
        <w:t>征得我方书面同意，否则我方不再承担因此而加重部分的保证责任，但主合同第</w:t>
      </w:r>
      <w:r>
        <w:rPr>
          <w:rFonts w:ascii="宋体" w:hAnsi="宋体"/>
          <w:color w:val="000000"/>
          <w:szCs w:val="21"/>
        </w:rPr>
        <w:t>10</w:t>
      </w:r>
      <w:r>
        <w:rPr>
          <w:rFonts w:hint="eastAsia" w:ascii="宋体" w:hAnsi="宋体"/>
          <w:color w:val="000000"/>
          <w:szCs w:val="21"/>
        </w:rPr>
        <w:t>条〔变更〕约定的变更不受本款限制。</w:t>
      </w:r>
    </w:p>
    <w:p>
      <w:pPr>
        <w:spacing w:line="360" w:lineRule="auto"/>
        <w:ind w:firstLine="420" w:firstLineChars="200"/>
        <w:jc w:val="left"/>
        <w:rPr>
          <w:rFonts w:ascii="宋体" w:hAnsi="宋体"/>
          <w:color w:val="000000"/>
          <w:szCs w:val="21"/>
        </w:rPr>
      </w:pPr>
      <w:r>
        <w:rPr>
          <w:rFonts w:ascii="宋体" w:hAnsi="宋体"/>
          <w:color w:val="000000"/>
          <w:szCs w:val="21"/>
        </w:rPr>
        <w:t xml:space="preserve">4. </w:t>
      </w:r>
      <w:r>
        <w:rPr>
          <w:rFonts w:hint="eastAsia" w:ascii="宋体" w:hAnsi="宋体"/>
          <w:color w:val="000000"/>
          <w:szCs w:val="21"/>
        </w:rPr>
        <w:t>因不可抗力造成发包人不能履行义务的，我方不承担保证责任。</w:t>
      </w:r>
    </w:p>
    <w:p>
      <w:pPr>
        <w:ind w:firstLine="420" w:firstLineChars="200"/>
        <w:jc w:val="left"/>
        <w:rPr>
          <w:rFonts w:ascii="宋体" w:hAnsi="宋体"/>
          <w:color w:val="000000"/>
          <w:szCs w:val="21"/>
        </w:rPr>
      </w:pPr>
      <w:r>
        <w:rPr>
          <w:rFonts w:hint="eastAsia" w:ascii="宋体" w:hAnsi="宋体"/>
          <w:color w:val="000000"/>
          <w:szCs w:val="21"/>
        </w:rPr>
        <w:t>七、争议解决</w:t>
      </w:r>
    </w:p>
    <w:p>
      <w:pPr>
        <w:ind w:firstLine="420" w:firstLineChars="200"/>
        <w:rPr>
          <w:rFonts w:ascii="宋体" w:hAnsi="宋体"/>
          <w:color w:val="000000"/>
          <w:szCs w:val="21"/>
        </w:rPr>
      </w:pPr>
      <w:r>
        <w:rPr>
          <w:rFonts w:hint="eastAsia" w:ascii="宋体" w:hAnsi="宋体"/>
          <w:color w:val="000000"/>
          <w:szCs w:val="21"/>
        </w:rPr>
        <w:t>因本保函或本保函相关事项发生的纠纷，可由双方协商解决，协商不成的，按</w:t>
      </w:r>
      <w:r>
        <w:rPr>
          <w:rFonts w:hint="eastAsia" w:ascii="宋体" w:hAnsi="宋体"/>
          <w:color w:val="000000"/>
          <w:szCs w:val="21"/>
          <w:lang w:eastAsia="zh-CN"/>
        </w:rPr>
        <w:t>下列第几种方式</w:t>
      </w:r>
      <w:r>
        <w:rPr>
          <w:rFonts w:hint="eastAsia" w:ascii="宋体" w:hAnsi="宋体"/>
          <w:color w:val="000000"/>
          <w:szCs w:val="21"/>
        </w:rPr>
        <w:t>解决：</w:t>
      </w:r>
    </w:p>
    <w:p>
      <w:pPr>
        <w:ind w:firstLine="420" w:firstLineChars="200"/>
        <w:jc w:val="left"/>
        <w:rPr>
          <w:rFonts w:ascii="宋体" w:hAns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）向仲裁委员会申请仲裁；</w:t>
      </w:r>
    </w:p>
    <w:p>
      <w:pPr>
        <w:ind w:firstLine="420" w:firstLineChars="200"/>
        <w:jc w:val="left"/>
        <w:rPr>
          <w:rFonts w:ascii="宋体" w:hAns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）向人民法院起诉。</w:t>
      </w:r>
    </w:p>
    <w:p>
      <w:pPr>
        <w:ind w:firstLine="420" w:firstLineChars="200"/>
        <w:jc w:val="left"/>
        <w:rPr>
          <w:rFonts w:ascii="宋体" w:hAnsi="宋体"/>
          <w:color w:val="000000"/>
          <w:szCs w:val="21"/>
        </w:rPr>
      </w:pPr>
      <w:r>
        <w:rPr>
          <w:rFonts w:hint="eastAsia" w:ascii="宋体" w:hAnsi="宋体"/>
          <w:color w:val="000000"/>
          <w:szCs w:val="21"/>
        </w:rPr>
        <w:t>八、保函的生效</w:t>
      </w:r>
    </w:p>
    <w:p>
      <w:pPr>
        <w:ind w:firstLine="420" w:firstLineChars="200"/>
        <w:jc w:val="left"/>
        <w:rPr>
          <w:rFonts w:ascii="宋体" w:hAnsi="宋体"/>
          <w:color w:val="000000"/>
          <w:szCs w:val="21"/>
        </w:rPr>
      </w:pPr>
      <w:r>
        <w:rPr>
          <w:rFonts w:hint="eastAsia" w:ascii="宋体" w:hAnsi="宋体"/>
          <w:color w:val="000000"/>
          <w:szCs w:val="21"/>
        </w:rPr>
        <w:t>本保函自我方法定代表人（或其授权代理人）签字并加盖公章之日起生效。</w:t>
      </w:r>
    </w:p>
    <w:p>
      <w:pPr>
        <w:ind w:right="600"/>
        <w:jc w:val="left"/>
        <w:rPr>
          <w:rFonts w:ascii="宋体" w:hAnsi="宋体"/>
          <w:color w:val="000000"/>
          <w:szCs w:val="21"/>
        </w:rPr>
      </w:pPr>
      <w:r>
        <w:rPr>
          <w:rFonts w:hint="eastAsia" w:ascii="宋体" w:hAnsi="宋体"/>
          <w:color w:val="000000"/>
          <w:szCs w:val="21"/>
        </w:rPr>
        <w:t>担保人：（盖章）</w:t>
      </w:r>
    </w:p>
    <w:p>
      <w:pPr>
        <w:ind w:right="1200"/>
        <w:rPr>
          <w:rFonts w:ascii="宋体" w:hAnsi="宋体"/>
          <w:color w:val="000000"/>
          <w:szCs w:val="21"/>
        </w:rPr>
      </w:pPr>
      <w:r>
        <w:rPr>
          <w:rFonts w:hint="eastAsia" w:ascii="宋体" w:hAnsi="宋体"/>
          <w:color w:val="000000"/>
          <w:szCs w:val="21"/>
        </w:rPr>
        <w:t>法定代表人或委托代理人：（签字）</w:t>
      </w:r>
    </w:p>
    <w:p>
      <w:pPr>
        <w:jc w:val="left"/>
        <w:rPr>
          <w:rFonts w:ascii="宋体" w:hAnsi="宋体"/>
          <w:color w:val="000000"/>
          <w:szCs w:val="21"/>
        </w:rPr>
      </w:pPr>
      <w:r>
        <w:rPr>
          <w:rFonts w:hint="eastAsia" w:ascii="宋体" w:hAnsi="宋体"/>
          <w:color w:val="000000"/>
          <w:szCs w:val="21"/>
        </w:rPr>
        <w:t>地址：</w:t>
      </w:r>
    </w:p>
    <w:p>
      <w:pPr>
        <w:jc w:val="left"/>
        <w:rPr>
          <w:rFonts w:ascii="宋体" w:hAnsi="宋体"/>
          <w:color w:val="000000"/>
          <w:szCs w:val="21"/>
        </w:rPr>
      </w:pPr>
      <w:r>
        <w:rPr>
          <w:rFonts w:hint="eastAsia" w:ascii="宋体" w:hAnsi="宋体"/>
          <w:color w:val="000000"/>
          <w:szCs w:val="21"/>
        </w:rPr>
        <w:t>邮政编码：</w:t>
      </w:r>
    </w:p>
    <w:p>
      <w:pPr>
        <w:jc w:val="left"/>
        <w:rPr>
          <w:rFonts w:ascii="宋体" w:hAnsi="宋体"/>
          <w:color w:val="000000"/>
          <w:szCs w:val="21"/>
        </w:rPr>
      </w:pPr>
      <w:r>
        <w:rPr>
          <w:rFonts w:hint="eastAsia" w:ascii="宋体" w:hAnsi="宋体"/>
          <w:color w:val="000000"/>
          <w:szCs w:val="21"/>
        </w:rPr>
        <w:t>传真：</w:t>
      </w:r>
    </w:p>
    <w:p>
      <w:pPr>
        <w:ind w:right="150" w:firstLine="420" w:firstLineChars="200"/>
        <w:jc w:val="left"/>
        <w:rPr>
          <w:rFonts w:ascii="宋体" w:hAnsi="宋体"/>
          <w:color w:val="000000"/>
          <w:szCs w:val="21"/>
        </w:rPr>
      </w:pPr>
      <w:r>
        <w:rPr>
          <w:rFonts w:hint="eastAsia" w:ascii="宋体" w:hAnsi="宋体"/>
          <w:color w:val="000000"/>
          <w:szCs w:val="21"/>
        </w:rPr>
        <w:t>年月日</w:t>
      </w:r>
      <w:r>
        <w:rPr>
          <w:rFonts w:ascii="宋体" w:hAnsi="宋体"/>
          <w:color w:val="000000"/>
          <w:szCs w:val="21"/>
        </w:rPr>
        <w:br w:type="page"/>
      </w:r>
      <w:r>
        <w:rPr>
          <w:rFonts w:hint="eastAsia" w:ascii="宋体" w:hAnsi="宋体"/>
          <w:color w:val="000000"/>
          <w:szCs w:val="21"/>
        </w:rPr>
        <w:t>附件</w:t>
      </w:r>
      <w:r>
        <w:rPr>
          <w:rFonts w:ascii="宋体" w:hAnsi="宋体"/>
          <w:color w:val="000000"/>
          <w:szCs w:val="21"/>
        </w:rPr>
        <w:t>11</w:t>
      </w:r>
      <w:r>
        <w:rPr>
          <w:rFonts w:hint="eastAsia" w:ascii="宋体" w:hAnsi="宋体"/>
          <w:color w:val="000000"/>
          <w:szCs w:val="21"/>
        </w:rPr>
        <w:t>：</w:t>
      </w:r>
    </w:p>
    <w:p>
      <w:pPr>
        <w:spacing w:before="120" w:beforeLines="50" w:after="120" w:afterLines="50" w:line="440" w:lineRule="exact"/>
        <w:jc w:val="center"/>
        <w:rPr>
          <w:rFonts w:ascii="宋体" w:hAnsi="宋体"/>
          <w:b/>
          <w:color w:val="000000"/>
          <w:sz w:val="28"/>
          <w:szCs w:val="28"/>
        </w:rPr>
      </w:pPr>
      <w:r>
        <w:rPr>
          <w:rFonts w:ascii="宋体" w:hAnsi="宋体"/>
          <w:b/>
          <w:color w:val="000000"/>
          <w:sz w:val="28"/>
          <w:szCs w:val="28"/>
        </w:rPr>
        <w:t>11-1</w:t>
      </w:r>
      <w:r>
        <w:rPr>
          <w:rFonts w:hint="eastAsia" w:ascii="宋体" w:hAnsi="宋体"/>
          <w:b/>
          <w:color w:val="000000"/>
          <w:sz w:val="28"/>
          <w:szCs w:val="28"/>
        </w:rPr>
        <w:t>：材料暂估价表</w:t>
      </w:r>
    </w:p>
    <w:tbl>
      <w:tblPr>
        <w:tblStyle w:val="36"/>
        <w:tblW w:w="9073" w:type="dxa"/>
        <w:tblInd w:w="2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12" w:space="0"/>
              <w:left w:val="single" w:color="auto" w:sz="12" w:space="0"/>
              <w:bottom w:val="double" w:color="auto" w:sz="6" w:space="0"/>
              <w:right w:val="single" w:color="auto" w:sz="6" w:space="0"/>
            </w:tcBorders>
          </w:tcPr>
          <w:p>
            <w:pPr>
              <w:pStyle w:val="16"/>
              <w:keepNext/>
              <w:spacing w:after="0" w:line="440" w:lineRule="exact"/>
              <w:ind w:left="63" w:right="63"/>
              <w:rPr>
                <w:rFonts w:ascii="宋体" w:hAnsi="宋体"/>
                <w:color w:val="000000"/>
                <w:szCs w:val="21"/>
              </w:rPr>
            </w:pPr>
            <w:r>
              <w:rPr>
                <w:rFonts w:hint="eastAsia" w:ascii="宋体" w:hAnsi="宋体"/>
                <w:color w:val="000000"/>
                <w:szCs w:val="21"/>
              </w:rPr>
              <w:t>序号</w:t>
            </w:r>
          </w:p>
        </w:tc>
        <w:tc>
          <w:tcPr>
            <w:tcW w:w="1984" w:type="dxa"/>
            <w:tcBorders>
              <w:top w:val="single" w:color="auto" w:sz="12" w:space="0"/>
              <w:left w:val="single" w:color="auto" w:sz="6" w:space="0"/>
              <w:bottom w:val="double" w:color="auto" w:sz="6" w:space="0"/>
              <w:right w:val="single" w:color="auto" w:sz="6" w:space="0"/>
            </w:tcBorders>
          </w:tcPr>
          <w:p>
            <w:pPr>
              <w:pStyle w:val="16"/>
              <w:keepNext/>
              <w:spacing w:after="0" w:line="440" w:lineRule="exact"/>
              <w:ind w:left="63" w:right="63"/>
              <w:rPr>
                <w:rFonts w:ascii="宋体" w:hAnsi="宋体"/>
                <w:color w:val="000000"/>
                <w:szCs w:val="21"/>
              </w:rPr>
            </w:pPr>
            <w:r>
              <w:rPr>
                <w:rFonts w:hint="eastAsia" w:ascii="宋体" w:hAnsi="宋体"/>
                <w:color w:val="000000"/>
                <w:szCs w:val="21"/>
              </w:rPr>
              <w:t>名称</w:t>
            </w:r>
          </w:p>
        </w:tc>
        <w:tc>
          <w:tcPr>
            <w:tcW w:w="851" w:type="dxa"/>
            <w:tcBorders>
              <w:top w:val="single" w:color="auto" w:sz="12" w:space="0"/>
              <w:left w:val="single" w:color="auto" w:sz="6" w:space="0"/>
              <w:bottom w:val="double" w:color="auto" w:sz="6" w:space="0"/>
              <w:right w:val="single" w:color="auto" w:sz="6" w:space="0"/>
            </w:tcBorders>
          </w:tcPr>
          <w:p>
            <w:pPr>
              <w:pStyle w:val="16"/>
              <w:keepNext/>
              <w:spacing w:after="0" w:line="440" w:lineRule="exact"/>
              <w:ind w:left="63" w:right="63"/>
              <w:rPr>
                <w:rFonts w:ascii="宋体" w:hAnsi="宋体"/>
                <w:color w:val="000000"/>
                <w:szCs w:val="21"/>
              </w:rPr>
            </w:pPr>
            <w:r>
              <w:rPr>
                <w:rFonts w:hint="eastAsia" w:ascii="宋体" w:hAnsi="宋体"/>
                <w:color w:val="000000"/>
                <w:szCs w:val="21"/>
              </w:rPr>
              <w:t>单位</w:t>
            </w:r>
          </w:p>
        </w:tc>
        <w:tc>
          <w:tcPr>
            <w:tcW w:w="774" w:type="dxa"/>
            <w:tcBorders>
              <w:top w:val="single" w:color="auto" w:sz="12" w:space="0"/>
              <w:left w:val="single" w:color="auto" w:sz="6" w:space="0"/>
              <w:bottom w:val="double" w:color="auto" w:sz="6" w:space="0"/>
              <w:right w:val="single" w:color="auto" w:sz="6" w:space="0"/>
            </w:tcBorders>
          </w:tcPr>
          <w:p>
            <w:pPr>
              <w:pStyle w:val="16"/>
              <w:keepNext/>
              <w:spacing w:after="0" w:line="440" w:lineRule="exact"/>
              <w:ind w:left="63" w:right="63"/>
              <w:rPr>
                <w:rFonts w:ascii="宋体" w:hAnsi="宋体"/>
                <w:color w:val="000000"/>
                <w:szCs w:val="21"/>
              </w:rPr>
            </w:pPr>
            <w:r>
              <w:rPr>
                <w:rFonts w:hint="eastAsia" w:ascii="宋体" w:hAnsi="宋体"/>
                <w:color w:val="000000"/>
                <w:szCs w:val="21"/>
              </w:rPr>
              <w:t>数量</w:t>
            </w:r>
          </w:p>
        </w:tc>
        <w:tc>
          <w:tcPr>
            <w:tcW w:w="1352" w:type="dxa"/>
            <w:tcBorders>
              <w:top w:val="single" w:color="auto" w:sz="12" w:space="0"/>
              <w:left w:val="single" w:color="auto" w:sz="6" w:space="0"/>
              <w:bottom w:val="double" w:color="auto" w:sz="6" w:space="0"/>
              <w:right w:val="single" w:color="auto" w:sz="6" w:space="0"/>
            </w:tcBorders>
          </w:tcPr>
          <w:p>
            <w:pPr>
              <w:pStyle w:val="16"/>
              <w:keepNext/>
              <w:spacing w:after="0" w:line="440" w:lineRule="exact"/>
              <w:ind w:left="63" w:right="63"/>
              <w:rPr>
                <w:rFonts w:ascii="宋体" w:hAnsi="宋体"/>
                <w:color w:val="000000"/>
                <w:szCs w:val="21"/>
              </w:rPr>
            </w:pPr>
            <w:r>
              <w:rPr>
                <w:rFonts w:hint="eastAsia" w:ascii="宋体" w:hAnsi="宋体"/>
                <w:color w:val="000000"/>
                <w:szCs w:val="21"/>
              </w:rPr>
              <w:t>单价（元）</w:t>
            </w:r>
          </w:p>
        </w:tc>
        <w:tc>
          <w:tcPr>
            <w:tcW w:w="1418" w:type="dxa"/>
            <w:tcBorders>
              <w:top w:val="single" w:color="auto" w:sz="12" w:space="0"/>
              <w:left w:val="single" w:color="auto" w:sz="6" w:space="0"/>
              <w:bottom w:val="double" w:color="auto" w:sz="6" w:space="0"/>
              <w:right w:val="single" w:color="auto" w:sz="6" w:space="0"/>
            </w:tcBorders>
          </w:tcPr>
          <w:p>
            <w:pPr>
              <w:pStyle w:val="16"/>
              <w:keepNext/>
              <w:spacing w:after="0" w:line="440" w:lineRule="exact"/>
              <w:ind w:left="63" w:right="63"/>
              <w:rPr>
                <w:rFonts w:ascii="宋体" w:hAnsi="宋体"/>
                <w:color w:val="000000"/>
                <w:szCs w:val="21"/>
              </w:rPr>
            </w:pPr>
            <w:r>
              <w:rPr>
                <w:rFonts w:hint="eastAsia" w:ascii="宋体" w:hAnsi="宋体"/>
                <w:color w:val="000000"/>
                <w:szCs w:val="21"/>
              </w:rPr>
              <w:t>合价（元）</w:t>
            </w:r>
          </w:p>
        </w:tc>
        <w:tc>
          <w:tcPr>
            <w:tcW w:w="1701" w:type="dxa"/>
            <w:tcBorders>
              <w:top w:val="single" w:color="auto" w:sz="12" w:space="0"/>
              <w:left w:val="single" w:color="auto" w:sz="6" w:space="0"/>
              <w:bottom w:val="double" w:color="auto" w:sz="6" w:space="0"/>
              <w:right w:val="single" w:color="auto" w:sz="12" w:space="0"/>
            </w:tcBorders>
          </w:tcPr>
          <w:p>
            <w:pPr>
              <w:pStyle w:val="16"/>
              <w:keepNext/>
              <w:spacing w:after="0" w:line="440" w:lineRule="exact"/>
              <w:ind w:left="63" w:right="63"/>
              <w:rPr>
                <w:rFonts w:ascii="宋体" w:hAnsi="宋体"/>
                <w:color w:val="000000"/>
                <w:szCs w:val="21"/>
              </w:rPr>
            </w:pPr>
            <w:r>
              <w:rPr>
                <w:rFonts w:hint="eastAsia" w:ascii="宋体" w:hAnsi="宋体"/>
                <w:color w:val="000000"/>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doub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doub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doub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doub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doub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doub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doub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nil"/>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nil"/>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nil"/>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nil"/>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nil"/>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nil"/>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nil"/>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12"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12"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12"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12"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12"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12"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12" w:space="0"/>
              <w:right w:val="single" w:color="auto" w:sz="12" w:space="0"/>
            </w:tcBorders>
          </w:tcPr>
          <w:p>
            <w:pPr>
              <w:pStyle w:val="16"/>
              <w:keepNext/>
              <w:spacing w:after="0" w:line="440" w:lineRule="exact"/>
              <w:ind w:left="63" w:right="63"/>
              <w:rPr>
                <w:rFonts w:ascii="宋体" w:hAnsi="宋体"/>
                <w:color w:val="000000"/>
                <w:szCs w:val="21"/>
              </w:rPr>
            </w:pPr>
          </w:p>
        </w:tc>
      </w:tr>
    </w:tbl>
    <w:p>
      <w:pPr>
        <w:spacing w:before="120" w:beforeLines="50" w:after="120" w:afterLines="50" w:line="440" w:lineRule="exact"/>
        <w:rPr>
          <w:rFonts w:ascii="宋体" w:hAnsi="宋体"/>
          <w:b/>
          <w:color w:val="000000"/>
          <w:sz w:val="28"/>
          <w:szCs w:val="28"/>
        </w:rPr>
      </w:pPr>
      <w:r>
        <w:rPr>
          <w:rFonts w:ascii="宋体" w:hAnsi="宋体"/>
          <w:color w:val="000000"/>
          <w:szCs w:val="21"/>
        </w:rPr>
        <w:br w:type="page"/>
      </w:r>
      <w:r>
        <w:rPr>
          <w:rFonts w:ascii="宋体" w:hAnsi="宋体"/>
          <w:b/>
          <w:color w:val="000000"/>
          <w:sz w:val="28"/>
          <w:szCs w:val="28"/>
        </w:rPr>
        <w:t>11-2</w:t>
      </w:r>
      <w:r>
        <w:rPr>
          <w:rFonts w:hint="eastAsia" w:ascii="宋体" w:hAnsi="宋体"/>
          <w:b/>
          <w:color w:val="000000"/>
          <w:sz w:val="28"/>
          <w:szCs w:val="28"/>
        </w:rPr>
        <w:t>：工程设备暂估价表</w:t>
      </w:r>
    </w:p>
    <w:tbl>
      <w:tblPr>
        <w:tblStyle w:val="36"/>
        <w:tblW w:w="9073" w:type="dxa"/>
        <w:tblInd w:w="2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12" w:space="0"/>
              <w:left w:val="single" w:color="auto" w:sz="12" w:space="0"/>
              <w:bottom w:val="double" w:color="auto" w:sz="6" w:space="0"/>
              <w:right w:val="single" w:color="auto" w:sz="6" w:space="0"/>
            </w:tcBorders>
          </w:tcPr>
          <w:p>
            <w:pPr>
              <w:pStyle w:val="16"/>
              <w:keepNext/>
              <w:spacing w:after="0" w:line="440" w:lineRule="exact"/>
              <w:ind w:left="63" w:right="63"/>
              <w:rPr>
                <w:rFonts w:ascii="宋体" w:hAnsi="宋体"/>
                <w:color w:val="000000"/>
                <w:szCs w:val="21"/>
              </w:rPr>
            </w:pPr>
            <w:r>
              <w:rPr>
                <w:rFonts w:hint="eastAsia" w:ascii="宋体" w:hAnsi="宋体"/>
                <w:color w:val="000000"/>
                <w:szCs w:val="21"/>
              </w:rPr>
              <w:t>序号</w:t>
            </w:r>
          </w:p>
        </w:tc>
        <w:tc>
          <w:tcPr>
            <w:tcW w:w="1984" w:type="dxa"/>
            <w:tcBorders>
              <w:top w:val="single" w:color="auto" w:sz="12" w:space="0"/>
              <w:left w:val="single" w:color="auto" w:sz="6" w:space="0"/>
              <w:bottom w:val="double" w:color="auto" w:sz="6" w:space="0"/>
              <w:right w:val="single" w:color="auto" w:sz="6" w:space="0"/>
            </w:tcBorders>
          </w:tcPr>
          <w:p>
            <w:pPr>
              <w:pStyle w:val="16"/>
              <w:keepNext/>
              <w:spacing w:after="0" w:line="440" w:lineRule="exact"/>
              <w:ind w:left="63" w:right="63"/>
              <w:rPr>
                <w:rFonts w:ascii="宋体" w:hAnsi="宋体"/>
                <w:color w:val="000000"/>
                <w:szCs w:val="21"/>
              </w:rPr>
            </w:pPr>
            <w:r>
              <w:rPr>
                <w:rFonts w:hint="eastAsia" w:ascii="宋体" w:hAnsi="宋体"/>
                <w:color w:val="000000"/>
                <w:szCs w:val="21"/>
              </w:rPr>
              <w:t>名称</w:t>
            </w:r>
          </w:p>
        </w:tc>
        <w:tc>
          <w:tcPr>
            <w:tcW w:w="851" w:type="dxa"/>
            <w:tcBorders>
              <w:top w:val="single" w:color="auto" w:sz="12" w:space="0"/>
              <w:left w:val="single" w:color="auto" w:sz="6" w:space="0"/>
              <w:bottom w:val="double" w:color="auto" w:sz="6" w:space="0"/>
              <w:right w:val="single" w:color="auto" w:sz="6" w:space="0"/>
            </w:tcBorders>
          </w:tcPr>
          <w:p>
            <w:pPr>
              <w:pStyle w:val="16"/>
              <w:keepNext/>
              <w:spacing w:after="0" w:line="440" w:lineRule="exact"/>
              <w:ind w:left="63" w:right="63"/>
              <w:rPr>
                <w:rFonts w:ascii="宋体" w:hAnsi="宋体"/>
                <w:color w:val="000000"/>
                <w:szCs w:val="21"/>
              </w:rPr>
            </w:pPr>
            <w:r>
              <w:rPr>
                <w:rFonts w:hint="eastAsia" w:ascii="宋体" w:hAnsi="宋体"/>
                <w:color w:val="000000"/>
                <w:szCs w:val="21"/>
              </w:rPr>
              <w:t>单位</w:t>
            </w:r>
          </w:p>
        </w:tc>
        <w:tc>
          <w:tcPr>
            <w:tcW w:w="774" w:type="dxa"/>
            <w:tcBorders>
              <w:top w:val="single" w:color="auto" w:sz="12" w:space="0"/>
              <w:left w:val="single" w:color="auto" w:sz="6" w:space="0"/>
              <w:bottom w:val="double" w:color="auto" w:sz="6" w:space="0"/>
              <w:right w:val="single" w:color="auto" w:sz="6" w:space="0"/>
            </w:tcBorders>
          </w:tcPr>
          <w:p>
            <w:pPr>
              <w:pStyle w:val="16"/>
              <w:keepNext/>
              <w:spacing w:after="0" w:line="440" w:lineRule="exact"/>
              <w:ind w:left="63" w:right="63"/>
              <w:rPr>
                <w:rFonts w:ascii="宋体" w:hAnsi="宋体"/>
                <w:color w:val="000000"/>
                <w:szCs w:val="21"/>
              </w:rPr>
            </w:pPr>
            <w:r>
              <w:rPr>
                <w:rFonts w:hint="eastAsia" w:ascii="宋体" w:hAnsi="宋体"/>
                <w:color w:val="000000"/>
                <w:szCs w:val="21"/>
              </w:rPr>
              <w:t>数量</w:t>
            </w:r>
          </w:p>
        </w:tc>
        <w:tc>
          <w:tcPr>
            <w:tcW w:w="1352" w:type="dxa"/>
            <w:tcBorders>
              <w:top w:val="single" w:color="auto" w:sz="12" w:space="0"/>
              <w:left w:val="single" w:color="auto" w:sz="6" w:space="0"/>
              <w:bottom w:val="double" w:color="auto" w:sz="6" w:space="0"/>
              <w:right w:val="single" w:color="auto" w:sz="6" w:space="0"/>
            </w:tcBorders>
          </w:tcPr>
          <w:p>
            <w:pPr>
              <w:pStyle w:val="16"/>
              <w:keepNext/>
              <w:spacing w:after="0" w:line="440" w:lineRule="exact"/>
              <w:ind w:left="63" w:right="63"/>
              <w:rPr>
                <w:rFonts w:ascii="宋体" w:hAnsi="宋体"/>
                <w:color w:val="000000"/>
                <w:szCs w:val="21"/>
              </w:rPr>
            </w:pPr>
            <w:r>
              <w:rPr>
                <w:rFonts w:hint="eastAsia" w:ascii="宋体" w:hAnsi="宋体"/>
                <w:color w:val="000000"/>
                <w:szCs w:val="21"/>
              </w:rPr>
              <w:t>单价（元）</w:t>
            </w:r>
          </w:p>
        </w:tc>
        <w:tc>
          <w:tcPr>
            <w:tcW w:w="1418" w:type="dxa"/>
            <w:tcBorders>
              <w:top w:val="single" w:color="auto" w:sz="12" w:space="0"/>
              <w:left w:val="single" w:color="auto" w:sz="6" w:space="0"/>
              <w:bottom w:val="double" w:color="auto" w:sz="6" w:space="0"/>
              <w:right w:val="single" w:color="auto" w:sz="6" w:space="0"/>
            </w:tcBorders>
          </w:tcPr>
          <w:p>
            <w:pPr>
              <w:pStyle w:val="16"/>
              <w:keepNext/>
              <w:spacing w:after="0" w:line="440" w:lineRule="exact"/>
              <w:ind w:left="63" w:right="63"/>
              <w:rPr>
                <w:rFonts w:ascii="宋体" w:hAnsi="宋体"/>
                <w:color w:val="000000"/>
                <w:szCs w:val="21"/>
              </w:rPr>
            </w:pPr>
            <w:r>
              <w:rPr>
                <w:rFonts w:hint="eastAsia" w:ascii="宋体" w:hAnsi="宋体"/>
                <w:color w:val="000000"/>
                <w:szCs w:val="21"/>
              </w:rPr>
              <w:t>合价（元）</w:t>
            </w:r>
          </w:p>
        </w:tc>
        <w:tc>
          <w:tcPr>
            <w:tcW w:w="1701" w:type="dxa"/>
            <w:tcBorders>
              <w:top w:val="single" w:color="auto" w:sz="12" w:space="0"/>
              <w:left w:val="single" w:color="auto" w:sz="6" w:space="0"/>
              <w:bottom w:val="double" w:color="auto" w:sz="6" w:space="0"/>
              <w:right w:val="single" w:color="auto" w:sz="12" w:space="0"/>
            </w:tcBorders>
          </w:tcPr>
          <w:p>
            <w:pPr>
              <w:pStyle w:val="16"/>
              <w:keepNext/>
              <w:spacing w:after="0" w:line="440" w:lineRule="exact"/>
              <w:ind w:left="63" w:right="63"/>
              <w:rPr>
                <w:rFonts w:ascii="宋体" w:hAnsi="宋体"/>
                <w:color w:val="000000"/>
                <w:szCs w:val="21"/>
              </w:rPr>
            </w:pPr>
            <w:r>
              <w:rPr>
                <w:rFonts w:hint="eastAsia" w:ascii="宋体" w:hAnsi="宋体"/>
                <w:color w:val="000000"/>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doub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doub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doub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doub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doub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doub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doub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nil"/>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nil"/>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nil"/>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nil"/>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nil"/>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nil"/>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nil"/>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12"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12"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12"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12"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12"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12"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12" w:space="0"/>
              <w:right w:val="single" w:color="auto" w:sz="12" w:space="0"/>
            </w:tcBorders>
          </w:tcPr>
          <w:p>
            <w:pPr>
              <w:pStyle w:val="16"/>
              <w:keepNext/>
              <w:spacing w:after="0" w:line="440" w:lineRule="exact"/>
              <w:ind w:left="63" w:right="63"/>
              <w:rPr>
                <w:rFonts w:ascii="宋体" w:hAnsi="宋体"/>
                <w:color w:val="000000"/>
                <w:szCs w:val="21"/>
              </w:rPr>
            </w:pPr>
          </w:p>
        </w:tc>
      </w:tr>
    </w:tbl>
    <w:p>
      <w:pPr>
        <w:spacing w:before="120" w:beforeLines="50" w:after="120" w:afterLines="50" w:line="440" w:lineRule="exact"/>
        <w:jc w:val="center"/>
        <w:rPr>
          <w:rFonts w:ascii="宋体" w:hAnsi="宋体"/>
          <w:color w:val="000000"/>
          <w:szCs w:val="21"/>
        </w:rPr>
      </w:pPr>
      <w:r>
        <w:rPr>
          <w:rFonts w:ascii="宋体" w:hAnsi="宋体"/>
          <w:color w:val="000000"/>
          <w:szCs w:val="21"/>
        </w:rPr>
        <w:br w:type="page"/>
      </w:r>
      <w:r>
        <w:rPr>
          <w:rFonts w:ascii="宋体" w:hAnsi="宋体"/>
          <w:color w:val="000000"/>
          <w:szCs w:val="21"/>
        </w:rPr>
        <w:t>11-3</w:t>
      </w:r>
      <w:r>
        <w:rPr>
          <w:rFonts w:hint="eastAsia" w:ascii="宋体" w:hAnsi="宋体"/>
          <w:color w:val="000000"/>
          <w:szCs w:val="21"/>
        </w:rPr>
        <w:t>：专业工程暂估价表</w:t>
      </w:r>
    </w:p>
    <w:tbl>
      <w:tblPr>
        <w:tblStyle w:val="36"/>
        <w:tblW w:w="9073" w:type="dxa"/>
        <w:tblInd w:w="2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12" w:space="0"/>
              <w:left w:val="single" w:color="auto" w:sz="12" w:space="0"/>
              <w:bottom w:val="double" w:color="auto" w:sz="6" w:space="0"/>
              <w:right w:val="single" w:color="auto" w:sz="6" w:space="0"/>
            </w:tcBorders>
          </w:tcPr>
          <w:p>
            <w:pPr>
              <w:pStyle w:val="16"/>
              <w:keepNext/>
              <w:spacing w:after="0" w:line="440" w:lineRule="exact"/>
              <w:ind w:left="63" w:right="63"/>
              <w:rPr>
                <w:rFonts w:ascii="宋体" w:hAnsi="宋体"/>
                <w:color w:val="000000"/>
                <w:szCs w:val="21"/>
              </w:rPr>
            </w:pPr>
            <w:r>
              <w:rPr>
                <w:rFonts w:hint="eastAsia" w:ascii="宋体" w:hAnsi="宋体"/>
                <w:color w:val="000000"/>
                <w:szCs w:val="21"/>
              </w:rPr>
              <w:t>序号</w:t>
            </w:r>
          </w:p>
        </w:tc>
        <w:tc>
          <w:tcPr>
            <w:tcW w:w="1984" w:type="dxa"/>
            <w:tcBorders>
              <w:top w:val="single" w:color="auto" w:sz="12" w:space="0"/>
              <w:left w:val="single" w:color="auto" w:sz="6" w:space="0"/>
              <w:bottom w:val="double" w:color="auto" w:sz="6" w:space="0"/>
              <w:right w:val="single" w:color="auto" w:sz="6" w:space="0"/>
            </w:tcBorders>
          </w:tcPr>
          <w:p>
            <w:pPr>
              <w:pStyle w:val="16"/>
              <w:keepNext/>
              <w:spacing w:after="0" w:line="440" w:lineRule="exact"/>
              <w:ind w:left="63" w:right="63"/>
              <w:rPr>
                <w:rFonts w:ascii="宋体" w:hAnsi="宋体"/>
                <w:color w:val="000000"/>
                <w:szCs w:val="21"/>
              </w:rPr>
            </w:pPr>
            <w:r>
              <w:rPr>
                <w:rFonts w:hint="eastAsia" w:ascii="宋体" w:hAnsi="宋体"/>
                <w:color w:val="000000"/>
                <w:szCs w:val="21"/>
              </w:rPr>
              <w:t>名称</w:t>
            </w:r>
          </w:p>
        </w:tc>
        <w:tc>
          <w:tcPr>
            <w:tcW w:w="851" w:type="dxa"/>
            <w:tcBorders>
              <w:top w:val="single" w:color="auto" w:sz="12" w:space="0"/>
              <w:left w:val="single" w:color="auto" w:sz="6" w:space="0"/>
              <w:bottom w:val="double" w:color="auto" w:sz="6" w:space="0"/>
              <w:right w:val="single" w:color="auto" w:sz="6" w:space="0"/>
            </w:tcBorders>
          </w:tcPr>
          <w:p>
            <w:pPr>
              <w:pStyle w:val="16"/>
              <w:keepNext/>
              <w:spacing w:after="0" w:line="440" w:lineRule="exact"/>
              <w:ind w:left="63" w:right="63"/>
              <w:rPr>
                <w:rFonts w:ascii="宋体" w:hAnsi="宋体"/>
                <w:color w:val="000000"/>
                <w:szCs w:val="21"/>
              </w:rPr>
            </w:pPr>
            <w:r>
              <w:rPr>
                <w:rFonts w:hint="eastAsia" w:ascii="宋体" w:hAnsi="宋体"/>
                <w:color w:val="000000"/>
                <w:szCs w:val="21"/>
              </w:rPr>
              <w:t>单位</w:t>
            </w:r>
          </w:p>
        </w:tc>
        <w:tc>
          <w:tcPr>
            <w:tcW w:w="774" w:type="dxa"/>
            <w:tcBorders>
              <w:top w:val="single" w:color="auto" w:sz="12" w:space="0"/>
              <w:left w:val="single" w:color="auto" w:sz="6" w:space="0"/>
              <w:bottom w:val="double" w:color="auto" w:sz="6" w:space="0"/>
              <w:right w:val="single" w:color="auto" w:sz="6" w:space="0"/>
            </w:tcBorders>
          </w:tcPr>
          <w:p>
            <w:pPr>
              <w:pStyle w:val="16"/>
              <w:keepNext/>
              <w:spacing w:after="0" w:line="440" w:lineRule="exact"/>
              <w:ind w:left="63" w:right="63"/>
              <w:rPr>
                <w:rFonts w:ascii="宋体" w:hAnsi="宋体"/>
                <w:color w:val="000000"/>
                <w:szCs w:val="21"/>
              </w:rPr>
            </w:pPr>
            <w:r>
              <w:rPr>
                <w:rFonts w:hint="eastAsia" w:ascii="宋体" w:hAnsi="宋体"/>
                <w:color w:val="000000"/>
                <w:szCs w:val="21"/>
              </w:rPr>
              <w:t>数量</w:t>
            </w:r>
          </w:p>
        </w:tc>
        <w:tc>
          <w:tcPr>
            <w:tcW w:w="1352" w:type="dxa"/>
            <w:tcBorders>
              <w:top w:val="single" w:color="auto" w:sz="12" w:space="0"/>
              <w:left w:val="single" w:color="auto" w:sz="6" w:space="0"/>
              <w:bottom w:val="double" w:color="auto" w:sz="6" w:space="0"/>
              <w:right w:val="single" w:color="auto" w:sz="6" w:space="0"/>
            </w:tcBorders>
          </w:tcPr>
          <w:p>
            <w:pPr>
              <w:pStyle w:val="16"/>
              <w:keepNext/>
              <w:spacing w:after="0" w:line="440" w:lineRule="exact"/>
              <w:ind w:left="63" w:right="63"/>
              <w:rPr>
                <w:rFonts w:ascii="宋体" w:hAnsi="宋体"/>
                <w:color w:val="000000"/>
                <w:szCs w:val="21"/>
              </w:rPr>
            </w:pPr>
            <w:r>
              <w:rPr>
                <w:rFonts w:hint="eastAsia" w:ascii="宋体" w:hAnsi="宋体"/>
                <w:color w:val="000000"/>
                <w:szCs w:val="21"/>
              </w:rPr>
              <w:t>单价（元）</w:t>
            </w:r>
          </w:p>
        </w:tc>
        <w:tc>
          <w:tcPr>
            <w:tcW w:w="1418" w:type="dxa"/>
            <w:tcBorders>
              <w:top w:val="single" w:color="auto" w:sz="12" w:space="0"/>
              <w:left w:val="single" w:color="auto" w:sz="6" w:space="0"/>
              <w:bottom w:val="double" w:color="auto" w:sz="6" w:space="0"/>
              <w:right w:val="single" w:color="auto" w:sz="6" w:space="0"/>
            </w:tcBorders>
          </w:tcPr>
          <w:p>
            <w:pPr>
              <w:pStyle w:val="16"/>
              <w:keepNext/>
              <w:spacing w:after="0" w:line="440" w:lineRule="exact"/>
              <w:ind w:left="63" w:right="63"/>
              <w:rPr>
                <w:rFonts w:ascii="宋体" w:hAnsi="宋体"/>
                <w:color w:val="000000"/>
                <w:szCs w:val="21"/>
              </w:rPr>
            </w:pPr>
            <w:r>
              <w:rPr>
                <w:rFonts w:hint="eastAsia" w:ascii="宋体" w:hAnsi="宋体"/>
                <w:color w:val="000000"/>
                <w:szCs w:val="21"/>
              </w:rPr>
              <w:t>合价（元）</w:t>
            </w:r>
          </w:p>
        </w:tc>
        <w:tc>
          <w:tcPr>
            <w:tcW w:w="1701" w:type="dxa"/>
            <w:tcBorders>
              <w:top w:val="single" w:color="auto" w:sz="12" w:space="0"/>
              <w:left w:val="single" w:color="auto" w:sz="6" w:space="0"/>
              <w:bottom w:val="double" w:color="auto" w:sz="6" w:space="0"/>
              <w:right w:val="single" w:color="auto" w:sz="12" w:space="0"/>
            </w:tcBorders>
          </w:tcPr>
          <w:p>
            <w:pPr>
              <w:pStyle w:val="16"/>
              <w:keepNext/>
              <w:spacing w:after="0" w:line="440" w:lineRule="exact"/>
              <w:ind w:left="63" w:right="63"/>
              <w:rPr>
                <w:rFonts w:ascii="宋体" w:hAnsi="宋体"/>
                <w:color w:val="000000"/>
                <w:szCs w:val="21"/>
              </w:rPr>
            </w:pPr>
            <w:r>
              <w:rPr>
                <w:rFonts w:hint="eastAsia" w:ascii="宋体" w:hAnsi="宋体"/>
                <w:color w:val="000000"/>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doub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doub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doub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doub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doub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doub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doub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nil"/>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nil"/>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nil"/>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nil"/>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nil"/>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nil"/>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nil"/>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6"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6" w:space="0"/>
              <w:right w:val="single" w:color="auto" w:sz="12" w:space="0"/>
            </w:tcBorders>
          </w:tcPr>
          <w:p>
            <w:pPr>
              <w:pStyle w:val="16"/>
              <w:keepNext/>
              <w:spacing w:after="0" w:line="440" w:lineRule="exact"/>
              <w:ind w:left="63" w:right="63"/>
              <w:rPr>
                <w:rFonts w:ascii="宋体" w:hAnsi="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12" w:space="0"/>
              <w:right w:val="single" w:color="auto" w:sz="6" w:space="0"/>
            </w:tcBorders>
          </w:tcPr>
          <w:p>
            <w:pPr>
              <w:pStyle w:val="16"/>
              <w:keepNext/>
              <w:spacing w:after="0" w:line="440" w:lineRule="exact"/>
              <w:ind w:left="63" w:right="63"/>
              <w:rPr>
                <w:rFonts w:ascii="宋体" w:hAnsi="宋体"/>
                <w:color w:val="000000"/>
                <w:szCs w:val="21"/>
              </w:rPr>
            </w:pPr>
          </w:p>
        </w:tc>
        <w:tc>
          <w:tcPr>
            <w:tcW w:w="1984" w:type="dxa"/>
            <w:tcBorders>
              <w:top w:val="single" w:color="auto" w:sz="6" w:space="0"/>
              <w:left w:val="single" w:color="auto" w:sz="6" w:space="0"/>
              <w:bottom w:val="single" w:color="auto" w:sz="12" w:space="0"/>
              <w:right w:val="single" w:color="auto" w:sz="6" w:space="0"/>
            </w:tcBorders>
          </w:tcPr>
          <w:p>
            <w:pPr>
              <w:pStyle w:val="16"/>
              <w:keepNext/>
              <w:spacing w:after="0" w:line="440" w:lineRule="exact"/>
              <w:ind w:left="63" w:right="63"/>
              <w:rPr>
                <w:rFonts w:ascii="宋体" w:hAnsi="宋体"/>
                <w:color w:val="000000"/>
                <w:szCs w:val="21"/>
              </w:rPr>
            </w:pPr>
          </w:p>
        </w:tc>
        <w:tc>
          <w:tcPr>
            <w:tcW w:w="851" w:type="dxa"/>
            <w:tcBorders>
              <w:top w:val="single" w:color="auto" w:sz="6" w:space="0"/>
              <w:left w:val="single" w:color="auto" w:sz="6" w:space="0"/>
              <w:bottom w:val="single" w:color="auto" w:sz="12" w:space="0"/>
              <w:right w:val="single" w:color="auto" w:sz="6" w:space="0"/>
            </w:tcBorders>
          </w:tcPr>
          <w:p>
            <w:pPr>
              <w:pStyle w:val="16"/>
              <w:keepNext/>
              <w:spacing w:after="0" w:line="440" w:lineRule="exact"/>
              <w:ind w:left="63" w:right="63"/>
              <w:rPr>
                <w:rFonts w:ascii="宋体" w:hAnsi="宋体"/>
                <w:color w:val="000000"/>
                <w:szCs w:val="21"/>
              </w:rPr>
            </w:pPr>
          </w:p>
        </w:tc>
        <w:tc>
          <w:tcPr>
            <w:tcW w:w="774" w:type="dxa"/>
            <w:tcBorders>
              <w:top w:val="single" w:color="auto" w:sz="6" w:space="0"/>
              <w:left w:val="single" w:color="auto" w:sz="6" w:space="0"/>
              <w:bottom w:val="single" w:color="auto" w:sz="12" w:space="0"/>
              <w:right w:val="single" w:color="auto" w:sz="6" w:space="0"/>
            </w:tcBorders>
          </w:tcPr>
          <w:p>
            <w:pPr>
              <w:pStyle w:val="16"/>
              <w:keepNext/>
              <w:spacing w:after="0" w:line="440" w:lineRule="exact"/>
              <w:ind w:left="63" w:right="63"/>
              <w:rPr>
                <w:rFonts w:ascii="宋体" w:hAnsi="宋体"/>
                <w:color w:val="000000"/>
                <w:szCs w:val="21"/>
              </w:rPr>
            </w:pPr>
          </w:p>
        </w:tc>
        <w:tc>
          <w:tcPr>
            <w:tcW w:w="1352" w:type="dxa"/>
            <w:tcBorders>
              <w:top w:val="single" w:color="auto" w:sz="6" w:space="0"/>
              <w:left w:val="single" w:color="auto" w:sz="6" w:space="0"/>
              <w:bottom w:val="single" w:color="auto" w:sz="12" w:space="0"/>
              <w:right w:val="single" w:color="auto" w:sz="6" w:space="0"/>
            </w:tcBorders>
          </w:tcPr>
          <w:p>
            <w:pPr>
              <w:pStyle w:val="16"/>
              <w:keepNext/>
              <w:spacing w:after="0" w:line="440" w:lineRule="exact"/>
              <w:ind w:left="63" w:right="63"/>
              <w:rPr>
                <w:rFonts w:ascii="宋体" w:hAnsi="宋体"/>
                <w:color w:val="000000"/>
                <w:szCs w:val="21"/>
              </w:rPr>
            </w:pPr>
          </w:p>
        </w:tc>
        <w:tc>
          <w:tcPr>
            <w:tcW w:w="1418" w:type="dxa"/>
            <w:tcBorders>
              <w:top w:val="single" w:color="auto" w:sz="6" w:space="0"/>
              <w:left w:val="single" w:color="auto" w:sz="6" w:space="0"/>
              <w:bottom w:val="single" w:color="auto" w:sz="12" w:space="0"/>
              <w:right w:val="single" w:color="auto" w:sz="6" w:space="0"/>
            </w:tcBorders>
          </w:tcPr>
          <w:p>
            <w:pPr>
              <w:pStyle w:val="16"/>
              <w:keepNext/>
              <w:spacing w:after="0" w:line="440" w:lineRule="exact"/>
              <w:ind w:left="63" w:right="63"/>
              <w:rPr>
                <w:rFonts w:ascii="宋体" w:hAnsi="宋体"/>
                <w:color w:val="000000"/>
                <w:szCs w:val="21"/>
              </w:rPr>
            </w:pPr>
          </w:p>
        </w:tc>
        <w:tc>
          <w:tcPr>
            <w:tcW w:w="1701" w:type="dxa"/>
            <w:tcBorders>
              <w:top w:val="single" w:color="auto" w:sz="6" w:space="0"/>
              <w:left w:val="single" w:color="auto" w:sz="6" w:space="0"/>
              <w:bottom w:val="single" w:color="auto" w:sz="12" w:space="0"/>
              <w:right w:val="single" w:color="auto" w:sz="12" w:space="0"/>
            </w:tcBorders>
          </w:tcPr>
          <w:p>
            <w:pPr>
              <w:pStyle w:val="16"/>
              <w:keepNext/>
              <w:spacing w:after="0" w:line="440" w:lineRule="exact"/>
              <w:ind w:left="63" w:right="63"/>
              <w:rPr>
                <w:rFonts w:ascii="宋体" w:hAnsi="宋体"/>
                <w:color w:val="000000"/>
                <w:szCs w:val="21"/>
              </w:rPr>
            </w:pPr>
          </w:p>
        </w:tc>
      </w:tr>
    </w:tbl>
    <w:p>
      <w:pPr>
        <w:rPr>
          <w:rFonts w:ascii="宋体" w:hAnsi="宋体"/>
          <w:color w:val="000000"/>
          <w:szCs w:val="21"/>
        </w:rPr>
      </w:pPr>
      <w:r>
        <w:rPr>
          <w:rFonts w:ascii="宋体" w:hAnsi="宋体"/>
          <w:color w:val="000000"/>
          <w:szCs w:val="21"/>
        </w:rPr>
        <w:br w:type="page"/>
      </w:r>
    </w:p>
    <w:p>
      <w:pPr>
        <w:pStyle w:val="33"/>
        <w:spacing w:before="120" w:beforeLines="50" w:beforeAutospacing="0" w:after="120" w:afterLines="50" w:afterAutospacing="0"/>
        <w:jc w:val="center"/>
        <w:rPr>
          <w:color w:val="000000"/>
        </w:rPr>
      </w:pPr>
      <w:r>
        <w:rPr>
          <w:rFonts w:hint="eastAsia" w:ascii="宋体" w:hAnsi="宋体"/>
          <w:color w:val="000000"/>
        </w:rPr>
        <w:t>施工廉政合同</w:t>
      </w:r>
    </w:p>
    <w:p>
      <w:pPr>
        <w:pStyle w:val="33"/>
        <w:spacing w:before="120" w:beforeLines="50" w:beforeAutospacing="0" w:after="120" w:afterLines="50" w:afterAutospacing="0"/>
        <w:ind w:firstLine="480" w:firstLineChars="200"/>
        <w:rPr>
          <w:rFonts w:ascii="宋体" w:hAnsi="宋体"/>
          <w:color w:val="000000"/>
        </w:rPr>
      </w:pPr>
      <w:r>
        <w:rPr>
          <w:rFonts w:hint="eastAsia" w:ascii="宋体" w:hAnsi="宋体"/>
          <w:color w:val="000000"/>
        </w:rPr>
        <w:t>为做好项目建设中的党风廉政建设，保证工程建设高效优质，保证建设资金的安全和有效使用以及投资效益，（以下简称“甲方”</w:t>
      </w:r>
      <w:r>
        <w:rPr>
          <w:rFonts w:hint="eastAsia" w:ascii="宋体" w:hAnsi="宋体"/>
          <w:color w:val="000000"/>
          <w:lang w:eastAsia="zh-CN"/>
        </w:rPr>
        <w:t>）</w:t>
      </w:r>
      <w:r>
        <w:rPr>
          <w:rFonts w:hint="eastAsia" w:ascii="宋体" w:hAnsi="宋体"/>
          <w:color w:val="000000"/>
        </w:rPr>
        <w:t xml:space="preserve"> 与（以下简称“乙方”</w:t>
      </w:r>
      <w:r>
        <w:rPr>
          <w:rFonts w:hint="eastAsia" w:ascii="宋体" w:hAnsi="宋体"/>
          <w:color w:val="000000"/>
          <w:lang w:eastAsia="zh-CN"/>
        </w:rPr>
        <w:t>）</w:t>
      </w:r>
      <w:r>
        <w:rPr>
          <w:rFonts w:hint="eastAsia" w:ascii="宋体" w:hAnsi="宋体"/>
          <w:color w:val="000000"/>
        </w:rPr>
        <w:t xml:space="preserve"> ，特订立本合同。</w:t>
      </w:r>
    </w:p>
    <w:p>
      <w:pPr>
        <w:pStyle w:val="33"/>
        <w:spacing w:before="120" w:beforeLines="50" w:beforeAutospacing="0" w:after="120" w:afterLines="50" w:afterAutospacing="0"/>
        <w:ind w:firstLine="480" w:firstLineChars="200"/>
        <w:rPr>
          <w:rFonts w:ascii="宋体" w:hAnsi="宋体"/>
          <w:color w:val="000000"/>
        </w:rPr>
      </w:pPr>
      <w:r>
        <w:rPr>
          <w:rFonts w:hint="eastAsia" w:ascii="宋体" w:hAnsi="宋体"/>
          <w:color w:val="000000"/>
        </w:rPr>
        <w:t>第一条甲乙双方的权利和义务</w:t>
      </w:r>
    </w:p>
    <w:p>
      <w:pPr>
        <w:pStyle w:val="33"/>
        <w:spacing w:before="120" w:beforeLines="50" w:beforeAutospacing="0" w:after="120" w:afterLines="50" w:afterAutospacing="0"/>
        <w:ind w:firstLine="480" w:firstLineChars="200"/>
        <w:rPr>
          <w:rFonts w:ascii="宋体" w:hAnsi="宋体"/>
          <w:color w:val="000000"/>
        </w:rPr>
      </w:pPr>
      <w:r>
        <w:rPr>
          <w:rFonts w:hint="eastAsia" w:ascii="宋体" w:hAnsi="宋体"/>
          <w:color w:val="000000"/>
        </w:rPr>
        <w:t>（一）严格遵守党的政策规定和国家有关法律法规及建设部的有关规定。</w:t>
      </w:r>
    </w:p>
    <w:p>
      <w:pPr>
        <w:pStyle w:val="33"/>
        <w:spacing w:before="120" w:beforeLines="50" w:beforeAutospacing="0" w:after="120" w:afterLines="50" w:afterAutospacing="0"/>
        <w:ind w:firstLine="480" w:firstLineChars="200"/>
        <w:rPr>
          <w:rFonts w:ascii="宋体" w:hAnsi="宋体"/>
          <w:color w:val="000000"/>
        </w:rPr>
      </w:pPr>
      <w:r>
        <w:rPr>
          <w:rFonts w:hint="eastAsia" w:ascii="宋体" w:hAnsi="宋体"/>
          <w:color w:val="000000"/>
        </w:rPr>
        <w:t>（二）严格执行项目施工合同文件，自觉按合同办事。</w:t>
      </w:r>
    </w:p>
    <w:p>
      <w:pPr>
        <w:pStyle w:val="33"/>
        <w:spacing w:before="120" w:beforeLines="50" w:beforeAutospacing="0" w:after="120" w:afterLines="50" w:afterAutospacing="0"/>
        <w:ind w:firstLine="480" w:firstLineChars="200"/>
        <w:rPr>
          <w:rFonts w:ascii="宋体" w:hAnsi="宋体"/>
          <w:color w:val="000000"/>
        </w:rPr>
      </w:pPr>
      <w:r>
        <w:rPr>
          <w:rFonts w:hint="eastAsia" w:ascii="宋体" w:hAnsi="宋体"/>
          <w:color w:val="000000"/>
        </w:rPr>
        <w:t>（三）双方的业务活动坚持公开、公正、诚信、透明的原则（法律认定的商业秘密和合同文件另有规定除外），不得损害国家和集体的利益，不得违反工程建设管理规章制度。</w:t>
      </w:r>
    </w:p>
    <w:p>
      <w:pPr>
        <w:pStyle w:val="33"/>
        <w:spacing w:before="120" w:beforeLines="50" w:beforeAutospacing="0" w:after="120" w:afterLines="50" w:afterAutospacing="0"/>
        <w:ind w:firstLine="480" w:firstLineChars="200"/>
        <w:rPr>
          <w:rFonts w:ascii="宋体" w:hAnsi="宋体"/>
          <w:color w:val="000000"/>
        </w:rPr>
      </w:pPr>
      <w:r>
        <w:rPr>
          <w:rFonts w:hint="eastAsia" w:ascii="宋体" w:hAnsi="宋体"/>
          <w:color w:val="000000"/>
        </w:rPr>
        <w:t>（四）建立健全廉政制度，开展廉政教育，设立廉政告示牌，公布举报电话，监督并认真查处违法违规行为。</w:t>
      </w:r>
    </w:p>
    <w:p>
      <w:pPr>
        <w:pStyle w:val="33"/>
        <w:spacing w:before="120" w:beforeLines="50" w:beforeAutospacing="0" w:after="120" w:afterLines="50" w:afterAutospacing="0"/>
        <w:ind w:firstLine="480" w:firstLineChars="200"/>
        <w:rPr>
          <w:rFonts w:ascii="宋体" w:hAnsi="宋体"/>
          <w:color w:val="000000"/>
        </w:rPr>
      </w:pPr>
      <w:r>
        <w:rPr>
          <w:rFonts w:hint="eastAsia" w:ascii="宋体" w:hAnsi="宋体"/>
          <w:color w:val="000000"/>
        </w:rPr>
        <w:t>（五）发现对方在业务活动中有违反廉政规定的行为，有及时提醒对方纠正的权利和义务。</w:t>
      </w:r>
    </w:p>
    <w:p>
      <w:pPr>
        <w:pStyle w:val="33"/>
        <w:spacing w:before="120" w:beforeLines="50" w:beforeAutospacing="0" w:after="120" w:afterLines="50" w:afterAutospacing="0"/>
        <w:ind w:firstLine="480" w:firstLineChars="200"/>
        <w:rPr>
          <w:rFonts w:ascii="宋体" w:hAnsi="宋体"/>
          <w:color w:val="000000"/>
        </w:rPr>
      </w:pPr>
      <w:r>
        <w:rPr>
          <w:rFonts w:hint="eastAsia" w:ascii="宋体" w:hAnsi="宋体"/>
          <w:color w:val="000000"/>
        </w:rPr>
        <w:t>（六）发现对方严重违反本合同义务条款的行为，有向上级有关部门举报、建议给予处理并要求告知处理结果的权利。</w:t>
      </w:r>
    </w:p>
    <w:p>
      <w:pPr>
        <w:pStyle w:val="33"/>
        <w:spacing w:before="120" w:beforeLines="50" w:beforeAutospacing="0" w:after="120" w:afterLines="50" w:afterAutospacing="0"/>
        <w:ind w:firstLine="480" w:firstLineChars="200"/>
        <w:rPr>
          <w:rFonts w:ascii="宋体" w:hAnsi="宋体"/>
          <w:color w:val="000000"/>
        </w:rPr>
      </w:pPr>
      <w:r>
        <w:rPr>
          <w:rFonts w:hint="eastAsia" w:ascii="宋体" w:hAnsi="宋体"/>
          <w:color w:val="000000"/>
        </w:rPr>
        <w:t>第二条甲方的义务</w:t>
      </w:r>
    </w:p>
    <w:p>
      <w:pPr>
        <w:pStyle w:val="33"/>
        <w:spacing w:before="120" w:beforeLines="50" w:beforeAutospacing="0" w:after="120" w:afterLines="50" w:afterAutospacing="0"/>
        <w:ind w:firstLine="480" w:firstLineChars="200"/>
        <w:rPr>
          <w:rFonts w:ascii="宋体" w:hAnsi="宋体"/>
          <w:color w:val="000000"/>
        </w:rPr>
      </w:pPr>
      <w:r>
        <w:rPr>
          <w:rFonts w:hint="eastAsia" w:ascii="宋体" w:hAnsi="宋体"/>
          <w:color w:val="000000"/>
        </w:rPr>
        <w:t>（一）甲方及其工作人员不得索要或接受乙方的礼金、有价证券和贵重物品，不得在乙方报销任何应由甲方工作人员个人支付的费用等。</w:t>
      </w:r>
    </w:p>
    <w:p>
      <w:pPr>
        <w:pStyle w:val="33"/>
        <w:spacing w:before="120" w:beforeLines="50" w:beforeAutospacing="0" w:after="120" w:afterLines="50" w:afterAutospacing="0"/>
        <w:ind w:firstLine="480" w:firstLineChars="200"/>
        <w:rPr>
          <w:rFonts w:ascii="宋体" w:hAnsi="宋体"/>
          <w:color w:val="000000"/>
        </w:rPr>
      </w:pPr>
      <w:r>
        <w:rPr>
          <w:rFonts w:hint="eastAsia" w:ascii="宋体" w:hAnsi="宋体"/>
          <w:color w:val="000000"/>
        </w:rPr>
        <w:t>（二）甲方工作人员不得参加乙方安排的超标准宴请和娱乐活动；不得接受乙方提供的通讯工具、交通工具和高档办公用品等。</w:t>
      </w:r>
    </w:p>
    <w:p>
      <w:pPr>
        <w:pStyle w:val="33"/>
        <w:spacing w:before="120" w:beforeLines="50" w:beforeAutospacing="0" w:after="120" w:afterLines="50" w:afterAutospacing="0"/>
        <w:ind w:firstLine="480" w:firstLineChars="200"/>
        <w:rPr>
          <w:rFonts w:ascii="宋体" w:hAnsi="宋体"/>
          <w:color w:val="000000"/>
        </w:rPr>
      </w:pPr>
      <w:r>
        <w:rPr>
          <w:rFonts w:hint="eastAsia" w:ascii="宋体" w:hAnsi="宋体"/>
          <w:color w:val="000000"/>
        </w:rPr>
        <w:t>（三）甲方及其工作人员不得要求乙方为其住房装修、婚丧嫁娶活动、配偶子女的工作安排以及出国出境、旅游提供方便等。</w:t>
      </w:r>
    </w:p>
    <w:p>
      <w:pPr>
        <w:pStyle w:val="33"/>
        <w:spacing w:before="120" w:beforeLines="50" w:beforeAutospacing="0" w:after="120" w:afterLines="50" w:afterAutospacing="0"/>
        <w:ind w:firstLine="480" w:firstLineChars="200"/>
        <w:rPr>
          <w:rFonts w:ascii="宋体" w:hAnsi="宋体"/>
          <w:color w:val="000000"/>
        </w:rPr>
      </w:pPr>
      <w:r>
        <w:rPr>
          <w:rFonts w:hint="eastAsia" w:ascii="宋体" w:hAnsi="宋体"/>
          <w:color w:val="000000"/>
        </w:rPr>
        <w:t>（四）甲方工作人员及其配偶、子女不得从事与甲方工程有关的材料设备供应、工程分包、劳务等经济活动。</w:t>
      </w:r>
    </w:p>
    <w:p>
      <w:pPr>
        <w:pStyle w:val="33"/>
        <w:spacing w:before="120" w:beforeLines="50" w:beforeAutospacing="0" w:after="120" w:afterLines="50" w:afterAutospacing="0"/>
        <w:ind w:firstLine="480" w:firstLineChars="200"/>
        <w:rPr>
          <w:rFonts w:ascii="宋体" w:hAnsi="宋体"/>
          <w:color w:val="000000"/>
        </w:rPr>
      </w:pPr>
      <w:r>
        <w:rPr>
          <w:rFonts w:hint="eastAsia" w:ascii="宋体" w:hAnsi="宋体"/>
          <w:color w:val="000000"/>
        </w:rPr>
        <w:t>（五）甲方及其工作人员不得以任何理由向乙方推荐分包单位或推销材料，不得要求乙方购买合同规定外的材料和设备。</w:t>
      </w:r>
    </w:p>
    <w:p>
      <w:pPr>
        <w:pStyle w:val="33"/>
        <w:spacing w:before="120" w:beforeLines="50" w:beforeAutospacing="0" w:after="120" w:afterLines="50" w:afterAutospacing="0"/>
        <w:ind w:firstLine="480" w:firstLineChars="200"/>
        <w:rPr>
          <w:rFonts w:ascii="宋体" w:hAnsi="宋体"/>
          <w:color w:val="000000"/>
        </w:rPr>
      </w:pPr>
      <w:r>
        <w:rPr>
          <w:rFonts w:hint="eastAsia" w:ascii="宋体" w:hAnsi="宋体"/>
          <w:color w:val="000000"/>
        </w:rPr>
        <w:t>（六）甲方工作人员要秉公办事，不准利用职权从事各种个人有偿中介活动和安排个人施工队伍。</w:t>
      </w:r>
    </w:p>
    <w:p>
      <w:pPr>
        <w:pStyle w:val="33"/>
        <w:spacing w:before="120" w:beforeLines="50" w:beforeAutospacing="0" w:after="120" w:afterLines="50" w:afterAutospacing="0"/>
        <w:ind w:firstLine="480" w:firstLineChars="200"/>
        <w:rPr>
          <w:rFonts w:ascii="宋体" w:hAnsi="宋体"/>
          <w:color w:val="000000"/>
        </w:rPr>
      </w:pPr>
      <w:r>
        <w:rPr>
          <w:rFonts w:hint="eastAsia" w:ascii="宋体" w:hAnsi="宋体"/>
          <w:color w:val="000000"/>
        </w:rPr>
        <w:t>第三条乙方义务</w:t>
      </w:r>
    </w:p>
    <w:p>
      <w:pPr>
        <w:pStyle w:val="33"/>
        <w:spacing w:before="120" w:beforeLines="50" w:beforeAutospacing="0" w:after="120" w:afterLines="50" w:afterAutospacing="0"/>
        <w:ind w:firstLine="480" w:firstLineChars="200"/>
        <w:rPr>
          <w:rFonts w:ascii="宋体" w:hAnsi="宋体"/>
          <w:color w:val="000000"/>
        </w:rPr>
      </w:pPr>
      <w:r>
        <w:rPr>
          <w:rFonts w:hint="eastAsia" w:ascii="宋体" w:hAnsi="宋体"/>
          <w:color w:val="000000"/>
        </w:rPr>
        <w:t>（一）乙方不得以任何理由向甲方及其工作人员行贿或馈赠礼金、有价证券、贵重礼品。</w:t>
      </w:r>
    </w:p>
    <w:p>
      <w:pPr>
        <w:pStyle w:val="33"/>
        <w:spacing w:before="120" w:beforeLines="50" w:beforeAutospacing="0" w:after="120" w:afterLines="50" w:afterAutospacing="0"/>
        <w:ind w:firstLine="480" w:firstLineChars="200"/>
        <w:rPr>
          <w:rFonts w:ascii="宋体" w:hAnsi="宋体"/>
          <w:color w:val="000000"/>
        </w:rPr>
      </w:pPr>
      <w:r>
        <w:rPr>
          <w:rFonts w:hint="eastAsia" w:ascii="宋体" w:hAnsi="宋体"/>
          <w:color w:val="000000"/>
        </w:rPr>
        <w:t>（二）乙方不得以任何名义向甲方及其工作人员报销应由甲方单位或个人支付的任何费用。</w:t>
      </w:r>
    </w:p>
    <w:p>
      <w:pPr>
        <w:pStyle w:val="33"/>
        <w:spacing w:before="120" w:beforeLines="50" w:beforeAutospacing="0" w:after="120" w:afterLines="50" w:afterAutospacing="0"/>
        <w:ind w:firstLine="480" w:firstLineChars="200"/>
        <w:rPr>
          <w:rFonts w:ascii="宋体" w:hAnsi="宋体"/>
          <w:color w:val="000000"/>
        </w:rPr>
      </w:pPr>
      <w:r>
        <w:rPr>
          <w:rFonts w:hint="eastAsia" w:ascii="宋体" w:hAnsi="宋体"/>
          <w:color w:val="000000"/>
        </w:rPr>
        <w:t>（三）乙方不得以任何理由安排甲方工作人员参加超标准宴请及娱乐活动。</w:t>
      </w:r>
    </w:p>
    <w:p>
      <w:pPr>
        <w:pStyle w:val="33"/>
        <w:spacing w:before="120" w:beforeLines="50" w:beforeAutospacing="0" w:after="120" w:afterLines="50" w:afterAutospacing="0"/>
        <w:ind w:firstLine="480" w:firstLineChars="200"/>
        <w:rPr>
          <w:rFonts w:ascii="宋体" w:hAnsi="宋体"/>
          <w:color w:val="000000"/>
        </w:rPr>
      </w:pPr>
      <w:r>
        <w:rPr>
          <w:rFonts w:hint="eastAsia" w:ascii="宋体" w:hAnsi="宋体"/>
          <w:color w:val="000000"/>
        </w:rPr>
        <w:t>（四）乙方不得为甲方单位和个人购置或提供通讯工具、交通工具和高档办公用品等。第四条违约责任</w:t>
      </w:r>
    </w:p>
    <w:p>
      <w:pPr>
        <w:pStyle w:val="33"/>
        <w:spacing w:before="120" w:beforeLines="50" w:beforeAutospacing="0" w:after="120" w:afterLines="50" w:afterAutospacing="0"/>
        <w:ind w:firstLine="480" w:firstLineChars="200"/>
        <w:rPr>
          <w:rFonts w:ascii="宋体" w:hAnsi="宋体"/>
          <w:color w:val="000000"/>
        </w:rPr>
      </w:pPr>
      <w:r>
        <w:rPr>
          <w:rFonts w:hint="eastAsia" w:ascii="宋体" w:hAnsi="宋体"/>
          <w:color w:val="000000"/>
        </w:rPr>
        <w:t>（一）甲方及其工作人员违反本合同</w:t>
      </w:r>
      <w:r>
        <w:rPr>
          <w:rFonts w:hint="eastAsia" w:ascii="宋体" w:hAnsi="宋体"/>
          <w:color w:val="000000"/>
          <w:lang w:eastAsia="zh-CN"/>
        </w:rPr>
        <w:t>第一，</w:t>
      </w:r>
      <w:r>
        <w:rPr>
          <w:rFonts w:hint="eastAsia" w:ascii="宋体" w:hAnsi="宋体"/>
          <w:color w:val="000000"/>
        </w:rPr>
        <w:t>二条，按管理权限，依据有关规定给予党纪、政纪或组织处理；涉嫌犯罪的，移交司法机关追究刑事责任；给乙方单位造成经济损失的，应予以赔偿。</w:t>
      </w:r>
    </w:p>
    <w:p>
      <w:pPr>
        <w:pStyle w:val="33"/>
        <w:spacing w:before="120" w:beforeLines="50" w:beforeAutospacing="0" w:after="120" w:afterLines="50" w:afterAutospacing="0"/>
        <w:ind w:firstLine="480" w:firstLineChars="200"/>
        <w:rPr>
          <w:rFonts w:ascii="宋体" w:hAnsi="宋体"/>
          <w:color w:val="000000"/>
        </w:rPr>
      </w:pPr>
      <w:r>
        <w:rPr>
          <w:rFonts w:hint="eastAsia" w:ascii="宋体" w:hAnsi="宋体"/>
          <w:color w:val="000000"/>
        </w:rPr>
        <w:t>（二）乙方及其工作人员违反本合同</w:t>
      </w:r>
      <w:r>
        <w:rPr>
          <w:rFonts w:hint="eastAsia" w:ascii="宋体" w:hAnsi="宋体"/>
          <w:color w:val="000000"/>
          <w:lang w:eastAsia="zh-CN"/>
        </w:rPr>
        <w:t>第一，</w:t>
      </w:r>
      <w:r>
        <w:rPr>
          <w:rFonts w:hint="eastAsia" w:ascii="宋体" w:hAnsi="宋体"/>
          <w:color w:val="000000"/>
        </w:rPr>
        <w:t>三条，按管理权限，依据有关规定给予党纪、政纪或组织处理；给甲方单位造成经济损失的，应予以赔偿；情节严重的，甲方建议有关建设主管部门给予乙方一至三年内不得进入其主管的工程建设市场的处罚。</w:t>
      </w:r>
    </w:p>
    <w:p>
      <w:pPr>
        <w:pStyle w:val="33"/>
        <w:spacing w:before="120" w:beforeLines="50" w:beforeAutospacing="0" w:after="120" w:afterLines="50" w:afterAutospacing="0"/>
        <w:ind w:firstLine="480" w:firstLineChars="200"/>
        <w:rPr>
          <w:rFonts w:ascii="宋体" w:hAnsi="宋体"/>
          <w:color w:val="000000"/>
        </w:rPr>
      </w:pPr>
      <w:r>
        <w:rPr>
          <w:rFonts w:hint="eastAsia" w:ascii="宋体" w:hAnsi="宋体"/>
          <w:color w:val="000000"/>
        </w:rPr>
        <w:t>第五条双方约定：本合同由双方纪检部门负责监督执行，并对本合同执行情况进行检查，提出本合同规定范围内的裁定意见。</w:t>
      </w:r>
    </w:p>
    <w:p>
      <w:pPr>
        <w:pStyle w:val="33"/>
        <w:spacing w:before="120" w:beforeLines="50" w:beforeAutospacing="0" w:after="120" w:afterLines="50" w:afterAutospacing="0"/>
        <w:ind w:firstLine="480" w:firstLineChars="200"/>
        <w:rPr>
          <w:color w:val="000000"/>
        </w:rPr>
      </w:pPr>
      <w:r>
        <w:rPr>
          <w:rFonts w:hint="eastAsia" w:ascii="宋体" w:hAnsi="宋体"/>
          <w:color w:val="000000"/>
        </w:rPr>
        <w:t>第六条本合同有效期为甲乙双方签署之日起至该工程项目竣工验收后止。</w:t>
      </w:r>
    </w:p>
    <w:p>
      <w:pPr>
        <w:pStyle w:val="33"/>
        <w:spacing w:before="120" w:beforeLines="50" w:beforeAutospacing="0" w:after="120" w:afterLines="50" w:afterAutospacing="0"/>
        <w:ind w:firstLine="480" w:firstLineChars="200"/>
        <w:rPr>
          <w:rFonts w:ascii="宋体" w:hAnsi="宋体"/>
          <w:color w:val="000000"/>
        </w:rPr>
      </w:pPr>
      <w:r>
        <w:rPr>
          <w:rFonts w:hint="eastAsia" w:ascii="宋体" w:hAnsi="宋体"/>
          <w:color w:val="000000"/>
        </w:rPr>
        <w:t>第七条本合同作为项目施工合同的附件，与施工合同具有同等法律效力，自双方法定代表人或授权代理人签字并加盖公章之日起生效。</w:t>
      </w:r>
    </w:p>
    <w:p>
      <w:pPr>
        <w:pStyle w:val="33"/>
        <w:spacing w:before="120" w:beforeLines="50" w:beforeAutospacing="0" w:after="120" w:afterLines="50" w:afterAutospacing="0"/>
        <w:ind w:left="239" w:leftChars="114" w:firstLine="240" w:firstLineChars="100"/>
        <w:rPr>
          <w:color w:val="000000"/>
        </w:rPr>
      </w:pPr>
      <w:r>
        <w:rPr>
          <w:rFonts w:hint="eastAsia" w:ascii="宋体" w:hAnsi="宋体"/>
          <w:color w:val="000000"/>
        </w:rPr>
        <w:t>第八条本合同正本一式份，副本份，合同双方各执正本份，副本份，送交双方的监督单位各副本份。</w:t>
      </w:r>
    </w:p>
    <w:p>
      <w:pPr>
        <w:pStyle w:val="33"/>
        <w:spacing w:before="120" w:beforeLines="50" w:beforeAutospacing="0" w:after="120" w:afterLines="50" w:afterAutospacing="0"/>
        <w:ind w:firstLine="480" w:firstLineChars="200"/>
        <w:rPr>
          <w:rFonts w:ascii="宋体" w:hAnsi="宋体"/>
          <w:color w:val="000000"/>
        </w:rPr>
      </w:pPr>
      <w:r>
        <w:rPr>
          <w:rFonts w:hint="eastAsia" w:ascii="宋体" w:hAnsi="宋体"/>
          <w:color w:val="000000"/>
        </w:rPr>
        <w:t>甲      方：                       乙      方：</w:t>
      </w:r>
    </w:p>
    <w:p>
      <w:pPr>
        <w:pStyle w:val="33"/>
        <w:spacing w:before="120" w:beforeLines="50" w:beforeAutospacing="0" w:after="120" w:afterLines="50" w:afterAutospacing="0"/>
        <w:ind w:firstLine="480" w:firstLineChars="200"/>
        <w:rPr>
          <w:rFonts w:ascii="宋体" w:hAnsi="宋体"/>
          <w:color w:val="000000"/>
        </w:rPr>
      </w:pPr>
      <w:r>
        <w:rPr>
          <w:rFonts w:hint="eastAsia" w:ascii="宋体" w:hAnsi="宋体"/>
          <w:color w:val="000000"/>
        </w:rPr>
        <w:t>法定代表人：                       法定代表人：</w:t>
      </w:r>
    </w:p>
    <w:p>
      <w:pPr>
        <w:pStyle w:val="33"/>
        <w:spacing w:before="120" w:beforeLines="50" w:beforeAutospacing="0" w:after="120" w:afterLines="50" w:afterAutospacing="0"/>
        <w:ind w:firstLine="960" w:firstLineChars="400"/>
        <w:rPr>
          <w:rFonts w:ascii="宋体" w:hAnsi="宋体"/>
          <w:color w:val="000000"/>
        </w:rPr>
      </w:pPr>
      <w:r>
        <w:rPr>
          <w:rFonts w:hint="eastAsia" w:ascii="宋体" w:hAnsi="宋体"/>
          <w:color w:val="000000"/>
        </w:rPr>
        <w:t>或                                 或</w:t>
      </w:r>
    </w:p>
    <w:p>
      <w:pPr>
        <w:pStyle w:val="33"/>
        <w:spacing w:before="120" w:beforeLines="50" w:beforeAutospacing="0" w:after="120" w:afterLines="50" w:afterAutospacing="0"/>
        <w:ind w:firstLine="480" w:firstLineChars="200"/>
        <w:rPr>
          <w:rFonts w:ascii="宋体" w:hAnsi="宋体"/>
          <w:color w:val="000000"/>
        </w:rPr>
      </w:pPr>
      <w:r>
        <w:rPr>
          <w:rFonts w:hint="eastAsia" w:ascii="宋体" w:hAnsi="宋体"/>
          <w:color w:val="000000"/>
        </w:rPr>
        <w:t>授权代理人：                       授权代理人：</w:t>
      </w:r>
    </w:p>
    <w:p>
      <w:pPr>
        <w:pStyle w:val="33"/>
        <w:spacing w:before="120" w:beforeLines="50" w:beforeAutospacing="0" w:after="120" w:afterLines="50" w:afterAutospacing="0"/>
        <w:ind w:firstLine="480" w:firstLineChars="200"/>
        <w:rPr>
          <w:rFonts w:ascii="宋体" w:hAnsi="宋体"/>
          <w:color w:val="000000"/>
        </w:rPr>
      </w:pPr>
      <w:r>
        <w:rPr>
          <w:rFonts w:hint="eastAsia" w:ascii="宋体" w:hAnsi="宋体"/>
          <w:color w:val="000000"/>
        </w:rPr>
        <w:t>地      址：                       地      址：</w:t>
      </w:r>
    </w:p>
    <w:p>
      <w:pPr>
        <w:pStyle w:val="33"/>
        <w:spacing w:before="120" w:beforeLines="50" w:beforeAutospacing="0" w:after="120" w:afterLines="50" w:afterAutospacing="0"/>
        <w:ind w:firstLine="480" w:firstLineChars="200"/>
        <w:rPr>
          <w:rFonts w:ascii="宋体" w:hAnsi="宋体"/>
          <w:color w:val="000000"/>
        </w:rPr>
      </w:pPr>
      <w:r>
        <w:rPr>
          <w:rFonts w:hint="eastAsia" w:ascii="宋体" w:hAnsi="宋体"/>
          <w:color w:val="000000"/>
        </w:rPr>
        <w:t>电      话：                       电      话：</w:t>
      </w:r>
    </w:p>
    <w:p>
      <w:pPr>
        <w:pStyle w:val="33"/>
        <w:spacing w:before="120" w:beforeLines="50" w:beforeAutospacing="0" w:after="120" w:afterLines="50" w:afterAutospacing="0"/>
        <w:ind w:firstLine="480" w:firstLineChars="200"/>
        <w:rPr>
          <w:color w:val="000000"/>
        </w:rPr>
      </w:pPr>
      <w:r>
        <w:rPr>
          <w:rFonts w:hint="eastAsia" w:ascii="宋体" w:hAnsi="宋体"/>
          <w:color w:val="000000"/>
        </w:rPr>
        <w:t>经  办  人：                       经  办  人：</w:t>
      </w:r>
    </w:p>
    <w:p>
      <w:pPr>
        <w:pStyle w:val="33"/>
        <w:spacing w:before="120" w:beforeLines="50" w:beforeAutospacing="0" w:after="120" w:afterLines="50" w:afterAutospacing="0"/>
        <w:ind w:firstLine="480" w:firstLineChars="200"/>
        <w:rPr>
          <w:color w:val="000000"/>
        </w:rPr>
      </w:pPr>
    </w:p>
    <w:p>
      <w:pPr>
        <w:spacing w:line="360" w:lineRule="auto"/>
        <w:ind w:left="3780" w:firstLine="420" w:firstLineChars="200"/>
        <w:jc w:val="left"/>
        <w:rPr>
          <w:rFonts w:ascii="宋体" w:hAnsi="宋体"/>
          <w:color w:val="000000"/>
        </w:rPr>
      </w:pPr>
      <w:r>
        <w:rPr>
          <w:rFonts w:hint="eastAsia" w:ascii="宋体" w:hAnsi="宋体"/>
          <w:color w:val="000000"/>
        </w:rPr>
        <w:t>日 期：    年     月    日</w:t>
      </w:r>
    </w:p>
    <w:permEnd w:id="514"/>
    <w:p>
      <w:pPr>
        <w:spacing w:line="420" w:lineRule="exact"/>
        <w:rPr>
          <w:rFonts w:ascii="楷体_GB2312" w:eastAsia="楷体_GB2312"/>
          <w:color w:val="000000"/>
        </w:rPr>
      </w:pPr>
      <w:r>
        <w:rPr>
          <w:color w:val="000000"/>
        </w:rPr>
        <w:br w:type="page"/>
      </w:r>
    </w:p>
    <w:p>
      <w:pPr>
        <w:spacing w:line="420" w:lineRule="exact"/>
        <w:jc w:val="center"/>
        <w:rPr>
          <w:rFonts w:ascii="楷体_GB2312" w:eastAsia="楷体_GB2312"/>
          <w:color w:val="000000"/>
        </w:rPr>
      </w:pPr>
    </w:p>
    <w:p>
      <w:pPr>
        <w:spacing w:line="420" w:lineRule="exact"/>
        <w:jc w:val="center"/>
        <w:rPr>
          <w:rFonts w:ascii="楷体_GB2312" w:eastAsia="楷体_GB2312"/>
          <w:color w:val="000000"/>
        </w:rPr>
      </w:pPr>
    </w:p>
    <w:p>
      <w:pPr>
        <w:spacing w:line="420" w:lineRule="exact"/>
        <w:jc w:val="center"/>
        <w:rPr>
          <w:rFonts w:ascii="楷体_GB2312" w:eastAsia="楷体_GB2312"/>
          <w:color w:val="000000"/>
        </w:rPr>
      </w:pPr>
    </w:p>
    <w:p>
      <w:pPr>
        <w:spacing w:line="420" w:lineRule="exact"/>
        <w:jc w:val="center"/>
        <w:rPr>
          <w:rFonts w:ascii="楷体_GB2312" w:eastAsia="楷体_GB2312"/>
          <w:color w:val="000000"/>
        </w:rPr>
      </w:pPr>
    </w:p>
    <w:p>
      <w:pPr>
        <w:jc w:val="center"/>
        <w:rPr>
          <w:rFonts w:ascii="宋体" w:hAnsi="宋体"/>
          <w:b/>
          <w:color w:val="000000"/>
          <w:sz w:val="32"/>
          <w:szCs w:val="32"/>
        </w:rPr>
      </w:pPr>
      <w:bookmarkStart w:id="1285" w:name="_Toc295812272"/>
      <w:r>
        <w:rPr>
          <w:rFonts w:hint="eastAsia" w:ascii="宋体" w:hAnsi="宋体"/>
          <w:b/>
          <w:color w:val="000000"/>
          <w:sz w:val="32"/>
          <w:szCs w:val="32"/>
        </w:rPr>
        <w:t>第五章  工程量清单</w:t>
      </w:r>
      <w:bookmarkEnd w:id="1285"/>
    </w:p>
    <w:p>
      <w:pPr>
        <w:spacing w:after="360" w:afterLines="150" w:line="380" w:lineRule="exact"/>
        <w:ind w:firstLine="560" w:firstLineChars="200"/>
        <w:jc w:val="center"/>
        <w:outlineLvl w:val="1"/>
        <w:rPr>
          <w:rFonts w:ascii="黑体" w:hAnsi="宋体" w:eastAsia="黑体"/>
          <w:color w:val="000000"/>
          <w:sz w:val="28"/>
          <w:szCs w:val="28"/>
        </w:rPr>
      </w:pPr>
      <w:r>
        <w:rPr>
          <w:rFonts w:ascii="黑体" w:eastAsia="黑体"/>
          <w:color w:val="000000"/>
          <w:sz w:val="28"/>
          <w:szCs w:val="28"/>
        </w:rPr>
        <w:br w:type="page"/>
      </w:r>
      <w:bookmarkStart w:id="1286" w:name="_Toc295812273"/>
      <w:bookmarkStart w:id="1287" w:name="_Toc114222843"/>
      <w:r>
        <w:rPr>
          <w:rFonts w:hint="eastAsia" w:ascii="黑体" w:hAnsi="宋体" w:eastAsia="黑体"/>
          <w:color w:val="000000"/>
          <w:sz w:val="28"/>
          <w:szCs w:val="28"/>
        </w:rPr>
        <w:t>第五章  工程量清单</w:t>
      </w:r>
      <w:bookmarkEnd w:id="1286"/>
      <w:bookmarkEnd w:id="1287"/>
    </w:p>
    <w:p>
      <w:pPr>
        <w:spacing w:after="240" w:afterLines="100" w:line="380" w:lineRule="exact"/>
        <w:outlineLvl w:val="2"/>
        <w:rPr>
          <w:rFonts w:ascii="黑体" w:hAnsi="宋体" w:eastAsia="黑体"/>
          <w:color w:val="000000"/>
          <w:sz w:val="24"/>
        </w:rPr>
      </w:pPr>
      <w:bookmarkStart w:id="1288" w:name="_Toc295812274"/>
      <w:bookmarkStart w:id="1289" w:name="_Toc114222844"/>
      <w:r>
        <w:rPr>
          <w:rFonts w:hint="eastAsia" w:ascii="黑体" w:hAnsi="宋体" w:eastAsia="黑体"/>
          <w:color w:val="000000"/>
          <w:sz w:val="24"/>
        </w:rPr>
        <w:t>1、工程量清单说明</w:t>
      </w:r>
      <w:bookmarkEnd w:id="1288"/>
      <w:bookmarkEnd w:id="1289"/>
    </w:p>
    <w:p>
      <w:pPr>
        <w:spacing w:line="430" w:lineRule="exact"/>
        <w:ind w:left="769" w:hanging="768" w:hangingChars="366"/>
        <w:rPr>
          <w:rFonts w:ascii="宋体" w:hAnsi="宋体"/>
          <w:color w:val="000000"/>
          <w:szCs w:val="21"/>
        </w:rPr>
      </w:pPr>
      <w:r>
        <w:rPr>
          <w:rFonts w:hint="eastAsia" w:ascii="黑体" w:hAnsi="宋体" w:eastAsia="黑体"/>
          <w:color w:val="000000"/>
          <w:szCs w:val="21"/>
        </w:rPr>
        <w:t xml:space="preserve">1.1   </w:t>
      </w:r>
      <w:r>
        <w:rPr>
          <w:rFonts w:hint="eastAsia" w:ascii="宋体" w:hAnsi="宋体"/>
          <w:color w:val="000000"/>
          <w:szCs w:val="21"/>
        </w:rPr>
        <w:t xml:space="preserve"> 本工程量清单是依据中华人民共和国国家标准《建设工程工程量清单计价规范》</w:t>
      </w:r>
      <w:r>
        <w:rPr>
          <w:rFonts w:hint="eastAsia" w:ascii="宋体" w:hAnsi="宋体"/>
          <w:color w:val="000000"/>
          <w:szCs w:val="21"/>
          <w:lang w:eastAsia="zh-CN"/>
        </w:rPr>
        <w:t>（</w:t>
      </w:r>
      <w:r>
        <w:rPr>
          <w:rFonts w:hint="eastAsia" w:ascii="宋体" w:hAnsi="宋体"/>
          <w:color w:val="000000"/>
          <w:szCs w:val="21"/>
        </w:rPr>
        <w:t>以下简称“计价规范”</w:t>
      </w:r>
      <w:r>
        <w:rPr>
          <w:rFonts w:hint="eastAsia" w:ascii="宋体" w:hAnsi="宋体"/>
          <w:color w:val="000000"/>
          <w:szCs w:val="21"/>
          <w:lang w:eastAsia="zh-CN"/>
        </w:rPr>
        <w:t>）</w:t>
      </w:r>
      <w:r>
        <w:rPr>
          <w:rFonts w:hint="eastAsia" w:ascii="宋体" w:hAnsi="宋体"/>
          <w:color w:val="000000"/>
          <w:szCs w:val="21"/>
        </w:rPr>
        <w:t>以及招标文件中包括的图纸等编制。计价规范中规定的工程量计算规则中没有的子目，应在本章第1.4款约定；计价规范中规定的工程量计算规则中没有且本章第1.4款也未约定的，双方协商确定；协商不成的，可向省级或行业工程造价管理机构申请裁定或按照有合同约束力的图纸所标示尺寸的理论净量计算。计量采用中华人民共和国法定的基本计量单位。</w:t>
      </w:r>
    </w:p>
    <w:p>
      <w:pPr>
        <w:spacing w:line="430" w:lineRule="exact"/>
        <w:ind w:left="756" w:hanging="756" w:hangingChars="360"/>
        <w:rPr>
          <w:rFonts w:ascii="宋体" w:hAnsi="宋体"/>
          <w:color w:val="000000"/>
          <w:szCs w:val="21"/>
        </w:rPr>
      </w:pPr>
      <w:r>
        <w:rPr>
          <w:rFonts w:hint="eastAsia" w:ascii="黑体" w:hAnsi="宋体" w:eastAsia="黑体"/>
          <w:color w:val="000000"/>
          <w:szCs w:val="21"/>
        </w:rPr>
        <w:t xml:space="preserve">1.2    </w:t>
      </w:r>
      <w:r>
        <w:rPr>
          <w:rFonts w:hint="eastAsia" w:ascii="宋体" w:hAnsi="宋体"/>
          <w:color w:val="000000"/>
          <w:szCs w:val="21"/>
        </w:rPr>
        <w:t>本工程量清单应与招标文件中的投标人须知、通用合同条款、专用合同条款、技术标准和要求及图纸等章节内容一起阅读和理解。</w:t>
      </w:r>
    </w:p>
    <w:p>
      <w:pPr>
        <w:spacing w:line="430" w:lineRule="exact"/>
        <w:ind w:left="741" w:hanging="741" w:hangingChars="353"/>
        <w:rPr>
          <w:rFonts w:ascii="宋体" w:hAnsi="宋体"/>
          <w:color w:val="000000"/>
          <w:szCs w:val="21"/>
        </w:rPr>
      </w:pPr>
      <w:r>
        <w:rPr>
          <w:rFonts w:hint="eastAsia" w:ascii="黑体" w:hAnsi="宋体" w:eastAsia="黑体"/>
          <w:color w:val="000000"/>
          <w:szCs w:val="21"/>
        </w:rPr>
        <w:t xml:space="preserve">1.3    </w:t>
      </w:r>
      <w:r>
        <w:rPr>
          <w:rFonts w:hint="eastAsia" w:ascii="宋体" w:hAnsi="宋体"/>
          <w:color w:val="000000"/>
          <w:szCs w:val="21"/>
        </w:rPr>
        <w:t>本工程量清单仅是投标报价的共同基础，竣工结算的工程量按合同约定确定。合同价格的确定以及价款支付应遵循合同条款</w:t>
      </w:r>
      <w:r>
        <w:rPr>
          <w:rFonts w:hint="eastAsia" w:ascii="宋体" w:hAnsi="宋体"/>
          <w:color w:val="000000"/>
          <w:szCs w:val="21"/>
          <w:lang w:eastAsia="zh-CN"/>
        </w:rPr>
        <w:t>（</w:t>
      </w:r>
      <w:r>
        <w:rPr>
          <w:rFonts w:hint="eastAsia" w:ascii="宋体" w:hAnsi="宋体"/>
          <w:color w:val="000000"/>
          <w:szCs w:val="21"/>
        </w:rPr>
        <w:t>包括通用合同条款和专用合同条款</w:t>
      </w:r>
      <w:r>
        <w:rPr>
          <w:rFonts w:hint="eastAsia" w:ascii="宋体" w:hAnsi="宋体"/>
          <w:color w:val="000000"/>
          <w:szCs w:val="21"/>
          <w:lang w:eastAsia="zh-CN"/>
        </w:rPr>
        <w:t>）</w:t>
      </w:r>
      <w:r>
        <w:rPr>
          <w:rFonts w:hint="eastAsia" w:ascii="宋体" w:hAnsi="宋体"/>
          <w:color w:val="000000"/>
          <w:szCs w:val="21"/>
        </w:rPr>
        <w:t>、技术标准和要求以及本章的有关约定。</w:t>
      </w:r>
    </w:p>
    <w:p>
      <w:pPr>
        <w:spacing w:line="430" w:lineRule="exact"/>
        <w:ind w:left="741" w:hanging="741" w:hangingChars="353"/>
        <w:rPr>
          <w:rFonts w:ascii="宋体" w:hAnsi="宋体"/>
          <w:color w:val="000000"/>
          <w:szCs w:val="21"/>
        </w:rPr>
      </w:pPr>
      <w:r>
        <w:rPr>
          <w:rFonts w:hint="eastAsia" w:ascii="黑体" w:hAnsi="宋体" w:eastAsia="黑体"/>
          <w:color w:val="000000"/>
          <w:szCs w:val="21"/>
        </w:rPr>
        <w:t xml:space="preserve">1.4    </w:t>
      </w:r>
      <w:r>
        <w:rPr>
          <w:rFonts w:hint="eastAsia" w:ascii="宋体" w:hAnsi="宋体"/>
          <w:color w:val="000000"/>
          <w:szCs w:val="21"/>
        </w:rPr>
        <w:t>补充子目的子目特征、计量单位、工程量计算规则及工作内容说明如下：</w:t>
      </w:r>
    </w:p>
    <w:p>
      <w:pPr>
        <w:spacing w:line="430" w:lineRule="exact"/>
        <w:ind w:left="741" w:hanging="741" w:hangingChars="353"/>
        <w:rPr>
          <w:rFonts w:ascii="宋体" w:hAnsi="宋体"/>
          <w:color w:val="000000"/>
          <w:szCs w:val="21"/>
          <w:u w:val="single"/>
        </w:rPr>
      </w:pPr>
      <w:permStart w:id="515" w:edGrp="everyone"/>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permEnd w:id="515"/>
    </w:p>
    <w:p>
      <w:pPr>
        <w:spacing w:line="430" w:lineRule="exact"/>
        <w:ind w:left="630" w:hanging="630" w:hangingChars="300"/>
        <w:rPr>
          <w:rFonts w:ascii="宋体" w:hAnsi="宋体"/>
          <w:color w:val="000000"/>
          <w:szCs w:val="21"/>
        </w:rPr>
      </w:pPr>
      <w:permStart w:id="516" w:edGrp="everyone"/>
      <w:r>
        <w:rPr>
          <w:rFonts w:hint="eastAsia" w:ascii="宋体" w:hAnsi="宋体"/>
          <w:color w:val="000000"/>
          <w:szCs w:val="21"/>
        </w:rPr>
        <w:t xml:space="preserve"> </w:t>
      </w:r>
      <w:r>
        <w:rPr>
          <w:rFonts w:ascii="宋体" w:hAnsi="宋体"/>
          <w:color w:val="000000"/>
          <w:szCs w:val="21"/>
        </w:rPr>
        <w:t xml:space="preserve">                                                     </w:t>
      </w:r>
      <w:permEnd w:id="516"/>
    </w:p>
    <w:p>
      <w:pPr>
        <w:spacing w:line="430" w:lineRule="exact"/>
        <w:ind w:left="783" w:hanging="783" w:hangingChars="373"/>
        <w:rPr>
          <w:rFonts w:ascii="宋体" w:hAnsi="宋体"/>
          <w:color w:val="000000"/>
          <w:szCs w:val="21"/>
        </w:rPr>
      </w:pPr>
      <w:r>
        <w:rPr>
          <w:rFonts w:hint="eastAsia" w:ascii="黑体" w:hAnsi="宋体" w:eastAsia="黑体"/>
          <w:color w:val="000000"/>
          <w:szCs w:val="21"/>
        </w:rPr>
        <w:t>1.5</w:t>
      </w:r>
      <w:r>
        <w:rPr>
          <w:rFonts w:hint="eastAsia" w:ascii="宋体" w:hAnsi="宋体"/>
          <w:color w:val="000000"/>
          <w:szCs w:val="21"/>
        </w:rPr>
        <w:t xml:space="preserve">    本条第1.1款中约定的计量和计价规则适用于合同履约过程中合同价款调整和竣工结算。</w:t>
      </w:r>
    </w:p>
    <w:p>
      <w:pPr>
        <w:spacing w:line="430" w:lineRule="exact"/>
        <w:ind w:left="769" w:hanging="768" w:hangingChars="366"/>
        <w:rPr>
          <w:rFonts w:ascii="宋体" w:hAnsi="宋体"/>
          <w:color w:val="000000"/>
          <w:szCs w:val="21"/>
        </w:rPr>
      </w:pPr>
      <w:r>
        <w:rPr>
          <w:rFonts w:hint="eastAsia" w:ascii="黑体" w:hAnsi="宋体" w:eastAsia="黑体"/>
          <w:color w:val="000000"/>
          <w:szCs w:val="21"/>
        </w:rPr>
        <w:t>1.6</w:t>
      </w:r>
      <w:r>
        <w:rPr>
          <w:rFonts w:hint="eastAsia" w:ascii="宋体" w:hAnsi="宋体"/>
          <w:color w:val="000000"/>
          <w:szCs w:val="21"/>
        </w:rPr>
        <w:t xml:space="preserve">    本条与下述第2条和第3条的说明内容是构成合同文件的已标价工程量清单的组成部分。</w:t>
      </w:r>
    </w:p>
    <w:p>
      <w:pPr>
        <w:spacing w:before="120" w:beforeLines="50" w:after="240" w:afterLines="100" w:line="380" w:lineRule="exact"/>
        <w:outlineLvl w:val="2"/>
        <w:rPr>
          <w:rFonts w:ascii="黑体" w:hAnsi="宋体" w:eastAsia="黑体"/>
          <w:color w:val="000000"/>
          <w:sz w:val="24"/>
        </w:rPr>
      </w:pPr>
      <w:bookmarkStart w:id="1290" w:name="_Toc114222845"/>
      <w:bookmarkStart w:id="1291" w:name="_Toc295812275"/>
      <w:r>
        <w:rPr>
          <w:rFonts w:hint="eastAsia" w:ascii="黑体" w:hAnsi="宋体" w:eastAsia="黑体"/>
          <w:color w:val="000000"/>
          <w:sz w:val="24"/>
        </w:rPr>
        <w:t>2、投标报价说明</w:t>
      </w:r>
      <w:bookmarkEnd w:id="1290"/>
      <w:bookmarkEnd w:id="1291"/>
    </w:p>
    <w:p>
      <w:pPr>
        <w:spacing w:line="430" w:lineRule="exact"/>
        <w:rPr>
          <w:rFonts w:ascii="宋体" w:hAnsi="宋体"/>
          <w:color w:val="000000"/>
          <w:szCs w:val="21"/>
        </w:rPr>
      </w:pPr>
      <w:r>
        <w:rPr>
          <w:rFonts w:hint="eastAsia" w:ascii="黑体" w:hAnsi="宋体" w:eastAsia="黑体"/>
          <w:color w:val="000000"/>
          <w:szCs w:val="21"/>
        </w:rPr>
        <w:t>2.1</w:t>
      </w:r>
      <w:r>
        <w:rPr>
          <w:rFonts w:hint="eastAsia" w:ascii="宋体" w:hAnsi="宋体"/>
          <w:color w:val="000000"/>
          <w:szCs w:val="21"/>
        </w:rPr>
        <w:t xml:space="preserve">    投标报价应根据招标文件中的有关计价要求，并按照下列依据自主报价。</w:t>
      </w:r>
    </w:p>
    <w:p>
      <w:pPr>
        <w:spacing w:line="430" w:lineRule="exact"/>
        <w:ind w:firstLine="726" w:firstLineChars="346"/>
        <w:rPr>
          <w:rFonts w:ascii="宋体" w:hAnsi="宋体"/>
          <w:color w:val="000000"/>
          <w:szCs w:val="21"/>
        </w:rPr>
      </w:pPr>
      <w:r>
        <w:rPr>
          <w:rFonts w:hint="eastAsia" w:ascii="黑体" w:hAnsi="宋体" w:eastAsia="黑体"/>
          <w:color w:val="000000"/>
          <w:szCs w:val="21"/>
        </w:rPr>
        <w:t>(1)</w:t>
      </w:r>
      <w:r>
        <w:rPr>
          <w:rFonts w:hint="eastAsia" w:ascii="宋体" w:hAnsi="宋体"/>
          <w:color w:val="000000"/>
          <w:szCs w:val="21"/>
        </w:rPr>
        <w:t xml:space="preserve">  本招标文件；</w:t>
      </w:r>
    </w:p>
    <w:p>
      <w:pPr>
        <w:spacing w:line="430" w:lineRule="exact"/>
        <w:ind w:firstLine="726" w:firstLineChars="346"/>
        <w:rPr>
          <w:rFonts w:ascii="宋体" w:hAnsi="宋体"/>
          <w:color w:val="000000"/>
          <w:szCs w:val="21"/>
        </w:rPr>
      </w:pPr>
      <w:r>
        <w:rPr>
          <w:rFonts w:hint="eastAsia" w:ascii="黑体" w:hAnsi="宋体" w:eastAsia="黑体"/>
          <w:color w:val="000000"/>
          <w:szCs w:val="21"/>
        </w:rPr>
        <w:t>(2)</w:t>
      </w:r>
      <w:r>
        <w:rPr>
          <w:rFonts w:hint="eastAsia" w:ascii="宋体" w:hAnsi="宋体"/>
          <w:color w:val="000000"/>
          <w:szCs w:val="21"/>
        </w:rPr>
        <w:t xml:space="preserve">  《建设工程工程量清单计价规范》；</w:t>
      </w:r>
    </w:p>
    <w:p>
      <w:pPr>
        <w:spacing w:line="430" w:lineRule="exact"/>
        <w:ind w:firstLine="726" w:firstLineChars="346"/>
        <w:rPr>
          <w:rFonts w:ascii="宋体" w:hAnsi="宋体"/>
          <w:color w:val="000000"/>
          <w:szCs w:val="21"/>
        </w:rPr>
      </w:pPr>
      <w:r>
        <w:rPr>
          <w:rFonts w:hint="eastAsia" w:ascii="黑体" w:hAnsi="宋体" w:eastAsia="黑体"/>
          <w:color w:val="000000"/>
          <w:szCs w:val="21"/>
        </w:rPr>
        <w:t>(3)</w:t>
      </w:r>
      <w:r>
        <w:rPr>
          <w:rFonts w:hint="eastAsia" w:ascii="宋体" w:hAnsi="宋体"/>
          <w:color w:val="000000"/>
          <w:szCs w:val="21"/>
        </w:rPr>
        <w:t xml:space="preserve">  国家或省级、行业建设主管部门颁发的计价办法；</w:t>
      </w:r>
    </w:p>
    <w:p>
      <w:pPr>
        <w:spacing w:line="430" w:lineRule="exact"/>
        <w:ind w:firstLine="726" w:firstLineChars="346"/>
        <w:rPr>
          <w:rFonts w:ascii="宋体" w:hAnsi="宋体"/>
          <w:color w:val="000000"/>
          <w:szCs w:val="21"/>
        </w:rPr>
      </w:pPr>
      <w:r>
        <w:rPr>
          <w:rFonts w:hint="eastAsia" w:ascii="黑体" w:hAnsi="宋体" w:eastAsia="黑体"/>
          <w:color w:val="000000"/>
          <w:szCs w:val="21"/>
        </w:rPr>
        <w:t>(4)</w:t>
      </w:r>
      <w:r>
        <w:rPr>
          <w:rFonts w:hint="eastAsia" w:ascii="宋体" w:hAnsi="宋体"/>
          <w:color w:val="000000"/>
          <w:szCs w:val="21"/>
        </w:rPr>
        <w:t xml:space="preserve">  企业定额，国家或省级、行业建设主管部门颁发的计价定额；</w:t>
      </w:r>
    </w:p>
    <w:p>
      <w:pPr>
        <w:spacing w:line="430" w:lineRule="exact"/>
        <w:ind w:firstLine="726" w:firstLineChars="346"/>
        <w:rPr>
          <w:rFonts w:ascii="宋体" w:hAnsi="宋体"/>
          <w:color w:val="000000"/>
          <w:szCs w:val="21"/>
        </w:rPr>
      </w:pPr>
      <w:r>
        <w:rPr>
          <w:rFonts w:hint="eastAsia" w:ascii="黑体" w:hAnsi="宋体" w:eastAsia="黑体"/>
          <w:color w:val="000000"/>
          <w:szCs w:val="21"/>
        </w:rPr>
        <w:t>(5)</w:t>
      </w:r>
      <w:r>
        <w:rPr>
          <w:rFonts w:hint="eastAsia" w:ascii="宋体" w:hAnsi="宋体"/>
          <w:color w:val="000000"/>
          <w:szCs w:val="21"/>
        </w:rPr>
        <w:t xml:space="preserve">  招标文件</w:t>
      </w:r>
      <w:r>
        <w:rPr>
          <w:rFonts w:hint="eastAsia" w:ascii="宋体" w:hAnsi="宋体"/>
          <w:color w:val="000000"/>
          <w:szCs w:val="21"/>
          <w:lang w:eastAsia="zh-CN"/>
        </w:rPr>
        <w:t>（</w:t>
      </w:r>
      <w:r>
        <w:rPr>
          <w:rFonts w:hint="eastAsia" w:ascii="宋体" w:hAnsi="宋体"/>
          <w:color w:val="000000"/>
          <w:szCs w:val="21"/>
        </w:rPr>
        <w:t>包括工程量清单</w:t>
      </w:r>
      <w:r>
        <w:rPr>
          <w:rFonts w:hint="eastAsia" w:ascii="宋体" w:hAnsi="宋体"/>
          <w:color w:val="000000"/>
          <w:szCs w:val="21"/>
          <w:lang w:eastAsia="zh-CN"/>
        </w:rPr>
        <w:t>）</w:t>
      </w:r>
      <w:r>
        <w:rPr>
          <w:rFonts w:hint="eastAsia" w:ascii="宋体" w:hAnsi="宋体"/>
          <w:color w:val="000000"/>
          <w:szCs w:val="21"/>
        </w:rPr>
        <w:t>的澄清、补充和修改文件；</w:t>
      </w:r>
    </w:p>
    <w:p>
      <w:pPr>
        <w:spacing w:line="430" w:lineRule="exact"/>
        <w:ind w:firstLine="726" w:firstLineChars="346"/>
        <w:rPr>
          <w:rFonts w:ascii="宋体" w:hAnsi="宋体"/>
          <w:color w:val="000000"/>
          <w:szCs w:val="21"/>
        </w:rPr>
      </w:pPr>
      <w:r>
        <w:rPr>
          <w:rFonts w:hint="eastAsia" w:ascii="黑体" w:hAnsi="宋体" w:eastAsia="黑体"/>
          <w:color w:val="000000"/>
          <w:szCs w:val="21"/>
        </w:rPr>
        <w:t>(6)</w:t>
      </w:r>
      <w:r>
        <w:rPr>
          <w:rFonts w:hint="eastAsia" w:ascii="宋体" w:hAnsi="宋体"/>
          <w:color w:val="000000"/>
          <w:szCs w:val="21"/>
        </w:rPr>
        <w:t xml:space="preserve">  建设工程设计文件及相关资料；</w:t>
      </w:r>
    </w:p>
    <w:p>
      <w:pPr>
        <w:spacing w:line="430" w:lineRule="exact"/>
        <w:ind w:firstLine="726" w:firstLineChars="346"/>
        <w:rPr>
          <w:rFonts w:ascii="宋体" w:hAnsi="宋体"/>
          <w:color w:val="000000"/>
          <w:szCs w:val="21"/>
        </w:rPr>
      </w:pPr>
      <w:r>
        <w:rPr>
          <w:rFonts w:hint="eastAsia" w:ascii="黑体" w:hAnsi="宋体" w:eastAsia="黑体"/>
          <w:color w:val="000000"/>
          <w:szCs w:val="21"/>
        </w:rPr>
        <w:t>(7)</w:t>
      </w:r>
      <w:r>
        <w:rPr>
          <w:rFonts w:hint="eastAsia" w:ascii="宋体" w:hAnsi="宋体"/>
          <w:color w:val="000000"/>
          <w:szCs w:val="21"/>
        </w:rPr>
        <w:t xml:space="preserve">  施工现场情况、工程特点及拟定的投标施工组织设计或施工方案；</w:t>
      </w:r>
    </w:p>
    <w:p>
      <w:pPr>
        <w:spacing w:line="420" w:lineRule="exact"/>
        <w:ind w:firstLine="726" w:firstLineChars="346"/>
        <w:rPr>
          <w:color w:val="000000"/>
        </w:rPr>
      </w:pPr>
      <w:r>
        <w:rPr>
          <w:rFonts w:hint="eastAsia" w:ascii="黑体" w:eastAsia="黑体"/>
          <w:color w:val="000000"/>
          <w:lang w:eastAsia="zh-CN"/>
        </w:rPr>
        <w:t>（</w:t>
      </w:r>
      <w:r>
        <w:rPr>
          <w:rFonts w:hint="eastAsia" w:ascii="黑体" w:eastAsia="黑体"/>
          <w:color w:val="000000"/>
        </w:rPr>
        <w:t>8</w:t>
      </w:r>
      <w:r>
        <w:rPr>
          <w:rFonts w:hint="eastAsia" w:ascii="黑体" w:eastAsia="黑体"/>
          <w:color w:val="000000"/>
          <w:lang w:eastAsia="zh-CN"/>
        </w:rPr>
        <w:t>）</w:t>
      </w:r>
      <w:r>
        <w:rPr>
          <w:rFonts w:hint="eastAsia"/>
          <w:color w:val="000000"/>
        </w:rPr>
        <w:t>与建设项目相关的标准、规定等技术资料；</w:t>
      </w:r>
    </w:p>
    <w:p>
      <w:pPr>
        <w:spacing w:line="420" w:lineRule="exact"/>
        <w:ind w:firstLine="726" w:firstLineChars="346"/>
        <w:rPr>
          <w:color w:val="000000"/>
        </w:rPr>
      </w:pPr>
      <w:r>
        <w:rPr>
          <w:rFonts w:hint="eastAsia" w:ascii="黑体" w:eastAsia="黑体"/>
          <w:color w:val="000000"/>
          <w:lang w:eastAsia="zh-CN"/>
        </w:rPr>
        <w:t>（</w:t>
      </w:r>
      <w:r>
        <w:rPr>
          <w:rFonts w:hint="eastAsia" w:ascii="黑体" w:eastAsia="黑体"/>
          <w:color w:val="000000"/>
        </w:rPr>
        <w:t>9</w:t>
      </w:r>
      <w:r>
        <w:rPr>
          <w:rFonts w:hint="eastAsia" w:ascii="黑体" w:eastAsia="黑体"/>
          <w:color w:val="000000"/>
          <w:lang w:eastAsia="zh-CN"/>
        </w:rPr>
        <w:t>）</w:t>
      </w:r>
      <w:r>
        <w:rPr>
          <w:rFonts w:hint="eastAsia"/>
          <w:color w:val="000000"/>
        </w:rPr>
        <w:t>市场价格信息或工程造价管理机构发布的工程造价信息；</w:t>
      </w:r>
    </w:p>
    <w:p>
      <w:pPr>
        <w:spacing w:line="420" w:lineRule="exact"/>
        <w:ind w:firstLine="726" w:firstLineChars="346"/>
        <w:rPr>
          <w:color w:val="000000"/>
        </w:rPr>
      </w:pPr>
      <w:r>
        <w:rPr>
          <w:rFonts w:hint="eastAsia" w:ascii="黑体" w:eastAsia="黑体"/>
          <w:color w:val="000000"/>
        </w:rPr>
        <w:t xml:space="preserve">(10) </w:t>
      </w:r>
      <w:r>
        <w:rPr>
          <w:rFonts w:hint="eastAsia"/>
          <w:color w:val="000000"/>
        </w:rPr>
        <w:t>其他的相关资料。</w:t>
      </w:r>
    </w:p>
    <w:p>
      <w:pPr>
        <w:spacing w:line="420" w:lineRule="exact"/>
        <w:rPr>
          <w:color w:val="000000"/>
        </w:rPr>
      </w:pPr>
      <w:r>
        <w:rPr>
          <w:rFonts w:hint="eastAsia" w:ascii="黑体" w:eastAsia="黑体"/>
          <w:color w:val="000000"/>
        </w:rPr>
        <w:t>2.2</w:t>
      </w:r>
      <w:r>
        <w:rPr>
          <w:rFonts w:hint="eastAsia"/>
          <w:color w:val="000000"/>
        </w:rPr>
        <w:t>工程量清单中的每一子目须填入单价或价格，且只允许有一个报价。</w:t>
      </w:r>
    </w:p>
    <w:p>
      <w:pPr>
        <w:spacing w:line="420" w:lineRule="exact"/>
        <w:ind w:left="769" w:hanging="768" w:hangingChars="366"/>
        <w:rPr>
          <w:color w:val="000000"/>
        </w:rPr>
      </w:pPr>
      <w:r>
        <w:rPr>
          <w:rFonts w:hint="eastAsia" w:ascii="黑体" w:hAnsi="宋体" w:eastAsia="黑体"/>
          <w:color w:val="000000"/>
          <w:szCs w:val="21"/>
        </w:rPr>
        <w:t>2.3</w:t>
      </w:r>
      <w:r>
        <w:rPr>
          <w:rFonts w:hint="eastAsia"/>
          <w:color w:val="000000"/>
        </w:rPr>
        <w:t>工程量清单中标价的单价或金额，应包括所需人工费、材料费、施工机械使用费和管理费及利润，以及招标文件中划分的应由投标人承担的风险范围及其费用。</w:t>
      </w:r>
    </w:p>
    <w:p>
      <w:pPr>
        <w:spacing w:line="420" w:lineRule="exact"/>
        <w:ind w:left="756" w:leftChars="7" w:hanging="741" w:hangingChars="353"/>
        <w:rPr>
          <w:color w:val="000000"/>
        </w:rPr>
      </w:pPr>
      <w:r>
        <w:rPr>
          <w:rFonts w:hint="eastAsia" w:ascii="黑体" w:hAnsi="宋体" w:eastAsia="黑体"/>
          <w:color w:val="000000"/>
          <w:szCs w:val="21"/>
        </w:rPr>
        <w:t>2.4</w:t>
      </w:r>
      <w:r>
        <w:rPr>
          <w:rFonts w:hint="eastAsia"/>
          <w:color w:val="000000"/>
        </w:rPr>
        <w:t>已标价工程量清单中投标人没有填入单价或价格的子目，其费用视为已分摊在工程量清单中其他已标价的相关子目的单价或价格之中。</w:t>
      </w:r>
    </w:p>
    <w:p>
      <w:pPr>
        <w:spacing w:line="420" w:lineRule="exact"/>
        <w:ind w:left="769" w:hanging="768" w:hangingChars="366"/>
        <w:rPr>
          <w:color w:val="000000"/>
        </w:rPr>
      </w:pPr>
      <w:r>
        <w:rPr>
          <w:rFonts w:hint="eastAsia" w:ascii="黑体" w:hAnsi="宋体" w:eastAsia="黑体"/>
          <w:color w:val="000000"/>
          <w:szCs w:val="21"/>
        </w:rPr>
        <w:t>2.5</w:t>
      </w:r>
      <w:r>
        <w:rPr>
          <w:rFonts w:hint="eastAsia"/>
          <w:color w:val="000000"/>
        </w:rPr>
        <w:t>“投标报价汇总表”中的投标总价由分部分项工程费、措施项目费、其他项目费、规费和税金组成，并且“投标报价汇总表”中的投标总价应当与构成已标价工程量清单的分部分项工程费、措施项目费、其他项目费、规费、税金的合计金额一致。</w:t>
      </w:r>
    </w:p>
    <w:p>
      <w:pPr>
        <w:spacing w:line="420" w:lineRule="exact"/>
        <w:rPr>
          <w:color w:val="000000"/>
        </w:rPr>
      </w:pPr>
      <w:r>
        <w:rPr>
          <w:rFonts w:hint="eastAsia" w:ascii="黑体" w:hAnsi="宋体" w:eastAsia="黑体"/>
          <w:color w:val="000000"/>
          <w:szCs w:val="21"/>
        </w:rPr>
        <w:t>2.6</w:t>
      </w:r>
      <w:r>
        <w:rPr>
          <w:rFonts w:hint="eastAsia"/>
          <w:color w:val="000000"/>
        </w:rPr>
        <w:t>分部分项工程项目按下列要求报价：</w:t>
      </w:r>
    </w:p>
    <w:p>
      <w:pPr>
        <w:spacing w:line="420" w:lineRule="exact"/>
        <w:rPr>
          <w:color w:val="000000"/>
        </w:rPr>
      </w:pPr>
      <w:r>
        <w:rPr>
          <w:rFonts w:hint="eastAsia" w:ascii="黑体" w:hAnsi="宋体" w:eastAsia="黑体"/>
          <w:color w:val="000000"/>
          <w:szCs w:val="21"/>
        </w:rPr>
        <w:t>2.6.1</w:t>
      </w:r>
      <w:r>
        <w:rPr>
          <w:rFonts w:hint="eastAsia"/>
          <w:color w:val="000000"/>
        </w:rPr>
        <w:t>分部分项工程量清单计价应依据计价规范中关于综合单价的组成内容确定报价。</w:t>
      </w:r>
    </w:p>
    <w:p>
      <w:pPr>
        <w:spacing w:line="420" w:lineRule="exact"/>
        <w:ind w:left="769" w:hanging="768" w:hangingChars="366"/>
        <w:rPr>
          <w:color w:val="000000"/>
        </w:rPr>
      </w:pPr>
      <w:r>
        <w:rPr>
          <w:rFonts w:hint="eastAsia" w:ascii="黑体" w:hAnsi="宋体" w:eastAsia="黑体"/>
          <w:color w:val="000000"/>
          <w:szCs w:val="21"/>
        </w:rPr>
        <w:t>2.6.2</w:t>
      </w:r>
      <w:r>
        <w:rPr>
          <w:rFonts w:hint="eastAsia"/>
          <w:color w:val="000000"/>
        </w:rPr>
        <w:t>如果分部分项工程量清单中涉及“材料和工程设备暂估单价表”中列出的材料和工程设备，则按照本节第3.3.2项的报价原则，将该类材料和工程设备的暂估单价本身以及除对应的规费及税金以外的费用计入分部分项工程量清单相应子目的综合单价。</w:t>
      </w:r>
    </w:p>
    <w:p>
      <w:pPr>
        <w:spacing w:line="420" w:lineRule="exact"/>
        <w:ind w:left="769" w:hanging="768" w:hangingChars="366"/>
        <w:rPr>
          <w:color w:val="000000"/>
        </w:rPr>
      </w:pPr>
      <w:r>
        <w:rPr>
          <w:rFonts w:hint="eastAsia" w:ascii="黑体" w:hAnsi="宋体" w:eastAsia="黑体"/>
          <w:color w:val="000000"/>
          <w:szCs w:val="21"/>
        </w:rPr>
        <w:t>2.6.3</w:t>
      </w:r>
      <w:r>
        <w:rPr>
          <w:rFonts w:hint="eastAsia" w:ascii="宋体" w:hAnsi="宋体"/>
          <w:color w:val="000000"/>
          <w:szCs w:val="21"/>
        </w:rPr>
        <w:t xml:space="preserve">  如果分部分项工程量清单中涉及“发包人提供的材料和工程设备一览表”</w:t>
      </w:r>
      <w:r>
        <w:rPr>
          <w:rFonts w:hint="eastAsia" w:ascii="宋体" w:hAnsi="宋体"/>
          <w:color w:val="000000"/>
          <w:szCs w:val="21"/>
          <w:lang w:eastAsia="zh-CN"/>
        </w:rPr>
        <w:t>（</w:t>
      </w:r>
      <w:r>
        <w:rPr>
          <w:rFonts w:hint="eastAsia" w:ascii="宋体" w:hAnsi="宋体"/>
          <w:color w:val="000000"/>
          <w:szCs w:val="21"/>
        </w:rPr>
        <w:t>见第三章合</w:t>
      </w:r>
      <w:r>
        <w:rPr>
          <w:rFonts w:hint="eastAsia"/>
          <w:color w:val="000000"/>
        </w:rPr>
        <w:t>同条款及格式第三节附件三</w:t>
      </w:r>
      <w:r>
        <w:rPr>
          <w:rFonts w:hint="eastAsia"/>
          <w:color w:val="000000"/>
          <w:lang w:eastAsia="zh-CN"/>
        </w:rPr>
        <w:t>）</w:t>
      </w:r>
      <w:r>
        <w:rPr>
          <w:rFonts w:hint="eastAsia"/>
          <w:color w:val="000000"/>
        </w:rPr>
        <w:t>中列出的材料和工程设备，则该类材料和工程设备供应至现场指定位置的采购供应价本身不计入投标报价，但应将该类材料和工程设备的安装、安装所需要的辅助材料、安装损耗以及其他必要的辅助工作及其对应的管理费及利润计入分部分项工程量清单相应子目的综合单价，并其他项目清单报价中计取与合同约定服务内容相对应的总承包服务费。</w:t>
      </w:r>
    </w:p>
    <w:p>
      <w:pPr>
        <w:spacing w:line="420" w:lineRule="exact"/>
        <w:ind w:left="769" w:hanging="768" w:hangingChars="366"/>
        <w:rPr>
          <w:color w:val="000000"/>
        </w:rPr>
      </w:pPr>
      <w:r>
        <w:rPr>
          <w:rFonts w:hint="eastAsia" w:ascii="黑体" w:hAnsi="宋体" w:eastAsia="黑体"/>
          <w:color w:val="000000"/>
          <w:szCs w:val="21"/>
        </w:rPr>
        <w:t>2.6.4</w:t>
      </w:r>
      <w:r>
        <w:rPr>
          <w:rFonts w:hint="eastAsia"/>
          <w:color w:val="000000"/>
        </w:rPr>
        <w:t>“分部分项工程量清单与计价表”所列各子目的综合单价组成中，各子目的人工、材料和机械台班消耗量由投标人按照其自身情况做充分的、竞争性考虑。材料消耗量包括损耗量。</w:t>
      </w:r>
    </w:p>
    <w:p>
      <w:pPr>
        <w:spacing w:line="420" w:lineRule="exact"/>
        <w:ind w:left="769" w:hanging="768" w:hangingChars="366"/>
        <w:rPr>
          <w:color w:val="000000"/>
        </w:rPr>
      </w:pPr>
      <w:r>
        <w:rPr>
          <w:rFonts w:hint="eastAsia" w:ascii="黑体" w:hAnsi="宋体" w:eastAsia="黑体"/>
          <w:color w:val="000000"/>
          <w:szCs w:val="21"/>
        </w:rPr>
        <w:t>2.6.5</w:t>
      </w:r>
      <w:r>
        <w:rPr>
          <w:rFonts w:hint="eastAsia"/>
          <w:color w:val="000000"/>
        </w:rPr>
        <w:t>投标人在投标文件中提交并构成合同文件的“主要材料和工程设备选用表”中所列的材料和工程设备的价格是指此类材料和工程设备到达施工现场指定堆放地点的落地价格，即包括采购、包装、运输、装卸、堆放等到达施工现场指定落地或堆放地点之前的全部费用，但不包括落地之后发生的仓储、保管、库损以及从堆放地点运至安装地点的二次搬运费用。“主要材料和工程设备选用表”中所列材料和工程设备的价格应与构成综合单价相应材料或工程设备的价格一致。落地之后发生的仓储、保管、库损以及从堆放地点运至安装地点的二次搬运等其他费用均应在投标报价中考虑。</w:t>
      </w:r>
    </w:p>
    <w:p>
      <w:pPr>
        <w:spacing w:line="380" w:lineRule="exact"/>
        <w:rPr>
          <w:color w:val="000000"/>
        </w:rPr>
      </w:pPr>
      <w:r>
        <w:rPr>
          <w:rFonts w:hint="eastAsia" w:ascii="黑体" w:hAnsi="宋体" w:eastAsia="黑体"/>
          <w:color w:val="000000"/>
          <w:szCs w:val="21"/>
        </w:rPr>
        <w:t>2.7</w:t>
      </w:r>
      <w:r>
        <w:rPr>
          <w:rFonts w:hint="eastAsia"/>
          <w:color w:val="000000"/>
        </w:rPr>
        <w:t>措施项目按下列要求报价：</w:t>
      </w:r>
    </w:p>
    <w:p>
      <w:pPr>
        <w:spacing w:line="420" w:lineRule="exact"/>
        <w:ind w:left="769" w:hanging="768" w:hangingChars="366"/>
        <w:rPr>
          <w:color w:val="000000"/>
        </w:rPr>
      </w:pPr>
      <w:r>
        <w:rPr>
          <w:rFonts w:hint="eastAsia" w:ascii="黑体" w:hAnsi="宋体" w:eastAsia="黑体"/>
          <w:color w:val="000000"/>
          <w:szCs w:val="21"/>
        </w:rPr>
        <w:t>2.7.1</w:t>
      </w:r>
      <w:r>
        <w:rPr>
          <w:rFonts w:hint="eastAsia"/>
          <w:color w:val="000000"/>
        </w:rPr>
        <w:t>措施项目清单计价应根据投标人的施工组织设计进行报价。计量规范将措施项目划分为两类：一类是不能计算工程量的项目，如文明施工和安全防护、临时设施等，就以“项”（取费基础乘费率）计价，称为“总价项目”；另一类是可以计算工程量的项目，如脚手架、降水工程等，就以“量”（工程量乘以综合单价）计价，更有利于措施费的确定和调整，称为“单价项目”。投标人所填报价格应包括除规费、税金外的全部费用。</w:t>
      </w:r>
    </w:p>
    <w:p>
      <w:pPr>
        <w:spacing w:line="420" w:lineRule="exact"/>
        <w:ind w:left="769" w:hanging="768" w:hangingChars="366"/>
        <w:rPr>
          <w:color w:val="000000"/>
        </w:rPr>
      </w:pPr>
      <w:r>
        <w:rPr>
          <w:rFonts w:hint="eastAsia" w:ascii="黑体" w:hAnsi="宋体" w:eastAsia="黑体"/>
          <w:color w:val="000000"/>
          <w:szCs w:val="21"/>
        </w:rPr>
        <w:t>2.7.2</w:t>
      </w:r>
      <w:r>
        <w:rPr>
          <w:rFonts w:hint="eastAsia"/>
          <w:color w:val="000000"/>
        </w:rPr>
        <w:t>措施项目清单中的安全文明施工费应按国家、省级或行业建设主管部门的规定计价，不得作为竞争性费用。</w:t>
      </w:r>
    </w:p>
    <w:p>
      <w:pPr>
        <w:spacing w:line="420" w:lineRule="exact"/>
        <w:ind w:left="768" w:leftChars="6" w:hanging="756" w:hangingChars="360"/>
        <w:rPr>
          <w:color w:val="000000"/>
        </w:rPr>
      </w:pPr>
      <w:r>
        <w:rPr>
          <w:rFonts w:hint="eastAsia" w:ascii="黑体" w:hAnsi="宋体" w:eastAsia="黑体"/>
          <w:color w:val="000000"/>
          <w:szCs w:val="21"/>
        </w:rPr>
        <w:t>2.7.3</w:t>
      </w:r>
      <w:r>
        <w:rPr>
          <w:rFonts w:hint="eastAsia"/>
          <w:color w:val="000000"/>
        </w:rPr>
        <w:t>招标人提供的措施项目清单中所列项目仅指一般的通用项目，投标人在报价时应充分、全面地阅读和理解招标文件的相关内容和约定，包括第七章“技术标准和要求”的相关约定，详实了解工程场地及其周围环境，充分考虑招标工程特点及拟定的施工方案和施工组织设计，对招标人给出的措施项目清单的内容进行细化或增减。</w:t>
      </w:r>
    </w:p>
    <w:p>
      <w:pPr>
        <w:spacing w:line="420" w:lineRule="exact"/>
        <w:ind w:left="769" w:hanging="768" w:hangingChars="366"/>
        <w:rPr>
          <w:color w:val="000000"/>
        </w:rPr>
      </w:pPr>
      <w:r>
        <w:rPr>
          <w:rFonts w:hint="eastAsia" w:ascii="黑体" w:hAnsi="宋体" w:eastAsia="黑体"/>
          <w:color w:val="000000"/>
          <w:szCs w:val="21"/>
        </w:rPr>
        <w:t>2.7.4</w:t>
      </w:r>
      <w:r>
        <w:rPr>
          <w:rFonts w:hint="eastAsia"/>
          <w:color w:val="000000"/>
        </w:rPr>
        <w:t>“措施项目清单与计价表”中所填写的报价金额，应全面涵盖招标文件约定的投标人中标后施工、竣工、交付本工程并维修其任何缺陷所需要履行的责任和义务的全部费用。</w:t>
      </w:r>
    </w:p>
    <w:p>
      <w:pPr>
        <w:spacing w:line="420" w:lineRule="exact"/>
        <w:ind w:left="718" w:leftChars="2" w:hanging="714" w:hangingChars="340"/>
        <w:rPr>
          <w:color w:val="000000"/>
        </w:rPr>
      </w:pPr>
      <w:r>
        <w:rPr>
          <w:rFonts w:hint="eastAsia" w:ascii="黑体" w:hAnsi="宋体" w:eastAsia="黑体"/>
          <w:color w:val="000000"/>
          <w:szCs w:val="21"/>
        </w:rPr>
        <w:t>2.7.5</w:t>
      </w:r>
      <w:r>
        <w:rPr>
          <w:rFonts w:hint="eastAsia"/>
          <w:color w:val="000000"/>
        </w:rPr>
        <w:t>对于“措施项目清单与计价表”中所填写的报价金额，应按照“措施项目清单报价分析表”对措施项目报价的组成进行详细</w:t>
      </w:r>
      <w:r>
        <w:rPr>
          <w:rFonts w:hint="eastAsia"/>
          <w:color w:val="000000"/>
          <w:lang w:eastAsia="zh-CN"/>
        </w:rPr>
        <w:t>地</w:t>
      </w:r>
      <w:r>
        <w:rPr>
          <w:rFonts w:hint="eastAsia"/>
          <w:color w:val="000000"/>
        </w:rPr>
        <w:t>列项和分析。</w:t>
      </w:r>
    </w:p>
    <w:p>
      <w:pPr>
        <w:spacing w:line="380" w:lineRule="exact"/>
        <w:rPr>
          <w:color w:val="000000"/>
        </w:rPr>
      </w:pPr>
      <w:r>
        <w:rPr>
          <w:rFonts w:hint="eastAsia" w:ascii="黑体" w:hAnsi="宋体" w:eastAsia="黑体"/>
          <w:color w:val="000000"/>
          <w:szCs w:val="21"/>
        </w:rPr>
        <w:t>2.8</w:t>
      </w:r>
      <w:r>
        <w:rPr>
          <w:rFonts w:hint="eastAsia"/>
          <w:color w:val="000000"/>
        </w:rPr>
        <w:t>其他项目清单费应按下列规定报价：</w:t>
      </w:r>
    </w:p>
    <w:p>
      <w:pPr>
        <w:spacing w:line="420" w:lineRule="exact"/>
        <w:ind w:left="718" w:leftChars="2" w:hanging="714" w:hangingChars="340"/>
        <w:rPr>
          <w:color w:val="000000"/>
        </w:rPr>
      </w:pPr>
      <w:r>
        <w:rPr>
          <w:rFonts w:hint="eastAsia" w:ascii="黑体" w:hAnsi="宋体" w:eastAsia="黑体"/>
          <w:color w:val="000000"/>
          <w:szCs w:val="21"/>
        </w:rPr>
        <w:t>2.8.1</w:t>
      </w:r>
      <w:r>
        <w:rPr>
          <w:rFonts w:hint="eastAsia"/>
          <w:color w:val="000000"/>
        </w:rPr>
        <w:t>暂列金额按“暂列金额明细表”中列出的金额报价，此处的暂列金额是招标人在招标文件中统一给定的，并不包括本章第2.8.3项的计日工金额。</w:t>
      </w:r>
    </w:p>
    <w:p>
      <w:pPr>
        <w:spacing w:line="420" w:lineRule="exact"/>
        <w:ind w:left="718" w:leftChars="2" w:hanging="714" w:hangingChars="340"/>
        <w:rPr>
          <w:color w:val="000000"/>
        </w:rPr>
      </w:pPr>
      <w:r>
        <w:rPr>
          <w:rFonts w:hint="eastAsia" w:ascii="黑体" w:hAnsi="宋体" w:eastAsia="黑体"/>
          <w:color w:val="000000"/>
          <w:szCs w:val="21"/>
        </w:rPr>
        <w:t>2.8.2</w:t>
      </w:r>
      <w:r>
        <w:rPr>
          <w:rFonts w:hint="eastAsia"/>
          <w:color w:val="000000"/>
        </w:rPr>
        <w:t>暂估价分为材料和工程设备暂估单价和专业工程暂估价两类。其中的材料和工程设备暂估单价按本节第3.3.2项的报价原则进入分部分项工程量清单之综合单价，不在其他项目清单中汇总</w:t>
      </w:r>
      <w:r>
        <w:rPr>
          <w:rFonts w:hint="eastAsia" w:ascii="宋体" w:hAnsi="宋体"/>
          <w:color w:val="000000"/>
          <w:szCs w:val="21"/>
        </w:rPr>
        <w:t>；</w:t>
      </w:r>
      <w:r>
        <w:rPr>
          <w:rFonts w:hint="eastAsia"/>
          <w:color w:val="000000"/>
        </w:rPr>
        <w:t>专业工程暂估价直接按“专业工程暂估价表”中列出的金额和本节第3.3.3项的报价原则计入其他项目清单报价。</w:t>
      </w:r>
    </w:p>
    <w:p>
      <w:pPr>
        <w:spacing w:line="420" w:lineRule="exact"/>
        <w:ind w:left="741" w:leftChars="2" w:hanging="737" w:hangingChars="351"/>
        <w:rPr>
          <w:color w:val="000000"/>
        </w:rPr>
      </w:pPr>
      <w:r>
        <w:rPr>
          <w:rFonts w:hint="eastAsia" w:ascii="黑体" w:hAnsi="宋体" w:eastAsia="黑体"/>
          <w:color w:val="000000"/>
          <w:szCs w:val="21"/>
        </w:rPr>
        <w:t>2.8.3</w:t>
      </w:r>
      <w:r>
        <w:rPr>
          <w:rFonts w:hint="eastAsia"/>
          <w:color w:val="000000"/>
        </w:rPr>
        <w:t>计日工按“计日工表”中列出的子目和估算数量，自主确定综合单价并</w:t>
      </w:r>
      <w:r>
        <w:rPr>
          <w:rFonts w:hint="eastAsia"/>
          <w:color w:val="000000"/>
          <w:lang w:eastAsia="zh-CN"/>
        </w:rPr>
        <w:t>计算机</w:t>
      </w:r>
      <w:r>
        <w:rPr>
          <w:rFonts w:hint="eastAsia"/>
          <w:color w:val="000000"/>
        </w:rPr>
        <w:t>日工金额。计日工综合单价均不包括规费和税金，其中：</w:t>
      </w:r>
    </w:p>
    <w:p>
      <w:pPr>
        <w:spacing w:line="420" w:lineRule="exact"/>
        <w:ind w:left="1173" w:leftChars="341" w:hanging="457" w:hangingChars="218"/>
        <w:rPr>
          <w:color w:val="000000"/>
        </w:rPr>
      </w:pPr>
      <w:r>
        <w:rPr>
          <w:rFonts w:hint="eastAsia"/>
          <w:color w:val="000000"/>
        </w:rPr>
        <w:t>(1)  劳务单价应当包括工人工资、交通费用、各种补贴、劳动安全保护、社保费用、手提手动和电动工器具、施工场地内已经搭设的脚手架、水电和低值易耗品费用、现场管理费用、企业管理费和利润；</w:t>
      </w:r>
    </w:p>
    <w:p>
      <w:pPr>
        <w:spacing w:line="420" w:lineRule="exact"/>
        <w:ind w:left="1173" w:leftChars="341" w:hanging="457" w:hangingChars="218"/>
        <w:rPr>
          <w:color w:val="000000"/>
        </w:rPr>
      </w:pPr>
      <w:r>
        <w:rPr>
          <w:rFonts w:hint="eastAsia"/>
          <w:color w:val="000000"/>
        </w:rPr>
        <w:t>(2)  材料价格包括材料运到现场的价格以及现场搬运、仓储、二次搬运、损耗、保险、企业管理费和利润</w:t>
      </w:r>
      <w:r>
        <w:rPr>
          <w:rFonts w:hint="eastAsia" w:ascii="宋体" w:hAnsi="宋体"/>
          <w:color w:val="000000"/>
          <w:szCs w:val="21"/>
        </w:rPr>
        <w:t>；</w:t>
      </w:r>
    </w:p>
    <w:p>
      <w:pPr>
        <w:spacing w:line="420" w:lineRule="exact"/>
        <w:ind w:left="1173" w:leftChars="341" w:hanging="457" w:hangingChars="218"/>
        <w:rPr>
          <w:color w:val="000000"/>
        </w:rPr>
      </w:pPr>
      <w:r>
        <w:rPr>
          <w:rFonts w:hint="eastAsia"/>
          <w:color w:val="000000"/>
        </w:rPr>
        <w:t>(3)  施工机械限于在施工场地</w:t>
      </w:r>
      <w:r>
        <w:rPr>
          <w:rFonts w:hint="eastAsia"/>
          <w:color w:val="000000"/>
          <w:lang w:eastAsia="zh-CN"/>
        </w:rPr>
        <w:t>（</w:t>
      </w:r>
      <w:r>
        <w:rPr>
          <w:rFonts w:hint="eastAsia"/>
          <w:color w:val="000000"/>
        </w:rPr>
        <w:t>现场</w:t>
      </w:r>
      <w:r>
        <w:rPr>
          <w:rFonts w:hint="eastAsia"/>
          <w:color w:val="000000"/>
          <w:lang w:eastAsia="zh-CN"/>
        </w:rPr>
        <w:t>）</w:t>
      </w:r>
      <w:r>
        <w:rPr>
          <w:rFonts w:hint="eastAsia"/>
          <w:color w:val="000000"/>
        </w:rPr>
        <w:t>的机械设备，其价格包括租赁或折旧、维修、维护和燃油等消耗品以及操作人员费用，包括承包人企业管理费和利润，但不包括规费和税金。辅助人员按劳务价格另计。</w:t>
      </w:r>
    </w:p>
    <w:p>
      <w:pPr>
        <w:spacing w:line="420" w:lineRule="exact"/>
        <w:ind w:left="676" w:leftChars="2" w:hanging="672" w:hangingChars="320"/>
        <w:rPr>
          <w:color w:val="000000"/>
        </w:rPr>
      </w:pPr>
      <w:r>
        <w:rPr>
          <w:rFonts w:hint="eastAsia" w:ascii="黑体" w:hAnsi="宋体" w:eastAsia="黑体"/>
          <w:color w:val="000000"/>
          <w:szCs w:val="21"/>
        </w:rPr>
        <w:t>2.8.4</w:t>
      </w:r>
      <w:r>
        <w:rPr>
          <w:rFonts w:hint="eastAsia"/>
          <w:color w:val="000000"/>
        </w:rPr>
        <w:t>总承包服务费根据招标文件中列出的内容和要求，按“总承包服务费计价表”所列格式自主报价。</w:t>
      </w:r>
    </w:p>
    <w:p>
      <w:pPr>
        <w:spacing w:line="420" w:lineRule="exact"/>
        <w:ind w:left="642" w:leftChars="2" w:hanging="638" w:hangingChars="304"/>
        <w:rPr>
          <w:color w:val="000000"/>
        </w:rPr>
      </w:pPr>
      <w:r>
        <w:rPr>
          <w:rFonts w:hint="eastAsia" w:ascii="黑体" w:hAnsi="宋体" w:eastAsia="黑体"/>
          <w:color w:val="000000"/>
          <w:szCs w:val="21"/>
        </w:rPr>
        <w:t>2.9</w:t>
      </w:r>
      <w:r>
        <w:rPr>
          <w:rFonts w:hint="eastAsia"/>
          <w:color w:val="000000"/>
        </w:rPr>
        <w:t>规费和税金应按“规费、税金项目清单与计价表”所列项目并根据国家、省级或行业建设主管部门的有关规定列项和计算，不得作为竞争性费用。</w:t>
      </w:r>
    </w:p>
    <w:p>
      <w:pPr>
        <w:spacing w:line="420" w:lineRule="exact"/>
        <w:ind w:left="642" w:leftChars="2" w:hanging="638" w:hangingChars="304"/>
        <w:rPr>
          <w:color w:val="000000"/>
        </w:rPr>
      </w:pPr>
      <w:r>
        <w:rPr>
          <w:rFonts w:hint="eastAsia" w:ascii="黑体" w:hAnsi="宋体" w:eastAsia="黑体"/>
          <w:color w:val="000000"/>
          <w:szCs w:val="21"/>
        </w:rPr>
        <w:t>2.10</w:t>
      </w:r>
      <w:r>
        <w:rPr>
          <w:rFonts w:hint="eastAsia" w:ascii="宋体" w:hAnsi="宋体"/>
          <w:color w:val="000000"/>
          <w:szCs w:val="21"/>
        </w:rPr>
        <w:t xml:space="preserve">  除招标文件有强制性规定以及不可竞争部分以外，投标报价由投标人自主确定，但不</w:t>
      </w:r>
      <w:r>
        <w:rPr>
          <w:rFonts w:hint="eastAsia"/>
          <w:color w:val="000000"/>
        </w:rPr>
        <w:t>得低于其成本。</w:t>
      </w:r>
    </w:p>
    <w:p>
      <w:pPr>
        <w:spacing w:line="420" w:lineRule="exact"/>
        <w:ind w:left="627" w:leftChars="1" w:hanging="625" w:hangingChars="298"/>
        <w:rPr>
          <w:color w:val="000000"/>
        </w:rPr>
      </w:pPr>
      <w:r>
        <w:rPr>
          <w:rFonts w:hint="eastAsia" w:ascii="黑体" w:hAnsi="宋体" w:eastAsia="黑体"/>
          <w:color w:val="000000"/>
        </w:rPr>
        <w:t>2.11</w:t>
      </w:r>
      <w:r>
        <w:rPr>
          <w:rFonts w:hint="eastAsia"/>
          <w:color w:val="000000"/>
        </w:rPr>
        <w:t>工程量清单计价所涉及的生产资源</w:t>
      </w:r>
      <w:r>
        <w:rPr>
          <w:rFonts w:hint="eastAsia"/>
          <w:color w:val="000000"/>
          <w:lang w:eastAsia="zh-CN"/>
        </w:rPr>
        <w:t>（</w:t>
      </w:r>
      <w:r>
        <w:rPr>
          <w:rFonts w:hint="eastAsia"/>
          <w:color w:val="000000"/>
        </w:rPr>
        <w:t>包括各类人工、材料、工程设备、施工设备、临时设施、临时用水、临时用电等</w:t>
      </w:r>
      <w:r>
        <w:rPr>
          <w:rFonts w:hint="eastAsia"/>
          <w:color w:val="000000"/>
          <w:lang w:eastAsia="zh-CN"/>
        </w:rPr>
        <w:t>）</w:t>
      </w:r>
      <w:r>
        <w:rPr>
          <w:rFonts w:hint="eastAsia"/>
          <w:color w:val="000000"/>
        </w:rPr>
        <w:t>的投标价格，应根据自身的信息渠道和采购渠道，分析其市场价格水平并判断其整个施工周期内的变化趋势，体现投标人自身的管理水平、技术水平和综合实力。</w:t>
      </w:r>
    </w:p>
    <w:p>
      <w:pPr>
        <w:spacing w:line="420" w:lineRule="exact"/>
        <w:ind w:left="657" w:leftChars="2" w:hanging="653" w:hangingChars="311"/>
        <w:rPr>
          <w:color w:val="000000"/>
        </w:rPr>
      </w:pPr>
      <w:r>
        <w:rPr>
          <w:rFonts w:hint="eastAsia" w:ascii="黑体" w:hAnsi="宋体" w:eastAsia="黑体"/>
          <w:color w:val="000000"/>
        </w:rPr>
        <w:t>2.12</w:t>
      </w:r>
      <w:r>
        <w:rPr>
          <w:rFonts w:hint="eastAsia"/>
          <w:color w:val="000000"/>
        </w:rPr>
        <w:t>管理费应由投标人在保证不低于其成本的基础上做竞争性考虑；利润由投标人根据自身情况和综合实力做竞争性考虑。</w:t>
      </w:r>
    </w:p>
    <w:p>
      <w:pPr>
        <w:spacing w:line="380" w:lineRule="exact"/>
        <w:rPr>
          <w:color w:val="000000"/>
        </w:rPr>
      </w:pPr>
      <w:r>
        <w:rPr>
          <w:rFonts w:hint="eastAsia" w:ascii="黑体" w:eastAsia="黑体"/>
          <w:color w:val="000000"/>
        </w:rPr>
        <w:t>2.13</w:t>
      </w:r>
      <w:r>
        <w:rPr>
          <w:rFonts w:hint="eastAsia"/>
          <w:color w:val="000000"/>
        </w:rPr>
        <w:t>投标报价中应考虑招标文件中要求投标人承担的风险范围以及相关的费用。</w:t>
      </w:r>
    </w:p>
    <w:p>
      <w:pPr>
        <w:spacing w:line="420" w:lineRule="exact"/>
        <w:ind w:left="684" w:leftChars="2" w:hanging="680" w:hangingChars="324"/>
        <w:rPr>
          <w:color w:val="000000"/>
        </w:rPr>
      </w:pPr>
      <w:r>
        <w:rPr>
          <w:rFonts w:hint="eastAsia" w:ascii="黑体" w:eastAsia="黑体"/>
          <w:color w:val="000000"/>
        </w:rPr>
        <w:t>2.14</w:t>
      </w:r>
      <w:r>
        <w:rPr>
          <w:rFonts w:hint="eastAsia"/>
          <w:color w:val="000000"/>
        </w:rPr>
        <w:t>投标总价为投标人在投标文件中提出的各项支付金额的总和，为实施、完成招标工程并修补缺陷以及履行招标文件中约定的风险范围内的所有责任和义务所发生的全部费用。</w:t>
      </w:r>
    </w:p>
    <w:p>
      <w:pPr>
        <w:spacing w:line="380" w:lineRule="exact"/>
        <w:rPr>
          <w:color w:val="000000"/>
        </w:rPr>
      </w:pPr>
      <w:r>
        <w:rPr>
          <w:rFonts w:hint="eastAsia" w:ascii="黑体" w:eastAsia="黑体"/>
          <w:color w:val="000000"/>
        </w:rPr>
        <w:t>2.15</w:t>
      </w:r>
      <w:r>
        <w:rPr>
          <w:rFonts w:hint="eastAsia"/>
          <w:color w:val="000000"/>
        </w:rPr>
        <w:t>有关投标报价的其他说明：</w:t>
      </w:r>
    </w:p>
    <w:p>
      <w:pPr>
        <w:adjustRightInd w:val="0"/>
        <w:spacing w:line="380" w:lineRule="exact"/>
        <w:ind w:firstLine="420" w:firstLineChars="200"/>
        <w:rPr>
          <w:color w:val="000000"/>
          <w:u w:val="single"/>
        </w:rPr>
      </w:pPr>
      <w:permStart w:id="517" w:edGrp="everyone"/>
      <w:r>
        <w:rPr>
          <w:rFonts w:hint="eastAsia"/>
          <w:color w:val="000000"/>
          <w:u w:val="single"/>
        </w:rPr>
        <w:t xml:space="preserve">                                                  </w:t>
      </w:r>
      <w:permEnd w:id="517"/>
    </w:p>
    <w:p>
      <w:pPr>
        <w:spacing w:before="120" w:beforeLines="50" w:after="120" w:afterLines="50" w:line="380" w:lineRule="exact"/>
        <w:outlineLvl w:val="2"/>
        <w:rPr>
          <w:rFonts w:ascii="黑体" w:eastAsia="黑体"/>
          <w:color w:val="000000"/>
          <w:sz w:val="24"/>
        </w:rPr>
      </w:pPr>
      <w:bookmarkStart w:id="1292" w:name="_Toc114222846"/>
      <w:bookmarkStart w:id="1293" w:name="_Toc295812276"/>
      <w:r>
        <w:rPr>
          <w:rFonts w:hint="eastAsia" w:ascii="黑体" w:eastAsia="黑体"/>
          <w:color w:val="000000"/>
          <w:sz w:val="24"/>
        </w:rPr>
        <w:t>3、其他说明</w:t>
      </w:r>
      <w:bookmarkEnd w:id="1292"/>
      <w:bookmarkEnd w:id="1293"/>
    </w:p>
    <w:p>
      <w:pPr>
        <w:rPr>
          <w:color w:val="000000"/>
        </w:rPr>
      </w:pPr>
      <w:r>
        <w:rPr>
          <w:rFonts w:hint="eastAsia"/>
          <w:color w:val="000000"/>
        </w:rPr>
        <w:t>3.1词语和定义</w:t>
      </w:r>
    </w:p>
    <w:p>
      <w:pPr>
        <w:spacing w:before="24" w:beforeLines="10" w:after="48" w:afterLines="20" w:line="380" w:lineRule="exact"/>
        <w:rPr>
          <w:b/>
          <w:color w:val="000000"/>
        </w:rPr>
      </w:pPr>
      <w:r>
        <w:rPr>
          <w:rFonts w:hint="eastAsia" w:ascii="黑体" w:eastAsia="黑体"/>
          <w:color w:val="000000"/>
        </w:rPr>
        <w:t>3.1.1</w:t>
      </w:r>
      <w:r>
        <w:rPr>
          <w:rFonts w:hint="eastAsia"/>
          <w:b/>
          <w:color w:val="000000"/>
        </w:rPr>
        <w:t>工程量清单</w:t>
      </w:r>
    </w:p>
    <w:p>
      <w:pPr>
        <w:spacing w:line="380" w:lineRule="exact"/>
        <w:ind w:left="735" w:leftChars="350"/>
        <w:rPr>
          <w:color w:val="000000"/>
        </w:rPr>
      </w:pPr>
      <w:r>
        <w:rPr>
          <w:rFonts w:hint="eastAsia"/>
          <w:color w:val="000000"/>
        </w:rPr>
        <w:t>是表现本工程分部分项工程项目、措施项目、其他项目、规费项目和税金的名称和相应数量等的明细清单。</w:t>
      </w:r>
    </w:p>
    <w:p>
      <w:pPr>
        <w:spacing w:before="24" w:beforeLines="10" w:after="48" w:afterLines="20" w:line="380" w:lineRule="exact"/>
        <w:rPr>
          <w:b/>
          <w:color w:val="000000"/>
        </w:rPr>
      </w:pPr>
      <w:r>
        <w:rPr>
          <w:rFonts w:hint="eastAsia" w:ascii="黑体" w:eastAsia="黑体"/>
          <w:color w:val="000000"/>
        </w:rPr>
        <w:t xml:space="preserve">3.1.2 </w:t>
      </w:r>
      <w:r>
        <w:rPr>
          <w:rFonts w:hint="eastAsia"/>
          <w:b/>
          <w:color w:val="000000"/>
        </w:rPr>
        <w:t>总价子目</w:t>
      </w:r>
    </w:p>
    <w:p>
      <w:pPr>
        <w:spacing w:line="380" w:lineRule="exact"/>
        <w:ind w:left="735" w:leftChars="350"/>
        <w:rPr>
          <w:color w:val="000000"/>
        </w:rPr>
      </w:pPr>
      <w:r>
        <w:rPr>
          <w:rFonts w:hint="eastAsia"/>
          <w:color w:val="000000"/>
        </w:rPr>
        <w:t>工程量清单中以总价计价，以“项”为计量单位，工程量为整数1的子目，除专用合同条款另有约定外，总价固定包干。采用总价合同形式时，合同订立后，已标价工程量清单中的工程量均没有合同约束力，所有子目均是总价子目，视同按项计量</w:t>
      </w:r>
      <w:r>
        <w:rPr>
          <w:rFonts w:hint="eastAsia"/>
          <w:color w:val="000000"/>
          <w:lang w:eastAsia="zh-CN"/>
        </w:rPr>
        <w:t>（</w:t>
      </w:r>
      <w:r>
        <w:rPr>
          <w:rFonts w:hint="eastAsia"/>
          <w:color w:val="000000"/>
        </w:rPr>
        <w:t>合同条款第15条约定的变更除外</w:t>
      </w:r>
      <w:r>
        <w:rPr>
          <w:rFonts w:hint="eastAsia"/>
          <w:color w:val="000000"/>
          <w:lang w:eastAsia="zh-CN"/>
        </w:rPr>
        <w:t>）</w:t>
      </w:r>
      <w:r>
        <w:rPr>
          <w:rFonts w:hint="eastAsia"/>
          <w:color w:val="000000"/>
        </w:rPr>
        <w:t>。</w:t>
      </w:r>
    </w:p>
    <w:p>
      <w:pPr>
        <w:spacing w:before="24" w:beforeLines="10" w:after="48" w:afterLines="20" w:line="380" w:lineRule="exact"/>
        <w:rPr>
          <w:b/>
          <w:color w:val="000000"/>
        </w:rPr>
      </w:pPr>
      <w:r>
        <w:rPr>
          <w:rFonts w:hint="eastAsia" w:ascii="黑体" w:eastAsia="黑体"/>
          <w:color w:val="000000"/>
        </w:rPr>
        <w:t>3.1.3</w:t>
      </w:r>
      <w:r>
        <w:rPr>
          <w:rFonts w:hint="eastAsia"/>
          <w:b/>
          <w:color w:val="000000"/>
        </w:rPr>
        <w:t>单价子目</w:t>
      </w:r>
    </w:p>
    <w:p>
      <w:pPr>
        <w:spacing w:line="380" w:lineRule="exact"/>
        <w:ind w:left="735" w:leftChars="350"/>
        <w:rPr>
          <w:color w:val="000000"/>
        </w:rPr>
      </w:pPr>
      <w:r>
        <w:rPr>
          <w:rFonts w:hint="eastAsia"/>
          <w:color w:val="000000"/>
        </w:rPr>
        <w:t>工程量清单中以单价计价，根据有合同约束力的图纸和工程量计算规则进行计量，以实际完成数量乘以相应单价进行结算的子目。</w:t>
      </w:r>
    </w:p>
    <w:p>
      <w:pPr>
        <w:spacing w:before="24" w:beforeLines="10" w:after="48" w:afterLines="20" w:line="380" w:lineRule="exact"/>
        <w:rPr>
          <w:b/>
          <w:color w:val="000000"/>
        </w:rPr>
      </w:pPr>
      <w:r>
        <w:rPr>
          <w:rFonts w:hint="eastAsia" w:ascii="黑体" w:eastAsia="黑体"/>
          <w:color w:val="000000"/>
        </w:rPr>
        <w:t>3.1.4</w:t>
      </w:r>
      <w:r>
        <w:rPr>
          <w:rFonts w:hint="eastAsia"/>
          <w:b/>
          <w:color w:val="000000"/>
        </w:rPr>
        <w:t>子目编码</w:t>
      </w:r>
    </w:p>
    <w:p>
      <w:pPr>
        <w:spacing w:line="380" w:lineRule="exact"/>
        <w:ind w:left="724" w:leftChars="345"/>
        <w:rPr>
          <w:color w:val="000000"/>
        </w:rPr>
      </w:pPr>
      <w:r>
        <w:rPr>
          <w:rFonts w:hint="eastAsia"/>
          <w:color w:val="000000"/>
        </w:rPr>
        <w:t>分部分项工程项目清单中所列的子目名称的数字标识和代码，子目编码与项目编码同义。</w:t>
      </w:r>
    </w:p>
    <w:p>
      <w:pPr>
        <w:spacing w:before="48" w:beforeLines="20" w:after="48" w:afterLines="20" w:line="380" w:lineRule="exact"/>
        <w:rPr>
          <w:b/>
          <w:color w:val="000000"/>
        </w:rPr>
      </w:pPr>
      <w:r>
        <w:rPr>
          <w:rFonts w:hint="eastAsia" w:ascii="黑体" w:eastAsia="黑体"/>
          <w:color w:val="000000"/>
        </w:rPr>
        <w:t>3.1.5</w:t>
      </w:r>
      <w:r>
        <w:rPr>
          <w:rFonts w:hint="eastAsia"/>
          <w:b/>
          <w:color w:val="000000"/>
        </w:rPr>
        <w:t>子目特征</w:t>
      </w:r>
    </w:p>
    <w:p>
      <w:pPr>
        <w:spacing w:line="380" w:lineRule="exact"/>
        <w:ind w:left="718" w:leftChars="342" w:firstLine="35" w:firstLineChars="17"/>
        <w:rPr>
          <w:color w:val="000000"/>
        </w:rPr>
      </w:pPr>
      <w:r>
        <w:rPr>
          <w:rFonts w:hint="eastAsia"/>
          <w:color w:val="000000"/>
        </w:rPr>
        <w:t>构成分部分项工程项目清单子目、措施项目的实质内容、决定其自身价值的本质特征，子目特征与项目特征同义。</w:t>
      </w:r>
    </w:p>
    <w:p>
      <w:pPr>
        <w:spacing w:before="48" w:beforeLines="20" w:after="48" w:afterLines="20" w:line="380" w:lineRule="exact"/>
        <w:rPr>
          <w:rFonts w:ascii="宋体" w:hAnsi="宋体"/>
          <w:b/>
          <w:color w:val="000000"/>
        </w:rPr>
      </w:pPr>
      <w:r>
        <w:rPr>
          <w:rFonts w:hint="eastAsia" w:ascii="黑体" w:eastAsia="黑体"/>
          <w:color w:val="000000"/>
        </w:rPr>
        <w:t xml:space="preserve">3.1.6 </w:t>
      </w:r>
      <w:r>
        <w:rPr>
          <w:rFonts w:hint="eastAsia" w:ascii="宋体" w:hAnsi="宋体"/>
          <w:b/>
          <w:color w:val="000000"/>
        </w:rPr>
        <w:t>规费</w:t>
      </w:r>
    </w:p>
    <w:p>
      <w:pPr>
        <w:spacing w:line="380" w:lineRule="exact"/>
        <w:ind w:left="735" w:leftChars="350"/>
        <w:rPr>
          <w:color w:val="000000"/>
        </w:rPr>
      </w:pPr>
      <w:r>
        <w:rPr>
          <w:rFonts w:hint="eastAsia"/>
          <w:color w:val="000000"/>
        </w:rPr>
        <w:t>承包人根据省级政府或省级有关权力部门规定必须缴纳的，应计入建筑安装工程造价的费用。</w:t>
      </w:r>
    </w:p>
    <w:p>
      <w:pPr>
        <w:spacing w:before="48" w:beforeLines="20" w:after="48" w:afterLines="20" w:line="380" w:lineRule="exact"/>
        <w:rPr>
          <w:color w:val="000000"/>
        </w:rPr>
      </w:pPr>
      <w:r>
        <w:rPr>
          <w:rFonts w:hint="eastAsia" w:ascii="黑体" w:eastAsia="黑体"/>
          <w:color w:val="000000"/>
        </w:rPr>
        <w:t>3.1.7</w:t>
      </w:r>
      <w:r>
        <w:rPr>
          <w:rFonts w:hint="eastAsia"/>
          <w:b/>
          <w:color w:val="000000"/>
        </w:rPr>
        <w:t>税金</w:t>
      </w:r>
    </w:p>
    <w:p>
      <w:pPr>
        <w:spacing w:line="380" w:lineRule="exact"/>
        <w:ind w:left="735" w:leftChars="350"/>
        <w:rPr>
          <w:color w:val="000000"/>
        </w:rPr>
      </w:pPr>
      <w:r>
        <w:rPr>
          <w:rFonts w:hint="eastAsia"/>
          <w:color w:val="000000"/>
        </w:rPr>
        <w:t>国家税法规定的应计入建筑安装工程造价内的营业税、城市维护建设税及教育费附加等。</w:t>
      </w:r>
    </w:p>
    <w:p>
      <w:pPr>
        <w:spacing w:before="48" w:beforeLines="20" w:after="48" w:afterLines="20" w:line="380" w:lineRule="exact"/>
        <w:rPr>
          <w:b/>
          <w:color w:val="000000"/>
        </w:rPr>
      </w:pPr>
      <w:r>
        <w:rPr>
          <w:rFonts w:hint="eastAsia" w:ascii="黑体" w:eastAsia="黑体"/>
          <w:color w:val="000000"/>
        </w:rPr>
        <w:t>3.1.8</w:t>
      </w:r>
      <w:r>
        <w:rPr>
          <w:rFonts w:hint="eastAsia"/>
          <w:b/>
          <w:color w:val="000000"/>
        </w:rPr>
        <w:t>总承包服务费</w:t>
      </w:r>
    </w:p>
    <w:p>
      <w:pPr>
        <w:spacing w:line="390" w:lineRule="exact"/>
        <w:ind w:left="781" w:leftChars="366" w:hanging="12" w:hangingChars="6"/>
        <w:rPr>
          <w:color w:val="000000"/>
        </w:rPr>
      </w:pPr>
      <w:r>
        <w:rPr>
          <w:rFonts w:hint="eastAsia"/>
          <w:color w:val="000000"/>
        </w:rPr>
        <w:t>总承包人为配合协调发包人发包的专业工程以及发包人采购的材料和工程设备等进行管理、服务以及施工现场管理、竣工资料汇总整理等所需的费用。</w:t>
      </w:r>
    </w:p>
    <w:p>
      <w:pPr>
        <w:spacing w:before="48" w:beforeLines="20" w:after="48" w:afterLines="20" w:line="380" w:lineRule="exact"/>
        <w:rPr>
          <w:b/>
          <w:color w:val="000000"/>
        </w:rPr>
      </w:pPr>
      <w:r>
        <w:rPr>
          <w:rFonts w:hint="eastAsia" w:ascii="黑体" w:eastAsia="黑体"/>
          <w:color w:val="000000"/>
        </w:rPr>
        <w:t>3.1.9</w:t>
      </w:r>
      <w:r>
        <w:rPr>
          <w:rFonts w:hint="eastAsia"/>
          <w:b/>
          <w:color w:val="000000"/>
        </w:rPr>
        <w:t>同义词语</w:t>
      </w:r>
    </w:p>
    <w:p>
      <w:pPr>
        <w:spacing w:line="390" w:lineRule="exact"/>
        <w:ind w:left="735" w:leftChars="350" w:firstLine="105" w:firstLineChars="50"/>
        <w:rPr>
          <w:color w:val="000000"/>
        </w:rPr>
      </w:pPr>
      <w:r>
        <w:rPr>
          <w:rFonts w:hint="eastAsia"/>
          <w:color w:val="000000"/>
        </w:rPr>
        <w:t>本章中使用的词语“招标人”和“投标人”分别与合同条款中定义的“发包人”和“承包人”同义</w:t>
      </w:r>
      <w:r>
        <w:rPr>
          <w:rFonts w:hint="eastAsia" w:ascii="宋体" w:hAnsi="宋体"/>
          <w:color w:val="000000"/>
          <w:szCs w:val="21"/>
        </w:rPr>
        <w:t>；</w:t>
      </w:r>
      <w:r>
        <w:rPr>
          <w:rFonts w:hint="eastAsia"/>
          <w:color w:val="000000"/>
        </w:rPr>
        <w:t>就工程量清单而言，“子目”与“项目”同义。</w:t>
      </w:r>
    </w:p>
    <w:p>
      <w:pPr>
        <w:rPr>
          <w:color w:val="000000"/>
        </w:rPr>
      </w:pPr>
      <w:r>
        <w:rPr>
          <w:rFonts w:hint="eastAsia"/>
          <w:color w:val="000000"/>
        </w:rPr>
        <w:t>3.2工程量差异调整</w:t>
      </w:r>
    </w:p>
    <w:p>
      <w:pPr>
        <w:spacing w:line="380" w:lineRule="exact"/>
        <w:ind w:left="840" w:hanging="840" w:hangingChars="400"/>
        <w:rPr>
          <w:color w:val="000000"/>
        </w:rPr>
      </w:pPr>
      <w:r>
        <w:rPr>
          <w:rFonts w:hint="eastAsia" w:ascii="黑体" w:eastAsia="黑体"/>
          <w:color w:val="000000"/>
        </w:rPr>
        <w:t>3.2.1</w:t>
      </w:r>
      <w:r>
        <w:rPr>
          <w:rFonts w:hint="eastAsia"/>
          <w:color w:val="000000"/>
        </w:rPr>
        <w:t>工程量清单中的工作内容分类、子目列项、特征描述以及“分部分项工程量清单与计价表”中附带的工程量都不应理解为是对承包</w:t>
      </w:r>
      <w:r>
        <w:rPr>
          <w:rFonts w:hint="eastAsia"/>
          <w:color w:val="000000"/>
          <w:lang w:eastAsia="zh-CN"/>
        </w:rPr>
        <w:t>（</w:t>
      </w:r>
      <w:r>
        <w:rPr>
          <w:rFonts w:hint="eastAsia"/>
          <w:color w:val="000000"/>
        </w:rPr>
        <w:t>招标</w:t>
      </w:r>
      <w:r>
        <w:rPr>
          <w:rFonts w:hint="eastAsia"/>
          <w:color w:val="000000"/>
          <w:lang w:eastAsia="zh-CN"/>
        </w:rPr>
        <w:t>）</w:t>
      </w:r>
      <w:r>
        <w:rPr>
          <w:rFonts w:hint="eastAsia"/>
          <w:color w:val="000000"/>
        </w:rPr>
        <w:t>范围以及合同工作内容的唯一的、最终的或全部的定义。</w:t>
      </w:r>
    </w:p>
    <w:p>
      <w:pPr>
        <w:spacing w:line="380" w:lineRule="exact"/>
        <w:ind w:left="840" w:hanging="840" w:hangingChars="400"/>
        <w:rPr>
          <w:color w:val="000000"/>
        </w:rPr>
      </w:pPr>
      <w:r>
        <w:rPr>
          <w:rFonts w:hint="eastAsia" w:ascii="黑体" w:eastAsia="黑体"/>
          <w:color w:val="000000"/>
        </w:rPr>
        <w:t>3.2.2</w:t>
      </w:r>
      <w:r>
        <w:rPr>
          <w:rFonts w:hint="eastAsia"/>
          <w:color w:val="000000"/>
        </w:rPr>
        <w:t>投标人应对招标人提供的工程量清单进行认真细致</w:t>
      </w:r>
      <w:r>
        <w:rPr>
          <w:rFonts w:hint="eastAsia"/>
          <w:color w:val="000000"/>
          <w:lang w:eastAsia="zh-CN"/>
        </w:rPr>
        <w:t>地</w:t>
      </w:r>
      <w:r>
        <w:rPr>
          <w:rFonts w:hint="eastAsia"/>
          <w:color w:val="000000"/>
        </w:rPr>
        <w:t>复核。这种复核包括对招标人提供的工程量清单中的子目编码、子目名称、子目特征描述、计量单位、工程量的准确性以及可能存在的任何书写、打印错误进行检查和复核，特别是对“分部分项工程和单价措施项目清单与计价表”中每个工作子目的工程量进行重新计算和校核。如果投标人经过检查和复核以后认为招标人提供的工程量清单存在差异，则投标人应将此类差异的详细情况连同按投标人须知规定提交的要求招标人澄清的其他问题一起提交给招标人，招标人将根据实际情况决定是否颁发工程量清单的补充和</w:t>
      </w:r>
      <w:r>
        <w:rPr>
          <w:rFonts w:hint="eastAsia"/>
          <w:color w:val="000000"/>
          <w:lang w:eastAsia="zh-CN"/>
        </w:rPr>
        <w:t>（</w:t>
      </w:r>
      <w:r>
        <w:rPr>
          <w:rFonts w:hint="eastAsia"/>
          <w:color w:val="000000"/>
        </w:rPr>
        <w:t>或</w:t>
      </w:r>
      <w:r>
        <w:rPr>
          <w:rFonts w:hint="eastAsia"/>
          <w:color w:val="000000"/>
          <w:lang w:eastAsia="zh-CN"/>
        </w:rPr>
        <w:t>）</w:t>
      </w:r>
      <w:r>
        <w:rPr>
          <w:rFonts w:hint="eastAsia"/>
          <w:color w:val="000000"/>
        </w:rPr>
        <w:t>修改文件。</w:t>
      </w:r>
    </w:p>
    <w:p>
      <w:pPr>
        <w:spacing w:line="380" w:lineRule="exact"/>
        <w:ind w:left="840" w:hanging="840" w:hangingChars="400"/>
        <w:rPr>
          <w:color w:val="000000"/>
        </w:rPr>
      </w:pPr>
      <w:r>
        <w:rPr>
          <w:rFonts w:hint="eastAsia" w:ascii="黑体" w:eastAsia="黑体"/>
          <w:color w:val="000000"/>
        </w:rPr>
        <w:t>3.2.3</w:t>
      </w:r>
      <w:r>
        <w:rPr>
          <w:rFonts w:hint="eastAsia"/>
          <w:color w:val="000000"/>
        </w:rPr>
        <w:t>如果招标人在检查投标人根据上文第3.2.2项提交的工程量差异问题后认为没有必要对工程量清单进行补充和</w:t>
      </w:r>
      <w:r>
        <w:rPr>
          <w:rFonts w:hint="eastAsia"/>
          <w:color w:val="000000"/>
          <w:lang w:eastAsia="zh-CN"/>
        </w:rPr>
        <w:t>（</w:t>
      </w:r>
      <w:r>
        <w:rPr>
          <w:rFonts w:hint="eastAsia"/>
          <w:color w:val="000000"/>
        </w:rPr>
        <w:t>或</w:t>
      </w:r>
      <w:r>
        <w:rPr>
          <w:rFonts w:hint="eastAsia"/>
          <w:color w:val="000000"/>
          <w:lang w:eastAsia="zh-CN"/>
        </w:rPr>
        <w:t>）</w:t>
      </w:r>
      <w:r>
        <w:rPr>
          <w:rFonts w:hint="eastAsia"/>
          <w:color w:val="000000"/>
        </w:rPr>
        <w:t>修改，或者招标人根据上文第3.2.2项对工程量清单进行了补充和</w:t>
      </w:r>
      <w:r>
        <w:rPr>
          <w:rFonts w:hint="eastAsia"/>
          <w:color w:val="000000"/>
          <w:lang w:eastAsia="zh-CN"/>
        </w:rPr>
        <w:t>（</w:t>
      </w:r>
      <w:r>
        <w:rPr>
          <w:rFonts w:hint="eastAsia"/>
          <w:color w:val="000000"/>
        </w:rPr>
        <w:t>或</w:t>
      </w:r>
      <w:r>
        <w:rPr>
          <w:rFonts w:hint="eastAsia"/>
          <w:color w:val="000000"/>
          <w:lang w:eastAsia="zh-CN"/>
        </w:rPr>
        <w:t>）</w:t>
      </w:r>
      <w:r>
        <w:rPr>
          <w:rFonts w:hint="eastAsia"/>
          <w:color w:val="000000"/>
        </w:rPr>
        <w:t>修改，但投标人认为工程量清单中的工程量依然存在差异，则此类差异不再提交招标人答疑和修正，而是直接按招标人提供的工程量清单</w:t>
      </w:r>
      <w:r>
        <w:rPr>
          <w:rFonts w:hint="eastAsia"/>
          <w:color w:val="000000"/>
          <w:lang w:eastAsia="zh-CN"/>
        </w:rPr>
        <w:t>（</w:t>
      </w:r>
      <w:r>
        <w:rPr>
          <w:rFonts w:hint="eastAsia"/>
          <w:color w:val="000000"/>
        </w:rPr>
        <w:t>包括招标人可能的补充和</w:t>
      </w:r>
      <w:r>
        <w:rPr>
          <w:rFonts w:hint="eastAsia"/>
          <w:color w:val="000000"/>
          <w:lang w:eastAsia="zh-CN"/>
        </w:rPr>
        <w:t>（</w:t>
      </w:r>
      <w:r>
        <w:rPr>
          <w:rFonts w:hint="eastAsia"/>
          <w:color w:val="000000"/>
        </w:rPr>
        <w:t>或</w:t>
      </w:r>
      <w:r>
        <w:rPr>
          <w:rFonts w:hint="eastAsia"/>
          <w:color w:val="000000"/>
          <w:lang w:eastAsia="zh-CN"/>
        </w:rPr>
        <w:t>）</w:t>
      </w:r>
      <w:r>
        <w:rPr>
          <w:rFonts w:hint="eastAsia"/>
          <w:color w:val="000000"/>
        </w:rPr>
        <w:t>修改</w:t>
      </w:r>
      <w:r>
        <w:rPr>
          <w:rFonts w:hint="eastAsia"/>
          <w:color w:val="000000"/>
          <w:lang w:eastAsia="zh-CN"/>
        </w:rPr>
        <w:t>）</w:t>
      </w:r>
      <w:r>
        <w:rPr>
          <w:rFonts w:hint="eastAsia"/>
          <w:color w:val="000000"/>
        </w:rPr>
        <w:t>进行投标报价。投标人在按照工程量清单进行报价时，除按照本节2.7.3项要求对招标人提供的措施项目清单的内容进行细化或增减外，不得改变</w:t>
      </w:r>
      <w:r>
        <w:rPr>
          <w:rFonts w:hint="eastAsia"/>
          <w:color w:val="000000"/>
          <w:lang w:eastAsia="zh-CN"/>
        </w:rPr>
        <w:t>（</w:t>
      </w:r>
      <w:r>
        <w:rPr>
          <w:rFonts w:hint="eastAsia"/>
          <w:color w:val="000000"/>
        </w:rPr>
        <w:t>包括对工程量清单子目的子目名称、子目特征描述、计量单位以及工程量的任何修改、增加或减少</w:t>
      </w:r>
      <w:r>
        <w:rPr>
          <w:rFonts w:hint="eastAsia"/>
          <w:color w:val="000000"/>
          <w:lang w:eastAsia="zh-CN"/>
        </w:rPr>
        <w:t>）</w:t>
      </w:r>
      <w:r>
        <w:rPr>
          <w:rFonts w:hint="eastAsia"/>
          <w:color w:val="000000"/>
        </w:rPr>
        <w:t>招标人提供的分部分项工程量清单和其他项目清单。即使按照图纸和招标范围的约定并不存在的子目，只要在招标人提供的分部分项工程量清单中已经列明，投标人都需要对其报价，并纳入投标总价的计算。</w:t>
      </w:r>
    </w:p>
    <w:p>
      <w:pPr>
        <w:rPr>
          <w:color w:val="000000"/>
        </w:rPr>
      </w:pPr>
      <w:r>
        <w:rPr>
          <w:rFonts w:hint="eastAsia"/>
          <w:color w:val="000000"/>
        </w:rPr>
        <w:t>3.3暂列金额和暂估价</w:t>
      </w:r>
    </w:p>
    <w:p>
      <w:pPr>
        <w:spacing w:line="380" w:lineRule="exact"/>
        <w:ind w:left="867" w:hanging="867" w:hangingChars="413"/>
        <w:rPr>
          <w:color w:val="000000"/>
        </w:rPr>
      </w:pPr>
      <w:r>
        <w:rPr>
          <w:rFonts w:hint="eastAsia" w:ascii="黑体" w:eastAsia="黑体"/>
          <w:color w:val="000000"/>
        </w:rPr>
        <w:t>3.3.1</w:t>
      </w:r>
      <w:r>
        <w:rPr>
          <w:rFonts w:hint="eastAsia"/>
          <w:color w:val="000000"/>
        </w:rPr>
        <w:t>“暂列金额明细表”中所列暂列金额</w:t>
      </w:r>
      <w:r>
        <w:rPr>
          <w:rFonts w:hint="eastAsia"/>
          <w:color w:val="000000"/>
          <w:lang w:eastAsia="zh-CN"/>
        </w:rPr>
        <w:t>（</w:t>
      </w:r>
      <w:r>
        <w:rPr>
          <w:rFonts w:hint="eastAsia"/>
          <w:color w:val="000000"/>
        </w:rPr>
        <w:t>不包括计日工金额</w:t>
      </w:r>
      <w:r>
        <w:rPr>
          <w:rFonts w:hint="eastAsia"/>
          <w:color w:val="000000"/>
          <w:lang w:eastAsia="zh-CN"/>
        </w:rPr>
        <w:t>）</w:t>
      </w:r>
      <w:r>
        <w:rPr>
          <w:rFonts w:hint="eastAsia"/>
          <w:color w:val="000000"/>
        </w:rPr>
        <w:t>中已经包含与其对应的管理费、利润和规费，但不含税金。投标人应按本招标文件规定将此类暂列金额直接纳入其他项目清单的投标价格并计取相应的税金，不需要考虑除税金以外的其他任何费用。</w:t>
      </w:r>
    </w:p>
    <w:p>
      <w:pPr>
        <w:spacing w:line="380" w:lineRule="exact"/>
        <w:ind w:left="840" w:hanging="840" w:hangingChars="400"/>
        <w:rPr>
          <w:color w:val="000000"/>
        </w:rPr>
      </w:pPr>
      <w:r>
        <w:rPr>
          <w:rFonts w:hint="eastAsia" w:ascii="黑体" w:eastAsia="黑体"/>
          <w:color w:val="000000"/>
        </w:rPr>
        <w:t>3.3.2</w:t>
      </w:r>
      <w:r>
        <w:rPr>
          <w:rFonts w:hint="eastAsia"/>
          <w:color w:val="000000"/>
        </w:rPr>
        <w:t>“材料和工程设备暂估价表”中所列的材料和工程设备暂估价是此类材料、工程设备本身运至施工现场内的工地地面价，不包括其本身所对应的管理费、利润、规费、税金以及这些材料和工程设备的安装、安装所需要的辅助材料、安装损耗、驻厂监造以及发生在现场内的验收、存储、保管、开箱、二次倒运、从存放地点运至安装地点以及其他任何必要的辅助工作</w:t>
      </w:r>
      <w:r>
        <w:rPr>
          <w:rFonts w:hint="eastAsia"/>
          <w:color w:val="000000"/>
          <w:lang w:eastAsia="zh-CN"/>
        </w:rPr>
        <w:t>（</w:t>
      </w:r>
      <w:r>
        <w:rPr>
          <w:rFonts w:hint="eastAsia"/>
          <w:color w:val="000000"/>
        </w:rPr>
        <w:t>以下简称“暂估价材料和工程设备的安装及辅助工作”</w:t>
      </w:r>
      <w:r>
        <w:rPr>
          <w:rFonts w:hint="eastAsia"/>
          <w:color w:val="000000"/>
          <w:lang w:eastAsia="zh-CN"/>
        </w:rPr>
        <w:t>）</w:t>
      </w:r>
      <w:r>
        <w:rPr>
          <w:rFonts w:hint="eastAsia"/>
          <w:color w:val="000000"/>
        </w:rPr>
        <w:t>所发生的费用及其对应的管理费、利润、规费和税金。除应按本招标文件规定将此类暂估价本身纳入分部分项工程量清单相应子目的综合单价以外，投标人还应将上述材料和工程设备的安装及辅助工作所发生的费用以及与此类费用有关的管理费和利润包含在分部分项工程量清单相应子目的综合单价中，并计取相应的规费和税金。</w:t>
      </w:r>
    </w:p>
    <w:p>
      <w:pPr>
        <w:spacing w:line="380" w:lineRule="exact"/>
        <w:ind w:left="735" w:hanging="735" w:hangingChars="350"/>
        <w:rPr>
          <w:color w:val="000000"/>
        </w:rPr>
      </w:pPr>
      <w:r>
        <w:rPr>
          <w:rFonts w:hint="eastAsia" w:ascii="黑体" w:eastAsia="黑体"/>
          <w:color w:val="000000"/>
        </w:rPr>
        <w:t>3.3.3</w:t>
      </w:r>
      <w:r>
        <w:rPr>
          <w:rFonts w:hint="eastAsia"/>
          <w:color w:val="000000"/>
        </w:rPr>
        <w:t>专业工程暂估价表中所列的专业工程暂估价已经包含与其对应的管理费、利润和规费，但不含税金。投标人应按本招标文件规定将此类暂估价直接纳入其他项目清单的投标价格并计取相应的税金。除按本招标文件规定将此类暂估价纳入其他项目清单的投标价格并计取相应的税金以外，投标人还需要根据招标文件规定的内容考虑相应的总承包服务费以及与总承包服务费有关的规费和税金。</w:t>
      </w:r>
    </w:p>
    <w:p>
      <w:pPr>
        <w:spacing w:line="380" w:lineRule="exact"/>
        <w:rPr>
          <w:rFonts w:ascii="黑体" w:eastAsia="黑体"/>
          <w:color w:val="000000"/>
        </w:rPr>
      </w:pPr>
      <w:permStart w:id="518" w:edGrp="everyone"/>
      <w:r>
        <w:rPr>
          <w:rFonts w:hint="eastAsia" w:ascii="黑体" w:eastAsia="黑体"/>
          <w:color w:val="000000"/>
        </w:rPr>
        <w:t>3.4其他补充说明</w:t>
      </w:r>
    </w:p>
    <w:p>
      <w:pPr>
        <w:spacing w:line="380" w:lineRule="exact"/>
        <w:ind w:firstLine="420" w:firstLineChars="200"/>
        <w:rPr>
          <w:rFonts w:ascii="黑体" w:eastAsia="黑体"/>
          <w:color w:val="000000"/>
          <w:u w:val="single"/>
        </w:rPr>
      </w:pPr>
    </w:p>
    <w:p>
      <w:pPr>
        <w:spacing w:line="380" w:lineRule="exact"/>
        <w:ind w:firstLine="420" w:firstLineChars="200"/>
        <w:rPr>
          <w:rFonts w:ascii="黑体" w:eastAsia="黑体"/>
          <w:color w:val="000000"/>
          <w:u w:val="single"/>
        </w:rPr>
      </w:pPr>
      <w:r>
        <w:rPr>
          <w:rFonts w:hint="eastAsia" w:ascii="黑体" w:eastAsia="黑体"/>
          <w:color w:val="000000"/>
          <w:u w:val="single"/>
        </w:rPr>
        <w:t xml:space="preserve">                       </w:t>
      </w:r>
    </w:p>
    <w:permEnd w:id="518"/>
    <w:p>
      <w:pPr>
        <w:spacing w:after="240" w:afterLines="100" w:line="380" w:lineRule="exact"/>
        <w:outlineLvl w:val="2"/>
        <w:rPr>
          <w:rFonts w:ascii="黑体" w:hAnsi="宋体" w:eastAsia="黑体"/>
          <w:color w:val="000000"/>
          <w:sz w:val="28"/>
          <w:szCs w:val="28"/>
        </w:rPr>
      </w:pPr>
      <w:r>
        <w:rPr>
          <w:rFonts w:ascii="黑体" w:eastAsia="黑体"/>
          <w:color w:val="000000"/>
          <w:sz w:val="28"/>
          <w:szCs w:val="28"/>
          <w:u w:val="single"/>
        </w:rPr>
        <w:br w:type="page"/>
      </w:r>
      <w:bookmarkStart w:id="1294" w:name="_Toc295812277"/>
      <w:bookmarkStart w:id="1295" w:name="_Toc114222847"/>
      <w:r>
        <w:rPr>
          <w:rFonts w:hint="eastAsia" w:ascii="黑体" w:hAnsi="宋体" w:eastAsia="黑体"/>
          <w:color w:val="000000"/>
          <w:sz w:val="28"/>
          <w:szCs w:val="28"/>
        </w:rPr>
        <w:t>4、工程计价</w:t>
      </w:r>
      <w:bookmarkEnd w:id="1294"/>
      <w:r>
        <w:rPr>
          <w:rFonts w:hint="eastAsia" w:ascii="黑体" w:hAnsi="宋体" w:eastAsia="黑体"/>
          <w:color w:val="000000"/>
          <w:sz w:val="28"/>
          <w:szCs w:val="28"/>
        </w:rPr>
        <w:t>文件</w:t>
      </w:r>
      <w:bookmarkEnd w:id="1295"/>
    </w:p>
    <w:p>
      <w:pPr>
        <w:spacing w:line="380" w:lineRule="exact"/>
        <w:rPr>
          <w:rFonts w:ascii="黑体" w:hAnsi="宋体" w:eastAsia="黑体"/>
          <w:color w:val="000000"/>
          <w:sz w:val="24"/>
        </w:rPr>
      </w:pPr>
      <w:r>
        <w:rPr>
          <w:rFonts w:hint="eastAsia" w:ascii="黑体" w:hAnsi="宋体" w:eastAsia="黑体"/>
          <w:color w:val="000000"/>
          <w:sz w:val="24"/>
        </w:rPr>
        <w:t>4.1工程量清单封面</w:t>
      </w:r>
    </w:p>
    <w:p>
      <w:pPr>
        <w:spacing w:line="380" w:lineRule="exact"/>
        <w:rPr>
          <w:rFonts w:ascii="黑体" w:hAnsi="宋体" w:eastAsia="黑体"/>
          <w:color w:val="000000"/>
          <w:sz w:val="24"/>
        </w:rPr>
      </w:pPr>
    </w:p>
    <w:p>
      <w:pPr>
        <w:spacing w:line="380" w:lineRule="exact"/>
        <w:rPr>
          <w:rFonts w:ascii="黑体" w:hAnsi="宋体" w:eastAsia="黑体"/>
          <w:color w:val="000000"/>
          <w:sz w:val="24"/>
        </w:rPr>
      </w:pPr>
    </w:p>
    <w:p>
      <w:pPr>
        <w:spacing w:line="380" w:lineRule="exact"/>
        <w:rPr>
          <w:rFonts w:ascii="黑体" w:hAnsi="宋体" w:eastAsia="黑体"/>
          <w:color w:val="000000"/>
          <w:sz w:val="24"/>
        </w:rPr>
      </w:pPr>
    </w:p>
    <w:p>
      <w:pPr>
        <w:wordWrap w:val="0"/>
        <w:jc w:val="right"/>
        <w:rPr>
          <w:rFonts w:ascii="宋体" w:hAnsi="宋体"/>
          <w:color w:val="000000"/>
          <w:sz w:val="28"/>
          <w:szCs w:val="28"/>
          <w:u w:val="single"/>
        </w:rPr>
      </w:pPr>
      <w:r>
        <w:rPr>
          <w:rFonts w:hint="eastAsia" w:ascii="宋体" w:hAnsi="宋体"/>
          <w:color w:val="000000"/>
          <w:sz w:val="28"/>
          <w:szCs w:val="28"/>
        </w:rPr>
        <w:t>档案号：</w:t>
      </w:r>
    </w:p>
    <w:p>
      <w:pPr>
        <w:jc w:val="right"/>
        <w:rPr>
          <w:rFonts w:ascii="宋体" w:hAnsi="宋体"/>
          <w:color w:val="000000"/>
          <w:sz w:val="28"/>
          <w:szCs w:val="28"/>
          <w:u w:val="single"/>
        </w:rPr>
      </w:pPr>
    </w:p>
    <w:p>
      <w:pPr>
        <w:jc w:val="center"/>
        <w:rPr>
          <w:rFonts w:ascii="宋体" w:hAnsi="宋体"/>
          <w:color w:val="000000"/>
          <w:sz w:val="36"/>
          <w:szCs w:val="36"/>
        </w:rPr>
      </w:pPr>
      <w:r>
        <w:rPr>
          <w:rFonts w:hint="eastAsia" w:ascii="宋体" w:hAnsi="宋体"/>
          <w:color w:val="000000"/>
          <w:sz w:val="36"/>
          <w:szCs w:val="36"/>
        </w:rPr>
        <w:t>海南省工程建设项目</w:t>
      </w:r>
    </w:p>
    <w:p>
      <w:pPr>
        <w:jc w:val="center"/>
        <w:rPr>
          <w:rFonts w:ascii="宋体" w:hAnsi="宋体"/>
          <w:color w:val="000000"/>
          <w:sz w:val="32"/>
          <w:szCs w:val="32"/>
        </w:rPr>
      </w:pPr>
    </w:p>
    <w:p>
      <w:pPr>
        <w:jc w:val="center"/>
        <w:rPr>
          <w:rFonts w:ascii="宋体" w:hAnsi="宋体"/>
          <w:b/>
          <w:color w:val="000000"/>
          <w:sz w:val="44"/>
          <w:szCs w:val="44"/>
        </w:rPr>
      </w:pPr>
      <w:r>
        <w:rPr>
          <w:rFonts w:hint="eastAsia" w:ascii="宋体" w:hAnsi="宋体"/>
          <w:b/>
          <w:color w:val="000000"/>
          <w:sz w:val="44"/>
          <w:szCs w:val="44"/>
        </w:rPr>
        <w:t>招标工程量清单</w:t>
      </w:r>
    </w:p>
    <w:p>
      <w:pPr>
        <w:jc w:val="center"/>
        <w:rPr>
          <w:rFonts w:ascii="宋体" w:hAnsi="宋体"/>
          <w:b/>
          <w:color w:val="000000"/>
          <w:sz w:val="44"/>
          <w:szCs w:val="44"/>
        </w:rPr>
      </w:pPr>
    </w:p>
    <w:p>
      <w:pPr>
        <w:jc w:val="center"/>
        <w:rPr>
          <w:rFonts w:ascii="宋体" w:hAnsi="宋体"/>
          <w:color w:val="000000"/>
          <w:sz w:val="36"/>
          <w:szCs w:val="36"/>
        </w:rPr>
      </w:pPr>
      <w:r>
        <w:rPr>
          <w:rFonts w:hint="eastAsia" w:ascii="宋体" w:hAnsi="宋体"/>
          <w:color w:val="000000"/>
          <w:sz w:val="36"/>
          <w:szCs w:val="36"/>
        </w:rPr>
        <w:t>（第 册，共 册）</w:t>
      </w:r>
    </w:p>
    <w:p>
      <w:pPr>
        <w:jc w:val="center"/>
        <w:rPr>
          <w:rFonts w:ascii="宋体" w:hAnsi="宋体"/>
          <w:color w:val="000000"/>
          <w:sz w:val="36"/>
          <w:szCs w:val="36"/>
        </w:rPr>
      </w:pPr>
    </w:p>
    <w:p>
      <w:pPr>
        <w:jc w:val="center"/>
        <w:rPr>
          <w:rFonts w:ascii="宋体" w:hAnsi="宋体"/>
          <w:color w:val="000000"/>
          <w:sz w:val="36"/>
          <w:szCs w:val="36"/>
        </w:rPr>
      </w:pPr>
    </w:p>
    <w:p>
      <w:pPr>
        <w:jc w:val="center"/>
        <w:rPr>
          <w:rFonts w:ascii="宋体" w:hAnsi="宋体"/>
          <w:color w:val="000000"/>
          <w:sz w:val="36"/>
          <w:szCs w:val="36"/>
        </w:rPr>
      </w:pPr>
    </w:p>
    <w:p>
      <w:pPr>
        <w:jc w:val="center"/>
        <w:rPr>
          <w:rFonts w:ascii="宋体" w:hAnsi="宋体"/>
          <w:color w:val="000000"/>
          <w:sz w:val="36"/>
          <w:szCs w:val="36"/>
        </w:rPr>
      </w:pPr>
    </w:p>
    <w:p>
      <w:pPr>
        <w:jc w:val="center"/>
        <w:rPr>
          <w:rFonts w:ascii="宋体" w:hAnsi="宋体"/>
          <w:color w:val="000000"/>
          <w:sz w:val="36"/>
          <w:szCs w:val="36"/>
        </w:rPr>
      </w:pPr>
    </w:p>
    <w:p>
      <w:pPr>
        <w:jc w:val="center"/>
        <w:rPr>
          <w:rFonts w:ascii="宋体" w:hAnsi="宋体"/>
          <w:color w:val="000000"/>
          <w:sz w:val="36"/>
          <w:szCs w:val="36"/>
        </w:rPr>
      </w:pPr>
    </w:p>
    <w:p>
      <w:pPr>
        <w:jc w:val="center"/>
        <w:rPr>
          <w:rFonts w:ascii="宋体" w:hAnsi="宋体"/>
          <w:color w:val="000000"/>
          <w:sz w:val="36"/>
          <w:szCs w:val="36"/>
        </w:rPr>
      </w:pPr>
    </w:p>
    <w:p>
      <w:pPr>
        <w:jc w:val="center"/>
        <w:rPr>
          <w:rFonts w:ascii="宋体" w:hAnsi="宋体"/>
          <w:color w:val="000000"/>
          <w:sz w:val="36"/>
          <w:szCs w:val="36"/>
        </w:rPr>
      </w:pPr>
    </w:p>
    <w:p>
      <w:pPr>
        <w:jc w:val="center"/>
        <w:rPr>
          <w:rFonts w:ascii="宋体" w:hAnsi="宋体"/>
          <w:color w:val="000000"/>
          <w:sz w:val="36"/>
          <w:szCs w:val="36"/>
        </w:rPr>
      </w:pPr>
    </w:p>
    <w:p>
      <w:pPr>
        <w:rPr>
          <w:rFonts w:ascii="宋体" w:hAnsi="宋体"/>
          <w:color w:val="000000"/>
          <w:sz w:val="32"/>
          <w:szCs w:val="32"/>
        </w:rPr>
      </w:pPr>
      <w:r>
        <w:rPr>
          <w:rFonts w:hint="eastAsia" w:ascii="宋体" w:hAnsi="宋体"/>
          <w:color w:val="000000"/>
          <w:sz w:val="32"/>
          <w:szCs w:val="32"/>
        </w:rPr>
        <w:t>建设项目名称：</w:t>
      </w:r>
    </w:p>
    <w:p>
      <w:pPr>
        <w:rPr>
          <w:rFonts w:ascii="宋体" w:hAnsi="宋体"/>
          <w:color w:val="000000"/>
          <w:sz w:val="18"/>
          <w:szCs w:val="18"/>
        </w:rPr>
      </w:pPr>
    </w:p>
    <w:p>
      <w:pPr>
        <w:rPr>
          <w:rFonts w:ascii="宋体" w:hAnsi="宋体"/>
          <w:color w:val="000000"/>
          <w:sz w:val="32"/>
          <w:szCs w:val="32"/>
        </w:rPr>
      </w:pPr>
      <w:r>
        <w:rPr>
          <w:rFonts w:hint="eastAsia" w:ascii="宋体" w:hAnsi="宋体"/>
          <w:color w:val="000000"/>
          <w:sz w:val="32"/>
          <w:szCs w:val="32"/>
        </w:rPr>
        <w:t>招标单位名称：（盖单位章）</w:t>
      </w:r>
    </w:p>
    <w:p>
      <w:pPr>
        <w:rPr>
          <w:rFonts w:ascii="宋体" w:hAnsi="宋体"/>
          <w:color w:val="000000"/>
          <w:szCs w:val="21"/>
        </w:rPr>
      </w:pPr>
    </w:p>
    <w:p>
      <w:pPr>
        <w:rPr>
          <w:rFonts w:ascii="宋体" w:hAnsi="宋体"/>
          <w:color w:val="000000"/>
          <w:sz w:val="32"/>
          <w:szCs w:val="32"/>
        </w:rPr>
      </w:pPr>
      <w:r>
        <w:rPr>
          <w:rFonts w:hint="eastAsia" w:ascii="宋体" w:hAnsi="宋体"/>
          <w:color w:val="000000"/>
          <w:sz w:val="32"/>
          <w:szCs w:val="32"/>
        </w:rPr>
        <w:t>编制单位名称：（盖单位章及资质专用章）</w:t>
      </w:r>
    </w:p>
    <w:p>
      <w:pPr>
        <w:rPr>
          <w:rFonts w:ascii="宋体" w:hAnsi="宋体"/>
          <w:color w:val="000000"/>
          <w:szCs w:val="21"/>
        </w:rPr>
      </w:pPr>
    </w:p>
    <w:p>
      <w:pPr>
        <w:spacing w:line="380" w:lineRule="exact"/>
        <w:rPr>
          <w:rFonts w:ascii="黑体" w:hAnsi="宋体" w:eastAsia="黑体"/>
          <w:color w:val="000000"/>
          <w:sz w:val="24"/>
        </w:rPr>
      </w:pPr>
      <w:r>
        <w:rPr>
          <w:rFonts w:hint="eastAsia" w:ascii="宋体" w:hAnsi="宋体"/>
          <w:color w:val="000000"/>
          <w:sz w:val="32"/>
          <w:szCs w:val="32"/>
        </w:rPr>
        <w:t>编制日期：    年   月   日</w:t>
      </w:r>
      <w:r>
        <w:rPr>
          <w:rFonts w:ascii="黑体" w:hAnsi="宋体" w:eastAsia="黑体"/>
          <w:color w:val="000000"/>
        </w:rPr>
        <w:br w:type="page"/>
      </w:r>
      <w:r>
        <w:rPr>
          <w:rFonts w:hint="eastAsia" w:ascii="黑体" w:hAnsi="宋体" w:eastAsia="黑体"/>
          <w:color w:val="000000"/>
          <w:sz w:val="24"/>
        </w:rPr>
        <w:t>4.2招标控制价封面</w:t>
      </w:r>
    </w:p>
    <w:p>
      <w:pPr>
        <w:ind w:firstLine="2833" w:firstLineChars="1012"/>
        <w:jc w:val="center"/>
        <w:rPr>
          <w:rFonts w:ascii="宋体" w:hAnsi="宋体" w:cs="宋体"/>
          <w:color w:val="000000"/>
          <w:sz w:val="28"/>
          <w:szCs w:val="28"/>
          <w:u w:val="single"/>
        </w:rPr>
      </w:pPr>
      <w:bookmarkStart w:id="1296" w:name="_Toc399072180"/>
      <w:r>
        <w:rPr>
          <w:rFonts w:hint="eastAsia" w:ascii="宋体" w:hAnsi="宋体" w:cs="宋体"/>
          <w:color w:val="000000"/>
          <w:sz w:val="28"/>
          <w:szCs w:val="28"/>
        </w:rPr>
        <w:t>档案号：</w:t>
      </w:r>
    </w:p>
    <w:p>
      <w:pPr>
        <w:rPr>
          <w:rFonts w:ascii="宋体" w:hAnsi="宋体" w:cs="宋体"/>
          <w:color w:val="000000"/>
          <w:sz w:val="28"/>
          <w:szCs w:val="28"/>
          <w:u w:val="single"/>
        </w:rPr>
      </w:pPr>
    </w:p>
    <w:p>
      <w:pPr>
        <w:rPr>
          <w:rFonts w:ascii="宋体" w:hAnsi="宋体" w:cs="宋体"/>
          <w:color w:val="000000"/>
          <w:sz w:val="36"/>
          <w:szCs w:val="36"/>
          <w:u w:val="single"/>
        </w:rPr>
      </w:pPr>
    </w:p>
    <w:p>
      <w:pPr>
        <w:jc w:val="center"/>
        <w:rPr>
          <w:rFonts w:ascii="宋体" w:hAnsi="宋体" w:cs="宋体"/>
          <w:color w:val="000000"/>
          <w:sz w:val="36"/>
          <w:szCs w:val="36"/>
        </w:rPr>
      </w:pPr>
      <w:r>
        <w:rPr>
          <w:rFonts w:hint="eastAsia" w:ascii="宋体" w:hAnsi="宋体" w:cs="宋体"/>
          <w:color w:val="000000"/>
          <w:sz w:val="36"/>
          <w:szCs w:val="36"/>
        </w:rPr>
        <w:t>海南省工程建设项目</w:t>
      </w:r>
    </w:p>
    <w:p>
      <w:pPr>
        <w:jc w:val="center"/>
        <w:rPr>
          <w:rFonts w:ascii="方正小标宋简体" w:hAnsi="方正小标宋简体" w:eastAsia="方正小标宋简体" w:cs="方正小标宋简体"/>
          <w:color w:val="000000"/>
          <w:sz w:val="36"/>
          <w:szCs w:val="36"/>
        </w:rPr>
      </w:pPr>
      <w:r>
        <w:rPr>
          <w:rFonts w:hint="eastAsia" w:ascii="方正小标宋简体" w:hAnsi="方正小标宋简体" w:eastAsia="方正小标宋简体" w:cs="方正小标宋简体"/>
          <w:color w:val="000000"/>
          <w:sz w:val="36"/>
          <w:szCs w:val="36"/>
        </w:rPr>
        <w:t>招 标 控 制 价</w:t>
      </w:r>
    </w:p>
    <w:p>
      <w:pPr>
        <w:jc w:val="center"/>
        <w:rPr>
          <w:rFonts w:ascii="宋体" w:hAnsi="宋体" w:cs="宋体"/>
          <w:color w:val="000000"/>
          <w:sz w:val="28"/>
          <w:szCs w:val="28"/>
        </w:rPr>
      </w:pPr>
      <w:r>
        <w:rPr>
          <w:rFonts w:hint="eastAsia" w:ascii="宋体" w:hAnsi="宋体" w:cs="宋体"/>
          <w:color w:val="000000"/>
          <w:sz w:val="28"/>
          <w:szCs w:val="28"/>
        </w:rPr>
        <w:t>（第  册，共  册）</w:t>
      </w:r>
    </w:p>
    <w:p>
      <w:pPr>
        <w:jc w:val="center"/>
        <w:rPr>
          <w:rFonts w:ascii="黑体" w:hAnsi="宋体" w:eastAsia="黑体"/>
          <w:color w:val="000000"/>
          <w:sz w:val="28"/>
          <w:szCs w:val="28"/>
        </w:rPr>
      </w:pPr>
    </w:p>
    <w:p>
      <w:pPr>
        <w:jc w:val="center"/>
        <w:rPr>
          <w:rFonts w:ascii="黑体" w:hAnsi="宋体" w:eastAsia="黑体"/>
          <w:color w:val="000000"/>
          <w:sz w:val="28"/>
          <w:szCs w:val="28"/>
        </w:rPr>
      </w:pPr>
    </w:p>
    <w:p>
      <w:pPr>
        <w:rPr>
          <w:rFonts w:ascii="黑体" w:hAnsi="宋体" w:eastAsia="黑体"/>
          <w:color w:val="000000"/>
          <w:sz w:val="28"/>
          <w:szCs w:val="28"/>
        </w:rPr>
      </w:pPr>
    </w:p>
    <w:p>
      <w:pPr>
        <w:rPr>
          <w:rFonts w:ascii="黑体" w:hAnsi="宋体" w:eastAsia="黑体"/>
          <w:color w:val="000000"/>
          <w:sz w:val="28"/>
          <w:szCs w:val="28"/>
        </w:rPr>
      </w:pPr>
    </w:p>
    <w:p>
      <w:pPr>
        <w:rPr>
          <w:rFonts w:ascii="黑体" w:hAnsi="宋体" w:eastAsia="黑体"/>
          <w:color w:val="000000"/>
          <w:sz w:val="28"/>
          <w:szCs w:val="28"/>
        </w:rPr>
      </w:pPr>
    </w:p>
    <w:p>
      <w:pPr>
        <w:rPr>
          <w:rFonts w:ascii="黑体" w:hAnsi="宋体" w:eastAsia="黑体"/>
          <w:color w:val="000000"/>
          <w:sz w:val="28"/>
          <w:szCs w:val="28"/>
        </w:rPr>
      </w:pPr>
    </w:p>
    <w:p>
      <w:pPr>
        <w:rPr>
          <w:rFonts w:ascii="黑体" w:hAnsi="宋体" w:eastAsia="黑体"/>
          <w:color w:val="000000"/>
          <w:sz w:val="28"/>
          <w:szCs w:val="28"/>
        </w:rPr>
      </w:pPr>
    </w:p>
    <w:p>
      <w:pPr>
        <w:rPr>
          <w:rFonts w:ascii="宋体" w:hAnsi="宋体" w:cs="宋体"/>
          <w:color w:val="000000"/>
          <w:sz w:val="28"/>
          <w:szCs w:val="28"/>
        </w:rPr>
      </w:pPr>
      <w:r>
        <w:rPr>
          <w:rFonts w:hint="eastAsia" w:ascii="宋体" w:hAnsi="宋体" w:cs="宋体"/>
          <w:color w:val="000000"/>
          <w:sz w:val="28"/>
          <w:szCs w:val="28"/>
        </w:rPr>
        <w:t>建设项目名称：</w:t>
      </w:r>
    </w:p>
    <w:p>
      <w:pPr>
        <w:rPr>
          <w:rFonts w:ascii="宋体" w:hAnsi="宋体" w:cs="宋体"/>
          <w:color w:val="000000"/>
          <w:sz w:val="28"/>
          <w:szCs w:val="28"/>
        </w:rPr>
      </w:pPr>
    </w:p>
    <w:p>
      <w:pPr>
        <w:rPr>
          <w:rFonts w:ascii="宋体" w:hAnsi="宋体" w:cs="宋体"/>
          <w:color w:val="000000"/>
          <w:sz w:val="28"/>
          <w:szCs w:val="28"/>
        </w:rPr>
      </w:pPr>
      <w:r>
        <w:rPr>
          <w:rFonts w:hint="eastAsia" w:ascii="宋体" w:hAnsi="宋体" w:cs="宋体"/>
          <w:color w:val="000000"/>
          <w:sz w:val="28"/>
          <w:szCs w:val="28"/>
        </w:rPr>
        <w:t>招标单位名称：（盖单位章）</w:t>
      </w:r>
    </w:p>
    <w:p>
      <w:pPr>
        <w:rPr>
          <w:rFonts w:ascii="宋体" w:hAnsi="宋体" w:cs="宋体"/>
          <w:color w:val="000000"/>
          <w:sz w:val="28"/>
          <w:szCs w:val="28"/>
        </w:rPr>
      </w:pPr>
    </w:p>
    <w:p>
      <w:pPr>
        <w:rPr>
          <w:rFonts w:ascii="宋体" w:hAnsi="宋体" w:cs="宋体"/>
          <w:color w:val="000000"/>
          <w:sz w:val="28"/>
          <w:szCs w:val="28"/>
        </w:rPr>
      </w:pPr>
      <w:r>
        <w:rPr>
          <w:rFonts w:hint="eastAsia" w:ascii="宋体" w:hAnsi="宋体" w:cs="宋体"/>
          <w:color w:val="000000"/>
          <w:sz w:val="28"/>
          <w:szCs w:val="28"/>
        </w:rPr>
        <w:t>编制单位名称：（盖单位章及资质专用章）</w:t>
      </w:r>
    </w:p>
    <w:p>
      <w:pPr>
        <w:rPr>
          <w:rFonts w:ascii="宋体" w:hAnsi="宋体" w:cs="宋体"/>
          <w:color w:val="000000"/>
          <w:sz w:val="28"/>
          <w:szCs w:val="28"/>
        </w:rPr>
      </w:pPr>
    </w:p>
    <w:p>
      <w:pPr>
        <w:rPr>
          <w:rFonts w:ascii="宋体" w:hAnsi="宋体" w:cs="宋体"/>
          <w:color w:val="000000"/>
          <w:sz w:val="28"/>
          <w:szCs w:val="28"/>
        </w:rPr>
      </w:pPr>
      <w:r>
        <w:rPr>
          <w:rFonts w:hint="eastAsia" w:ascii="宋体" w:hAnsi="宋体" w:cs="宋体"/>
          <w:color w:val="000000"/>
          <w:sz w:val="28"/>
          <w:szCs w:val="28"/>
        </w:rPr>
        <w:t>编 制 日  期：    年    月   日</w:t>
      </w:r>
    </w:p>
    <w:bookmarkEnd w:id="1296"/>
    <w:p>
      <w:pPr>
        <w:spacing w:line="380" w:lineRule="exact"/>
        <w:rPr>
          <w:rFonts w:ascii="黑体" w:hAnsi="宋体" w:eastAsia="黑体"/>
          <w:color w:val="000000"/>
          <w:sz w:val="24"/>
        </w:rPr>
      </w:pPr>
      <w:r>
        <w:rPr>
          <w:rFonts w:ascii="黑体" w:hAnsi="宋体" w:eastAsia="黑体"/>
          <w:color w:val="000000"/>
          <w:sz w:val="24"/>
        </w:rPr>
        <w:br w:type="page"/>
      </w:r>
      <w:r>
        <w:rPr>
          <w:rFonts w:hint="eastAsia" w:ascii="黑体" w:hAnsi="宋体" w:eastAsia="黑体"/>
          <w:color w:val="000000"/>
          <w:sz w:val="24"/>
        </w:rPr>
        <w:t>4.3投标总价封面</w:t>
      </w:r>
    </w:p>
    <w:p>
      <w:pPr>
        <w:spacing w:line="380" w:lineRule="exact"/>
        <w:rPr>
          <w:rFonts w:ascii="黑体" w:hAnsi="宋体" w:eastAsia="黑体"/>
          <w:b/>
          <w:color w:val="000000"/>
          <w:sz w:val="28"/>
          <w:szCs w:val="28"/>
        </w:rPr>
      </w:pPr>
    </w:p>
    <w:p>
      <w:pPr>
        <w:spacing w:line="380" w:lineRule="exact"/>
        <w:rPr>
          <w:rFonts w:ascii="黑体" w:hAnsi="宋体" w:eastAsia="黑体"/>
          <w:b/>
          <w:color w:val="000000"/>
          <w:sz w:val="28"/>
          <w:szCs w:val="28"/>
        </w:rPr>
      </w:pPr>
    </w:p>
    <w:p>
      <w:pPr>
        <w:spacing w:line="380" w:lineRule="exact"/>
        <w:rPr>
          <w:rFonts w:ascii="黑体" w:hAnsi="宋体" w:eastAsia="黑体"/>
          <w:b/>
          <w:color w:val="000000"/>
          <w:sz w:val="28"/>
          <w:szCs w:val="28"/>
        </w:rPr>
      </w:pPr>
    </w:p>
    <w:p>
      <w:pPr>
        <w:spacing w:line="380" w:lineRule="exact"/>
        <w:rPr>
          <w:rFonts w:ascii="黑体" w:hAnsi="宋体" w:eastAsia="黑体"/>
          <w:b/>
          <w:color w:val="000000"/>
          <w:sz w:val="28"/>
          <w:szCs w:val="28"/>
        </w:rPr>
      </w:pPr>
    </w:p>
    <w:p>
      <w:pPr>
        <w:spacing w:line="380" w:lineRule="exact"/>
        <w:rPr>
          <w:rFonts w:ascii="黑体" w:hAnsi="宋体" w:eastAsia="黑体"/>
          <w:b/>
          <w:color w:val="000000"/>
          <w:sz w:val="28"/>
          <w:szCs w:val="28"/>
        </w:rPr>
      </w:pPr>
      <w:r>
        <w:rPr>
          <w:rFonts w:hint="eastAsia" w:ascii="黑体" w:hAnsi="宋体" w:eastAsia="黑体"/>
          <w:b/>
          <w:color w:val="000000"/>
          <w:sz w:val="28"/>
          <w:szCs w:val="28"/>
        </w:rPr>
        <w:t>工程</w:t>
      </w:r>
    </w:p>
    <w:p>
      <w:pPr>
        <w:spacing w:line="380" w:lineRule="exact"/>
        <w:rPr>
          <w:rFonts w:ascii="黑体" w:hAnsi="宋体" w:eastAsia="黑体"/>
          <w:color w:val="000000"/>
          <w:sz w:val="24"/>
        </w:rPr>
      </w:pPr>
    </w:p>
    <w:p>
      <w:pPr>
        <w:spacing w:line="380" w:lineRule="exact"/>
        <w:rPr>
          <w:rFonts w:ascii="黑体" w:hAnsi="宋体" w:eastAsia="黑体"/>
          <w:color w:val="000000"/>
          <w:sz w:val="24"/>
        </w:rPr>
      </w:pPr>
    </w:p>
    <w:p>
      <w:pPr>
        <w:spacing w:line="380" w:lineRule="exact"/>
        <w:rPr>
          <w:rFonts w:ascii="黑体" w:hAnsi="宋体" w:eastAsia="黑体"/>
          <w:color w:val="000000"/>
          <w:sz w:val="24"/>
        </w:rPr>
      </w:pPr>
    </w:p>
    <w:p>
      <w:pPr>
        <w:spacing w:line="380" w:lineRule="exact"/>
        <w:rPr>
          <w:rFonts w:ascii="黑体" w:hAnsi="宋体" w:eastAsia="黑体"/>
          <w:color w:val="000000"/>
          <w:sz w:val="24"/>
        </w:rPr>
      </w:pPr>
    </w:p>
    <w:p>
      <w:pPr>
        <w:spacing w:line="380" w:lineRule="exact"/>
        <w:rPr>
          <w:rFonts w:ascii="黑体" w:hAnsi="宋体" w:eastAsia="黑体"/>
          <w:color w:val="000000"/>
          <w:sz w:val="24"/>
        </w:rPr>
      </w:pPr>
    </w:p>
    <w:p>
      <w:pPr>
        <w:spacing w:line="380" w:lineRule="exact"/>
        <w:rPr>
          <w:rFonts w:ascii="黑体" w:hAnsi="宋体" w:eastAsia="黑体"/>
          <w:color w:val="000000"/>
          <w:sz w:val="24"/>
        </w:rPr>
      </w:pPr>
    </w:p>
    <w:p>
      <w:pPr>
        <w:spacing w:line="380" w:lineRule="exact"/>
        <w:rPr>
          <w:rFonts w:ascii="黑体" w:hAnsi="宋体" w:eastAsia="黑体"/>
          <w:color w:val="000000"/>
          <w:sz w:val="24"/>
        </w:rPr>
      </w:pPr>
    </w:p>
    <w:p>
      <w:pPr>
        <w:spacing w:line="380" w:lineRule="exact"/>
        <w:rPr>
          <w:rFonts w:ascii="黑体" w:hAnsi="宋体" w:eastAsia="黑体"/>
          <w:color w:val="000000"/>
          <w:sz w:val="24"/>
        </w:rPr>
      </w:pPr>
    </w:p>
    <w:p>
      <w:pPr>
        <w:spacing w:line="380" w:lineRule="exact"/>
        <w:rPr>
          <w:rFonts w:ascii="黑体" w:hAnsi="宋体" w:eastAsia="黑体"/>
          <w:color w:val="000000"/>
          <w:sz w:val="24"/>
        </w:rPr>
      </w:pPr>
    </w:p>
    <w:p>
      <w:pPr>
        <w:spacing w:line="380" w:lineRule="exact"/>
        <w:jc w:val="center"/>
        <w:rPr>
          <w:rFonts w:ascii="黑体" w:hAnsi="宋体" w:eastAsia="黑体"/>
          <w:color w:val="000000"/>
          <w:sz w:val="32"/>
          <w:szCs w:val="32"/>
        </w:rPr>
      </w:pPr>
      <w:r>
        <w:rPr>
          <w:rFonts w:hint="eastAsia" w:ascii="黑体" w:hAnsi="宋体" w:eastAsia="黑体"/>
          <w:color w:val="000000"/>
          <w:sz w:val="32"/>
          <w:szCs w:val="32"/>
        </w:rPr>
        <w:t>投标总价</w:t>
      </w:r>
    </w:p>
    <w:p>
      <w:pPr>
        <w:spacing w:line="380" w:lineRule="exact"/>
        <w:rPr>
          <w:rFonts w:ascii="黑体" w:hAnsi="宋体" w:eastAsia="黑体"/>
          <w:color w:val="000000"/>
          <w:sz w:val="24"/>
        </w:rPr>
      </w:pPr>
    </w:p>
    <w:p>
      <w:pPr>
        <w:spacing w:line="380" w:lineRule="exact"/>
        <w:rPr>
          <w:rFonts w:ascii="黑体" w:hAnsi="宋体" w:eastAsia="黑体"/>
          <w:color w:val="000000"/>
          <w:sz w:val="24"/>
        </w:rPr>
      </w:pPr>
    </w:p>
    <w:p>
      <w:pPr>
        <w:spacing w:line="380" w:lineRule="exact"/>
        <w:rPr>
          <w:rFonts w:ascii="黑体" w:hAnsi="宋体" w:eastAsia="黑体"/>
          <w:color w:val="000000"/>
          <w:sz w:val="24"/>
        </w:rPr>
      </w:pPr>
    </w:p>
    <w:p>
      <w:pPr>
        <w:spacing w:line="380" w:lineRule="exact"/>
        <w:rPr>
          <w:rFonts w:ascii="黑体" w:hAnsi="宋体" w:eastAsia="黑体"/>
          <w:color w:val="000000"/>
          <w:sz w:val="24"/>
        </w:rPr>
      </w:pPr>
    </w:p>
    <w:p>
      <w:pPr>
        <w:spacing w:line="380" w:lineRule="exact"/>
        <w:rPr>
          <w:rFonts w:ascii="黑体" w:hAnsi="宋体" w:eastAsia="黑体"/>
          <w:color w:val="000000"/>
          <w:sz w:val="24"/>
        </w:rPr>
      </w:pPr>
    </w:p>
    <w:p>
      <w:pPr>
        <w:spacing w:line="380" w:lineRule="exact"/>
        <w:rPr>
          <w:rFonts w:ascii="黑体" w:hAnsi="宋体" w:eastAsia="黑体"/>
          <w:color w:val="000000"/>
          <w:sz w:val="24"/>
        </w:rPr>
      </w:pPr>
    </w:p>
    <w:p>
      <w:pPr>
        <w:spacing w:line="380" w:lineRule="exact"/>
        <w:rPr>
          <w:rFonts w:ascii="黑体" w:hAnsi="宋体" w:eastAsia="黑体"/>
          <w:color w:val="000000"/>
          <w:sz w:val="24"/>
        </w:rPr>
      </w:pPr>
    </w:p>
    <w:p>
      <w:pPr>
        <w:spacing w:line="380" w:lineRule="exact"/>
        <w:rPr>
          <w:rFonts w:ascii="黑体" w:hAnsi="宋体" w:eastAsia="黑体"/>
          <w:color w:val="000000"/>
          <w:sz w:val="24"/>
        </w:rPr>
      </w:pPr>
    </w:p>
    <w:p>
      <w:pPr>
        <w:spacing w:line="380" w:lineRule="exact"/>
        <w:rPr>
          <w:rFonts w:ascii="黑体" w:hAnsi="宋体" w:eastAsia="黑体"/>
          <w:color w:val="000000"/>
          <w:sz w:val="24"/>
        </w:rPr>
      </w:pPr>
    </w:p>
    <w:p>
      <w:pPr>
        <w:spacing w:line="380" w:lineRule="exact"/>
        <w:rPr>
          <w:rFonts w:ascii="黑体" w:hAnsi="宋体" w:eastAsia="黑体"/>
          <w:color w:val="000000"/>
          <w:sz w:val="24"/>
        </w:rPr>
      </w:pPr>
    </w:p>
    <w:p>
      <w:pPr>
        <w:spacing w:line="380" w:lineRule="exact"/>
        <w:rPr>
          <w:rFonts w:ascii="黑体" w:hAnsi="宋体" w:eastAsia="黑体"/>
          <w:color w:val="000000"/>
          <w:sz w:val="24"/>
        </w:rPr>
      </w:pPr>
    </w:p>
    <w:p>
      <w:pPr>
        <w:spacing w:line="380" w:lineRule="exact"/>
        <w:rPr>
          <w:rFonts w:ascii="黑体" w:hAnsi="宋体" w:eastAsia="黑体"/>
          <w:color w:val="000000"/>
          <w:sz w:val="24"/>
        </w:rPr>
      </w:pPr>
    </w:p>
    <w:p>
      <w:pPr>
        <w:spacing w:line="380" w:lineRule="exact"/>
        <w:rPr>
          <w:rFonts w:ascii="黑体" w:hAnsi="宋体" w:eastAsia="黑体"/>
          <w:color w:val="000000"/>
          <w:sz w:val="28"/>
          <w:szCs w:val="28"/>
        </w:rPr>
      </w:pPr>
    </w:p>
    <w:p>
      <w:pPr>
        <w:spacing w:line="260" w:lineRule="exact"/>
        <w:ind w:firstLine="1680" w:firstLineChars="600"/>
        <w:rPr>
          <w:rFonts w:ascii="宋体" w:hAnsi="宋体"/>
          <w:color w:val="000000"/>
          <w:sz w:val="28"/>
          <w:szCs w:val="28"/>
        </w:rPr>
      </w:pPr>
      <w:r>
        <w:rPr>
          <w:rFonts w:hint="eastAsia" w:ascii="宋体" w:hAnsi="宋体"/>
          <w:color w:val="000000"/>
          <w:sz w:val="28"/>
          <w:szCs w:val="28"/>
        </w:rPr>
        <w:t>投标人：</w:t>
      </w:r>
    </w:p>
    <w:p>
      <w:pPr>
        <w:spacing w:line="260" w:lineRule="exact"/>
        <w:rPr>
          <w:rFonts w:ascii="宋体" w:hAnsi="宋体"/>
          <w:color w:val="000000"/>
          <w:sz w:val="28"/>
          <w:szCs w:val="28"/>
        </w:rPr>
      </w:pPr>
      <w:r>
        <w:rPr>
          <w:rFonts w:hint="eastAsia" w:ascii="宋体" w:hAnsi="宋体"/>
          <w:color w:val="000000"/>
          <w:sz w:val="28"/>
          <w:szCs w:val="28"/>
        </w:rPr>
        <w:t xml:space="preserve">                          </w:t>
      </w:r>
      <w:r>
        <w:rPr>
          <w:rFonts w:hint="eastAsia" w:ascii="宋体" w:hAnsi="宋体"/>
          <w:color w:val="000000"/>
          <w:sz w:val="28"/>
          <w:szCs w:val="28"/>
          <w:lang w:eastAsia="zh-CN"/>
        </w:rPr>
        <w:t>（</w:t>
      </w:r>
      <w:r>
        <w:rPr>
          <w:rFonts w:hint="eastAsia" w:ascii="宋体" w:hAnsi="宋体"/>
          <w:color w:val="000000"/>
          <w:sz w:val="28"/>
          <w:szCs w:val="28"/>
        </w:rPr>
        <w:t>单位盖章</w:t>
      </w:r>
      <w:r>
        <w:rPr>
          <w:rFonts w:hint="eastAsia" w:ascii="宋体" w:hAnsi="宋体"/>
          <w:color w:val="000000"/>
          <w:sz w:val="28"/>
          <w:szCs w:val="28"/>
          <w:lang w:eastAsia="zh-CN"/>
        </w:rPr>
        <w:t>）</w:t>
      </w:r>
      <w:r>
        <w:rPr>
          <w:rFonts w:hint="eastAsia" w:ascii="宋体" w:hAnsi="宋体"/>
          <w:color w:val="000000"/>
          <w:sz w:val="28"/>
          <w:szCs w:val="28"/>
        </w:rPr>
        <w:t xml:space="preserve">              </w:t>
      </w:r>
    </w:p>
    <w:p>
      <w:pPr>
        <w:spacing w:line="260" w:lineRule="exact"/>
        <w:rPr>
          <w:rFonts w:ascii="宋体" w:hAnsi="宋体"/>
          <w:color w:val="000000"/>
          <w:sz w:val="28"/>
          <w:szCs w:val="28"/>
        </w:rPr>
      </w:pPr>
    </w:p>
    <w:p>
      <w:pPr>
        <w:spacing w:line="260" w:lineRule="exact"/>
        <w:rPr>
          <w:rFonts w:ascii="宋体" w:hAnsi="宋体"/>
          <w:color w:val="000000"/>
          <w:sz w:val="28"/>
          <w:szCs w:val="28"/>
        </w:rPr>
      </w:pPr>
    </w:p>
    <w:p>
      <w:pPr>
        <w:spacing w:line="260" w:lineRule="exact"/>
        <w:rPr>
          <w:rFonts w:ascii="宋体" w:hAnsi="宋体"/>
          <w:color w:val="000000"/>
          <w:sz w:val="28"/>
          <w:szCs w:val="28"/>
        </w:rPr>
      </w:pPr>
    </w:p>
    <w:p>
      <w:pPr>
        <w:spacing w:line="260" w:lineRule="exact"/>
        <w:rPr>
          <w:rFonts w:ascii="宋体" w:hAnsi="宋体"/>
          <w:color w:val="000000"/>
          <w:sz w:val="28"/>
          <w:szCs w:val="28"/>
        </w:rPr>
      </w:pPr>
    </w:p>
    <w:p>
      <w:pPr>
        <w:spacing w:line="260" w:lineRule="exact"/>
        <w:jc w:val="center"/>
        <w:rPr>
          <w:rFonts w:ascii="宋体" w:hAnsi="宋体"/>
          <w:color w:val="000000"/>
          <w:sz w:val="28"/>
          <w:szCs w:val="28"/>
        </w:rPr>
      </w:pPr>
      <w:r>
        <w:rPr>
          <w:rFonts w:hint="eastAsia" w:ascii="宋体" w:hAnsi="宋体"/>
          <w:color w:val="000000"/>
          <w:sz w:val="28"/>
          <w:szCs w:val="28"/>
        </w:rPr>
        <w:t>年   月  日</w:t>
      </w:r>
    </w:p>
    <w:p>
      <w:pPr>
        <w:spacing w:line="380" w:lineRule="exact"/>
        <w:rPr>
          <w:rFonts w:ascii="黑体" w:hAnsi="宋体" w:eastAsia="黑体"/>
          <w:color w:val="000000"/>
          <w:sz w:val="24"/>
        </w:rPr>
      </w:pPr>
      <w:r>
        <w:rPr>
          <w:rFonts w:ascii="黑体" w:hAnsi="宋体" w:eastAsia="黑体"/>
          <w:color w:val="000000"/>
          <w:sz w:val="24"/>
        </w:rPr>
        <w:br w:type="page"/>
      </w:r>
      <w:r>
        <w:rPr>
          <w:rFonts w:hint="eastAsia" w:ascii="黑体" w:hAnsi="宋体" w:eastAsia="黑体"/>
          <w:color w:val="000000"/>
          <w:sz w:val="24"/>
        </w:rPr>
        <w:t>4.4工程量清单签署页</w:t>
      </w:r>
    </w:p>
    <w:p>
      <w:pPr>
        <w:spacing w:line="380" w:lineRule="exact"/>
        <w:jc w:val="center"/>
        <w:rPr>
          <w:rFonts w:ascii="宋体" w:hAnsi="宋体"/>
          <w:color w:val="000000"/>
        </w:rPr>
      </w:pPr>
      <w:r>
        <w:rPr>
          <w:rFonts w:hint="eastAsia" w:ascii="宋体" w:hAnsi="宋体"/>
          <w:color w:val="000000"/>
        </w:rPr>
        <w:t>工程</w:t>
      </w:r>
    </w:p>
    <w:p>
      <w:pPr>
        <w:spacing w:line="380" w:lineRule="exact"/>
        <w:jc w:val="center"/>
        <w:rPr>
          <w:rFonts w:ascii="宋体" w:hAnsi="宋体"/>
          <w:color w:val="000000"/>
        </w:rPr>
      </w:pPr>
    </w:p>
    <w:p>
      <w:pPr>
        <w:spacing w:line="380" w:lineRule="exact"/>
        <w:jc w:val="center"/>
        <w:rPr>
          <w:rFonts w:ascii="宋体" w:hAnsi="宋体"/>
          <w:color w:val="000000"/>
        </w:rPr>
      </w:pPr>
    </w:p>
    <w:p>
      <w:pPr>
        <w:spacing w:line="380" w:lineRule="exact"/>
        <w:ind w:firstLine="641" w:firstLineChars="200"/>
        <w:jc w:val="center"/>
        <w:rPr>
          <w:rFonts w:ascii="黑体" w:hAnsi="宋体" w:eastAsia="黑体"/>
          <w:b/>
          <w:color w:val="000000"/>
          <w:sz w:val="32"/>
          <w:szCs w:val="32"/>
        </w:rPr>
      </w:pPr>
      <w:r>
        <w:rPr>
          <w:rFonts w:hint="eastAsia" w:ascii="黑体" w:hAnsi="宋体" w:eastAsia="黑体"/>
          <w:b/>
          <w:color w:val="000000"/>
          <w:sz w:val="32"/>
          <w:szCs w:val="32"/>
        </w:rPr>
        <w:t>招标工程量清单</w:t>
      </w:r>
    </w:p>
    <w:p>
      <w:pPr>
        <w:spacing w:line="380" w:lineRule="exact"/>
        <w:ind w:firstLine="560" w:firstLineChars="200"/>
        <w:jc w:val="center"/>
        <w:rPr>
          <w:rFonts w:ascii="黑体" w:hAnsi="宋体" w:eastAsia="黑体"/>
          <w:color w:val="000000"/>
          <w:sz w:val="28"/>
          <w:szCs w:val="28"/>
        </w:rPr>
      </w:pPr>
    </w:p>
    <w:p>
      <w:pPr>
        <w:spacing w:line="380" w:lineRule="exact"/>
        <w:ind w:firstLine="560" w:firstLineChars="200"/>
        <w:jc w:val="center"/>
        <w:rPr>
          <w:rFonts w:ascii="黑体" w:hAnsi="宋体" w:eastAsia="黑体"/>
          <w:color w:val="000000"/>
          <w:sz w:val="28"/>
          <w:szCs w:val="28"/>
        </w:rPr>
      </w:pPr>
    </w:p>
    <w:p>
      <w:pPr>
        <w:spacing w:line="380" w:lineRule="exact"/>
        <w:ind w:firstLine="560" w:firstLineChars="200"/>
        <w:jc w:val="center"/>
        <w:rPr>
          <w:rFonts w:ascii="黑体" w:hAnsi="宋体" w:eastAsia="黑体"/>
          <w:color w:val="000000"/>
          <w:sz w:val="28"/>
          <w:szCs w:val="28"/>
        </w:rPr>
      </w:pPr>
    </w:p>
    <w:p>
      <w:pPr>
        <w:spacing w:line="380" w:lineRule="exact"/>
        <w:ind w:firstLine="560" w:firstLineChars="200"/>
        <w:jc w:val="center"/>
        <w:rPr>
          <w:rFonts w:ascii="黑体" w:hAnsi="宋体" w:eastAsia="黑体"/>
          <w:color w:val="000000"/>
          <w:sz w:val="28"/>
          <w:szCs w:val="28"/>
        </w:rPr>
      </w:pPr>
    </w:p>
    <w:p>
      <w:pPr>
        <w:spacing w:line="380" w:lineRule="exact"/>
        <w:ind w:firstLine="560" w:firstLineChars="200"/>
        <w:jc w:val="center"/>
        <w:rPr>
          <w:rFonts w:ascii="黑体" w:hAnsi="宋体" w:eastAsia="黑体"/>
          <w:color w:val="000000"/>
          <w:sz w:val="28"/>
          <w:szCs w:val="28"/>
        </w:rPr>
      </w:pPr>
    </w:p>
    <w:p>
      <w:pPr>
        <w:spacing w:line="380" w:lineRule="exact"/>
        <w:ind w:firstLine="560" w:firstLineChars="200"/>
        <w:jc w:val="center"/>
        <w:rPr>
          <w:rFonts w:ascii="黑体" w:hAnsi="宋体" w:eastAsia="黑体"/>
          <w:color w:val="000000"/>
          <w:sz w:val="28"/>
          <w:szCs w:val="28"/>
        </w:rPr>
      </w:pPr>
    </w:p>
    <w:p>
      <w:pPr>
        <w:spacing w:line="260" w:lineRule="exact"/>
        <w:rPr>
          <w:rFonts w:ascii="宋体" w:hAnsi="宋体"/>
          <w:color w:val="000000"/>
        </w:rPr>
      </w:pPr>
      <w:r>
        <w:rPr>
          <w:rFonts w:hint="eastAsia" w:ascii="宋体" w:hAnsi="宋体"/>
          <w:color w:val="000000"/>
        </w:rPr>
        <w:t>招标人：   造价咨询人</w:t>
      </w:r>
      <w:r>
        <w:rPr>
          <w:rFonts w:hint="eastAsia" w:ascii="宋体" w:hAnsi="宋体"/>
          <w:color w:val="000000"/>
          <w:szCs w:val="21"/>
        </w:rPr>
        <w:t>：</w:t>
      </w:r>
    </w:p>
    <w:p>
      <w:pPr>
        <w:spacing w:line="260" w:lineRule="exact"/>
        <w:rPr>
          <w:rFonts w:ascii="宋体" w:hAnsi="宋体"/>
          <w:color w:val="000000"/>
        </w:rPr>
      </w:pPr>
      <w:r>
        <w:rPr>
          <w:rFonts w:hint="eastAsia" w:ascii="宋体" w:hAnsi="宋体"/>
          <w:color w:val="000000"/>
        </w:rPr>
        <w:t xml:space="preserve">             </w:t>
      </w:r>
      <w:r>
        <w:rPr>
          <w:rFonts w:hint="eastAsia" w:ascii="宋体" w:hAnsi="宋体"/>
          <w:color w:val="000000"/>
          <w:lang w:eastAsia="zh-CN"/>
        </w:rPr>
        <w:t>（</w:t>
      </w:r>
      <w:r>
        <w:rPr>
          <w:rFonts w:hint="eastAsia" w:ascii="宋体" w:hAnsi="宋体"/>
          <w:color w:val="000000"/>
        </w:rPr>
        <w:t>单位盖章</w:t>
      </w:r>
      <w:r>
        <w:rPr>
          <w:rFonts w:hint="eastAsia" w:ascii="宋体" w:hAnsi="宋体"/>
          <w:color w:val="000000"/>
          <w:lang w:eastAsia="zh-CN"/>
        </w:rPr>
        <w:t>）</w:t>
      </w:r>
      <w:r>
        <w:rPr>
          <w:rFonts w:hint="eastAsia" w:ascii="宋体" w:hAnsi="宋体"/>
          <w:color w:val="000000"/>
        </w:rPr>
        <w:t xml:space="preserve">                             </w:t>
      </w:r>
      <w:r>
        <w:rPr>
          <w:rFonts w:hint="eastAsia" w:ascii="宋体" w:hAnsi="宋体"/>
          <w:color w:val="000000"/>
          <w:lang w:eastAsia="zh-CN"/>
        </w:rPr>
        <w:t>（</w:t>
      </w:r>
      <w:r>
        <w:rPr>
          <w:rFonts w:hint="eastAsia" w:ascii="宋体" w:hAnsi="宋体"/>
          <w:color w:val="000000"/>
        </w:rPr>
        <w:t>单位资质专用章</w:t>
      </w:r>
      <w:r>
        <w:rPr>
          <w:rFonts w:hint="eastAsia" w:ascii="宋体" w:hAnsi="宋体"/>
          <w:color w:val="000000"/>
          <w:lang w:eastAsia="zh-CN"/>
        </w:rPr>
        <w:t>）</w:t>
      </w:r>
    </w:p>
    <w:p>
      <w:pPr>
        <w:spacing w:line="380" w:lineRule="exact"/>
        <w:rPr>
          <w:rFonts w:ascii="宋体" w:hAnsi="宋体"/>
          <w:color w:val="000000"/>
        </w:rPr>
      </w:pPr>
    </w:p>
    <w:p>
      <w:pPr>
        <w:spacing w:line="380" w:lineRule="exact"/>
        <w:rPr>
          <w:rFonts w:ascii="宋体" w:hAnsi="宋体"/>
          <w:color w:val="000000"/>
        </w:rPr>
      </w:pPr>
    </w:p>
    <w:p>
      <w:pPr>
        <w:spacing w:line="380" w:lineRule="exact"/>
        <w:rPr>
          <w:rFonts w:ascii="宋体" w:hAnsi="宋体"/>
          <w:color w:val="000000"/>
        </w:rPr>
      </w:pPr>
    </w:p>
    <w:p>
      <w:pPr>
        <w:spacing w:line="380" w:lineRule="exact"/>
        <w:rPr>
          <w:rFonts w:ascii="宋体" w:hAnsi="宋体"/>
          <w:color w:val="000000"/>
        </w:rPr>
      </w:pPr>
    </w:p>
    <w:p>
      <w:pPr>
        <w:spacing w:line="200" w:lineRule="exact"/>
        <w:rPr>
          <w:rFonts w:ascii="宋体" w:hAnsi="宋体"/>
          <w:color w:val="000000"/>
        </w:rPr>
      </w:pPr>
      <w:r>
        <w:rPr>
          <w:rFonts w:hint="eastAsia" w:ascii="宋体" w:hAnsi="宋体"/>
          <w:color w:val="000000"/>
        </w:rPr>
        <w:t>法定代表人                            法定代表人</w:t>
      </w:r>
    </w:p>
    <w:p>
      <w:pPr>
        <w:spacing w:line="260" w:lineRule="exact"/>
        <w:rPr>
          <w:rFonts w:ascii="宋体" w:hAnsi="宋体"/>
          <w:color w:val="000000"/>
        </w:rPr>
      </w:pPr>
      <w:r>
        <w:rPr>
          <w:rFonts w:hint="eastAsia" w:ascii="宋体" w:hAnsi="宋体"/>
          <w:color w:val="000000"/>
        </w:rPr>
        <w:t>或其授权人：  或其授权人：</w:t>
      </w:r>
    </w:p>
    <w:p>
      <w:pPr>
        <w:spacing w:line="260" w:lineRule="exact"/>
        <w:ind w:firstLine="1050" w:firstLineChars="500"/>
        <w:rPr>
          <w:rFonts w:ascii="宋体" w:hAnsi="宋体"/>
          <w:color w:val="000000"/>
        </w:rPr>
      </w:pPr>
      <w:r>
        <w:rPr>
          <w:rFonts w:hint="eastAsia" w:ascii="宋体" w:hAnsi="宋体"/>
          <w:color w:val="000000"/>
        </w:rPr>
        <w:t xml:space="preserve">        </w:t>
      </w:r>
      <w:r>
        <w:rPr>
          <w:rFonts w:hint="eastAsia" w:ascii="宋体" w:hAnsi="宋体"/>
          <w:color w:val="000000"/>
          <w:lang w:eastAsia="zh-CN"/>
        </w:rPr>
        <w:t>（</w:t>
      </w:r>
      <w:r>
        <w:rPr>
          <w:rFonts w:hint="eastAsia" w:ascii="宋体" w:hAnsi="宋体"/>
          <w:color w:val="000000"/>
        </w:rPr>
        <w:t>签字或盖章</w:t>
      </w:r>
      <w:r>
        <w:rPr>
          <w:rFonts w:hint="eastAsia" w:ascii="宋体" w:hAnsi="宋体"/>
          <w:color w:val="000000"/>
          <w:lang w:eastAsia="zh-CN"/>
        </w:rPr>
        <w:t>）</w:t>
      </w:r>
      <w:r>
        <w:rPr>
          <w:rFonts w:hint="eastAsia" w:ascii="宋体" w:hAnsi="宋体"/>
          <w:color w:val="000000"/>
        </w:rPr>
        <w:t xml:space="preserve">                          </w:t>
      </w:r>
      <w:r>
        <w:rPr>
          <w:rFonts w:hint="eastAsia" w:ascii="宋体" w:hAnsi="宋体"/>
          <w:color w:val="000000"/>
          <w:lang w:eastAsia="zh-CN"/>
        </w:rPr>
        <w:t>（</w:t>
      </w:r>
      <w:r>
        <w:rPr>
          <w:rFonts w:hint="eastAsia" w:ascii="宋体" w:hAnsi="宋体"/>
          <w:color w:val="000000"/>
        </w:rPr>
        <w:t>签字或盖章</w:t>
      </w:r>
      <w:r>
        <w:rPr>
          <w:rFonts w:hint="eastAsia" w:ascii="宋体" w:hAnsi="宋体"/>
          <w:color w:val="000000"/>
          <w:lang w:eastAsia="zh-CN"/>
        </w:rPr>
        <w:t>）</w:t>
      </w:r>
    </w:p>
    <w:p>
      <w:pPr>
        <w:spacing w:line="380" w:lineRule="exact"/>
        <w:rPr>
          <w:rFonts w:ascii="宋体" w:hAnsi="宋体"/>
          <w:color w:val="000000"/>
        </w:rPr>
      </w:pPr>
    </w:p>
    <w:p>
      <w:pPr>
        <w:spacing w:line="380" w:lineRule="exact"/>
        <w:rPr>
          <w:rFonts w:ascii="宋体" w:hAnsi="宋体"/>
          <w:color w:val="000000"/>
        </w:rPr>
      </w:pPr>
    </w:p>
    <w:p>
      <w:pPr>
        <w:spacing w:line="380" w:lineRule="exact"/>
        <w:rPr>
          <w:rFonts w:ascii="宋体" w:hAnsi="宋体"/>
          <w:color w:val="000000"/>
        </w:rPr>
      </w:pPr>
    </w:p>
    <w:p>
      <w:pPr>
        <w:spacing w:line="380" w:lineRule="exact"/>
        <w:rPr>
          <w:rFonts w:ascii="宋体" w:hAnsi="宋体"/>
          <w:color w:val="000000"/>
        </w:rPr>
      </w:pPr>
    </w:p>
    <w:p>
      <w:pPr>
        <w:spacing w:line="260" w:lineRule="exact"/>
        <w:rPr>
          <w:rFonts w:ascii="宋体" w:hAnsi="宋体"/>
          <w:color w:val="000000"/>
        </w:rPr>
      </w:pPr>
      <w:r>
        <w:rPr>
          <w:rFonts w:hint="eastAsia" w:ascii="宋体" w:hAnsi="宋体"/>
          <w:color w:val="000000"/>
        </w:rPr>
        <w:t>编制人：    复核人：</w:t>
      </w:r>
    </w:p>
    <w:p>
      <w:pPr>
        <w:spacing w:line="260" w:lineRule="exact"/>
        <w:ind w:firstLine="1050" w:firstLineChars="500"/>
        <w:rPr>
          <w:rFonts w:ascii="宋体" w:hAnsi="宋体"/>
          <w:color w:val="000000"/>
        </w:rPr>
      </w:pPr>
      <w:r>
        <w:rPr>
          <w:rFonts w:hint="eastAsia" w:ascii="宋体" w:hAnsi="宋体"/>
          <w:color w:val="000000"/>
          <w:lang w:eastAsia="zh-CN"/>
        </w:rPr>
        <w:t>（</w:t>
      </w:r>
      <w:r>
        <w:rPr>
          <w:rFonts w:hint="eastAsia" w:ascii="宋体" w:hAnsi="宋体"/>
          <w:color w:val="000000"/>
        </w:rPr>
        <w:t>造价人员签字盖专用章</w:t>
      </w:r>
      <w:r>
        <w:rPr>
          <w:rFonts w:hint="eastAsia" w:ascii="宋体" w:hAnsi="宋体"/>
          <w:color w:val="000000"/>
          <w:lang w:eastAsia="zh-CN"/>
        </w:rPr>
        <w:t>）</w:t>
      </w:r>
      <w:r>
        <w:rPr>
          <w:rFonts w:hint="eastAsia" w:ascii="宋体" w:hAnsi="宋体"/>
          <w:color w:val="000000"/>
        </w:rPr>
        <w:t xml:space="preserve">                   </w:t>
      </w:r>
      <w:r>
        <w:rPr>
          <w:rFonts w:hint="eastAsia" w:ascii="宋体" w:hAnsi="宋体"/>
          <w:color w:val="000000"/>
          <w:lang w:eastAsia="zh-CN"/>
        </w:rPr>
        <w:t>（</w:t>
      </w:r>
      <w:r>
        <w:rPr>
          <w:rFonts w:hint="eastAsia" w:ascii="宋体" w:hAnsi="宋体"/>
          <w:color w:val="000000"/>
        </w:rPr>
        <w:t>造价工程师签字盖专用章</w:t>
      </w:r>
      <w:r>
        <w:rPr>
          <w:rFonts w:hint="eastAsia" w:ascii="宋体" w:hAnsi="宋体"/>
          <w:color w:val="000000"/>
          <w:lang w:eastAsia="zh-CN"/>
        </w:rPr>
        <w:t>）</w:t>
      </w:r>
    </w:p>
    <w:p>
      <w:pPr>
        <w:spacing w:line="220" w:lineRule="exact"/>
        <w:rPr>
          <w:rFonts w:ascii="宋体" w:hAnsi="宋体"/>
          <w:color w:val="000000"/>
        </w:rPr>
      </w:pPr>
    </w:p>
    <w:p>
      <w:pPr>
        <w:spacing w:line="220" w:lineRule="exact"/>
        <w:rPr>
          <w:rFonts w:ascii="宋体" w:hAnsi="宋体"/>
          <w:color w:val="000000"/>
        </w:rPr>
      </w:pPr>
    </w:p>
    <w:p>
      <w:pPr>
        <w:spacing w:line="220" w:lineRule="exact"/>
        <w:rPr>
          <w:rFonts w:ascii="宋体" w:hAnsi="宋体"/>
          <w:color w:val="000000"/>
        </w:rPr>
      </w:pPr>
    </w:p>
    <w:p>
      <w:pPr>
        <w:spacing w:line="220" w:lineRule="exact"/>
        <w:rPr>
          <w:rFonts w:ascii="宋体" w:hAnsi="宋体"/>
          <w:color w:val="000000"/>
        </w:rPr>
      </w:pPr>
    </w:p>
    <w:p>
      <w:pPr>
        <w:spacing w:line="220" w:lineRule="exact"/>
        <w:rPr>
          <w:rFonts w:ascii="宋体" w:hAnsi="宋体"/>
          <w:color w:val="000000"/>
        </w:rPr>
      </w:pPr>
    </w:p>
    <w:p>
      <w:pPr>
        <w:spacing w:line="220" w:lineRule="exact"/>
        <w:rPr>
          <w:rFonts w:ascii="宋体" w:hAnsi="宋体"/>
          <w:color w:val="000000"/>
        </w:rPr>
      </w:pPr>
    </w:p>
    <w:p>
      <w:pPr>
        <w:spacing w:line="220" w:lineRule="exact"/>
        <w:rPr>
          <w:rFonts w:ascii="宋体" w:hAnsi="宋体"/>
          <w:color w:val="000000"/>
        </w:rPr>
      </w:pPr>
    </w:p>
    <w:p>
      <w:pPr>
        <w:spacing w:line="380" w:lineRule="exact"/>
        <w:rPr>
          <w:rFonts w:ascii="黑体" w:hAnsi="宋体" w:eastAsia="黑体"/>
          <w:color w:val="000000"/>
          <w:sz w:val="24"/>
        </w:rPr>
      </w:pPr>
      <w:r>
        <w:rPr>
          <w:rFonts w:hint="eastAsia" w:ascii="宋体" w:hAnsi="宋体"/>
          <w:color w:val="000000"/>
        </w:rPr>
        <w:t>编制时间：    年    月    日           复核时间：    年    月    日</w:t>
      </w:r>
      <w:r>
        <w:rPr>
          <w:rFonts w:ascii="宋体" w:hAnsi="宋体"/>
          <w:color w:val="000000"/>
        </w:rPr>
        <w:br w:type="page"/>
      </w:r>
      <w:r>
        <w:rPr>
          <w:rFonts w:hint="eastAsia" w:ascii="黑体" w:hAnsi="宋体" w:eastAsia="黑体"/>
          <w:color w:val="000000"/>
          <w:sz w:val="24"/>
        </w:rPr>
        <w:t>4.5招标控制价签署页</w:t>
      </w:r>
    </w:p>
    <w:p>
      <w:pPr>
        <w:rPr>
          <w:rFonts w:ascii="黑体" w:hAnsi="宋体" w:eastAsia="黑体"/>
          <w:color w:val="000000"/>
          <w:sz w:val="28"/>
          <w:szCs w:val="28"/>
        </w:rPr>
      </w:pPr>
    </w:p>
    <w:p>
      <w:pPr>
        <w:rPr>
          <w:rFonts w:ascii="黑体" w:hAnsi="宋体" w:eastAsia="黑体"/>
          <w:color w:val="000000"/>
          <w:sz w:val="28"/>
          <w:szCs w:val="28"/>
        </w:rPr>
      </w:pPr>
    </w:p>
    <w:p>
      <w:pPr>
        <w:rPr>
          <w:rFonts w:ascii="黑体" w:hAnsi="宋体" w:eastAsia="黑体"/>
          <w:color w:val="000000"/>
          <w:sz w:val="28"/>
          <w:szCs w:val="28"/>
        </w:rPr>
      </w:pPr>
    </w:p>
    <w:p>
      <w:pPr>
        <w:ind w:firstLine="2240" w:firstLineChars="800"/>
        <w:rPr>
          <w:rFonts w:ascii="宋体" w:hAnsi="宋体"/>
          <w:color w:val="000000"/>
          <w:sz w:val="28"/>
          <w:szCs w:val="28"/>
        </w:rPr>
      </w:pPr>
      <w:r>
        <w:rPr>
          <w:rFonts w:hint="eastAsia" w:ascii="宋体" w:hAnsi="宋体"/>
          <w:color w:val="000000"/>
          <w:sz w:val="28"/>
          <w:szCs w:val="28"/>
        </w:rPr>
        <w:t>工程</w:t>
      </w:r>
    </w:p>
    <w:p>
      <w:pPr>
        <w:rPr>
          <w:rFonts w:ascii="宋体" w:hAnsi="宋体"/>
          <w:color w:val="000000"/>
        </w:rPr>
      </w:pPr>
    </w:p>
    <w:p>
      <w:pPr>
        <w:rPr>
          <w:rFonts w:ascii="方正小标宋简体" w:hAnsi="方正小标宋简体" w:eastAsia="方正小标宋简体" w:cs="方正小标宋简体"/>
          <w:color w:val="000000"/>
        </w:rPr>
      </w:pPr>
    </w:p>
    <w:p>
      <w:pPr>
        <w:jc w:val="center"/>
        <w:rPr>
          <w:rFonts w:ascii="方正小标宋简体" w:hAnsi="方正小标宋简体" w:eastAsia="方正小标宋简体" w:cs="方正小标宋简体"/>
          <w:color w:val="000000"/>
          <w:sz w:val="28"/>
          <w:szCs w:val="28"/>
        </w:rPr>
      </w:pPr>
      <w:r>
        <w:rPr>
          <w:rFonts w:hint="eastAsia" w:ascii="方正小标宋简体" w:hAnsi="方正小标宋简体" w:eastAsia="方正小标宋简体" w:cs="方正小标宋简体"/>
          <w:color w:val="000000"/>
          <w:sz w:val="32"/>
          <w:szCs w:val="32"/>
        </w:rPr>
        <w:t>招标控制价</w:t>
      </w:r>
    </w:p>
    <w:p>
      <w:pPr>
        <w:rPr>
          <w:rFonts w:ascii="黑体" w:hAnsi="宋体" w:eastAsia="黑体"/>
          <w:color w:val="000000"/>
          <w:sz w:val="28"/>
          <w:szCs w:val="28"/>
        </w:rPr>
      </w:pPr>
    </w:p>
    <w:p>
      <w:pPr>
        <w:rPr>
          <w:rFonts w:ascii="宋体" w:hAnsi="宋体" w:cs="宋体"/>
          <w:color w:val="000000"/>
          <w:sz w:val="28"/>
          <w:szCs w:val="28"/>
        </w:rPr>
      </w:pPr>
      <w:r>
        <w:rPr>
          <w:rFonts w:hint="eastAsia" w:ascii="宋体" w:hAnsi="宋体" w:cs="宋体"/>
          <w:color w:val="000000"/>
          <w:sz w:val="28"/>
          <w:szCs w:val="28"/>
        </w:rPr>
        <w:t>招标控制价：                               元</w:t>
      </w:r>
    </w:p>
    <w:p>
      <w:pPr>
        <w:rPr>
          <w:rFonts w:ascii="宋体" w:hAnsi="宋体" w:cs="宋体"/>
          <w:color w:val="000000"/>
          <w:sz w:val="28"/>
          <w:szCs w:val="28"/>
        </w:rPr>
      </w:pPr>
      <w:r>
        <w:rPr>
          <w:rFonts w:hint="eastAsia" w:ascii="宋体" w:hAnsi="宋体" w:cs="宋体"/>
          <w:color w:val="000000"/>
          <w:sz w:val="28"/>
          <w:szCs w:val="28"/>
        </w:rPr>
        <w:t xml:space="preserve">   （大写）：</w:t>
      </w:r>
    </w:p>
    <w:p>
      <w:pPr>
        <w:rPr>
          <w:rFonts w:ascii="宋体" w:hAnsi="宋体" w:cs="宋体"/>
          <w:color w:val="000000"/>
          <w:sz w:val="28"/>
          <w:szCs w:val="28"/>
        </w:rPr>
      </w:pPr>
      <w:r>
        <w:rPr>
          <w:rFonts w:hint="eastAsia" w:ascii="宋体" w:hAnsi="宋体" w:cs="宋体"/>
          <w:color w:val="000000"/>
          <w:sz w:val="28"/>
          <w:szCs w:val="28"/>
        </w:rPr>
        <w:t xml:space="preserve">  结构形式：              建筑层数：</w:t>
      </w:r>
    </w:p>
    <w:p>
      <w:pPr>
        <w:rPr>
          <w:rFonts w:ascii="宋体" w:hAnsi="宋体" w:cs="宋体"/>
          <w:color w:val="000000"/>
          <w:sz w:val="28"/>
          <w:szCs w:val="28"/>
        </w:rPr>
      </w:pPr>
      <w:r>
        <w:rPr>
          <w:rFonts w:hint="eastAsia" w:ascii="宋体" w:hAnsi="宋体" w:cs="宋体"/>
          <w:color w:val="000000"/>
          <w:sz w:val="28"/>
          <w:szCs w:val="28"/>
        </w:rPr>
        <w:t xml:space="preserve">  建筑面积：         ㎡   经济指标：      元/㎡  </w:t>
      </w:r>
    </w:p>
    <w:p>
      <w:pPr>
        <w:rPr>
          <w:rFonts w:ascii="黑体" w:hAnsi="宋体" w:eastAsia="黑体"/>
          <w:color w:val="000000"/>
          <w:sz w:val="28"/>
          <w:szCs w:val="28"/>
        </w:rPr>
      </w:pPr>
    </w:p>
    <w:p>
      <w:pPr>
        <w:rPr>
          <w:rFonts w:ascii="黑体" w:hAnsi="宋体" w:eastAsia="黑体"/>
          <w:color w:val="000000"/>
          <w:sz w:val="28"/>
          <w:szCs w:val="28"/>
        </w:rPr>
      </w:pPr>
    </w:p>
    <w:p>
      <w:pPr>
        <w:rPr>
          <w:rFonts w:ascii="宋体" w:hAnsi="宋体"/>
          <w:color w:val="000000"/>
          <w:sz w:val="24"/>
        </w:rPr>
      </w:pPr>
      <w:r>
        <w:rPr>
          <w:rFonts w:hint="eastAsia" w:ascii="宋体" w:hAnsi="宋体"/>
          <w:color w:val="000000"/>
          <w:sz w:val="24"/>
        </w:rPr>
        <w:t>招标人：   造价咨询人：</w:t>
      </w:r>
    </w:p>
    <w:p>
      <w:pPr>
        <w:rPr>
          <w:rFonts w:ascii="宋体" w:hAnsi="宋体"/>
          <w:color w:val="000000"/>
          <w:sz w:val="24"/>
        </w:rPr>
      </w:pPr>
      <w:r>
        <w:rPr>
          <w:rFonts w:hint="eastAsia" w:ascii="宋体" w:hAnsi="宋体"/>
          <w:color w:val="000000"/>
          <w:sz w:val="24"/>
        </w:rPr>
        <w:t xml:space="preserve">              </w:t>
      </w:r>
      <w:r>
        <w:rPr>
          <w:rFonts w:hint="eastAsia" w:ascii="宋体" w:hAnsi="宋体"/>
          <w:color w:val="000000"/>
          <w:sz w:val="24"/>
          <w:lang w:eastAsia="zh-CN"/>
        </w:rPr>
        <w:t>（</w:t>
      </w:r>
      <w:r>
        <w:rPr>
          <w:rFonts w:hint="eastAsia" w:ascii="宋体" w:hAnsi="宋体"/>
          <w:color w:val="000000"/>
          <w:sz w:val="24"/>
        </w:rPr>
        <w:t>单位盖章</w:t>
      </w:r>
      <w:r>
        <w:rPr>
          <w:rFonts w:hint="eastAsia" w:ascii="宋体" w:hAnsi="宋体"/>
          <w:color w:val="000000"/>
          <w:sz w:val="24"/>
          <w:lang w:eastAsia="zh-CN"/>
        </w:rPr>
        <w:t>）</w:t>
      </w:r>
      <w:r>
        <w:rPr>
          <w:rFonts w:hint="eastAsia" w:ascii="宋体" w:hAnsi="宋体"/>
          <w:color w:val="000000"/>
          <w:sz w:val="24"/>
        </w:rPr>
        <w:t xml:space="preserve">                              </w:t>
      </w:r>
      <w:r>
        <w:rPr>
          <w:rFonts w:hint="eastAsia" w:ascii="宋体" w:hAnsi="宋体"/>
          <w:color w:val="000000"/>
          <w:sz w:val="24"/>
          <w:lang w:eastAsia="zh-CN"/>
        </w:rPr>
        <w:t>（</w:t>
      </w:r>
      <w:r>
        <w:rPr>
          <w:rFonts w:hint="eastAsia" w:ascii="宋体" w:hAnsi="宋体"/>
          <w:color w:val="000000"/>
          <w:sz w:val="24"/>
        </w:rPr>
        <w:t>单位资质专用章</w:t>
      </w:r>
      <w:r>
        <w:rPr>
          <w:rFonts w:hint="eastAsia" w:ascii="宋体" w:hAnsi="宋体"/>
          <w:color w:val="000000"/>
          <w:sz w:val="24"/>
          <w:lang w:eastAsia="zh-CN"/>
        </w:rPr>
        <w:t>）</w:t>
      </w:r>
    </w:p>
    <w:p>
      <w:pPr>
        <w:rPr>
          <w:rFonts w:ascii="宋体" w:hAnsi="宋体"/>
          <w:color w:val="000000"/>
          <w:sz w:val="24"/>
        </w:rPr>
      </w:pPr>
    </w:p>
    <w:p>
      <w:pPr>
        <w:rPr>
          <w:rFonts w:ascii="宋体" w:hAnsi="宋体"/>
          <w:color w:val="000000"/>
          <w:sz w:val="24"/>
        </w:rPr>
      </w:pPr>
    </w:p>
    <w:p>
      <w:pPr>
        <w:rPr>
          <w:rFonts w:ascii="宋体" w:hAnsi="宋体"/>
          <w:color w:val="000000"/>
          <w:sz w:val="24"/>
        </w:rPr>
      </w:pPr>
      <w:r>
        <w:rPr>
          <w:rFonts w:hint="eastAsia" w:ascii="宋体" w:hAnsi="宋体"/>
          <w:color w:val="000000"/>
          <w:sz w:val="24"/>
        </w:rPr>
        <w:t>法定代表人                            法定代表人</w:t>
      </w:r>
    </w:p>
    <w:p>
      <w:pPr>
        <w:rPr>
          <w:rFonts w:ascii="宋体" w:hAnsi="宋体"/>
          <w:color w:val="000000"/>
          <w:sz w:val="24"/>
        </w:rPr>
      </w:pPr>
      <w:r>
        <w:rPr>
          <w:rFonts w:hint="eastAsia" w:ascii="宋体" w:hAnsi="宋体"/>
          <w:color w:val="000000"/>
          <w:sz w:val="24"/>
        </w:rPr>
        <w:t>或其授权人：  或其授权人：</w:t>
      </w:r>
    </w:p>
    <w:p>
      <w:pPr>
        <w:rPr>
          <w:rFonts w:ascii="宋体" w:hAnsi="宋体"/>
          <w:color w:val="000000"/>
          <w:sz w:val="24"/>
        </w:rPr>
      </w:pPr>
      <w:r>
        <w:rPr>
          <w:rFonts w:hint="eastAsia" w:ascii="宋体" w:hAnsi="宋体"/>
          <w:color w:val="000000"/>
          <w:sz w:val="24"/>
        </w:rPr>
        <w:t xml:space="preserve">              </w:t>
      </w:r>
      <w:r>
        <w:rPr>
          <w:rFonts w:hint="eastAsia" w:ascii="宋体" w:hAnsi="宋体"/>
          <w:color w:val="000000"/>
          <w:sz w:val="24"/>
          <w:lang w:eastAsia="zh-CN"/>
        </w:rPr>
        <w:t>（</w:t>
      </w:r>
      <w:r>
        <w:rPr>
          <w:rFonts w:hint="eastAsia" w:ascii="宋体" w:hAnsi="宋体"/>
          <w:color w:val="000000"/>
          <w:sz w:val="24"/>
        </w:rPr>
        <w:t>签字或盖章</w:t>
      </w:r>
      <w:r>
        <w:rPr>
          <w:rFonts w:hint="eastAsia" w:ascii="宋体" w:hAnsi="宋体"/>
          <w:color w:val="000000"/>
          <w:sz w:val="24"/>
          <w:lang w:eastAsia="zh-CN"/>
        </w:rPr>
        <w:t>）</w:t>
      </w:r>
      <w:r>
        <w:rPr>
          <w:rFonts w:hint="eastAsia" w:ascii="宋体" w:hAnsi="宋体"/>
          <w:color w:val="000000"/>
          <w:sz w:val="24"/>
        </w:rPr>
        <w:t xml:space="preserve">                            </w:t>
      </w:r>
      <w:r>
        <w:rPr>
          <w:rFonts w:hint="eastAsia" w:ascii="宋体" w:hAnsi="宋体"/>
          <w:color w:val="000000"/>
          <w:sz w:val="24"/>
          <w:lang w:eastAsia="zh-CN"/>
        </w:rPr>
        <w:t>（</w:t>
      </w:r>
      <w:r>
        <w:rPr>
          <w:rFonts w:hint="eastAsia" w:ascii="宋体" w:hAnsi="宋体"/>
          <w:color w:val="000000"/>
          <w:sz w:val="24"/>
        </w:rPr>
        <w:t>签字或盖章</w:t>
      </w:r>
      <w:r>
        <w:rPr>
          <w:rFonts w:hint="eastAsia" w:ascii="宋体" w:hAnsi="宋体"/>
          <w:color w:val="000000"/>
          <w:sz w:val="24"/>
          <w:lang w:eastAsia="zh-CN"/>
        </w:rPr>
        <w:t>）</w:t>
      </w:r>
    </w:p>
    <w:p>
      <w:pPr>
        <w:rPr>
          <w:rFonts w:ascii="宋体" w:hAnsi="宋体"/>
          <w:color w:val="000000"/>
          <w:sz w:val="24"/>
        </w:rPr>
      </w:pPr>
    </w:p>
    <w:p>
      <w:pPr>
        <w:rPr>
          <w:rFonts w:ascii="宋体" w:hAnsi="宋体"/>
          <w:color w:val="000000"/>
          <w:sz w:val="24"/>
        </w:rPr>
      </w:pPr>
      <w:r>
        <w:rPr>
          <w:rFonts w:hint="eastAsia" w:ascii="宋体" w:hAnsi="宋体"/>
          <w:color w:val="000000"/>
          <w:sz w:val="24"/>
        </w:rPr>
        <w:t>编制人：</w:t>
      </w:r>
      <w:r>
        <w:rPr>
          <w:rFonts w:hint="eastAsia" w:ascii="宋体" w:hAnsi="宋体"/>
          <w:color w:val="000000"/>
          <w:spacing w:val="20"/>
          <w:sz w:val="24"/>
        </w:rPr>
        <w:t>复核人</w:t>
      </w:r>
      <w:r>
        <w:rPr>
          <w:rFonts w:hint="eastAsia" w:ascii="宋体" w:hAnsi="宋体"/>
          <w:color w:val="000000"/>
          <w:sz w:val="24"/>
        </w:rPr>
        <w:t>：</w:t>
      </w:r>
    </w:p>
    <w:p>
      <w:pPr>
        <w:rPr>
          <w:rFonts w:ascii="宋体" w:hAnsi="宋体"/>
          <w:color w:val="000000"/>
          <w:sz w:val="24"/>
        </w:rPr>
      </w:pPr>
      <w:r>
        <w:rPr>
          <w:rFonts w:hint="eastAsia" w:ascii="宋体" w:hAnsi="宋体"/>
          <w:color w:val="000000"/>
          <w:sz w:val="24"/>
        </w:rPr>
        <w:t xml:space="preserve">         </w:t>
      </w:r>
      <w:r>
        <w:rPr>
          <w:rFonts w:hint="eastAsia" w:ascii="宋体" w:hAnsi="宋体"/>
          <w:color w:val="000000"/>
          <w:sz w:val="24"/>
          <w:lang w:eastAsia="zh-CN"/>
        </w:rPr>
        <w:t>（</w:t>
      </w:r>
      <w:r>
        <w:rPr>
          <w:rFonts w:hint="eastAsia" w:ascii="宋体" w:hAnsi="宋体"/>
          <w:color w:val="000000"/>
          <w:sz w:val="24"/>
        </w:rPr>
        <w:t>造价人员签字盖专用章</w:t>
      </w:r>
      <w:r>
        <w:rPr>
          <w:rFonts w:hint="eastAsia" w:ascii="宋体" w:hAnsi="宋体"/>
          <w:color w:val="000000"/>
          <w:sz w:val="24"/>
          <w:lang w:eastAsia="zh-CN"/>
        </w:rPr>
        <w:t>）</w:t>
      </w:r>
      <w:r>
        <w:rPr>
          <w:rFonts w:hint="eastAsia" w:ascii="宋体" w:hAnsi="宋体"/>
          <w:color w:val="000000"/>
          <w:sz w:val="24"/>
        </w:rPr>
        <w:t xml:space="preserve">               </w:t>
      </w:r>
      <w:r>
        <w:rPr>
          <w:rFonts w:hint="eastAsia" w:ascii="宋体" w:hAnsi="宋体"/>
          <w:color w:val="000000"/>
          <w:sz w:val="24"/>
          <w:lang w:eastAsia="zh-CN"/>
        </w:rPr>
        <w:t>（</w:t>
      </w:r>
      <w:r>
        <w:rPr>
          <w:rFonts w:hint="eastAsia" w:ascii="宋体" w:hAnsi="宋体"/>
          <w:color w:val="000000"/>
          <w:sz w:val="24"/>
        </w:rPr>
        <w:t>造价工程师签字盖专用章</w:t>
      </w:r>
      <w:r>
        <w:rPr>
          <w:rFonts w:hint="eastAsia" w:ascii="宋体" w:hAnsi="宋体"/>
          <w:color w:val="000000"/>
          <w:sz w:val="24"/>
          <w:lang w:eastAsia="zh-CN"/>
        </w:rPr>
        <w:t>）</w:t>
      </w:r>
    </w:p>
    <w:p>
      <w:pPr>
        <w:rPr>
          <w:rFonts w:ascii="宋体" w:hAnsi="宋体"/>
          <w:color w:val="000000"/>
          <w:sz w:val="24"/>
        </w:rPr>
      </w:pPr>
    </w:p>
    <w:p>
      <w:pPr>
        <w:rPr>
          <w:rFonts w:ascii="宋体" w:hAnsi="宋体"/>
          <w:color w:val="000000"/>
          <w:sz w:val="24"/>
        </w:rPr>
      </w:pPr>
    </w:p>
    <w:p>
      <w:pPr>
        <w:rPr>
          <w:rFonts w:ascii="宋体" w:hAnsi="宋体"/>
          <w:color w:val="000000"/>
          <w:sz w:val="24"/>
        </w:rPr>
      </w:pPr>
      <w:r>
        <w:rPr>
          <w:rFonts w:hint="eastAsia" w:ascii="宋体" w:hAnsi="宋体"/>
          <w:color w:val="000000"/>
          <w:sz w:val="24"/>
        </w:rPr>
        <w:t>编制时间：    年    月    日           复核时间：    年    月    日</w:t>
      </w:r>
    </w:p>
    <w:p>
      <w:pPr>
        <w:spacing w:line="380" w:lineRule="exact"/>
        <w:rPr>
          <w:rFonts w:ascii="黑体" w:hAnsi="宋体" w:eastAsia="黑体"/>
          <w:color w:val="000000"/>
          <w:sz w:val="24"/>
        </w:rPr>
      </w:pPr>
    </w:p>
    <w:p>
      <w:pPr>
        <w:spacing w:line="380" w:lineRule="exact"/>
        <w:rPr>
          <w:rFonts w:ascii="黑体" w:hAnsi="宋体" w:eastAsia="黑体"/>
          <w:color w:val="000000"/>
          <w:sz w:val="24"/>
        </w:rPr>
      </w:pPr>
      <w:r>
        <w:rPr>
          <w:rFonts w:ascii="宋体" w:hAnsi="宋体"/>
          <w:color w:val="000000"/>
        </w:rPr>
        <w:br w:type="page"/>
      </w:r>
      <w:r>
        <w:rPr>
          <w:rFonts w:hint="eastAsia" w:ascii="黑体" w:hAnsi="宋体" w:eastAsia="黑体"/>
          <w:color w:val="000000"/>
          <w:sz w:val="24"/>
        </w:rPr>
        <w:t>4.6投标总价签署页</w:t>
      </w:r>
    </w:p>
    <w:p>
      <w:pPr>
        <w:spacing w:line="380" w:lineRule="exact"/>
        <w:rPr>
          <w:rFonts w:ascii="黑体" w:hAnsi="宋体" w:eastAsia="黑体"/>
          <w:color w:val="000000"/>
          <w:sz w:val="24"/>
        </w:rPr>
      </w:pPr>
    </w:p>
    <w:p>
      <w:pPr>
        <w:spacing w:line="380" w:lineRule="exact"/>
        <w:rPr>
          <w:rFonts w:ascii="黑体" w:hAnsi="宋体" w:eastAsia="黑体"/>
          <w:color w:val="000000"/>
          <w:sz w:val="24"/>
        </w:rPr>
      </w:pPr>
    </w:p>
    <w:p>
      <w:pPr>
        <w:spacing w:line="380" w:lineRule="exact"/>
        <w:rPr>
          <w:rFonts w:ascii="黑体" w:hAnsi="宋体" w:eastAsia="黑体"/>
          <w:color w:val="000000"/>
          <w:sz w:val="24"/>
        </w:rPr>
      </w:pPr>
    </w:p>
    <w:p>
      <w:pPr>
        <w:spacing w:line="380" w:lineRule="exact"/>
        <w:jc w:val="center"/>
        <w:rPr>
          <w:rFonts w:ascii="黑体" w:hAnsi="宋体" w:eastAsia="黑体"/>
          <w:b/>
          <w:color w:val="000000"/>
          <w:sz w:val="32"/>
          <w:szCs w:val="32"/>
        </w:rPr>
      </w:pPr>
      <w:r>
        <w:rPr>
          <w:rFonts w:hint="eastAsia" w:ascii="黑体" w:hAnsi="宋体" w:eastAsia="黑体"/>
          <w:b/>
          <w:color w:val="000000"/>
          <w:sz w:val="32"/>
          <w:szCs w:val="32"/>
        </w:rPr>
        <w:t>投标总报价</w:t>
      </w:r>
    </w:p>
    <w:p>
      <w:pPr>
        <w:spacing w:line="380" w:lineRule="exact"/>
        <w:jc w:val="center"/>
        <w:rPr>
          <w:rFonts w:ascii="黑体" w:hAnsi="宋体" w:eastAsia="黑体"/>
          <w:b/>
          <w:color w:val="000000"/>
          <w:sz w:val="32"/>
          <w:szCs w:val="32"/>
        </w:rPr>
      </w:pPr>
    </w:p>
    <w:p>
      <w:pPr>
        <w:spacing w:line="380" w:lineRule="exact"/>
        <w:jc w:val="center"/>
        <w:rPr>
          <w:rFonts w:ascii="黑体" w:hAnsi="宋体" w:eastAsia="黑体"/>
          <w:b/>
          <w:color w:val="000000"/>
          <w:sz w:val="32"/>
          <w:szCs w:val="32"/>
        </w:rPr>
      </w:pPr>
    </w:p>
    <w:p>
      <w:pPr>
        <w:spacing w:line="380" w:lineRule="exact"/>
        <w:jc w:val="center"/>
        <w:rPr>
          <w:rFonts w:ascii="黑体" w:hAnsi="宋体" w:eastAsia="黑体"/>
          <w:b/>
          <w:color w:val="000000"/>
          <w:sz w:val="32"/>
          <w:szCs w:val="32"/>
        </w:rPr>
      </w:pPr>
    </w:p>
    <w:p>
      <w:pPr>
        <w:spacing w:line="380" w:lineRule="exact"/>
        <w:jc w:val="center"/>
        <w:rPr>
          <w:rFonts w:ascii="黑体" w:hAnsi="宋体" w:eastAsia="黑体"/>
          <w:b/>
          <w:color w:val="000000"/>
          <w:sz w:val="32"/>
          <w:szCs w:val="32"/>
        </w:rPr>
      </w:pPr>
    </w:p>
    <w:p>
      <w:pPr>
        <w:spacing w:line="380" w:lineRule="exact"/>
        <w:jc w:val="center"/>
        <w:rPr>
          <w:rFonts w:ascii="黑体" w:hAnsi="宋体" w:eastAsia="黑体"/>
          <w:b/>
          <w:color w:val="000000"/>
          <w:sz w:val="32"/>
          <w:szCs w:val="32"/>
        </w:rPr>
      </w:pPr>
    </w:p>
    <w:p>
      <w:pPr>
        <w:spacing w:line="380" w:lineRule="exact"/>
        <w:jc w:val="center"/>
        <w:rPr>
          <w:rFonts w:ascii="黑体" w:hAnsi="宋体" w:eastAsia="黑体"/>
          <w:b/>
          <w:color w:val="000000"/>
          <w:sz w:val="32"/>
          <w:szCs w:val="32"/>
        </w:rPr>
      </w:pPr>
    </w:p>
    <w:p>
      <w:pPr>
        <w:spacing w:line="380" w:lineRule="exact"/>
        <w:rPr>
          <w:rFonts w:ascii="黑体" w:hAnsi="宋体" w:eastAsia="黑体"/>
          <w:color w:val="000000"/>
          <w:sz w:val="28"/>
          <w:szCs w:val="28"/>
          <w:u w:val="single"/>
        </w:rPr>
      </w:pPr>
      <w:r>
        <w:rPr>
          <w:rFonts w:hint="eastAsia" w:ascii="黑体" w:hAnsi="宋体" w:eastAsia="黑体"/>
          <w:color w:val="000000"/>
          <w:sz w:val="28"/>
          <w:szCs w:val="28"/>
        </w:rPr>
        <w:t>招   标  人：</w:t>
      </w:r>
    </w:p>
    <w:p>
      <w:pPr>
        <w:spacing w:line="380" w:lineRule="exact"/>
        <w:rPr>
          <w:rFonts w:ascii="黑体" w:hAnsi="宋体" w:eastAsia="黑体"/>
          <w:color w:val="000000"/>
          <w:sz w:val="28"/>
          <w:szCs w:val="28"/>
          <w:u w:val="single"/>
        </w:rPr>
      </w:pPr>
      <w:r>
        <w:rPr>
          <w:rFonts w:hint="eastAsia" w:ascii="黑体" w:hAnsi="宋体" w:eastAsia="黑体"/>
          <w:color w:val="000000"/>
          <w:sz w:val="28"/>
          <w:szCs w:val="28"/>
        </w:rPr>
        <w:t>工 程 名 称：</w:t>
      </w:r>
    </w:p>
    <w:p>
      <w:pPr>
        <w:spacing w:line="380" w:lineRule="exact"/>
        <w:rPr>
          <w:rFonts w:ascii="黑体" w:hAnsi="宋体" w:eastAsia="黑体"/>
          <w:color w:val="000000"/>
          <w:sz w:val="28"/>
          <w:szCs w:val="28"/>
        </w:rPr>
      </w:pPr>
      <w:r>
        <w:rPr>
          <w:rFonts w:hint="eastAsia" w:ascii="黑体" w:hAnsi="宋体" w:eastAsia="黑体"/>
          <w:color w:val="000000"/>
          <w:sz w:val="28"/>
          <w:szCs w:val="28"/>
        </w:rPr>
        <w:t>投标总价（小写）：</w:t>
      </w:r>
    </w:p>
    <w:p>
      <w:pPr>
        <w:spacing w:line="380" w:lineRule="exact"/>
        <w:rPr>
          <w:rFonts w:ascii="黑体" w:hAnsi="宋体" w:eastAsia="黑体"/>
          <w:color w:val="000000"/>
          <w:sz w:val="28"/>
          <w:szCs w:val="28"/>
        </w:rPr>
      </w:pPr>
      <w:r>
        <w:rPr>
          <w:rFonts w:hint="eastAsia" w:ascii="黑体" w:hAnsi="宋体" w:eastAsia="黑体"/>
          <w:color w:val="000000"/>
          <w:sz w:val="28"/>
          <w:szCs w:val="28"/>
        </w:rPr>
        <w:t xml:space="preserve">        （大写）：</w:t>
      </w:r>
    </w:p>
    <w:p>
      <w:pPr>
        <w:spacing w:line="380" w:lineRule="exact"/>
        <w:rPr>
          <w:rFonts w:ascii="黑体" w:hAnsi="宋体" w:eastAsia="黑体"/>
          <w:color w:val="000000"/>
          <w:sz w:val="28"/>
          <w:szCs w:val="28"/>
        </w:rPr>
      </w:pPr>
    </w:p>
    <w:p>
      <w:pPr>
        <w:spacing w:line="380" w:lineRule="exact"/>
        <w:rPr>
          <w:rFonts w:ascii="黑体" w:hAnsi="宋体" w:eastAsia="黑体"/>
          <w:color w:val="000000"/>
          <w:sz w:val="28"/>
          <w:szCs w:val="28"/>
        </w:rPr>
      </w:pPr>
    </w:p>
    <w:p>
      <w:pPr>
        <w:spacing w:line="380" w:lineRule="exact"/>
        <w:rPr>
          <w:rFonts w:ascii="黑体" w:hAnsi="宋体" w:eastAsia="黑体"/>
          <w:color w:val="000000"/>
          <w:sz w:val="28"/>
          <w:szCs w:val="28"/>
        </w:rPr>
      </w:pPr>
    </w:p>
    <w:p>
      <w:pPr>
        <w:spacing w:line="380" w:lineRule="exact"/>
        <w:rPr>
          <w:rFonts w:ascii="黑体" w:hAnsi="宋体" w:eastAsia="黑体"/>
          <w:color w:val="000000"/>
          <w:sz w:val="28"/>
          <w:szCs w:val="28"/>
        </w:rPr>
      </w:pPr>
    </w:p>
    <w:p>
      <w:pPr>
        <w:spacing w:line="380" w:lineRule="exact"/>
        <w:rPr>
          <w:rFonts w:ascii="黑体" w:hAnsi="宋体" w:eastAsia="黑体"/>
          <w:color w:val="000000"/>
          <w:sz w:val="28"/>
          <w:szCs w:val="28"/>
          <w:u w:val="single"/>
        </w:rPr>
      </w:pPr>
      <w:r>
        <w:rPr>
          <w:rFonts w:hint="eastAsia" w:ascii="黑体" w:hAnsi="宋体" w:eastAsia="黑体"/>
          <w:color w:val="000000"/>
          <w:sz w:val="28"/>
          <w:szCs w:val="28"/>
        </w:rPr>
        <w:t>投  标 人：</w:t>
      </w:r>
    </w:p>
    <w:p>
      <w:pPr>
        <w:spacing w:line="380" w:lineRule="exact"/>
        <w:ind w:firstLine="3045" w:firstLineChars="1450"/>
        <w:rPr>
          <w:rFonts w:ascii="黑体" w:hAnsi="宋体" w:eastAsia="黑体"/>
          <w:color w:val="000000"/>
          <w:szCs w:val="21"/>
        </w:rPr>
      </w:pPr>
      <w:r>
        <w:rPr>
          <w:rFonts w:hint="eastAsia" w:ascii="黑体" w:hAnsi="宋体" w:eastAsia="黑体"/>
          <w:color w:val="000000"/>
          <w:szCs w:val="21"/>
        </w:rPr>
        <w:t>（单位盖章）</w:t>
      </w:r>
    </w:p>
    <w:p>
      <w:pPr>
        <w:spacing w:line="380" w:lineRule="exact"/>
        <w:rPr>
          <w:rFonts w:ascii="黑体" w:hAnsi="宋体" w:eastAsia="黑体"/>
          <w:color w:val="000000"/>
          <w:sz w:val="28"/>
          <w:szCs w:val="28"/>
        </w:rPr>
      </w:pPr>
    </w:p>
    <w:p>
      <w:pPr>
        <w:spacing w:line="380" w:lineRule="exact"/>
        <w:rPr>
          <w:rFonts w:ascii="黑体" w:hAnsi="宋体" w:eastAsia="黑体"/>
          <w:color w:val="000000"/>
          <w:sz w:val="28"/>
          <w:szCs w:val="28"/>
        </w:rPr>
      </w:pPr>
    </w:p>
    <w:p>
      <w:pPr>
        <w:spacing w:line="380" w:lineRule="exact"/>
        <w:rPr>
          <w:rFonts w:ascii="黑体" w:hAnsi="宋体" w:eastAsia="黑体"/>
          <w:color w:val="000000"/>
          <w:sz w:val="28"/>
          <w:szCs w:val="28"/>
        </w:rPr>
      </w:pPr>
    </w:p>
    <w:p>
      <w:pPr>
        <w:spacing w:line="380" w:lineRule="exact"/>
        <w:rPr>
          <w:rFonts w:ascii="黑体" w:hAnsi="宋体" w:eastAsia="黑体"/>
          <w:color w:val="000000"/>
          <w:sz w:val="28"/>
          <w:szCs w:val="28"/>
        </w:rPr>
      </w:pPr>
      <w:r>
        <w:rPr>
          <w:rFonts w:hint="eastAsia" w:ascii="黑体" w:hAnsi="宋体" w:eastAsia="黑体"/>
          <w:color w:val="000000"/>
          <w:sz w:val="28"/>
          <w:szCs w:val="28"/>
        </w:rPr>
        <w:t>法定代表人</w:t>
      </w:r>
    </w:p>
    <w:p>
      <w:pPr>
        <w:spacing w:line="380" w:lineRule="exact"/>
        <w:rPr>
          <w:rFonts w:ascii="黑体" w:hAnsi="宋体" w:eastAsia="黑体"/>
          <w:color w:val="000000"/>
          <w:sz w:val="28"/>
          <w:szCs w:val="28"/>
          <w:u w:val="single"/>
        </w:rPr>
      </w:pPr>
      <w:r>
        <w:rPr>
          <w:rFonts w:hint="eastAsia" w:ascii="黑体" w:hAnsi="宋体" w:eastAsia="黑体"/>
          <w:color w:val="000000"/>
          <w:sz w:val="28"/>
          <w:szCs w:val="28"/>
        </w:rPr>
        <w:t>或其授权人：</w:t>
      </w:r>
    </w:p>
    <w:p>
      <w:pPr>
        <w:spacing w:line="380" w:lineRule="exact"/>
        <w:ind w:firstLine="3465" w:firstLineChars="1650"/>
        <w:rPr>
          <w:rFonts w:ascii="黑体" w:hAnsi="宋体" w:eastAsia="黑体"/>
          <w:color w:val="000000"/>
          <w:szCs w:val="21"/>
        </w:rPr>
      </w:pPr>
      <w:r>
        <w:rPr>
          <w:rFonts w:hint="eastAsia" w:ascii="黑体" w:hAnsi="宋体" w:eastAsia="黑体"/>
          <w:color w:val="000000"/>
          <w:szCs w:val="21"/>
        </w:rPr>
        <w:t>（签字或盖章）</w:t>
      </w:r>
    </w:p>
    <w:p>
      <w:pPr>
        <w:spacing w:line="380" w:lineRule="exact"/>
        <w:rPr>
          <w:rFonts w:ascii="黑体" w:hAnsi="宋体" w:eastAsia="黑体"/>
          <w:color w:val="000000"/>
          <w:sz w:val="28"/>
          <w:szCs w:val="28"/>
        </w:rPr>
      </w:pPr>
    </w:p>
    <w:p>
      <w:pPr>
        <w:spacing w:line="380" w:lineRule="exact"/>
        <w:rPr>
          <w:rFonts w:ascii="黑体" w:hAnsi="宋体" w:eastAsia="黑体"/>
          <w:color w:val="000000"/>
          <w:sz w:val="28"/>
          <w:szCs w:val="28"/>
        </w:rPr>
      </w:pPr>
    </w:p>
    <w:p>
      <w:pPr>
        <w:spacing w:line="380" w:lineRule="exact"/>
        <w:rPr>
          <w:rFonts w:ascii="黑体" w:hAnsi="宋体" w:eastAsia="黑体"/>
          <w:color w:val="000000"/>
          <w:sz w:val="28"/>
          <w:szCs w:val="28"/>
        </w:rPr>
      </w:pPr>
    </w:p>
    <w:p>
      <w:pPr>
        <w:spacing w:line="380" w:lineRule="exact"/>
        <w:rPr>
          <w:rFonts w:ascii="黑体" w:hAnsi="宋体" w:eastAsia="黑体"/>
          <w:color w:val="000000"/>
          <w:sz w:val="28"/>
          <w:szCs w:val="28"/>
          <w:u w:val="single"/>
        </w:rPr>
      </w:pPr>
      <w:r>
        <w:rPr>
          <w:rFonts w:hint="eastAsia" w:ascii="黑体" w:hAnsi="宋体" w:eastAsia="黑体"/>
          <w:color w:val="000000"/>
          <w:sz w:val="28"/>
          <w:szCs w:val="28"/>
        </w:rPr>
        <w:t>编   制  人：</w:t>
      </w:r>
    </w:p>
    <w:p>
      <w:pPr>
        <w:spacing w:line="380" w:lineRule="exact"/>
        <w:ind w:firstLine="2835" w:firstLineChars="1350"/>
        <w:rPr>
          <w:rFonts w:ascii="黑体" w:hAnsi="宋体" w:eastAsia="黑体"/>
          <w:color w:val="000000"/>
          <w:szCs w:val="21"/>
        </w:rPr>
      </w:pPr>
      <w:r>
        <w:rPr>
          <w:rFonts w:hint="eastAsia" w:ascii="黑体" w:hAnsi="宋体" w:eastAsia="黑体"/>
          <w:color w:val="000000"/>
          <w:szCs w:val="21"/>
        </w:rPr>
        <w:t>（造价人员签字并盖专用章）</w:t>
      </w:r>
    </w:p>
    <w:p>
      <w:pPr>
        <w:spacing w:line="380" w:lineRule="exact"/>
        <w:rPr>
          <w:rFonts w:ascii="黑体" w:hAnsi="宋体" w:eastAsia="黑体"/>
          <w:color w:val="000000"/>
          <w:sz w:val="28"/>
          <w:szCs w:val="28"/>
        </w:rPr>
      </w:pPr>
    </w:p>
    <w:p>
      <w:pPr>
        <w:spacing w:line="380" w:lineRule="exact"/>
        <w:rPr>
          <w:rFonts w:ascii="黑体" w:hAnsi="宋体" w:eastAsia="黑体"/>
          <w:color w:val="000000"/>
          <w:sz w:val="28"/>
          <w:szCs w:val="28"/>
        </w:rPr>
      </w:pPr>
    </w:p>
    <w:p>
      <w:pPr>
        <w:spacing w:line="380" w:lineRule="exact"/>
        <w:rPr>
          <w:rFonts w:ascii="黑体" w:hAnsi="宋体" w:eastAsia="黑体"/>
          <w:color w:val="000000"/>
          <w:sz w:val="28"/>
          <w:szCs w:val="28"/>
        </w:rPr>
      </w:pPr>
      <w:r>
        <w:rPr>
          <w:rFonts w:hint="eastAsia" w:ascii="黑体" w:hAnsi="宋体" w:eastAsia="黑体"/>
          <w:color w:val="000000"/>
          <w:sz w:val="28"/>
          <w:szCs w:val="28"/>
        </w:rPr>
        <w:t>时间：          年    月    日</w:t>
      </w:r>
    </w:p>
    <w:p>
      <w:pPr>
        <w:spacing w:line="380" w:lineRule="exact"/>
        <w:rPr>
          <w:rFonts w:ascii="黑体" w:hAnsi="宋体" w:eastAsia="黑体"/>
          <w:color w:val="000000"/>
          <w:sz w:val="24"/>
        </w:rPr>
      </w:pPr>
      <w:r>
        <w:rPr>
          <w:rFonts w:ascii="宋体" w:hAnsi="宋体"/>
          <w:color w:val="000000"/>
        </w:rPr>
        <w:br w:type="page"/>
      </w:r>
      <w:r>
        <w:rPr>
          <w:rFonts w:hint="eastAsia" w:ascii="黑体" w:hAnsi="宋体" w:eastAsia="黑体"/>
          <w:color w:val="000000"/>
          <w:sz w:val="24"/>
        </w:rPr>
        <w:t>4.7工程量清单、招标控制价、投标总价目录</w:t>
      </w:r>
    </w:p>
    <w:p>
      <w:pPr>
        <w:spacing w:line="380" w:lineRule="exact"/>
        <w:rPr>
          <w:rFonts w:ascii="黑体" w:hAnsi="宋体" w:eastAsia="黑体"/>
          <w:color w:val="000000"/>
          <w:sz w:val="24"/>
        </w:rPr>
      </w:pPr>
    </w:p>
    <w:p>
      <w:pPr>
        <w:spacing w:after="240" w:line="380" w:lineRule="exact"/>
        <w:ind w:firstLine="2685" w:firstLineChars="958"/>
        <w:jc w:val="left"/>
        <w:rPr>
          <w:rFonts w:ascii="宋体" w:hAnsi="宋体"/>
          <w:b/>
          <w:color w:val="000000"/>
          <w:sz w:val="28"/>
          <w:szCs w:val="28"/>
        </w:rPr>
      </w:pPr>
      <w:r>
        <w:rPr>
          <w:rFonts w:hint="eastAsia" w:ascii="宋体" w:hAnsi="宋体"/>
          <w:b/>
          <w:color w:val="000000"/>
          <w:sz w:val="28"/>
          <w:szCs w:val="28"/>
        </w:rPr>
        <w:t>工程</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8"/>
        <w:gridCol w:w="6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8" w:type="dxa"/>
            <w:shd w:val="clear" w:color="auto" w:fill="auto"/>
            <w:vAlign w:val="center"/>
          </w:tcPr>
          <w:p>
            <w:pPr>
              <w:spacing w:line="380" w:lineRule="exact"/>
              <w:jc w:val="center"/>
              <w:rPr>
                <w:rFonts w:ascii="宋体" w:hAnsi="宋体"/>
                <w:color w:val="000000"/>
                <w:szCs w:val="21"/>
              </w:rPr>
            </w:pPr>
            <w:r>
              <w:rPr>
                <w:rFonts w:hint="eastAsia" w:ascii="宋体" w:hAnsi="宋体"/>
                <w:color w:val="000000"/>
                <w:szCs w:val="21"/>
              </w:rPr>
              <w:t>序号</w:t>
            </w:r>
          </w:p>
        </w:tc>
        <w:tc>
          <w:tcPr>
            <w:tcW w:w="6992" w:type="dxa"/>
            <w:shd w:val="clear" w:color="auto" w:fill="auto"/>
            <w:vAlign w:val="center"/>
          </w:tcPr>
          <w:p>
            <w:pPr>
              <w:spacing w:line="380" w:lineRule="exact"/>
              <w:jc w:val="center"/>
              <w:rPr>
                <w:rFonts w:ascii="宋体" w:hAnsi="宋体"/>
                <w:color w:val="000000"/>
                <w:szCs w:val="21"/>
              </w:rPr>
            </w:pPr>
            <w:r>
              <w:rPr>
                <w:rFonts w:hint="eastAsia" w:ascii="宋体" w:hAnsi="宋体"/>
                <w:color w:val="000000"/>
                <w:szCs w:val="21"/>
              </w:rPr>
              <w:t>名       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8" w:type="dxa"/>
            <w:shd w:val="clear" w:color="auto" w:fill="auto"/>
            <w:vAlign w:val="center"/>
          </w:tcPr>
          <w:p>
            <w:pPr>
              <w:spacing w:line="380" w:lineRule="exact"/>
              <w:jc w:val="center"/>
              <w:rPr>
                <w:rFonts w:ascii="宋体" w:hAnsi="宋体"/>
                <w:color w:val="000000"/>
                <w:szCs w:val="21"/>
              </w:rPr>
            </w:pPr>
            <w:r>
              <w:rPr>
                <w:rFonts w:hint="eastAsia" w:ascii="宋体" w:hAnsi="宋体"/>
                <w:color w:val="000000"/>
                <w:szCs w:val="21"/>
              </w:rPr>
              <w:t>1</w:t>
            </w:r>
          </w:p>
        </w:tc>
        <w:tc>
          <w:tcPr>
            <w:tcW w:w="6992" w:type="dxa"/>
            <w:shd w:val="clear" w:color="auto" w:fill="auto"/>
          </w:tcPr>
          <w:p>
            <w:pPr>
              <w:spacing w:line="380" w:lineRule="exact"/>
              <w:rPr>
                <w:rFonts w:ascii="宋体" w:hAnsi="宋体"/>
                <w:color w:val="000000"/>
                <w:szCs w:val="21"/>
              </w:rPr>
            </w:pPr>
            <w:r>
              <w:rPr>
                <w:rFonts w:hint="eastAsia" w:ascii="宋体" w:hAnsi="宋体"/>
                <w:color w:val="000000"/>
                <w:szCs w:val="21"/>
              </w:rPr>
              <w:t>编制说明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8" w:type="dxa"/>
            <w:shd w:val="clear" w:color="auto" w:fill="auto"/>
            <w:vAlign w:val="center"/>
          </w:tcPr>
          <w:p>
            <w:pPr>
              <w:spacing w:line="380" w:lineRule="exact"/>
              <w:jc w:val="center"/>
              <w:rPr>
                <w:rFonts w:ascii="宋体" w:hAnsi="宋体"/>
                <w:color w:val="000000"/>
                <w:szCs w:val="21"/>
              </w:rPr>
            </w:pPr>
            <w:r>
              <w:rPr>
                <w:rFonts w:hint="eastAsia" w:ascii="宋体" w:hAnsi="宋体"/>
                <w:color w:val="000000"/>
                <w:szCs w:val="21"/>
              </w:rPr>
              <w:t>2</w:t>
            </w:r>
          </w:p>
        </w:tc>
        <w:tc>
          <w:tcPr>
            <w:tcW w:w="6992" w:type="dxa"/>
            <w:shd w:val="clear" w:color="auto" w:fill="auto"/>
          </w:tcPr>
          <w:p>
            <w:pPr>
              <w:spacing w:line="380" w:lineRule="exact"/>
              <w:rPr>
                <w:rFonts w:ascii="宋体" w:hAnsi="宋体"/>
                <w:color w:val="000000"/>
                <w:szCs w:val="21"/>
              </w:rPr>
            </w:pPr>
            <w:r>
              <w:rPr>
                <w:rFonts w:hint="eastAsia" w:ascii="宋体" w:hAnsi="宋体"/>
                <w:color w:val="000000"/>
                <w:szCs w:val="21"/>
              </w:rPr>
              <w:t>建设项目招标控制价汇总表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8" w:type="dxa"/>
            <w:shd w:val="clear" w:color="auto" w:fill="auto"/>
            <w:vAlign w:val="center"/>
          </w:tcPr>
          <w:p>
            <w:pPr>
              <w:spacing w:line="380" w:lineRule="exact"/>
              <w:jc w:val="center"/>
              <w:rPr>
                <w:rFonts w:ascii="宋体" w:hAnsi="宋体"/>
                <w:color w:val="000000"/>
                <w:szCs w:val="21"/>
              </w:rPr>
            </w:pPr>
            <w:r>
              <w:rPr>
                <w:rFonts w:hint="eastAsia" w:ascii="宋体" w:hAnsi="宋体"/>
                <w:color w:val="000000"/>
                <w:szCs w:val="21"/>
              </w:rPr>
              <w:t>3</w:t>
            </w:r>
          </w:p>
        </w:tc>
        <w:tc>
          <w:tcPr>
            <w:tcW w:w="6992" w:type="dxa"/>
            <w:shd w:val="clear" w:color="auto" w:fill="auto"/>
          </w:tcPr>
          <w:p>
            <w:pPr>
              <w:spacing w:line="380" w:lineRule="exact"/>
              <w:rPr>
                <w:rFonts w:ascii="宋体" w:hAnsi="宋体"/>
                <w:color w:val="000000"/>
                <w:szCs w:val="21"/>
              </w:rPr>
            </w:pPr>
            <w:r>
              <w:rPr>
                <w:rFonts w:hint="eastAsia" w:ascii="宋体" w:hAnsi="宋体"/>
                <w:color w:val="000000"/>
                <w:szCs w:val="21"/>
              </w:rPr>
              <w:t>单项工程投标报价汇总表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8" w:type="dxa"/>
            <w:shd w:val="clear" w:color="auto" w:fill="auto"/>
            <w:vAlign w:val="center"/>
          </w:tcPr>
          <w:p>
            <w:pPr>
              <w:spacing w:line="380" w:lineRule="exact"/>
              <w:jc w:val="center"/>
              <w:rPr>
                <w:rFonts w:ascii="宋体" w:hAnsi="宋体"/>
                <w:color w:val="000000"/>
                <w:szCs w:val="21"/>
              </w:rPr>
            </w:pPr>
            <w:r>
              <w:rPr>
                <w:rFonts w:hint="eastAsia" w:ascii="宋体" w:hAnsi="宋体"/>
                <w:color w:val="000000"/>
                <w:szCs w:val="21"/>
              </w:rPr>
              <w:t>4</w:t>
            </w:r>
          </w:p>
        </w:tc>
        <w:tc>
          <w:tcPr>
            <w:tcW w:w="6992" w:type="dxa"/>
            <w:shd w:val="clear" w:color="auto" w:fill="auto"/>
          </w:tcPr>
          <w:p>
            <w:pPr>
              <w:spacing w:line="380" w:lineRule="exact"/>
              <w:rPr>
                <w:rFonts w:ascii="宋体" w:hAnsi="宋体"/>
                <w:color w:val="000000"/>
                <w:szCs w:val="21"/>
              </w:rPr>
            </w:pPr>
            <w:r>
              <w:rPr>
                <w:rFonts w:hint="eastAsia" w:ascii="宋体" w:hAnsi="宋体"/>
                <w:color w:val="000000"/>
                <w:szCs w:val="21"/>
              </w:rPr>
              <w:t>单位工程投标报价汇总表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8" w:type="dxa"/>
            <w:shd w:val="clear" w:color="auto" w:fill="auto"/>
            <w:vAlign w:val="center"/>
          </w:tcPr>
          <w:p>
            <w:pPr>
              <w:spacing w:line="380" w:lineRule="exact"/>
              <w:jc w:val="center"/>
              <w:rPr>
                <w:rFonts w:ascii="宋体" w:hAnsi="宋体"/>
                <w:color w:val="000000"/>
                <w:szCs w:val="21"/>
              </w:rPr>
            </w:pPr>
            <w:r>
              <w:rPr>
                <w:rFonts w:hint="eastAsia" w:ascii="宋体" w:hAnsi="宋体"/>
                <w:color w:val="000000"/>
                <w:szCs w:val="21"/>
              </w:rPr>
              <w:t>5</w:t>
            </w:r>
          </w:p>
        </w:tc>
        <w:tc>
          <w:tcPr>
            <w:tcW w:w="6992" w:type="dxa"/>
            <w:shd w:val="clear" w:color="auto" w:fill="auto"/>
          </w:tcPr>
          <w:p>
            <w:pPr>
              <w:spacing w:line="380" w:lineRule="exact"/>
              <w:rPr>
                <w:rFonts w:ascii="宋体" w:hAnsi="宋体"/>
                <w:color w:val="000000"/>
                <w:szCs w:val="21"/>
              </w:rPr>
            </w:pPr>
            <w:r>
              <w:rPr>
                <w:rFonts w:hint="eastAsia" w:ascii="宋体" w:hAnsi="宋体"/>
                <w:color w:val="000000"/>
                <w:szCs w:val="21"/>
              </w:rPr>
              <w:t>分部分项工程和单价措施项目清单与计价表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8" w:type="dxa"/>
            <w:shd w:val="clear" w:color="auto" w:fill="auto"/>
            <w:vAlign w:val="center"/>
          </w:tcPr>
          <w:p>
            <w:pPr>
              <w:spacing w:line="380" w:lineRule="exact"/>
              <w:jc w:val="center"/>
              <w:rPr>
                <w:rFonts w:ascii="宋体" w:hAnsi="宋体"/>
                <w:color w:val="000000"/>
                <w:szCs w:val="21"/>
              </w:rPr>
            </w:pPr>
            <w:r>
              <w:rPr>
                <w:rFonts w:hint="eastAsia" w:ascii="宋体" w:hAnsi="宋体"/>
                <w:color w:val="000000"/>
                <w:szCs w:val="21"/>
              </w:rPr>
              <w:t>6</w:t>
            </w:r>
          </w:p>
        </w:tc>
        <w:tc>
          <w:tcPr>
            <w:tcW w:w="6992" w:type="dxa"/>
            <w:shd w:val="clear" w:color="auto" w:fill="auto"/>
          </w:tcPr>
          <w:p>
            <w:pPr>
              <w:spacing w:line="380" w:lineRule="exact"/>
              <w:rPr>
                <w:rFonts w:ascii="宋体" w:hAnsi="宋体"/>
                <w:color w:val="000000"/>
                <w:szCs w:val="21"/>
              </w:rPr>
            </w:pPr>
            <w:r>
              <w:rPr>
                <w:rFonts w:hint="eastAsia" w:ascii="宋体" w:hAnsi="宋体"/>
                <w:color w:val="000000"/>
                <w:szCs w:val="21"/>
              </w:rPr>
              <w:t>综合单价分析表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8" w:type="dxa"/>
            <w:shd w:val="clear" w:color="auto" w:fill="auto"/>
            <w:vAlign w:val="center"/>
          </w:tcPr>
          <w:p>
            <w:pPr>
              <w:spacing w:line="380" w:lineRule="exact"/>
              <w:jc w:val="center"/>
              <w:rPr>
                <w:rFonts w:ascii="宋体" w:hAnsi="宋体"/>
                <w:color w:val="000000"/>
                <w:szCs w:val="21"/>
              </w:rPr>
            </w:pPr>
            <w:r>
              <w:rPr>
                <w:rFonts w:hint="eastAsia" w:ascii="宋体" w:hAnsi="宋体"/>
                <w:color w:val="000000"/>
                <w:szCs w:val="21"/>
              </w:rPr>
              <w:t>7</w:t>
            </w:r>
          </w:p>
        </w:tc>
        <w:tc>
          <w:tcPr>
            <w:tcW w:w="6992" w:type="dxa"/>
            <w:shd w:val="clear" w:color="auto" w:fill="auto"/>
          </w:tcPr>
          <w:p>
            <w:pPr>
              <w:spacing w:line="380" w:lineRule="exact"/>
              <w:rPr>
                <w:rFonts w:ascii="宋体" w:hAnsi="宋体"/>
                <w:color w:val="000000"/>
                <w:szCs w:val="21"/>
              </w:rPr>
            </w:pPr>
            <w:r>
              <w:rPr>
                <w:rFonts w:hint="eastAsia" w:ascii="宋体" w:hAnsi="宋体"/>
                <w:color w:val="000000"/>
                <w:szCs w:val="21"/>
              </w:rPr>
              <w:t>总价措施项目清单与计价表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8" w:type="dxa"/>
            <w:shd w:val="clear" w:color="auto" w:fill="auto"/>
            <w:vAlign w:val="center"/>
          </w:tcPr>
          <w:p>
            <w:pPr>
              <w:spacing w:line="380" w:lineRule="exact"/>
              <w:jc w:val="center"/>
              <w:rPr>
                <w:rFonts w:ascii="宋体" w:hAnsi="宋体"/>
                <w:color w:val="000000"/>
                <w:szCs w:val="21"/>
              </w:rPr>
            </w:pPr>
            <w:r>
              <w:rPr>
                <w:rFonts w:hint="eastAsia" w:ascii="宋体" w:hAnsi="宋体"/>
                <w:color w:val="000000"/>
                <w:szCs w:val="21"/>
              </w:rPr>
              <w:t>8</w:t>
            </w:r>
          </w:p>
        </w:tc>
        <w:tc>
          <w:tcPr>
            <w:tcW w:w="6992" w:type="dxa"/>
            <w:shd w:val="clear" w:color="auto" w:fill="auto"/>
          </w:tcPr>
          <w:p>
            <w:pPr>
              <w:spacing w:line="380" w:lineRule="exact"/>
              <w:rPr>
                <w:rFonts w:ascii="宋体" w:hAnsi="宋体"/>
                <w:color w:val="000000"/>
                <w:szCs w:val="21"/>
              </w:rPr>
            </w:pPr>
            <w:r>
              <w:rPr>
                <w:rFonts w:hint="eastAsia" w:ascii="宋体" w:hAnsi="宋体"/>
                <w:color w:val="000000"/>
                <w:szCs w:val="21"/>
              </w:rPr>
              <w:t>其他项目清单与计价汇总表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8" w:type="dxa"/>
            <w:shd w:val="clear" w:color="auto" w:fill="auto"/>
            <w:vAlign w:val="center"/>
          </w:tcPr>
          <w:p>
            <w:pPr>
              <w:spacing w:line="380" w:lineRule="exact"/>
              <w:jc w:val="center"/>
              <w:rPr>
                <w:rFonts w:ascii="宋体" w:hAnsi="宋体"/>
                <w:color w:val="000000"/>
                <w:szCs w:val="21"/>
              </w:rPr>
            </w:pPr>
            <w:r>
              <w:rPr>
                <w:rFonts w:hint="eastAsia" w:ascii="宋体" w:hAnsi="宋体"/>
                <w:color w:val="000000"/>
                <w:szCs w:val="21"/>
              </w:rPr>
              <w:t>9</w:t>
            </w:r>
          </w:p>
        </w:tc>
        <w:tc>
          <w:tcPr>
            <w:tcW w:w="6992" w:type="dxa"/>
            <w:shd w:val="clear" w:color="auto" w:fill="auto"/>
          </w:tcPr>
          <w:p>
            <w:pPr>
              <w:spacing w:line="380" w:lineRule="exact"/>
              <w:rPr>
                <w:rFonts w:ascii="宋体" w:hAnsi="宋体"/>
                <w:color w:val="000000"/>
                <w:szCs w:val="21"/>
              </w:rPr>
            </w:pPr>
            <w:r>
              <w:rPr>
                <w:rFonts w:hint="eastAsia" w:ascii="宋体" w:hAnsi="宋体"/>
                <w:color w:val="000000"/>
                <w:szCs w:val="21"/>
              </w:rPr>
              <w:t>规费、税金项目计价表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8" w:type="dxa"/>
            <w:shd w:val="clear" w:color="auto" w:fill="auto"/>
            <w:vAlign w:val="center"/>
          </w:tcPr>
          <w:p>
            <w:pPr>
              <w:spacing w:line="380" w:lineRule="exact"/>
              <w:jc w:val="center"/>
              <w:rPr>
                <w:rFonts w:ascii="黑体" w:eastAsia="黑体"/>
                <w:color w:val="000000"/>
                <w:sz w:val="24"/>
              </w:rPr>
            </w:pPr>
          </w:p>
        </w:tc>
        <w:tc>
          <w:tcPr>
            <w:tcW w:w="6992" w:type="dxa"/>
            <w:shd w:val="clear" w:color="auto" w:fill="auto"/>
          </w:tcPr>
          <w:p>
            <w:pPr>
              <w:spacing w:line="380" w:lineRule="exact"/>
              <w:rPr>
                <w:rFonts w:ascii="黑体" w:eastAsia="黑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8" w:type="dxa"/>
            <w:shd w:val="clear" w:color="auto" w:fill="auto"/>
            <w:vAlign w:val="center"/>
          </w:tcPr>
          <w:p>
            <w:pPr>
              <w:spacing w:line="380" w:lineRule="exact"/>
              <w:jc w:val="center"/>
              <w:rPr>
                <w:rFonts w:ascii="黑体" w:eastAsia="黑体"/>
                <w:color w:val="000000"/>
                <w:sz w:val="24"/>
              </w:rPr>
            </w:pPr>
          </w:p>
        </w:tc>
        <w:tc>
          <w:tcPr>
            <w:tcW w:w="6992" w:type="dxa"/>
            <w:shd w:val="clear" w:color="auto" w:fill="auto"/>
          </w:tcPr>
          <w:p>
            <w:pPr>
              <w:spacing w:line="380" w:lineRule="exact"/>
              <w:rPr>
                <w:rFonts w:ascii="黑体" w:eastAsia="黑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8" w:type="dxa"/>
            <w:shd w:val="clear" w:color="auto" w:fill="auto"/>
            <w:vAlign w:val="center"/>
          </w:tcPr>
          <w:p>
            <w:pPr>
              <w:spacing w:line="380" w:lineRule="exact"/>
              <w:jc w:val="center"/>
              <w:rPr>
                <w:rFonts w:ascii="黑体" w:eastAsia="黑体"/>
                <w:color w:val="000000"/>
                <w:sz w:val="24"/>
              </w:rPr>
            </w:pPr>
          </w:p>
        </w:tc>
        <w:tc>
          <w:tcPr>
            <w:tcW w:w="6992" w:type="dxa"/>
            <w:shd w:val="clear" w:color="auto" w:fill="auto"/>
          </w:tcPr>
          <w:p>
            <w:pPr>
              <w:spacing w:line="380" w:lineRule="exact"/>
              <w:rPr>
                <w:rFonts w:ascii="黑体" w:eastAsia="黑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8" w:type="dxa"/>
            <w:shd w:val="clear" w:color="auto" w:fill="auto"/>
            <w:vAlign w:val="center"/>
          </w:tcPr>
          <w:p>
            <w:pPr>
              <w:spacing w:line="380" w:lineRule="exact"/>
              <w:jc w:val="center"/>
              <w:rPr>
                <w:rFonts w:ascii="黑体" w:eastAsia="黑体"/>
                <w:color w:val="000000"/>
                <w:sz w:val="24"/>
              </w:rPr>
            </w:pPr>
          </w:p>
        </w:tc>
        <w:tc>
          <w:tcPr>
            <w:tcW w:w="6992" w:type="dxa"/>
            <w:shd w:val="clear" w:color="auto" w:fill="auto"/>
          </w:tcPr>
          <w:p>
            <w:pPr>
              <w:spacing w:line="380" w:lineRule="exact"/>
              <w:rPr>
                <w:rFonts w:ascii="黑体" w:eastAsia="黑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8" w:type="dxa"/>
            <w:shd w:val="clear" w:color="auto" w:fill="auto"/>
          </w:tcPr>
          <w:p>
            <w:pPr>
              <w:spacing w:line="380" w:lineRule="exact"/>
              <w:rPr>
                <w:rFonts w:ascii="黑体" w:eastAsia="黑体"/>
                <w:color w:val="000000"/>
                <w:sz w:val="24"/>
              </w:rPr>
            </w:pPr>
          </w:p>
        </w:tc>
        <w:tc>
          <w:tcPr>
            <w:tcW w:w="6992" w:type="dxa"/>
            <w:shd w:val="clear" w:color="auto" w:fill="auto"/>
          </w:tcPr>
          <w:p>
            <w:pPr>
              <w:spacing w:line="380" w:lineRule="exact"/>
              <w:rPr>
                <w:rFonts w:ascii="黑体" w:eastAsia="黑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8" w:type="dxa"/>
            <w:shd w:val="clear" w:color="auto" w:fill="auto"/>
          </w:tcPr>
          <w:p>
            <w:pPr>
              <w:spacing w:line="380" w:lineRule="exact"/>
              <w:rPr>
                <w:rFonts w:ascii="黑体" w:eastAsia="黑体"/>
                <w:color w:val="000000"/>
                <w:sz w:val="24"/>
              </w:rPr>
            </w:pPr>
          </w:p>
        </w:tc>
        <w:tc>
          <w:tcPr>
            <w:tcW w:w="6992" w:type="dxa"/>
            <w:shd w:val="clear" w:color="auto" w:fill="auto"/>
          </w:tcPr>
          <w:p>
            <w:pPr>
              <w:spacing w:line="380" w:lineRule="exact"/>
              <w:rPr>
                <w:rFonts w:ascii="黑体" w:eastAsia="黑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8" w:type="dxa"/>
            <w:shd w:val="clear" w:color="auto" w:fill="auto"/>
          </w:tcPr>
          <w:p>
            <w:pPr>
              <w:spacing w:line="380" w:lineRule="exact"/>
              <w:rPr>
                <w:rFonts w:ascii="黑体" w:eastAsia="黑体"/>
                <w:color w:val="000000"/>
                <w:sz w:val="24"/>
              </w:rPr>
            </w:pPr>
          </w:p>
        </w:tc>
        <w:tc>
          <w:tcPr>
            <w:tcW w:w="6992" w:type="dxa"/>
            <w:shd w:val="clear" w:color="auto" w:fill="auto"/>
          </w:tcPr>
          <w:p>
            <w:pPr>
              <w:spacing w:line="380" w:lineRule="exact"/>
              <w:rPr>
                <w:rFonts w:ascii="黑体" w:eastAsia="黑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8" w:type="dxa"/>
            <w:shd w:val="clear" w:color="auto" w:fill="auto"/>
          </w:tcPr>
          <w:p>
            <w:pPr>
              <w:spacing w:line="380" w:lineRule="exact"/>
              <w:rPr>
                <w:rFonts w:ascii="黑体" w:eastAsia="黑体"/>
                <w:color w:val="000000"/>
                <w:sz w:val="24"/>
              </w:rPr>
            </w:pPr>
          </w:p>
        </w:tc>
        <w:tc>
          <w:tcPr>
            <w:tcW w:w="6992" w:type="dxa"/>
            <w:shd w:val="clear" w:color="auto" w:fill="auto"/>
          </w:tcPr>
          <w:p>
            <w:pPr>
              <w:spacing w:line="380" w:lineRule="exact"/>
              <w:rPr>
                <w:rFonts w:ascii="黑体" w:eastAsia="黑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8" w:type="dxa"/>
            <w:shd w:val="clear" w:color="auto" w:fill="auto"/>
          </w:tcPr>
          <w:p>
            <w:pPr>
              <w:spacing w:line="380" w:lineRule="exact"/>
              <w:rPr>
                <w:rFonts w:ascii="黑体" w:eastAsia="黑体"/>
                <w:color w:val="000000"/>
                <w:sz w:val="24"/>
              </w:rPr>
            </w:pPr>
          </w:p>
        </w:tc>
        <w:tc>
          <w:tcPr>
            <w:tcW w:w="6992" w:type="dxa"/>
            <w:shd w:val="clear" w:color="auto" w:fill="auto"/>
          </w:tcPr>
          <w:p>
            <w:pPr>
              <w:spacing w:line="380" w:lineRule="exact"/>
              <w:rPr>
                <w:rFonts w:ascii="黑体" w:eastAsia="黑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8" w:type="dxa"/>
            <w:shd w:val="clear" w:color="auto" w:fill="auto"/>
          </w:tcPr>
          <w:p>
            <w:pPr>
              <w:spacing w:line="380" w:lineRule="exact"/>
              <w:rPr>
                <w:rFonts w:ascii="黑体" w:eastAsia="黑体"/>
                <w:color w:val="000000"/>
                <w:sz w:val="24"/>
              </w:rPr>
            </w:pPr>
          </w:p>
        </w:tc>
        <w:tc>
          <w:tcPr>
            <w:tcW w:w="6992" w:type="dxa"/>
            <w:shd w:val="clear" w:color="auto" w:fill="auto"/>
          </w:tcPr>
          <w:p>
            <w:pPr>
              <w:spacing w:line="380" w:lineRule="exact"/>
              <w:rPr>
                <w:rFonts w:ascii="黑体" w:eastAsia="黑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8" w:type="dxa"/>
            <w:shd w:val="clear" w:color="auto" w:fill="auto"/>
          </w:tcPr>
          <w:p>
            <w:pPr>
              <w:spacing w:line="380" w:lineRule="exact"/>
              <w:rPr>
                <w:rFonts w:ascii="黑体" w:eastAsia="黑体"/>
                <w:color w:val="000000"/>
                <w:sz w:val="24"/>
              </w:rPr>
            </w:pPr>
          </w:p>
        </w:tc>
        <w:tc>
          <w:tcPr>
            <w:tcW w:w="6992" w:type="dxa"/>
            <w:shd w:val="clear" w:color="auto" w:fill="auto"/>
          </w:tcPr>
          <w:p>
            <w:pPr>
              <w:spacing w:line="380" w:lineRule="exact"/>
              <w:rPr>
                <w:rFonts w:ascii="黑体" w:eastAsia="黑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8" w:type="dxa"/>
            <w:shd w:val="clear" w:color="auto" w:fill="auto"/>
          </w:tcPr>
          <w:p>
            <w:pPr>
              <w:spacing w:line="380" w:lineRule="exact"/>
              <w:rPr>
                <w:rFonts w:ascii="黑体" w:eastAsia="黑体"/>
                <w:color w:val="000000"/>
                <w:sz w:val="24"/>
              </w:rPr>
            </w:pPr>
          </w:p>
        </w:tc>
        <w:tc>
          <w:tcPr>
            <w:tcW w:w="6992" w:type="dxa"/>
            <w:shd w:val="clear" w:color="auto" w:fill="auto"/>
          </w:tcPr>
          <w:p>
            <w:pPr>
              <w:spacing w:line="380" w:lineRule="exact"/>
              <w:rPr>
                <w:rFonts w:ascii="黑体" w:eastAsia="黑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8" w:type="dxa"/>
            <w:shd w:val="clear" w:color="auto" w:fill="auto"/>
          </w:tcPr>
          <w:p>
            <w:pPr>
              <w:spacing w:line="380" w:lineRule="exact"/>
              <w:rPr>
                <w:rFonts w:ascii="黑体" w:eastAsia="黑体"/>
                <w:color w:val="000000"/>
                <w:sz w:val="24"/>
              </w:rPr>
            </w:pPr>
          </w:p>
        </w:tc>
        <w:tc>
          <w:tcPr>
            <w:tcW w:w="6992" w:type="dxa"/>
            <w:shd w:val="clear" w:color="auto" w:fill="auto"/>
          </w:tcPr>
          <w:p>
            <w:pPr>
              <w:spacing w:line="380" w:lineRule="exact"/>
              <w:rPr>
                <w:rFonts w:ascii="黑体" w:eastAsia="黑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8" w:type="dxa"/>
            <w:shd w:val="clear" w:color="auto" w:fill="auto"/>
          </w:tcPr>
          <w:p>
            <w:pPr>
              <w:spacing w:line="380" w:lineRule="exact"/>
              <w:rPr>
                <w:rFonts w:ascii="黑体" w:eastAsia="黑体"/>
                <w:color w:val="000000"/>
                <w:sz w:val="24"/>
              </w:rPr>
            </w:pPr>
          </w:p>
        </w:tc>
        <w:tc>
          <w:tcPr>
            <w:tcW w:w="6992" w:type="dxa"/>
            <w:shd w:val="clear" w:color="auto" w:fill="auto"/>
          </w:tcPr>
          <w:p>
            <w:pPr>
              <w:spacing w:line="380" w:lineRule="exact"/>
              <w:rPr>
                <w:rFonts w:ascii="黑体" w:eastAsia="黑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8" w:type="dxa"/>
            <w:shd w:val="clear" w:color="auto" w:fill="auto"/>
          </w:tcPr>
          <w:p>
            <w:pPr>
              <w:spacing w:line="380" w:lineRule="exact"/>
              <w:rPr>
                <w:rFonts w:ascii="黑体" w:eastAsia="黑体"/>
                <w:color w:val="000000"/>
                <w:sz w:val="24"/>
              </w:rPr>
            </w:pPr>
          </w:p>
        </w:tc>
        <w:tc>
          <w:tcPr>
            <w:tcW w:w="6992" w:type="dxa"/>
            <w:shd w:val="clear" w:color="auto" w:fill="auto"/>
          </w:tcPr>
          <w:p>
            <w:pPr>
              <w:spacing w:line="380" w:lineRule="exact"/>
              <w:rPr>
                <w:rFonts w:ascii="黑体" w:eastAsia="黑体"/>
                <w:color w:val="000000"/>
                <w:sz w:val="24"/>
              </w:rPr>
            </w:pPr>
          </w:p>
        </w:tc>
      </w:tr>
    </w:tbl>
    <w:p>
      <w:pPr>
        <w:spacing w:line="380" w:lineRule="exact"/>
        <w:rPr>
          <w:rFonts w:ascii="黑体" w:eastAsia="黑体"/>
          <w:color w:val="000000"/>
          <w:sz w:val="24"/>
        </w:rPr>
      </w:pPr>
      <w:r>
        <w:rPr>
          <w:rFonts w:ascii="黑体" w:eastAsia="黑体"/>
          <w:color w:val="000000"/>
          <w:sz w:val="24"/>
        </w:rPr>
        <w:br w:type="page"/>
      </w:r>
      <w:r>
        <w:rPr>
          <w:rFonts w:hint="eastAsia" w:ascii="黑体" w:eastAsia="黑体"/>
          <w:color w:val="000000"/>
          <w:sz w:val="24"/>
        </w:rPr>
        <w:t>4.8总说明</w:t>
      </w:r>
    </w:p>
    <w:p>
      <w:pPr>
        <w:spacing w:line="380" w:lineRule="exact"/>
        <w:jc w:val="center"/>
        <w:rPr>
          <w:rFonts w:ascii="黑体" w:eastAsia="黑体"/>
          <w:b/>
          <w:color w:val="000000"/>
          <w:sz w:val="32"/>
          <w:szCs w:val="32"/>
        </w:rPr>
      </w:pPr>
      <w:r>
        <w:rPr>
          <w:rFonts w:hint="eastAsia" w:ascii="黑体" w:eastAsia="黑体"/>
          <w:b/>
          <w:color w:val="000000"/>
          <w:sz w:val="32"/>
          <w:szCs w:val="32"/>
        </w:rPr>
        <w:t>总说明</w:t>
      </w:r>
    </w:p>
    <w:p>
      <w:pPr>
        <w:spacing w:line="380" w:lineRule="exact"/>
        <w:rPr>
          <w:rFonts w:ascii="黑体" w:eastAsia="黑体"/>
          <w:color w:val="000000"/>
          <w:sz w:val="24"/>
        </w:rPr>
      </w:pPr>
      <w:r>
        <w:rPr>
          <w:rFonts w:hint="eastAsia" w:ascii="黑体" w:eastAsia="黑体"/>
          <w:color w:val="000000"/>
          <w:sz w:val="24"/>
        </w:rPr>
        <w:t>工程名称：</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70" w:hRule="atLeast"/>
          <w:jc w:val="center"/>
        </w:trPr>
        <w:tc>
          <w:tcPr>
            <w:tcW w:w="8412" w:type="dxa"/>
          </w:tcPr>
          <w:p>
            <w:pPr>
              <w:spacing w:before="240" w:line="380" w:lineRule="exact"/>
              <w:rPr>
                <w:rFonts w:ascii="黑体" w:eastAsia="黑体"/>
                <w:color w:val="000000"/>
              </w:rPr>
            </w:pPr>
          </w:p>
        </w:tc>
      </w:tr>
    </w:tbl>
    <w:p>
      <w:pPr>
        <w:spacing w:after="120" w:afterLines="50" w:line="380" w:lineRule="exact"/>
        <w:rPr>
          <w:rFonts w:ascii="黑体" w:eastAsia="黑体"/>
          <w:color w:val="000000"/>
          <w:sz w:val="24"/>
        </w:rPr>
      </w:pPr>
      <w:r>
        <w:rPr>
          <w:rFonts w:ascii="黑体" w:eastAsia="黑体"/>
          <w:color w:val="000000"/>
        </w:rPr>
        <w:br w:type="page"/>
      </w:r>
      <w:r>
        <w:rPr>
          <w:rFonts w:hint="eastAsia" w:ascii="黑体" w:eastAsia="黑体"/>
          <w:color w:val="000000"/>
          <w:sz w:val="24"/>
        </w:rPr>
        <w:t>4.9建设项目招标控制价/投标报价汇总表</w:t>
      </w:r>
    </w:p>
    <w:p>
      <w:pPr>
        <w:spacing w:after="240" w:afterLines="100" w:line="380" w:lineRule="exact"/>
        <w:ind w:firstLine="561" w:firstLineChars="200"/>
        <w:jc w:val="center"/>
        <w:rPr>
          <w:rFonts w:ascii="黑体" w:eastAsia="黑体"/>
          <w:b/>
          <w:color w:val="000000"/>
          <w:sz w:val="28"/>
          <w:szCs w:val="28"/>
        </w:rPr>
      </w:pPr>
      <w:r>
        <w:rPr>
          <w:rFonts w:hint="eastAsia" w:ascii="黑体" w:eastAsia="黑体"/>
          <w:b/>
          <w:color w:val="000000"/>
          <w:sz w:val="28"/>
          <w:szCs w:val="28"/>
        </w:rPr>
        <w:t>建设项目招标控制价/投标报价汇总表</w:t>
      </w:r>
    </w:p>
    <w:p>
      <w:pPr>
        <w:spacing w:after="120" w:afterLines="50" w:line="380" w:lineRule="exact"/>
        <w:rPr>
          <w:rFonts w:ascii="宋体" w:hAnsi="宋体"/>
          <w:color w:val="000000"/>
          <w:sz w:val="28"/>
          <w:szCs w:val="28"/>
        </w:rPr>
      </w:pPr>
      <w:r>
        <w:rPr>
          <w:rFonts w:hint="eastAsia" w:ascii="宋体" w:hAnsi="宋体"/>
          <w:color w:val="000000"/>
        </w:rPr>
        <w:t>工程名称：                                            单位：元   第   页 共   页</w:t>
      </w:r>
    </w:p>
    <w:tbl>
      <w:tblPr>
        <w:tblStyle w:val="36"/>
        <w:tblW w:w="85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3066"/>
        <w:gridCol w:w="1260"/>
        <w:gridCol w:w="900"/>
        <w:gridCol w:w="1800"/>
        <w:gridCol w:w="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1" w:hRule="atLeast"/>
          <w:jc w:val="center"/>
        </w:trPr>
        <w:tc>
          <w:tcPr>
            <w:tcW w:w="750" w:type="dxa"/>
            <w:vMerge w:val="restart"/>
            <w:vAlign w:val="center"/>
          </w:tcPr>
          <w:p>
            <w:pPr>
              <w:spacing w:after="120" w:afterLines="50" w:line="380" w:lineRule="exact"/>
              <w:jc w:val="center"/>
              <w:rPr>
                <w:rFonts w:ascii="宋体" w:hAnsi="宋体"/>
                <w:color w:val="000000"/>
                <w:szCs w:val="21"/>
              </w:rPr>
            </w:pPr>
            <w:r>
              <w:rPr>
                <w:rFonts w:hint="eastAsia" w:ascii="宋体" w:hAnsi="宋体"/>
                <w:color w:val="000000"/>
                <w:szCs w:val="21"/>
              </w:rPr>
              <w:t>序号</w:t>
            </w:r>
          </w:p>
        </w:tc>
        <w:tc>
          <w:tcPr>
            <w:tcW w:w="3066" w:type="dxa"/>
            <w:vMerge w:val="restart"/>
            <w:vAlign w:val="center"/>
          </w:tcPr>
          <w:p>
            <w:pPr>
              <w:spacing w:after="120" w:afterLines="50" w:line="380" w:lineRule="exact"/>
              <w:jc w:val="center"/>
              <w:rPr>
                <w:rFonts w:ascii="宋体" w:hAnsi="宋体"/>
                <w:color w:val="000000"/>
                <w:szCs w:val="21"/>
              </w:rPr>
            </w:pPr>
            <w:r>
              <w:rPr>
                <w:rFonts w:hint="eastAsia" w:ascii="宋体" w:hAnsi="宋体"/>
                <w:color w:val="000000"/>
                <w:szCs w:val="21"/>
              </w:rPr>
              <w:t>单项工程名称</w:t>
            </w:r>
          </w:p>
        </w:tc>
        <w:tc>
          <w:tcPr>
            <w:tcW w:w="1260" w:type="dxa"/>
            <w:vMerge w:val="restart"/>
            <w:vAlign w:val="center"/>
          </w:tcPr>
          <w:p>
            <w:pPr>
              <w:spacing w:after="120" w:afterLines="50" w:line="380" w:lineRule="exact"/>
              <w:jc w:val="center"/>
              <w:rPr>
                <w:rFonts w:ascii="宋体" w:hAnsi="宋体"/>
                <w:color w:val="000000"/>
                <w:szCs w:val="21"/>
              </w:rPr>
            </w:pPr>
            <w:r>
              <w:rPr>
                <w:rFonts w:hint="eastAsia" w:ascii="宋体" w:hAnsi="宋体"/>
                <w:color w:val="000000"/>
                <w:szCs w:val="21"/>
              </w:rPr>
              <w:t>金  额（元）</w:t>
            </w:r>
          </w:p>
        </w:tc>
        <w:tc>
          <w:tcPr>
            <w:tcW w:w="3500" w:type="dxa"/>
            <w:gridSpan w:val="3"/>
            <w:vAlign w:val="center"/>
          </w:tcPr>
          <w:p>
            <w:pPr>
              <w:spacing w:after="120" w:afterLines="50" w:line="380" w:lineRule="exact"/>
              <w:jc w:val="center"/>
              <w:rPr>
                <w:rFonts w:ascii="宋体" w:hAnsi="宋体"/>
                <w:color w:val="000000"/>
                <w:szCs w:val="21"/>
              </w:rPr>
            </w:pPr>
            <w:r>
              <w:rPr>
                <w:rFonts w:hint="eastAsia" w:ascii="宋体" w:hAnsi="宋体"/>
                <w:color w:val="000000"/>
                <w:szCs w:val="21"/>
              </w:rPr>
              <w:t>其    中：（元）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1" w:hRule="atLeast"/>
          <w:jc w:val="center"/>
        </w:trPr>
        <w:tc>
          <w:tcPr>
            <w:tcW w:w="750" w:type="dxa"/>
            <w:vMerge w:val="continue"/>
            <w:vAlign w:val="center"/>
          </w:tcPr>
          <w:p>
            <w:pPr>
              <w:spacing w:after="120" w:afterLines="50" w:line="380" w:lineRule="exact"/>
              <w:jc w:val="center"/>
              <w:rPr>
                <w:rFonts w:ascii="宋体" w:hAnsi="宋体"/>
                <w:color w:val="000000"/>
                <w:szCs w:val="21"/>
              </w:rPr>
            </w:pPr>
          </w:p>
        </w:tc>
        <w:tc>
          <w:tcPr>
            <w:tcW w:w="3066" w:type="dxa"/>
            <w:vMerge w:val="continue"/>
            <w:vAlign w:val="center"/>
          </w:tcPr>
          <w:p>
            <w:pPr>
              <w:spacing w:after="120" w:afterLines="50" w:line="380" w:lineRule="exact"/>
              <w:jc w:val="center"/>
              <w:rPr>
                <w:rFonts w:ascii="宋体" w:hAnsi="宋体"/>
                <w:color w:val="000000"/>
                <w:szCs w:val="21"/>
              </w:rPr>
            </w:pPr>
          </w:p>
        </w:tc>
        <w:tc>
          <w:tcPr>
            <w:tcW w:w="1260" w:type="dxa"/>
            <w:vMerge w:val="continue"/>
            <w:vAlign w:val="center"/>
          </w:tcPr>
          <w:p>
            <w:pPr>
              <w:spacing w:after="120" w:afterLines="50" w:line="380" w:lineRule="exact"/>
              <w:jc w:val="center"/>
              <w:rPr>
                <w:rFonts w:ascii="宋体" w:hAnsi="宋体"/>
                <w:color w:val="000000"/>
                <w:szCs w:val="21"/>
              </w:rPr>
            </w:pPr>
          </w:p>
        </w:tc>
        <w:tc>
          <w:tcPr>
            <w:tcW w:w="900" w:type="dxa"/>
            <w:vAlign w:val="center"/>
          </w:tcPr>
          <w:p>
            <w:pPr>
              <w:spacing w:line="300" w:lineRule="exact"/>
              <w:jc w:val="center"/>
              <w:rPr>
                <w:rFonts w:ascii="宋体" w:hAnsi="宋体"/>
                <w:color w:val="000000"/>
                <w:szCs w:val="21"/>
              </w:rPr>
            </w:pPr>
            <w:r>
              <w:rPr>
                <w:rFonts w:hint="eastAsia" w:ascii="宋体" w:hAnsi="宋体"/>
                <w:color w:val="000000"/>
                <w:szCs w:val="21"/>
              </w:rPr>
              <w:t>暂估价</w:t>
            </w:r>
          </w:p>
        </w:tc>
        <w:tc>
          <w:tcPr>
            <w:tcW w:w="1800" w:type="dxa"/>
            <w:vAlign w:val="center"/>
          </w:tcPr>
          <w:p>
            <w:pPr>
              <w:spacing w:line="300" w:lineRule="exact"/>
              <w:rPr>
                <w:rFonts w:ascii="宋体" w:hAnsi="宋体"/>
                <w:color w:val="000000"/>
                <w:szCs w:val="21"/>
              </w:rPr>
            </w:pPr>
            <w:r>
              <w:rPr>
                <w:rFonts w:hint="eastAsia" w:ascii="宋体" w:hAnsi="宋体"/>
                <w:color w:val="000000"/>
                <w:szCs w:val="21"/>
              </w:rPr>
              <w:t>安全文明施工费</w:t>
            </w:r>
          </w:p>
        </w:tc>
        <w:tc>
          <w:tcPr>
            <w:tcW w:w="800" w:type="dxa"/>
            <w:vAlign w:val="center"/>
          </w:tcPr>
          <w:p>
            <w:pPr>
              <w:spacing w:line="300" w:lineRule="exact"/>
              <w:jc w:val="center"/>
              <w:rPr>
                <w:rFonts w:ascii="宋体" w:hAnsi="宋体"/>
                <w:color w:val="000000"/>
                <w:szCs w:val="21"/>
              </w:rPr>
            </w:pPr>
            <w:r>
              <w:rPr>
                <w:rFonts w:hint="eastAsia" w:ascii="宋体" w:hAnsi="宋体"/>
                <w:color w:val="000000"/>
                <w:szCs w:val="21"/>
              </w:rPr>
              <w:t>规费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 w:hRule="atLeast"/>
          <w:jc w:val="center"/>
        </w:trPr>
        <w:tc>
          <w:tcPr>
            <w:tcW w:w="75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3066"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126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900" w:type="dxa"/>
            <w:tcBorders>
              <w:bottom w:val="single" w:color="auto" w:sz="4" w:space="0"/>
            </w:tcBorders>
            <w:vAlign w:val="center"/>
          </w:tcPr>
          <w:p>
            <w:pPr>
              <w:spacing w:line="300" w:lineRule="exact"/>
              <w:jc w:val="center"/>
              <w:rPr>
                <w:rFonts w:ascii="宋体" w:hAnsi="宋体"/>
                <w:color w:val="000000"/>
                <w:szCs w:val="21"/>
              </w:rPr>
            </w:pPr>
          </w:p>
        </w:tc>
        <w:tc>
          <w:tcPr>
            <w:tcW w:w="1800" w:type="dxa"/>
            <w:vAlign w:val="center"/>
          </w:tcPr>
          <w:p>
            <w:pPr>
              <w:spacing w:line="300" w:lineRule="exact"/>
              <w:jc w:val="center"/>
              <w:rPr>
                <w:rFonts w:ascii="宋体" w:hAnsi="宋体"/>
                <w:color w:val="000000"/>
                <w:szCs w:val="21"/>
              </w:rPr>
            </w:pPr>
          </w:p>
        </w:tc>
        <w:tc>
          <w:tcPr>
            <w:tcW w:w="800" w:type="dxa"/>
            <w:tcBorders>
              <w:bottom w:val="single" w:color="auto" w:sz="4" w:space="0"/>
            </w:tcBorders>
            <w:vAlign w:val="center"/>
          </w:tcPr>
          <w:p>
            <w:pPr>
              <w:spacing w:line="30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 w:hRule="atLeast"/>
          <w:jc w:val="center"/>
        </w:trPr>
        <w:tc>
          <w:tcPr>
            <w:tcW w:w="75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3066"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126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900" w:type="dxa"/>
            <w:tcBorders>
              <w:bottom w:val="single" w:color="auto" w:sz="4" w:space="0"/>
            </w:tcBorders>
            <w:vAlign w:val="center"/>
          </w:tcPr>
          <w:p>
            <w:pPr>
              <w:spacing w:line="300" w:lineRule="exact"/>
              <w:jc w:val="center"/>
              <w:rPr>
                <w:rFonts w:ascii="宋体" w:hAnsi="宋体"/>
                <w:color w:val="000000"/>
                <w:szCs w:val="21"/>
              </w:rPr>
            </w:pPr>
          </w:p>
        </w:tc>
        <w:tc>
          <w:tcPr>
            <w:tcW w:w="1800" w:type="dxa"/>
            <w:vAlign w:val="center"/>
          </w:tcPr>
          <w:p>
            <w:pPr>
              <w:spacing w:line="300" w:lineRule="exact"/>
              <w:jc w:val="center"/>
              <w:rPr>
                <w:rFonts w:ascii="宋体" w:hAnsi="宋体"/>
                <w:color w:val="000000"/>
                <w:szCs w:val="21"/>
              </w:rPr>
            </w:pPr>
          </w:p>
        </w:tc>
        <w:tc>
          <w:tcPr>
            <w:tcW w:w="800" w:type="dxa"/>
            <w:tcBorders>
              <w:bottom w:val="single" w:color="auto" w:sz="4" w:space="0"/>
            </w:tcBorders>
            <w:vAlign w:val="center"/>
          </w:tcPr>
          <w:p>
            <w:pPr>
              <w:spacing w:line="30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 w:hRule="atLeast"/>
          <w:jc w:val="center"/>
        </w:trPr>
        <w:tc>
          <w:tcPr>
            <w:tcW w:w="75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3066"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126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900" w:type="dxa"/>
            <w:tcBorders>
              <w:bottom w:val="single" w:color="auto" w:sz="4" w:space="0"/>
            </w:tcBorders>
            <w:vAlign w:val="center"/>
          </w:tcPr>
          <w:p>
            <w:pPr>
              <w:spacing w:line="300" w:lineRule="exact"/>
              <w:jc w:val="center"/>
              <w:rPr>
                <w:rFonts w:ascii="宋体" w:hAnsi="宋体"/>
                <w:color w:val="000000"/>
                <w:szCs w:val="21"/>
              </w:rPr>
            </w:pPr>
          </w:p>
        </w:tc>
        <w:tc>
          <w:tcPr>
            <w:tcW w:w="1800" w:type="dxa"/>
            <w:vAlign w:val="center"/>
          </w:tcPr>
          <w:p>
            <w:pPr>
              <w:spacing w:line="300" w:lineRule="exact"/>
              <w:jc w:val="center"/>
              <w:rPr>
                <w:rFonts w:ascii="宋体" w:hAnsi="宋体"/>
                <w:color w:val="000000"/>
                <w:szCs w:val="21"/>
              </w:rPr>
            </w:pPr>
          </w:p>
        </w:tc>
        <w:tc>
          <w:tcPr>
            <w:tcW w:w="800" w:type="dxa"/>
            <w:tcBorders>
              <w:bottom w:val="single" w:color="auto" w:sz="4" w:space="0"/>
            </w:tcBorders>
            <w:vAlign w:val="center"/>
          </w:tcPr>
          <w:p>
            <w:pPr>
              <w:spacing w:line="30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 w:hRule="atLeast"/>
          <w:jc w:val="center"/>
        </w:trPr>
        <w:tc>
          <w:tcPr>
            <w:tcW w:w="75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3066"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126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900" w:type="dxa"/>
            <w:tcBorders>
              <w:bottom w:val="single" w:color="auto" w:sz="4" w:space="0"/>
            </w:tcBorders>
            <w:vAlign w:val="center"/>
          </w:tcPr>
          <w:p>
            <w:pPr>
              <w:spacing w:line="300" w:lineRule="exact"/>
              <w:jc w:val="center"/>
              <w:rPr>
                <w:rFonts w:ascii="宋体" w:hAnsi="宋体"/>
                <w:color w:val="000000"/>
                <w:szCs w:val="21"/>
              </w:rPr>
            </w:pPr>
          </w:p>
        </w:tc>
        <w:tc>
          <w:tcPr>
            <w:tcW w:w="1800" w:type="dxa"/>
            <w:vAlign w:val="center"/>
          </w:tcPr>
          <w:p>
            <w:pPr>
              <w:spacing w:line="300" w:lineRule="exact"/>
              <w:jc w:val="center"/>
              <w:rPr>
                <w:rFonts w:ascii="宋体" w:hAnsi="宋体"/>
                <w:color w:val="000000"/>
                <w:szCs w:val="21"/>
              </w:rPr>
            </w:pPr>
          </w:p>
        </w:tc>
        <w:tc>
          <w:tcPr>
            <w:tcW w:w="800" w:type="dxa"/>
            <w:tcBorders>
              <w:bottom w:val="single" w:color="auto" w:sz="4" w:space="0"/>
            </w:tcBorders>
            <w:vAlign w:val="center"/>
          </w:tcPr>
          <w:p>
            <w:pPr>
              <w:spacing w:line="30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 w:hRule="atLeast"/>
          <w:jc w:val="center"/>
        </w:trPr>
        <w:tc>
          <w:tcPr>
            <w:tcW w:w="75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3066"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126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900" w:type="dxa"/>
            <w:tcBorders>
              <w:bottom w:val="single" w:color="auto" w:sz="4" w:space="0"/>
            </w:tcBorders>
            <w:vAlign w:val="center"/>
          </w:tcPr>
          <w:p>
            <w:pPr>
              <w:spacing w:line="300" w:lineRule="exact"/>
              <w:jc w:val="center"/>
              <w:rPr>
                <w:rFonts w:ascii="宋体" w:hAnsi="宋体"/>
                <w:color w:val="000000"/>
                <w:szCs w:val="21"/>
              </w:rPr>
            </w:pPr>
          </w:p>
        </w:tc>
        <w:tc>
          <w:tcPr>
            <w:tcW w:w="1800" w:type="dxa"/>
            <w:vAlign w:val="center"/>
          </w:tcPr>
          <w:p>
            <w:pPr>
              <w:spacing w:line="300" w:lineRule="exact"/>
              <w:jc w:val="center"/>
              <w:rPr>
                <w:rFonts w:ascii="宋体" w:hAnsi="宋体"/>
                <w:color w:val="000000"/>
                <w:szCs w:val="21"/>
              </w:rPr>
            </w:pPr>
          </w:p>
        </w:tc>
        <w:tc>
          <w:tcPr>
            <w:tcW w:w="800" w:type="dxa"/>
            <w:tcBorders>
              <w:bottom w:val="single" w:color="auto" w:sz="4" w:space="0"/>
            </w:tcBorders>
            <w:vAlign w:val="center"/>
          </w:tcPr>
          <w:p>
            <w:pPr>
              <w:spacing w:line="30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 w:hRule="atLeast"/>
          <w:jc w:val="center"/>
        </w:trPr>
        <w:tc>
          <w:tcPr>
            <w:tcW w:w="75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3066"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126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900" w:type="dxa"/>
            <w:tcBorders>
              <w:bottom w:val="single" w:color="auto" w:sz="4" w:space="0"/>
            </w:tcBorders>
            <w:vAlign w:val="center"/>
          </w:tcPr>
          <w:p>
            <w:pPr>
              <w:spacing w:line="300" w:lineRule="exact"/>
              <w:jc w:val="center"/>
              <w:rPr>
                <w:rFonts w:ascii="宋体" w:hAnsi="宋体"/>
                <w:color w:val="000000"/>
                <w:szCs w:val="21"/>
              </w:rPr>
            </w:pPr>
          </w:p>
        </w:tc>
        <w:tc>
          <w:tcPr>
            <w:tcW w:w="1800" w:type="dxa"/>
            <w:vAlign w:val="center"/>
          </w:tcPr>
          <w:p>
            <w:pPr>
              <w:spacing w:line="300" w:lineRule="exact"/>
              <w:jc w:val="center"/>
              <w:rPr>
                <w:rFonts w:ascii="宋体" w:hAnsi="宋体"/>
                <w:color w:val="000000"/>
                <w:szCs w:val="21"/>
              </w:rPr>
            </w:pPr>
          </w:p>
        </w:tc>
        <w:tc>
          <w:tcPr>
            <w:tcW w:w="800" w:type="dxa"/>
            <w:tcBorders>
              <w:bottom w:val="single" w:color="auto" w:sz="4" w:space="0"/>
            </w:tcBorders>
            <w:vAlign w:val="center"/>
          </w:tcPr>
          <w:p>
            <w:pPr>
              <w:spacing w:line="30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 w:hRule="atLeast"/>
          <w:jc w:val="center"/>
        </w:trPr>
        <w:tc>
          <w:tcPr>
            <w:tcW w:w="75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3066"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126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900" w:type="dxa"/>
            <w:tcBorders>
              <w:bottom w:val="single" w:color="auto" w:sz="4" w:space="0"/>
            </w:tcBorders>
            <w:vAlign w:val="center"/>
          </w:tcPr>
          <w:p>
            <w:pPr>
              <w:spacing w:line="300" w:lineRule="exact"/>
              <w:jc w:val="center"/>
              <w:rPr>
                <w:rFonts w:ascii="宋体" w:hAnsi="宋体"/>
                <w:color w:val="000000"/>
                <w:szCs w:val="21"/>
              </w:rPr>
            </w:pPr>
          </w:p>
        </w:tc>
        <w:tc>
          <w:tcPr>
            <w:tcW w:w="1800" w:type="dxa"/>
            <w:vAlign w:val="center"/>
          </w:tcPr>
          <w:p>
            <w:pPr>
              <w:spacing w:line="300" w:lineRule="exact"/>
              <w:jc w:val="center"/>
              <w:rPr>
                <w:rFonts w:ascii="宋体" w:hAnsi="宋体"/>
                <w:color w:val="000000"/>
                <w:szCs w:val="21"/>
              </w:rPr>
            </w:pPr>
          </w:p>
        </w:tc>
        <w:tc>
          <w:tcPr>
            <w:tcW w:w="800" w:type="dxa"/>
            <w:tcBorders>
              <w:bottom w:val="single" w:color="auto" w:sz="4" w:space="0"/>
            </w:tcBorders>
            <w:vAlign w:val="center"/>
          </w:tcPr>
          <w:p>
            <w:pPr>
              <w:spacing w:line="30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 w:hRule="atLeast"/>
          <w:jc w:val="center"/>
        </w:trPr>
        <w:tc>
          <w:tcPr>
            <w:tcW w:w="75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3066"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126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900" w:type="dxa"/>
            <w:tcBorders>
              <w:bottom w:val="single" w:color="auto" w:sz="4" w:space="0"/>
            </w:tcBorders>
            <w:vAlign w:val="center"/>
          </w:tcPr>
          <w:p>
            <w:pPr>
              <w:spacing w:line="300" w:lineRule="exact"/>
              <w:jc w:val="center"/>
              <w:rPr>
                <w:rFonts w:ascii="宋体" w:hAnsi="宋体"/>
                <w:color w:val="000000"/>
                <w:szCs w:val="21"/>
              </w:rPr>
            </w:pPr>
          </w:p>
        </w:tc>
        <w:tc>
          <w:tcPr>
            <w:tcW w:w="1800" w:type="dxa"/>
            <w:vAlign w:val="center"/>
          </w:tcPr>
          <w:p>
            <w:pPr>
              <w:spacing w:line="300" w:lineRule="exact"/>
              <w:jc w:val="center"/>
              <w:rPr>
                <w:rFonts w:ascii="宋体" w:hAnsi="宋体"/>
                <w:color w:val="000000"/>
                <w:szCs w:val="21"/>
              </w:rPr>
            </w:pPr>
          </w:p>
        </w:tc>
        <w:tc>
          <w:tcPr>
            <w:tcW w:w="800" w:type="dxa"/>
            <w:tcBorders>
              <w:bottom w:val="single" w:color="auto" w:sz="4" w:space="0"/>
            </w:tcBorders>
            <w:vAlign w:val="center"/>
          </w:tcPr>
          <w:p>
            <w:pPr>
              <w:spacing w:line="30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 w:hRule="atLeast"/>
          <w:jc w:val="center"/>
        </w:trPr>
        <w:tc>
          <w:tcPr>
            <w:tcW w:w="75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3066"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126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900" w:type="dxa"/>
            <w:tcBorders>
              <w:bottom w:val="single" w:color="auto" w:sz="4" w:space="0"/>
            </w:tcBorders>
            <w:vAlign w:val="center"/>
          </w:tcPr>
          <w:p>
            <w:pPr>
              <w:spacing w:line="300" w:lineRule="exact"/>
              <w:jc w:val="center"/>
              <w:rPr>
                <w:rFonts w:ascii="宋体" w:hAnsi="宋体"/>
                <w:color w:val="000000"/>
                <w:szCs w:val="21"/>
              </w:rPr>
            </w:pPr>
          </w:p>
        </w:tc>
        <w:tc>
          <w:tcPr>
            <w:tcW w:w="1800" w:type="dxa"/>
            <w:vAlign w:val="center"/>
          </w:tcPr>
          <w:p>
            <w:pPr>
              <w:spacing w:line="300" w:lineRule="exact"/>
              <w:jc w:val="center"/>
              <w:rPr>
                <w:rFonts w:ascii="宋体" w:hAnsi="宋体"/>
                <w:color w:val="000000"/>
                <w:szCs w:val="21"/>
              </w:rPr>
            </w:pPr>
          </w:p>
        </w:tc>
        <w:tc>
          <w:tcPr>
            <w:tcW w:w="800" w:type="dxa"/>
            <w:tcBorders>
              <w:bottom w:val="single" w:color="auto" w:sz="4" w:space="0"/>
            </w:tcBorders>
            <w:vAlign w:val="center"/>
          </w:tcPr>
          <w:p>
            <w:pPr>
              <w:spacing w:line="30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 w:hRule="atLeast"/>
          <w:jc w:val="center"/>
        </w:trPr>
        <w:tc>
          <w:tcPr>
            <w:tcW w:w="75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3066"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126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900" w:type="dxa"/>
            <w:tcBorders>
              <w:bottom w:val="single" w:color="auto" w:sz="4" w:space="0"/>
            </w:tcBorders>
            <w:vAlign w:val="center"/>
          </w:tcPr>
          <w:p>
            <w:pPr>
              <w:spacing w:line="300" w:lineRule="exact"/>
              <w:jc w:val="center"/>
              <w:rPr>
                <w:rFonts w:ascii="宋体" w:hAnsi="宋体"/>
                <w:color w:val="000000"/>
                <w:szCs w:val="21"/>
              </w:rPr>
            </w:pPr>
          </w:p>
        </w:tc>
        <w:tc>
          <w:tcPr>
            <w:tcW w:w="1800" w:type="dxa"/>
            <w:vAlign w:val="center"/>
          </w:tcPr>
          <w:p>
            <w:pPr>
              <w:spacing w:line="300" w:lineRule="exact"/>
              <w:jc w:val="center"/>
              <w:rPr>
                <w:rFonts w:ascii="宋体" w:hAnsi="宋体"/>
                <w:color w:val="000000"/>
                <w:szCs w:val="21"/>
              </w:rPr>
            </w:pPr>
          </w:p>
        </w:tc>
        <w:tc>
          <w:tcPr>
            <w:tcW w:w="800" w:type="dxa"/>
            <w:tcBorders>
              <w:bottom w:val="single" w:color="auto" w:sz="4" w:space="0"/>
            </w:tcBorders>
            <w:vAlign w:val="center"/>
          </w:tcPr>
          <w:p>
            <w:pPr>
              <w:spacing w:line="30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 w:hRule="atLeast"/>
          <w:jc w:val="center"/>
        </w:trPr>
        <w:tc>
          <w:tcPr>
            <w:tcW w:w="75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3066"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126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900" w:type="dxa"/>
            <w:tcBorders>
              <w:bottom w:val="single" w:color="auto" w:sz="4" w:space="0"/>
            </w:tcBorders>
            <w:vAlign w:val="center"/>
          </w:tcPr>
          <w:p>
            <w:pPr>
              <w:spacing w:line="300" w:lineRule="exact"/>
              <w:jc w:val="center"/>
              <w:rPr>
                <w:rFonts w:ascii="宋体" w:hAnsi="宋体"/>
                <w:color w:val="000000"/>
                <w:szCs w:val="21"/>
              </w:rPr>
            </w:pPr>
          </w:p>
        </w:tc>
        <w:tc>
          <w:tcPr>
            <w:tcW w:w="1800" w:type="dxa"/>
            <w:vAlign w:val="center"/>
          </w:tcPr>
          <w:p>
            <w:pPr>
              <w:spacing w:line="300" w:lineRule="exact"/>
              <w:jc w:val="center"/>
              <w:rPr>
                <w:rFonts w:ascii="宋体" w:hAnsi="宋体"/>
                <w:color w:val="000000"/>
                <w:szCs w:val="21"/>
              </w:rPr>
            </w:pPr>
          </w:p>
        </w:tc>
        <w:tc>
          <w:tcPr>
            <w:tcW w:w="800" w:type="dxa"/>
            <w:tcBorders>
              <w:bottom w:val="single" w:color="auto" w:sz="4" w:space="0"/>
            </w:tcBorders>
            <w:vAlign w:val="center"/>
          </w:tcPr>
          <w:p>
            <w:pPr>
              <w:spacing w:line="30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 w:hRule="atLeast"/>
          <w:jc w:val="center"/>
        </w:trPr>
        <w:tc>
          <w:tcPr>
            <w:tcW w:w="75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3066"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126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900" w:type="dxa"/>
            <w:tcBorders>
              <w:bottom w:val="single" w:color="auto" w:sz="4" w:space="0"/>
            </w:tcBorders>
            <w:vAlign w:val="center"/>
          </w:tcPr>
          <w:p>
            <w:pPr>
              <w:spacing w:line="300" w:lineRule="exact"/>
              <w:jc w:val="center"/>
              <w:rPr>
                <w:rFonts w:ascii="宋体" w:hAnsi="宋体"/>
                <w:color w:val="000000"/>
                <w:szCs w:val="21"/>
              </w:rPr>
            </w:pPr>
          </w:p>
        </w:tc>
        <w:tc>
          <w:tcPr>
            <w:tcW w:w="1800" w:type="dxa"/>
            <w:vAlign w:val="center"/>
          </w:tcPr>
          <w:p>
            <w:pPr>
              <w:spacing w:line="300" w:lineRule="exact"/>
              <w:jc w:val="center"/>
              <w:rPr>
                <w:rFonts w:ascii="宋体" w:hAnsi="宋体"/>
                <w:color w:val="000000"/>
                <w:szCs w:val="21"/>
              </w:rPr>
            </w:pPr>
          </w:p>
        </w:tc>
        <w:tc>
          <w:tcPr>
            <w:tcW w:w="800" w:type="dxa"/>
            <w:tcBorders>
              <w:bottom w:val="single" w:color="auto" w:sz="4" w:space="0"/>
            </w:tcBorders>
            <w:vAlign w:val="center"/>
          </w:tcPr>
          <w:p>
            <w:pPr>
              <w:spacing w:line="30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 w:hRule="atLeast"/>
          <w:jc w:val="center"/>
        </w:trPr>
        <w:tc>
          <w:tcPr>
            <w:tcW w:w="75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3066"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126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900" w:type="dxa"/>
            <w:tcBorders>
              <w:bottom w:val="single" w:color="auto" w:sz="4" w:space="0"/>
            </w:tcBorders>
            <w:vAlign w:val="center"/>
          </w:tcPr>
          <w:p>
            <w:pPr>
              <w:spacing w:line="300" w:lineRule="exact"/>
              <w:jc w:val="center"/>
              <w:rPr>
                <w:rFonts w:ascii="宋体" w:hAnsi="宋体"/>
                <w:color w:val="000000"/>
                <w:szCs w:val="21"/>
              </w:rPr>
            </w:pPr>
          </w:p>
        </w:tc>
        <w:tc>
          <w:tcPr>
            <w:tcW w:w="1800" w:type="dxa"/>
            <w:vAlign w:val="center"/>
          </w:tcPr>
          <w:p>
            <w:pPr>
              <w:spacing w:line="300" w:lineRule="exact"/>
              <w:jc w:val="center"/>
              <w:rPr>
                <w:rFonts w:ascii="宋体" w:hAnsi="宋体"/>
                <w:color w:val="000000"/>
                <w:szCs w:val="21"/>
              </w:rPr>
            </w:pPr>
          </w:p>
        </w:tc>
        <w:tc>
          <w:tcPr>
            <w:tcW w:w="800" w:type="dxa"/>
            <w:tcBorders>
              <w:bottom w:val="single" w:color="auto" w:sz="4" w:space="0"/>
            </w:tcBorders>
            <w:vAlign w:val="center"/>
          </w:tcPr>
          <w:p>
            <w:pPr>
              <w:spacing w:line="30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 w:hRule="atLeast"/>
          <w:jc w:val="center"/>
        </w:trPr>
        <w:tc>
          <w:tcPr>
            <w:tcW w:w="75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3066"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126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900" w:type="dxa"/>
            <w:tcBorders>
              <w:bottom w:val="single" w:color="auto" w:sz="4" w:space="0"/>
            </w:tcBorders>
            <w:vAlign w:val="center"/>
          </w:tcPr>
          <w:p>
            <w:pPr>
              <w:spacing w:line="300" w:lineRule="exact"/>
              <w:jc w:val="center"/>
              <w:rPr>
                <w:rFonts w:ascii="宋体" w:hAnsi="宋体"/>
                <w:color w:val="000000"/>
                <w:szCs w:val="21"/>
              </w:rPr>
            </w:pPr>
          </w:p>
        </w:tc>
        <w:tc>
          <w:tcPr>
            <w:tcW w:w="1800" w:type="dxa"/>
            <w:vAlign w:val="center"/>
          </w:tcPr>
          <w:p>
            <w:pPr>
              <w:spacing w:line="300" w:lineRule="exact"/>
              <w:jc w:val="center"/>
              <w:rPr>
                <w:rFonts w:ascii="宋体" w:hAnsi="宋体"/>
                <w:color w:val="000000"/>
                <w:szCs w:val="21"/>
              </w:rPr>
            </w:pPr>
          </w:p>
        </w:tc>
        <w:tc>
          <w:tcPr>
            <w:tcW w:w="800" w:type="dxa"/>
            <w:tcBorders>
              <w:bottom w:val="single" w:color="auto" w:sz="4" w:space="0"/>
            </w:tcBorders>
            <w:vAlign w:val="center"/>
          </w:tcPr>
          <w:p>
            <w:pPr>
              <w:spacing w:line="30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 w:hRule="atLeast"/>
          <w:jc w:val="center"/>
        </w:trPr>
        <w:tc>
          <w:tcPr>
            <w:tcW w:w="75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3066"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126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900" w:type="dxa"/>
            <w:tcBorders>
              <w:bottom w:val="single" w:color="auto" w:sz="4" w:space="0"/>
            </w:tcBorders>
            <w:vAlign w:val="center"/>
          </w:tcPr>
          <w:p>
            <w:pPr>
              <w:spacing w:line="300" w:lineRule="exact"/>
              <w:jc w:val="center"/>
              <w:rPr>
                <w:rFonts w:ascii="宋体" w:hAnsi="宋体"/>
                <w:color w:val="000000"/>
                <w:szCs w:val="21"/>
              </w:rPr>
            </w:pPr>
          </w:p>
        </w:tc>
        <w:tc>
          <w:tcPr>
            <w:tcW w:w="1800" w:type="dxa"/>
            <w:vAlign w:val="center"/>
          </w:tcPr>
          <w:p>
            <w:pPr>
              <w:spacing w:line="300" w:lineRule="exact"/>
              <w:jc w:val="center"/>
              <w:rPr>
                <w:rFonts w:ascii="宋体" w:hAnsi="宋体"/>
                <w:color w:val="000000"/>
                <w:szCs w:val="21"/>
              </w:rPr>
            </w:pPr>
          </w:p>
        </w:tc>
        <w:tc>
          <w:tcPr>
            <w:tcW w:w="800" w:type="dxa"/>
            <w:tcBorders>
              <w:bottom w:val="single" w:color="auto" w:sz="4" w:space="0"/>
            </w:tcBorders>
            <w:vAlign w:val="center"/>
          </w:tcPr>
          <w:p>
            <w:pPr>
              <w:spacing w:line="30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 w:hRule="atLeast"/>
          <w:jc w:val="center"/>
        </w:trPr>
        <w:tc>
          <w:tcPr>
            <w:tcW w:w="75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3066"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126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900" w:type="dxa"/>
            <w:tcBorders>
              <w:bottom w:val="single" w:color="auto" w:sz="4" w:space="0"/>
            </w:tcBorders>
            <w:vAlign w:val="center"/>
          </w:tcPr>
          <w:p>
            <w:pPr>
              <w:spacing w:line="300" w:lineRule="exact"/>
              <w:jc w:val="center"/>
              <w:rPr>
                <w:rFonts w:ascii="宋体" w:hAnsi="宋体"/>
                <w:color w:val="000000"/>
                <w:szCs w:val="21"/>
              </w:rPr>
            </w:pPr>
          </w:p>
        </w:tc>
        <w:tc>
          <w:tcPr>
            <w:tcW w:w="1800" w:type="dxa"/>
            <w:vAlign w:val="center"/>
          </w:tcPr>
          <w:p>
            <w:pPr>
              <w:spacing w:line="300" w:lineRule="exact"/>
              <w:jc w:val="center"/>
              <w:rPr>
                <w:rFonts w:ascii="宋体" w:hAnsi="宋体"/>
                <w:color w:val="000000"/>
                <w:szCs w:val="21"/>
              </w:rPr>
            </w:pPr>
          </w:p>
        </w:tc>
        <w:tc>
          <w:tcPr>
            <w:tcW w:w="800" w:type="dxa"/>
            <w:tcBorders>
              <w:bottom w:val="single" w:color="auto" w:sz="4" w:space="0"/>
            </w:tcBorders>
            <w:vAlign w:val="center"/>
          </w:tcPr>
          <w:p>
            <w:pPr>
              <w:spacing w:line="30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4" w:hRule="atLeast"/>
          <w:jc w:val="center"/>
        </w:trPr>
        <w:tc>
          <w:tcPr>
            <w:tcW w:w="3816" w:type="dxa"/>
            <w:gridSpan w:val="2"/>
            <w:vAlign w:val="center"/>
          </w:tcPr>
          <w:p>
            <w:pPr>
              <w:spacing w:after="120" w:afterLines="50" w:line="380" w:lineRule="exact"/>
              <w:jc w:val="center"/>
              <w:rPr>
                <w:rFonts w:ascii="宋体" w:hAnsi="宋体"/>
                <w:color w:val="000000"/>
                <w:szCs w:val="21"/>
              </w:rPr>
            </w:pPr>
            <w:r>
              <w:rPr>
                <w:rFonts w:hint="eastAsia" w:ascii="宋体" w:hAnsi="宋体"/>
                <w:color w:val="000000"/>
                <w:szCs w:val="21"/>
              </w:rPr>
              <w:t>合 计</w:t>
            </w:r>
          </w:p>
        </w:tc>
        <w:tc>
          <w:tcPr>
            <w:tcW w:w="1260" w:type="dxa"/>
            <w:vAlign w:val="center"/>
          </w:tcPr>
          <w:p>
            <w:pPr>
              <w:spacing w:after="120" w:afterLines="50" w:line="380" w:lineRule="exact"/>
              <w:jc w:val="center"/>
              <w:rPr>
                <w:rFonts w:ascii="宋体" w:hAnsi="宋体"/>
                <w:color w:val="000000"/>
                <w:szCs w:val="21"/>
              </w:rPr>
            </w:pPr>
          </w:p>
        </w:tc>
        <w:tc>
          <w:tcPr>
            <w:tcW w:w="900" w:type="dxa"/>
            <w:vAlign w:val="center"/>
          </w:tcPr>
          <w:p>
            <w:pPr>
              <w:spacing w:line="300" w:lineRule="exact"/>
              <w:jc w:val="center"/>
              <w:rPr>
                <w:rFonts w:ascii="宋体" w:hAnsi="宋体"/>
                <w:color w:val="000000"/>
                <w:szCs w:val="21"/>
              </w:rPr>
            </w:pPr>
          </w:p>
        </w:tc>
        <w:tc>
          <w:tcPr>
            <w:tcW w:w="1800" w:type="dxa"/>
            <w:vAlign w:val="center"/>
          </w:tcPr>
          <w:p>
            <w:pPr>
              <w:spacing w:line="300" w:lineRule="exact"/>
              <w:jc w:val="center"/>
              <w:rPr>
                <w:rFonts w:ascii="宋体" w:hAnsi="宋体"/>
                <w:color w:val="000000"/>
                <w:szCs w:val="21"/>
              </w:rPr>
            </w:pPr>
          </w:p>
        </w:tc>
        <w:tc>
          <w:tcPr>
            <w:tcW w:w="800" w:type="dxa"/>
            <w:vAlign w:val="center"/>
          </w:tcPr>
          <w:p>
            <w:pPr>
              <w:spacing w:line="300" w:lineRule="exact"/>
              <w:jc w:val="center"/>
              <w:rPr>
                <w:rFonts w:ascii="宋体" w:hAnsi="宋体"/>
                <w:color w:val="000000"/>
                <w:szCs w:val="21"/>
              </w:rPr>
            </w:pPr>
          </w:p>
        </w:tc>
      </w:tr>
    </w:tbl>
    <w:p>
      <w:pPr>
        <w:spacing w:after="120" w:afterLines="50" w:line="380" w:lineRule="exact"/>
        <w:rPr>
          <w:rFonts w:ascii="黑体" w:eastAsia="黑体"/>
          <w:color w:val="000000"/>
          <w:sz w:val="24"/>
        </w:rPr>
      </w:pPr>
      <w:r>
        <w:rPr>
          <w:rFonts w:ascii="黑体" w:eastAsia="黑体"/>
          <w:color w:val="000000"/>
          <w:sz w:val="24"/>
        </w:rPr>
        <w:br w:type="page"/>
      </w:r>
      <w:r>
        <w:rPr>
          <w:rFonts w:hint="eastAsia" w:ascii="黑体" w:eastAsia="黑体"/>
          <w:color w:val="000000"/>
          <w:sz w:val="24"/>
        </w:rPr>
        <w:t>4.10单项工程招标控制价/投标报价汇总表</w:t>
      </w:r>
    </w:p>
    <w:p>
      <w:pPr>
        <w:spacing w:after="120" w:afterLines="50" w:line="380" w:lineRule="exact"/>
        <w:jc w:val="center"/>
        <w:rPr>
          <w:rFonts w:ascii="黑体" w:eastAsia="黑体"/>
          <w:b/>
          <w:color w:val="000000"/>
          <w:sz w:val="28"/>
          <w:szCs w:val="28"/>
        </w:rPr>
      </w:pPr>
      <w:r>
        <w:rPr>
          <w:rFonts w:hint="eastAsia" w:ascii="黑体" w:eastAsia="黑体"/>
          <w:b/>
          <w:color w:val="000000"/>
          <w:sz w:val="28"/>
          <w:szCs w:val="28"/>
        </w:rPr>
        <w:t>单项工程招标控制价/投标报价汇总表</w:t>
      </w:r>
    </w:p>
    <w:p>
      <w:pPr>
        <w:spacing w:after="120" w:afterLines="50" w:line="380" w:lineRule="exact"/>
        <w:rPr>
          <w:rFonts w:ascii="宋体" w:hAnsi="宋体"/>
          <w:color w:val="000000"/>
        </w:rPr>
      </w:pPr>
      <w:r>
        <w:rPr>
          <w:rFonts w:hint="eastAsia" w:ascii="宋体" w:hAnsi="宋体"/>
          <w:color w:val="000000"/>
        </w:rPr>
        <w:t>工程名称：                                           单位：元   第   页 共   页</w:t>
      </w:r>
    </w:p>
    <w:tbl>
      <w:tblPr>
        <w:tblStyle w:val="36"/>
        <w:tblW w:w="85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3066"/>
        <w:gridCol w:w="1260"/>
        <w:gridCol w:w="900"/>
        <w:gridCol w:w="1800"/>
        <w:gridCol w:w="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1" w:hRule="atLeast"/>
          <w:jc w:val="center"/>
        </w:trPr>
        <w:tc>
          <w:tcPr>
            <w:tcW w:w="750" w:type="dxa"/>
            <w:vMerge w:val="restart"/>
            <w:vAlign w:val="center"/>
          </w:tcPr>
          <w:p>
            <w:pPr>
              <w:spacing w:after="120" w:afterLines="50" w:line="380" w:lineRule="exact"/>
              <w:jc w:val="center"/>
              <w:rPr>
                <w:rFonts w:ascii="宋体" w:hAnsi="宋体"/>
                <w:color w:val="000000"/>
                <w:szCs w:val="21"/>
              </w:rPr>
            </w:pPr>
            <w:r>
              <w:rPr>
                <w:rFonts w:hint="eastAsia" w:ascii="宋体" w:hAnsi="宋体"/>
                <w:color w:val="000000"/>
                <w:szCs w:val="21"/>
              </w:rPr>
              <w:t>序号</w:t>
            </w:r>
          </w:p>
        </w:tc>
        <w:tc>
          <w:tcPr>
            <w:tcW w:w="3066" w:type="dxa"/>
            <w:vMerge w:val="restart"/>
            <w:vAlign w:val="center"/>
          </w:tcPr>
          <w:p>
            <w:pPr>
              <w:spacing w:after="120" w:afterLines="50" w:line="380" w:lineRule="exact"/>
              <w:jc w:val="center"/>
              <w:rPr>
                <w:rFonts w:ascii="宋体" w:hAnsi="宋体"/>
                <w:color w:val="000000"/>
                <w:szCs w:val="21"/>
              </w:rPr>
            </w:pPr>
            <w:r>
              <w:rPr>
                <w:rFonts w:hint="eastAsia" w:ascii="宋体" w:hAnsi="宋体"/>
                <w:color w:val="000000"/>
                <w:szCs w:val="21"/>
              </w:rPr>
              <w:t>单位工程名称</w:t>
            </w:r>
          </w:p>
        </w:tc>
        <w:tc>
          <w:tcPr>
            <w:tcW w:w="1260" w:type="dxa"/>
            <w:vMerge w:val="restart"/>
            <w:vAlign w:val="center"/>
          </w:tcPr>
          <w:p>
            <w:pPr>
              <w:spacing w:after="120" w:afterLines="50" w:line="380" w:lineRule="exact"/>
              <w:jc w:val="center"/>
              <w:rPr>
                <w:rFonts w:ascii="宋体" w:hAnsi="宋体"/>
                <w:color w:val="000000"/>
                <w:szCs w:val="21"/>
              </w:rPr>
            </w:pPr>
            <w:r>
              <w:rPr>
                <w:rFonts w:hint="eastAsia" w:ascii="宋体" w:hAnsi="宋体"/>
                <w:color w:val="000000"/>
                <w:szCs w:val="21"/>
              </w:rPr>
              <w:t>金  额（</w:t>
            </w:r>
            <w:r>
              <w:rPr>
                <w:rFonts w:hint="eastAsia" w:ascii="宋体" w:hAnsi="宋体"/>
                <w:color w:val="000000"/>
                <w:szCs w:val="21"/>
                <w:lang w:eastAsia="zh-CN"/>
              </w:rPr>
              <w:t>元</w:t>
            </w:r>
            <w:r>
              <w:rPr>
                <w:rFonts w:hint="eastAsia" w:ascii="宋体" w:hAnsi="宋体"/>
                <w:color w:val="000000"/>
                <w:szCs w:val="21"/>
              </w:rPr>
              <w:t>）</w:t>
            </w:r>
          </w:p>
        </w:tc>
        <w:tc>
          <w:tcPr>
            <w:tcW w:w="3500" w:type="dxa"/>
            <w:gridSpan w:val="3"/>
            <w:vAlign w:val="center"/>
          </w:tcPr>
          <w:p>
            <w:pPr>
              <w:spacing w:after="120" w:afterLines="50" w:line="380" w:lineRule="exact"/>
              <w:jc w:val="center"/>
              <w:rPr>
                <w:rFonts w:ascii="宋体" w:hAnsi="宋体"/>
                <w:color w:val="000000"/>
                <w:szCs w:val="21"/>
              </w:rPr>
            </w:pPr>
            <w:r>
              <w:rPr>
                <w:rFonts w:hint="eastAsia" w:ascii="宋体" w:hAnsi="宋体"/>
                <w:color w:val="000000"/>
                <w:szCs w:val="21"/>
              </w:rPr>
              <w:t>其    中：（元）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1" w:hRule="atLeast"/>
          <w:jc w:val="center"/>
        </w:trPr>
        <w:tc>
          <w:tcPr>
            <w:tcW w:w="750" w:type="dxa"/>
            <w:vMerge w:val="continue"/>
            <w:vAlign w:val="center"/>
          </w:tcPr>
          <w:p>
            <w:pPr>
              <w:spacing w:after="120" w:afterLines="50" w:line="380" w:lineRule="exact"/>
              <w:jc w:val="center"/>
              <w:rPr>
                <w:rFonts w:ascii="宋体" w:hAnsi="宋体"/>
                <w:color w:val="000000"/>
                <w:szCs w:val="21"/>
              </w:rPr>
            </w:pPr>
          </w:p>
        </w:tc>
        <w:tc>
          <w:tcPr>
            <w:tcW w:w="3066" w:type="dxa"/>
            <w:vMerge w:val="continue"/>
            <w:vAlign w:val="center"/>
          </w:tcPr>
          <w:p>
            <w:pPr>
              <w:spacing w:after="120" w:afterLines="50" w:line="380" w:lineRule="exact"/>
              <w:jc w:val="center"/>
              <w:rPr>
                <w:rFonts w:ascii="宋体" w:hAnsi="宋体"/>
                <w:color w:val="000000"/>
                <w:szCs w:val="21"/>
              </w:rPr>
            </w:pPr>
          </w:p>
        </w:tc>
        <w:tc>
          <w:tcPr>
            <w:tcW w:w="1260" w:type="dxa"/>
            <w:vMerge w:val="continue"/>
            <w:vAlign w:val="center"/>
          </w:tcPr>
          <w:p>
            <w:pPr>
              <w:spacing w:after="120" w:afterLines="50" w:line="380" w:lineRule="exact"/>
              <w:jc w:val="center"/>
              <w:rPr>
                <w:rFonts w:ascii="宋体" w:hAnsi="宋体"/>
                <w:color w:val="000000"/>
                <w:szCs w:val="21"/>
              </w:rPr>
            </w:pPr>
          </w:p>
        </w:tc>
        <w:tc>
          <w:tcPr>
            <w:tcW w:w="900" w:type="dxa"/>
            <w:vAlign w:val="center"/>
          </w:tcPr>
          <w:p>
            <w:pPr>
              <w:spacing w:line="300" w:lineRule="exact"/>
              <w:jc w:val="center"/>
              <w:rPr>
                <w:rFonts w:ascii="宋体" w:hAnsi="宋体"/>
                <w:color w:val="000000"/>
                <w:szCs w:val="21"/>
              </w:rPr>
            </w:pPr>
            <w:r>
              <w:rPr>
                <w:rFonts w:hint="eastAsia" w:ascii="宋体" w:hAnsi="宋体"/>
                <w:color w:val="000000"/>
                <w:szCs w:val="21"/>
              </w:rPr>
              <w:t>暂估价</w:t>
            </w:r>
          </w:p>
        </w:tc>
        <w:tc>
          <w:tcPr>
            <w:tcW w:w="1800" w:type="dxa"/>
            <w:vAlign w:val="center"/>
          </w:tcPr>
          <w:p>
            <w:pPr>
              <w:spacing w:line="300" w:lineRule="exact"/>
              <w:rPr>
                <w:rFonts w:ascii="宋体" w:hAnsi="宋体"/>
                <w:color w:val="000000"/>
                <w:szCs w:val="21"/>
              </w:rPr>
            </w:pPr>
            <w:r>
              <w:rPr>
                <w:rFonts w:hint="eastAsia" w:ascii="宋体" w:hAnsi="宋体"/>
                <w:color w:val="000000"/>
                <w:szCs w:val="21"/>
              </w:rPr>
              <w:t>安全文明施工费</w:t>
            </w:r>
          </w:p>
        </w:tc>
        <w:tc>
          <w:tcPr>
            <w:tcW w:w="800" w:type="dxa"/>
            <w:vAlign w:val="center"/>
          </w:tcPr>
          <w:p>
            <w:pPr>
              <w:spacing w:line="300" w:lineRule="exact"/>
              <w:jc w:val="center"/>
              <w:rPr>
                <w:rFonts w:ascii="宋体" w:hAnsi="宋体"/>
                <w:color w:val="000000"/>
                <w:szCs w:val="21"/>
              </w:rPr>
            </w:pPr>
            <w:r>
              <w:rPr>
                <w:rFonts w:hint="eastAsia" w:ascii="宋体" w:hAnsi="宋体"/>
                <w:color w:val="000000"/>
                <w:szCs w:val="21"/>
              </w:rPr>
              <w:t>规费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9" w:hRule="atLeast"/>
          <w:jc w:val="center"/>
        </w:trPr>
        <w:tc>
          <w:tcPr>
            <w:tcW w:w="75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3066"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126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900" w:type="dxa"/>
            <w:tcBorders>
              <w:bottom w:val="single" w:color="auto" w:sz="4" w:space="0"/>
            </w:tcBorders>
            <w:vAlign w:val="center"/>
          </w:tcPr>
          <w:p>
            <w:pPr>
              <w:spacing w:line="300" w:lineRule="exact"/>
              <w:jc w:val="center"/>
              <w:rPr>
                <w:rFonts w:ascii="宋体" w:hAnsi="宋体"/>
                <w:color w:val="000000"/>
                <w:szCs w:val="21"/>
              </w:rPr>
            </w:pPr>
          </w:p>
        </w:tc>
        <w:tc>
          <w:tcPr>
            <w:tcW w:w="1800" w:type="dxa"/>
            <w:vAlign w:val="center"/>
          </w:tcPr>
          <w:p>
            <w:pPr>
              <w:spacing w:line="300" w:lineRule="exact"/>
              <w:jc w:val="center"/>
              <w:rPr>
                <w:rFonts w:ascii="宋体" w:hAnsi="宋体"/>
                <w:color w:val="000000"/>
                <w:szCs w:val="21"/>
              </w:rPr>
            </w:pPr>
          </w:p>
        </w:tc>
        <w:tc>
          <w:tcPr>
            <w:tcW w:w="800" w:type="dxa"/>
            <w:tcBorders>
              <w:bottom w:val="single" w:color="auto" w:sz="4" w:space="0"/>
            </w:tcBorders>
            <w:vAlign w:val="center"/>
          </w:tcPr>
          <w:p>
            <w:pPr>
              <w:spacing w:line="30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9" w:hRule="atLeast"/>
          <w:jc w:val="center"/>
        </w:trPr>
        <w:tc>
          <w:tcPr>
            <w:tcW w:w="75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3066"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126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900" w:type="dxa"/>
            <w:tcBorders>
              <w:bottom w:val="single" w:color="auto" w:sz="4" w:space="0"/>
            </w:tcBorders>
            <w:vAlign w:val="center"/>
          </w:tcPr>
          <w:p>
            <w:pPr>
              <w:spacing w:line="300" w:lineRule="exact"/>
              <w:jc w:val="center"/>
              <w:rPr>
                <w:rFonts w:ascii="宋体" w:hAnsi="宋体"/>
                <w:color w:val="000000"/>
                <w:szCs w:val="21"/>
              </w:rPr>
            </w:pPr>
          </w:p>
        </w:tc>
        <w:tc>
          <w:tcPr>
            <w:tcW w:w="1800" w:type="dxa"/>
            <w:vAlign w:val="center"/>
          </w:tcPr>
          <w:p>
            <w:pPr>
              <w:spacing w:line="300" w:lineRule="exact"/>
              <w:jc w:val="center"/>
              <w:rPr>
                <w:rFonts w:ascii="宋体" w:hAnsi="宋体"/>
                <w:color w:val="000000"/>
                <w:szCs w:val="21"/>
              </w:rPr>
            </w:pPr>
          </w:p>
        </w:tc>
        <w:tc>
          <w:tcPr>
            <w:tcW w:w="800" w:type="dxa"/>
            <w:tcBorders>
              <w:bottom w:val="single" w:color="auto" w:sz="4" w:space="0"/>
            </w:tcBorders>
            <w:vAlign w:val="center"/>
          </w:tcPr>
          <w:p>
            <w:pPr>
              <w:spacing w:line="30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9" w:hRule="atLeast"/>
          <w:jc w:val="center"/>
        </w:trPr>
        <w:tc>
          <w:tcPr>
            <w:tcW w:w="75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3066"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126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900" w:type="dxa"/>
            <w:tcBorders>
              <w:bottom w:val="single" w:color="auto" w:sz="4" w:space="0"/>
            </w:tcBorders>
            <w:vAlign w:val="center"/>
          </w:tcPr>
          <w:p>
            <w:pPr>
              <w:spacing w:line="300" w:lineRule="exact"/>
              <w:jc w:val="center"/>
              <w:rPr>
                <w:rFonts w:ascii="宋体" w:hAnsi="宋体"/>
                <w:color w:val="000000"/>
                <w:szCs w:val="21"/>
              </w:rPr>
            </w:pPr>
          </w:p>
        </w:tc>
        <w:tc>
          <w:tcPr>
            <w:tcW w:w="1800" w:type="dxa"/>
            <w:vAlign w:val="center"/>
          </w:tcPr>
          <w:p>
            <w:pPr>
              <w:spacing w:line="300" w:lineRule="exact"/>
              <w:jc w:val="center"/>
              <w:rPr>
                <w:rFonts w:ascii="宋体" w:hAnsi="宋体"/>
                <w:color w:val="000000"/>
                <w:szCs w:val="21"/>
              </w:rPr>
            </w:pPr>
          </w:p>
        </w:tc>
        <w:tc>
          <w:tcPr>
            <w:tcW w:w="800" w:type="dxa"/>
            <w:tcBorders>
              <w:bottom w:val="single" w:color="auto" w:sz="4" w:space="0"/>
            </w:tcBorders>
            <w:vAlign w:val="center"/>
          </w:tcPr>
          <w:p>
            <w:pPr>
              <w:spacing w:line="30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9" w:hRule="atLeast"/>
          <w:jc w:val="center"/>
        </w:trPr>
        <w:tc>
          <w:tcPr>
            <w:tcW w:w="75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3066"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126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900" w:type="dxa"/>
            <w:tcBorders>
              <w:bottom w:val="single" w:color="auto" w:sz="4" w:space="0"/>
            </w:tcBorders>
            <w:vAlign w:val="center"/>
          </w:tcPr>
          <w:p>
            <w:pPr>
              <w:spacing w:line="300" w:lineRule="exact"/>
              <w:jc w:val="center"/>
              <w:rPr>
                <w:rFonts w:ascii="宋体" w:hAnsi="宋体"/>
                <w:color w:val="000000"/>
                <w:szCs w:val="21"/>
              </w:rPr>
            </w:pPr>
          </w:p>
        </w:tc>
        <w:tc>
          <w:tcPr>
            <w:tcW w:w="1800" w:type="dxa"/>
            <w:vAlign w:val="center"/>
          </w:tcPr>
          <w:p>
            <w:pPr>
              <w:spacing w:line="300" w:lineRule="exact"/>
              <w:jc w:val="center"/>
              <w:rPr>
                <w:rFonts w:ascii="宋体" w:hAnsi="宋体"/>
                <w:color w:val="000000"/>
                <w:szCs w:val="21"/>
              </w:rPr>
            </w:pPr>
          </w:p>
        </w:tc>
        <w:tc>
          <w:tcPr>
            <w:tcW w:w="800" w:type="dxa"/>
            <w:tcBorders>
              <w:bottom w:val="single" w:color="auto" w:sz="4" w:space="0"/>
            </w:tcBorders>
            <w:vAlign w:val="center"/>
          </w:tcPr>
          <w:p>
            <w:pPr>
              <w:spacing w:line="30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9" w:hRule="atLeast"/>
          <w:jc w:val="center"/>
        </w:trPr>
        <w:tc>
          <w:tcPr>
            <w:tcW w:w="75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3066"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126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900" w:type="dxa"/>
            <w:tcBorders>
              <w:bottom w:val="single" w:color="auto" w:sz="4" w:space="0"/>
            </w:tcBorders>
            <w:vAlign w:val="center"/>
          </w:tcPr>
          <w:p>
            <w:pPr>
              <w:spacing w:line="300" w:lineRule="exact"/>
              <w:jc w:val="center"/>
              <w:rPr>
                <w:rFonts w:ascii="宋体" w:hAnsi="宋体"/>
                <w:color w:val="000000"/>
                <w:szCs w:val="21"/>
              </w:rPr>
            </w:pPr>
          </w:p>
        </w:tc>
        <w:tc>
          <w:tcPr>
            <w:tcW w:w="1800" w:type="dxa"/>
            <w:vAlign w:val="center"/>
          </w:tcPr>
          <w:p>
            <w:pPr>
              <w:spacing w:line="300" w:lineRule="exact"/>
              <w:jc w:val="center"/>
              <w:rPr>
                <w:rFonts w:ascii="宋体" w:hAnsi="宋体"/>
                <w:color w:val="000000"/>
                <w:szCs w:val="21"/>
              </w:rPr>
            </w:pPr>
          </w:p>
        </w:tc>
        <w:tc>
          <w:tcPr>
            <w:tcW w:w="800" w:type="dxa"/>
            <w:tcBorders>
              <w:bottom w:val="single" w:color="auto" w:sz="4" w:space="0"/>
            </w:tcBorders>
            <w:vAlign w:val="center"/>
          </w:tcPr>
          <w:p>
            <w:pPr>
              <w:spacing w:line="30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9" w:hRule="atLeast"/>
          <w:jc w:val="center"/>
        </w:trPr>
        <w:tc>
          <w:tcPr>
            <w:tcW w:w="75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3066"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126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900" w:type="dxa"/>
            <w:tcBorders>
              <w:bottom w:val="single" w:color="auto" w:sz="4" w:space="0"/>
            </w:tcBorders>
            <w:vAlign w:val="center"/>
          </w:tcPr>
          <w:p>
            <w:pPr>
              <w:spacing w:line="300" w:lineRule="exact"/>
              <w:jc w:val="center"/>
              <w:rPr>
                <w:rFonts w:ascii="宋体" w:hAnsi="宋体"/>
                <w:color w:val="000000"/>
                <w:szCs w:val="21"/>
              </w:rPr>
            </w:pPr>
          </w:p>
        </w:tc>
        <w:tc>
          <w:tcPr>
            <w:tcW w:w="1800" w:type="dxa"/>
            <w:vAlign w:val="center"/>
          </w:tcPr>
          <w:p>
            <w:pPr>
              <w:spacing w:line="300" w:lineRule="exact"/>
              <w:jc w:val="center"/>
              <w:rPr>
                <w:rFonts w:ascii="宋体" w:hAnsi="宋体"/>
                <w:color w:val="000000"/>
                <w:szCs w:val="21"/>
              </w:rPr>
            </w:pPr>
          </w:p>
        </w:tc>
        <w:tc>
          <w:tcPr>
            <w:tcW w:w="800" w:type="dxa"/>
            <w:tcBorders>
              <w:bottom w:val="single" w:color="auto" w:sz="4" w:space="0"/>
            </w:tcBorders>
            <w:vAlign w:val="center"/>
          </w:tcPr>
          <w:p>
            <w:pPr>
              <w:spacing w:line="30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9" w:hRule="atLeast"/>
          <w:jc w:val="center"/>
        </w:trPr>
        <w:tc>
          <w:tcPr>
            <w:tcW w:w="75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3066"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126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900" w:type="dxa"/>
            <w:tcBorders>
              <w:bottom w:val="single" w:color="auto" w:sz="4" w:space="0"/>
            </w:tcBorders>
            <w:vAlign w:val="center"/>
          </w:tcPr>
          <w:p>
            <w:pPr>
              <w:spacing w:line="300" w:lineRule="exact"/>
              <w:jc w:val="center"/>
              <w:rPr>
                <w:rFonts w:ascii="宋体" w:hAnsi="宋体"/>
                <w:color w:val="000000"/>
                <w:szCs w:val="21"/>
              </w:rPr>
            </w:pPr>
          </w:p>
        </w:tc>
        <w:tc>
          <w:tcPr>
            <w:tcW w:w="1800" w:type="dxa"/>
            <w:vAlign w:val="center"/>
          </w:tcPr>
          <w:p>
            <w:pPr>
              <w:spacing w:line="300" w:lineRule="exact"/>
              <w:jc w:val="center"/>
              <w:rPr>
                <w:rFonts w:ascii="宋体" w:hAnsi="宋体"/>
                <w:color w:val="000000"/>
                <w:szCs w:val="21"/>
              </w:rPr>
            </w:pPr>
          </w:p>
        </w:tc>
        <w:tc>
          <w:tcPr>
            <w:tcW w:w="800" w:type="dxa"/>
            <w:tcBorders>
              <w:bottom w:val="single" w:color="auto" w:sz="4" w:space="0"/>
            </w:tcBorders>
            <w:vAlign w:val="center"/>
          </w:tcPr>
          <w:p>
            <w:pPr>
              <w:spacing w:line="30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9" w:hRule="atLeast"/>
          <w:jc w:val="center"/>
        </w:trPr>
        <w:tc>
          <w:tcPr>
            <w:tcW w:w="75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3066"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126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900" w:type="dxa"/>
            <w:tcBorders>
              <w:bottom w:val="single" w:color="auto" w:sz="4" w:space="0"/>
            </w:tcBorders>
            <w:vAlign w:val="center"/>
          </w:tcPr>
          <w:p>
            <w:pPr>
              <w:spacing w:line="300" w:lineRule="exact"/>
              <w:jc w:val="center"/>
              <w:rPr>
                <w:rFonts w:ascii="宋体" w:hAnsi="宋体"/>
                <w:color w:val="000000"/>
                <w:szCs w:val="21"/>
              </w:rPr>
            </w:pPr>
          </w:p>
        </w:tc>
        <w:tc>
          <w:tcPr>
            <w:tcW w:w="1800" w:type="dxa"/>
            <w:vAlign w:val="center"/>
          </w:tcPr>
          <w:p>
            <w:pPr>
              <w:spacing w:line="300" w:lineRule="exact"/>
              <w:jc w:val="center"/>
              <w:rPr>
                <w:rFonts w:ascii="宋体" w:hAnsi="宋体"/>
                <w:color w:val="000000"/>
                <w:szCs w:val="21"/>
              </w:rPr>
            </w:pPr>
          </w:p>
        </w:tc>
        <w:tc>
          <w:tcPr>
            <w:tcW w:w="800" w:type="dxa"/>
            <w:tcBorders>
              <w:bottom w:val="single" w:color="auto" w:sz="4" w:space="0"/>
            </w:tcBorders>
            <w:vAlign w:val="center"/>
          </w:tcPr>
          <w:p>
            <w:pPr>
              <w:spacing w:line="30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9" w:hRule="atLeast"/>
          <w:jc w:val="center"/>
        </w:trPr>
        <w:tc>
          <w:tcPr>
            <w:tcW w:w="75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3066"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126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900" w:type="dxa"/>
            <w:tcBorders>
              <w:bottom w:val="single" w:color="auto" w:sz="4" w:space="0"/>
            </w:tcBorders>
            <w:vAlign w:val="center"/>
          </w:tcPr>
          <w:p>
            <w:pPr>
              <w:spacing w:line="300" w:lineRule="exact"/>
              <w:jc w:val="center"/>
              <w:rPr>
                <w:rFonts w:ascii="宋体" w:hAnsi="宋体"/>
                <w:color w:val="000000"/>
                <w:szCs w:val="21"/>
              </w:rPr>
            </w:pPr>
          </w:p>
        </w:tc>
        <w:tc>
          <w:tcPr>
            <w:tcW w:w="1800" w:type="dxa"/>
            <w:vAlign w:val="center"/>
          </w:tcPr>
          <w:p>
            <w:pPr>
              <w:spacing w:line="300" w:lineRule="exact"/>
              <w:jc w:val="center"/>
              <w:rPr>
                <w:rFonts w:ascii="宋体" w:hAnsi="宋体"/>
                <w:color w:val="000000"/>
                <w:szCs w:val="21"/>
              </w:rPr>
            </w:pPr>
          </w:p>
        </w:tc>
        <w:tc>
          <w:tcPr>
            <w:tcW w:w="800" w:type="dxa"/>
            <w:tcBorders>
              <w:bottom w:val="single" w:color="auto" w:sz="4" w:space="0"/>
            </w:tcBorders>
            <w:vAlign w:val="center"/>
          </w:tcPr>
          <w:p>
            <w:pPr>
              <w:spacing w:line="30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9" w:hRule="atLeast"/>
          <w:jc w:val="center"/>
        </w:trPr>
        <w:tc>
          <w:tcPr>
            <w:tcW w:w="75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3066"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126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900" w:type="dxa"/>
            <w:tcBorders>
              <w:bottom w:val="single" w:color="auto" w:sz="4" w:space="0"/>
            </w:tcBorders>
            <w:vAlign w:val="center"/>
          </w:tcPr>
          <w:p>
            <w:pPr>
              <w:spacing w:line="300" w:lineRule="exact"/>
              <w:jc w:val="center"/>
              <w:rPr>
                <w:rFonts w:ascii="宋体" w:hAnsi="宋体"/>
                <w:color w:val="000000"/>
                <w:szCs w:val="21"/>
              </w:rPr>
            </w:pPr>
          </w:p>
        </w:tc>
        <w:tc>
          <w:tcPr>
            <w:tcW w:w="1800" w:type="dxa"/>
            <w:vAlign w:val="center"/>
          </w:tcPr>
          <w:p>
            <w:pPr>
              <w:spacing w:line="300" w:lineRule="exact"/>
              <w:jc w:val="center"/>
              <w:rPr>
                <w:rFonts w:ascii="宋体" w:hAnsi="宋体"/>
                <w:color w:val="000000"/>
                <w:szCs w:val="21"/>
              </w:rPr>
            </w:pPr>
          </w:p>
        </w:tc>
        <w:tc>
          <w:tcPr>
            <w:tcW w:w="800" w:type="dxa"/>
            <w:tcBorders>
              <w:bottom w:val="single" w:color="auto" w:sz="4" w:space="0"/>
            </w:tcBorders>
            <w:vAlign w:val="center"/>
          </w:tcPr>
          <w:p>
            <w:pPr>
              <w:spacing w:line="30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9" w:hRule="atLeast"/>
          <w:jc w:val="center"/>
        </w:trPr>
        <w:tc>
          <w:tcPr>
            <w:tcW w:w="75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3066"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126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900" w:type="dxa"/>
            <w:tcBorders>
              <w:bottom w:val="single" w:color="auto" w:sz="4" w:space="0"/>
            </w:tcBorders>
            <w:vAlign w:val="center"/>
          </w:tcPr>
          <w:p>
            <w:pPr>
              <w:spacing w:line="300" w:lineRule="exact"/>
              <w:jc w:val="center"/>
              <w:rPr>
                <w:rFonts w:ascii="宋体" w:hAnsi="宋体"/>
                <w:color w:val="000000"/>
                <w:szCs w:val="21"/>
              </w:rPr>
            </w:pPr>
          </w:p>
        </w:tc>
        <w:tc>
          <w:tcPr>
            <w:tcW w:w="1800" w:type="dxa"/>
            <w:vAlign w:val="center"/>
          </w:tcPr>
          <w:p>
            <w:pPr>
              <w:spacing w:line="300" w:lineRule="exact"/>
              <w:jc w:val="center"/>
              <w:rPr>
                <w:rFonts w:ascii="宋体" w:hAnsi="宋体"/>
                <w:color w:val="000000"/>
                <w:szCs w:val="21"/>
              </w:rPr>
            </w:pPr>
          </w:p>
        </w:tc>
        <w:tc>
          <w:tcPr>
            <w:tcW w:w="800" w:type="dxa"/>
            <w:tcBorders>
              <w:bottom w:val="single" w:color="auto" w:sz="4" w:space="0"/>
            </w:tcBorders>
            <w:vAlign w:val="center"/>
          </w:tcPr>
          <w:p>
            <w:pPr>
              <w:spacing w:line="30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9" w:hRule="atLeast"/>
          <w:jc w:val="center"/>
        </w:trPr>
        <w:tc>
          <w:tcPr>
            <w:tcW w:w="75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3066"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126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900" w:type="dxa"/>
            <w:tcBorders>
              <w:bottom w:val="single" w:color="auto" w:sz="4" w:space="0"/>
            </w:tcBorders>
            <w:vAlign w:val="center"/>
          </w:tcPr>
          <w:p>
            <w:pPr>
              <w:spacing w:line="300" w:lineRule="exact"/>
              <w:jc w:val="center"/>
              <w:rPr>
                <w:rFonts w:ascii="宋体" w:hAnsi="宋体"/>
                <w:color w:val="000000"/>
                <w:szCs w:val="21"/>
              </w:rPr>
            </w:pPr>
          </w:p>
        </w:tc>
        <w:tc>
          <w:tcPr>
            <w:tcW w:w="1800" w:type="dxa"/>
            <w:vAlign w:val="center"/>
          </w:tcPr>
          <w:p>
            <w:pPr>
              <w:spacing w:line="300" w:lineRule="exact"/>
              <w:jc w:val="center"/>
              <w:rPr>
                <w:rFonts w:ascii="宋体" w:hAnsi="宋体"/>
                <w:color w:val="000000"/>
                <w:szCs w:val="21"/>
              </w:rPr>
            </w:pPr>
          </w:p>
        </w:tc>
        <w:tc>
          <w:tcPr>
            <w:tcW w:w="800" w:type="dxa"/>
            <w:tcBorders>
              <w:bottom w:val="single" w:color="auto" w:sz="4" w:space="0"/>
            </w:tcBorders>
            <w:vAlign w:val="center"/>
          </w:tcPr>
          <w:p>
            <w:pPr>
              <w:spacing w:line="30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9" w:hRule="atLeast"/>
          <w:jc w:val="center"/>
        </w:trPr>
        <w:tc>
          <w:tcPr>
            <w:tcW w:w="75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3066"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126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900" w:type="dxa"/>
            <w:tcBorders>
              <w:bottom w:val="single" w:color="auto" w:sz="4" w:space="0"/>
            </w:tcBorders>
            <w:vAlign w:val="center"/>
          </w:tcPr>
          <w:p>
            <w:pPr>
              <w:spacing w:line="300" w:lineRule="exact"/>
              <w:jc w:val="center"/>
              <w:rPr>
                <w:rFonts w:ascii="宋体" w:hAnsi="宋体"/>
                <w:color w:val="000000"/>
                <w:szCs w:val="21"/>
              </w:rPr>
            </w:pPr>
          </w:p>
        </w:tc>
        <w:tc>
          <w:tcPr>
            <w:tcW w:w="1800" w:type="dxa"/>
            <w:vAlign w:val="center"/>
          </w:tcPr>
          <w:p>
            <w:pPr>
              <w:spacing w:line="300" w:lineRule="exact"/>
              <w:jc w:val="center"/>
              <w:rPr>
                <w:rFonts w:ascii="宋体" w:hAnsi="宋体"/>
                <w:color w:val="000000"/>
                <w:szCs w:val="21"/>
              </w:rPr>
            </w:pPr>
          </w:p>
        </w:tc>
        <w:tc>
          <w:tcPr>
            <w:tcW w:w="800" w:type="dxa"/>
            <w:tcBorders>
              <w:bottom w:val="single" w:color="auto" w:sz="4" w:space="0"/>
            </w:tcBorders>
            <w:vAlign w:val="center"/>
          </w:tcPr>
          <w:p>
            <w:pPr>
              <w:spacing w:line="30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9" w:hRule="atLeast"/>
          <w:jc w:val="center"/>
        </w:trPr>
        <w:tc>
          <w:tcPr>
            <w:tcW w:w="75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3066"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126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900" w:type="dxa"/>
            <w:tcBorders>
              <w:bottom w:val="single" w:color="auto" w:sz="4" w:space="0"/>
            </w:tcBorders>
            <w:vAlign w:val="center"/>
          </w:tcPr>
          <w:p>
            <w:pPr>
              <w:spacing w:line="300" w:lineRule="exact"/>
              <w:jc w:val="center"/>
              <w:rPr>
                <w:rFonts w:ascii="宋体" w:hAnsi="宋体"/>
                <w:color w:val="000000"/>
                <w:szCs w:val="21"/>
              </w:rPr>
            </w:pPr>
          </w:p>
        </w:tc>
        <w:tc>
          <w:tcPr>
            <w:tcW w:w="1800" w:type="dxa"/>
            <w:vAlign w:val="center"/>
          </w:tcPr>
          <w:p>
            <w:pPr>
              <w:spacing w:line="300" w:lineRule="exact"/>
              <w:jc w:val="center"/>
              <w:rPr>
                <w:rFonts w:ascii="宋体" w:hAnsi="宋体"/>
                <w:color w:val="000000"/>
                <w:szCs w:val="21"/>
              </w:rPr>
            </w:pPr>
          </w:p>
        </w:tc>
        <w:tc>
          <w:tcPr>
            <w:tcW w:w="800" w:type="dxa"/>
            <w:tcBorders>
              <w:bottom w:val="single" w:color="auto" w:sz="4" w:space="0"/>
            </w:tcBorders>
            <w:vAlign w:val="center"/>
          </w:tcPr>
          <w:p>
            <w:pPr>
              <w:spacing w:line="30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9" w:hRule="atLeast"/>
          <w:jc w:val="center"/>
        </w:trPr>
        <w:tc>
          <w:tcPr>
            <w:tcW w:w="75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3066"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126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900" w:type="dxa"/>
            <w:tcBorders>
              <w:bottom w:val="single" w:color="auto" w:sz="4" w:space="0"/>
            </w:tcBorders>
            <w:vAlign w:val="center"/>
          </w:tcPr>
          <w:p>
            <w:pPr>
              <w:spacing w:line="300" w:lineRule="exact"/>
              <w:jc w:val="center"/>
              <w:rPr>
                <w:rFonts w:ascii="宋体" w:hAnsi="宋体"/>
                <w:color w:val="000000"/>
                <w:szCs w:val="21"/>
              </w:rPr>
            </w:pPr>
          </w:p>
        </w:tc>
        <w:tc>
          <w:tcPr>
            <w:tcW w:w="1800" w:type="dxa"/>
            <w:vAlign w:val="center"/>
          </w:tcPr>
          <w:p>
            <w:pPr>
              <w:spacing w:line="300" w:lineRule="exact"/>
              <w:jc w:val="center"/>
              <w:rPr>
                <w:rFonts w:ascii="宋体" w:hAnsi="宋体"/>
                <w:color w:val="000000"/>
                <w:szCs w:val="21"/>
              </w:rPr>
            </w:pPr>
          </w:p>
        </w:tc>
        <w:tc>
          <w:tcPr>
            <w:tcW w:w="800" w:type="dxa"/>
            <w:tcBorders>
              <w:bottom w:val="single" w:color="auto" w:sz="4" w:space="0"/>
            </w:tcBorders>
            <w:vAlign w:val="center"/>
          </w:tcPr>
          <w:p>
            <w:pPr>
              <w:spacing w:line="30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9" w:hRule="atLeast"/>
          <w:jc w:val="center"/>
        </w:trPr>
        <w:tc>
          <w:tcPr>
            <w:tcW w:w="75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3066"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126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900" w:type="dxa"/>
            <w:tcBorders>
              <w:bottom w:val="single" w:color="auto" w:sz="4" w:space="0"/>
            </w:tcBorders>
            <w:vAlign w:val="center"/>
          </w:tcPr>
          <w:p>
            <w:pPr>
              <w:spacing w:line="300" w:lineRule="exact"/>
              <w:jc w:val="center"/>
              <w:rPr>
                <w:rFonts w:ascii="宋体" w:hAnsi="宋体"/>
                <w:color w:val="000000"/>
                <w:szCs w:val="21"/>
              </w:rPr>
            </w:pPr>
          </w:p>
        </w:tc>
        <w:tc>
          <w:tcPr>
            <w:tcW w:w="1800" w:type="dxa"/>
            <w:vAlign w:val="center"/>
          </w:tcPr>
          <w:p>
            <w:pPr>
              <w:spacing w:line="300" w:lineRule="exact"/>
              <w:jc w:val="center"/>
              <w:rPr>
                <w:rFonts w:ascii="宋体" w:hAnsi="宋体"/>
                <w:color w:val="000000"/>
                <w:szCs w:val="21"/>
              </w:rPr>
            </w:pPr>
          </w:p>
        </w:tc>
        <w:tc>
          <w:tcPr>
            <w:tcW w:w="800" w:type="dxa"/>
            <w:tcBorders>
              <w:bottom w:val="single" w:color="auto" w:sz="4" w:space="0"/>
            </w:tcBorders>
            <w:vAlign w:val="center"/>
          </w:tcPr>
          <w:p>
            <w:pPr>
              <w:spacing w:line="30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9" w:hRule="atLeast"/>
          <w:jc w:val="center"/>
        </w:trPr>
        <w:tc>
          <w:tcPr>
            <w:tcW w:w="75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3066"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126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900" w:type="dxa"/>
            <w:tcBorders>
              <w:bottom w:val="single" w:color="auto" w:sz="4" w:space="0"/>
            </w:tcBorders>
            <w:vAlign w:val="center"/>
          </w:tcPr>
          <w:p>
            <w:pPr>
              <w:spacing w:line="300" w:lineRule="exact"/>
              <w:jc w:val="center"/>
              <w:rPr>
                <w:rFonts w:ascii="宋体" w:hAnsi="宋体"/>
                <w:color w:val="000000"/>
                <w:szCs w:val="21"/>
              </w:rPr>
            </w:pPr>
          </w:p>
        </w:tc>
        <w:tc>
          <w:tcPr>
            <w:tcW w:w="1800" w:type="dxa"/>
            <w:vAlign w:val="center"/>
          </w:tcPr>
          <w:p>
            <w:pPr>
              <w:spacing w:line="300" w:lineRule="exact"/>
              <w:jc w:val="center"/>
              <w:rPr>
                <w:rFonts w:ascii="宋体" w:hAnsi="宋体"/>
                <w:color w:val="000000"/>
                <w:szCs w:val="21"/>
              </w:rPr>
            </w:pPr>
          </w:p>
        </w:tc>
        <w:tc>
          <w:tcPr>
            <w:tcW w:w="800" w:type="dxa"/>
            <w:tcBorders>
              <w:bottom w:val="single" w:color="auto" w:sz="4" w:space="0"/>
            </w:tcBorders>
            <w:vAlign w:val="center"/>
          </w:tcPr>
          <w:p>
            <w:pPr>
              <w:spacing w:line="30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9" w:hRule="atLeast"/>
          <w:jc w:val="center"/>
        </w:trPr>
        <w:tc>
          <w:tcPr>
            <w:tcW w:w="75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3066"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1260" w:type="dxa"/>
            <w:tcBorders>
              <w:bottom w:val="single" w:color="auto" w:sz="4" w:space="0"/>
            </w:tcBorders>
            <w:vAlign w:val="center"/>
          </w:tcPr>
          <w:p>
            <w:pPr>
              <w:spacing w:after="120" w:afterLines="50" w:line="380" w:lineRule="exact"/>
              <w:jc w:val="center"/>
              <w:rPr>
                <w:rFonts w:ascii="宋体" w:hAnsi="宋体"/>
                <w:color w:val="000000"/>
                <w:szCs w:val="21"/>
              </w:rPr>
            </w:pPr>
          </w:p>
        </w:tc>
        <w:tc>
          <w:tcPr>
            <w:tcW w:w="900" w:type="dxa"/>
            <w:tcBorders>
              <w:bottom w:val="single" w:color="auto" w:sz="4" w:space="0"/>
            </w:tcBorders>
            <w:vAlign w:val="center"/>
          </w:tcPr>
          <w:p>
            <w:pPr>
              <w:spacing w:line="300" w:lineRule="exact"/>
              <w:jc w:val="center"/>
              <w:rPr>
                <w:rFonts w:ascii="宋体" w:hAnsi="宋体"/>
                <w:color w:val="000000"/>
                <w:szCs w:val="21"/>
              </w:rPr>
            </w:pPr>
          </w:p>
        </w:tc>
        <w:tc>
          <w:tcPr>
            <w:tcW w:w="1800" w:type="dxa"/>
            <w:vAlign w:val="center"/>
          </w:tcPr>
          <w:p>
            <w:pPr>
              <w:spacing w:line="300" w:lineRule="exact"/>
              <w:jc w:val="center"/>
              <w:rPr>
                <w:rFonts w:ascii="宋体" w:hAnsi="宋体"/>
                <w:color w:val="000000"/>
                <w:szCs w:val="21"/>
              </w:rPr>
            </w:pPr>
          </w:p>
        </w:tc>
        <w:tc>
          <w:tcPr>
            <w:tcW w:w="800" w:type="dxa"/>
            <w:tcBorders>
              <w:bottom w:val="single" w:color="auto" w:sz="4" w:space="0"/>
            </w:tcBorders>
            <w:vAlign w:val="center"/>
          </w:tcPr>
          <w:p>
            <w:pPr>
              <w:spacing w:line="30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4" w:hRule="atLeast"/>
          <w:jc w:val="center"/>
        </w:trPr>
        <w:tc>
          <w:tcPr>
            <w:tcW w:w="3816" w:type="dxa"/>
            <w:gridSpan w:val="2"/>
            <w:vAlign w:val="center"/>
          </w:tcPr>
          <w:p>
            <w:pPr>
              <w:spacing w:after="120" w:afterLines="50" w:line="380" w:lineRule="exact"/>
              <w:jc w:val="center"/>
              <w:rPr>
                <w:rFonts w:ascii="宋体" w:hAnsi="宋体"/>
                <w:color w:val="000000"/>
                <w:szCs w:val="21"/>
              </w:rPr>
            </w:pPr>
            <w:r>
              <w:rPr>
                <w:rFonts w:hint="eastAsia" w:ascii="宋体" w:hAnsi="宋体"/>
                <w:color w:val="000000"/>
                <w:szCs w:val="21"/>
              </w:rPr>
              <w:t>合 计</w:t>
            </w:r>
          </w:p>
        </w:tc>
        <w:tc>
          <w:tcPr>
            <w:tcW w:w="1260" w:type="dxa"/>
            <w:vAlign w:val="center"/>
          </w:tcPr>
          <w:p>
            <w:pPr>
              <w:spacing w:after="120" w:afterLines="50" w:line="380" w:lineRule="exact"/>
              <w:jc w:val="center"/>
              <w:rPr>
                <w:rFonts w:ascii="宋体" w:hAnsi="宋体"/>
                <w:color w:val="000000"/>
                <w:szCs w:val="21"/>
              </w:rPr>
            </w:pPr>
          </w:p>
        </w:tc>
        <w:tc>
          <w:tcPr>
            <w:tcW w:w="900" w:type="dxa"/>
            <w:vAlign w:val="center"/>
          </w:tcPr>
          <w:p>
            <w:pPr>
              <w:spacing w:line="300" w:lineRule="exact"/>
              <w:jc w:val="center"/>
              <w:rPr>
                <w:rFonts w:ascii="宋体" w:hAnsi="宋体"/>
                <w:color w:val="000000"/>
                <w:szCs w:val="21"/>
              </w:rPr>
            </w:pPr>
          </w:p>
        </w:tc>
        <w:tc>
          <w:tcPr>
            <w:tcW w:w="1800" w:type="dxa"/>
            <w:vAlign w:val="center"/>
          </w:tcPr>
          <w:p>
            <w:pPr>
              <w:spacing w:line="300" w:lineRule="exact"/>
              <w:jc w:val="center"/>
              <w:rPr>
                <w:rFonts w:ascii="宋体" w:hAnsi="宋体"/>
                <w:color w:val="000000"/>
                <w:szCs w:val="21"/>
              </w:rPr>
            </w:pPr>
          </w:p>
        </w:tc>
        <w:tc>
          <w:tcPr>
            <w:tcW w:w="800" w:type="dxa"/>
            <w:vAlign w:val="center"/>
          </w:tcPr>
          <w:p>
            <w:pPr>
              <w:spacing w:line="300" w:lineRule="exact"/>
              <w:jc w:val="center"/>
              <w:rPr>
                <w:rFonts w:ascii="宋体" w:hAnsi="宋体"/>
                <w:color w:val="000000"/>
                <w:szCs w:val="21"/>
              </w:rPr>
            </w:pPr>
          </w:p>
        </w:tc>
      </w:tr>
    </w:tbl>
    <w:p>
      <w:pPr>
        <w:rPr>
          <w:rFonts w:ascii="黑体" w:eastAsia="黑体"/>
          <w:color w:val="000000"/>
          <w:sz w:val="24"/>
        </w:rPr>
      </w:pPr>
      <w:r>
        <w:rPr>
          <w:rFonts w:hint="eastAsia" w:ascii="黑体" w:eastAsia="黑体"/>
          <w:color w:val="000000"/>
          <w:szCs w:val="21"/>
        </w:rPr>
        <w:br w:type="page"/>
      </w:r>
      <w:r>
        <w:rPr>
          <w:rFonts w:hint="eastAsia" w:ascii="黑体" w:eastAsia="黑体"/>
          <w:color w:val="000000"/>
          <w:sz w:val="24"/>
        </w:rPr>
        <w:t>4.11单位工程招标控制价/投标报价汇总表</w:t>
      </w:r>
    </w:p>
    <w:p>
      <w:pPr>
        <w:jc w:val="center"/>
        <w:rPr>
          <w:rFonts w:ascii="黑体" w:eastAsia="黑体"/>
          <w:b/>
          <w:color w:val="000000"/>
          <w:sz w:val="28"/>
          <w:szCs w:val="28"/>
        </w:rPr>
      </w:pPr>
      <w:r>
        <w:rPr>
          <w:rFonts w:hint="eastAsia" w:ascii="黑体" w:eastAsia="黑体"/>
          <w:b/>
          <w:color w:val="000000"/>
          <w:sz w:val="28"/>
          <w:szCs w:val="28"/>
        </w:rPr>
        <w:t>单位工程招标控制价/投标报价汇总表</w:t>
      </w:r>
    </w:p>
    <w:p>
      <w:pPr>
        <w:rPr>
          <w:color w:val="000000"/>
        </w:rPr>
      </w:pPr>
      <w:r>
        <w:rPr>
          <w:rFonts w:hint="eastAsia"/>
          <w:color w:val="000000"/>
        </w:rPr>
        <w:t>工程名称：第页共页</w:t>
      </w:r>
    </w:p>
    <w:tbl>
      <w:tblPr>
        <w:tblStyle w:val="36"/>
        <w:tblW w:w="87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2910"/>
        <w:gridCol w:w="3330"/>
        <w:gridCol w:w="1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5" w:hRule="atLeast"/>
        </w:trPr>
        <w:tc>
          <w:tcPr>
            <w:tcW w:w="727" w:type="dxa"/>
            <w:vAlign w:val="center"/>
          </w:tcPr>
          <w:p>
            <w:pPr>
              <w:jc w:val="center"/>
              <w:rPr>
                <w:color w:val="000000"/>
                <w:szCs w:val="21"/>
              </w:rPr>
            </w:pPr>
            <w:r>
              <w:rPr>
                <w:rFonts w:hint="eastAsia"/>
                <w:color w:val="000000"/>
                <w:szCs w:val="21"/>
              </w:rPr>
              <w:t>序号</w:t>
            </w:r>
          </w:p>
        </w:tc>
        <w:tc>
          <w:tcPr>
            <w:tcW w:w="2910" w:type="dxa"/>
            <w:vAlign w:val="center"/>
          </w:tcPr>
          <w:p>
            <w:pPr>
              <w:jc w:val="center"/>
              <w:rPr>
                <w:color w:val="000000"/>
                <w:szCs w:val="21"/>
              </w:rPr>
            </w:pPr>
            <w:r>
              <w:rPr>
                <w:rFonts w:hint="eastAsia"/>
                <w:color w:val="000000"/>
                <w:szCs w:val="21"/>
              </w:rPr>
              <w:t>汇总内容</w:t>
            </w:r>
          </w:p>
        </w:tc>
        <w:tc>
          <w:tcPr>
            <w:tcW w:w="3330" w:type="dxa"/>
            <w:vAlign w:val="center"/>
          </w:tcPr>
          <w:p>
            <w:pPr>
              <w:jc w:val="center"/>
              <w:rPr>
                <w:color w:val="000000"/>
                <w:szCs w:val="21"/>
              </w:rPr>
            </w:pPr>
            <w:r>
              <w:rPr>
                <w:rFonts w:hint="eastAsia"/>
                <w:color w:val="000000"/>
                <w:szCs w:val="21"/>
              </w:rPr>
              <w:t>金额</w:t>
            </w:r>
            <w:r>
              <w:rPr>
                <w:rFonts w:hint="eastAsia"/>
                <w:color w:val="000000"/>
                <w:szCs w:val="21"/>
                <w:lang w:eastAsia="zh-CN"/>
              </w:rPr>
              <w:t>（</w:t>
            </w:r>
            <w:r>
              <w:rPr>
                <w:rFonts w:hint="eastAsia"/>
                <w:color w:val="000000"/>
                <w:szCs w:val="21"/>
              </w:rPr>
              <w:t>元</w:t>
            </w:r>
            <w:r>
              <w:rPr>
                <w:rFonts w:hint="eastAsia"/>
                <w:color w:val="000000"/>
                <w:szCs w:val="21"/>
                <w:lang w:eastAsia="zh-CN"/>
              </w:rPr>
              <w:t>）</w:t>
            </w:r>
          </w:p>
        </w:tc>
        <w:tc>
          <w:tcPr>
            <w:tcW w:w="1789" w:type="dxa"/>
            <w:vAlign w:val="center"/>
          </w:tcPr>
          <w:p>
            <w:pPr>
              <w:jc w:val="center"/>
              <w:rPr>
                <w:color w:val="000000"/>
                <w:szCs w:val="21"/>
              </w:rPr>
            </w:pPr>
            <w:r>
              <w:rPr>
                <w:rFonts w:hint="eastAsia"/>
                <w:color w:val="000000"/>
                <w:szCs w:val="21"/>
              </w:rPr>
              <w:t>其中：暂估价</w:t>
            </w:r>
            <w:r>
              <w:rPr>
                <w:rFonts w:hint="eastAsia"/>
                <w:color w:val="000000"/>
                <w:szCs w:val="21"/>
                <w:lang w:eastAsia="zh-CN"/>
              </w:rPr>
              <w:t>（</w:t>
            </w:r>
            <w:r>
              <w:rPr>
                <w:rFonts w:hint="eastAsia"/>
                <w:color w:val="000000"/>
                <w:szCs w:val="21"/>
              </w:rPr>
              <w:t>元</w:t>
            </w:r>
            <w:r>
              <w:rPr>
                <w:rFonts w:hint="eastAsia"/>
                <w:color w:val="00000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5" w:hRule="atLeast"/>
        </w:trPr>
        <w:tc>
          <w:tcPr>
            <w:tcW w:w="727" w:type="dxa"/>
            <w:vAlign w:val="center"/>
          </w:tcPr>
          <w:p>
            <w:pPr>
              <w:jc w:val="center"/>
              <w:rPr>
                <w:rFonts w:ascii="黑体" w:eastAsia="黑体"/>
                <w:color w:val="000000"/>
                <w:szCs w:val="21"/>
              </w:rPr>
            </w:pPr>
            <w:r>
              <w:rPr>
                <w:rFonts w:hint="eastAsia" w:ascii="黑体" w:eastAsia="黑体"/>
                <w:color w:val="000000"/>
                <w:szCs w:val="21"/>
              </w:rPr>
              <w:t>一</w:t>
            </w:r>
          </w:p>
        </w:tc>
        <w:tc>
          <w:tcPr>
            <w:tcW w:w="2910" w:type="dxa"/>
            <w:vAlign w:val="center"/>
          </w:tcPr>
          <w:p>
            <w:pPr>
              <w:jc w:val="left"/>
              <w:rPr>
                <w:color w:val="000000"/>
                <w:szCs w:val="21"/>
              </w:rPr>
            </w:pPr>
            <w:r>
              <w:rPr>
                <w:rFonts w:hint="eastAsia"/>
                <w:color w:val="000000"/>
                <w:szCs w:val="21"/>
              </w:rPr>
              <w:t>分部分项工程</w:t>
            </w:r>
          </w:p>
        </w:tc>
        <w:tc>
          <w:tcPr>
            <w:tcW w:w="3330" w:type="dxa"/>
            <w:vAlign w:val="center"/>
          </w:tcPr>
          <w:p>
            <w:pPr>
              <w:jc w:val="center"/>
              <w:rPr>
                <w:color w:val="000000"/>
                <w:szCs w:val="21"/>
              </w:rPr>
            </w:pPr>
          </w:p>
        </w:tc>
        <w:tc>
          <w:tcPr>
            <w:tcW w:w="1789" w:type="dxa"/>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trPr>
        <w:tc>
          <w:tcPr>
            <w:tcW w:w="727" w:type="dxa"/>
            <w:vAlign w:val="center"/>
          </w:tcPr>
          <w:p>
            <w:pPr>
              <w:jc w:val="center"/>
              <w:rPr>
                <w:rFonts w:ascii="黑体" w:eastAsia="黑体"/>
                <w:color w:val="000000"/>
                <w:szCs w:val="21"/>
              </w:rPr>
            </w:pPr>
          </w:p>
        </w:tc>
        <w:tc>
          <w:tcPr>
            <w:tcW w:w="2910" w:type="dxa"/>
            <w:vAlign w:val="center"/>
          </w:tcPr>
          <w:p>
            <w:pPr>
              <w:jc w:val="center"/>
              <w:rPr>
                <w:color w:val="000000"/>
                <w:szCs w:val="21"/>
              </w:rPr>
            </w:pPr>
          </w:p>
        </w:tc>
        <w:tc>
          <w:tcPr>
            <w:tcW w:w="3330" w:type="dxa"/>
            <w:vAlign w:val="center"/>
          </w:tcPr>
          <w:p>
            <w:pPr>
              <w:jc w:val="center"/>
              <w:rPr>
                <w:color w:val="000000"/>
                <w:szCs w:val="21"/>
              </w:rPr>
            </w:pPr>
          </w:p>
        </w:tc>
        <w:tc>
          <w:tcPr>
            <w:tcW w:w="1789" w:type="dxa"/>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trPr>
        <w:tc>
          <w:tcPr>
            <w:tcW w:w="727" w:type="dxa"/>
            <w:vAlign w:val="center"/>
          </w:tcPr>
          <w:p>
            <w:pPr>
              <w:jc w:val="center"/>
              <w:rPr>
                <w:rFonts w:ascii="黑体" w:eastAsia="黑体"/>
                <w:color w:val="000000"/>
                <w:szCs w:val="21"/>
              </w:rPr>
            </w:pPr>
          </w:p>
        </w:tc>
        <w:tc>
          <w:tcPr>
            <w:tcW w:w="2910" w:type="dxa"/>
            <w:vAlign w:val="center"/>
          </w:tcPr>
          <w:p>
            <w:pPr>
              <w:jc w:val="center"/>
              <w:rPr>
                <w:color w:val="000000"/>
                <w:szCs w:val="21"/>
              </w:rPr>
            </w:pPr>
          </w:p>
        </w:tc>
        <w:tc>
          <w:tcPr>
            <w:tcW w:w="3330" w:type="dxa"/>
            <w:vAlign w:val="center"/>
          </w:tcPr>
          <w:p>
            <w:pPr>
              <w:jc w:val="center"/>
              <w:rPr>
                <w:color w:val="000000"/>
                <w:szCs w:val="21"/>
              </w:rPr>
            </w:pPr>
          </w:p>
        </w:tc>
        <w:tc>
          <w:tcPr>
            <w:tcW w:w="1789" w:type="dxa"/>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trPr>
        <w:tc>
          <w:tcPr>
            <w:tcW w:w="727" w:type="dxa"/>
            <w:vAlign w:val="center"/>
          </w:tcPr>
          <w:p>
            <w:pPr>
              <w:jc w:val="center"/>
              <w:rPr>
                <w:rFonts w:ascii="黑体" w:eastAsia="黑体"/>
                <w:color w:val="000000"/>
                <w:szCs w:val="21"/>
              </w:rPr>
            </w:pPr>
          </w:p>
        </w:tc>
        <w:tc>
          <w:tcPr>
            <w:tcW w:w="2910" w:type="dxa"/>
            <w:vAlign w:val="center"/>
          </w:tcPr>
          <w:p>
            <w:pPr>
              <w:jc w:val="center"/>
              <w:rPr>
                <w:color w:val="000000"/>
                <w:szCs w:val="21"/>
              </w:rPr>
            </w:pPr>
          </w:p>
        </w:tc>
        <w:tc>
          <w:tcPr>
            <w:tcW w:w="3330" w:type="dxa"/>
            <w:vAlign w:val="center"/>
          </w:tcPr>
          <w:p>
            <w:pPr>
              <w:jc w:val="center"/>
              <w:rPr>
                <w:color w:val="000000"/>
                <w:szCs w:val="21"/>
              </w:rPr>
            </w:pPr>
          </w:p>
        </w:tc>
        <w:tc>
          <w:tcPr>
            <w:tcW w:w="1789" w:type="dxa"/>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5" w:hRule="atLeast"/>
        </w:trPr>
        <w:tc>
          <w:tcPr>
            <w:tcW w:w="727" w:type="dxa"/>
            <w:vAlign w:val="center"/>
          </w:tcPr>
          <w:p>
            <w:pPr>
              <w:jc w:val="center"/>
              <w:rPr>
                <w:rFonts w:ascii="黑体" w:eastAsia="黑体"/>
                <w:color w:val="000000"/>
                <w:szCs w:val="21"/>
              </w:rPr>
            </w:pPr>
          </w:p>
        </w:tc>
        <w:tc>
          <w:tcPr>
            <w:tcW w:w="2910" w:type="dxa"/>
            <w:vAlign w:val="center"/>
          </w:tcPr>
          <w:p>
            <w:pPr>
              <w:jc w:val="center"/>
              <w:rPr>
                <w:color w:val="000000"/>
                <w:szCs w:val="21"/>
              </w:rPr>
            </w:pPr>
          </w:p>
        </w:tc>
        <w:tc>
          <w:tcPr>
            <w:tcW w:w="3330" w:type="dxa"/>
            <w:vAlign w:val="center"/>
          </w:tcPr>
          <w:p>
            <w:pPr>
              <w:jc w:val="center"/>
              <w:rPr>
                <w:color w:val="000000"/>
                <w:szCs w:val="21"/>
              </w:rPr>
            </w:pPr>
          </w:p>
        </w:tc>
        <w:tc>
          <w:tcPr>
            <w:tcW w:w="1789" w:type="dxa"/>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trPr>
        <w:tc>
          <w:tcPr>
            <w:tcW w:w="727" w:type="dxa"/>
            <w:vAlign w:val="center"/>
          </w:tcPr>
          <w:p>
            <w:pPr>
              <w:jc w:val="center"/>
              <w:rPr>
                <w:rFonts w:ascii="黑体" w:eastAsia="黑体"/>
                <w:color w:val="000000"/>
                <w:szCs w:val="21"/>
              </w:rPr>
            </w:pPr>
            <w:r>
              <w:rPr>
                <w:rFonts w:hint="eastAsia" w:ascii="黑体" w:eastAsia="黑体"/>
                <w:color w:val="000000"/>
                <w:szCs w:val="21"/>
              </w:rPr>
              <w:t>二</w:t>
            </w:r>
          </w:p>
        </w:tc>
        <w:tc>
          <w:tcPr>
            <w:tcW w:w="2910" w:type="dxa"/>
            <w:vAlign w:val="center"/>
          </w:tcPr>
          <w:p>
            <w:pPr>
              <w:rPr>
                <w:color w:val="000000"/>
                <w:szCs w:val="21"/>
              </w:rPr>
            </w:pPr>
            <w:r>
              <w:rPr>
                <w:rFonts w:hint="eastAsia"/>
                <w:color w:val="000000"/>
                <w:szCs w:val="21"/>
              </w:rPr>
              <w:t>措施项目</w:t>
            </w:r>
          </w:p>
        </w:tc>
        <w:tc>
          <w:tcPr>
            <w:tcW w:w="3330" w:type="dxa"/>
            <w:vAlign w:val="center"/>
          </w:tcPr>
          <w:p>
            <w:pPr>
              <w:jc w:val="center"/>
              <w:rPr>
                <w:color w:val="000000"/>
                <w:szCs w:val="21"/>
              </w:rPr>
            </w:pPr>
          </w:p>
        </w:tc>
        <w:tc>
          <w:tcPr>
            <w:tcW w:w="1789" w:type="dxa"/>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trPr>
        <w:tc>
          <w:tcPr>
            <w:tcW w:w="727" w:type="dxa"/>
            <w:vAlign w:val="center"/>
          </w:tcPr>
          <w:p>
            <w:pPr>
              <w:jc w:val="center"/>
              <w:rPr>
                <w:rFonts w:ascii="黑体" w:eastAsia="黑体"/>
                <w:color w:val="000000"/>
                <w:szCs w:val="21"/>
              </w:rPr>
            </w:pPr>
          </w:p>
        </w:tc>
        <w:tc>
          <w:tcPr>
            <w:tcW w:w="2910" w:type="dxa"/>
            <w:vAlign w:val="center"/>
          </w:tcPr>
          <w:p>
            <w:pPr>
              <w:rPr>
                <w:color w:val="000000"/>
                <w:szCs w:val="21"/>
              </w:rPr>
            </w:pPr>
            <w:r>
              <w:rPr>
                <w:rFonts w:hint="eastAsia"/>
                <w:color w:val="000000"/>
                <w:szCs w:val="21"/>
              </w:rPr>
              <w:t>其中：安全文明施工费</w:t>
            </w:r>
          </w:p>
        </w:tc>
        <w:tc>
          <w:tcPr>
            <w:tcW w:w="3330" w:type="dxa"/>
            <w:vAlign w:val="center"/>
          </w:tcPr>
          <w:p>
            <w:pPr>
              <w:jc w:val="center"/>
              <w:rPr>
                <w:color w:val="000000"/>
                <w:szCs w:val="21"/>
              </w:rPr>
            </w:pPr>
          </w:p>
        </w:tc>
        <w:tc>
          <w:tcPr>
            <w:tcW w:w="1789" w:type="dxa"/>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trPr>
        <w:tc>
          <w:tcPr>
            <w:tcW w:w="727" w:type="dxa"/>
            <w:vAlign w:val="center"/>
          </w:tcPr>
          <w:p>
            <w:pPr>
              <w:jc w:val="center"/>
              <w:rPr>
                <w:rFonts w:ascii="黑体" w:eastAsia="黑体"/>
                <w:color w:val="000000"/>
                <w:szCs w:val="21"/>
              </w:rPr>
            </w:pPr>
          </w:p>
        </w:tc>
        <w:tc>
          <w:tcPr>
            <w:tcW w:w="2910" w:type="dxa"/>
            <w:vAlign w:val="center"/>
          </w:tcPr>
          <w:p>
            <w:pPr>
              <w:rPr>
                <w:color w:val="000000"/>
                <w:szCs w:val="21"/>
              </w:rPr>
            </w:pPr>
          </w:p>
        </w:tc>
        <w:tc>
          <w:tcPr>
            <w:tcW w:w="3330" w:type="dxa"/>
            <w:vAlign w:val="center"/>
          </w:tcPr>
          <w:p>
            <w:pPr>
              <w:jc w:val="center"/>
              <w:rPr>
                <w:color w:val="000000"/>
                <w:szCs w:val="21"/>
              </w:rPr>
            </w:pPr>
          </w:p>
        </w:tc>
        <w:tc>
          <w:tcPr>
            <w:tcW w:w="1789" w:type="dxa"/>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trPr>
        <w:tc>
          <w:tcPr>
            <w:tcW w:w="727" w:type="dxa"/>
            <w:vAlign w:val="center"/>
          </w:tcPr>
          <w:p>
            <w:pPr>
              <w:jc w:val="center"/>
              <w:rPr>
                <w:rFonts w:ascii="黑体" w:eastAsia="黑体"/>
                <w:color w:val="000000"/>
                <w:szCs w:val="21"/>
              </w:rPr>
            </w:pPr>
          </w:p>
        </w:tc>
        <w:tc>
          <w:tcPr>
            <w:tcW w:w="2910" w:type="dxa"/>
            <w:vAlign w:val="center"/>
          </w:tcPr>
          <w:p>
            <w:pPr>
              <w:rPr>
                <w:color w:val="000000"/>
                <w:szCs w:val="21"/>
              </w:rPr>
            </w:pPr>
          </w:p>
        </w:tc>
        <w:tc>
          <w:tcPr>
            <w:tcW w:w="3330" w:type="dxa"/>
            <w:vAlign w:val="center"/>
          </w:tcPr>
          <w:p>
            <w:pPr>
              <w:jc w:val="center"/>
              <w:rPr>
                <w:color w:val="000000"/>
                <w:szCs w:val="21"/>
              </w:rPr>
            </w:pPr>
          </w:p>
        </w:tc>
        <w:tc>
          <w:tcPr>
            <w:tcW w:w="1789" w:type="dxa"/>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trPr>
        <w:tc>
          <w:tcPr>
            <w:tcW w:w="727" w:type="dxa"/>
            <w:vAlign w:val="center"/>
          </w:tcPr>
          <w:p>
            <w:pPr>
              <w:jc w:val="center"/>
              <w:rPr>
                <w:rFonts w:ascii="黑体" w:eastAsia="黑体"/>
                <w:color w:val="000000"/>
                <w:szCs w:val="21"/>
              </w:rPr>
            </w:pPr>
          </w:p>
        </w:tc>
        <w:tc>
          <w:tcPr>
            <w:tcW w:w="2910" w:type="dxa"/>
            <w:vAlign w:val="center"/>
          </w:tcPr>
          <w:p>
            <w:pPr>
              <w:rPr>
                <w:color w:val="000000"/>
                <w:szCs w:val="21"/>
              </w:rPr>
            </w:pPr>
          </w:p>
        </w:tc>
        <w:tc>
          <w:tcPr>
            <w:tcW w:w="3330" w:type="dxa"/>
            <w:vAlign w:val="center"/>
          </w:tcPr>
          <w:p>
            <w:pPr>
              <w:jc w:val="center"/>
              <w:rPr>
                <w:color w:val="000000"/>
                <w:szCs w:val="21"/>
              </w:rPr>
            </w:pPr>
          </w:p>
        </w:tc>
        <w:tc>
          <w:tcPr>
            <w:tcW w:w="1789" w:type="dxa"/>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trPr>
        <w:tc>
          <w:tcPr>
            <w:tcW w:w="727" w:type="dxa"/>
            <w:vAlign w:val="center"/>
          </w:tcPr>
          <w:p>
            <w:pPr>
              <w:jc w:val="center"/>
              <w:rPr>
                <w:rFonts w:ascii="黑体" w:eastAsia="黑体"/>
                <w:color w:val="000000"/>
                <w:szCs w:val="21"/>
              </w:rPr>
            </w:pPr>
            <w:r>
              <w:rPr>
                <w:rFonts w:hint="eastAsia" w:ascii="黑体" w:eastAsia="黑体"/>
                <w:color w:val="000000"/>
                <w:szCs w:val="21"/>
              </w:rPr>
              <w:t>三</w:t>
            </w:r>
          </w:p>
        </w:tc>
        <w:tc>
          <w:tcPr>
            <w:tcW w:w="2910" w:type="dxa"/>
            <w:vAlign w:val="center"/>
          </w:tcPr>
          <w:p>
            <w:pPr>
              <w:rPr>
                <w:color w:val="000000"/>
                <w:szCs w:val="21"/>
              </w:rPr>
            </w:pPr>
            <w:r>
              <w:rPr>
                <w:rFonts w:hint="eastAsia"/>
                <w:color w:val="000000"/>
                <w:szCs w:val="21"/>
              </w:rPr>
              <w:t>其他项目费</w:t>
            </w:r>
          </w:p>
        </w:tc>
        <w:tc>
          <w:tcPr>
            <w:tcW w:w="3330" w:type="dxa"/>
            <w:vAlign w:val="center"/>
          </w:tcPr>
          <w:p>
            <w:pPr>
              <w:jc w:val="center"/>
              <w:rPr>
                <w:color w:val="000000"/>
                <w:szCs w:val="21"/>
              </w:rPr>
            </w:pPr>
          </w:p>
        </w:tc>
        <w:tc>
          <w:tcPr>
            <w:tcW w:w="1789" w:type="dxa"/>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trPr>
        <w:tc>
          <w:tcPr>
            <w:tcW w:w="727" w:type="dxa"/>
            <w:vAlign w:val="center"/>
          </w:tcPr>
          <w:p>
            <w:pPr>
              <w:jc w:val="center"/>
              <w:rPr>
                <w:rFonts w:ascii="黑体" w:eastAsia="黑体"/>
                <w:color w:val="000000"/>
                <w:szCs w:val="21"/>
              </w:rPr>
            </w:pPr>
          </w:p>
        </w:tc>
        <w:tc>
          <w:tcPr>
            <w:tcW w:w="2910" w:type="dxa"/>
            <w:vAlign w:val="center"/>
          </w:tcPr>
          <w:p>
            <w:pPr>
              <w:rPr>
                <w:color w:val="000000"/>
                <w:szCs w:val="21"/>
              </w:rPr>
            </w:pPr>
            <w:r>
              <w:rPr>
                <w:rFonts w:hint="eastAsia"/>
                <w:color w:val="000000"/>
                <w:szCs w:val="21"/>
              </w:rPr>
              <w:t>其中：暂列金额</w:t>
            </w:r>
          </w:p>
        </w:tc>
        <w:tc>
          <w:tcPr>
            <w:tcW w:w="3330" w:type="dxa"/>
            <w:vAlign w:val="center"/>
          </w:tcPr>
          <w:p>
            <w:pPr>
              <w:jc w:val="center"/>
              <w:rPr>
                <w:color w:val="000000"/>
                <w:szCs w:val="21"/>
              </w:rPr>
            </w:pPr>
          </w:p>
        </w:tc>
        <w:tc>
          <w:tcPr>
            <w:tcW w:w="1789" w:type="dxa"/>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5" w:hRule="atLeast"/>
        </w:trPr>
        <w:tc>
          <w:tcPr>
            <w:tcW w:w="727" w:type="dxa"/>
            <w:vAlign w:val="center"/>
          </w:tcPr>
          <w:p>
            <w:pPr>
              <w:jc w:val="center"/>
              <w:rPr>
                <w:rFonts w:ascii="黑体" w:eastAsia="黑体"/>
                <w:color w:val="000000"/>
                <w:szCs w:val="21"/>
              </w:rPr>
            </w:pPr>
          </w:p>
        </w:tc>
        <w:tc>
          <w:tcPr>
            <w:tcW w:w="2910" w:type="dxa"/>
            <w:vAlign w:val="center"/>
          </w:tcPr>
          <w:p>
            <w:pPr>
              <w:rPr>
                <w:color w:val="000000"/>
                <w:szCs w:val="21"/>
              </w:rPr>
            </w:pPr>
            <w:r>
              <w:rPr>
                <w:rFonts w:hint="eastAsia"/>
                <w:color w:val="000000"/>
                <w:szCs w:val="21"/>
              </w:rPr>
              <w:t>其中：专业工程暂估价</w:t>
            </w:r>
          </w:p>
        </w:tc>
        <w:tc>
          <w:tcPr>
            <w:tcW w:w="3330" w:type="dxa"/>
            <w:vAlign w:val="center"/>
          </w:tcPr>
          <w:p>
            <w:pPr>
              <w:jc w:val="center"/>
              <w:rPr>
                <w:color w:val="000000"/>
                <w:szCs w:val="21"/>
              </w:rPr>
            </w:pPr>
          </w:p>
        </w:tc>
        <w:tc>
          <w:tcPr>
            <w:tcW w:w="1789" w:type="dxa"/>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trPr>
        <w:tc>
          <w:tcPr>
            <w:tcW w:w="727" w:type="dxa"/>
            <w:vAlign w:val="center"/>
          </w:tcPr>
          <w:p>
            <w:pPr>
              <w:jc w:val="center"/>
              <w:rPr>
                <w:rFonts w:ascii="黑体" w:eastAsia="黑体"/>
                <w:color w:val="000000"/>
                <w:szCs w:val="21"/>
              </w:rPr>
            </w:pPr>
          </w:p>
        </w:tc>
        <w:tc>
          <w:tcPr>
            <w:tcW w:w="2910" w:type="dxa"/>
            <w:vAlign w:val="center"/>
          </w:tcPr>
          <w:p>
            <w:pPr>
              <w:rPr>
                <w:color w:val="000000"/>
                <w:szCs w:val="21"/>
              </w:rPr>
            </w:pPr>
            <w:r>
              <w:rPr>
                <w:rFonts w:hint="eastAsia"/>
                <w:color w:val="000000"/>
                <w:szCs w:val="21"/>
              </w:rPr>
              <w:t>其中：计日工</w:t>
            </w:r>
          </w:p>
        </w:tc>
        <w:tc>
          <w:tcPr>
            <w:tcW w:w="3330" w:type="dxa"/>
            <w:vAlign w:val="center"/>
          </w:tcPr>
          <w:p>
            <w:pPr>
              <w:jc w:val="center"/>
              <w:rPr>
                <w:color w:val="000000"/>
                <w:szCs w:val="21"/>
              </w:rPr>
            </w:pPr>
          </w:p>
        </w:tc>
        <w:tc>
          <w:tcPr>
            <w:tcW w:w="1789" w:type="dxa"/>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trPr>
        <w:tc>
          <w:tcPr>
            <w:tcW w:w="727" w:type="dxa"/>
            <w:vAlign w:val="center"/>
          </w:tcPr>
          <w:p>
            <w:pPr>
              <w:jc w:val="center"/>
              <w:rPr>
                <w:rFonts w:ascii="黑体" w:eastAsia="黑体"/>
                <w:color w:val="000000"/>
                <w:szCs w:val="21"/>
              </w:rPr>
            </w:pPr>
          </w:p>
        </w:tc>
        <w:tc>
          <w:tcPr>
            <w:tcW w:w="2910" w:type="dxa"/>
            <w:vAlign w:val="center"/>
          </w:tcPr>
          <w:p>
            <w:pPr>
              <w:rPr>
                <w:color w:val="000000"/>
                <w:szCs w:val="21"/>
              </w:rPr>
            </w:pPr>
            <w:r>
              <w:rPr>
                <w:rFonts w:hint="eastAsia"/>
                <w:color w:val="000000"/>
                <w:szCs w:val="21"/>
              </w:rPr>
              <w:t>其中：总承包服务费</w:t>
            </w:r>
          </w:p>
        </w:tc>
        <w:tc>
          <w:tcPr>
            <w:tcW w:w="3330" w:type="dxa"/>
            <w:vAlign w:val="center"/>
          </w:tcPr>
          <w:p>
            <w:pPr>
              <w:jc w:val="center"/>
              <w:rPr>
                <w:color w:val="000000"/>
                <w:szCs w:val="21"/>
              </w:rPr>
            </w:pPr>
          </w:p>
        </w:tc>
        <w:tc>
          <w:tcPr>
            <w:tcW w:w="1789" w:type="dxa"/>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trPr>
        <w:tc>
          <w:tcPr>
            <w:tcW w:w="727" w:type="dxa"/>
            <w:vAlign w:val="center"/>
          </w:tcPr>
          <w:p>
            <w:pPr>
              <w:jc w:val="center"/>
              <w:rPr>
                <w:rFonts w:ascii="黑体" w:eastAsia="黑体"/>
                <w:color w:val="000000"/>
                <w:szCs w:val="21"/>
              </w:rPr>
            </w:pPr>
            <w:r>
              <w:rPr>
                <w:rFonts w:hint="eastAsia" w:ascii="黑体" w:eastAsia="黑体"/>
                <w:color w:val="000000"/>
                <w:szCs w:val="21"/>
              </w:rPr>
              <w:t>四</w:t>
            </w:r>
          </w:p>
        </w:tc>
        <w:tc>
          <w:tcPr>
            <w:tcW w:w="2910" w:type="dxa"/>
            <w:vAlign w:val="center"/>
          </w:tcPr>
          <w:p>
            <w:pPr>
              <w:rPr>
                <w:color w:val="000000"/>
                <w:szCs w:val="21"/>
              </w:rPr>
            </w:pPr>
            <w:r>
              <w:rPr>
                <w:rFonts w:hint="eastAsia"/>
                <w:color w:val="000000"/>
                <w:szCs w:val="21"/>
              </w:rPr>
              <w:t>规费</w:t>
            </w:r>
          </w:p>
        </w:tc>
        <w:tc>
          <w:tcPr>
            <w:tcW w:w="3330" w:type="dxa"/>
            <w:vAlign w:val="center"/>
          </w:tcPr>
          <w:p>
            <w:pPr>
              <w:jc w:val="center"/>
              <w:rPr>
                <w:color w:val="000000"/>
                <w:szCs w:val="21"/>
              </w:rPr>
            </w:pPr>
          </w:p>
        </w:tc>
        <w:tc>
          <w:tcPr>
            <w:tcW w:w="1789" w:type="dxa"/>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trPr>
        <w:tc>
          <w:tcPr>
            <w:tcW w:w="727" w:type="dxa"/>
            <w:vAlign w:val="center"/>
          </w:tcPr>
          <w:p>
            <w:pPr>
              <w:jc w:val="center"/>
              <w:rPr>
                <w:rFonts w:ascii="黑体" w:eastAsia="黑体"/>
                <w:color w:val="000000"/>
                <w:szCs w:val="21"/>
              </w:rPr>
            </w:pPr>
            <w:r>
              <w:rPr>
                <w:rFonts w:hint="eastAsia" w:ascii="黑体" w:eastAsia="黑体"/>
                <w:color w:val="000000"/>
                <w:szCs w:val="21"/>
              </w:rPr>
              <w:t>五</w:t>
            </w:r>
          </w:p>
        </w:tc>
        <w:tc>
          <w:tcPr>
            <w:tcW w:w="2910" w:type="dxa"/>
            <w:vAlign w:val="center"/>
          </w:tcPr>
          <w:p>
            <w:pPr>
              <w:rPr>
                <w:color w:val="000000"/>
                <w:szCs w:val="21"/>
              </w:rPr>
            </w:pPr>
            <w:r>
              <w:rPr>
                <w:rFonts w:hint="eastAsia"/>
                <w:color w:val="000000"/>
                <w:szCs w:val="21"/>
              </w:rPr>
              <w:t>税金</w:t>
            </w:r>
          </w:p>
        </w:tc>
        <w:tc>
          <w:tcPr>
            <w:tcW w:w="3330" w:type="dxa"/>
            <w:vAlign w:val="center"/>
          </w:tcPr>
          <w:p>
            <w:pPr>
              <w:jc w:val="center"/>
              <w:rPr>
                <w:color w:val="000000"/>
                <w:szCs w:val="21"/>
              </w:rPr>
            </w:pPr>
          </w:p>
        </w:tc>
        <w:tc>
          <w:tcPr>
            <w:tcW w:w="1789" w:type="dxa"/>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trPr>
        <w:tc>
          <w:tcPr>
            <w:tcW w:w="3637" w:type="dxa"/>
            <w:gridSpan w:val="2"/>
            <w:vAlign w:val="center"/>
          </w:tcPr>
          <w:p>
            <w:pPr>
              <w:jc w:val="left"/>
              <w:rPr>
                <w:color w:val="000000"/>
                <w:szCs w:val="21"/>
              </w:rPr>
            </w:pPr>
            <w:r>
              <w:rPr>
                <w:rFonts w:hint="eastAsia"/>
                <w:color w:val="000000"/>
                <w:szCs w:val="21"/>
              </w:rPr>
              <w:t>投标报价合计= 一+二+三+四+五</w:t>
            </w:r>
          </w:p>
        </w:tc>
        <w:tc>
          <w:tcPr>
            <w:tcW w:w="3330" w:type="dxa"/>
            <w:vAlign w:val="center"/>
          </w:tcPr>
          <w:p>
            <w:pPr>
              <w:jc w:val="center"/>
              <w:rPr>
                <w:color w:val="000000"/>
                <w:szCs w:val="21"/>
              </w:rPr>
            </w:pPr>
          </w:p>
        </w:tc>
        <w:tc>
          <w:tcPr>
            <w:tcW w:w="1789" w:type="dxa"/>
            <w:vAlign w:val="center"/>
          </w:tcPr>
          <w:p>
            <w:pPr>
              <w:jc w:val="center"/>
              <w:rPr>
                <w:color w:val="000000"/>
                <w:szCs w:val="21"/>
              </w:rPr>
            </w:pPr>
          </w:p>
        </w:tc>
      </w:tr>
    </w:tbl>
    <w:p>
      <w:pPr>
        <w:rPr>
          <w:rFonts w:ascii="黑体" w:eastAsia="黑体"/>
          <w:color w:val="000000"/>
          <w:sz w:val="24"/>
        </w:rPr>
      </w:pPr>
      <w:r>
        <w:rPr>
          <w:color w:val="000000"/>
        </w:rPr>
        <w:br w:type="page"/>
      </w:r>
      <w:r>
        <w:rPr>
          <w:rFonts w:hint="eastAsia" w:ascii="黑体" w:eastAsia="黑体"/>
          <w:color w:val="000000"/>
          <w:sz w:val="24"/>
        </w:rPr>
        <w:t>4.12分部分项工和单价措施项目清单与计价表</w:t>
      </w:r>
    </w:p>
    <w:p>
      <w:pPr>
        <w:jc w:val="center"/>
        <w:rPr>
          <w:rFonts w:ascii="黑体" w:eastAsia="黑体"/>
          <w:b/>
          <w:color w:val="000000"/>
          <w:sz w:val="28"/>
          <w:szCs w:val="28"/>
        </w:rPr>
      </w:pPr>
      <w:r>
        <w:rPr>
          <w:rFonts w:hint="eastAsia" w:ascii="黑体" w:eastAsia="黑体"/>
          <w:b/>
          <w:color w:val="000000"/>
          <w:sz w:val="28"/>
          <w:szCs w:val="28"/>
        </w:rPr>
        <w:t>分部分项工程和单价措施项目清单与计价表</w:t>
      </w:r>
    </w:p>
    <w:p>
      <w:pPr>
        <w:rPr>
          <w:rFonts w:ascii="黑体" w:eastAsia="黑体"/>
          <w:color w:val="000000"/>
          <w:sz w:val="28"/>
          <w:szCs w:val="28"/>
        </w:rPr>
      </w:pPr>
      <w:r>
        <w:rPr>
          <w:rFonts w:hint="eastAsia"/>
          <w:color w:val="000000"/>
        </w:rPr>
        <w:t>工程名称：标段：第页共页</w:t>
      </w:r>
    </w:p>
    <w:tbl>
      <w:tblPr>
        <w:tblStyle w:val="36"/>
        <w:tblW w:w="8905"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1096"/>
        <w:gridCol w:w="1276"/>
        <w:gridCol w:w="1020"/>
        <w:gridCol w:w="683"/>
        <w:gridCol w:w="900"/>
        <w:gridCol w:w="1080"/>
        <w:gridCol w:w="720"/>
        <w:gridCol w:w="1324"/>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10" w:hRule="atLeast"/>
          <w:jc w:val="center"/>
        </w:trPr>
        <w:tc>
          <w:tcPr>
            <w:tcW w:w="806" w:type="dxa"/>
            <w:vMerge w:val="restart"/>
            <w:tcBorders>
              <w:top w:val="single" w:color="auto" w:sz="6" w:space="0"/>
            </w:tcBorders>
            <w:vAlign w:val="center"/>
          </w:tcPr>
          <w:p>
            <w:pPr>
              <w:jc w:val="center"/>
              <w:rPr>
                <w:color w:val="000000"/>
                <w:sz w:val="20"/>
                <w:szCs w:val="20"/>
              </w:rPr>
            </w:pPr>
            <w:r>
              <w:rPr>
                <w:rFonts w:hint="eastAsia"/>
                <w:color w:val="000000"/>
                <w:sz w:val="20"/>
                <w:szCs w:val="20"/>
              </w:rPr>
              <w:t>序号</w:t>
            </w:r>
          </w:p>
        </w:tc>
        <w:tc>
          <w:tcPr>
            <w:tcW w:w="1096" w:type="dxa"/>
            <w:vMerge w:val="restart"/>
            <w:tcBorders>
              <w:right w:val="single" w:color="auto" w:sz="6" w:space="0"/>
            </w:tcBorders>
            <w:vAlign w:val="center"/>
          </w:tcPr>
          <w:p>
            <w:pPr>
              <w:jc w:val="center"/>
              <w:rPr>
                <w:color w:val="000000"/>
                <w:sz w:val="20"/>
                <w:szCs w:val="20"/>
              </w:rPr>
            </w:pPr>
            <w:r>
              <w:rPr>
                <w:rFonts w:hint="eastAsia"/>
                <w:color w:val="000000"/>
                <w:sz w:val="20"/>
                <w:szCs w:val="20"/>
              </w:rPr>
              <w:t>项目编码</w:t>
            </w:r>
          </w:p>
        </w:tc>
        <w:tc>
          <w:tcPr>
            <w:tcW w:w="1276" w:type="dxa"/>
            <w:vMerge w:val="restart"/>
            <w:tcBorders>
              <w:left w:val="single" w:color="auto" w:sz="6" w:space="0"/>
            </w:tcBorders>
            <w:vAlign w:val="center"/>
          </w:tcPr>
          <w:p>
            <w:pPr>
              <w:jc w:val="center"/>
              <w:rPr>
                <w:color w:val="000000"/>
                <w:sz w:val="20"/>
                <w:szCs w:val="20"/>
              </w:rPr>
            </w:pPr>
            <w:r>
              <w:rPr>
                <w:rFonts w:hint="eastAsia"/>
                <w:color w:val="000000"/>
                <w:sz w:val="20"/>
                <w:szCs w:val="20"/>
              </w:rPr>
              <w:t>项目名称</w:t>
            </w:r>
          </w:p>
        </w:tc>
        <w:tc>
          <w:tcPr>
            <w:tcW w:w="1020" w:type="dxa"/>
            <w:vMerge w:val="restart"/>
            <w:tcBorders>
              <w:left w:val="single" w:color="auto" w:sz="6" w:space="0"/>
            </w:tcBorders>
            <w:vAlign w:val="center"/>
          </w:tcPr>
          <w:p>
            <w:pPr>
              <w:jc w:val="center"/>
              <w:rPr>
                <w:color w:val="000000"/>
                <w:sz w:val="20"/>
                <w:szCs w:val="20"/>
              </w:rPr>
            </w:pPr>
            <w:r>
              <w:rPr>
                <w:rFonts w:hint="eastAsia"/>
                <w:color w:val="000000"/>
                <w:sz w:val="20"/>
                <w:szCs w:val="20"/>
              </w:rPr>
              <w:t>项目特征描述</w:t>
            </w:r>
          </w:p>
        </w:tc>
        <w:tc>
          <w:tcPr>
            <w:tcW w:w="683" w:type="dxa"/>
            <w:vMerge w:val="restart"/>
            <w:tcBorders>
              <w:right w:val="single" w:color="auto" w:sz="6" w:space="0"/>
            </w:tcBorders>
            <w:vAlign w:val="center"/>
          </w:tcPr>
          <w:p>
            <w:pPr>
              <w:jc w:val="center"/>
              <w:rPr>
                <w:color w:val="000000"/>
                <w:sz w:val="20"/>
                <w:szCs w:val="20"/>
              </w:rPr>
            </w:pPr>
            <w:r>
              <w:rPr>
                <w:rFonts w:hint="eastAsia"/>
                <w:color w:val="000000"/>
                <w:sz w:val="20"/>
                <w:szCs w:val="20"/>
              </w:rPr>
              <w:t>计量单位</w:t>
            </w:r>
          </w:p>
        </w:tc>
        <w:tc>
          <w:tcPr>
            <w:tcW w:w="900" w:type="dxa"/>
            <w:vMerge w:val="restart"/>
            <w:tcBorders>
              <w:left w:val="single" w:color="auto" w:sz="6" w:space="0"/>
            </w:tcBorders>
            <w:vAlign w:val="center"/>
          </w:tcPr>
          <w:p>
            <w:pPr>
              <w:jc w:val="center"/>
              <w:rPr>
                <w:color w:val="000000"/>
                <w:sz w:val="20"/>
                <w:szCs w:val="20"/>
              </w:rPr>
            </w:pPr>
            <w:r>
              <w:rPr>
                <w:rFonts w:hint="eastAsia"/>
                <w:color w:val="000000"/>
                <w:sz w:val="20"/>
                <w:szCs w:val="20"/>
              </w:rPr>
              <w:t>工程量</w:t>
            </w:r>
          </w:p>
        </w:tc>
        <w:tc>
          <w:tcPr>
            <w:tcW w:w="3124" w:type="dxa"/>
            <w:gridSpan w:val="3"/>
            <w:tcBorders>
              <w:left w:val="single" w:color="auto" w:sz="6" w:space="0"/>
            </w:tcBorders>
            <w:vAlign w:val="center"/>
          </w:tcPr>
          <w:p>
            <w:pPr>
              <w:jc w:val="center"/>
              <w:rPr>
                <w:color w:val="000000"/>
                <w:sz w:val="20"/>
                <w:szCs w:val="20"/>
              </w:rPr>
            </w:pPr>
            <w:r>
              <w:rPr>
                <w:rFonts w:hint="eastAsia"/>
                <w:color w:val="000000"/>
                <w:sz w:val="20"/>
                <w:szCs w:val="20"/>
              </w:rPr>
              <w:t>金额（元）</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93" w:hRule="atLeast"/>
          <w:jc w:val="center"/>
        </w:trPr>
        <w:tc>
          <w:tcPr>
            <w:tcW w:w="806" w:type="dxa"/>
            <w:vMerge w:val="continue"/>
            <w:vAlign w:val="center"/>
          </w:tcPr>
          <w:p>
            <w:pPr>
              <w:jc w:val="center"/>
              <w:rPr>
                <w:rFonts w:ascii="黑体" w:eastAsia="黑体"/>
                <w:color w:val="000000"/>
                <w:sz w:val="20"/>
                <w:szCs w:val="20"/>
              </w:rPr>
            </w:pPr>
          </w:p>
        </w:tc>
        <w:tc>
          <w:tcPr>
            <w:tcW w:w="1096" w:type="dxa"/>
            <w:vMerge w:val="continue"/>
            <w:tcBorders>
              <w:right w:val="single" w:color="auto" w:sz="6" w:space="0"/>
            </w:tcBorders>
            <w:vAlign w:val="center"/>
          </w:tcPr>
          <w:p>
            <w:pPr>
              <w:jc w:val="center"/>
              <w:rPr>
                <w:color w:val="000000"/>
                <w:sz w:val="20"/>
                <w:szCs w:val="20"/>
              </w:rPr>
            </w:pPr>
          </w:p>
        </w:tc>
        <w:tc>
          <w:tcPr>
            <w:tcW w:w="1276" w:type="dxa"/>
            <w:vMerge w:val="continue"/>
            <w:tcBorders>
              <w:left w:val="single" w:color="auto" w:sz="6" w:space="0"/>
            </w:tcBorders>
            <w:vAlign w:val="center"/>
          </w:tcPr>
          <w:p>
            <w:pPr>
              <w:jc w:val="center"/>
              <w:rPr>
                <w:color w:val="000000"/>
                <w:sz w:val="20"/>
                <w:szCs w:val="20"/>
              </w:rPr>
            </w:pPr>
          </w:p>
        </w:tc>
        <w:tc>
          <w:tcPr>
            <w:tcW w:w="1020" w:type="dxa"/>
            <w:vMerge w:val="continue"/>
            <w:tcBorders>
              <w:left w:val="single" w:color="auto" w:sz="6" w:space="0"/>
            </w:tcBorders>
            <w:vAlign w:val="center"/>
          </w:tcPr>
          <w:p>
            <w:pPr>
              <w:jc w:val="center"/>
              <w:rPr>
                <w:color w:val="000000"/>
                <w:sz w:val="20"/>
                <w:szCs w:val="20"/>
              </w:rPr>
            </w:pPr>
          </w:p>
        </w:tc>
        <w:tc>
          <w:tcPr>
            <w:tcW w:w="683" w:type="dxa"/>
            <w:vMerge w:val="continue"/>
            <w:tcBorders>
              <w:right w:val="single" w:color="auto" w:sz="6" w:space="0"/>
            </w:tcBorders>
            <w:vAlign w:val="center"/>
          </w:tcPr>
          <w:p>
            <w:pPr>
              <w:jc w:val="center"/>
              <w:rPr>
                <w:color w:val="000000"/>
                <w:sz w:val="20"/>
                <w:szCs w:val="20"/>
              </w:rPr>
            </w:pPr>
          </w:p>
        </w:tc>
        <w:tc>
          <w:tcPr>
            <w:tcW w:w="900" w:type="dxa"/>
            <w:vMerge w:val="continue"/>
            <w:tcBorders>
              <w:left w:val="single" w:color="auto" w:sz="6" w:space="0"/>
            </w:tcBorders>
            <w:vAlign w:val="center"/>
          </w:tcPr>
          <w:p>
            <w:pPr>
              <w:jc w:val="center"/>
              <w:rPr>
                <w:color w:val="000000"/>
                <w:sz w:val="20"/>
                <w:szCs w:val="20"/>
              </w:rPr>
            </w:pPr>
          </w:p>
        </w:tc>
        <w:tc>
          <w:tcPr>
            <w:tcW w:w="1080" w:type="dxa"/>
            <w:tcBorders>
              <w:left w:val="single" w:color="auto" w:sz="6" w:space="0"/>
            </w:tcBorders>
            <w:vAlign w:val="center"/>
          </w:tcPr>
          <w:p>
            <w:pPr>
              <w:rPr>
                <w:color w:val="000000"/>
                <w:sz w:val="20"/>
                <w:szCs w:val="20"/>
              </w:rPr>
            </w:pPr>
            <w:r>
              <w:rPr>
                <w:rFonts w:hint="eastAsia"/>
                <w:color w:val="000000"/>
                <w:sz w:val="20"/>
                <w:szCs w:val="20"/>
              </w:rPr>
              <w:t>综合单价</w:t>
            </w:r>
          </w:p>
        </w:tc>
        <w:tc>
          <w:tcPr>
            <w:tcW w:w="720" w:type="dxa"/>
            <w:tcBorders>
              <w:right w:val="single" w:color="auto" w:sz="6" w:space="0"/>
            </w:tcBorders>
            <w:vAlign w:val="center"/>
          </w:tcPr>
          <w:p>
            <w:pPr>
              <w:jc w:val="center"/>
              <w:rPr>
                <w:color w:val="000000"/>
                <w:sz w:val="20"/>
                <w:szCs w:val="20"/>
              </w:rPr>
            </w:pPr>
            <w:r>
              <w:rPr>
                <w:rFonts w:hint="eastAsia"/>
                <w:color w:val="000000"/>
                <w:sz w:val="20"/>
                <w:szCs w:val="20"/>
              </w:rPr>
              <w:t>合价</w:t>
            </w:r>
          </w:p>
        </w:tc>
        <w:tc>
          <w:tcPr>
            <w:tcW w:w="1324" w:type="dxa"/>
            <w:tcBorders>
              <w:left w:val="single" w:color="auto" w:sz="6" w:space="0"/>
            </w:tcBorders>
            <w:vAlign w:val="center"/>
          </w:tcPr>
          <w:p>
            <w:pPr>
              <w:rPr>
                <w:color w:val="000000"/>
                <w:sz w:val="20"/>
                <w:szCs w:val="20"/>
              </w:rPr>
            </w:pPr>
            <w:r>
              <w:rPr>
                <w:rFonts w:hint="eastAsia"/>
                <w:color w:val="000000"/>
                <w:sz w:val="20"/>
                <w:szCs w:val="20"/>
              </w:rPr>
              <w:t>其中：暂估价</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93" w:hRule="atLeast"/>
          <w:jc w:val="center"/>
        </w:trPr>
        <w:tc>
          <w:tcPr>
            <w:tcW w:w="806" w:type="dxa"/>
            <w:vAlign w:val="center"/>
          </w:tcPr>
          <w:p>
            <w:pPr>
              <w:jc w:val="center"/>
              <w:rPr>
                <w:rFonts w:ascii="黑体" w:eastAsia="黑体"/>
                <w:color w:val="000000"/>
                <w:szCs w:val="21"/>
              </w:rPr>
            </w:pPr>
          </w:p>
        </w:tc>
        <w:tc>
          <w:tcPr>
            <w:tcW w:w="1096" w:type="dxa"/>
            <w:tcBorders>
              <w:right w:val="single" w:color="auto" w:sz="6" w:space="0"/>
            </w:tcBorders>
            <w:vAlign w:val="center"/>
          </w:tcPr>
          <w:p>
            <w:pPr>
              <w:jc w:val="center"/>
              <w:rPr>
                <w:color w:val="000000"/>
                <w:szCs w:val="21"/>
              </w:rPr>
            </w:pPr>
          </w:p>
        </w:tc>
        <w:tc>
          <w:tcPr>
            <w:tcW w:w="1276" w:type="dxa"/>
            <w:tcBorders>
              <w:left w:val="single" w:color="auto" w:sz="6" w:space="0"/>
            </w:tcBorders>
            <w:vAlign w:val="center"/>
          </w:tcPr>
          <w:p>
            <w:pPr>
              <w:jc w:val="center"/>
              <w:rPr>
                <w:color w:val="000000"/>
                <w:szCs w:val="21"/>
              </w:rPr>
            </w:pPr>
          </w:p>
        </w:tc>
        <w:tc>
          <w:tcPr>
            <w:tcW w:w="1020" w:type="dxa"/>
            <w:tcBorders>
              <w:left w:val="single" w:color="auto" w:sz="6" w:space="0"/>
            </w:tcBorders>
            <w:vAlign w:val="center"/>
          </w:tcPr>
          <w:p>
            <w:pPr>
              <w:jc w:val="center"/>
              <w:rPr>
                <w:color w:val="000000"/>
                <w:szCs w:val="21"/>
              </w:rPr>
            </w:pPr>
          </w:p>
        </w:tc>
        <w:tc>
          <w:tcPr>
            <w:tcW w:w="683" w:type="dxa"/>
            <w:tcBorders>
              <w:right w:val="single" w:color="auto" w:sz="6" w:space="0"/>
            </w:tcBorders>
            <w:vAlign w:val="center"/>
          </w:tcPr>
          <w:p>
            <w:pPr>
              <w:jc w:val="center"/>
              <w:rPr>
                <w:color w:val="000000"/>
                <w:szCs w:val="21"/>
              </w:rPr>
            </w:pPr>
          </w:p>
        </w:tc>
        <w:tc>
          <w:tcPr>
            <w:tcW w:w="900" w:type="dxa"/>
            <w:tcBorders>
              <w:left w:val="single" w:color="auto" w:sz="6" w:space="0"/>
            </w:tcBorders>
            <w:vAlign w:val="center"/>
          </w:tcPr>
          <w:p>
            <w:pPr>
              <w:jc w:val="center"/>
              <w:rPr>
                <w:color w:val="000000"/>
                <w:szCs w:val="21"/>
              </w:rPr>
            </w:pPr>
          </w:p>
        </w:tc>
        <w:tc>
          <w:tcPr>
            <w:tcW w:w="1080" w:type="dxa"/>
            <w:tcBorders>
              <w:left w:val="single" w:color="auto" w:sz="6" w:space="0"/>
            </w:tcBorders>
            <w:vAlign w:val="center"/>
          </w:tcPr>
          <w:p>
            <w:pPr>
              <w:jc w:val="center"/>
              <w:rPr>
                <w:color w:val="000000"/>
                <w:szCs w:val="21"/>
              </w:rPr>
            </w:pPr>
          </w:p>
        </w:tc>
        <w:tc>
          <w:tcPr>
            <w:tcW w:w="720" w:type="dxa"/>
            <w:tcBorders>
              <w:right w:val="single" w:color="auto" w:sz="6" w:space="0"/>
            </w:tcBorders>
            <w:vAlign w:val="center"/>
          </w:tcPr>
          <w:p>
            <w:pPr>
              <w:jc w:val="center"/>
              <w:rPr>
                <w:color w:val="000000"/>
                <w:szCs w:val="21"/>
              </w:rPr>
            </w:pPr>
          </w:p>
        </w:tc>
        <w:tc>
          <w:tcPr>
            <w:tcW w:w="1324" w:type="dxa"/>
            <w:tcBorders>
              <w:left w:val="single" w:color="auto" w:sz="6" w:space="0"/>
            </w:tcBorders>
            <w:vAlign w:val="center"/>
          </w:tcPr>
          <w:p>
            <w:pPr>
              <w:jc w:val="center"/>
              <w:rPr>
                <w:color w:val="000000"/>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93" w:hRule="atLeast"/>
          <w:jc w:val="center"/>
        </w:trPr>
        <w:tc>
          <w:tcPr>
            <w:tcW w:w="806" w:type="dxa"/>
            <w:vAlign w:val="center"/>
          </w:tcPr>
          <w:p>
            <w:pPr>
              <w:jc w:val="center"/>
              <w:rPr>
                <w:rFonts w:ascii="黑体" w:eastAsia="黑体"/>
                <w:color w:val="000000"/>
                <w:szCs w:val="21"/>
              </w:rPr>
            </w:pPr>
          </w:p>
        </w:tc>
        <w:tc>
          <w:tcPr>
            <w:tcW w:w="1096" w:type="dxa"/>
            <w:tcBorders>
              <w:right w:val="single" w:color="auto" w:sz="6" w:space="0"/>
            </w:tcBorders>
            <w:vAlign w:val="center"/>
          </w:tcPr>
          <w:p>
            <w:pPr>
              <w:jc w:val="center"/>
              <w:rPr>
                <w:color w:val="000000"/>
                <w:szCs w:val="21"/>
              </w:rPr>
            </w:pPr>
          </w:p>
        </w:tc>
        <w:tc>
          <w:tcPr>
            <w:tcW w:w="1276" w:type="dxa"/>
            <w:tcBorders>
              <w:left w:val="single" w:color="auto" w:sz="6" w:space="0"/>
            </w:tcBorders>
            <w:vAlign w:val="center"/>
          </w:tcPr>
          <w:p>
            <w:pPr>
              <w:jc w:val="center"/>
              <w:rPr>
                <w:color w:val="000000"/>
                <w:szCs w:val="21"/>
              </w:rPr>
            </w:pPr>
          </w:p>
        </w:tc>
        <w:tc>
          <w:tcPr>
            <w:tcW w:w="1020" w:type="dxa"/>
            <w:tcBorders>
              <w:left w:val="single" w:color="auto" w:sz="6" w:space="0"/>
            </w:tcBorders>
            <w:vAlign w:val="center"/>
          </w:tcPr>
          <w:p>
            <w:pPr>
              <w:jc w:val="center"/>
              <w:rPr>
                <w:color w:val="000000"/>
                <w:szCs w:val="21"/>
              </w:rPr>
            </w:pPr>
          </w:p>
        </w:tc>
        <w:tc>
          <w:tcPr>
            <w:tcW w:w="683" w:type="dxa"/>
            <w:tcBorders>
              <w:right w:val="single" w:color="auto" w:sz="6" w:space="0"/>
            </w:tcBorders>
            <w:vAlign w:val="center"/>
          </w:tcPr>
          <w:p>
            <w:pPr>
              <w:jc w:val="center"/>
              <w:rPr>
                <w:color w:val="000000"/>
                <w:szCs w:val="21"/>
              </w:rPr>
            </w:pPr>
          </w:p>
        </w:tc>
        <w:tc>
          <w:tcPr>
            <w:tcW w:w="900" w:type="dxa"/>
            <w:tcBorders>
              <w:left w:val="single" w:color="auto" w:sz="6" w:space="0"/>
            </w:tcBorders>
            <w:vAlign w:val="center"/>
          </w:tcPr>
          <w:p>
            <w:pPr>
              <w:jc w:val="center"/>
              <w:rPr>
                <w:color w:val="000000"/>
                <w:szCs w:val="21"/>
              </w:rPr>
            </w:pPr>
          </w:p>
        </w:tc>
        <w:tc>
          <w:tcPr>
            <w:tcW w:w="1080" w:type="dxa"/>
            <w:tcBorders>
              <w:left w:val="single" w:color="auto" w:sz="6" w:space="0"/>
            </w:tcBorders>
            <w:vAlign w:val="center"/>
          </w:tcPr>
          <w:p>
            <w:pPr>
              <w:jc w:val="center"/>
              <w:rPr>
                <w:color w:val="000000"/>
                <w:szCs w:val="21"/>
              </w:rPr>
            </w:pPr>
          </w:p>
        </w:tc>
        <w:tc>
          <w:tcPr>
            <w:tcW w:w="720" w:type="dxa"/>
            <w:tcBorders>
              <w:right w:val="single" w:color="auto" w:sz="6" w:space="0"/>
            </w:tcBorders>
            <w:vAlign w:val="center"/>
          </w:tcPr>
          <w:p>
            <w:pPr>
              <w:jc w:val="center"/>
              <w:rPr>
                <w:color w:val="000000"/>
                <w:szCs w:val="21"/>
              </w:rPr>
            </w:pPr>
          </w:p>
        </w:tc>
        <w:tc>
          <w:tcPr>
            <w:tcW w:w="1324" w:type="dxa"/>
            <w:tcBorders>
              <w:left w:val="single" w:color="auto" w:sz="6" w:space="0"/>
            </w:tcBorders>
            <w:vAlign w:val="center"/>
          </w:tcPr>
          <w:p>
            <w:pPr>
              <w:jc w:val="center"/>
              <w:rPr>
                <w:color w:val="000000"/>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93" w:hRule="atLeast"/>
          <w:jc w:val="center"/>
        </w:trPr>
        <w:tc>
          <w:tcPr>
            <w:tcW w:w="806" w:type="dxa"/>
            <w:vAlign w:val="center"/>
          </w:tcPr>
          <w:p>
            <w:pPr>
              <w:jc w:val="center"/>
              <w:rPr>
                <w:rFonts w:ascii="黑体" w:eastAsia="黑体"/>
                <w:color w:val="000000"/>
                <w:szCs w:val="21"/>
              </w:rPr>
            </w:pPr>
          </w:p>
        </w:tc>
        <w:tc>
          <w:tcPr>
            <w:tcW w:w="1096" w:type="dxa"/>
            <w:tcBorders>
              <w:right w:val="single" w:color="auto" w:sz="6" w:space="0"/>
            </w:tcBorders>
            <w:vAlign w:val="center"/>
          </w:tcPr>
          <w:p>
            <w:pPr>
              <w:jc w:val="center"/>
              <w:rPr>
                <w:color w:val="000000"/>
                <w:szCs w:val="21"/>
              </w:rPr>
            </w:pPr>
          </w:p>
        </w:tc>
        <w:tc>
          <w:tcPr>
            <w:tcW w:w="1276" w:type="dxa"/>
            <w:tcBorders>
              <w:left w:val="single" w:color="auto" w:sz="6" w:space="0"/>
            </w:tcBorders>
            <w:vAlign w:val="center"/>
          </w:tcPr>
          <w:p>
            <w:pPr>
              <w:jc w:val="center"/>
              <w:rPr>
                <w:color w:val="000000"/>
                <w:szCs w:val="21"/>
              </w:rPr>
            </w:pPr>
          </w:p>
        </w:tc>
        <w:tc>
          <w:tcPr>
            <w:tcW w:w="1020" w:type="dxa"/>
            <w:tcBorders>
              <w:left w:val="single" w:color="auto" w:sz="6" w:space="0"/>
            </w:tcBorders>
            <w:vAlign w:val="center"/>
          </w:tcPr>
          <w:p>
            <w:pPr>
              <w:jc w:val="center"/>
              <w:rPr>
                <w:color w:val="000000"/>
                <w:szCs w:val="21"/>
              </w:rPr>
            </w:pPr>
          </w:p>
        </w:tc>
        <w:tc>
          <w:tcPr>
            <w:tcW w:w="683" w:type="dxa"/>
            <w:tcBorders>
              <w:right w:val="single" w:color="auto" w:sz="6" w:space="0"/>
            </w:tcBorders>
            <w:vAlign w:val="center"/>
          </w:tcPr>
          <w:p>
            <w:pPr>
              <w:jc w:val="center"/>
              <w:rPr>
                <w:color w:val="000000"/>
                <w:szCs w:val="21"/>
              </w:rPr>
            </w:pPr>
          </w:p>
        </w:tc>
        <w:tc>
          <w:tcPr>
            <w:tcW w:w="900" w:type="dxa"/>
            <w:tcBorders>
              <w:left w:val="single" w:color="auto" w:sz="6" w:space="0"/>
            </w:tcBorders>
            <w:vAlign w:val="center"/>
          </w:tcPr>
          <w:p>
            <w:pPr>
              <w:jc w:val="center"/>
              <w:rPr>
                <w:color w:val="000000"/>
                <w:szCs w:val="21"/>
              </w:rPr>
            </w:pPr>
          </w:p>
        </w:tc>
        <w:tc>
          <w:tcPr>
            <w:tcW w:w="1080" w:type="dxa"/>
            <w:tcBorders>
              <w:left w:val="single" w:color="auto" w:sz="6" w:space="0"/>
            </w:tcBorders>
            <w:vAlign w:val="center"/>
          </w:tcPr>
          <w:p>
            <w:pPr>
              <w:jc w:val="center"/>
              <w:rPr>
                <w:color w:val="000000"/>
                <w:szCs w:val="21"/>
              </w:rPr>
            </w:pPr>
          </w:p>
        </w:tc>
        <w:tc>
          <w:tcPr>
            <w:tcW w:w="720" w:type="dxa"/>
            <w:tcBorders>
              <w:right w:val="single" w:color="auto" w:sz="6" w:space="0"/>
            </w:tcBorders>
            <w:vAlign w:val="center"/>
          </w:tcPr>
          <w:p>
            <w:pPr>
              <w:jc w:val="center"/>
              <w:rPr>
                <w:color w:val="000000"/>
                <w:szCs w:val="21"/>
              </w:rPr>
            </w:pPr>
          </w:p>
        </w:tc>
        <w:tc>
          <w:tcPr>
            <w:tcW w:w="1324" w:type="dxa"/>
            <w:tcBorders>
              <w:left w:val="single" w:color="auto" w:sz="6" w:space="0"/>
            </w:tcBorders>
            <w:vAlign w:val="center"/>
          </w:tcPr>
          <w:p>
            <w:pPr>
              <w:jc w:val="center"/>
              <w:rPr>
                <w:color w:val="000000"/>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93" w:hRule="atLeast"/>
          <w:jc w:val="center"/>
        </w:trPr>
        <w:tc>
          <w:tcPr>
            <w:tcW w:w="806" w:type="dxa"/>
            <w:vAlign w:val="center"/>
          </w:tcPr>
          <w:p>
            <w:pPr>
              <w:jc w:val="center"/>
              <w:rPr>
                <w:rFonts w:ascii="黑体" w:eastAsia="黑体"/>
                <w:color w:val="000000"/>
                <w:szCs w:val="21"/>
              </w:rPr>
            </w:pPr>
          </w:p>
        </w:tc>
        <w:tc>
          <w:tcPr>
            <w:tcW w:w="1096" w:type="dxa"/>
            <w:tcBorders>
              <w:right w:val="single" w:color="auto" w:sz="6" w:space="0"/>
            </w:tcBorders>
            <w:vAlign w:val="center"/>
          </w:tcPr>
          <w:p>
            <w:pPr>
              <w:jc w:val="center"/>
              <w:rPr>
                <w:color w:val="000000"/>
                <w:szCs w:val="21"/>
              </w:rPr>
            </w:pPr>
          </w:p>
        </w:tc>
        <w:tc>
          <w:tcPr>
            <w:tcW w:w="1276" w:type="dxa"/>
            <w:tcBorders>
              <w:left w:val="single" w:color="auto" w:sz="6" w:space="0"/>
            </w:tcBorders>
            <w:vAlign w:val="center"/>
          </w:tcPr>
          <w:p>
            <w:pPr>
              <w:jc w:val="center"/>
              <w:rPr>
                <w:color w:val="000000"/>
                <w:szCs w:val="21"/>
              </w:rPr>
            </w:pPr>
          </w:p>
        </w:tc>
        <w:tc>
          <w:tcPr>
            <w:tcW w:w="1020" w:type="dxa"/>
            <w:tcBorders>
              <w:left w:val="single" w:color="auto" w:sz="6" w:space="0"/>
            </w:tcBorders>
            <w:vAlign w:val="center"/>
          </w:tcPr>
          <w:p>
            <w:pPr>
              <w:jc w:val="center"/>
              <w:rPr>
                <w:color w:val="000000"/>
                <w:szCs w:val="21"/>
              </w:rPr>
            </w:pPr>
          </w:p>
        </w:tc>
        <w:tc>
          <w:tcPr>
            <w:tcW w:w="683" w:type="dxa"/>
            <w:tcBorders>
              <w:right w:val="single" w:color="auto" w:sz="6" w:space="0"/>
            </w:tcBorders>
            <w:vAlign w:val="center"/>
          </w:tcPr>
          <w:p>
            <w:pPr>
              <w:jc w:val="center"/>
              <w:rPr>
                <w:color w:val="000000"/>
                <w:szCs w:val="21"/>
              </w:rPr>
            </w:pPr>
          </w:p>
        </w:tc>
        <w:tc>
          <w:tcPr>
            <w:tcW w:w="900" w:type="dxa"/>
            <w:tcBorders>
              <w:left w:val="single" w:color="auto" w:sz="6" w:space="0"/>
            </w:tcBorders>
            <w:vAlign w:val="center"/>
          </w:tcPr>
          <w:p>
            <w:pPr>
              <w:jc w:val="center"/>
              <w:rPr>
                <w:color w:val="000000"/>
                <w:szCs w:val="21"/>
              </w:rPr>
            </w:pPr>
          </w:p>
        </w:tc>
        <w:tc>
          <w:tcPr>
            <w:tcW w:w="1080" w:type="dxa"/>
            <w:tcBorders>
              <w:left w:val="single" w:color="auto" w:sz="6" w:space="0"/>
            </w:tcBorders>
            <w:vAlign w:val="center"/>
          </w:tcPr>
          <w:p>
            <w:pPr>
              <w:jc w:val="center"/>
              <w:rPr>
                <w:color w:val="000000"/>
                <w:szCs w:val="21"/>
              </w:rPr>
            </w:pPr>
          </w:p>
        </w:tc>
        <w:tc>
          <w:tcPr>
            <w:tcW w:w="720" w:type="dxa"/>
            <w:tcBorders>
              <w:right w:val="single" w:color="auto" w:sz="6" w:space="0"/>
            </w:tcBorders>
            <w:vAlign w:val="center"/>
          </w:tcPr>
          <w:p>
            <w:pPr>
              <w:jc w:val="center"/>
              <w:rPr>
                <w:color w:val="000000"/>
                <w:szCs w:val="21"/>
              </w:rPr>
            </w:pPr>
          </w:p>
        </w:tc>
        <w:tc>
          <w:tcPr>
            <w:tcW w:w="1324" w:type="dxa"/>
            <w:tcBorders>
              <w:left w:val="single" w:color="auto" w:sz="6" w:space="0"/>
            </w:tcBorders>
            <w:vAlign w:val="center"/>
          </w:tcPr>
          <w:p>
            <w:pPr>
              <w:jc w:val="center"/>
              <w:rPr>
                <w:color w:val="000000"/>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93" w:hRule="atLeast"/>
          <w:jc w:val="center"/>
        </w:trPr>
        <w:tc>
          <w:tcPr>
            <w:tcW w:w="806" w:type="dxa"/>
            <w:vAlign w:val="center"/>
          </w:tcPr>
          <w:p>
            <w:pPr>
              <w:jc w:val="center"/>
              <w:rPr>
                <w:rFonts w:ascii="黑体" w:eastAsia="黑体"/>
                <w:color w:val="000000"/>
                <w:szCs w:val="21"/>
              </w:rPr>
            </w:pPr>
          </w:p>
        </w:tc>
        <w:tc>
          <w:tcPr>
            <w:tcW w:w="1096" w:type="dxa"/>
            <w:tcBorders>
              <w:right w:val="single" w:color="auto" w:sz="6" w:space="0"/>
            </w:tcBorders>
            <w:vAlign w:val="center"/>
          </w:tcPr>
          <w:p>
            <w:pPr>
              <w:jc w:val="center"/>
              <w:rPr>
                <w:color w:val="000000"/>
                <w:szCs w:val="21"/>
              </w:rPr>
            </w:pPr>
          </w:p>
        </w:tc>
        <w:tc>
          <w:tcPr>
            <w:tcW w:w="1276" w:type="dxa"/>
            <w:tcBorders>
              <w:left w:val="single" w:color="auto" w:sz="6" w:space="0"/>
            </w:tcBorders>
            <w:vAlign w:val="center"/>
          </w:tcPr>
          <w:p>
            <w:pPr>
              <w:jc w:val="center"/>
              <w:rPr>
                <w:color w:val="000000"/>
                <w:szCs w:val="21"/>
              </w:rPr>
            </w:pPr>
          </w:p>
        </w:tc>
        <w:tc>
          <w:tcPr>
            <w:tcW w:w="1020" w:type="dxa"/>
            <w:tcBorders>
              <w:left w:val="single" w:color="auto" w:sz="6" w:space="0"/>
            </w:tcBorders>
            <w:vAlign w:val="center"/>
          </w:tcPr>
          <w:p>
            <w:pPr>
              <w:jc w:val="center"/>
              <w:rPr>
                <w:color w:val="000000"/>
                <w:szCs w:val="21"/>
              </w:rPr>
            </w:pPr>
          </w:p>
        </w:tc>
        <w:tc>
          <w:tcPr>
            <w:tcW w:w="683" w:type="dxa"/>
            <w:tcBorders>
              <w:right w:val="single" w:color="auto" w:sz="6" w:space="0"/>
            </w:tcBorders>
            <w:vAlign w:val="center"/>
          </w:tcPr>
          <w:p>
            <w:pPr>
              <w:jc w:val="center"/>
              <w:rPr>
                <w:color w:val="000000"/>
                <w:szCs w:val="21"/>
              </w:rPr>
            </w:pPr>
          </w:p>
        </w:tc>
        <w:tc>
          <w:tcPr>
            <w:tcW w:w="900" w:type="dxa"/>
            <w:tcBorders>
              <w:left w:val="single" w:color="auto" w:sz="6" w:space="0"/>
            </w:tcBorders>
            <w:vAlign w:val="center"/>
          </w:tcPr>
          <w:p>
            <w:pPr>
              <w:jc w:val="center"/>
              <w:rPr>
                <w:color w:val="000000"/>
                <w:szCs w:val="21"/>
              </w:rPr>
            </w:pPr>
          </w:p>
        </w:tc>
        <w:tc>
          <w:tcPr>
            <w:tcW w:w="1080" w:type="dxa"/>
            <w:tcBorders>
              <w:left w:val="single" w:color="auto" w:sz="6" w:space="0"/>
            </w:tcBorders>
            <w:vAlign w:val="center"/>
          </w:tcPr>
          <w:p>
            <w:pPr>
              <w:jc w:val="center"/>
              <w:rPr>
                <w:color w:val="000000"/>
                <w:szCs w:val="21"/>
              </w:rPr>
            </w:pPr>
          </w:p>
        </w:tc>
        <w:tc>
          <w:tcPr>
            <w:tcW w:w="720" w:type="dxa"/>
            <w:tcBorders>
              <w:right w:val="single" w:color="auto" w:sz="6" w:space="0"/>
            </w:tcBorders>
            <w:vAlign w:val="center"/>
          </w:tcPr>
          <w:p>
            <w:pPr>
              <w:jc w:val="center"/>
              <w:rPr>
                <w:color w:val="000000"/>
                <w:szCs w:val="21"/>
              </w:rPr>
            </w:pPr>
          </w:p>
        </w:tc>
        <w:tc>
          <w:tcPr>
            <w:tcW w:w="1324" w:type="dxa"/>
            <w:tcBorders>
              <w:left w:val="single" w:color="auto" w:sz="6" w:space="0"/>
            </w:tcBorders>
            <w:vAlign w:val="center"/>
          </w:tcPr>
          <w:p>
            <w:pPr>
              <w:jc w:val="center"/>
              <w:rPr>
                <w:color w:val="000000"/>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93" w:hRule="atLeast"/>
          <w:jc w:val="center"/>
        </w:trPr>
        <w:tc>
          <w:tcPr>
            <w:tcW w:w="806" w:type="dxa"/>
            <w:vAlign w:val="center"/>
          </w:tcPr>
          <w:p>
            <w:pPr>
              <w:jc w:val="center"/>
              <w:rPr>
                <w:rFonts w:ascii="黑体" w:eastAsia="黑体"/>
                <w:color w:val="000000"/>
                <w:szCs w:val="21"/>
              </w:rPr>
            </w:pPr>
          </w:p>
        </w:tc>
        <w:tc>
          <w:tcPr>
            <w:tcW w:w="1096" w:type="dxa"/>
            <w:tcBorders>
              <w:right w:val="single" w:color="auto" w:sz="6" w:space="0"/>
            </w:tcBorders>
            <w:vAlign w:val="center"/>
          </w:tcPr>
          <w:p>
            <w:pPr>
              <w:jc w:val="center"/>
              <w:rPr>
                <w:color w:val="000000"/>
                <w:szCs w:val="21"/>
              </w:rPr>
            </w:pPr>
          </w:p>
        </w:tc>
        <w:tc>
          <w:tcPr>
            <w:tcW w:w="1276" w:type="dxa"/>
            <w:tcBorders>
              <w:left w:val="single" w:color="auto" w:sz="6" w:space="0"/>
            </w:tcBorders>
            <w:vAlign w:val="center"/>
          </w:tcPr>
          <w:p>
            <w:pPr>
              <w:jc w:val="center"/>
              <w:rPr>
                <w:color w:val="000000"/>
                <w:szCs w:val="21"/>
              </w:rPr>
            </w:pPr>
          </w:p>
        </w:tc>
        <w:tc>
          <w:tcPr>
            <w:tcW w:w="1020" w:type="dxa"/>
            <w:tcBorders>
              <w:left w:val="single" w:color="auto" w:sz="6" w:space="0"/>
            </w:tcBorders>
            <w:vAlign w:val="center"/>
          </w:tcPr>
          <w:p>
            <w:pPr>
              <w:jc w:val="center"/>
              <w:rPr>
                <w:color w:val="000000"/>
                <w:szCs w:val="21"/>
              </w:rPr>
            </w:pPr>
          </w:p>
        </w:tc>
        <w:tc>
          <w:tcPr>
            <w:tcW w:w="683" w:type="dxa"/>
            <w:tcBorders>
              <w:right w:val="single" w:color="auto" w:sz="6" w:space="0"/>
            </w:tcBorders>
            <w:vAlign w:val="center"/>
          </w:tcPr>
          <w:p>
            <w:pPr>
              <w:jc w:val="center"/>
              <w:rPr>
                <w:color w:val="000000"/>
                <w:szCs w:val="21"/>
              </w:rPr>
            </w:pPr>
          </w:p>
        </w:tc>
        <w:tc>
          <w:tcPr>
            <w:tcW w:w="900" w:type="dxa"/>
            <w:tcBorders>
              <w:left w:val="single" w:color="auto" w:sz="6" w:space="0"/>
            </w:tcBorders>
            <w:vAlign w:val="center"/>
          </w:tcPr>
          <w:p>
            <w:pPr>
              <w:jc w:val="center"/>
              <w:rPr>
                <w:color w:val="000000"/>
                <w:szCs w:val="21"/>
              </w:rPr>
            </w:pPr>
          </w:p>
        </w:tc>
        <w:tc>
          <w:tcPr>
            <w:tcW w:w="1080" w:type="dxa"/>
            <w:tcBorders>
              <w:left w:val="single" w:color="auto" w:sz="6" w:space="0"/>
            </w:tcBorders>
            <w:vAlign w:val="center"/>
          </w:tcPr>
          <w:p>
            <w:pPr>
              <w:jc w:val="center"/>
              <w:rPr>
                <w:color w:val="000000"/>
                <w:szCs w:val="21"/>
              </w:rPr>
            </w:pPr>
          </w:p>
        </w:tc>
        <w:tc>
          <w:tcPr>
            <w:tcW w:w="720" w:type="dxa"/>
            <w:tcBorders>
              <w:right w:val="single" w:color="auto" w:sz="6" w:space="0"/>
            </w:tcBorders>
            <w:vAlign w:val="center"/>
          </w:tcPr>
          <w:p>
            <w:pPr>
              <w:jc w:val="center"/>
              <w:rPr>
                <w:color w:val="000000"/>
                <w:szCs w:val="21"/>
              </w:rPr>
            </w:pPr>
          </w:p>
        </w:tc>
        <w:tc>
          <w:tcPr>
            <w:tcW w:w="1324" w:type="dxa"/>
            <w:tcBorders>
              <w:left w:val="single" w:color="auto" w:sz="6" w:space="0"/>
            </w:tcBorders>
            <w:vAlign w:val="center"/>
          </w:tcPr>
          <w:p>
            <w:pPr>
              <w:jc w:val="center"/>
              <w:rPr>
                <w:color w:val="000000"/>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93" w:hRule="atLeast"/>
          <w:jc w:val="center"/>
        </w:trPr>
        <w:tc>
          <w:tcPr>
            <w:tcW w:w="806" w:type="dxa"/>
            <w:vAlign w:val="center"/>
          </w:tcPr>
          <w:p>
            <w:pPr>
              <w:jc w:val="center"/>
              <w:rPr>
                <w:rFonts w:ascii="黑体" w:eastAsia="黑体"/>
                <w:color w:val="000000"/>
                <w:szCs w:val="21"/>
              </w:rPr>
            </w:pPr>
          </w:p>
        </w:tc>
        <w:tc>
          <w:tcPr>
            <w:tcW w:w="1096" w:type="dxa"/>
            <w:tcBorders>
              <w:right w:val="single" w:color="auto" w:sz="6" w:space="0"/>
            </w:tcBorders>
            <w:vAlign w:val="center"/>
          </w:tcPr>
          <w:p>
            <w:pPr>
              <w:jc w:val="center"/>
              <w:rPr>
                <w:color w:val="000000"/>
                <w:szCs w:val="21"/>
              </w:rPr>
            </w:pPr>
          </w:p>
        </w:tc>
        <w:tc>
          <w:tcPr>
            <w:tcW w:w="1276" w:type="dxa"/>
            <w:tcBorders>
              <w:left w:val="single" w:color="auto" w:sz="6" w:space="0"/>
            </w:tcBorders>
            <w:vAlign w:val="center"/>
          </w:tcPr>
          <w:p>
            <w:pPr>
              <w:jc w:val="center"/>
              <w:rPr>
                <w:color w:val="000000"/>
                <w:szCs w:val="21"/>
              </w:rPr>
            </w:pPr>
          </w:p>
        </w:tc>
        <w:tc>
          <w:tcPr>
            <w:tcW w:w="1020" w:type="dxa"/>
            <w:tcBorders>
              <w:left w:val="single" w:color="auto" w:sz="6" w:space="0"/>
            </w:tcBorders>
            <w:vAlign w:val="center"/>
          </w:tcPr>
          <w:p>
            <w:pPr>
              <w:jc w:val="center"/>
              <w:rPr>
                <w:color w:val="000000"/>
                <w:szCs w:val="21"/>
              </w:rPr>
            </w:pPr>
          </w:p>
        </w:tc>
        <w:tc>
          <w:tcPr>
            <w:tcW w:w="683" w:type="dxa"/>
            <w:tcBorders>
              <w:right w:val="single" w:color="auto" w:sz="6" w:space="0"/>
            </w:tcBorders>
            <w:vAlign w:val="center"/>
          </w:tcPr>
          <w:p>
            <w:pPr>
              <w:jc w:val="center"/>
              <w:rPr>
                <w:color w:val="000000"/>
                <w:szCs w:val="21"/>
              </w:rPr>
            </w:pPr>
          </w:p>
        </w:tc>
        <w:tc>
          <w:tcPr>
            <w:tcW w:w="900" w:type="dxa"/>
            <w:tcBorders>
              <w:left w:val="single" w:color="auto" w:sz="6" w:space="0"/>
            </w:tcBorders>
            <w:vAlign w:val="center"/>
          </w:tcPr>
          <w:p>
            <w:pPr>
              <w:jc w:val="center"/>
              <w:rPr>
                <w:color w:val="000000"/>
                <w:szCs w:val="21"/>
              </w:rPr>
            </w:pPr>
          </w:p>
        </w:tc>
        <w:tc>
          <w:tcPr>
            <w:tcW w:w="1080" w:type="dxa"/>
            <w:tcBorders>
              <w:left w:val="single" w:color="auto" w:sz="6" w:space="0"/>
            </w:tcBorders>
            <w:vAlign w:val="center"/>
          </w:tcPr>
          <w:p>
            <w:pPr>
              <w:jc w:val="center"/>
              <w:rPr>
                <w:color w:val="000000"/>
                <w:szCs w:val="21"/>
              </w:rPr>
            </w:pPr>
          </w:p>
        </w:tc>
        <w:tc>
          <w:tcPr>
            <w:tcW w:w="720" w:type="dxa"/>
            <w:tcBorders>
              <w:right w:val="single" w:color="auto" w:sz="6" w:space="0"/>
            </w:tcBorders>
            <w:vAlign w:val="center"/>
          </w:tcPr>
          <w:p>
            <w:pPr>
              <w:jc w:val="center"/>
              <w:rPr>
                <w:color w:val="000000"/>
                <w:szCs w:val="21"/>
              </w:rPr>
            </w:pPr>
          </w:p>
        </w:tc>
        <w:tc>
          <w:tcPr>
            <w:tcW w:w="1324" w:type="dxa"/>
            <w:tcBorders>
              <w:left w:val="single" w:color="auto" w:sz="6" w:space="0"/>
            </w:tcBorders>
            <w:vAlign w:val="center"/>
          </w:tcPr>
          <w:p>
            <w:pPr>
              <w:jc w:val="center"/>
              <w:rPr>
                <w:color w:val="000000"/>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93" w:hRule="atLeast"/>
          <w:jc w:val="center"/>
        </w:trPr>
        <w:tc>
          <w:tcPr>
            <w:tcW w:w="806" w:type="dxa"/>
            <w:vAlign w:val="center"/>
          </w:tcPr>
          <w:p>
            <w:pPr>
              <w:jc w:val="center"/>
              <w:rPr>
                <w:rFonts w:ascii="黑体" w:eastAsia="黑体"/>
                <w:color w:val="000000"/>
                <w:szCs w:val="21"/>
              </w:rPr>
            </w:pPr>
          </w:p>
        </w:tc>
        <w:tc>
          <w:tcPr>
            <w:tcW w:w="1096" w:type="dxa"/>
            <w:tcBorders>
              <w:right w:val="single" w:color="auto" w:sz="6" w:space="0"/>
            </w:tcBorders>
            <w:vAlign w:val="center"/>
          </w:tcPr>
          <w:p>
            <w:pPr>
              <w:jc w:val="center"/>
              <w:rPr>
                <w:color w:val="000000"/>
                <w:szCs w:val="21"/>
              </w:rPr>
            </w:pPr>
          </w:p>
        </w:tc>
        <w:tc>
          <w:tcPr>
            <w:tcW w:w="1276" w:type="dxa"/>
            <w:tcBorders>
              <w:left w:val="single" w:color="auto" w:sz="6" w:space="0"/>
            </w:tcBorders>
            <w:vAlign w:val="center"/>
          </w:tcPr>
          <w:p>
            <w:pPr>
              <w:jc w:val="center"/>
              <w:rPr>
                <w:color w:val="000000"/>
                <w:szCs w:val="21"/>
              </w:rPr>
            </w:pPr>
          </w:p>
        </w:tc>
        <w:tc>
          <w:tcPr>
            <w:tcW w:w="1020" w:type="dxa"/>
            <w:tcBorders>
              <w:left w:val="single" w:color="auto" w:sz="6" w:space="0"/>
            </w:tcBorders>
            <w:vAlign w:val="center"/>
          </w:tcPr>
          <w:p>
            <w:pPr>
              <w:jc w:val="center"/>
              <w:rPr>
                <w:color w:val="000000"/>
                <w:szCs w:val="21"/>
              </w:rPr>
            </w:pPr>
          </w:p>
        </w:tc>
        <w:tc>
          <w:tcPr>
            <w:tcW w:w="683" w:type="dxa"/>
            <w:tcBorders>
              <w:right w:val="single" w:color="auto" w:sz="6" w:space="0"/>
            </w:tcBorders>
            <w:vAlign w:val="center"/>
          </w:tcPr>
          <w:p>
            <w:pPr>
              <w:jc w:val="center"/>
              <w:rPr>
                <w:color w:val="000000"/>
                <w:szCs w:val="21"/>
              </w:rPr>
            </w:pPr>
          </w:p>
        </w:tc>
        <w:tc>
          <w:tcPr>
            <w:tcW w:w="900" w:type="dxa"/>
            <w:tcBorders>
              <w:left w:val="single" w:color="auto" w:sz="6" w:space="0"/>
            </w:tcBorders>
            <w:vAlign w:val="center"/>
          </w:tcPr>
          <w:p>
            <w:pPr>
              <w:jc w:val="center"/>
              <w:rPr>
                <w:color w:val="000000"/>
                <w:szCs w:val="21"/>
              </w:rPr>
            </w:pPr>
          </w:p>
        </w:tc>
        <w:tc>
          <w:tcPr>
            <w:tcW w:w="1080" w:type="dxa"/>
            <w:tcBorders>
              <w:left w:val="single" w:color="auto" w:sz="6" w:space="0"/>
            </w:tcBorders>
            <w:vAlign w:val="center"/>
          </w:tcPr>
          <w:p>
            <w:pPr>
              <w:jc w:val="center"/>
              <w:rPr>
                <w:color w:val="000000"/>
                <w:szCs w:val="21"/>
              </w:rPr>
            </w:pPr>
          </w:p>
        </w:tc>
        <w:tc>
          <w:tcPr>
            <w:tcW w:w="720" w:type="dxa"/>
            <w:tcBorders>
              <w:right w:val="single" w:color="auto" w:sz="6" w:space="0"/>
            </w:tcBorders>
            <w:vAlign w:val="center"/>
          </w:tcPr>
          <w:p>
            <w:pPr>
              <w:jc w:val="center"/>
              <w:rPr>
                <w:color w:val="000000"/>
                <w:szCs w:val="21"/>
              </w:rPr>
            </w:pPr>
          </w:p>
        </w:tc>
        <w:tc>
          <w:tcPr>
            <w:tcW w:w="1324" w:type="dxa"/>
            <w:tcBorders>
              <w:left w:val="single" w:color="auto" w:sz="6" w:space="0"/>
            </w:tcBorders>
            <w:vAlign w:val="center"/>
          </w:tcPr>
          <w:p>
            <w:pPr>
              <w:jc w:val="center"/>
              <w:rPr>
                <w:color w:val="000000"/>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93" w:hRule="atLeast"/>
          <w:jc w:val="center"/>
        </w:trPr>
        <w:tc>
          <w:tcPr>
            <w:tcW w:w="806" w:type="dxa"/>
            <w:vAlign w:val="center"/>
          </w:tcPr>
          <w:p>
            <w:pPr>
              <w:jc w:val="center"/>
              <w:rPr>
                <w:rFonts w:ascii="黑体" w:eastAsia="黑体"/>
                <w:color w:val="000000"/>
                <w:szCs w:val="21"/>
              </w:rPr>
            </w:pPr>
          </w:p>
        </w:tc>
        <w:tc>
          <w:tcPr>
            <w:tcW w:w="1096" w:type="dxa"/>
            <w:tcBorders>
              <w:right w:val="single" w:color="auto" w:sz="6" w:space="0"/>
            </w:tcBorders>
            <w:vAlign w:val="center"/>
          </w:tcPr>
          <w:p>
            <w:pPr>
              <w:jc w:val="center"/>
              <w:rPr>
                <w:color w:val="000000"/>
                <w:szCs w:val="21"/>
              </w:rPr>
            </w:pPr>
          </w:p>
        </w:tc>
        <w:tc>
          <w:tcPr>
            <w:tcW w:w="1276" w:type="dxa"/>
            <w:tcBorders>
              <w:left w:val="single" w:color="auto" w:sz="6" w:space="0"/>
            </w:tcBorders>
            <w:vAlign w:val="center"/>
          </w:tcPr>
          <w:p>
            <w:pPr>
              <w:jc w:val="center"/>
              <w:rPr>
                <w:color w:val="000000"/>
                <w:szCs w:val="21"/>
              </w:rPr>
            </w:pPr>
          </w:p>
        </w:tc>
        <w:tc>
          <w:tcPr>
            <w:tcW w:w="1020" w:type="dxa"/>
            <w:tcBorders>
              <w:left w:val="single" w:color="auto" w:sz="6" w:space="0"/>
            </w:tcBorders>
            <w:vAlign w:val="center"/>
          </w:tcPr>
          <w:p>
            <w:pPr>
              <w:jc w:val="center"/>
              <w:rPr>
                <w:color w:val="000000"/>
                <w:szCs w:val="21"/>
              </w:rPr>
            </w:pPr>
          </w:p>
        </w:tc>
        <w:tc>
          <w:tcPr>
            <w:tcW w:w="683" w:type="dxa"/>
            <w:tcBorders>
              <w:right w:val="single" w:color="auto" w:sz="6" w:space="0"/>
            </w:tcBorders>
            <w:vAlign w:val="center"/>
          </w:tcPr>
          <w:p>
            <w:pPr>
              <w:jc w:val="center"/>
              <w:rPr>
                <w:color w:val="000000"/>
                <w:szCs w:val="21"/>
              </w:rPr>
            </w:pPr>
          </w:p>
        </w:tc>
        <w:tc>
          <w:tcPr>
            <w:tcW w:w="900" w:type="dxa"/>
            <w:tcBorders>
              <w:left w:val="single" w:color="auto" w:sz="6" w:space="0"/>
            </w:tcBorders>
            <w:vAlign w:val="center"/>
          </w:tcPr>
          <w:p>
            <w:pPr>
              <w:jc w:val="center"/>
              <w:rPr>
                <w:color w:val="000000"/>
                <w:szCs w:val="21"/>
              </w:rPr>
            </w:pPr>
          </w:p>
        </w:tc>
        <w:tc>
          <w:tcPr>
            <w:tcW w:w="1080" w:type="dxa"/>
            <w:tcBorders>
              <w:left w:val="single" w:color="auto" w:sz="6" w:space="0"/>
            </w:tcBorders>
            <w:vAlign w:val="center"/>
          </w:tcPr>
          <w:p>
            <w:pPr>
              <w:jc w:val="center"/>
              <w:rPr>
                <w:color w:val="000000"/>
                <w:szCs w:val="21"/>
              </w:rPr>
            </w:pPr>
          </w:p>
        </w:tc>
        <w:tc>
          <w:tcPr>
            <w:tcW w:w="720" w:type="dxa"/>
            <w:tcBorders>
              <w:right w:val="single" w:color="auto" w:sz="6" w:space="0"/>
            </w:tcBorders>
            <w:vAlign w:val="center"/>
          </w:tcPr>
          <w:p>
            <w:pPr>
              <w:jc w:val="center"/>
              <w:rPr>
                <w:color w:val="000000"/>
                <w:szCs w:val="21"/>
              </w:rPr>
            </w:pPr>
          </w:p>
        </w:tc>
        <w:tc>
          <w:tcPr>
            <w:tcW w:w="1324" w:type="dxa"/>
            <w:tcBorders>
              <w:left w:val="single" w:color="auto" w:sz="6" w:space="0"/>
            </w:tcBorders>
            <w:vAlign w:val="center"/>
          </w:tcPr>
          <w:p>
            <w:pPr>
              <w:jc w:val="center"/>
              <w:rPr>
                <w:color w:val="000000"/>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93" w:hRule="atLeast"/>
          <w:jc w:val="center"/>
        </w:trPr>
        <w:tc>
          <w:tcPr>
            <w:tcW w:w="806" w:type="dxa"/>
            <w:vAlign w:val="center"/>
          </w:tcPr>
          <w:p>
            <w:pPr>
              <w:jc w:val="center"/>
              <w:rPr>
                <w:rFonts w:ascii="黑体" w:eastAsia="黑体"/>
                <w:color w:val="000000"/>
                <w:szCs w:val="21"/>
              </w:rPr>
            </w:pPr>
          </w:p>
        </w:tc>
        <w:tc>
          <w:tcPr>
            <w:tcW w:w="1096" w:type="dxa"/>
            <w:tcBorders>
              <w:right w:val="single" w:color="auto" w:sz="6" w:space="0"/>
            </w:tcBorders>
            <w:vAlign w:val="center"/>
          </w:tcPr>
          <w:p>
            <w:pPr>
              <w:jc w:val="center"/>
              <w:rPr>
                <w:color w:val="000000"/>
                <w:szCs w:val="21"/>
              </w:rPr>
            </w:pPr>
          </w:p>
        </w:tc>
        <w:tc>
          <w:tcPr>
            <w:tcW w:w="1276" w:type="dxa"/>
            <w:tcBorders>
              <w:left w:val="single" w:color="auto" w:sz="6" w:space="0"/>
            </w:tcBorders>
            <w:vAlign w:val="center"/>
          </w:tcPr>
          <w:p>
            <w:pPr>
              <w:jc w:val="center"/>
              <w:rPr>
                <w:color w:val="000000"/>
                <w:szCs w:val="21"/>
              </w:rPr>
            </w:pPr>
          </w:p>
        </w:tc>
        <w:tc>
          <w:tcPr>
            <w:tcW w:w="1020" w:type="dxa"/>
            <w:tcBorders>
              <w:left w:val="single" w:color="auto" w:sz="6" w:space="0"/>
            </w:tcBorders>
            <w:vAlign w:val="center"/>
          </w:tcPr>
          <w:p>
            <w:pPr>
              <w:jc w:val="center"/>
              <w:rPr>
                <w:color w:val="000000"/>
                <w:szCs w:val="21"/>
              </w:rPr>
            </w:pPr>
          </w:p>
        </w:tc>
        <w:tc>
          <w:tcPr>
            <w:tcW w:w="683" w:type="dxa"/>
            <w:tcBorders>
              <w:right w:val="single" w:color="auto" w:sz="6" w:space="0"/>
            </w:tcBorders>
            <w:vAlign w:val="center"/>
          </w:tcPr>
          <w:p>
            <w:pPr>
              <w:jc w:val="center"/>
              <w:rPr>
                <w:color w:val="000000"/>
                <w:szCs w:val="21"/>
              </w:rPr>
            </w:pPr>
          </w:p>
        </w:tc>
        <w:tc>
          <w:tcPr>
            <w:tcW w:w="900" w:type="dxa"/>
            <w:tcBorders>
              <w:left w:val="single" w:color="auto" w:sz="6" w:space="0"/>
            </w:tcBorders>
            <w:vAlign w:val="center"/>
          </w:tcPr>
          <w:p>
            <w:pPr>
              <w:jc w:val="center"/>
              <w:rPr>
                <w:color w:val="000000"/>
                <w:szCs w:val="21"/>
              </w:rPr>
            </w:pPr>
          </w:p>
        </w:tc>
        <w:tc>
          <w:tcPr>
            <w:tcW w:w="1080" w:type="dxa"/>
            <w:tcBorders>
              <w:left w:val="single" w:color="auto" w:sz="6" w:space="0"/>
            </w:tcBorders>
            <w:vAlign w:val="center"/>
          </w:tcPr>
          <w:p>
            <w:pPr>
              <w:jc w:val="center"/>
              <w:rPr>
                <w:color w:val="000000"/>
                <w:szCs w:val="21"/>
              </w:rPr>
            </w:pPr>
          </w:p>
        </w:tc>
        <w:tc>
          <w:tcPr>
            <w:tcW w:w="720" w:type="dxa"/>
            <w:tcBorders>
              <w:right w:val="single" w:color="auto" w:sz="6" w:space="0"/>
            </w:tcBorders>
            <w:vAlign w:val="center"/>
          </w:tcPr>
          <w:p>
            <w:pPr>
              <w:jc w:val="center"/>
              <w:rPr>
                <w:color w:val="000000"/>
                <w:szCs w:val="21"/>
              </w:rPr>
            </w:pPr>
          </w:p>
        </w:tc>
        <w:tc>
          <w:tcPr>
            <w:tcW w:w="1324" w:type="dxa"/>
            <w:tcBorders>
              <w:left w:val="single" w:color="auto" w:sz="6" w:space="0"/>
            </w:tcBorders>
            <w:vAlign w:val="center"/>
          </w:tcPr>
          <w:p>
            <w:pPr>
              <w:jc w:val="center"/>
              <w:rPr>
                <w:color w:val="000000"/>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93" w:hRule="atLeast"/>
          <w:jc w:val="center"/>
        </w:trPr>
        <w:tc>
          <w:tcPr>
            <w:tcW w:w="806" w:type="dxa"/>
            <w:vAlign w:val="center"/>
          </w:tcPr>
          <w:p>
            <w:pPr>
              <w:jc w:val="center"/>
              <w:rPr>
                <w:rFonts w:ascii="黑体" w:eastAsia="黑体"/>
                <w:color w:val="000000"/>
                <w:szCs w:val="21"/>
              </w:rPr>
            </w:pPr>
          </w:p>
        </w:tc>
        <w:tc>
          <w:tcPr>
            <w:tcW w:w="1096" w:type="dxa"/>
            <w:tcBorders>
              <w:right w:val="single" w:color="auto" w:sz="6" w:space="0"/>
            </w:tcBorders>
            <w:vAlign w:val="center"/>
          </w:tcPr>
          <w:p>
            <w:pPr>
              <w:jc w:val="center"/>
              <w:rPr>
                <w:color w:val="000000"/>
                <w:szCs w:val="21"/>
              </w:rPr>
            </w:pPr>
          </w:p>
        </w:tc>
        <w:tc>
          <w:tcPr>
            <w:tcW w:w="1276" w:type="dxa"/>
            <w:tcBorders>
              <w:left w:val="single" w:color="auto" w:sz="6" w:space="0"/>
            </w:tcBorders>
            <w:vAlign w:val="center"/>
          </w:tcPr>
          <w:p>
            <w:pPr>
              <w:jc w:val="center"/>
              <w:rPr>
                <w:color w:val="000000"/>
                <w:szCs w:val="21"/>
              </w:rPr>
            </w:pPr>
          </w:p>
        </w:tc>
        <w:tc>
          <w:tcPr>
            <w:tcW w:w="1020" w:type="dxa"/>
            <w:tcBorders>
              <w:left w:val="single" w:color="auto" w:sz="6" w:space="0"/>
            </w:tcBorders>
            <w:vAlign w:val="center"/>
          </w:tcPr>
          <w:p>
            <w:pPr>
              <w:jc w:val="center"/>
              <w:rPr>
                <w:color w:val="000000"/>
                <w:szCs w:val="21"/>
              </w:rPr>
            </w:pPr>
          </w:p>
        </w:tc>
        <w:tc>
          <w:tcPr>
            <w:tcW w:w="683" w:type="dxa"/>
            <w:tcBorders>
              <w:right w:val="single" w:color="auto" w:sz="6" w:space="0"/>
            </w:tcBorders>
            <w:vAlign w:val="center"/>
          </w:tcPr>
          <w:p>
            <w:pPr>
              <w:jc w:val="center"/>
              <w:rPr>
                <w:color w:val="000000"/>
                <w:szCs w:val="21"/>
              </w:rPr>
            </w:pPr>
          </w:p>
        </w:tc>
        <w:tc>
          <w:tcPr>
            <w:tcW w:w="900" w:type="dxa"/>
            <w:tcBorders>
              <w:left w:val="single" w:color="auto" w:sz="6" w:space="0"/>
            </w:tcBorders>
            <w:vAlign w:val="center"/>
          </w:tcPr>
          <w:p>
            <w:pPr>
              <w:jc w:val="center"/>
              <w:rPr>
                <w:color w:val="000000"/>
                <w:szCs w:val="21"/>
              </w:rPr>
            </w:pPr>
          </w:p>
        </w:tc>
        <w:tc>
          <w:tcPr>
            <w:tcW w:w="1080" w:type="dxa"/>
            <w:tcBorders>
              <w:left w:val="single" w:color="auto" w:sz="6" w:space="0"/>
            </w:tcBorders>
            <w:vAlign w:val="center"/>
          </w:tcPr>
          <w:p>
            <w:pPr>
              <w:jc w:val="center"/>
              <w:rPr>
                <w:color w:val="000000"/>
                <w:szCs w:val="21"/>
              </w:rPr>
            </w:pPr>
          </w:p>
        </w:tc>
        <w:tc>
          <w:tcPr>
            <w:tcW w:w="720" w:type="dxa"/>
            <w:tcBorders>
              <w:right w:val="single" w:color="auto" w:sz="6" w:space="0"/>
            </w:tcBorders>
            <w:vAlign w:val="center"/>
          </w:tcPr>
          <w:p>
            <w:pPr>
              <w:jc w:val="center"/>
              <w:rPr>
                <w:color w:val="000000"/>
                <w:szCs w:val="21"/>
              </w:rPr>
            </w:pPr>
          </w:p>
        </w:tc>
        <w:tc>
          <w:tcPr>
            <w:tcW w:w="1324" w:type="dxa"/>
            <w:tcBorders>
              <w:left w:val="single" w:color="auto" w:sz="6" w:space="0"/>
            </w:tcBorders>
            <w:vAlign w:val="center"/>
          </w:tcPr>
          <w:p>
            <w:pPr>
              <w:jc w:val="center"/>
              <w:rPr>
                <w:color w:val="000000"/>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93" w:hRule="atLeast"/>
          <w:jc w:val="center"/>
        </w:trPr>
        <w:tc>
          <w:tcPr>
            <w:tcW w:w="806" w:type="dxa"/>
            <w:vAlign w:val="center"/>
          </w:tcPr>
          <w:p>
            <w:pPr>
              <w:jc w:val="center"/>
              <w:rPr>
                <w:rFonts w:ascii="黑体" w:eastAsia="黑体"/>
                <w:color w:val="000000"/>
                <w:szCs w:val="21"/>
              </w:rPr>
            </w:pPr>
          </w:p>
        </w:tc>
        <w:tc>
          <w:tcPr>
            <w:tcW w:w="1096" w:type="dxa"/>
            <w:tcBorders>
              <w:right w:val="single" w:color="auto" w:sz="6" w:space="0"/>
            </w:tcBorders>
            <w:vAlign w:val="center"/>
          </w:tcPr>
          <w:p>
            <w:pPr>
              <w:jc w:val="center"/>
              <w:rPr>
                <w:color w:val="000000"/>
                <w:szCs w:val="21"/>
              </w:rPr>
            </w:pPr>
          </w:p>
        </w:tc>
        <w:tc>
          <w:tcPr>
            <w:tcW w:w="1276" w:type="dxa"/>
            <w:tcBorders>
              <w:left w:val="single" w:color="auto" w:sz="6" w:space="0"/>
            </w:tcBorders>
            <w:vAlign w:val="center"/>
          </w:tcPr>
          <w:p>
            <w:pPr>
              <w:jc w:val="center"/>
              <w:rPr>
                <w:color w:val="000000"/>
                <w:szCs w:val="21"/>
              </w:rPr>
            </w:pPr>
          </w:p>
        </w:tc>
        <w:tc>
          <w:tcPr>
            <w:tcW w:w="1020" w:type="dxa"/>
            <w:tcBorders>
              <w:left w:val="single" w:color="auto" w:sz="6" w:space="0"/>
            </w:tcBorders>
            <w:vAlign w:val="center"/>
          </w:tcPr>
          <w:p>
            <w:pPr>
              <w:jc w:val="center"/>
              <w:rPr>
                <w:color w:val="000000"/>
                <w:szCs w:val="21"/>
              </w:rPr>
            </w:pPr>
          </w:p>
        </w:tc>
        <w:tc>
          <w:tcPr>
            <w:tcW w:w="683" w:type="dxa"/>
            <w:tcBorders>
              <w:right w:val="single" w:color="auto" w:sz="6" w:space="0"/>
            </w:tcBorders>
            <w:vAlign w:val="center"/>
          </w:tcPr>
          <w:p>
            <w:pPr>
              <w:jc w:val="center"/>
              <w:rPr>
                <w:color w:val="000000"/>
                <w:szCs w:val="21"/>
              </w:rPr>
            </w:pPr>
          </w:p>
        </w:tc>
        <w:tc>
          <w:tcPr>
            <w:tcW w:w="900" w:type="dxa"/>
            <w:tcBorders>
              <w:left w:val="single" w:color="auto" w:sz="6" w:space="0"/>
            </w:tcBorders>
            <w:vAlign w:val="center"/>
          </w:tcPr>
          <w:p>
            <w:pPr>
              <w:jc w:val="center"/>
              <w:rPr>
                <w:color w:val="000000"/>
                <w:szCs w:val="21"/>
              </w:rPr>
            </w:pPr>
          </w:p>
        </w:tc>
        <w:tc>
          <w:tcPr>
            <w:tcW w:w="1080" w:type="dxa"/>
            <w:tcBorders>
              <w:left w:val="single" w:color="auto" w:sz="6" w:space="0"/>
            </w:tcBorders>
            <w:vAlign w:val="center"/>
          </w:tcPr>
          <w:p>
            <w:pPr>
              <w:jc w:val="center"/>
              <w:rPr>
                <w:color w:val="000000"/>
                <w:szCs w:val="21"/>
              </w:rPr>
            </w:pPr>
          </w:p>
        </w:tc>
        <w:tc>
          <w:tcPr>
            <w:tcW w:w="720" w:type="dxa"/>
            <w:tcBorders>
              <w:right w:val="single" w:color="auto" w:sz="6" w:space="0"/>
            </w:tcBorders>
            <w:vAlign w:val="center"/>
          </w:tcPr>
          <w:p>
            <w:pPr>
              <w:jc w:val="center"/>
              <w:rPr>
                <w:color w:val="000000"/>
                <w:szCs w:val="21"/>
              </w:rPr>
            </w:pPr>
          </w:p>
        </w:tc>
        <w:tc>
          <w:tcPr>
            <w:tcW w:w="1324" w:type="dxa"/>
            <w:tcBorders>
              <w:left w:val="single" w:color="auto" w:sz="6" w:space="0"/>
            </w:tcBorders>
            <w:vAlign w:val="center"/>
          </w:tcPr>
          <w:p>
            <w:pPr>
              <w:jc w:val="center"/>
              <w:rPr>
                <w:color w:val="000000"/>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92" w:hRule="atLeast"/>
          <w:jc w:val="center"/>
        </w:trPr>
        <w:tc>
          <w:tcPr>
            <w:tcW w:w="806" w:type="dxa"/>
            <w:vAlign w:val="center"/>
          </w:tcPr>
          <w:p>
            <w:pPr>
              <w:jc w:val="center"/>
              <w:rPr>
                <w:rFonts w:ascii="黑体" w:eastAsia="黑体"/>
                <w:color w:val="000000"/>
                <w:szCs w:val="21"/>
              </w:rPr>
            </w:pPr>
          </w:p>
        </w:tc>
        <w:tc>
          <w:tcPr>
            <w:tcW w:w="1096" w:type="dxa"/>
            <w:tcBorders>
              <w:right w:val="single" w:color="auto" w:sz="6" w:space="0"/>
            </w:tcBorders>
            <w:vAlign w:val="center"/>
          </w:tcPr>
          <w:p>
            <w:pPr>
              <w:jc w:val="center"/>
              <w:rPr>
                <w:color w:val="000000"/>
                <w:szCs w:val="21"/>
              </w:rPr>
            </w:pPr>
          </w:p>
        </w:tc>
        <w:tc>
          <w:tcPr>
            <w:tcW w:w="1276" w:type="dxa"/>
            <w:tcBorders>
              <w:left w:val="single" w:color="auto" w:sz="6" w:space="0"/>
            </w:tcBorders>
            <w:vAlign w:val="center"/>
          </w:tcPr>
          <w:p>
            <w:pPr>
              <w:jc w:val="center"/>
              <w:rPr>
                <w:color w:val="000000"/>
                <w:szCs w:val="21"/>
              </w:rPr>
            </w:pPr>
          </w:p>
        </w:tc>
        <w:tc>
          <w:tcPr>
            <w:tcW w:w="1020" w:type="dxa"/>
            <w:tcBorders>
              <w:left w:val="single" w:color="auto" w:sz="6" w:space="0"/>
            </w:tcBorders>
            <w:vAlign w:val="center"/>
          </w:tcPr>
          <w:p>
            <w:pPr>
              <w:jc w:val="center"/>
              <w:rPr>
                <w:color w:val="000000"/>
                <w:szCs w:val="21"/>
              </w:rPr>
            </w:pPr>
          </w:p>
        </w:tc>
        <w:tc>
          <w:tcPr>
            <w:tcW w:w="683" w:type="dxa"/>
            <w:tcBorders>
              <w:right w:val="single" w:color="auto" w:sz="6" w:space="0"/>
            </w:tcBorders>
            <w:vAlign w:val="center"/>
          </w:tcPr>
          <w:p>
            <w:pPr>
              <w:jc w:val="center"/>
              <w:rPr>
                <w:color w:val="000000"/>
                <w:szCs w:val="21"/>
              </w:rPr>
            </w:pPr>
          </w:p>
        </w:tc>
        <w:tc>
          <w:tcPr>
            <w:tcW w:w="900" w:type="dxa"/>
            <w:tcBorders>
              <w:left w:val="single" w:color="auto" w:sz="6" w:space="0"/>
            </w:tcBorders>
            <w:vAlign w:val="center"/>
          </w:tcPr>
          <w:p>
            <w:pPr>
              <w:jc w:val="center"/>
              <w:rPr>
                <w:color w:val="000000"/>
                <w:szCs w:val="21"/>
              </w:rPr>
            </w:pPr>
          </w:p>
        </w:tc>
        <w:tc>
          <w:tcPr>
            <w:tcW w:w="1080" w:type="dxa"/>
            <w:tcBorders>
              <w:left w:val="single" w:color="auto" w:sz="6" w:space="0"/>
            </w:tcBorders>
            <w:vAlign w:val="center"/>
          </w:tcPr>
          <w:p>
            <w:pPr>
              <w:jc w:val="center"/>
              <w:rPr>
                <w:color w:val="000000"/>
                <w:szCs w:val="21"/>
              </w:rPr>
            </w:pPr>
          </w:p>
        </w:tc>
        <w:tc>
          <w:tcPr>
            <w:tcW w:w="720" w:type="dxa"/>
            <w:tcBorders>
              <w:right w:val="single" w:color="auto" w:sz="6" w:space="0"/>
            </w:tcBorders>
            <w:vAlign w:val="center"/>
          </w:tcPr>
          <w:p>
            <w:pPr>
              <w:jc w:val="center"/>
              <w:rPr>
                <w:color w:val="000000"/>
                <w:szCs w:val="21"/>
              </w:rPr>
            </w:pPr>
          </w:p>
        </w:tc>
        <w:tc>
          <w:tcPr>
            <w:tcW w:w="1324" w:type="dxa"/>
            <w:tcBorders>
              <w:left w:val="single" w:color="auto" w:sz="6" w:space="0"/>
            </w:tcBorders>
            <w:vAlign w:val="center"/>
          </w:tcPr>
          <w:p>
            <w:pPr>
              <w:jc w:val="center"/>
              <w:rPr>
                <w:color w:val="000000"/>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92" w:hRule="atLeast"/>
          <w:jc w:val="center"/>
        </w:trPr>
        <w:tc>
          <w:tcPr>
            <w:tcW w:w="806" w:type="dxa"/>
            <w:vAlign w:val="center"/>
          </w:tcPr>
          <w:p>
            <w:pPr>
              <w:jc w:val="center"/>
              <w:rPr>
                <w:rFonts w:ascii="黑体" w:eastAsia="黑体"/>
                <w:color w:val="000000"/>
                <w:szCs w:val="21"/>
              </w:rPr>
            </w:pPr>
          </w:p>
        </w:tc>
        <w:tc>
          <w:tcPr>
            <w:tcW w:w="1096" w:type="dxa"/>
            <w:tcBorders>
              <w:right w:val="single" w:color="auto" w:sz="6" w:space="0"/>
            </w:tcBorders>
            <w:vAlign w:val="center"/>
          </w:tcPr>
          <w:p>
            <w:pPr>
              <w:ind w:firstLine="210" w:firstLineChars="100"/>
              <w:jc w:val="center"/>
              <w:rPr>
                <w:color w:val="000000"/>
                <w:szCs w:val="21"/>
              </w:rPr>
            </w:pPr>
          </w:p>
        </w:tc>
        <w:tc>
          <w:tcPr>
            <w:tcW w:w="1276" w:type="dxa"/>
            <w:tcBorders>
              <w:left w:val="single" w:color="auto" w:sz="6" w:space="0"/>
            </w:tcBorders>
            <w:vAlign w:val="center"/>
          </w:tcPr>
          <w:p>
            <w:pPr>
              <w:ind w:firstLine="210" w:firstLineChars="100"/>
              <w:jc w:val="center"/>
              <w:rPr>
                <w:color w:val="000000"/>
                <w:szCs w:val="21"/>
              </w:rPr>
            </w:pPr>
          </w:p>
        </w:tc>
        <w:tc>
          <w:tcPr>
            <w:tcW w:w="1020" w:type="dxa"/>
            <w:tcBorders>
              <w:left w:val="single" w:color="auto" w:sz="6" w:space="0"/>
            </w:tcBorders>
            <w:vAlign w:val="center"/>
          </w:tcPr>
          <w:p>
            <w:pPr>
              <w:ind w:firstLine="210" w:firstLineChars="100"/>
              <w:jc w:val="center"/>
              <w:rPr>
                <w:color w:val="000000"/>
                <w:szCs w:val="21"/>
              </w:rPr>
            </w:pPr>
          </w:p>
        </w:tc>
        <w:tc>
          <w:tcPr>
            <w:tcW w:w="683" w:type="dxa"/>
            <w:tcBorders>
              <w:right w:val="single" w:color="auto" w:sz="6" w:space="0"/>
            </w:tcBorders>
            <w:vAlign w:val="center"/>
          </w:tcPr>
          <w:p>
            <w:pPr>
              <w:jc w:val="center"/>
              <w:rPr>
                <w:color w:val="000000"/>
                <w:szCs w:val="21"/>
              </w:rPr>
            </w:pPr>
          </w:p>
        </w:tc>
        <w:tc>
          <w:tcPr>
            <w:tcW w:w="900" w:type="dxa"/>
            <w:tcBorders>
              <w:left w:val="single" w:color="auto" w:sz="6" w:space="0"/>
            </w:tcBorders>
            <w:vAlign w:val="center"/>
          </w:tcPr>
          <w:p>
            <w:pPr>
              <w:jc w:val="center"/>
              <w:rPr>
                <w:color w:val="000000"/>
                <w:szCs w:val="21"/>
              </w:rPr>
            </w:pPr>
          </w:p>
        </w:tc>
        <w:tc>
          <w:tcPr>
            <w:tcW w:w="1080" w:type="dxa"/>
            <w:tcBorders>
              <w:left w:val="single" w:color="auto" w:sz="6" w:space="0"/>
            </w:tcBorders>
            <w:vAlign w:val="center"/>
          </w:tcPr>
          <w:p>
            <w:pPr>
              <w:jc w:val="center"/>
              <w:rPr>
                <w:color w:val="000000"/>
                <w:szCs w:val="21"/>
              </w:rPr>
            </w:pPr>
          </w:p>
        </w:tc>
        <w:tc>
          <w:tcPr>
            <w:tcW w:w="720" w:type="dxa"/>
            <w:tcBorders>
              <w:right w:val="single" w:color="auto" w:sz="6" w:space="0"/>
            </w:tcBorders>
            <w:vAlign w:val="center"/>
          </w:tcPr>
          <w:p>
            <w:pPr>
              <w:jc w:val="center"/>
              <w:rPr>
                <w:color w:val="000000"/>
                <w:szCs w:val="21"/>
              </w:rPr>
            </w:pPr>
          </w:p>
        </w:tc>
        <w:tc>
          <w:tcPr>
            <w:tcW w:w="1324" w:type="dxa"/>
            <w:tcBorders>
              <w:left w:val="single" w:color="auto" w:sz="6" w:space="0"/>
            </w:tcBorders>
            <w:vAlign w:val="center"/>
          </w:tcPr>
          <w:p>
            <w:pPr>
              <w:jc w:val="center"/>
              <w:rPr>
                <w:color w:val="000000"/>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93" w:hRule="atLeast"/>
          <w:jc w:val="center"/>
        </w:trPr>
        <w:tc>
          <w:tcPr>
            <w:tcW w:w="6861" w:type="dxa"/>
            <w:gridSpan w:val="7"/>
            <w:vAlign w:val="center"/>
          </w:tcPr>
          <w:p>
            <w:pPr>
              <w:jc w:val="center"/>
              <w:rPr>
                <w:color w:val="000000"/>
                <w:szCs w:val="21"/>
              </w:rPr>
            </w:pPr>
            <w:r>
              <w:rPr>
                <w:rFonts w:hint="eastAsia"/>
                <w:color w:val="000000"/>
                <w:szCs w:val="21"/>
              </w:rPr>
              <w:t>本页小计</w:t>
            </w:r>
          </w:p>
        </w:tc>
        <w:tc>
          <w:tcPr>
            <w:tcW w:w="720" w:type="dxa"/>
            <w:tcBorders>
              <w:right w:val="single" w:color="auto" w:sz="6" w:space="0"/>
            </w:tcBorders>
            <w:vAlign w:val="center"/>
          </w:tcPr>
          <w:p>
            <w:pPr>
              <w:jc w:val="center"/>
              <w:rPr>
                <w:color w:val="000000"/>
                <w:szCs w:val="21"/>
              </w:rPr>
            </w:pPr>
          </w:p>
        </w:tc>
        <w:tc>
          <w:tcPr>
            <w:tcW w:w="1324" w:type="dxa"/>
            <w:tcBorders>
              <w:left w:val="single" w:color="auto" w:sz="6" w:space="0"/>
            </w:tcBorders>
            <w:vAlign w:val="center"/>
          </w:tcPr>
          <w:p>
            <w:pPr>
              <w:jc w:val="center"/>
              <w:rPr>
                <w:color w:val="000000"/>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93" w:hRule="atLeast"/>
          <w:jc w:val="center"/>
        </w:trPr>
        <w:tc>
          <w:tcPr>
            <w:tcW w:w="6861" w:type="dxa"/>
            <w:gridSpan w:val="7"/>
            <w:vAlign w:val="center"/>
          </w:tcPr>
          <w:p>
            <w:pPr>
              <w:jc w:val="center"/>
              <w:rPr>
                <w:color w:val="000000"/>
                <w:szCs w:val="21"/>
              </w:rPr>
            </w:pPr>
            <w:r>
              <w:rPr>
                <w:rFonts w:hint="eastAsia"/>
                <w:color w:val="000000"/>
                <w:szCs w:val="21"/>
              </w:rPr>
              <w:t>合计</w:t>
            </w:r>
          </w:p>
        </w:tc>
        <w:tc>
          <w:tcPr>
            <w:tcW w:w="720" w:type="dxa"/>
            <w:tcBorders>
              <w:right w:val="single" w:color="auto" w:sz="6" w:space="0"/>
            </w:tcBorders>
            <w:vAlign w:val="center"/>
          </w:tcPr>
          <w:p>
            <w:pPr>
              <w:jc w:val="center"/>
              <w:rPr>
                <w:color w:val="000000"/>
                <w:szCs w:val="21"/>
              </w:rPr>
            </w:pPr>
          </w:p>
        </w:tc>
        <w:tc>
          <w:tcPr>
            <w:tcW w:w="1324" w:type="dxa"/>
            <w:tcBorders>
              <w:left w:val="single" w:color="auto" w:sz="6" w:space="0"/>
            </w:tcBorders>
            <w:vAlign w:val="center"/>
          </w:tcPr>
          <w:p>
            <w:pPr>
              <w:jc w:val="center"/>
              <w:rPr>
                <w:color w:val="000000"/>
                <w:szCs w:val="21"/>
              </w:rPr>
            </w:pPr>
          </w:p>
        </w:tc>
      </w:tr>
    </w:tbl>
    <w:p>
      <w:pPr>
        <w:rPr>
          <w:rFonts w:ascii="黑体" w:eastAsia="黑体"/>
          <w:color w:val="000000"/>
          <w:sz w:val="24"/>
        </w:rPr>
      </w:pPr>
      <w:r>
        <w:rPr>
          <w:color w:val="000000"/>
        </w:rPr>
        <w:br w:type="page"/>
      </w:r>
      <w:r>
        <w:rPr>
          <w:rFonts w:hint="eastAsia" w:ascii="黑体" w:eastAsia="黑体"/>
          <w:color w:val="000000"/>
          <w:sz w:val="24"/>
        </w:rPr>
        <w:t>4.13综合单价分析表</w:t>
      </w:r>
    </w:p>
    <w:p>
      <w:pPr>
        <w:jc w:val="center"/>
        <w:rPr>
          <w:rFonts w:ascii="黑体" w:eastAsia="黑体"/>
          <w:b/>
          <w:color w:val="000000"/>
          <w:sz w:val="28"/>
          <w:szCs w:val="28"/>
        </w:rPr>
      </w:pPr>
      <w:r>
        <w:rPr>
          <w:rFonts w:hint="eastAsia" w:ascii="黑体" w:eastAsia="黑体"/>
          <w:b/>
          <w:color w:val="000000"/>
          <w:sz w:val="28"/>
          <w:szCs w:val="28"/>
        </w:rPr>
        <w:t>综合单价分析表</w:t>
      </w:r>
    </w:p>
    <w:p>
      <w:pPr>
        <w:rPr>
          <w:color w:val="000000"/>
        </w:rPr>
      </w:pPr>
      <w:r>
        <w:rPr>
          <w:rFonts w:hint="eastAsia"/>
          <w:color w:val="000000"/>
        </w:rPr>
        <w:t>工程名称</w:t>
      </w:r>
      <w:r>
        <w:rPr>
          <w:rFonts w:hint="eastAsia"/>
          <w:color w:val="000000"/>
          <w:lang w:eastAsia="zh-CN"/>
        </w:rPr>
        <w:t>：</w:t>
      </w:r>
      <w:r>
        <w:rPr>
          <w:rFonts w:hint="eastAsia"/>
          <w:color w:val="000000"/>
        </w:rPr>
        <w:t xml:space="preserve">                      标段：第页共页</w:t>
      </w:r>
    </w:p>
    <w:tbl>
      <w:tblPr>
        <w:tblStyle w:val="36"/>
        <w:tblW w:w="10172"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666"/>
        <w:gridCol w:w="377"/>
        <w:gridCol w:w="692"/>
        <w:gridCol w:w="656"/>
        <w:gridCol w:w="637"/>
        <w:gridCol w:w="1024"/>
        <w:gridCol w:w="850"/>
        <w:gridCol w:w="851"/>
        <w:gridCol w:w="875"/>
        <w:gridCol w:w="694"/>
        <w:gridCol w:w="56"/>
        <w:gridCol w:w="113"/>
        <w:gridCol w:w="750"/>
        <w:gridCol w:w="169"/>
        <w:gridCol w:w="750"/>
        <w:gridCol w:w="112"/>
        <w:gridCol w:w="90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511" w:hRule="atLeast"/>
          <w:jc w:val="center"/>
        </w:trPr>
        <w:tc>
          <w:tcPr>
            <w:tcW w:w="1735" w:type="dxa"/>
            <w:gridSpan w:val="3"/>
            <w:tcBorders>
              <w:top w:val="single" w:color="auto" w:sz="6" w:space="0"/>
            </w:tcBorders>
            <w:vAlign w:val="center"/>
          </w:tcPr>
          <w:p>
            <w:pPr>
              <w:rPr>
                <w:color w:val="000000"/>
                <w:sz w:val="20"/>
                <w:szCs w:val="20"/>
              </w:rPr>
            </w:pPr>
            <w:r>
              <w:rPr>
                <w:rFonts w:hint="eastAsia"/>
                <w:color w:val="000000"/>
                <w:sz w:val="20"/>
                <w:szCs w:val="20"/>
              </w:rPr>
              <w:t>项目编码</w:t>
            </w:r>
          </w:p>
        </w:tc>
        <w:tc>
          <w:tcPr>
            <w:tcW w:w="1293" w:type="dxa"/>
            <w:gridSpan w:val="2"/>
            <w:tcBorders>
              <w:left w:val="single" w:color="auto" w:sz="6" w:space="0"/>
            </w:tcBorders>
            <w:vAlign w:val="center"/>
          </w:tcPr>
          <w:p>
            <w:pPr>
              <w:rPr>
                <w:color w:val="000000"/>
                <w:sz w:val="20"/>
                <w:szCs w:val="20"/>
              </w:rPr>
            </w:pPr>
          </w:p>
        </w:tc>
        <w:tc>
          <w:tcPr>
            <w:tcW w:w="1024" w:type="dxa"/>
            <w:tcBorders>
              <w:left w:val="single" w:color="auto" w:sz="6" w:space="0"/>
            </w:tcBorders>
            <w:vAlign w:val="center"/>
          </w:tcPr>
          <w:p>
            <w:pPr>
              <w:rPr>
                <w:color w:val="000000"/>
                <w:sz w:val="20"/>
                <w:szCs w:val="20"/>
              </w:rPr>
            </w:pPr>
            <w:r>
              <w:rPr>
                <w:rFonts w:hint="eastAsia"/>
                <w:color w:val="000000"/>
                <w:sz w:val="20"/>
                <w:szCs w:val="20"/>
              </w:rPr>
              <w:t>项目名称</w:t>
            </w:r>
          </w:p>
        </w:tc>
        <w:tc>
          <w:tcPr>
            <w:tcW w:w="2576" w:type="dxa"/>
            <w:gridSpan w:val="3"/>
            <w:vAlign w:val="center"/>
          </w:tcPr>
          <w:p>
            <w:pPr>
              <w:rPr>
                <w:color w:val="000000"/>
                <w:sz w:val="20"/>
                <w:szCs w:val="20"/>
              </w:rPr>
            </w:pPr>
          </w:p>
        </w:tc>
        <w:tc>
          <w:tcPr>
            <w:tcW w:w="694" w:type="dxa"/>
            <w:tcBorders>
              <w:left w:val="single" w:color="auto" w:sz="6" w:space="0"/>
            </w:tcBorders>
            <w:vAlign w:val="center"/>
          </w:tcPr>
          <w:p>
            <w:pPr>
              <w:rPr>
                <w:color w:val="000000"/>
                <w:sz w:val="20"/>
                <w:szCs w:val="20"/>
              </w:rPr>
            </w:pPr>
            <w:r>
              <w:rPr>
                <w:rFonts w:hint="eastAsia"/>
                <w:color w:val="000000"/>
                <w:sz w:val="20"/>
                <w:szCs w:val="20"/>
              </w:rPr>
              <w:t>计量单位</w:t>
            </w:r>
          </w:p>
        </w:tc>
        <w:tc>
          <w:tcPr>
            <w:tcW w:w="1088" w:type="dxa"/>
            <w:gridSpan w:val="4"/>
            <w:tcBorders>
              <w:left w:val="single" w:color="auto" w:sz="6" w:space="0"/>
            </w:tcBorders>
            <w:vAlign w:val="center"/>
          </w:tcPr>
          <w:p>
            <w:pPr>
              <w:rPr>
                <w:color w:val="000000"/>
                <w:sz w:val="20"/>
                <w:szCs w:val="20"/>
              </w:rPr>
            </w:pPr>
          </w:p>
        </w:tc>
        <w:tc>
          <w:tcPr>
            <w:tcW w:w="862" w:type="dxa"/>
            <w:gridSpan w:val="2"/>
            <w:tcBorders>
              <w:left w:val="single" w:color="auto" w:sz="6" w:space="0"/>
            </w:tcBorders>
            <w:vAlign w:val="center"/>
          </w:tcPr>
          <w:p>
            <w:pPr>
              <w:rPr>
                <w:color w:val="000000"/>
                <w:sz w:val="20"/>
                <w:szCs w:val="20"/>
              </w:rPr>
            </w:pPr>
            <w:r>
              <w:rPr>
                <w:rFonts w:hint="eastAsia"/>
                <w:color w:val="000000"/>
                <w:sz w:val="20"/>
                <w:szCs w:val="20"/>
              </w:rPr>
              <w:t>工程量</w:t>
            </w:r>
          </w:p>
        </w:tc>
        <w:tc>
          <w:tcPr>
            <w:tcW w:w="900" w:type="dxa"/>
            <w:tcBorders>
              <w:left w:val="single" w:color="auto" w:sz="6" w:space="0"/>
            </w:tcBorders>
            <w:vAlign w:val="center"/>
          </w:tcPr>
          <w:p>
            <w:pPr>
              <w:rPr>
                <w:color w:val="000000"/>
                <w:sz w:val="20"/>
                <w:szCs w:val="2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557" w:hRule="atLeast"/>
          <w:jc w:val="center"/>
        </w:trPr>
        <w:tc>
          <w:tcPr>
            <w:tcW w:w="10172" w:type="dxa"/>
            <w:gridSpan w:val="17"/>
            <w:vAlign w:val="center"/>
          </w:tcPr>
          <w:p>
            <w:pPr>
              <w:jc w:val="center"/>
              <w:rPr>
                <w:color w:val="000000"/>
                <w:szCs w:val="21"/>
              </w:rPr>
            </w:pPr>
            <w:r>
              <w:rPr>
                <w:rFonts w:hint="eastAsia"/>
                <w:color w:val="000000"/>
                <w:szCs w:val="21"/>
              </w:rPr>
              <w:t>清单综合单价组成明细</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557" w:hRule="atLeast"/>
          <w:jc w:val="center"/>
        </w:trPr>
        <w:tc>
          <w:tcPr>
            <w:tcW w:w="666" w:type="dxa"/>
            <w:vMerge w:val="restart"/>
            <w:vAlign w:val="center"/>
          </w:tcPr>
          <w:p>
            <w:pPr>
              <w:rPr>
                <w:rFonts w:ascii="宋体" w:hAnsi="宋体"/>
                <w:color w:val="000000"/>
                <w:szCs w:val="21"/>
              </w:rPr>
            </w:pPr>
            <w:r>
              <w:rPr>
                <w:rFonts w:hint="eastAsia" w:ascii="宋体" w:hAnsi="宋体"/>
                <w:color w:val="000000"/>
                <w:szCs w:val="21"/>
              </w:rPr>
              <w:t>定额编号</w:t>
            </w:r>
          </w:p>
        </w:tc>
        <w:tc>
          <w:tcPr>
            <w:tcW w:w="1069" w:type="dxa"/>
            <w:gridSpan w:val="2"/>
            <w:vMerge w:val="restart"/>
            <w:tcBorders>
              <w:right w:val="single" w:color="auto" w:sz="6" w:space="0"/>
            </w:tcBorders>
            <w:vAlign w:val="center"/>
          </w:tcPr>
          <w:p>
            <w:pPr>
              <w:rPr>
                <w:color w:val="000000"/>
                <w:szCs w:val="21"/>
              </w:rPr>
            </w:pPr>
            <w:r>
              <w:rPr>
                <w:rFonts w:hint="eastAsia"/>
                <w:color w:val="000000"/>
                <w:szCs w:val="21"/>
              </w:rPr>
              <w:t>定额项目名称</w:t>
            </w:r>
          </w:p>
        </w:tc>
        <w:tc>
          <w:tcPr>
            <w:tcW w:w="656" w:type="dxa"/>
            <w:vMerge w:val="restart"/>
            <w:tcBorders>
              <w:left w:val="single" w:color="auto" w:sz="6" w:space="0"/>
            </w:tcBorders>
            <w:vAlign w:val="center"/>
          </w:tcPr>
          <w:p>
            <w:pPr>
              <w:rPr>
                <w:color w:val="000000"/>
                <w:szCs w:val="21"/>
              </w:rPr>
            </w:pPr>
            <w:r>
              <w:rPr>
                <w:rFonts w:hint="eastAsia"/>
                <w:color w:val="000000"/>
                <w:szCs w:val="21"/>
              </w:rPr>
              <w:t>定额</w:t>
            </w:r>
          </w:p>
          <w:p>
            <w:pPr>
              <w:rPr>
                <w:color w:val="000000"/>
                <w:szCs w:val="21"/>
              </w:rPr>
            </w:pPr>
            <w:r>
              <w:rPr>
                <w:rFonts w:hint="eastAsia"/>
                <w:color w:val="000000"/>
                <w:szCs w:val="21"/>
              </w:rPr>
              <w:t>单位</w:t>
            </w:r>
          </w:p>
        </w:tc>
        <w:tc>
          <w:tcPr>
            <w:tcW w:w="637" w:type="dxa"/>
            <w:vMerge w:val="restart"/>
            <w:tcBorders>
              <w:left w:val="single" w:color="auto" w:sz="6" w:space="0"/>
            </w:tcBorders>
            <w:vAlign w:val="center"/>
          </w:tcPr>
          <w:p>
            <w:pPr>
              <w:rPr>
                <w:color w:val="000000"/>
                <w:szCs w:val="21"/>
              </w:rPr>
            </w:pPr>
            <w:r>
              <w:rPr>
                <w:rFonts w:hint="eastAsia"/>
                <w:color w:val="000000"/>
                <w:szCs w:val="21"/>
              </w:rPr>
              <w:t>数量</w:t>
            </w:r>
          </w:p>
        </w:tc>
        <w:tc>
          <w:tcPr>
            <w:tcW w:w="3600" w:type="dxa"/>
            <w:gridSpan w:val="4"/>
            <w:tcBorders>
              <w:left w:val="single" w:color="auto" w:sz="6" w:space="0"/>
              <w:right w:val="single" w:color="auto" w:sz="6" w:space="0"/>
            </w:tcBorders>
            <w:vAlign w:val="center"/>
          </w:tcPr>
          <w:p>
            <w:pPr>
              <w:rPr>
                <w:color w:val="000000"/>
                <w:szCs w:val="21"/>
              </w:rPr>
            </w:pPr>
            <w:r>
              <w:rPr>
                <w:rFonts w:hint="eastAsia"/>
                <w:color w:val="000000"/>
                <w:szCs w:val="21"/>
              </w:rPr>
              <w:t>单价</w:t>
            </w:r>
          </w:p>
        </w:tc>
        <w:tc>
          <w:tcPr>
            <w:tcW w:w="3544" w:type="dxa"/>
            <w:gridSpan w:val="8"/>
            <w:tcBorders>
              <w:left w:val="single" w:color="auto" w:sz="6" w:space="0"/>
            </w:tcBorders>
            <w:vAlign w:val="center"/>
          </w:tcPr>
          <w:p>
            <w:pPr>
              <w:rPr>
                <w:color w:val="000000"/>
                <w:szCs w:val="21"/>
              </w:rPr>
            </w:pPr>
            <w:r>
              <w:rPr>
                <w:rFonts w:hint="eastAsia"/>
                <w:color w:val="000000"/>
                <w:szCs w:val="21"/>
              </w:rPr>
              <w:t>合价</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557" w:hRule="atLeast"/>
          <w:jc w:val="center"/>
        </w:trPr>
        <w:tc>
          <w:tcPr>
            <w:tcW w:w="666" w:type="dxa"/>
            <w:vMerge w:val="continue"/>
            <w:vAlign w:val="center"/>
          </w:tcPr>
          <w:p>
            <w:pPr>
              <w:rPr>
                <w:rFonts w:ascii="黑体" w:eastAsia="黑体"/>
                <w:color w:val="000000"/>
                <w:szCs w:val="21"/>
              </w:rPr>
            </w:pPr>
          </w:p>
        </w:tc>
        <w:tc>
          <w:tcPr>
            <w:tcW w:w="1069" w:type="dxa"/>
            <w:gridSpan w:val="2"/>
            <w:vMerge w:val="continue"/>
            <w:tcBorders>
              <w:right w:val="single" w:color="auto" w:sz="6" w:space="0"/>
            </w:tcBorders>
            <w:vAlign w:val="center"/>
          </w:tcPr>
          <w:p>
            <w:pPr>
              <w:rPr>
                <w:color w:val="000000"/>
                <w:szCs w:val="21"/>
              </w:rPr>
            </w:pPr>
          </w:p>
        </w:tc>
        <w:tc>
          <w:tcPr>
            <w:tcW w:w="656" w:type="dxa"/>
            <w:vMerge w:val="continue"/>
            <w:tcBorders>
              <w:left w:val="single" w:color="auto" w:sz="6" w:space="0"/>
            </w:tcBorders>
            <w:vAlign w:val="center"/>
          </w:tcPr>
          <w:p>
            <w:pPr>
              <w:rPr>
                <w:color w:val="000000"/>
                <w:szCs w:val="21"/>
              </w:rPr>
            </w:pPr>
          </w:p>
        </w:tc>
        <w:tc>
          <w:tcPr>
            <w:tcW w:w="637" w:type="dxa"/>
            <w:vMerge w:val="continue"/>
            <w:tcBorders>
              <w:left w:val="single" w:color="auto" w:sz="6" w:space="0"/>
            </w:tcBorders>
            <w:vAlign w:val="center"/>
          </w:tcPr>
          <w:p>
            <w:pPr>
              <w:rPr>
                <w:color w:val="000000"/>
                <w:szCs w:val="21"/>
              </w:rPr>
            </w:pPr>
          </w:p>
        </w:tc>
        <w:tc>
          <w:tcPr>
            <w:tcW w:w="1024" w:type="dxa"/>
            <w:tcBorders>
              <w:left w:val="single" w:color="auto" w:sz="6" w:space="0"/>
            </w:tcBorders>
            <w:vAlign w:val="center"/>
          </w:tcPr>
          <w:p>
            <w:pPr>
              <w:rPr>
                <w:color w:val="000000"/>
                <w:szCs w:val="21"/>
              </w:rPr>
            </w:pPr>
            <w:r>
              <w:rPr>
                <w:rFonts w:hint="eastAsia"/>
                <w:color w:val="000000"/>
                <w:szCs w:val="21"/>
              </w:rPr>
              <w:t>人工费</w:t>
            </w:r>
          </w:p>
        </w:tc>
        <w:tc>
          <w:tcPr>
            <w:tcW w:w="850" w:type="dxa"/>
            <w:tcBorders>
              <w:left w:val="single" w:color="auto" w:sz="6" w:space="0"/>
            </w:tcBorders>
            <w:vAlign w:val="center"/>
          </w:tcPr>
          <w:p>
            <w:pPr>
              <w:rPr>
                <w:color w:val="000000"/>
                <w:szCs w:val="21"/>
              </w:rPr>
            </w:pPr>
            <w:r>
              <w:rPr>
                <w:rFonts w:hint="eastAsia"/>
                <w:color w:val="000000"/>
                <w:szCs w:val="21"/>
              </w:rPr>
              <w:t>材料费</w:t>
            </w:r>
          </w:p>
        </w:tc>
        <w:tc>
          <w:tcPr>
            <w:tcW w:w="851" w:type="dxa"/>
            <w:tcBorders>
              <w:right w:val="single" w:color="auto" w:sz="6" w:space="0"/>
            </w:tcBorders>
            <w:vAlign w:val="center"/>
          </w:tcPr>
          <w:p>
            <w:pPr>
              <w:rPr>
                <w:color w:val="000000"/>
                <w:szCs w:val="21"/>
              </w:rPr>
            </w:pPr>
            <w:r>
              <w:rPr>
                <w:rFonts w:hint="eastAsia"/>
                <w:color w:val="000000"/>
                <w:szCs w:val="21"/>
              </w:rPr>
              <w:t>机械费</w:t>
            </w:r>
          </w:p>
        </w:tc>
        <w:tc>
          <w:tcPr>
            <w:tcW w:w="875" w:type="dxa"/>
            <w:tcBorders>
              <w:right w:val="single" w:color="auto" w:sz="6" w:space="0"/>
            </w:tcBorders>
            <w:vAlign w:val="center"/>
          </w:tcPr>
          <w:p>
            <w:pPr>
              <w:rPr>
                <w:color w:val="000000"/>
                <w:szCs w:val="21"/>
              </w:rPr>
            </w:pPr>
            <w:r>
              <w:rPr>
                <w:rFonts w:hint="eastAsia"/>
                <w:color w:val="000000"/>
                <w:szCs w:val="21"/>
              </w:rPr>
              <w:t>管理费和利润</w:t>
            </w:r>
          </w:p>
        </w:tc>
        <w:tc>
          <w:tcPr>
            <w:tcW w:w="863" w:type="dxa"/>
            <w:gridSpan w:val="3"/>
            <w:tcBorders>
              <w:left w:val="single" w:color="auto" w:sz="6" w:space="0"/>
            </w:tcBorders>
            <w:vAlign w:val="center"/>
          </w:tcPr>
          <w:p>
            <w:pPr>
              <w:rPr>
                <w:color w:val="000000"/>
                <w:szCs w:val="21"/>
              </w:rPr>
            </w:pPr>
            <w:r>
              <w:rPr>
                <w:rFonts w:hint="eastAsia"/>
                <w:color w:val="000000"/>
                <w:szCs w:val="21"/>
              </w:rPr>
              <w:t>人工费</w:t>
            </w:r>
          </w:p>
        </w:tc>
        <w:tc>
          <w:tcPr>
            <w:tcW w:w="919" w:type="dxa"/>
            <w:gridSpan w:val="2"/>
            <w:tcBorders>
              <w:left w:val="single" w:color="auto" w:sz="6" w:space="0"/>
            </w:tcBorders>
            <w:vAlign w:val="center"/>
          </w:tcPr>
          <w:p>
            <w:pPr>
              <w:rPr>
                <w:color w:val="000000"/>
                <w:szCs w:val="21"/>
              </w:rPr>
            </w:pPr>
            <w:r>
              <w:rPr>
                <w:rFonts w:hint="eastAsia"/>
                <w:color w:val="000000"/>
                <w:szCs w:val="21"/>
              </w:rPr>
              <w:t>材料费</w:t>
            </w:r>
          </w:p>
        </w:tc>
        <w:tc>
          <w:tcPr>
            <w:tcW w:w="862" w:type="dxa"/>
            <w:gridSpan w:val="2"/>
            <w:tcBorders>
              <w:right w:val="single" w:color="auto" w:sz="6" w:space="0"/>
            </w:tcBorders>
            <w:vAlign w:val="center"/>
          </w:tcPr>
          <w:p>
            <w:pPr>
              <w:rPr>
                <w:color w:val="000000"/>
                <w:szCs w:val="21"/>
              </w:rPr>
            </w:pPr>
            <w:r>
              <w:rPr>
                <w:rFonts w:hint="eastAsia"/>
                <w:color w:val="000000"/>
                <w:szCs w:val="21"/>
              </w:rPr>
              <w:t>机械费</w:t>
            </w:r>
          </w:p>
        </w:tc>
        <w:tc>
          <w:tcPr>
            <w:tcW w:w="900" w:type="dxa"/>
            <w:tcBorders>
              <w:left w:val="single" w:color="auto" w:sz="6" w:space="0"/>
            </w:tcBorders>
            <w:vAlign w:val="center"/>
          </w:tcPr>
          <w:p>
            <w:pPr>
              <w:rPr>
                <w:color w:val="000000"/>
                <w:szCs w:val="21"/>
              </w:rPr>
            </w:pPr>
            <w:r>
              <w:rPr>
                <w:rFonts w:hint="eastAsia"/>
                <w:color w:val="000000"/>
                <w:szCs w:val="21"/>
              </w:rPr>
              <w:t>管理费和利润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555" w:hRule="atLeast"/>
          <w:jc w:val="center"/>
        </w:trPr>
        <w:tc>
          <w:tcPr>
            <w:tcW w:w="666" w:type="dxa"/>
            <w:vAlign w:val="center"/>
          </w:tcPr>
          <w:p>
            <w:pPr>
              <w:rPr>
                <w:rFonts w:ascii="黑体" w:eastAsia="黑体"/>
                <w:color w:val="000000"/>
                <w:szCs w:val="21"/>
              </w:rPr>
            </w:pPr>
          </w:p>
        </w:tc>
        <w:tc>
          <w:tcPr>
            <w:tcW w:w="1069" w:type="dxa"/>
            <w:gridSpan w:val="2"/>
            <w:tcBorders>
              <w:right w:val="single" w:color="auto" w:sz="6" w:space="0"/>
            </w:tcBorders>
            <w:vAlign w:val="center"/>
          </w:tcPr>
          <w:p>
            <w:pPr>
              <w:rPr>
                <w:color w:val="000000"/>
                <w:szCs w:val="21"/>
              </w:rPr>
            </w:pPr>
          </w:p>
        </w:tc>
        <w:tc>
          <w:tcPr>
            <w:tcW w:w="656" w:type="dxa"/>
            <w:tcBorders>
              <w:left w:val="single" w:color="auto" w:sz="6" w:space="0"/>
            </w:tcBorders>
            <w:vAlign w:val="center"/>
          </w:tcPr>
          <w:p>
            <w:pPr>
              <w:rPr>
                <w:color w:val="000000"/>
                <w:szCs w:val="21"/>
              </w:rPr>
            </w:pPr>
          </w:p>
        </w:tc>
        <w:tc>
          <w:tcPr>
            <w:tcW w:w="637" w:type="dxa"/>
            <w:tcBorders>
              <w:left w:val="single" w:color="auto" w:sz="6" w:space="0"/>
            </w:tcBorders>
            <w:vAlign w:val="center"/>
          </w:tcPr>
          <w:p>
            <w:pPr>
              <w:rPr>
                <w:color w:val="000000"/>
                <w:szCs w:val="21"/>
              </w:rPr>
            </w:pPr>
          </w:p>
        </w:tc>
        <w:tc>
          <w:tcPr>
            <w:tcW w:w="1024" w:type="dxa"/>
            <w:tcBorders>
              <w:left w:val="single" w:color="auto" w:sz="6" w:space="0"/>
            </w:tcBorders>
            <w:vAlign w:val="center"/>
          </w:tcPr>
          <w:p>
            <w:pPr>
              <w:rPr>
                <w:color w:val="000000"/>
                <w:szCs w:val="21"/>
              </w:rPr>
            </w:pPr>
          </w:p>
        </w:tc>
        <w:tc>
          <w:tcPr>
            <w:tcW w:w="850" w:type="dxa"/>
            <w:tcBorders>
              <w:left w:val="single" w:color="auto" w:sz="6" w:space="0"/>
            </w:tcBorders>
            <w:vAlign w:val="center"/>
          </w:tcPr>
          <w:p>
            <w:pPr>
              <w:rPr>
                <w:color w:val="000000"/>
                <w:szCs w:val="21"/>
              </w:rPr>
            </w:pPr>
          </w:p>
        </w:tc>
        <w:tc>
          <w:tcPr>
            <w:tcW w:w="851" w:type="dxa"/>
            <w:tcBorders>
              <w:right w:val="single" w:color="auto" w:sz="6" w:space="0"/>
            </w:tcBorders>
            <w:vAlign w:val="center"/>
          </w:tcPr>
          <w:p>
            <w:pPr>
              <w:rPr>
                <w:color w:val="000000"/>
                <w:szCs w:val="21"/>
              </w:rPr>
            </w:pPr>
          </w:p>
        </w:tc>
        <w:tc>
          <w:tcPr>
            <w:tcW w:w="875" w:type="dxa"/>
            <w:tcBorders>
              <w:right w:val="single" w:color="auto" w:sz="6" w:space="0"/>
            </w:tcBorders>
            <w:vAlign w:val="center"/>
          </w:tcPr>
          <w:p>
            <w:pPr>
              <w:rPr>
                <w:color w:val="000000"/>
                <w:szCs w:val="21"/>
              </w:rPr>
            </w:pPr>
          </w:p>
        </w:tc>
        <w:tc>
          <w:tcPr>
            <w:tcW w:w="863" w:type="dxa"/>
            <w:gridSpan w:val="3"/>
            <w:tcBorders>
              <w:left w:val="single" w:color="auto" w:sz="6" w:space="0"/>
            </w:tcBorders>
            <w:vAlign w:val="center"/>
          </w:tcPr>
          <w:p>
            <w:pPr>
              <w:rPr>
                <w:color w:val="000000"/>
                <w:szCs w:val="21"/>
              </w:rPr>
            </w:pPr>
          </w:p>
        </w:tc>
        <w:tc>
          <w:tcPr>
            <w:tcW w:w="919" w:type="dxa"/>
            <w:gridSpan w:val="2"/>
            <w:tcBorders>
              <w:left w:val="single" w:color="auto" w:sz="6" w:space="0"/>
            </w:tcBorders>
            <w:vAlign w:val="center"/>
          </w:tcPr>
          <w:p>
            <w:pPr>
              <w:rPr>
                <w:color w:val="000000"/>
                <w:szCs w:val="21"/>
              </w:rPr>
            </w:pPr>
          </w:p>
        </w:tc>
        <w:tc>
          <w:tcPr>
            <w:tcW w:w="862" w:type="dxa"/>
            <w:gridSpan w:val="2"/>
            <w:tcBorders>
              <w:right w:val="single" w:color="auto" w:sz="6" w:space="0"/>
            </w:tcBorders>
            <w:vAlign w:val="center"/>
          </w:tcPr>
          <w:p>
            <w:pPr>
              <w:rPr>
                <w:color w:val="000000"/>
                <w:szCs w:val="21"/>
              </w:rPr>
            </w:pPr>
          </w:p>
        </w:tc>
        <w:tc>
          <w:tcPr>
            <w:tcW w:w="900" w:type="dxa"/>
            <w:tcBorders>
              <w:left w:val="single" w:color="auto" w:sz="6" w:space="0"/>
            </w:tcBorders>
            <w:vAlign w:val="center"/>
          </w:tcPr>
          <w:p>
            <w:pPr>
              <w:rPr>
                <w:color w:val="000000"/>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557" w:hRule="atLeast"/>
          <w:jc w:val="center"/>
        </w:trPr>
        <w:tc>
          <w:tcPr>
            <w:tcW w:w="666" w:type="dxa"/>
            <w:vAlign w:val="center"/>
          </w:tcPr>
          <w:p>
            <w:pPr>
              <w:rPr>
                <w:rFonts w:ascii="黑体" w:eastAsia="黑体"/>
                <w:color w:val="000000"/>
                <w:szCs w:val="21"/>
              </w:rPr>
            </w:pPr>
          </w:p>
        </w:tc>
        <w:tc>
          <w:tcPr>
            <w:tcW w:w="1069" w:type="dxa"/>
            <w:gridSpan w:val="2"/>
            <w:tcBorders>
              <w:right w:val="single" w:color="auto" w:sz="6" w:space="0"/>
            </w:tcBorders>
            <w:vAlign w:val="center"/>
          </w:tcPr>
          <w:p>
            <w:pPr>
              <w:rPr>
                <w:color w:val="000000"/>
                <w:szCs w:val="21"/>
              </w:rPr>
            </w:pPr>
          </w:p>
        </w:tc>
        <w:tc>
          <w:tcPr>
            <w:tcW w:w="656" w:type="dxa"/>
            <w:tcBorders>
              <w:left w:val="single" w:color="auto" w:sz="6" w:space="0"/>
            </w:tcBorders>
            <w:vAlign w:val="center"/>
          </w:tcPr>
          <w:p>
            <w:pPr>
              <w:rPr>
                <w:color w:val="000000"/>
                <w:szCs w:val="21"/>
              </w:rPr>
            </w:pPr>
          </w:p>
        </w:tc>
        <w:tc>
          <w:tcPr>
            <w:tcW w:w="637" w:type="dxa"/>
            <w:tcBorders>
              <w:left w:val="single" w:color="auto" w:sz="6" w:space="0"/>
            </w:tcBorders>
            <w:vAlign w:val="center"/>
          </w:tcPr>
          <w:p>
            <w:pPr>
              <w:rPr>
                <w:color w:val="000000"/>
                <w:szCs w:val="21"/>
              </w:rPr>
            </w:pPr>
          </w:p>
        </w:tc>
        <w:tc>
          <w:tcPr>
            <w:tcW w:w="1024" w:type="dxa"/>
            <w:tcBorders>
              <w:left w:val="single" w:color="auto" w:sz="6" w:space="0"/>
            </w:tcBorders>
            <w:vAlign w:val="center"/>
          </w:tcPr>
          <w:p>
            <w:pPr>
              <w:rPr>
                <w:color w:val="000000"/>
                <w:szCs w:val="21"/>
              </w:rPr>
            </w:pPr>
          </w:p>
        </w:tc>
        <w:tc>
          <w:tcPr>
            <w:tcW w:w="850" w:type="dxa"/>
            <w:tcBorders>
              <w:left w:val="single" w:color="auto" w:sz="6" w:space="0"/>
            </w:tcBorders>
            <w:vAlign w:val="center"/>
          </w:tcPr>
          <w:p>
            <w:pPr>
              <w:rPr>
                <w:color w:val="000000"/>
                <w:szCs w:val="21"/>
              </w:rPr>
            </w:pPr>
          </w:p>
        </w:tc>
        <w:tc>
          <w:tcPr>
            <w:tcW w:w="851" w:type="dxa"/>
            <w:tcBorders>
              <w:right w:val="single" w:color="auto" w:sz="6" w:space="0"/>
            </w:tcBorders>
            <w:vAlign w:val="center"/>
          </w:tcPr>
          <w:p>
            <w:pPr>
              <w:rPr>
                <w:color w:val="000000"/>
                <w:szCs w:val="21"/>
              </w:rPr>
            </w:pPr>
          </w:p>
        </w:tc>
        <w:tc>
          <w:tcPr>
            <w:tcW w:w="875" w:type="dxa"/>
            <w:tcBorders>
              <w:right w:val="single" w:color="auto" w:sz="6" w:space="0"/>
            </w:tcBorders>
            <w:vAlign w:val="center"/>
          </w:tcPr>
          <w:p>
            <w:pPr>
              <w:rPr>
                <w:color w:val="000000"/>
                <w:szCs w:val="21"/>
              </w:rPr>
            </w:pPr>
          </w:p>
        </w:tc>
        <w:tc>
          <w:tcPr>
            <w:tcW w:w="863" w:type="dxa"/>
            <w:gridSpan w:val="3"/>
            <w:tcBorders>
              <w:left w:val="single" w:color="auto" w:sz="6" w:space="0"/>
            </w:tcBorders>
            <w:vAlign w:val="center"/>
          </w:tcPr>
          <w:p>
            <w:pPr>
              <w:rPr>
                <w:color w:val="000000"/>
                <w:szCs w:val="21"/>
              </w:rPr>
            </w:pPr>
          </w:p>
        </w:tc>
        <w:tc>
          <w:tcPr>
            <w:tcW w:w="919" w:type="dxa"/>
            <w:gridSpan w:val="2"/>
            <w:tcBorders>
              <w:left w:val="single" w:color="auto" w:sz="6" w:space="0"/>
            </w:tcBorders>
            <w:vAlign w:val="center"/>
          </w:tcPr>
          <w:p>
            <w:pPr>
              <w:rPr>
                <w:color w:val="000000"/>
                <w:szCs w:val="21"/>
              </w:rPr>
            </w:pPr>
          </w:p>
        </w:tc>
        <w:tc>
          <w:tcPr>
            <w:tcW w:w="862" w:type="dxa"/>
            <w:gridSpan w:val="2"/>
            <w:tcBorders>
              <w:right w:val="single" w:color="auto" w:sz="6" w:space="0"/>
            </w:tcBorders>
            <w:vAlign w:val="center"/>
          </w:tcPr>
          <w:p>
            <w:pPr>
              <w:rPr>
                <w:color w:val="000000"/>
                <w:szCs w:val="21"/>
              </w:rPr>
            </w:pPr>
          </w:p>
        </w:tc>
        <w:tc>
          <w:tcPr>
            <w:tcW w:w="900" w:type="dxa"/>
            <w:tcBorders>
              <w:left w:val="single" w:color="auto" w:sz="6" w:space="0"/>
            </w:tcBorders>
            <w:vAlign w:val="center"/>
          </w:tcPr>
          <w:p>
            <w:pPr>
              <w:rPr>
                <w:color w:val="000000"/>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557" w:hRule="atLeast"/>
          <w:jc w:val="center"/>
        </w:trPr>
        <w:tc>
          <w:tcPr>
            <w:tcW w:w="666" w:type="dxa"/>
            <w:vAlign w:val="center"/>
          </w:tcPr>
          <w:p>
            <w:pPr>
              <w:rPr>
                <w:rFonts w:ascii="黑体" w:eastAsia="黑体"/>
                <w:color w:val="000000"/>
                <w:szCs w:val="21"/>
              </w:rPr>
            </w:pPr>
          </w:p>
        </w:tc>
        <w:tc>
          <w:tcPr>
            <w:tcW w:w="1069" w:type="dxa"/>
            <w:gridSpan w:val="2"/>
            <w:tcBorders>
              <w:right w:val="single" w:color="auto" w:sz="6" w:space="0"/>
            </w:tcBorders>
            <w:vAlign w:val="center"/>
          </w:tcPr>
          <w:p>
            <w:pPr>
              <w:rPr>
                <w:color w:val="000000"/>
                <w:szCs w:val="21"/>
              </w:rPr>
            </w:pPr>
          </w:p>
        </w:tc>
        <w:tc>
          <w:tcPr>
            <w:tcW w:w="656" w:type="dxa"/>
            <w:tcBorders>
              <w:left w:val="single" w:color="auto" w:sz="6" w:space="0"/>
            </w:tcBorders>
            <w:vAlign w:val="center"/>
          </w:tcPr>
          <w:p>
            <w:pPr>
              <w:rPr>
                <w:color w:val="000000"/>
                <w:szCs w:val="21"/>
              </w:rPr>
            </w:pPr>
          </w:p>
        </w:tc>
        <w:tc>
          <w:tcPr>
            <w:tcW w:w="637" w:type="dxa"/>
            <w:tcBorders>
              <w:left w:val="single" w:color="auto" w:sz="6" w:space="0"/>
            </w:tcBorders>
            <w:vAlign w:val="center"/>
          </w:tcPr>
          <w:p>
            <w:pPr>
              <w:rPr>
                <w:color w:val="000000"/>
                <w:szCs w:val="21"/>
              </w:rPr>
            </w:pPr>
          </w:p>
        </w:tc>
        <w:tc>
          <w:tcPr>
            <w:tcW w:w="1024" w:type="dxa"/>
            <w:tcBorders>
              <w:left w:val="single" w:color="auto" w:sz="6" w:space="0"/>
            </w:tcBorders>
            <w:vAlign w:val="center"/>
          </w:tcPr>
          <w:p>
            <w:pPr>
              <w:rPr>
                <w:color w:val="000000"/>
                <w:szCs w:val="21"/>
              </w:rPr>
            </w:pPr>
          </w:p>
        </w:tc>
        <w:tc>
          <w:tcPr>
            <w:tcW w:w="850" w:type="dxa"/>
            <w:tcBorders>
              <w:left w:val="single" w:color="auto" w:sz="6" w:space="0"/>
            </w:tcBorders>
            <w:vAlign w:val="center"/>
          </w:tcPr>
          <w:p>
            <w:pPr>
              <w:rPr>
                <w:color w:val="000000"/>
                <w:szCs w:val="21"/>
              </w:rPr>
            </w:pPr>
          </w:p>
        </w:tc>
        <w:tc>
          <w:tcPr>
            <w:tcW w:w="851" w:type="dxa"/>
            <w:tcBorders>
              <w:right w:val="single" w:color="auto" w:sz="6" w:space="0"/>
            </w:tcBorders>
            <w:vAlign w:val="center"/>
          </w:tcPr>
          <w:p>
            <w:pPr>
              <w:rPr>
                <w:color w:val="000000"/>
                <w:szCs w:val="21"/>
              </w:rPr>
            </w:pPr>
          </w:p>
        </w:tc>
        <w:tc>
          <w:tcPr>
            <w:tcW w:w="875" w:type="dxa"/>
            <w:tcBorders>
              <w:right w:val="single" w:color="auto" w:sz="6" w:space="0"/>
            </w:tcBorders>
            <w:vAlign w:val="center"/>
          </w:tcPr>
          <w:p>
            <w:pPr>
              <w:rPr>
                <w:color w:val="000000"/>
                <w:szCs w:val="21"/>
              </w:rPr>
            </w:pPr>
          </w:p>
        </w:tc>
        <w:tc>
          <w:tcPr>
            <w:tcW w:w="863" w:type="dxa"/>
            <w:gridSpan w:val="3"/>
            <w:tcBorders>
              <w:left w:val="single" w:color="auto" w:sz="6" w:space="0"/>
            </w:tcBorders>
            <w:vAlign w:val="center"/>
          </w:tcPr>
          <w:p>
            <w:pPr>
              <w:rPr>
                <w:color w:val="000000"/>
                <w:szCs w:val="21"/>
              </w:rPr>
            </w:pPr>
          </w:p>
        </w:tc>
        <w:tc>
          <w:tcPr>
            <w:tcW w:w="919" w:type="dxa"/>
            <w:gridSpan w:val="2"/>
            <w:tcBorders>
              <w:left w:val="single" w:color="auto" w:sz="6" w:space="0"/>
            </w:tcBorders>
            <w:vAlign w:val="center"/>
          </w:tcPr>
          <w:p>
            <w:pPr>
              <w:rPr>
                <w:color w:val="000000"/>
                <w:szCs w:val="21"/>
              </w:rPr>
            </w:pPr>
          </w:p>
        </w:tc>
        <w:tc>
          <w:tcPr>
            <w:tcW w:w="862" w:type="dxa"/>
            <w:gridSpan w:val="2"/>
            <w:tcBorders>
              <w:right w:val="single" w:color="auto" w:sz="6" w:space="0"/>
            </w:tcBorders>
            <w:vAlign w:val="center"/>
          </w:tcPr>
          <w:p>
            <w:pPr>
              <w:rPr>
                <w:color w:val="000000"/>
                <w:szCs w:val="21"/>
              </w:rPr>
            </w:pPr>
          </w:p>
        </w:tc>
        <w:tc>
          <w:tcPr>
            <w:tcW w:w="900" w:type="dxa"/>
            <w:tcBorders>
              <w:left w:val="single" w:color="auto" w:sz="6" w:space="0"/>
            </w:tcBorders>
            <w:vAlign w:val="center"/>
          </w:tcPr>
          <w:p>
            <w:pPr>
              <w:rPr>
                <w:color w:val="000000"/>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557" w:hRule="atLeast"/>
          <w:jc w:val="center"/>
        </w:trPr>
        <w:tc>
          <w:tcPr>
            <w:tcW w:w="3028" w:type="dxa"/>
            <w:gridSpan w:val="5"/>
            <w:tcBorders>
              <w:right w:val="single" w:color="auto" w:sz="6" w:space="0"/>
            </w:tcBorders>
            <w:vAlign w:val="center"/>
          </w:tcPr>
          <w:p>
            <w:pPr>
              <w:jc w:val="center"/>
              <w:rPr>
                <w:rFonts w:ascii="宋体" w:hAnsi="宋体"/>
                <w:color w:val="000000"/>
                <w:szCs w:val="21"/>
              </w:rPr>
            </w:pPr>
            <w:r>
              <w:rPr>
                <w:rFonts w:hint="eastAsia" w:ascii="宋体" w:hAnsi="宋体"/>
                <w:color w:val="000000"/>
                <w:szCs w:val="21"/>
              </w:rPr>
              <w:t>人工单价</w:t>
            </w:r>
          </w:p>
        </w:tc>
        <w:tc>
          <w:tcPr>
            <w:tcW w:w="3600" w:type="dxa"/>
            <w:gridSpan w:val="4"/>
            <w:tcBorders>
              <w:left w:val="single" w:color="auto" w:sz="6" w:space="0"/>
              <w:right w:val="single" w:color="auto" w:sz="6" w:space="0"/>
            </w:tcBorders>
            <w:vAlign w:val="center"/>
          </w:tcPr>
          <w:p>
            <w:pPr>
              <w:jc w:val="center"/>
              <w:rPr>
                <w:color w:val="000000"/>
                <w:szCs w:val="21"/>
              </w:rPr>
            </w:pPr>
            <w:r>
              <w:rPr>
                <w:rFonts w:hint="eastAsia"/>
                <w:color w:val="000000"/>
                <w:szCs w:val="21"/>
              </w:rPr>
              <w:t>小计</w:t>
            </w:r>
          </w:p>
        </w:tc>
        <w:tc>
          <w:tcPr>
            <w:tcW w:w="863" w:type="dxa"/>
            <w:gridSpan w:val="3"/>
            <w:tcBorders>
              <w:left w:val="single" w:color="auto" w:sz="6" w:space="0"/>
            </w:tcBorders>
            <w:vAlign w:val="center"/>
          </w:tcPr>
          <w:p>
            <w:pPr>
              <w:rPr>
                <w:color w:val="000000"/>
                <w:szCs w:val="21"/>
              </w:rPr>
            </w:pPr>
          </w:p>
        </w:tc>
        <w:tc>
          <w:tcPr>
            <w:tcW w:w="919" w:type="dxa"/>
            <w:gridSpan w:val="2"/>
            <w:tcBorders>
              <w:left w:val="single" w:color="auto" w:sz="6" w:space="0"/>
            </w:tcBorders>
            <w:vAlign w:val="center"/>
          </w:tcPr>
          <w:p>
            <w:pPr>
              <w:rPr>
                <w:color w:val="000000"/>
                <w:szCs w:val="21"/>
              </w:rPr>
            </w:pPr>
          </w:p>
        </w:tc>
        <w:tc>
          <w:tcPr>
            <w:tcW w:w="862" w:type="dxa"/>
            <w:gridSpan w:val="2"/>
            <w:tcBorders>
              <w:left w:val="single" w:color="auto" w:sz="6" w:space="0"/>
            </w:tcBorders>
            <w:vAlign w:val="center"/>
          </w:tcPr>
          <w:p>
            <w:pPr>
              <w:rPr>
                <w:color w:val="000000"/>
                <w:szCs w:val="21"/>
              </w:rPr>
            </w:pPr>
          </w:p>
        </w:tc>
        <w:tc>
          <w:tcPr>
            <w:tcW w:w="900" w:type="dxa"/>
            <w:tcBorders>
              <w:left w:val="single" w:color="auto" w:sz="6" w:space="0"/>
            </w:tcBorders>
            <w:vAlign w:val="center"/>
          </w:tcPr>
          <w:p>
            <w:pPr>
              <w:rPr>
                <w:color w:val="000000"/>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557" w:hRule="atLeast"/>
          <w:jc w:val="center"/>
        </w:trPr>
        <w:tc>
          <w:tcPr>
            <w:tcW w:w="3028" w:type="dxa"/>
            <w:gridSpan w:val="5"/>
            <w:tcBorders>
              <w:right w:val="single" w:color="auto" w:sz="6" w:space="0"/>
            </w:tcBorders>
            <w:vAlign w:val="center"/>
          </w:tcPr>
          <w:p>
            <w:pPr>
              <w:jc w:val="center"/>
              <w:rPr>
                <w:color w:val="000000"/>
                <w:szCs w:val="21"/>
              </w:rPr>
            </w:pPr>
            <w:r>
              <w:rPr>
                <w:rFonts w:hint="eastAsia"/>
                <w:color w:val="000000"/>
                <w:szCs w:val="21"/>
              </w:rPr>
              <w:t>元/工日</w:t>
            </w:r>
          </w:p>
        </w:tc>
        <w:tc>
          <w:tcPr>
            <w:tcW w:w="3600" w:type="dxa"/>
            <w:gridSpan w:val="4"/>
            <w:tcBorders>
              <w:left w:val="single" w:color="auto" w:sz="6" w:space="0"/>
              <w:right w:val="single" w:color="auto" w:sz="6" w:space="0"/>
            </w:tcBorders>
            <w:vAlign w:val="center"/>
          </w:tcPr>
          <w:p>
            <w:pPr>
              <w:jc w:val="center"/>
              <w:rPr>
                <w:color w:val="000000"/>
                <w:szCs w:val="21"/>
              </w:rPr>
            </w:pPr>
            <w:r>
              <w:rPr>
                <w:rFonts w:hint="eastAsia"/>
                <w:color w:val="000000"/>
                <w:szCs w:val="21"/>
              </w:rPr>
              <w:t>未计价材料费</w:t>
            </w:r>
          </w:p>
        </w:tc>
        <w:tc>
          <w:tcPr>
            <w:tcW w:w="3544" w:type="dxa"/>
            <w:gridSpan w:val="8"/>
            <w:tcBorders>
              <w:left w:val="single" w:color="auto" w:sz="6" w:space="0"/>
            </w:tcBorders>
            <w:vAlign w:val="center"/>
          </w:tcPr>
          <w:p>
            <w:pPr>
              <w:rPr>
                <w:color w:val="000000"/>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557" w:hRule="atLeast"/>
          <w:jc w:val="center"/>
        </w:trPr>
        <w:tc>
          <w:tcPr>
            <w:tcW w:w="10172" w:type="dxa"/>
            <w:gridSpan w:val="17"/>
            <w:vAlign w:val="center"/>
          </w:tcPr>
          <w:p>
            <w:pPr>
              <w:rPr>
                <w:color w:val="000000"/>
                <w:szCs w:val="21"/>
              </w:rPr>
            </w:pPr>
            <w:r>
              <w:rPr>
                <w:rFonts w:hint="eastAsia"/>
                <w:color w:val="000000"/>
                <w:szCs w:val="21"/>
              </w:rPr>
              <w:t>清单子目综合单价</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555" w:hRule="atLeast"/>
          <w:jc w:val="center"/>
        </w:trPr>
        <w:tc>
          <w:tcPr>
            <w:tcW w:w="1043" w:type="dxa"/>
            <w:gridSpan w:val="2"/>
            <w:vMerge w:val="restart"/>
            <w:vAlign w:val="center"/>
          </w:tcPr>
          <w:p>
            <w:pPr>
              <w:jc w:val="center"/>
              <w:rPr>
                <w:rFonts w:ascii="宋体" w:hAnsi="宋体"/>
                <w:color w:val="000000"/>
                <w:szCs w:val="21"/>
              </w:rPr>
            </w:pPr>
            <w:r>
              <w:rPr>
                <w:rFonts w:hint="eastAsia" w:ascii="宋体" w:hAnsi="宋体"/>
                <w:color w:val="000000"/>
                <w:szCs w:val="21"/>
              </w:rPr>
              <w:t>材</w:t>
            </w:r>
          </w:p>
          <w:p>
            <w:pPr>
              <w:jc w:val="center"/>
              <w:rPr>
                <w:rFonts w:ascii="宋体" w:hAnsi="宋体"/>
                <w:color w:val="000000"/>
                <w:szCs w:val="21"/>
              </w:rPr>
            </w:pPr>
            <w:r>
              <w:rPr>
                <w:rFonts w:hint="eastAsia" w:ascii="宋体" w:hAnsi="宋体"/>
                <w:color w:val="000000"/>
                <w:szCs w:val="21"/>
              </w:rPr>
              <w:t>料</w:t>
            </w:r>
          </w:p>
          <w:p>
            <w:pPr>
              <w:jc w:val="center"/>
              <w:rPr>
                <w:rFonts w:ascii="宋体" w:hAnsi="宋体"/>
                <w:color w:val="000000"/>
                <w:szCs w:val="21"/>
              </w:rPr>
            </w:pPr>
            <w:r>
              <w:rPr>
                <w:rFonts w:hint="eastAsia" w:ascii="宋体" w:hAnsi="宋体"/>
                <w:color w:val="000000"/>
                <w:szCs w:val="21"/>
              </w:rPr>
              <w:t>费</w:t>
            </w:r>
          </w:p>
          <w:p>
            <w:pPr>
              <w:jc w:val="center"/>
              <w:rPr>
                <w:rFonts w:ascii="宋体" w:hAnsi="宋体"/>
                <w:color w:val="000000"/>
                <w:szCs w:val="21"/>
              </w:rPr>
            </w:pPr>
            <w:r>
              <w:rPr>
                <w:rFonts w:hint="eastAsia" w:ascii="宋体" w:hAnsi="宋体"/>
                <w:color w:val="000000"/>
                <w:szCs w:val="21"/>
              </w:rPr>
              <w:t>明</w:t>
            </w:r>
          </w:p>
          <w:p>
            <w:pPr>
              <w:jc w:val="center"/>
              <w:rPr>
                <w:rFonts w:ascii="黑体" w:eastAsia="黑体"/>
                <w:color w:val="000000"/>
                <w:szCs w:val="21"/>
              </w:rPr>
            </w:pPr>
            <w:r>
              <w:rPr>
                <w:rFonts w:hint="eastAsia" w:ascii="宋体" w:hAnsi="宋体"/>
                <w:color w:val="000000"/>
                <w:szCs w:val="21"/>
              </w:rPr>
              <w:t>细</w:t>
            </w:r>
          </w:p>
        </w:tc>
        <w:tc>
          <w:tcPr>
            <w:tcW w:w="3859" w:type="dxa"/>
            <w:gridSpan w:val="5"/>
            <w:vAlign w:val="center"/>
          </w:tcPr>
          <w:p>
            <w:pPr>
              <w:rPr>
                <w:color w:val="000000"/>
                <w:szCs w:val="21"/>
              </w:rPr>
            </w:pPr>
            <w:r>
              <w:rPr>
                <w:rFonts w:hint="eastAsia"/>
                <w:color w:val="000000"/>
                <w:szCs w:val="21"/>
              </w:rPr>
              <w:t>主要材料名称、规格、型号</w:t>
            </w:r>
          </w:p>
        </w:tc>
        <w:tc>
          <w:tcPr>
            <w:tcW w:w="851" w:type="dxa"/>
            <w:tcBorders>
              <w:left w:val="single" w:color="auto" w:sz="6" w:space="0"/>
            </w:tcBorders>
            <w:vAlign w:val="center"/>
          </w:tcPr>
          <w:p>
            <w:pPr>
              <w:rPr>
                <w:color w:val="000000"/>
                <w:szCs w:val="21"/>
              </w:rPr>
            </w:pPr>
            <w:r>
              <w:rPr>
                <w:rFonts w:hint="eastAsia"/>
                <w:color w:val="000000"/>
                <w:szCs w:val="21"/>
              </w:rPr>
              <w:t>单位</w:t>
            </w:r>
          </w:p>
        </w:tc>
        <w:tc>
          <w:tcPr>
            <w:tcW w:w="875" w:type="dxa"/>
            <w:tcBorders>
              <w:right w:val="single" w:color="auto" w:sz="6" w:space="0"/>
            </w:tcBorders>
            <w:vAlign w:val="center"/>
          </w:tcPr>
          <w:p>
            <w:pPr>
              <w:rPr>
                <w:color w:val="000000"/>
                <w:szCs w:val="21"/>
              </w:rPr>
            </w:pPr>
            <w:r>
              <w:rPr>
                <w:rFonts w:hint="eastAsia"/>
                <w:color w:val="000000"/>
                <w:szCs w:val="21"/>
              </w:rPr>
              <w:t>数量</w:t>
            </w:r>
          </w:p>
        </w:tc>
        <w:tc>
          <w:tcPr>
            <w:tcW w:w="750" w:type="dxa"/>
            <w:gridSpan w:val="2"/>
            <w:tcBorders>
              <w:left w:val="single" w:color="auto" w:sz="6" w:space="0"/>
            </w:tcBorders>
            <w:vAlign w:val="center"/>
          </w:tcPr>
          <w:p>
            <w:pPr>
              <w:rPr>
                <w:color w:val="000000"/>
                <w:szCs w:val="21"/>
              </w:rPr>
            </w:pPr>
            <w:r>
              <w:rPr>
                <w:rFonts w:hint="eastAsia"/>
                <w:color w:val="000000"/>
                <w:szCs w:val="21"/>
              </w:rPr>
              <w:t>单价</w:t>
            </w:r>
            <w:r>
              <w:rPr>
                <w:rFonts w:hint="eastAsia"/>
                <w:color w:val="000000"/>
                <w:szCs w:val="21"/>
                <w:lang w:eastAsia="zh-CN"/>
              </w:rPr>
              <w:t>（</w:t>
            </w:r>
            <w:r>
              <w:rPr>
                <w:rFonts w:hint="eastAsia"/>
                <w:color w:val="000000"/>
                <w:szCs w:val="21"/>
              </w:rPr>
              <w:t>元 )</w:t>
            </w:r>
          </w:p>
        </w:tc>
        <w:tc>
          <w:tcPr>
            <w:tcW w:w="863" w:type="dxa"/>
            <w:gridSpan w:val="2"/>
            <w:tcBorders>
              <w:left w:val="single" w:color="auto" w:sz="6" w:space="0"/>
            </w:tcBorders>
            <w:vAlign w:val="center"/>
          </w:tcPr>
          <w:p>
            <w:pPr>
              <w:rPr>
                <w:color w:val="000000"/>
                <w:szCs w:val="21"/>
              </w:rPr>
            </w:pPr>
            <w:r>
              <w:rPr>
                <w:rFonts w:hint="eastAsia"/>
                <w:color w:val="000000"/>
                <w:szCs w:val="21"/>
              </w:rPr>
              <w:t>合价</w:t>
            </w:r>
            <w:r>
              <w:rPr>
                <w:rFonts w:hint="eastAsia"/>
                <w:color w:val="000000"/>
                <w:szCs w:val="21"/>
                <w:lang w:eastAsia="zh-CN"/>
              </w:rPr>
              <w:t>（</w:t>
            </w:r>
            <w:r>
              <w:rPr>
                <w:rFonts w:hint="eastAsia"/>
                <w:color w:val="000000"/>
                <w:szCs w:val="21"/>
              </w:rPr>
              <w:t>元</w:t>
            </w:r>
            <w:r>
              <w:rPr>
                <w:rFonts w:hint="eastAsia"/>
                <w:color w:val="000000"/>
                <w:szCs w:val="21"/>
                <w:lang w:eastAsia="zh-CN"/>
              </w:rPr>
              <w:t>）</w:t>
            </w:r>
          </w:p>
        </w:tc>
        <w:tc>
          <w:tcPr>
            <w:tcW w:w="919" w:type="dxa"/>
            <w:gridSpan w:val="2"/>
            <w:tcBorders>
              <w:right w:val="single" w:color="auto" w:sz="6" w:space="0"/>
            </w:tcBorders>
            <w:vAlign w:val="center"/>
          </w:tcPr>
          <w:p>
            <w:pPr>
              <w:rPr>
                <w:color w:val="000000"/>
                <w:szCs w:val="21"/>
              </w:rPr>
            </w:pPr>
            <w:r>
              <w:rPr>
                <w:rFonts w:hint="eastAsia"/>
                <w:color w:val="000000"/>
                <w:szCs w:val="21"/>
              </w:rPr>
              <w:t>暂估单价</w:t>
            </w:r>
            <w:r>
              <w:rPr>
                <w:rFonts w:hint="eastAsia"/>
                <w:color w:val="000000"/>
                <w:szCs w:val="21"/>
                <w:lang w:eastAsia="zh-CN"/>
              </w:rPr>
              <w:t>（</w:t>
            </w:r>
            <w:r>
              <w:rPr>
                <w:rFonts w:hint="eastAsia"/>
                <w:color w:val="000000"/>
                <w:szCs w:val="21"/>
              </w:rPr>
              <w:t>元</w:t>
            </w:r>
            <w:r>
              <w:rPr>
                <w:rFonts w:hint="eastAsia"/>
                <w:color w:val="000000"/>
                <w:szCs w:val="21"/>
                <w:lang w:eastAsia="zh-CN"/>
              </w:rPr>
              <w:t>）</w:t>
            </w:r>
          </w:p>
        </w:tc>
        <w:tc>
          <w:tcPr>
            <w:tcW w:w="1012" w:type="dxa"/>
            <w:gridSpan w:val="2"/>
            <w:tcBorders>
              <w:left w:val="single" w:color="auto" w:sz="6" w:space="0"/>
            </w:tcBorders>
            <w:vAlign w:val="center"/>
          </w:tcPr>
          <w:p>
            <w:pPr>
              <w:rPr>
                <w:color w:val="000000"/>
                <w:szCs w:val="21"/>
              </w:rPr>
            </w:pPr>
            <w:r>
              <w:rPr>
                <w:rFonts w:hint="eastAsia"/>
                <w:color w:val="000000"/>
                <w:szCs w:val="21"/>
              </w:rPr>
              <w:t>暂估合价</w:t>
            </w:r>
            <w:r>
              <w:rPr>
                <w:rFonts w:hint="eastAsia"/>
                <w:color w:val="000000"/>
                <w:szCs w:val="21"/>
                <w:lang w:eastAsia="zh-CN"/>
              </w:rPr>
              <w:t>（</w:t>
            </w:r>
            <w:r>
              <w:rPr>
                <w:rFonts w:hint="eastAsia"/>
                <w:color w:val="000000"/>
                <w:szCs w:val="21"/>
              </w:rPr>
              <w:t>元</w:t>
            </w:r>
            <w:r>
              <w:rPr>
                <w:rFonts w:hint="eastAsia"/>
                <w:color w:val="000000"/>
                <w:szCs w:val="21"/>
                <w:lang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97" w:hRule="atLeast"/>
          <w:jc w:val="center"/>
        </w:trPr>
        <w:tc>
          <w:tcPr>
            <w:tcW w:w="1043" w:type="dxa"/>
            <w:gridSpan w:val="2"/>
            <w:vMerge w:val="continue"/>
            <w:vAlign w:val="center"/>
          </w:tcPr>
          <w:p>
            <w:pPr>
              <w:rPr>
                <w:rFonts w:ascii="黑体" w:eastAsia="黑体"/>
                <w:color w:val="000000"/>
                <w:szCs w:val="21"/>
              </w:rPr>
            </w:pPr>
          </w:p>
        </w:tc>
        <w:tc>
          <w:tcPr>
            <w:tcW w:w="3859" w:type="dxa"/>
            <w:gridSpan w:val="5"/>
            <w:vAlign w:val="center"/>
          </w:tcPr>
          <w:p>
            <w:pPr>
              <w:rPr>
                <w:color w:val="000000"/>
                <w:szCs w:val="21"/>
              </w:rPr>
            </w:pPr>
          </w:p>
        </w:tc>
        <w:tc>
          <w:tcPr>
            <w:tcW w:w="851" w:type="dxa"/>
            <w:tcBorders>
              <w:left w:val="single" w:color="auto" w:sz="6" w:space="0"/>
            </w:tcBorders>
            <w:vAlign w:val="center"/>
          </w:tcPr>
          <w:p>
            <w:pPr>
              <w:rPr>
                <w:color w:val="000000"/>
                <w:szCs w:val="21"/>
              </w:rPr>
            </w:pPr>
          </w:p>
        </w:tc>
        <w:tc>
          <w:tcPr>
            <w:tcW w:w="875" w:type="dxa"/>
            <w:tcBorders>
              <w:right w:val="single" w:color="auto" w:sz="6" w:space="0"/>
            </w:tcBorders>
            <w:vAlign w:val="center"/>
          </w:tcPr>
          <w:p>
            <w:pPr>
              <w:rPr>
                <w:color w:val="000000"/>
                <w:szCs w:val="21"/>
              </w:rPr>
            </w:pPr>
          </w:p>
        </w:tc>
        <w:tc>
          <w:tcPr>
            <w:tcW w:w="750" w:type="dxa"/>
            <w:gridSpan w:val="2"/>
            <w:tcBorders>
              <w:left w:val="single" w:color="auto" w:sz="6" w:space="0"/>
            </w:tcBorders>
            <w:vAlign w:val="center"/>
          </w:tcPr>
          <w:p>
            <w:pPr>
              <w:rPr>
                <w:color w:val="000000"/>
                <w:szCs w:val="21"/>
              </w:rPr>
            </w:pPr>
          </w:p>
        </w:tc>
        <w:tc>
          <w:tcPr>
            <w:tcW w:w="863" w:type="dxa"/>
            <w:gridSpan w:val="2"/>
            <w:tcBorders>
              <w:left w:val="single" w:color="auto" w:sz="6" w:space="0"/>
            </w:tcBorders>
            <w:vAlign w:val="center"/>
          </w:tcPr>
          <w:p>
            <w:pPr>
              <w:rPr>
                <w:color w:val="000000"/>
                <w:szCs w:val="21"/>
              </w:rPr>
            </w:pPr>
          </w:p>
        </w:tc>
        <w:tc>
          <w:tcPr>
            <w:tcW w:w="919" w:type="dxa"/>
            <w:gridSpan w:val="2"/>
            <w:tcBorders>
              <w:right w:val="single" w:color="auto" w:sz="6" w:space="0"/>
            </w:tcBorders>
            <w:vAlign w:val="center"/>
          </w:tcPr>
          <w:p>
            <w:pPr>
              <w:rPr>
                <w:color w:val="000000"/>
                <w:szCs w:val="21"/>
              </w:rPr>
            </w:pPr>
          </w:p>
        </w:tc>
        <w:tc>
          <w:tcPr>
            <w:tcW w:w="1012" w:type="dxa"/>
            <w:gridSpan w:val="2"/>
            <w:tcBorders>
              <w:left w:val="single" w:color="auto" w:sz="6" w:space="0"/>
            </w:tcBorders>
            <w:vAlign w:val="center"/>
          </w:tcPr>
          <w:p>
            <w:pPr>
              <w:rPr>
                <w:color w:val="000000"/>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97" w:hRule="atLeast"/>
          <w:jc w:val="center"/>
        </w:trPr>
        <w:tc>
          <w:tcPr>
            <w:tcW w:w="1043" w:type="dxa"/>
            <w:gridSpan w:val="2"/>
            <w:vMerge w:val="continue"/>
            <w:vAlign w:val="center"/>
          </w:tcPr>
          <w:p>
            <w:pPr>
              <w:rPr>
                <w:rFonts w:ascii="黑体" w:eastAsia="黑体"/>
                <w:color w:val="000000"/>
                <w:szCs w:val="21"/>
              </w:rPr>
            </w:pPr>
          </w:p>
        </w:tc>
        <w:tc>
          <w:tcPr>
            <w:tcW w:w="3859" w:type="dxa"/>
            <w:gridSpan w:val="5"/>
            <w:vAlign w:val="center"/>
          </w:tcPr>
          <w:p>
            <w:pPr>
              <w:rPr>
                <w:color w:val="000000"/>
                <w:szCs w:val="21"/>
              </w:rPr>
            </w:pPr>
          </w:p>
        </w:tc>
        <w:tc>
          <w:tcPr>
            <w:tcW w:w="851" w:type="dxa"/>
            <w:tcBorders>
              <w:left w:val="single" w:color="auto" w:sz="6" w:space="0"/>
            </w:tcBorders>
            <w:vAlign w:val="center"/>
          </w:tcPr>
          <w:p>
            <w:pPr>
              <w:rPr>
                <w:color w:val="000000"/>
                <w:szCs w:val="21"/>
              </w:rPr>
            </w:pPr>
          </w:p>
        </w:tc>
        <w:tc>
          <w:tcPr>
            <w:tcW w:w="875" w:type="dxa"/>
            <w:tcBorders>
              <w:right w:val="single" w:color="auto" w:sz="6" w:space="0"/>
            </w:tcBorders>
            <w:vAlign w:val="center"/>
          </w:tcPr>
          <w:p>
            <w:pPr>
              <w:rPr>
                <w:color w:val="000000"/>
                <w:szCs w:val="21"/>
              </w:rPr>
            </w:pPr>
          </w:p>
        </w:tc>
        <w:tc>
          <w:tcPr>
            <w:tcW w:w="750" w:type="dxa"/>
            <w:gridSpan w:val="2"/>
            <w:tcBorders>
              <w:left w:val="single" w:color="auto" w:sz="6" w:space="0"/>
            </w:tcBorders>
            <w:vAlign w:val="center"/>
          </w:tcPr>
          <w:p>
            <w:pPr>
              <w:rPr>
                <w:color w:val="000000"/>
                <w:szCs w:val="21"/>
              </w:rPr>
            </w:pPr>
          </w:p>
        </w:tc>
        <w:tc>
          <w:tcPr>
            <w:tcW w:w="863" w:type="dxa"/>
            <w:gridSpan w:val="2"/>
            <w:tcBorders>
              <w:left w:val="single" w:color="auto" w:sz="6" w:space="0"/>
            </w:tcBorders>
            <w:vAlign w:val="center"/>
          </w:tcPr>
          <w:p>
            <w:pPr>
              <w:rPr>
                <w:color w:val="000000"/>
                <w:szCs w:val="21"/>
              </w:rPr>
            </w:pPr>
          </w:p>
        </w:tc>
        <w:tc>
          <w:tcPr>
            <w:tcW w:w="919" w:type="dxa"/>
            <w:gridSpan w:val="2"/>
            <w:tcBorders>
              <w:right w:val="single" w:color="auto" w:sz="6" w:space="0"/>
            </w:tcBorders>
            <w:vAlign w:val="center"/>
          </w:tcPr>
          <w:p>
            <w:pPr>
              <w:rPr>
                <w:color w:val="000000"/>
                <w:szCs w:val="21"/>
              </w:rPr>
            </w:pPr>
          </w:p>
        </w:tc>
        <w:tc>
          <w:tcPr>
            <w:tcW w:w="1012" w:type="dxa"/>
            <w:gridSpan w:val="2"/>
            <w:tcBorders>
              <w:left w:val="single" w:color="auto" w:sz="6" w:space="0"/>
            </w:tcBorders>
            <w:vAlign w:val="center"/>
          </w:tcPr>
          <w:p>
            <w:pPr>
              <w:rPr>
                <w:color w:val="000000"/>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97" w:hRule="atLeast"/>
          <w:jc w:val="center"/>
        </w:trPr>
        <w:tc>
          <w:tcPr>
            <w:tcW w:w="1043" w:type="dxa"/>
            <w:gridSpan w:val="2"/>
            <w:vMerge w:val="continue"/>
            <w:vAlign w:val="center"/>
          </w:tcPr>
          <w:p>
            <w:pPr>
              <w:rPr>
                <w:rFonts w:ascii="黑体" w:eastAsia="黑体"/>
                <w:color w:val="000000"/>
                <w:szCs w:val="21"/>
              </w:rPr>
            </w:pPr>
          </w:p>
        </w:tc>
        <w:tc>
          <w:tcPr>
            <w:tcW w:w="3859" w:type="dxa"/>
            <w:gridSpan w:val="5"/>
            <w:vAlign w:val="center"/>
          </w:tcPr>
          <w:p>
            <w:pPr>
              <w:rPr>
                <w:color w:val="000000"/>
                <w:szCs w:val="21"/>
              </w:rPr>
            </w:pPr>
          </w:p>
        </w:tc>
        <w:tc>
          <w:tcPr>
            <w:tcW w:w="851" w:type="dxa"/>
            <w:tcBorders>
              <w:left w:val="single" w:color="auto" w:sz="6" w:space="0"/>
            </w:tcBorders>
            <w:vAlign w:val="center"/>
          </w:tcPr>
          <w:p>
            <w:pPr>
              <w:rPr>
                <w:color w:val="000000"/>
                <w:szCs w:val="21"/>
              </w:rPr>
            </w:pPr>
          </w:p>
        </w:tc>
        <w:tc>
          <w:tcPr>
            <w:tcW w:w="875" w:type="dxa"/>
            <w:tcBorders>
              <w:right w:val="single" w:color="auto" w:sz="6" w:space="0"/>
            </w:tcBorders>
            <w:vAlign w:val="center"/>
          </w:tcPr>
          <w:p>
            <w:pPr>
              <w:rPr>
                <w:color w:val="000000"/>
                <w:szCs w:val="21"/>
              </w:rPr>
            </w:pPr>
          </w:p>
        </w:tc>
        <w:tc>
          <w:tcPr>
            <w:tcW w:w="750" w:type="dxa"/>
            <w:gridSpan w:val="2"/>
            <w:tcBorders>
              <w:left w:val="single" w:color="auto" w:sz="6" w:space="0"/>
            </w:tcBorders>
            <w:vAlign w:val="center"/>
          </w:tcPr>
          <w:p>
            <w:pPr>
              <w:rPr>
                <w:color w:val="000000"/>
                <w:szCs w:val="21"/>
              </w:rPr>
            </w:pPr>
          </w:p>
        </w:tc>
        <w:tc>
          <w:tcPr>
            <w:tcW w:w="863" w:type="dxa"/>
            <w:gridSpan w:val="2"/>
            <w:tcBorders>
              <w:left w:val="single" w:color="auto" w:sz="6" w:space="0"/>
            </w:tcBorders>
            <w:vAlign w:val="center"/>
          </w:tcPr>
          <w:p>
            <w:pPr>
              <w:rPr>
                <w:color w:val="000000"/>
                <w:szCs w:val="21"/>
              </w:rPr>
            </w:pPr>
          </w:p>
        </w:tc>
        <w:tc>
          <w:tcPr>
            <w:tcW w:w="919" w:type="dxa"/>
            <w:gridSpan w:val="2"/>
            <w:tcBorders>
              <w:right w:val="single" w:color="auto" w:sz="6" w:space="0"/>
            </w:tcBorders>
            <w:vAlign w:val="center"/>
          </w:tcPr>
          <w:p>
            <w:pPr>
              <w:rPr>
                <w:color w:val="000000"/>
                <w:szCs w:val="21"/>
              </w:rPr>
            </w:pPr>
          </w:p>
        </w:tc>
        <w:tc>
          <w:tcPr>
            <w:tcW w:w="1012" w:type="dxa"/>
            <w:gridSpan w:val="2"/>
            <w:tcBorders>
              <w:left w:val="single" w:color="auto" w:sz="6" w:space="0"/>
            </w:tcBorders>
            <w:vAlign w:val="center"/>
          </w:tcPr>
          <w:p>
            <w:pPr>
              <w:rPr>
                <w:color w:val="000000"/>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97" w:hRule="atLeast"/>
          <w:jc w:val="center"/>
        </w:trPr>
        <w:tc>
          <w:tcPr>
            <w:tcW w:w="1043" w:type="dxa"/>
            <w:gridSpan w:val="2"/>
            <w:vMerge w:val="continue"/>
            <w:vAlign w:val="center"/>
          </w:tcPr>
          <w:p>
            <w:pPr>
              <w:rPr>
                <w:rFonts w:ascii="黑体" w:eastAsia="黑体"/>
                <w:color w:val="000000"/>
                <w:szCs w:val="21"/>
              </w:rPr>
            </w:pPr>
          </w:p>
        </w:tc>
        <w:tc>
          <w:tcPr>
            <w:tcW w:w="3859" w:type="dxa"/>
            <w:gridSpan w:val="5"/>
            <w:vAlign w:val="center"/>
          </w:tcPr>
          <w:p>
            <w:pPr>
              <w:rPr>
                <w:color w:val="000000"/>
                <w:szCs w:val="21"/>
              </w:rPr>
            </w:pPr>
          </w:p>
        </w:tc>
        <w:tc>
          <w:tcPr>
            <w:tcW w:w="851" w:type="dxa"/>
            <w:tcBorders>
              <w:left w:val="single" w:color="auto" w:sz="6" w:space="0"/>
            </w:tcBorders>
            <w:vAlign w:val="center"/>
          </w:tcPr>
          <w:p>
            <w:pPr>
              <w:rPr>
                <w:color w:val="000000"/>
                <w:szCs w:val="21"/>
              </w:rPr>
            </w:pPr>
          </w:p>
        </w:tc>
        <w:tc>
          <w:tcPr>
            <w:tcW w:w="875" w:type="dxa"/>
            <w:tcBorders>
              <w:right w:val="single" w:color="auto" w:sz="6" w:space="0"/>
            </w:tcBorders>
            <w:vAlign w:val="center"/>
          </w:tcPr>
          <w:p>
            <w:pPr>
              <w:rPr>
                <w:color w:val="000000"/>
                <w:szCs w:val="21"/>
              </w:rPr>
            </w:pPr>
          </w:p>
        </w:tc>
        <w:tc>
          <w:tcPr>
            <w:tcW w:w="750" w:type="dxa"/>
            <w:gridSpan w:val="2"/>
            <w:tcBorders>
              <w:left w:val="single" w:color="auto" w:sz="6" w:space="0"/>
            </w:tcBorders>
            <w:vAlign w:val="center"/>
          </w:tcPr>
          <w:p>
            <w:pPr>
              <w:rPr>
                <w:color w:val="000000"/>
                <w:szCs w:val="21"/>
              </w:rPr>
            </w:pPr>
          </w:p>
        </w:tc>
        <w:tc>
          <w:tcPr>
            <w:tcW w:w="863" w:type="dxa"/>
            <w:gridSpan w:val="2"/>
            <w:tcBorders>
              <w:left w:val="single" w:color="auto" w:sz="6" w:space="0"/>
            </w:tcBorders>
            <w:vAlign w:val="center"/>
          </w:tcPr>
          <w:p>
            <w:pPr>
              <w:rPr>
                <w:color w:val="000000"/>
                <w:szCs w:val="21"/>
              </w:rPr>
            </w:pPr>
          </w:p>
        </w:tc>
        <w:tc>
          <w:tcPr>
            <w:tcW w:w="919" w:type="dxa"/>
            <w:gridSpan w:val="2"/>
            <w:tcBorders>
              <w:right w:val="single" w:color="auto" w:sz="6" w:space="0"/>
            </w:tcBorders>
            <w:vAlign w:val="center"/>
          </w:tcPr>
          <w:p>
            <w:pPr>
              <w:rPr>
                <w:color w:val="000000"/>
                <w:szCs w:val="21"/>
              </w:rPr>
            </w:pPr>
          </w:p>
        </w:tc>
        <w:tc>
          <w:tcPr>
            <w:tcW w:w="1012" w:type="dxa"/>
            <w:gridSpan w:val="2"/>
            <w:tcBorders>
              <w:left w:val="single" w:color="auto" w:sz="6" w:space="0"/>
            </w:tcBorders>
            <w:vAlign w:val="center"/>
          </w:tcPr>
          <w:p>
            <w:pPr>
              <w:rPr>
                <w:color w:val="000000"/>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97" w:hRule="atLeast"/>
          <w:jc w:val="center"/>
        </w:trPr>
        <w:tc>
          <w:tcPr>
            <w:tcW w:w="1043" w:type="dxa"/>
            <w:gridSpan w:val="2"/>
            <w:vMerge w:val="continue"/>
            <w:vAlign w:val="center"/>
          </w:tcPr>
          <w:p>
            <w:pPr>
              <w:rPr>
                <w:rFonts w:ascii="黑体" w:eastAsia="黑体"/>
                <w:color w:val="000000"/>
                <w:szCs w:val="21"/>
              </w:rPr>
            </w:pPr>
          </w:p>
        </w:tc>
        <w:tc>
          <w:tcPr>
            <w:tcW w:w="3859" w:type="dxa"/>
            <w:gridSpan w:val="5"/>
            <w:vAlign w:val="center"/>
          </w:tcPr>
          <w:p>
            <w:pPr>
              <w:rPr>
                <w:color w:val="000000"/>
                <w:szCs w:val="21"/>
              </w:rPr>
            </w:pPr>
          </w:p>
        </w:tc>
        <w:tc>
          <w:tcPr>
            <w:tcW w:w="851" w:type="dxa"/>
            <w:tcBorders>
              <w:left w:val="single" w:color="auto" w:sz="6" w:space="0"/>
            </w:tcBorders>
            <w:vAlign w:val="center"/>
          </w:tcPr>
          <w:p>
            <w:pPr>
              <w:rPr>
                <w:color w:val="000000"/>
                <w:szCs w:val="21"/>
              </w:rPr>
            </w:pPr>
          </w:p>
        </w:tc>
        <w:tc>
          <w:tcPr>
            <w:tcW w:w="875" w:type="dxa"/>
            <w:tcBorders>
              <w:right w:val="single" w:color="auto" w:sz="6" w:space="0"/>
            </w:tcBorders>
            <w:vAlign w:val="center"/>
          </w:tcPr>
          <w:p>
            <w:pPr>
              <w:rPr>
                <w:color w:val="000000"/>
                <w:szCs w:val="21"/>
              </w:rPr>
            </w:pPr>
          </w:p>
        </w:tc>
        <w:tc>
          <w:tcPr>
            <w:tcW w:w="750" w:type="dxa"/>
            <w:gridSpan w:val="2"/>
            <w:tcBorders>
              <w:left w:val="single" w:color="auto" w:sz="6" w:space="0"/>
            </w:tcBorders>
            <w:vAlign w:val="center"/>
          </w:tcPr>
          <w:p>
            <w:pPr>
              <w:rPr>
                <w:color w:val="000000"/>
                <w:szCs w:val="21"/>
              </w:rPr>
            </w:pPr>
          </w:p>
        </w:tc>
        <w:tc>
          <w:tcPr>
            <w:tcW w:w="863" w:type="dxa"/>
            <w:gridSpan w:val="2"/>
            <w:tcBorders>
              <w:left w:val="single" w:color="auto" w:sz="6" w:space="0"/>
            </w:tcBorders>
            <w:vAlign w:val="center"/>
          </w:tcPr>
          <w:p>
            <w:pPr>
              <w:rPr>
                <w:color w:val="000000"/>
                <w:szCs w:val="21"/>
              </w:rPr>
            </w:pPr>
          </w:p>
        </w:tc>
        <w:tc>
          <w:tcPr>
            <w:tcW w:w="919" w:type="dxa"/>
            <w:gridSpan w:val="2"/>
            <w:tcBorders>
              <w:right w:val="single" w:color="auto" w:sz="6" w:space="0"/>
            </w:tcBorders>
            <w:vAlign w:val="center"/>
          </w:tcPr>
          <w:p>
            <w:pPr>
              <w:rPr>
                <w:color w:val="000000"/>
                <w:szCs w:val="21"/>
              </w:rPr>
            </w:pPr>
          </w:p>
        </w:tc>
        <w:tc>
          <w:tcPr>
            <w:tcW w:w="1012" w:type="dxa"/>
            <w:gridSpan w:val="2"/>
            <w:tcBorders>
              <w:left w:val="single" w:color="auto" w:sz="6" w:space="0"/>
            </w:tcBorders>
            <w:vAlign w:val="center"/>
          </w:tcPr>
          <w:p>
            <w:pPr>
              <w:rPr>
                <w:color w:val="000000"/>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97" w:hRule="atLeast"/>
          <w:jc w:val="center"/>
        </w:trPr>
        <w:tc>
          <w:tcPr>
            <w:tcW w:w="1043" w:type="dxa"/>
            <w:gridSpan w:val="2"/>
            <w:vMerge w:val="continue"/>
            <w:vAlign w:val="center"/>
          </w:tcPr>
          <w:p>
            <w:pPr>
              <w:rPr>
                <w:rFonts w:ascii="黑体" w:eastAsia="黑体"/>
                <w:color w:val="000000"/>
                <w:szCs w:val="21"/>
              </w:rPr>
            </w:pPr>
          </w:p>
        </w:tc>
        <w:tc>
          <w:tcPr>
            <w:tcW w:w="3859" w:type="dxa"/>
            <w:gridSpan w:val="5"/>
            <w:vAlign w:val="center"/>
          </w:tcPr>
          <w:p>
            <w:pPr>
              <w:rPr>
                <w:color w:val="000000"/>
                <w:szCs w:val="21"/>
              </w:rPr>
            </w:pPr>
          </w:p>
        </w:tc>
        <w:tc>
          <w:tcPr>
            <w:tcW w:w="851" w:type="dxa"/>
            <w:tcBorders>
              <w:left w:val="single" w:color="auto" w:sz="6" w:space="0"/>
            </w:tcBorders>
            <w:vAlign w:val="center"/>
          </w:tcPr>
          <w:p>
            <w:pPr>
              <w:rPr>
                <w:color w:val="000000"/>
                <w:szCs w:val="21"/>
              </w:rPr>
            </w:pPr>
          </w:p>
        </w:tc>
        <w:tc>
          <w:tcPr>
            <w:tcW w:w="875" w:type="dxa"/>
            <w:tcBorders>
              <w:right w:val="single" w:color="auto" w:sz="6" w:space="0"/>
            </w:tcBorders>
            <w:vAlign w:val="center"/>
          </w:tcPr>
          <w:p>
            <w:pPr>
              <w:rPr>
                <w:color w:val="000000"/>
                <w:szCs w:val="21"/>
              </w:rPr>
            </w:pPr>
          </w:p>
        </w:tc>
        <w:tc>
          <w:tcPr>
            <w:tcW w:w="750" w:type="dxa"/>
            <w:gridSpan w:val="2"/>
            <w:tcBorders>
              <w:left w:val="single" w:color="auto" w:sz="6" w:space="0"/>
            </w:tcBorders>
            <w:vAlign w:val="center"/>
          </w:tcPr>
          <w:p>
            <w:pPr>
              <w:rPr>
                <w:color w:val="000000"/>
                <w:szCs w:val="21"/>
              </w:rPr>
            </w:pPr>
          </w:p>
        </w:tc>
        <w:tc>
          <w:tcPr>
            <w:tcW w:w="863" w:type="dxa"/>
            <w:gridSpan w:val="2"/>
            <w:tcBorders>
              <w:left w:val="single" w:color="auto" w:sz="6" w:space="0"/>
            </w:tcBorders>
            <w:vAlign w:val="center"/>
          </w:tcPr>
          <w:p>
            <w:pPr>
              <w:rPr>
                <w:color w:val="000000"/>
                <w:szCs w:val="21"/>
              </w:rPr>
            </w:pPr>
          </w:p>
        </w:tc>
        <w:tc>
          <w:tcPr>
            <w:tcW w:w="919" w:type="dxa"/>
            <w:gridSpan w:val="2"/>
            <w:tcBorders>
              <w:right w:val="single" w:color="auto" w:sz="6" w:space="0"/>
            </w:tcBorders>
            <w:vAlign w:val="center"/>
          </w:tcPr>
          <w:p>
            <w:pPr>
              <w:rPr>
                <w:color w:val="000000"/>
                <w:szCs w:val="21"/>
              </w:rPr>
            </w:pPr>
          </w:p>
        </w:tc>
        <w:tc>
          <w:tcPr>
            <w:tcW w:w="1012" w:type="dxa"/>
            <w:gridSpan w:val="2"/>
            <w:tcBorders>
              <w:left w:val="single" w:color="auto" w:sz="6" w:space="0"/>
            </w:tcBorders>
            <w:vAlign w:val="center"/>
          </w:tcPr>
          <w:p>
            <w:pPr>
              <w:rPr>
                <w:color w:val="000000"/>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524" w:hRule="atLeast"/>
          <w:jc w:val="center"/>
        </w:trPr>
        <w:tc>
          <w:tcPr>
            <w:tcW w:w="1043" w:type="dxa"/>
            <w:gridSpan w:val="2"/>
            <w:vMerge w:val="continue"/>
            <w:vAlign w:val="center"/>
          </w:tcPr>
          <w:p>
            <w:pPr>
              <w:rPr>
                <w:rFonts w:ascii="黑体" w:eastAsia="黑体"/>
                <w:color w:val="000000"/>
                <w:szCs w:val="21"/>
              </w:rPr>
            </w:pPr>
          </w:p>
        </w:tc>
        <w:tc>
          <w:tcPr>
            <w:tcW w:w="3859" w:type="dxa"/>
            <w:gridSpan w:val="5"/>
            <w:vAlign w:val="center"/>
          </w:tcPr>
          <w:p>
            <w:pPr>
              <w:rPr>
                <w:color w:val="000000"/>
                <w:szCs w:val="21"/>
              </w:rPr>
            </w:pPr>
          </w:p>
        </w:tc>
        <w:tc>
          <w:tcPr>
            <w:tcW w:w="851" w:type="dxa"/>
            <w:vAlign w:val="center"/>
          </w:tcPr>
          <w:p>
            <w:pPr>
              <w:rPr>
                <w:color w:val="000000"/>
                <w:szCs w:val="21"/>
              </w:rPr>
            </w:pPr>
          </w:p>
        </w:tc>
        <w:tc>
          <w:tcPr>
            <w:tcW w:w="875" w:type="dxa"/>
            <w:vAlign w:val="center"/>
          </w:tcPr>
          <w:p>
            <w:pPr>
              <w:rPr>
                <w:color w:val="000000"/>
                <w:szCs w:val="21"/>
              </w:rPr>
            </w:pPr>
          </w:p>
        </w:tc>
        <w:tc>
          <w:tcPr>
            <w:tcW w:w="750" w:type="dxa"/>
            <w:gridSpan w:val="2"/>
            <w:vAlign w:val="center"/>
          </w:tcPr>
          <w:p>
            <w:pPr>
              <w:rPr>
                <w:color w:val="000000"/>
                <w:szCs w:val="21"/>
              </w:rPr>
            </w:pPr>
          </w:p>
        </w:tc>
        <w:tc>
          <w:tcPr>
            <w:tcW w:w="863" w:type="dxa"/>
            <w:gridSpan w:val="2"/>
            <w:vAlign w:val="center"/>
          </w:tcPr>
          <w:p>
            <w:pPr>
              <w:rPr>
                <w:color w:val="000000"/>
                <w:szCs w:val="21"/>
              </w:rPr>
            </w:pPr>
          </w:p>
        </w:tc>
        <w:tc>
          <w:tcPr>
            <w:tcW w:w="919" w:type="dxa"/>
            <w:gridSpan w:val="2"/>
            <w:vAlign w:val="center"/>
          </w:tcPr>
          <w:p>
            <w:pPr>
              <w:rPr>
                <w:color w:val="000000"/>
                <w:szCs w:val="21"/>
              </w:rPr>
            </w:pPr>
          </w:p>
        </w:tc>
        <w:tc>
          <w:tcPr>
            <w:tcW w:w="1012" w:type="dxa"/>
            <w:gridSpan w:val="2"/>
            <w:vAlign w:val="center"/>
          </w:tcPr>
          <w:p>
            <w:pPr>
              <w:rPr>
                <w:color w:val="000000"/>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97" w:hRule="atLeast"/>
          <w:jc w:val="center"/>
        </w:trPr>
        <w:tc>
          <w:tcPr>
            <w:tcW w:w="1043" w:type="dxa"/>
            <w:gridSpan w:val="2"/>
            <w:vMerge w:val="continue"/>
            <w:vAlign w:val="center"/>
          </w:tcPr>
          <w:p>
            <w:pPr>
              <w:rPr>
                <w:rFonts w:ascii="黑体" w:eastAsia="黑体"/>
                <w:color w:val="000000"/>
                <w:szCs w:val="21"/>
              </w:rPr>
            </w:pPr>
          </w:p>
        </w:tc>
        <w:tc>
          <w:tcPr>
            <w:tcW w:w="3859" w:type="dxa"/>
            <w:gridSpan w:val="5"/>
            <w:vAlign w:val="center"/>
          </w:tcPr>
          <w:p>
            <w:pPr>
              <w:rPr>
                <w:color w:val="000000"/>
                <w:szCs w:val="21"/>
              </w:rPr>
            </w:pPr>
          </w:p>
        </w:tc>
        <w:tc>
          <w:tcPr>
            <w:tcW w:w="851" w:type="dxa"/>
            <w:tcBorders>
              <w:left w:val="single" w:color="auto" w:sz="6" w:space="0"/>
            </w:tcBorders>
            <w:vAlign w:val="center"/>
          </w:tcPr>
          <w:p>
            <w:pPr>
              <w:rPr>
                <w:color w:val="000000"/>
                <w:szCs w:val="21"/>
              </w:rPr>
            </w:pPr>
          </w:p>
        </w:tc>
        <w:tc>
          <w:tcPr>
            <w:tcW w:w="875" w:type="dxa"/>
            <w:tcBorders>
              <w:right w:val="single" w:color="auto" w:sz="6" w:space="0"/>
            </w:tcBorders>
            <w:vAlign w:val="center"/>
          </w:tcPr>
          <w:p>
            <w:pPr>
              <w:rPr>
                <w:color w:val="000000"/>
                <w:szCs w:val="21"/>
              </w:rPr>
            </w:pPr>
          </w:p>
        </w:tc>
        <w:tc>
          <w:tcPr>
            <w:tcW w:w="750" w:type="dxa"/>
            <w:gridSpan w:val="2"/>
            <w:tcBorders>
              <w:left w:val="single" w:color="auto" w:sz="6" w:space="0"/>
            </w:tcBorders>
            <w:vAlign w:val="center"/>
          </w:tcPr>
          <w:p>
            <w:pPr>
              <w:rPr>
                <w:color w:val="000000"/>
                <w:szCs w:val="21"/>
              </w:rPr>
            </w:pPr>
          </w:p>
        </w:tc>
        <w:tc>
          <w:tcPr>
            <w:tcW w:w="863" w:type="dxa"/>
            <w:gridSpan w:val="2"/>
            <w:tcBorders>
              <w:left w:val="single" w:color="auto" w:sz="6" w:space="0"/>
            </w:tcBorders>
            <w:vAlign w:val="center"/>
          </w:tcPr>
          <w:p>
            <w:pPr>
              <w:rPr>
                <w:color w:val="000000"/>
                <w:szCs w:val="21"/>
              </w:rPr>
            </w:pPr>
          </w:p>
        </w:tc>
        <w:tc>
          <w:tcPr>
            <w:tcW w:w="919" w:type="dxa"/>
            <w:gridSpan w:val="2"/>
            <w:tcBorders>
              <w:right w:val="single" w:color="auto" w:sz="6" w:space="0"/>
            </w:tcBorders>
            <w:vAlign w:val="center"/>
          </w:tcPr>
          <w:p>
            <w:pPr>
              <w:rPr>
                <w:color w:val="000000"/>
                <w:szCs w:val="21"/>
              </w:rPr>
            </w:pPr>
          </w:p>
        </w:tc>
        <w:tc>
          <w:tcPr>
            <w:tcW w:w="1012" w:type="dxa"/>
            <w:gridSpan w:val="2"/>
            <w:tcBorders>
              <w:left w:val="single" w:color="auto" w:sz="6" w:space="0"/>
            </w:tcBorders>
            <w:vAlign w:val="center"/>
          </w:tcPr>
          <w:p>
            <w:pPr>
              <w:rPr>
                <w:color w:val="000000"/>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97" w:hRule="atLeast"/>
          <w:jc w:val="center"/>
        </w:trPr>
        <w:tc>
          <w:tcPr>
            <w:tcW w:w="1043" w:type="dxa"/>
            <w:gridSpan w:val="2"/>
            <w:vMerge w:val="continue"/>
            <w:vAlign w:val="center"/>
          </w:tcPr>
          <w:p>
            <w:pPr>
              <w:rPr>
                <w:rFonts w:ascii="黑体" w:eastAsia="黑体"/>
                <w:color w:val="000000"/>
                <w:szCs w:val="21"/>
              </w:rPr>
            </w:pPr>
          </w:p>
        </w:tc>
        <w:tc>
          <w:tcPr>
            <w:tcW w:w="3859" w:type="dxa"/>
            <w:gridSpan w:val="5"/>
            <w:vAlign w:val="center"/>
          </w:tcPr>
          <w:p>
            <w:pPr>
              <w:rPr>
                <w:color w:val="000000"/>
                <w:szCs w:val="21"/>
              </w:rPr>
            </w:pPr>
          </w:p>
        </w:tc>
        <w:tc>
          <w:tcPr>
            <w:tcW w:w="851" w:type="dxa"/>
            <w:tcBorders>
              <w:left w:val="single" w:color="auto" w:sz="6" w:space="0"/>
            </w:tcBorders>
            <w:vAlign w:val="center"/>
          </w:tcPr>
          <w:p>
            <w:pPr>
              <w:rPr>
                <w:color w:val="000000"/>
                <w:szCs w:val="21"/>
              </w:rPr>
            </w:pPr>
          </w:p>
        </w:tc>
        <w:tc>
          <w:tcPr>
            <w:tcW w:w="875" w:type="dxa"/>
            <w:tcBorders>
              <w:right w:val="single" w:color="auto" w:sz="6" w:space="0"/>
            </w:tcBorders>
            <w:vAlign w:val="center"/>
          </w:tcPr>
          <w:p>
            <w:pPr>
              <w:rPr>
                <w:color w:val="000000"/>
                <w:szCs w:val="21"/>
              </w:rPr>
            </w:pPr>
          </w:p>
        </w:tc>
        <w:tc>
          <w:tcPr>
            <w:tcW w:w="750" w:type="dxa"/>
            <w:gridSpan w:val="2"/>
            <w:tcBorders>
              <w:left w:val="single" w:color="auto" w:sz="6" w:space="0"/>
            </w:tcBorders>
            <w:vAlign w:val="center"/>
          </w:tcPr>
          <w:p>
            <w:pPr>
              <w:rPr>
                <w:color w:val="000000"/>
                <w:szCs w:val="21"/>
              </w:rPr>
            </w:pPr>
          </w:p>
        </w:tc>
        <w:tc>
          <w:tcPr>
            <w:tcW w:w="863" w:type="dxa"/>
            <w:gridSpan w:val="2"/>
            <w:tcBorders>
              <w:left w:val="single" w:color="auto" w:sz="6" w:space="0"/>
            </w:tcBorders>
            <w:vAlign w:val="center"/>
          </w:tcPr>
          <w:p>
            <w:pPr>
              <w:rPr>
                <w:color w:val="000000"/>
                <w:szCs w:val="21"/>
              </w:rPr>
            </w:pPr>
          </w:p>
        </w:tc>
        <w:tc>
          <w:tcPr>
            <w:tcW w:w="919" w:type="dxa"/>
            <w:gridSpan w:val="2"/>
            <w:tcBorders>
              <w:right w:val="single" w:color="auto" w:sz="6" w:space="0"/>
            </w:tcBorders>
            <w:vAlign w:val="center"/>
          </w:tcPr>
          <w:p>
            <w:pPr>
              <w:rPr>
                <w:color w:val="000000"/>
                <w:szCs w:val="21"/>
              </w:rPr>
            </w:pPr>
          </w:p>
        </w:tc>
        <w:tc>
          <w:tcPr>
            <w:tcW w:w="1012" w:type="dxa"/>
            <w:gridSpan w:val="2"/>
            <w:tcBorders>
              <w:left w:val="single" w:color="auto" w:sz="6" w:space="0"/>
            </w:tcBorders>
            <w:vAlign w:val="center"/>
          </w:tcPr>
          <w:p>
            <w:pPr>
              <w:rPr>
                <w:color w:val="000000"/>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557" w:hRule="atLeast"/>
          <w:jc w:val="center"/>
        </w:trPr>
        <w:tc>
          <w:tcPr>
            <w:tcW w:w="1043" w:type="dxa"/>
            <w:gridSpan w:val="2"/>
            <w:vMerge w:val="continue"/>
            <w:vAlign w:val="center"/>
          </w:tcPr>
          <w:p>
            <w:pPr>
              <w:rPr>
                <w:color w:val="000000"/>
                <w:szCs w:val="21"/>
              </w:rPr>
            </w:pPr>
          </w:p>
        </w:tc>
        <w:tc>
          <w:tcPr>
            <w:tcW w:w="5585" w:type="dxa"/>
            <w:gridSpan w:val="7"/>
            <w:tcBorders>
              <w:right w:val="single" w:color="auto" w:sz="6" w:space="0"/>
            </w:tcBorders>
            <w:vAlign w:val="center"/>
          </w:tcPr>
          <w:p>
            <w:pPr>
              <w:jc w:val="center"/>
              <w:rPr>
                <w:color w:val="000000"/>
                <w:szCs w:val="21"/>
              </w:rPr>
            </w:pPr>
            <w:r>
              <w:rPr>
                <w:rFonts w:hint="eastAsia"/>
                <w:color w:val="000000"/>
                <w:szCs w:val="21"/>
              </w:rPr>
              <w:t>其他材料费</w:t>
            </w:r>
          </w:p>
        </w:tc>
        <w:tc>
          <w:tcPr>
            <w:tcW w:w="750" w:type="dxa"/>
            <w:gridSpan w:val="2"/>
            <w:tcBorders>
              <w:left w:val="single" w:color="auto" w:sz="6" w:space="0"/>
            </w:tcBorders>
            <w:vAlign w:val="center"/>
          </w:tcPr>
          <w:p>
            <w:pPr>
              <w:rPr>
                <w:color w:val="000000"/>
                <w:szCs w:val="21"/>
              </w:rPr>
            </w:pPr>
          </w:p>
        </w:tc>
        <w:tc>
          <w:tcPr>
            <w:tcW w:w="863" w:type="dxa"/>
            <w:gridSpan w:val="2"/>
            <w:tcBorders>
              <w:left w:val="single" w:color="auto" w:sz="6" w:space="0"/>
            </w:tcBorders>
            <w:vAlign w:val="center"/>
          </w:tcPr>
          <w:p>
            <w:pPr>
              <w:rPr>
                <w:color w:val="000000"/>
                <w:szCs w:val="21"/>
              </w:rPr>
            </w:pPr>
          </w:p>
        </w:tc>
        <w:tc>
          <w:tcPr>
            <w:tcW w:w="919" w:type="dxa"/>
            <w:gridSpan w:val="2"/>
            <w:tcBorders>
              <w:right w:val="single" w:color="auto" w:sz="6" w:space="0"/>
            </w:tcBorders>
            <w:vAlign w:val="center"/>
          </w:tcPr>
          <w:p>
            <w:pPr>
              <w:rPr>
                <w:color w:val="000000"/>
                <w:szCs w:val="21"/>
              </w:rPr>
            </w:pPr>
          </w:p>
        </w:tc>
        <w:tc>
          <w:tcPr>
            <w:tcW w:w="1012" w:type="dxa"/>
            <w:gridSpan w:val="2"/>
            <w:tcBorders>
              <w:left w:val="single" w:color="auto" w:sz="6" w:space="0"/>
            </w:tcBorders>
            <w:vAlign w:val="center"/>
          </w:tcPr>
          <w:p>
            <w:pPr>
              <w:rPr>
                <w:color w:val="000000"/>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557" w:hRule="atLeast"/>
          <w:jc w:val="center"/>
        </w:trPr>
        <w:tc>
          <w:tcPr>
            <w:tcW w:w="1043" w:type="dxa"/>
            <w:gridSpan w:val="2"/>
            <w:vMerge w:val="continue"/>
            <w:vAlign w:val="center"/>
          </w:tcPr>
          <w:p>
            <w:pPr>
              <w:rPr>
                <w:color w:val="000000"/>
                <w:szCs w:val="21"/>
              </w:rPr>
            </w:pPr>
          </w:p>
        </w:tc>
        <w:tc>
          <w:tcPr>
            <w:tcW w:w="5585" w:type="dxa"/>
            <w:gridSpan w:val="7"/>
            <w:tcBorders>
              <w:right w:val="single" w:color="auto" w:sz="6" w:space="0"/>
            </w:tcBorders>
            <w:vAlign w:val="center"/>
          </w:tcPr>
          <w:p>
            <w:pPr>
              <w:jc w:val="center"/>
              <w:rPr>
                <w:color w:val="000000"/>
                <w:szCs w:val="21"/>
              </w:rPr>
            </w:pPr>
            <w:r>
              <w:rPr>
                <w:rFonts w:hint="eastAsia"/>
                <w:color w:val="000000"/>
                <w:szCs w:val="21"/>
              </w:rPr>
              <w:t>材料费小计</w:t>
            </w:r>
          </w:p>
        </w:tc>
        <w:tc>
          <w:tcPr>
            <w:tcW w:w="750" w:type="dxa"/>
            <w:gridSpan w:val="2"/>
            <w:tcBorders>
              <w:left w:val="single" w:color="auto" w:sz="6" w:space="0"/>
            </w:tcBorders>
            <w:vAlign w:val="center"/>
          </w:tcPr>
          <w:p>
            <w:pPr>
              <w:rPr>
                <w:color w:val="000000"/>
                <w:szCs w:val="21"/>
              </w:rPr>
            </w:pPr>
          </w:p>
        </w:tc>
        <w:tc>
          <w:tcPr>
            <w:tcW w:w="863" w:type="dxa"/>
            <w:gridSpan w:val="2"/>
            <w:tcBorders>
              <w:left w:val="single" w:color="auto" w:sz="6" w:space="0"/>
            </w:tcBorders>
            <w:vAlign w:val="center"/>
          </w:tcPr>
          <w:p>
            <w:pPr>
              <w:rPr>
                <w:color w:val="000000"/>
                <w:szCs w:val="21"/>
              </w:rPr>
            </w:pPr>
          </w:p>
        </w:tc>
        <w:tc>
          <w:tcPr>
            <w:tcW w:w="919" w:type="dxa"/>
            <w:gridSpan w:val="2"/>
            <w:tcBorders>
              <w:right w:val="single" w:color="auto" w:sz="6" w:space="0"/>
            </w:tcBorders>
            <w:vAlign w:val="center"/>
          </w:tcPr>
          <w:p>
            <w:pPr>
              <w:rPr>
                <w:color w:val="000000"/>
                <w:szCs w:val="21"/>
              </w:rPr>
            </w:pPr>
          </w:p>
        </w:tc>
        <w:tc>
          <w:tcPr>
            <w:tcW w:w="1012" w:type="dxa"/>
            <w:gridSpan w:val="2"/>
            <w:tcBorders>
              <w:left w:val="single" w:color="auto" w:sz="6" w:space="0"/>
            </w:tcBorders>
            <w:vAlign w:val="center"/>
          </w:tcPr>
          <w:p>
            <w:pPr>
              <w:rPr>
                <w:color w:val="000000"/>
                <w:szCs w:val="21"/>
              </w:rPr>
            </w:pPr>
          </w:p>
        </w:tc>
      </w:tr>
    </w:tbl>
    <w:p>
      <w:pPr>
        <w:rPr>
          <w:rFonts w:ascii="黑体" w:eastAsia="黑体"/>
          <w:color w:val="000000"/>
          <w:sz w:val="24"/>
        </w:rPr>
      </w:pPr>
      <w:r>
        <w:rPr>
          <w:color w:val="000000"/>
        </w:rPr>
        <w:br w:type="page"/>
      </w:r>
      <w:r>
        <w:rPr>
          <w:rFonts w:hint="eastAsia" w:ascii="黑体" w:eastAsia="黑体"/>
          <w:color w:val="000000"/>
          <w:sz w:val="24"/>
        </w:rPr>
        <w:t>4.14总价措施项目清单与计价表</w:t>
      </w:r>
    </w:p>
    <w:p>
      <w:pPr>
        <w:jc w:val="center"/>
        <w:rPr>
          <w:rFonts w:ascii="黑体" w:eastAsia="黑体"/>
          <w:b/>
          <w:color w:val="000000"/>
          <w:sz w:val="28"/>
          <w:szCs w:val="28"/>
        </w:rPr>
      </w:pPr>
      <w:r>
        <w:rPr>
          <w:rFonts w:hint="eastAsia" w:ascii="黑体" w:eastAsia="黑体"/>
          <w:b/>
          <w:color w:val="000000"/>
          <w:sz w:val="28"/>
          <w:szCs w:val="28"/>
        </w:rPr>
        <w:t>总价措施项目清单与计价表</w:t>
      </w:r>
    </w:p>
    <w:p>
      <w:pPr>
        <w:rPr>
          <w:color w:val="000000"/>
        </w:rPr>
      </w:pPr>
      <w:r>
        <w:rPr>
          <w:rFonts w:hint="eastAsia"/>
          <w:color w:val="000000"/>
        </w:rPr>
        <w:t>工程名称：第页共页</w:t>
      </w:r>
    </w:p>
    <w:tbl>
      <w:tblPr>
        <w:tblStyle w:val="36"/>
        <w:tblW w:w="10250"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1127"/>
        <w:gridCol w:w="2230"/>
        <w:gridCol w:w="1139"/>
        <w:gridCol w:w="878"/>
        <w:gridCol w:w="967"/>
        <w:gridCol w:w="1132"/>
        <w:gridCol w:w="1417"/>
        <w:gridCol w:w="669"/>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831" w:hRule="atLeast"/>
          <w:jc w:val="center"/>
        </w:trPr>
        <w:tc>
          <w:tcPr>
            <w:tcW w:w="691" w:type="dxa"/>
            <w:vAlign w:val="center"/>
          </w:tcPr>
          <w:p>
            <w:pPr>
              <w:jc w:val="center"/>
              <w:rPr>
                <w:color w:val="000000"/>
              </w:rPr>
            </w:pPr>
            <w:r>
              <w:rPr>
                <w:rFonts w:hint="eastAsia"/>
                <w:color w:val="000000"/>
              </w:rPr>
              <w:t>序号</w:t>
            </w:r>
          </w:p>
        </w:tc>
        <w:tc>
          <w:tcPr>
            <w:tcW w:w="1127" w:type="dxa"/>
            <w:vAlign w:val="center"/>
          </w:tcPr>
          <w:p>
            <w:pPr>
              <w:jc w:val="center"/>
              <w:rPr>
                <w:color w:val="000000"/>
              </w:rPr>
            </w:pPr>
            <w:r>
              <w:rPr>
                <w:rFonts w:hint="eastAsia"/>
                <w:color w:val="000000"/>
              </w:rPr>
              <w:t>项目编码</w:t>
            </w:r>
          </w:p>
        </w:tc>
        <w:tc>
          <w:tcPr>
            <w:tcW w:w="2230" w:type="dxa"/>
            <w:vAlign w:val="center"/>
          </w:tcPr>
          <w:p>
            <w:pPr>
              <w:jc w:val="center"/>
              <w:rPr>
                <w:color w:val="000000"/>
              </w:rPr>
            </w:pPr>
            <w:r>
              <w:rPr>
                <w:rFonts w:hint="eastAsia"/>
                <w:color w:val="000000"/>
              </w:rPr>
              <w:t>子目名称</w:t>
            </w:r>
          </w:p>
        </w:tc>
        <w:tc>
          <w:tcPr>
            <w:tcW w:w="1139" w:type="dxa"/>
            <w:vAlign w:val="center"/>
          </w:tcPr>
          <w:p>
            <w:pPr>
              <w:jc w:val="center"/>
              <w:rPr>
                <w:color w:val="000000"/>
              </w:rPr>
            </w:pPr>
            <w:r>
              <w:rPr>
                <w:rFonts w:hint="eastAsia"/>
                <w:color w:val="000000"/>
              </w:rPr>
              <w:t>计算基础</w:t>
            </w:r>
          </w:p>
        </w:tc>
        <w:tc>
          <w:tcPr>
            <w:tcW w:w="878" w:type="dxa"/>
            <w:vAlign w:val="center"/>
          </w:tcPr>
          <w:p>
            <w:pPr>
              <w:jc w:val="center"/>
              <w:rPr>
                <w:color w:val="000000"/>
              </w:rPr>
            </w:pPr>
            <w:r>
              <w:rPr>
                <w:rFonts w:hint="eastAsia"/>
                <w:color w:val="000000"/>
              </w:rPr>
              <w:t>费率</w:t>
            </w:r>
            <w:r>
              <w:rPr>
                <w:rFonts w:hint="eastAsia"/>
                <w:color w:val="000000"/>
                <w:lang w:eastAsia="zh-CN"/>
              </w:rPr>
              <w:t>（</w:t>
            </w:r>
            <w:r>
              <w:rPr>
                <w:rFonts w:hint="eastAsia"/>
                <w:color w:val="000000"/>
              </w:rPr>
              <w:t>％)</w:t>
            </w:r>
          </w:p>
        </w:tc>
        <w:tc>
          <w:tcPr>
            <w:tcW w:w="967" w:type="dxa"/>
            <w:vAlign w:val="center"/>
          </w:tcPr>
          <w:p>
            <w:pPr>
              <w:jc w:val="center"/>
              <w:rPr>
                <w:color w:val="000000"/>
              </w:rPr>
            </w:pPr>
            <w:r>
              <w:rPr>
                <w:rFonts w:hint="eastAsia"/>
                <w:color w:val="000000"/>
              </w:rPr>
              <w:t>金额</w:t>
            </w:r>
          </w:p>
          <w:p>
            <w:pPr>
              <w:jc w:val="center"/>
              <w:rPr>
                <w:color w:val="000000"/>
              </w:rPr>
            </w:pPr>
            <w:r>
              <w:rPr>
                <w:rFonts w:hint="eastAsia"/>
                <w:color w:val="000000"/>
              </w:rPr>
              <w:t>（元）</w:t>
            </w:r>
          </w:p>
        </w:tc>
        <w:tc>
          <w:tcPr>
            <w:tcW w:w="1132" w:type="dxa"/>
            <w:vAlign w:val="center"/>
          </w:tcPr>
          <w:p>
            <w:pPr>
              <w:jc w:val="center"/>
              <w:rPr>
                <w:color w:val="000000"/>
              </w:rPr>
            </w:pPr>
            <w:r>
              <w:rPr>
                <w:rFonts w:hint="eastAsia"/>
                <w:color w:val="000000"/>
              </w:rPr>
              <w:t>调整费率</w:t>
            </w:r>
          </w:p>
          <w:p>
            <w:pPr>
              <w:jc w:val="center"/>
              <w:rPr>
                <w:color w:val="000000"/>
              </w:rPr>
            </w:pPr>
            <w:r>
              <w:rPr>
                <w:rFonts w:hint="eastAsia"/>
                <w:color w:val="000000"/>
              </w:rPr>
              <w:t>(％)</w:t>
            </w:r>
          </w:p>
        </w:tc>
        <w:tc>
          <w:tcPr>
            <w:tcW w:w="1417" w:type="dxa"/>
            <w:vAlign w:val="center"/>
          </w:tcPr>
          <w:p>
            <w:pPr>
              <w:jc w:val="center"/>
              <w:rPr>
                <w:color w:val="000000"/>
              </w:rPr>
            </w:pPr>
            <w:r>
              <w:rPr>
                <w:rFonts w:hint="eastAsia"/>
                <w:color w:val="000000"/>
              </w:rPr>
              <w:t>调整后金额（元）</w:t>
            </w:r>
          </w:p>
        </w:tc>
        <w:tc>
          <w:tcPr>
            <w:tcW w:w="669" w:type="dxa"/>
            <w:vAlign w:val="center"/>
          </w:tcPr>
          <w:p>
            <w:pPr>
              <w:rPr>
                <w:color w:val="000000"/>
              </w:rPr>
            </w:pPr>
            <w:r>
              <w:rPr>
                <w:rFonts w:hint="eastAsia"/>
                <w:color w:val="000000"/>
              </w:rPr>
              <w:t>备注</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832" w:hRule="atLeast"/>
          <w:jc w:val="center"/>
        </w:trPr>
        <w:tc>
          <w:tcPr>
            <w:tcW w:w="691" w:type="dxa"/>
            <w:vAlign w:val="center"/>
          </w:tcPr>
          <w:p>
            <w:pPr>
              <w:jc w:val="center"/>
              <w:rPr>
                <w:rFonts w:ascii="黑体" w:eastAsia="黑体"/>
                <w:color w:val="000000"/>
              </w:rPr>
            </w:pPr>
          </w:p>
        </w:tc>
        <w:tc>
          <w:tcPr>
            <w:tcW w:w="1127" w:type="dxa"/>
          </w:tcPr>
          <w:p>
            <w:pPr>
              <w:rPr>
                <w:color w:val="000000"/>
              </w:rPr>
            </w:pPr>
          </w:p>
        </w:tc>
        <w:tc>
          <w:tcPr>
            <w:tcW w:w="2230" w:type="dxa"/>
            <w:vAlign w:val="center"/>
          </w:tcPr>
          <w:p>
            <w:pPr>
              <w:rPr>
                <w:color w:val="000000"/>
              </w:rPr>
            </w:pPr>
            <w:r>
              <w:rPr>
                <w:rFonts w:hint="eastAsia"/>
                <w:color w:val="000000"/>
              </w:rPr>
              <w:t>安全文明施工费</w:t>
            </w:r>
          </w:p>
        </w:tc>
        <w:tc>
          <w:tcPr>
            <w:tcW w:w="1139" w:type="dxa"/>
            <w:vAlign w:val="center"/>
          </w:tcPr>
          <w:p>
            <w:pPr>
              <w:jc w:val="center"/>
              <w:rPr>
                <w:color w:val="000000"/>
              </w:rPr>
            </w:pPr>
          </w:p>
        </w:tc>
        <w:tc>
          <w:tcPr>
            <w:tcW w:w="878" w:type="dxa"/>
            <w:vAlign w:val="center"/>
          </w:tcPr>
          <w:p>
            <w:pPr>
              <w:jc w:val="center"/>
              <w:rPr>
                <w:color w:val="000000"/>
              </w:rPr>
            </w:pPr>
          </w:p>
        </w:tc>
        <w:tc>
          <w:tcPr>
            <w:tcW w:w="967" w:type="dxa"/>
          </w:tcPr>
          <w:p>
            <w:pPr>
              <w:jc w:val="center"/>
              <w:rPr>
                <w:color w:val="000000"/>
              </w:rPr>
            </w:pPr>
          </w:p>
        </w:tc>
        <w:tc>
          <w:tcPr>
            <w:tcW w:w="1132" w:type="dxa"/>
          </w:tcPr>
          <w:p>
            <w:pPr>
              <w:jc w:val="center"/>
              <w:rPr>
                <w:color w:val="000000"/>
              </w:rPr>
            </w:pPr>
          </w:p>
        </w:tc>
        <w:tc>
          <w:tcPr>
            <w:tcW w:w="1417" w:type="dxa"/>
          </w:tcPr>
          <w:p>
            <w:pPr>
              <w:jc w:val="center"/>
              <w:rPr>
                <w:color w:val="000000"/>
              </w:rPr>
            </w:pPr>
          </w:p>
        </w:tc>
        <w:tc>
          <w:tcPr>
            <w:tcW w:w="669" w:type="dxa"/>
            <w:vAlign w:val="center"/>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832" w:hRule="atLeast"/>
          <w:jc w:val="center"/>
        </w:trPr>
        <w:tc>
          <w:tcPr>
            <w:tcW w:w="691" w:type="dxa"/>
            <w:tcBorders>
              <w:bottom w:val="single" w:color="auto" w:sz="6" w:space="0"/>
            </w:tcBorders>
            <w:vAlign w:val="center"/>
          </w:tcPr>
          <w:p>
            <w:pPr>
              <w:jc w:val="center"/>
              <w:rPr>
                <w:rFonts w:ascii="黑体" w:eastAsia="黑体"/>
                <w:color w:val="000000"/>
              </w:rPr>
            </w:pPr>
          </w:p>
        </w:tc>
        <w:tc>
          <w:tcPr>
            <w:tcW w:w="1127" w:type="dxa"/>
          </w:tcPr>
          <w:p>
            <w:pPr>
              <w:rPr>
                <w:color w:val="000000"/>
              </w:rPr>
            </w:pPr>
          </w:p>
        </w:tc>
        <w:tc>
          <w:tcPr>
            <w:tcW w:w="2230" w:type="dxa"/>
            <w:vAlign w:val="center"/>
          </w:tcPr>
          <w:p>
            <w:pPr>
              <w:rPr>
                <w:color w:val="000000"/>
              </w:rPr>
            </w:pPr>
            <w:r>
              <w:rPr>
                <w:rFonts w:hint="eastAsia"/>
                <w:color w:val="000000"/>
              </w:rPr>
              <w:t>夜间施工费</w:t>
            </w:r>
          </w:p>
        </w:tc>
        <w:tc>
          <w:tcPr>
            <w:tcW w:w="1139" w:type="dxa"/>
            <w:vAlign w:val="center"/>
          </w:tcPr>
          <w:p>
            <w:pPr>
              <w:jc w:val="center"/>
              <w:rPr>
                <w:color w:val="000000"/>
              </w:rPr>
            </w:pPr>
          </w:p>
        </w:tc>
        <w:tc>
          <w:tcPr>
            <w:tcW w:w="878" w:type="dxa"/>
            <w:vAlign w:val="center"/>
          </w:tcPr>
          <w:p>
            <w:pPr>
              <w:jc w:val="center"/>
              <w:rPr>
                <w:color w:val="000000"/>
              </w:rPr>
            </w:pPr>
          </w:p>
        </w:tc>
        <w:tc>
          <w:tcPr>
            <w:tcW w:w="967" w:type="dxa"/>
          </w:tcPr>
          <w:p>
            <w:pPr>
              <w:jc w:val="center"/>
              <w:rPr>
                <w:color w:val="000000"/>
              </w:rPr>
            </w:pPr>
          </w:p>
        </w:tc>
        <w:tc>
          <w:tcPr>
            <w:tcW w:w="1132" w:type="dxa"/>
          </w:tcPr>
          <w:p>
            <w:pPr>
              <w:jc w:val="center"/>
              <w:rPr>
                <w:color w:val="000000"/>
              </w:rPr>
            </w:pPr>
          </w:p>
        </w:tc>
        <w:tc>
          <w:tcPr>
            <w:tcW w:w="1417" w:type="dxa"/>
          </w:tcPr>
          <w:p>
            <w:pPr>
              <w:jc w:val="center"/>
              <w:rPr>
                <w:color w:val="000000"/>
              </w:rPr>
            </w:pPr>
          </w:p>
        </w:tc>
        <w:tc>
          <w:tcPr>
            <w:tcW w:w="669" w:type="dxa"/>
            <w:vAlign w:val="center"/>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832" w:hRule="atLeast"/>
          <w:jc w:val="center"/>
        </w:trPr>
        <w:tc>
          <w:tcPr>
            <w:tcW w:w="691" w:type="dxa"/>
            <w:tcBorders>
              <w:top w:val="single" w:color="auto" w:sz="6" w:space="0"/>
            </w:tcBorders>
            <w:vAlign w:val="center"/>
          </w:tcPr>
          <w:p>
            <w:pPr>
              <w:jc w:val="center"/>
              <w:rPr>
                <w:rFonts w:ascii="黑体" w:eastAsia="黑体"/>
                <w:color w:val="000000"/>
              </w:rPr>
            </w:pPr>
          </w:p>
        </w:tc>
        <w:tc>
          <w:tcPr>
            <w:tcW w:w="1127" w:type="dxa"/>
          </w:tcPr>
          <w:p>
            <w:pPr>
              <w:rPr>
                <w:color w:val="000000"/>
              </w:rPr>
            </w:pPr>
          </w:p>
        </w:tc>
        <w:tc>
          <w:tcPr>
            <w:tcW w:w="2230" w:type="dxa"/>
            <w:vAlign w:val="center"/>
          </w:tcPr>
          <w:p>
            <w:pPr>
              <w:rPr>
                <w:color w:val="000000"/>
              </w:rPr>
            </w:pPr>
            <w:r>
              <w:rPr>
                <w:rFonts w:hint="eastAsia"/>
                <w:color w:val="000000"/>
              </w:rPr>
              <w:t>二次搬运费</w:t>
            </w:r>
          </w:p>
        </w:tc>
        <w:tc>
          <w:tcPr>
            <w:tcW w:w="1139" w:type="dxa"/>
            <w:vAlign w:val="center"/>
          </w:tcPr>
          <w:p>
            <w:pPr>
              <w:jc w:val="center"/>
              <w:rPr>
                <w:color w:val="000000"/>
              </w:rPr>
            </w:pPr>
          </w:p>
        </w:tc>
        <w:tc>
          <w:tcPr>
            <w:tcW w:w="878" w:type="dxa"/>
            <w:vAlign w:val="center"/>
          </w:tcPr>
          <w:p>
            <w:pPr>
              <w:jc w:val="center"/>
              <w:rPr>
                <w:color w:val="000000"/>
              </w:rPr>
            </w:pPr>
          </w:p>
        </w:tc>
        <w:tc>
          <w:tcPr>
            <w:tcW w:w="967" w:type="dxa"/>
          </w:tcPr>
          <w:p>
            <w:pPr>
              <w:jc w:val="center"/>
              <w:rPr>
                <w:color w:val="000000"/>
              </w:rPr>
            </w:pPr>
          </w:p>
        </w:tc>
        <w:tc>
          <w:tcPr>
            <w:tcW w:w="1132" w:type="dxa"/>
          </w:tcPr>
          <w:p>
            <w:pPr>
              <w:jc w:val="center"/>
              <w:rPr>
                <w:color w:val="000000"/>
              </w:rPr>
            </w:pPr>
          </w:p>
        </w:tc>
        <w:tc>
          <w:tcPr>
            <w:tcW w:w="1417" w:type="dxa"/>
          </w:tcPr>
          <w:p>
            <w:pPr>
              <w:jc w:val="center"/>
              <w:rPr>
                <w:color w:val="000000"/>
              </w:rPr>
            </w:pPr>
          </w:p>
        </w:tc>
        <w:tc>
          <w:tcPr>
            <w:tcW w:w="669" w:type="dxa"/>
            <w:vAlign w:val="center"/>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831" w:hRule="atLeast"/>
          <w:jc w:val="center"/>
        </w:trPr>
        <w:tc>
          <w:tcPr>
            <w:tcW w:w="691" w:type="dxa"/>
            <w:vAlign w:val="center"/>
          </w:tcPr>
          <w:p>
            <w:pPr>
              <w:jc w:val="center"/>
              <w:rPr>
                <w:rFonts w:ascii="黑体" w:eastAsia="黑体"/>
                <w:color w:val="000000"/>
              </w:rPr>
            </w:pPr>
          </w:p>
        </w:tc>
        <w:tc>
          <w:tcPr>
            <w:tcW w:w="1127" w:type="dxa"/>
          </w:tcPr>
          <w:p>
            <w:pPr>
              <w:rPr>
                <w:color w:val="000000"/>
              </w:rPr>
            </w:pPr>
          </w:p>
        </w:tc>
        <w:tc>
          <w:tcPr>
            <w:tcW w:w="2230" w:type="dxa"/>
            <w:vAlign w:val="center"/>
          </w:tcPr>
          <w:p>
            <w:pPr>
              <w:rPr>
                <w:color w:val="000000"/>
              </w:rPr>
            </w:pPr>
            <w:r>
              <w:rPr>
                <w:rFonts w:hint="eastAsia"/>
                <w:color w:val="000000"/>
              </w:rPr>
              <w:t>雨季施工增加费</w:t>
            </w:r>
          </w:p>
        </w:tc>
        <w:tc>
          <w:tcPr>
            <w:tcW w:w="1139" w:type="dxa"/>
            <w:vAlign w:val="center"/>
          </w:tcPr>
          <w:p>
            <w:pPr>
              <w:jc w:val="center"/>
              <w:rPr>
                <w:color w:val="000000"/>
              </w:rPr>
            </w:pPr>
          </w:p>
        </w:tc>
        <w:tc>
          <w:tcPr>
            <w:tcW w:w="878" w:type="dxa"/>
            <w:vAlign w:val="center"/>
          </w:tcPr>
          <w:p>
            <w:pPr>
              <w:jc w:val="center"/>
              <w:rPr>
                <w:color w:val="000000"/>
              </w:rPr>
            </w:pPr>
          </w:p>
        </w:tc>
        <w:tc>
          <w:tcPr>
            <w:tcW w:w="967" w:type="dxa"/>
          </w:tcPr>
          <w:p>
            <w:pPr>
              <w:jc w:val="center"/>
              <w:rPr>
                <w:color w:val="000000"/>
              </w:rPr>
            </w:pPr>
          </w:p>
        </w:tc>
        <w:tc>
          <w:tcPr>
            <w:tcW w:w="1132" w:type="dxa"/>
          </w:tcPr>
          <w:p>
            <w:pPr>
              <w:jc w:val="center"/>
              <w:rPr>
                <w:color w:val="000000"/>
              </w:rPr>
            </w:pPr>
          </w:p>
        </w:tc>
        <w:tc>
          <w:tcPr>
            <w:tcW w:w="1417" w:type="dxa"/>
          </w:tcPr>
          <w:p>
            <w:pPr>
              <w:jc w:val="center"/>
              <w:rPr>
                <w:color w:val="000000"/>
              </w:rPr>
            </w:pPr>
          </w:p>
        </w:tc>
        <w:tc>
          <w:tcPr>
            <w:tcW w:w="669" w:type="dxa"/>
            <w:vAlign w:val="center"/>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832" w:hRule="atLeast"/>
          <w:jc w:val="center"/>
        </w:trPr>
        <w:tc>
          <w:tcPr>
            <w:tcW w:w="691" w:type="dxa"/>
            <w:vAlign w:val="center"/>
          </w:tcPr>
          <w:p>
            <w:pPr>
              <w:jc w:val="center"/>
              <w:rPr>
                <w:rFonts w:ascii="黑体" w:eastAsia="黑体"/>
                <w:color w:val="000000"/>
              </w:rPr>
            </w:pPr>
          </w:p>
        </w:tc>
        <w:tc>
          <w:tcPr>
            <w:tcW w:w="1127" w:type="dxa"/>
          </w:tcPr>
          <w:p>
            <w:pPr>
              <w:rPr>
                <w:color w:val="000000"/>
              </w:rPr>
            </w:pPr>
          </w:p>
        </w:tc>
        <w:tc>
          <w:tcPr>
            <w:tcW w:w="2230" w:type="dxa"/>
            <w:vAlign w:val="center"/>
          </w:tcPr>
          <w:p>
            <w:pPr>
              <w:rPr>
                <w:color w:val="000000"/>
              </w:rPr>
            </w:pPr>
            <w:r>
              <w:rPr>
                <w:rFonts w:hint="eastAsia"/>
                <w:color w:val="000000"/>
              </w:rPr>
              <w:t>已完工程及设备保护</w:t>
            </w:r>
          </w:p>
        </w:tc>
        <w:tc>
          <w:tcPr>
            <w:tcW w:w="1139" w:type="dxa"/>
            <w:vAlign w:val="center"/>
          </w:tcPr>
          <w:p>
            <w:pPr>
              <w:jc w:val="center"/>
              <w:rPr>
                <w:color w:val="000000"/>
              </w:rPr>
            </w:pPr>
          </w:p>
        </w:tc>
        <w:tc>
          <w:tcPr>
            <w:tcW w:w="878" w:type="dxa"/>
            <w:vAlign w:val="center"/>
          </w:tcPr>
          <w:p>
            <w:pPr>
              <w:jc w:val="center"/>
              <w:rPr>
                <w:color w:val="000000"/>
              </w:rPr>
            </w:pPr>
          </w:p>
        </w:tc>
        <w:tc>
          <w:tcPr>
            <w:tcW w:w="967" w:type="dxa"/>
          </w:tcPr>
          <w:p>
            <w:pPr>
              <w:jc w:val="center"/>
              <w:rPr>
                <w:color w:val="000000"/>
              </w:rPr>
            </w:pPr>
          </w:p>
        </w:tc>
        <w:tc>
          <w:tcPr>
            <w:tcW w:w="1132" w:type="dxa"/>
          </w:tcPr>
          <w:p>
            <w:pPr>
              <w:jc w:val="center"/>
              <w:rPr>
                <w:color w:val="000000"/>
              </w:rPr>
            </w:pPr>
          </w:p>
        </w:tc>
        <w:tc>
          <w:tcPr>
            <w:tcW w:w="1417" w:type="dxa"/>
          </w:tcPr>
          <w:p>
            <w:pPr>
              <w:jc w:val="center"/>
              <w:rPr>
                <w:color w:val="000000"/>
              </w:rPr>
            </w:pPr>
          </w:p>
        </w:tc>
        <w:tc>
          <w:tcPr>
            <w:tcW w:w="669" w:type="dxa"/>
            <w:vAlign w:val="center"/>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832" w:hRule="atLeast"/>
          <w:jc w:val="center"/>
        </w:trPr>
        <w:tc>
          <w:tcPr>
            <w:tcW w:w="691" w:type="dxa"/>
            <w:vAlign w:val="center"/>
          </w:tcPr>
          <w:p>
            <w:pPr>
              <w:jc w:val="center"/>
              <w:rPr>
                <w:rFonts w:ascii="黑体" w:eastAsia="黑体"/>
                <w:color w:val="000000"/>
              </w:rPr>
            </w:pPr>
          </w:p>
        </w:tc>
        <w:tc>
          <w:tcPr>
            <w:tcW w:w="1127" w:type="dxa"/>
          </w:tcPr>
          <w:p>
            <w:pPr>
              <w:rPr>
                <w:color w:val="000000"/>
              </w:rPr>
            </w:pPr>
          </w:p>
        </w:tc>
        <w:tc>
          <w:tcPr>
            <w:tcW w:w="2230" w:type="dxa"/>
            <w:vAlign w:val="center"/>
          </w:tcPr>
          <w:p>
            <w:pPr>
              <w:rPr>
                <w:color w:val="000000"/>
              </w:rPr>
            </w:pPr>
          </w:p>
        </w:tc>
        <w:tc>
          <w:tcPr>
            <w:tcW w:w="1139" w:type="dxa"/>
            <w:vAlign w:val="center"/>
          </w:tcPr>
          <w:p>
            <w:pPr>
              <w:jc w:val="center"/>
              <w:rPr>
                <w:color w:val="000000"/>
              </w:rPr>
            </w:pPr>
          </w:p>
        </w:tc>
        <w:tc>
          <w:tcPr>
            <w:tcW w:w="878" w:type="dxa"/>
            <w:vAlign w:val="center"/>
          </w:tcPr>
          <w:p>
            <w:pPr>
              <w:jc w:val="center"/>
              <w:rPr>
                <w:color w:val="000000"/>
              </w:rPr>
            </w:pPr>
          </w:p>
        </w:tc>
        <w:tc>
          <w:tcPr>
            <w:tcW w:w="967" w:type="dxa"/>
          </w:tcPr>
          <w:p>
            <w:pPr>
              <w:jc w:val="center"/>
              <w:rPr>
                <w:color w:val="000000"/>
              </w:rPr>
            </w:pPr>
          </w:p>
        </w:tc>
        <w:tc>
          <w:tcPr>
            <w:tcW w:w="1132" w:type="dxa"/>
          </w:tcPr>
          <w:p>
            <w:pPr>
              <w:jc w:val="center"/>
              <w:rPr>
                <w:color w:val="000000"/>
              </w:rPr>
            </w:pPr>
          </w:p>
        </w:tc>
        <w:tc>
          <w:tcPr>
            <w:tcW w:w="1417" w:type="dxa"/>
          </w:tcPr>
          <w:p>
            <w:pPr>
              <w:jc w:val="center"/>
              <w:rPr>
                <w:color w:val="000000"/>
              </w:rPr>
            </w:pPr>
          </w:p>
        </w:tc>
        <w:tc>
          <w:tcPr>
            <w:tcW w:w="669" w:type="dxa"/>
            <w:vAlign w:val="center"/>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832" w:hRule="atLeast"/>
          <w:jc w:val="center"/>
        </w:trPr>
        <w:tc>
          <w:tcPr>
            <w:tcW w:w="691" w:type="dxa"/>
            <w:vAlign w:val="center"/>
          </w:tcPr>
          <w:p>
            <w:pPr>
              <w:jc w:val="center"/>
              <w:rPr>
                <w:rFonts w:ascii="黑体" w:eastAsia="黑体"/>
                <w:color w:val="000000"/>
              </w:rPr>
            </w:pPr>
          </w:p>
        </w:tc>
        <w:tc>
          <w:tcPr>
            <w:tcW w:w="1127" w:type="dxa"/>
          </w:tcPr>
          <w:p>
            <w:pPr>
              <w:rPr>
                <w:color w:val="000000"/>
              </w:rPr>
            </w:pPr>
          </w:p>
        </w:tc>
        <w:tc>
          <w:tcPr>
            <w:tcW w:w="2230" w:type="dxa"/>
            <w:vAlign w:val="center"/>
          </w:tcPr>
          <w:p>
            <w:pPr>
              <w:rPr>
                <w:color w:val="000000"/>
              </w:rPr>
            </w:pPr>
          </w:p>
        </w:tc>
        <w:tc>
          <w:tcPr>
            <w:tcW w:w="1139" w:type="dxa"/>
            <w:vAlign w:val="center"/>
          </w:tcPr>
          <w:p>
            <w:pPr>
              <w:jc w:val="center"/>
              <w:rPr>
                <w:color w:val="000000"/>
              </w:rPr>
            </w:pPr>
          </w:p>
        </w:tc>
        <w:tc>
          <w:tcPr>
            <w:tcW w:w="878" w:type="dxa"/>
            <w:vAlign w:val="center"/>
          </w:tcPr>
          <w:p>
            <w:pPr>
              <w:jc w:val="center"/>
              <w:rPr>
                <w:color w:val="000000"/>
              </w:rPr>
            </w:pPr>
          </w:p>
        </w:tc>
        <w:tc>
          <w:tcPr>
            <w:tcW w:w="967" w:type="dxa"/>
          </w:tcPr>
          <w:p>
            <w:pPr>
              <w:jc w:val="center"/>
              <w:rPr>
                <w:color w:val="000000"/>
              </w:rPr>
            </w:pPr>
          </w:p>
        </w:tc>
        <w:tc>
          <w:tcPr>
            <w:tcW w:w="1132" w:type="dxa"/>
          </w:tcPr>
          <w:p>
            <w:pPr>
              <w:jc w:val="center"/>
              <w:rPr>
                <w:color w:val="000000"/>
              </w:rPr>
            </w:pPr>
          </w:p>
        </w:tc>
        <w:tc>
          <w:tcPr>
            <w:tcW w:w="1417" w:type="dxa"/>
          </w:tcPr>
          <w:p>
            <w:pPr>
              <w:jc w:val="center"/>
              <w:rPr>
                <w:color w:val="000000"/>
              </w:rPr>
            </w:pPr>
          </w:p>
        </w:tc>
        <w:tc>
          <w:tcPr>
            <w:tcW w:w="669" w:type="dxa"/>
            <w:vAlign w:val="center"/>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832" w:hRule="atLeast"/>
          <w:jc w:val="center"/>
        </w:trPr>
        <w:tc>
          <w:tcPr>
            <w:tcW w:w="691" w:type="dxa"/>
            <w:vAlign w:val="center"/>
          </w:tcPr>
          <w:p>
            <w:pPr>
              <w:jc w:val="center"/>
              <w:rPr>
                <w:rFonts w:ascii="黑体" w:eastAsia="黑体"/>
                <w:color w:val="000000"/>
              </w:rPr>
            </w:pPr>
          </w:p>
        </w:tc>
        <w:tc>
          <w:tcPr>
            <w:tcW w:w="1127" w:type="dxa"/>
          </w:tcPr>
          <w:p>
            <w:pPr>
              <w:rPr>
                <w:color w:val="000000"/>
              </w:rPr>
            </w:pPr>
          </w:p>
        </w:tc>
        <w:tc>
          <w:tcPr>
            <w:tcW w:w="2230" w:type="dxa"/>
            <w:vAlign w:val="center"/>
          </w:tcPr>
          <w:p>
            <w:pPr>
              <w:rPr>
                <w:color w:val="000000"/>
              </w:rPr>
            </w:pPr>
          </w:p>
        </w:tc>
        <w:tc>
          <w:tcPr>
            <w:tcW w:w="1139" w:type="dxa"/>
            <w:vAlign w:val="center"/>
          </w:tcPr>
          <w:p>
            <w:pPr>
              <w:jc w:val="center"/>
              <w:rPr>
                <w:color w:val="000000"/>
              </w:rPr>
            </w:pPr>
          </w:p>
        </w:tc>
        <w:tc>
          <w:tcPr>
            <w:tcW w:w="878" w:type="dxa"/>
            <w:vAlign w:val="center"/>
          </w:tcPr>
          <w:p>
            <w:pPr>
              <w:jc w:val="center"/>
              <w:rPr>
                <w:color w:val="000000"/>
              </w:rPr>
            </w:pPr>
          </w:p>
        </w:tc>
        <w:tc>
          <w:tcPr>
            <w:tcW w:w="967" w:type="dxa"/>
          </w:tcPr>
          <w:p>
            <w:pPr>
              <w:jc w:val="center"/>
              <w:rPr>
                <w:color w:val="000000"/>
              </w:rPr>
            </w:pPr>
          </w:p>
        </w:tc>
        <w:tc>
          <w:tcPr>
            <w:tcW w:w="1132" w:type="dxa"/>
          </w:tcPr>
          <w:p>
            <w:pPr>
              <w:jc w:val="center"/>
              <w:rPr>
                <w:color w:val="000000"/>
              </w:rPr>
            </w:pPr>
          </w:p>
        </w:tc>
        <w:tc>
          <w:tcPr>
            <w:tcW w:w="1417" w:type="dxa"/>
          </w:tcPr>
          <w:p>
            <w:pPr>
              <w:jc w:val="center"/>
              <w:rPr>
                <w:color w:val="000000"/>
              </w:rPr>
            </w:pPr>
          </w:p>
        </w:tc>
        <w:tc>
          <w:tcPr>
            <w:tcW w:w="669" w:type="dxa"/>
            <w:vAlign w:val="center"/>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832" w:hRule="atLeast"/>
          <w:jc w:val="center"/>
        </w:trPr>
        <w:tc>
          <w:tcPr>
            <w:tcW w:w="691" w:type="dxa"/>
            <w:vAlign w:val="center"/>
          </w:tcPr>
          <w:p>
            <w:pPr>
              <w:jc w:val="center"/>
              <w:rPr>
                <w:rFonts w:ascii="黑体" w:eastAsia="黑体"/>
                <w:color w:val="000000"/>
              </w:rPr>
            </w:pPr>
          </w:p>
        </w:tc>
        <w:tc>
          <w:tcPr>
            <w:tcW w:w="1127" w:type="dxa"/>
          </w:tcPr>
          <w:p>
            <w:pPr>
              <w:rPr>
                <w:color w:val="000000"/>
              </w:rPr>
            </w:pPr>
          </w:p>
        </w:tc>
        <w:tc>
          <w:tcPr>
            <w:tcW w:w="2230" w:type="dxa"/>
            <w:vAlign w:val="center"/>
          </w:tcPr>
          <w:p>
            <w:pPr>
              <w:rPr>
                <w:color w:val="000000"/>
              </w:rPr>
            </w:pPr>
          </w:p>
        </w:tc>
        <w:tc>
          <w:tcPr>
            <w:tcW w:w="1139" w:type="dxa"/>
            <w:vAlign w:val="center"/>
          </w:tcPr>
          <w:p>
            <w:pPr>
              <w:jc w:val="center"/>
              <w:rPr>
                <w:color w:val="000000"/>
              </w:rPr>
            </w:pPr>
          </w:p>
        </w:tc>
        <w:tc>
          <w:tcPr>
            <w:tcW w:w="878" w:type="dxa"/>
            <w:vAlign w:val="center"/>
          </w:tcPr>
          <w:p>
            <w:pPr>
              <w:jc w:val="center"/>
              <w:rPr>
                <w:color w:val="000000"/>
              </w:rPr>
            </w:pPr>
          </w:p>
        </w:tc>
        <w:tc>
          <w:tcPr>
            <w:tcW w:w="967" w:type="dxa"/>
          </w:tcPr>
          <w:p>
            <w:pPr>
              <w:jc w:val="center"/>
              <w:rPr>
                <w:color w:val="000000"/>
              </w:rPr>
            </w:pPr>
          </w:p>
        </w:tc>
        <w:tc>
          <w:tcPr>
            <w:tcW w:w="1132" w:type="dxa"/>
          </w:tcPr>
          <w:p>
            <w:pPr>
              <w:jc w:val="center"/>
              <w:rPr>
                <w:color w:val="000000"/>
              </w:rPr>
            </w:pPr>
          </w:p>
        </w:tc>
        <w:tc>
          <w:tcPr>
            <w:tcW w:w="1417" w:type="dxa"/>
          </w:tcPr>
          <w:p>
            <w:pPr>
              <w:jc w:val="center"/>
              <w:rPr>
                <w:color w:val="000000"/>
              </w:rPr>
            </w:pPr>
          </w:p>
        </w:tc>
        <w:tc>
          <w:tcPr>
            <w:tcW w:w="669" w:type="dxa"/>
            <w:vAlign w:val="center"/>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832" w:hRule="atLeast"/>
          <w:jc w:val="center"/>
        </w:trPr>
        <w:tc>
          <w:tcPr>
            <w:tcW w:w="691" w:type="dxa"/>
            <w:vAlign w:val="center"/>
          </w:tcPr>
          <w:p>
            <w:pPr>
              <w:jc w:val="center"/>
              <w:rPr>
                <w:rFonts w:ascii="黑体" w:eastAsia="黑体"/>
                <w:color w:val="000000"/>
              </w:rPr>
            </w:pPr>
          </w:p>
        </w:tc>
        <w:tc>
          <w:tcPr>
            <w:tcW w:w="1127" w:type="dxa"/>
          </w:tcPr>
          <w:p>
            <w:pPr>
              <w:rPr>
                <w:color w:val="000000"/>
              </w:rPr>
            </w:pPr>
          </w:p>
        </w:tc>
        <w:tc>
          <w:tcPr>
            <w:tcW w:w="2230" w:type="dxa"/>
            <w:vAlign w:val="center"/>
          </w:tcPr>
          <w:p>
            <w:pPr>
              <w:rPr>
                <w:color w:val="000000"/>
              </w:rPr>
            </w:pPr>
          </w:p>
        </w:tc>
        <w:tc>
          <w:tcPr>
            <w:tcW w:w="1139" w:type="dxa"/>
            <w:vAlign w:val="center"/>
          </w:tcPr>
          <w:p>
            <w:pPr>
              <w:jc w:val="center"/>
              <w:rPr>
                <w:color w:val="000000"/>
              </w:rPr>
            </w:pPr>
          </w:p>
        </w:tc>
        <w:tc>
          <w:tcPr>
            <w:tcW w:w="878" w:type="dxa"/>
            <w:vAlign w:val="center"/>
          </w:tcPr>
          <w:p>
            <w:pPr>
              <w:jc w:val="center"/>
              <w:rPr>
                <w:color w:val="000000"/>
              </w:rPr>
            </w:pPr>
          </w:p>
        </w:tc>
        <w:tc>
          <w:tcPr>
            <w:tcW w:w="967" w:type="dxa"/>
          </w:tcPr>
          <w:p>
            <w:pPr>
              <w:jc w:val="center"/>
              <w:rPr>
                <w:color w:val="000000"/>
              </w:rPr>
            </w:pPr>
          </w:p>
        </w:tc>
        <w:tc>
          <w:tcPr>
            <w:tcW w:w="1132" w:type="dxa"/>
          </w:tcPr>
          <w:p>
            <w:pPr>
              <w:jc w:val="center"/>
              <w:rPr>
                <w:color w:val="000000"/>
              </w:rPr>
            </w:pPr>
          </w:p>
        </w:tc>
        <w:tc>
          <w:tcPr>
            <w:tcW w:w="1417" w:type="dxa"/>
          </w:tcPr>
          <w:p>
            <w:pPr>
              <w:jc w:val="center"/>
              <w:rPr>
                <w:color w:val="000000"/>
              </w:rPr>
            </w:pPr>
          </w:p>
        </w:tc>
        <w:tc>
          <w:tcPr>
            <w:tcW w:w="669" w:type="dxa"/>
            <w:vAlign w:val="center"/>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598" w:hRule="atLeast"/>
          <w:jc w:val="center"/>
        </w:trPr>
        <w:tc>
          <w:tcPr>
            <w:tcW w:w="691" w:type="dxa"/>
            <w:vAlign w:val="center"/>
          </w:tcPr>
          <w:p>
            <w:pPr>
              <w:jc w:val="center"/>
              <w:rPr>
                <w:rFonts w:ascii="黑体" w:eastAsia="黑体"/>
                <w:color w:val="000000"/>
              </w:rPr>
            </w:pPr>
          </w:p>
        </w:tc>
        <w:tc>
          <w:tcPr>
            <w:tcW w:w="1127" w:type="dxa"/>
          </w:tcPr>
          <w:p>
            <w:pPr>
              <w:rPr>
                <w:color w:val="000000"/>
              </w:rPr>
            </w:pPr>
          </w:p>
        </w:tc>
        <w:tc>
          <w:tcPr>
            <w:tcW w:w="2230" w:type="dxa"/>
            <w:vAlign w:val="center"/>
          </w:tcPr>
          <w:p>
            <w:pPr>
              <w:rPr>
                <w:color w:val="000000"/>
              </w:rPr>
            </w:pPr>
          </w:p>
        </w:tc>
        <w:tc>
          <w:tcPr>
            <w:tcW w:w="1139" w:type="dxa"/>
            <w:vAlign w:val="center"/>
          </w:tcPr>
          <w:p>
            <w:pPr>
              <w:jc w:val="center"/>
              <w:rPr>
                <w:color w:val="000000"/>
              </w:rPr>
            </w:pPr>
          </w:p>
        </w:tc>
        <w:tc>
          <w:tcPr>
            <w:tcW w:w="878" w:type="dxa"/>
            <w:vAlign w:val="center"/>
          </w:tcPr>
          <w:p>
            <w:pPr>
              <w:jc w:val="center"/>
              <w:rPr>
                <w:color w:val="000000"/>
              </w:rPr>
            </w:pPr>
          </w:p>
        </w:tc>
        <w:tc>
          <w:tcPr>
            <w:tcW w:w="967" w:type="dxa"/>
          </w:tcPr>
          <w:p>
            <w:pPr>
              <w:jc w:val="center"/>
              <w:rPr>
                <w:color w:val="000000"/>
              </w:rPr>
            </w:pPr>
          </w:p>
        </w:tc>
        <w:tc>
          <w:tcPr>
            <w:tcW w:w="1132" w:type="dxa"/>
          </w:tcPr>
          <w:p>
            <w:pPr>
              <w:jc w:val="center"/>
              <w:rPr>
                <w:color w:val="000000"/>
              </w:rPr>
            </w:pPr>
          </w:p>
        </w:tc>
        <w:tc>
          <w:tcPr>
            <w:tcW w:w="1417" w:type="dxa"/>
          </w:tcPr>
          <w:p>
            <w:pPr>
              <w:jc w:val="center"/>
              <w:rPr>
                <w:color w:val="000000"/>
              </w:rPr>
            </w:pPr>
          </w:p>
        </w:tc>
        <w:tc>
          <w:tcPr>
            <w:tcW w:w="669" w:type="dxa"/>
            <w:vAlign w:val="center"/>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69" w:hRule="atLeast"/>
          <w:jc w:val="center"/>
        </w:trPr>
        <w:tc>
          <w:tcPr>
            <w:tcW w:w="6065" w:type="dxa"/>
            <w:gridSpan w:val="5"/>
            <w:vAlign w:val="center"/>
          </w:tcPr>
          <w:p>
            <w:pPr>
              <w:jc w:val="center"/>
              <w:rPr>
                <w:color w:val="000000"/>
              </w:rPr>
            </w:pPr>
            <w:r>
              <w:rPr>
                <w:rFonts w:hint="eastAsia"/>
                <w:color w:val="000000"/>
              </w:rPr>
              <w:t>合计</w:t>
            </w:r>
          </w:p>
        </w:tc>
        <w:tc>
          <w:tcPr>
            <w:tcW w:w="967" w:type="dxa"/>
          </w:tcPr>
          <w:p>
            <w:pPr>
              <w:jc w:val="center"/>
              <w:rPr>
                <w:color w:val="000000"/>
              </w:rPr>
            </w:pPr>
          </w:p>
        </w:tc>
        <w:tc>
          <w:tcPr>
            <w:tcW w:w="1132" w:type="dxa"/>
          </w:tcPr>
          <w:p>
            <w:pPr>
              <w:jc w:val="center"/>
              <w:rPr>
                <w:color w:val="000000"/>
              </w:rPr>
            </w:pPr>
          </w:p>
        </w:tc>
        <w:tc>
          <w:tcPr>
            <w:tcW w:w="1417" w:type="dxa"/>
          </w:tcPr>
          <w:p>
            <w:pPr>
              <w:jc w:val="center"/>
              <w:rPr>
                <w:color w:val="000000"/>
              </w:rPr>
            </w:pPr>
          </w:p>
        </w:tc>
        <w:tc>
          <w:tcPr>
            <w:tcW w:w="669" w:type="dxa"/>
            <w:vAlign w:val="center"/>
          </w:tcPr>
          <w:p>
            <w:pPr>
              <w:jc w:val="center"/>
              <w:rPr>
                <w:color w:val="000000"/>
              </w:rPr>
            </w:pPr>
          </w:p>
        </w:tc>
      </w:tr>
    </w:tbl>
    <w:p>
      <w:pPr>
        <w:rPr>
          <w:color w:val="000000"/>
        </w:rPr>
      </w:pPr>
      <w:r>
        <w:rPr>
          <w:rFonts w:hint="eastAsia" w:ascii="黑体" w:eastAsia="黑体"/>
          <w:color w:val="000000"/>
        </w:rPr>
        <w:t>注：</w:t>
      </w:r>
      <w:r>
        <w:rPr>
          <w:rFonts w:hint="eastAsia"/>
          <w:color w:val="000000"/>
        </w:rPr>
        <w:t>“项目名称”可根据海南省现行的预算定额设置</w:t>
      </w:r>
    </w:p>
    <w:p>
      <w:pPr>
        <w:rPr>
          <w:rFonts w:ascii="黑体" w:eastAsia="黑体"/>
          <w:color w:val="000000"/>
          <w:sz w:val="24"/>
        </w:rPr>
      </w:pPr>
      <w:r>
        <w:rPr>
          <w:color w:val="000000"/>
        </w:rPr>
        <w:br w:type="page"/>
      </w:r>
      <w:r>
        <w:rPr>
          <w:rFonts w:hint="eastAsia" w:ascii="黑体" w:eastAsia="黑体"/>
          <w:color w:val="000000"/>
          <w:sz w:val="24"/>
        </w:rPr>
        <w:t>4.15其他项目清单与计价汇总表</w:t>
      </w:r>
    </w:p>
    <w:p>
      <w:pPr>
        <w:jc w:val="center"/>
        <w:rPr>
          <w:rFonts w:ascii="黑体" w:eastAsia="黑体"/>
          <w:b/>
          <w:color w:val="000000"/>
          <w:sz w:val="28"/>
          <w:szCs w:val="28"/>
        </w:rPr>
      </w:pPr>
      <w:r>
        <w:rPr>
          <w:rFonts w:hint="eastAsia" w:ascii="黑体" w:eastAsia="黑体"/>
          <w:b/>
          <w:color w:val="000000"/>
          <w:sz w:val="28"/>
          <w:szCs w:val="28"/>
        </w:rPr>
        <w:t>其他项目清单与计价汇总表</w:t>
      </w:r>
    </w:p>
    <w:p>
      <w:pPr>
        <w:rPr>
          <w:color w:val="000000"/>
        </w:rPr>
      </w:pPr>
      <w:r>
        <w:rPr>
          <w:rFonts w:hint="eastAsia"/>
          <w:color w:val="000000"/>
        </w:rPr>
        <w:t>工程名称：第页共页</w:t>
      </w:r>
    </w:p>
    <w:tbl>
      <w:tblPr>
        <w:tblStyle w:val="36"/>
        <w:tblW w:w="7900"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3302"/>
        <w:gridCol w:w="1980"/>
        <w:gridCol w:w="180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895" w:hRule="atLeast"/>
          <w:jc w:val="center"/>
        </w:trPr>
        <w:tc>
          <w:tcPr>
            <w:tcW w:w="818" w:type="dxa"/>
            <w:vAlign w:val="center"/>
          </w:tcPr>
          <w:p>
            <w:pPr>
              <w:jc w:val="center"/>
              <w:rPr>
                <w:color w:val="000000"/>
              </w:rPr>
            </w:pPr>
            <w:r>
              <w:rPr>
                <w:rFonts w:hint="eastAsia"/>
                <w:color w:val="000000"/>
              </w:rPr>
              <w:t>序号</w:t>
            </w:r>
          </w:p>
        </w:tc>
        <w:tc>
          <w:tcPr>
            <w:tcW w:w="3302" w:type="dxa"/>
            <w:vAlign w:val="center"/>
          </w:tcPr>
          <w:p>
            <w:pPr>
              <w:jc w:val="center"/>
              <w:rPr>
                <w:color w:val="000000"/>
              </w:rPr>
            </w:pPr>
            <w:r>
              <w:rPr>
                <w:rFonts w:hint="eastAsia"/>
                <w:color w:val="000000"/>
              </w:rPr>
              <w:t>子目名称</w:t>
            </w:r>
          </w:p>
        </w:tc>
        <w:tc>
          <w:tcPr>
            <w:tcW w:w="1980" w:type="dxa"/>
            <w:vAlign w:val="center"/>
          </w:tcPr>
          <w:p>
            <w:pPr>
              <w:jc w:val="center"/>
              <w:rPr>
                <w:color w:val="000000"/>
              </w:rPr>
            </w:pPr>
            <w:r>
              <w:rPr>
                <w:rFonts w:hint="eastAsia"/>
                <w:color w:val="000000"/>
              </w:rPr>
              <w:t>金额</w:t>
            </w:r>
            <w:r>
              <w:rPr>
                <w:rFonts w:hint="eastAsia"/>
                <w:color w:val="000000"/>
                <w:lang w:eastAsia="zh-CN"/>
              </w:rPr>
              <w:t>（</w:t>
            </w:r>
            <w:r>
              <w:rPr>
                <w:rFonts w:hint="eastAsia"/>
                <w:color w:val="000000"/>
              </w:rPr>
              <w:t>元</w:t>
            </w:r>
            <w:r>
              <w:rPr>
                <w:rFonts w:hint="eastAsia"/>
                <w:color w:val="000000"/>
                <w:lang w:eastAsia="zh-CN"/>
              </w:rPr>
              <w:t>）</w:t>
            </w:r>
          </w:p>
        </w:tc>
        <w:tc>
          <w:tcPr>
            <w:tcW w:w="1800" w:type="dxa"/>
            <w:vAlign w:val="center"/>
          </w:tcPr>
          <w:p>
            <w:pPr>
              <w:jc w:val="center"/>
              <w:rPr>
                <w:color w:val="000000"/>
              </w:rPr>
            </w:pPr>
            <w:r>
              <w:rPr>
                <w:rFonts w:hint="eastAsia"/>
                <w:color w:val="000000"/>
              </w:rPr>
              <w:t>备注</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642" w:hRule="atLeast"/>
          <w:jc w:val="center"/>
        </w:trPr>
        <w:tc>
          <w:tcPr>
            <w:tcW w:w="818" w:type="dxa"/>
            <w:vAlign w:val="center"/>
          </w:tcPr>
          <w:p>
            <w:pPr>
              <w:jc w:val="center"/>
              <w:rPr>
                <w:rFonts w:ascii="黑体" w:eastAsia="黑体"/>
                <w:color w:val="000000"/>
              </w:rPr>
            </w:pPr>
            <w:r>
              <w:rPr>
                <w:rFonts w:hint="eastAsia" w:ascii="黑体" w:eastAsia="黑体"/>
                <w:color w:val="000000"/>
              </w:rPr>
              <w:t>一</w:t>
            </w:r>
          </w:p>
        </w:tc>
        <w:tc>
          <w:tcPr>
            <w:tcW w:w="3302" w:type="dxa"/>
            <w:vAlign w:val="center"/>
          </w:tcPr>
          <w:p>
            <w:pPr>
              <w:rPr>
                <w:color w:val="000000"/>
              </w:rPr>
            </w:pPr>
            <w:r>
              <w:rPr>
                <w:rFonts w:hint="eastAsia"/>
                <w:color w:val="000000"/>
              </w:rPr>
              <w:t>暂列金额</w:t>
            </w:r>
          </w:p>
        </w:tc>
        <w:tc>
          <w:tcPr>
            <w:tcW w:w="1980" w:type="dxa"/>
            <w:vAlign w:val="center"/>
          </w:tcPr>
          <w:p>
            <w:pPr>
              <w:jc w:val="center"/>
              <w:rPr>
                <w:color w:val="000000"/>
              </w:rPr>
            </w:pPr>
          </w:p>
        </w:tc>
        <w:tc>
          <w:tcPr>
            <w:tcW w:w="1800" w:type="dxa"/>
            <w:vAlign w:val="center"/>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553" w:hRule="atLeast"/>
          <w:jc w:val="center"/>
        </w:trPr>
        <w:tc>
          <w:tcPr>
            <w:tcW w:w="818" w:type="dxa"/>
            <w:tcBorders>
              <w:bottom w:val="single" w:color="auto" w:sz="6" w:space="0"/>
            </w:tcBorders>
            <w:vAlign w:val="center"/>
          </w:tcPr>
          <w:p>
            <w:pPr>
              <w:jc w:val="center"/>
              <w:rPr>
                <w:rFonts w:ascii="黑体" w:eastAsia="黑体"/>
                <w:color w:val="000000"/>
              </w:rPr>
            </w:pPr>
            <w:r>
              <w:rPr>
                <w:rFonts w:hint="eastAsia" w:ascii="黑体" w:eastAsia="黑体"/>
                <w:color w:val="000000"/>
              </w:rPr>
              <w:t>二</w:t>
            </w:r>
          </w:p>
        </w:tc>
        <w:tc>
          <w:tcPr>
            <w:tcW w:w="3302" w:type="dxa"/>
            <w:vAlign w:val="center"/>
          </w:tcPr>
          <w:p>
            <w:pPr>
              <w:rPr>
                <w:color w:val="000000"/>
              </w:rPr>
            </w:pPr>
            <w:r>
              <w:rPr>
                <w:rFonts w:hint="eastAsia"/>
                <w:color w:val="000000"/>
              </w:rPr>
              <w:t>暂估价</w:t>
            </w:r>
          </w:p>
        </w:tc>
        <w:tc>
          <w:tcPr>
            <w:tcW w:w="1980" w:type="dxa"/>
            <w:vAlign w:val="center"/>
          </w:tcPr>
          <w:p>
            <w:pPr>
              <w:jc w:val="center"/>
              <w:rPr>
                <w:color w:val="000000"/>
              </w:rPr>
            </w:pPr>
          </w:p>
        </w:tc>
        <w:tc>
          <w:tcPr>
            <w:tcW w:w="1800" w:type="dxa"/>
            <w:vAlign w:val="center"/>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628" w:hRule="atLeast"/>
          <w:jc w:val="center"/>
        </w:trPr>
        <w:tc>
          <w:tcPr>
            <w:tcW w:w="818" w:type="dxa"/>
            <w:tcBorders>
              <w:top w:val="single" w:color="auto" w:sz="6" w:space="0"/>
            </w:tcBorders>
            <w:vAlign w:val="center"/>
          </w:tcPr>
          <w:p>
            <w:pPr>
              <w:jc w:val="center"/>
              <w:rPr>
                <w:rFonts w:ascii="黑体" w:eastAsia="黑体"/>
                <w:color w:val="000000"/>
              </w:rPr>
            </w:pPr>
          </w:p>
        </w:tc>
        <w:tc>
          <w:tcPr>
            <w:tcW w:w="3302" w:type="dxa"/>
            <w:vAlign w:val="center"/>
          </w:tcPr>
          <w:p>
            <w:pPr>
              <w:rPr>
                <w:color w:val="000000"/>
              </w:rPr>
            </w:pPr>
            <w:r>
              <w:rPr>
                <w:rFonts w:hint="eastAsia"/>
                <w:color w:val="000000"/>
              </w:rPr>
              <w:t>材料（工程设备）暂估价</w:t>
            </w:r>
          </w:p>
        </w:tc>
        <w:tc>
          <w:tcPr>
            <w:tcW w:w="1980" w:type="dxa"/>
            <w:vAlign w:val="center"/>
          </w:tcPr>
          <w:p>
            <w:pPr>
              <w:jc w:val="center"/>
              <w:rPr>
                <w:color w:val="000000"/>
              </w:rPr>
            </w:pPr>
          </w:p>
        </w:tc>
        <w:tc>
          <w:tcPr>
            <w:tcW w:w="1800" w:type="dxa"/>
            <w:vAlign w:val="center"/>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685" w:hRule="atLeast"/>
          <w:jc w:val="center"/>
        </w:trPr>
        <w:tc>
          <w:tcPr>
            <w:tcW w:w="818" w:type="dxa"/>
            <w:vAlign w:val="center"/>
          </w:tcPr>
          <w:p>
            <w:pPr>
              <w:rPr>
                <w:rFonts w:ascii="黑体" w:eastAsia="黑体"/>
                <w:color w:val="000000"/>
              </w:rPr>
            </w:pPr>
          </w:p>
        </w:tc>
        <w:tc>
          <w:tcPr>
            <w:tcW w:w="3302" w:type="dxa"/>
            <w:vAlign w:val="center"/>
          </w:tcPr>
          <w:p>
            <w:pPr>
              <w:rPr>
                <w:color w:val="000000"/>
              </w:rPr>
            </w:pPr>
            <w:r>
              <w:rPr>
                <w:rFonts w:hint="eastAsia"/>
                <w:color w:val="000000"/>
              </w:rPr>
              <w:t>专业工程暂估价</w:t>
            </w:r>
          </w:p>
        </w:tc>
        <w:tc>
          <w:tcPr>
            <w:tcW w:w="1980" w:type="dxa"/>
            <w:vAlign w:val="center"/>
          </w:tcPr>
          <w:p>
            <w:pPr>
              <w:jc w:val="center"/>
              <w:rPr>
                <w:color w:val="000000"/>
              </w:rPr>
            </w:pPr>
          </w:p>
        </w:tc>
        <w:tc>
          <w:tcPr>
            <w:tcW w:w="1800" w:type="dxa"/>
            <w:vAlign w:val="center"/>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708" w:hRule="atLeast"/>
          <w:jc w:val="center"/>
        </w:trPr>
        <w:tc>
          <w:tcPr>
            <w:tcW w:w="818" w:type="dxa"/>
            <w:vAlign w:val="center"/>
          </w:tcPr>
          <w:p>
            <w:pPr>
              <w:jc w:val="center"/>
              <w:rPr>
                <w:rFonts w:ascii="黑体" w:eastAsia="黑体"/>
                <w:color w:val="000000"/>
              </w:rPr>
            </w:pPr>
            <w:r>
              <w:rPr>
                <w:rFonts w:hint="eastAsia" w:ascii="黑体" w:eastAsia="黑体"/>
                <w:color w:val="000000"/>
              </w:rPr>
              <w:t>三</w:t>
            </w:r>
          </w:p>
        </w:tc>
        <w:tc>
          <w:tcPr>
            <w:tcW w:w="3302" w:type="dxa"/>
            <w:vAlign w:val="center"/>
          </w:tcPr>
          <w:p>
            <w:pPr>
              <w:rPr>
                <w:color w:val="000000"/>
              </w:rPr>
            </w:pPr>
            <w:r>
              <w:rPr>
                <w:rFonts w:hint="eastAsia"/>
                <w:color w:val="000000"/>
              </w:rPr>
              <w:t>计日工</w:t>
            </w:r>
          </w:p>
        </w:tc>
        <w:tc>
          <w:tcPr>
            <w:tcW w:w="1980" w:type="dxa"/>
            <w:vAlign w:val="center"/>
          </w:tcPr>
          <w:p>
            <w:pPr>
              <w:jc w:val="center"/>
              <w:rPr>
                <w:color w:val="000000"/>
              </w:rPr>
            </w:pPr>
          </w:p>
        </w:tc>
        <w:tc>
          <w:tcPr>
            <w:tcW w:w="1800" w:type="dxa"/>
            <w:vAlign w:val="center"/>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704" w:hRule="atLeast"/>
          <w:jc w:val="center"/>
        </w:trPr>
        <w:tc>
          <w:tcPr>
            <w:tcW w:w="818" w:type="dxa"/>
            <w:vAlign w:val="center"/>
          </w:tcPr>
          <w:p>
            <w:pPr>
              <w:jc w:val="center"/>
              <w:rPr>
                <w:rFonts w:ascii="黑体" w:eastAsia="黑体"/>
                <w:color w:val="000000"/>
              </w:rPr>
            </w:pPr>
            <w:r>
              <w:rPr>
                <w:rFonts w:hint="eastAsia" w:ascii="黑体" w:eastAsia="黑体"/>
                <w:color w:val="000000"/>
              </w:rPr>
              <w:t>四</w:t>
            </w:r>
          </w:p>
        </w:tc>
        <w:tc>
          <w:tcPr>
            <w:tcW w:w="3302" w:type="dxa"/>
            <w:vAlign w:val="center"/>
          </w:tcPr>
          <w:p>
            <w:pPr>
              <w:rPr>
                <w:color w:val="000000"/>
              </w:rPr>
            </w:pPr>
            <w:r>
              <w:rPr>
                <w:rFonts w:hint="eastAsia"/>
                <w:color w:val="000000"/>
              </w:rPr>
              <w:t>总承包服务费</w:t>
            </w:r>
          </w:p>
        </w:tc>
        <w:tc>
          <w:tcPr>
            <w:tcW w:w="1980" w:type="dxa"/>
            <w:vAlign w:val="center"/>
          </w:tcPr>
          <w:p>
            <w:pPr>
              <w:jc w:val="center"/>
              <w:rPr>
                <w:color w:val="000000"/>
              </w:rPr>
            </w:pPr>
          </w:p>
        </w:tc>
        <w:tc>
          <w:tcPr>
            <w:tcW w:w="1800" w:type="dxa"/>
            <w:vAlign w:val="center"/>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545" w:hRule="atLeast"/>
          <w:jc w:val="center"/>
        </w:trPr>
        <w:tc>
          <w:tcPr>
            <w:tcW w:w="818" w:type="dxa"/>
            <w:vAlign w:val="center"/>
          </w:tcPr>
          <w:p>
            <w:pPr>
              <w:jc w:val="center"/>
              <w:rPr>
                <w:color w:val="000000"/>
              </w:rPr>
            </w:pPr>
            <w:r>
              <w:rPr>
                <w:rFonts w:hint="eastAsia"/>
                <w:color w:val="000000"/>
              </w:rPr>
              <w:t>五</w:t>
            </w:r>
          </w:p>
        </w:tc>
        <w:tc>
          <w:tcPr>
            <w:tcW w:w="3302" w:type="dxa"/>
            <w:vAlign w:val="center"/>
          </w:tcPr>
          <w:p>
            <w:pPr>
              <w:rPr>
                <w:color w:val="000000"/>
              </w:rPr>
            </w:pPr>
            <w:r>
              <w:rPr>
                <w:rFonts w:hint="eastAsia"/>
                <w:color w:val="000000"/>
              </w:rPr>
              <w:t>索赔与现场签证</w:t>
            </w:r>
          </w:p>
        </w:tc>
        <w:tc>
          <w:tcPr>
            <w:tcW w:w="1980" w:type="dxa"/>
            <w:vAlign w:val="center"/>
          </w:tcPr>
          <w:p>
            <w:pPr>
              <w:jc w:val="center"/>
              <w:rPr>
                <w:color w:val="000000"/>
              </w:rPr>
            </w:pPr>
          </w:p>
        </w:tc>
        <w:tc>
          <w:tcPr>
            <w:tcW w:w="1800" w:type="dxa"/>
            <w:vAlign w:val="center"/>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552" w:hRule="atLeast"/>
          <w:jc w:val="center"/>
        </w:trPr>
        <w:tc>
          <w:tcPr>
            <w:tcW w:w="818" w:type="dxa"/>
            <w:vAlign w:val="center"/>
          </w:tcPr>
          <w:p>
            <w:pPr>
              <w:jc w:val="center"/>
              <w:rPr>
                <w:color w:val="000000"/>
              </w:rPr>
            </w:pPr>
          </w:p>
        </w:tc>
        <w:tc>
          <w:tcPr>
            <w:tcW w:w="3302" w:type="dxa"/>
            <w:vAlign w:val="center"/>
          </w:tcPr>
          <w:p>
            <w:pPr>
              <w:rPr>
                <w:color w:val="000000"/>
              </w:rPr>
            </w:pPr>
          </w:p>
        </w:tc>
        <w:tc>
          <w:tcPr>
            <w:tcW w:w="1980" w:type="dxa"/>
            <w:vAlign w:val="center"/>
          </w:tcPr>
          <w:p>
            <w:pPr>
              <w:jc w:val="center"/>
              <w:rPr>
                <w:color w:val="000000"/>
              </w:rPr>
            </w:pPr>
          </w:p>
        </w:tc>
        <w:tc>
          <w:tcPr>
            <w:tcW w:w="1800" w:type="dxa"/>
            <w:vAlign w:val="center"/>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574" w:hRule="atLeast"/>
          <w:jc w:val="center"/>
        </w:trPr>
        <w:tc>
          <w:tcPr>
            <w:tcW w:w="818" w:type="dxa"/>
            <w:vAlign w:val="center"/>
          </w:tcPr>
          <w:p>
            <w:pPr>
              <w:jc w:val="center"/>
              <w:rPr>
                <w:color w:val="000000"/>
              </w:rPr>
            </w:pPr>
          </w:p>
        </w:tc>
        <w:tc>
          <w:tcPr>
            <w:tcW w:w="3302" w:type="dxa"/>
            <w:vAlign w:val="center"/>
          </w:tcPr>
          <w:p>
            <w:pPr>
              <w:rPr>
                <w:color w:val="000000"/>
              </w:rPr>
            </w:pPr>
          </w:p>
        </w:tc>
        <w:tc>
          <w:tcPr>
            <w:tcW w:w="1980" w:type="dxa"/>
            <w:vAlign w:val="center"/>
          </w:tcPr>
          <w:p>
            <w:pPr>
              <w:jc w:val="center"/>
              <w:rPr>
                <w:color w:val="000000"/>
              </w:rPr>
            </w:pPr>
          </w:p>
        </w:tc>
        <w:tc>
          <w:tcPr>
            <w:tcW w:w="1800" w:type="dxa"/>
            <w:vAlign w:val="center"/>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574" w:hRule="atLeast"/>
          <w:jc w:val="center"/>
        </w:trPr>
        <w:tc>
          <w:tcPr>
            <w:tcW w:w="818" w:type="dxa"/>
            <w:vAlign w:val="center"/>
          </w:tcPr>
          <w:p>
            <w:pPr>
              <w:jc w:val="center"/>
              <w:rPr>
                <w:color w:val="000000"/>
              </w:rPr>
            </w:pPr>
          </w:p>
        </w:tc>
        <w:tc>
          <w:tcPr>
            <w:tcW w:w="3302" w:type="dxa"/>
            <w:vAlign w:val="center"/>
          </w:tcPr>
          <w:p>
            <w:pPr>
              <w:rPr>
                <w:color w:val="000000"/>
              </w:rPr>
            </w:pPr>
          </w:p>
        </w:tc>
        <w:tc>
          <w:tcPr>
            <w:tcW w:w="1980" w:type="dxa"/>
            <w:vAlign w:val="center"/>
          </w:tcPr>
          <w:p>
            <w:pPr>
              <w:jc w:val="center"/>
              <w:rPr>
                <w:color w:val="000000"/>
              </w:rPr>
            </w:pPr>
          </w:p>
        </w:tc>
        <w:tc>
          <w:tcPr>
            <w:tcW w:w="1800" w:type="dxa"/>
            <w:vAlign w:val="center"/>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574" w:hRule="atLeast"/>
          <w:jc w:val="center"/>
        </w:trPr>
        <w:tc>
          <w:tcPr>
            <w:tcW w:w="818" w:type="dxa"/>
            <w:vAlign w:val="center"/>
          </w:tcPr>
          <w:p>
            <w:pPr>
              <w:jc w:val="center"/>
              <w:rPr>
                <w:color w:val="000000"/>
              </w:rPr>
            </w:pPr>
          </w:p>
        </w:tc>
        <w:tc>
          <w:tcPr>
            <w:tcW w:w="3302" w:type="dxa"/>
            <w:vAlign w:val="center"/>
          </w:tcPr>
          <w:p>
            <w:pPr>
              <w:rPr>
                <w:color w:val="000000"/>
              </w:rPr>
            </w:pPr>
          </w:p>
        </w:tc>
        <w:tc>
          <w:tcPr>
            <w:tcW w:w="1980" w:type="dxa"/>
            <w:vAlign w:val="center"/>
          </w:tcPr>
          <w:p>
            <w:pPr>
              <w:jc w:val="center"/>
              <w:rPr>
                <w:color w:val="000000"/>
              </w:rPr>
            </w:pPr>
          </w:p>
        </w:tc>
        <w:tc>
          <w:tcPr>
            <w:tcW w:w="1800" w:type="dxa"/>
            <w:vAlign w:val="center"/>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574" w:hRule="atLeast"/>
          <w:jc w:val="center"/>
        </w:trPr>
        <w:tc>
          <w:tcPr>
            <w:tcW w:w="818" w:type="dxa"/>
            <w:vAlign w:val="center"/>
          </w:tcPr>
          <w:p>
            <w:pPr>
              <w:jc w:val="center"/>
              <w:rPr>
                <w:color w:val="000000"/>
              </w:rPr>
            </w:pPr>
          </w:p>
        </w:tc>
        <w:tc>
          <w:tcPr>
            <w:tcW w:w="3302" w:type="dxa"/>
            <w:vAlign w:val="center"/>
          </w:tcPr>
          <w:p>
            <w:pPr>
              <w:rPr>
                <w:color w:val="000000"/>
              </w:rPr>
            </w:pPr>
          </w:p>
        </w:tc>
        <w:tc>
          <w:tcPr>
            <w:tcW w:w="1980" w:type="dxa"/>
            <w:vAlign w:val="center"/>
          </w:tcPr>
          <w:p>
            <w:pPr>
              <w:jc w:val="center"/>
              <w:rPr>
                <w:color w:val="000000"/>
              </w:rPr>
            </w:pPr>
          </w:p>
        </w:tc>
        <w:tc>
          <w:tcPr>
            <w:tcW w:w="1800" w:type="dxa"/>
            <w:vAlign w:val="center"/>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574" w:hRule="atLeast"/>
          <w:jc w:val="center"/>
        </w:trPr>
        <w:tc>
          <w:tcPr>
            <w:tcW w:w="818" w:type="dxa"/>
            <w:vAlign w:val="center"/>
          </w:tcPr>
          <w:p>
            <w:pPr>
              <w:jc w:val="center"/>
              <w:rPr>
                <w:color w:val="000000"/>
              </w:rPr>
            </w:pPr>
          </w:p>
        </w:tc>
        <w:tc>
          <w:tcPr>
            <w:tcW w:w="3302" w:type="dxa"/>
            <w:vAlign w:val="center"/>
          </w:tcPr>
          <w:p>
            <w:pPr>
              <w:rPr>
                <w:color w:val="000000"/>
              </w:rPr>
            </w:pPr>
          </w:p>
        </w:tc>
        <w:tc>
          <w:tcPr>
            <w:tcW w:w="1980" w:type="dxa"/>
            <w:vAlign w:val="center"/>
          </w:tcPr>
          <w:p>
            <w:pPr>
              <w:jc w:val="center"/>
              <w:rPr>
                <w:color w:val="000000"/>
              </w:rPr>
            </w:pPr>
          </w:p>
        </w:tc>
        <w:tc>
          <w:tcPr>
            <w:tcW w:w="1800" w:type="dxa"/>
            <w:vAlign w:val="center"/>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557" w:hRule="atLeast"/>
          <w:jc w:val="center"/>
        </w:trPr>
        <w:tc>
          <w:tcPr>
            <w:tcW w:w="818" w:type="dxa"/>
            <w:vAlign w:val="center"/>
          </w:tcPr>
          <w:p>
            <w:pPr>
              <w:jc w:val="center"/>
              <w:rPr>
                <w:color w:val="000000"/>
              </w:rPr>
            </w:pPr>
          </w:p>
        </w:tc>
        <w:tc>
          <w:tcPr>
            <w:tcW w:w="3302" w:type="dxa"/>
            <w:vAlign w:val="center"/>
          </w:tcPr>
          <w:p>
            <w:pPr>
              <w:rPr>
                <w:color w:val="000000"/>
              </w:rPr>
            </w:pPr>
          </w:p>
        </w:tc>
        <w:tc>
          <w:tcPr>
            <w:tcW w:w="1980" w:type="dxa"/>
            <w:vAlign w:val="center"/>
          </w:tcPr>
          <w:p>
            <w:pPr>
              <w:jc w:val="center"/>
              <w:rPr>
                <w:color w:val="000000"/>
              </w:rPr>
            </w:pPr>
          </w:p>
        </w:tc>
        <w:tc>
          <w:tcPr>
            <w:tcW w:w="1800" w:type="dxa"/>
            <w:vAlign w:val="center"/>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693" w:hRule="atLeast"/>
          <w:jc w:val="center"/>
        </w:trPr>
        <w:tc>
          <w:tcPr>
            <w:tcW w:w="4120" w:type="dxa"/>
            <w:gridSpan w:val="2"/>
            <w:vAlign w:val="center"/>
          </w:tcPr>
          <w:p>
            <w:pPr>
              <w:jc w:val="center"/>
              <w:rPr>
                <w:color w:val="000000"/>
              </w:rPr>
            </w:pPr>
            <w:r>
              <w:rPr>
                <w:rFonts w:hint="eastAsia"/>
                <w:color w:val="000000"/>
              </w:rPr>
              <w:t>合计</w:t>
            </w:r>
          </w:p>
        </w:tc>
        <w:tc>
          <w:tcPr>
            <w:tcW w:w="1980" w:type="dxa"/>
            <w:vAlign w:val="center"/>
          </w:tcPr>
          <w:p>
            <w:pPr>
              <w:jc w:val="center"/>
              <w:rPr>
                <w:color w:val="000000"/>
              </w:rPr>
            </w:pPr>
          </w:p>
        </w:tc>
        <w:tc>
          <w:tcPr>
            <w:tcW w:w="1800" w:type="dxa"/>
            <w:vAlign w:val="center"/>
          </w:tcPr>
          <w:p>
            <w:pPr>
              <w:jc w:val="center"/>
              <w:rPr>
                <w:color w:val="000000"/>
              </w:rPr>
            </w:pPr>
          </w:p>
        </w:tc>
      </w:tr>
    </w:tbl>
    <w:p>
      <w:pPr>
        <w:rPr>
          <w:rFonts w:ascii="黑体" w:eastAsia="黑体"/>
          <w:color w:val="000000"/>
          <w:sz w:val="24"/>
        </w:rPr>
      </w:pPr>
      <w:r>
        <w:rPr>
          <w:rFonts w:ascii="宋体" w:hAnsi="宋体"/>
          <w:color w:val="000000"/>
        </w:rPr>
        <w:br w:type="page"/>
      </w:r>
      <w:r>
        <w:rPr>
          <w:rFonts w:hint="eastAsia" w:ascii="黑体" w:eastAsia="黑体"/>
          <w:color w:val="000000"/>
          <w:sz w:val="24"/>
        </w:rPr>
        <w:t>4.16暂列金额明细表</w:t>
      </w:r>
    </w:p>
    <w:p>
      <w:pPr>
        <w:jc w:val="center"/>
        <w:rPr>
          <w:rFonts w:ascii="黑体" w:eastAsia="黑体"/>
          <w:b/>
          <w:color w:val="000000"/>
          <w:sz w:val="28"/>
          <w:szCs w:val="28"/>
        </w:rPr>
      </w:pPr>
      <w:r>
        <w:rPr>
          <w:rFonts w:hint="eastAsia" w:ascii="黑体" w:eastAsia="黑体"/>
          <w:b/>
          <w:color w:val="000000"/>
          <w:sz w:val="28"/>
          <w:szCs w:val="28"/>
        </w:rPr>
        <w:t>暂列金额明细表</w:t>
      </w:r>
    </w:p>
    <w:p>
      <w:pPr>
        <w:rPr>
          <w:rFonts w:ascii="宋体" w:hAnsi="宋体"/>
          <w:color w:val="000000"/>
          <w:sz w:val="24"/>
        </w:rPr>
      </w:pPr>
      <w:r>
        <w:rPr>
          <w:rFonts w:hint="eastAsia" w:ascii="宋体" w:hAnsi="宋体"/>
          <w:color w:val="000000"/>
          <w:sz w:val="24"/>
        </w:rPr>
        <w:t>工程名称：                 标段：                        第 页 共 页</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671"/>
        <w:gridCol w:w="1298"/>
        <w:gridCol w:w="2190"/>
        <w:gridCol w:w="1744"/>
      </w:tblGrid>
      <w:tr>
        <w:tc>
          <w:tcPr>
            <w:tcW w:w="817" w:type="dxa"/>
            <w:shd w:val="clear" w:color="auto" w:fill="auto"/>
          </w:tcPr>
          <w:p>
            <w:pPr>
              <w:jc w:val="center"/>
              <w:rPr>
                <w:rFonts w:ascii="宋体" w:hAnsi="宋体"/>
                <w:color w:val="000000"/>
                <w:sz w:val="24"/>
              </w:rPr>
            </w:pPr>
            <w:r>
              <w:rPr>
                <w:rFonts w:hint="eastAsia" w:ascii="宋体" w:hAnsi="宋体"/>
                <w:color w:val="000000"/>
                <w:sz w:val="24"/>
              </w:rPr>
              <w:t>序号</w:t>
            </w:r>
          </w:p>
        </w:tc>
        <w:tc>
          <w:tcPr>
            <w:tcW w:w="2671" w:type="dxa"/>
            <w:shd w:val="clear" w:color="auto" w:fill="auto"/>
          </w:tcPr>
          <w:p>
            <w:pPr>
              <w:jc w:val="center"/>
              <w:rPr>
                <w:rFonts w:ascii="宋体" w:hAnsi="宋体"/>
                <w:color w:val="000000"/>
                <w:sz w:val="24"/>
              </w:rPr>
            </w:pPr>
            <w:r>
              <w:rPr>
                <w:rFonts w:hint="eastAsia" w:ascii="宋体" w:hAnsi="宋体"/>
                <w:color w:val="000000"/>
                <w:sz w:val="24"/>
              </w:rPr>
              <w:t>项目名称</w:t>
            </w:r>
          </w:p>
        </w:tc>
        <w:tc>
          <w:tcPr>
            <w:tcW w:w="1298" w:type="dxa"/>
            <w:shd w:val="clear" w:color="auto" w:fill="auto"/>
          </w:tcPr>
          <w:p>
            <w:pPr>
              <w:jc w:val="center"/>
              <w:rPr>
                <w:rFonts w:ascii="宋体" w:hAnsi="宋体"/>
                <w:color w:val="000000"/>
                <w:sz w:val="24"/>
              </w:rPr>
            </w:pPr>
            <w:r>
              <w:rPr>
                <w:rFonts w:hint="eastAsia" w:ascii="宋体" w:hAnsi="宋体"/>
                <w:color w:val="000000"/>
                <w:sz w:val="24"/>
              </w:rPr>
              <w:t>计量单位</w:t>
            </w:r>
          </w:p>
        </w:tc>
        <w:tc>
          <w:tcPr>
            <w:tcW w:w="2190" w:type="dxa"/>
            <w:shd w:val="clear" w:color="auto" w:fill="auto"/>
          </w:tcPr>
          <w:p>
            <w:pPr>
              <w:jc w:val="center"/>
              <w:rPr>
                <w:rFonts w:ascii="宋体" w:hAnsi="宋体"/>
                <w:color w:val="000000"/>
                <w:sz w:val="24"/>
              </w:rPr>
            </w:pPr>
            <w:r>
              <w:rPr>
                <w:rFonts w:hint="eastAsia" w:ascii="宋体" w:hAnsi="宋体"/>
                <w:color w:val="000000"/>
                <w:sz w:val="24"/>
              </w:rPr>
              <w:t>暂定金额（元）</w:t>
            </w:r>
          </w:p>
        </w:tc>
        <w:tc>
          <w:tcPr>
            <w:tcW w:w="1744" w:type="dxa"/>
            <w:shd w:val="clear" w:color="auto" w:fill="auto"/>
          </w:tcPr>
          <w:p>
            <w:pPr>
              <w:jc w:val="center"/>
              <w:rPr>
                <w:rFonts w:ascii="宋体" w:hAnsi="宋体"/>
                <w:color w:val="000000"/>
                <w:sz w:val="24"/>
              </w:rPr>
            </w:pPr>
            <w:r>
              <w:rPr>
                <w:rFonts w:hint="eastAsia" w:ascii="宋体" w:hAnsi="宋体"/>
                <w:color w:val="00000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shd w:val="clear" w:color="auto" w:fill="auto"/>
          </w:tcPr>
          <w:p>
            <w:pPr>
              <w:rPr>
                <w:rFonts w:ascii="宋体" w:hAnsi="宋体"/>
                <w:color w:val="000000"/>
                <w:sz w:val="24"/>
              </w:rPr>
            </w:pPr>
          </w:p>
        </w:tc>
        <w:tc>
          <w:tcPr>
            <w:tcW w:w="2671" w:type="dxa"/>
            <w:shd w:val="clear" w:color="auto" w:fill="auto"/>
          </w:tcPr>
          <w:p>
            <w:pPr>
              <w:rPr>
                <w:rFonts w:ascii="宋体" w:hAnsi="宋体"/>
                <w:color w:val="000000"/>
                <w:sz w:val="24"/>
              </w:rPr>
            </w:pPr>
          </w:p>
        </w:tc>
        <w:tc>
          <w:tcPr>
            <w:tcW w:w="1298" w:type="dxa"/>
            <w:shd w:val="clear" w:color="auto" w:fill="auto"/>
          </w:tcPr>
          <w:p>
            <w:pPr>
              <w:rPr>
                <w:rFonts w:ascii="宋体" w:hAnsi="宋体"/>
                <w:color w:val="000000"/>
                <w:sz w:val="24"/>
              </w:rPr>
            </w:pPr>
          </w:p>
        </w:tc>
        <w:tc>
          <w:tcPr>
            <w:tcW w:w="2190" w:type="dxa"/>
            <w:shd w:val="clear" w:color="auto" w:fill="auto"/>
          </w:tcPr>
          <w:p>
            <w:pPr>
              <w:rPr>
                <w:rFonts w:ascii="宋体" w:hAnsi="宋体"/>
                <w:color w:val="000000"/>
                <w:sz w:val="24"/>
              </w:rPr>
            </w:pPr>
          </w:p>
        </w:tc>
        <w:tc>
          <w:tcPr>
            <w:tcW w:w="1744" w:type="dxa"/>
            <w:shd w:val="clear" w:color="auto" w:fill="auto"/>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shd w:val="clear" w:color="auto" w:fill="auto"/>
          </w:tcPr>
          <w:p>
            <w:pPr>
              <w:rPr>
                <w:rFonts w:ascii="宋体" w:hAnsi="宋体"/>
                <w:color w:val="000000"/>
                <w:sz w:val="24"/>
              </w:rPr>
            </w:pPr>
          </w:p>
        </w:tc>
        <w:tc>
          <w:tcPr>
            <w:tcW w:w="2671" w:type="dxa"/>
            <w:shd w:val="clear" w:color="auto" w:fill="auto"/>
          </w:tcPr>
          <w:p>
            <w:pPr>
              <w:rPr>
                <w:rFonts w:ascii="宋体" w:hAnsi="宋体"/>
                <w:color w:val="000000"/>
                <w:sz w:val="24"/>
              </w:rPr>
            </w:pPr>
          </w:p>
        </w:tc>
        <w:tc>
          <w:tcPr>
            <w:tcW w:w="1298" w:type="dxa"/>
            <w:shd w:val="clear" w:color="auto" w:fill="auto"/>
          </w:tcPr>
          <w:p>
            <w:pPr>
              <w:rPr>
                <w:rFonts w:ascii="宋体" w:hAnsi="宋体"/>
                <w:color w:val="000000"/>
                <w:sz w:val="24"/>
              </w:rPr>
            </w:pPr>
          </w:p>
        </w:tc>
        <w:tc>
          <w:tcPr>
            <w:tcW w:w="2190" w:type="dxa"/>
            <w:shd w:val="clear" w:color="auto" w:fill="auto"/>
          </w:tcPr>
          <w:p>
            <w:pPr>
              <w:rPr>
                <w:rFonts w:ascii="宋体" w:hAnsi="宋体"/>
                <w:color w:val="000000"/>
                <w:sz w:val="24"/>
              </w:rPr>
            </w:pPr>
          </w:p>
        </w:tc>
        <w:tc>
          <w:tcPr>
            <w:tcW w:w="1744" w:type="dxa"/>
            <w:shd w:val="clear" w:color="auto" w:fill="auto"/>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shd w:val="clear" w:color="auto" w:fill="auto"/>
          </w:tcPr>
          <w:p>
            <w:pPr>
              <w:rPr>
                <w:rFonts w:ascii="宋体" w:hAnsi="宋体"/>
                <w:color w:val="000000"/>
                <w:sz w:val="24"/>
              </w:rPr>
            </w:pPr>
          </w:p>
        </w:tc>
        <w:tc>
          <w:tcPr>
            <w:tcW w:w="2671" w:type="dxa"/>
            <w:shd w:val="clear" w:color="auto" w:fill="auto"/>
          </w:tcPr>
          <w:p>
            <w:pPr>
              <w:rPr>
                <w:rFonts w:ascii="宋体" w:hAnsi="宋体"/>
                <w:color w:val="000000"/>
                <w:sz w:val="24"/>
              </w:rPr>
            </w:pPr>
          </w:p>
        </w:tc>
        <w:tc>
          <w:tcPr>
            <w:tcW w:w="1298" w:type="dxa"/>
            <w:shd w:val="clear" w:color="auto" w:fill="auto"/>
          </w:tcPr>
          <w:p>
            <w:pPr>
              <w:rPr>
                <w:rFonts w:ascii="宋体" w:hAnsi="宋体"/>
                <w:color w:val="000000"/>
                <w:sz w:val="24"/>
              </w:rPr>
            </w:pPr>
          </w:p>
        </w:tc>
        <w:tc>
          <w:tcPr>
            <w:tcW w:w="2190" w:type="dxa"/>
            <w:shd w:val="clear" w:color="auto" w:fill="auto"/>
          </w:tcPr>
          <w:p>
            <w:pPr>
              <w:rPr>
                <w:rFonts w:ascii="宋体" w:hAnsi="宋体"/>
                <w:color w:val="000000"/>
                <w:sz w:val="24"/>
              </w:rPr>
            </w:pPr>
          </w:p>
        </w:tc>
        <w:tc>
          <w:tcPr>
            <w:tcW w:w="1744" w:type="dxa"/>
            <w:shd w:val="clear" w:color="auto" w:fill="auto"/>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shd w:val="clear" w:color="auto" w:fill="auto"/>
          </w:tcPr>
          <w:p>
            <w:pPr>
              <w:rPr>
                <w:rFonts w:ascii="宋体" w:hAnsi="宋体"/>
                <w:color w:val="000000"/>
                <w:sz w:val="24"/>
              </w:rPr>
            </w:pPr>
          </w:p>
        </w:tc>
        <w:tc>
          <w:tcPr>
            <w:tcW w:w="2671" w:type="dxa"/>
            <w:shd w:val="clear" w:color="auto" w:fill="auto"/>
          </w:tcPr>
          <w:p>
            <w:pPr>
              <w:rPr>
                <w:rFonts w:ascii="宋体" w:hAnsi="宋体"/>
                <w:color w:val="000000"/>
                <w:sz w:val="24"/>
              </w:rPr>
            </w:pPr>
          </w:p>
        </w:tc>
        <w:tc>
          <w:tcPr>
            <w:tcW w:w="1298" w:type="dxa"/>
            <w:shd w:val="clear" w:color="auto" w:fill="auto"/>
          </w:tcPr>
          <w:p>
            <w:pPr>
              <w:rPr>
                <w:rFonts w:ascii="宋体" w:hAnsi="宋体"/>
                <w:color w:val="000000"/>
                <w:sz w:val="24"/>
              </w:rPr>
            </w:pPr>
          </w:p>
        </w:tc>
        <w:tc>
          <w:tcPr>
            <w:tcW w:w="2190" w:type="dxa"/>
            <w:shd w:val="clear" w:color="auto" w:fill="auto"/>
          </w:tcPr>
          <w:p>
            <w:pPr>
              <w:rPr>
                <w:rFonts w:ascii="宋体" w:hAnsi="宋体"/>
                <w:color w:val="000000"/>
                <w:sz w:val="24"/>
              </w:rPr>
            </w:pPr>
          </w:p>
        </w:tc>
        <w:tc>
          <w:tcPr>
            <w:tcW w:w="1744" w:type="dxa"/>
            <w:shd w:val="clear" w:color="auto" w:fill="auto"/>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shd w:val="clear" w:color="auto" w:fill="auto"/>
          </w:tcPr>
          <w:p>
            <w:pPr>
              <w:rPr>
                <w:rFonts w:ascii="宋体" w:hAnsi="宋体"/>
                <w:color w:val="000000"/>
                <w:sz w:val="24"/>
              </w:rPr>
            </w:pPr>
          </w:p>
        </w:tc>
        <w:tc>
          <w:tcPr>
            <w:tcW w:w="2671" w:type="dxa"/>
            <w:shd w:val="clear" w:color="auto" w:fill="auto"/>
          </w:tcPr>
          <w:p>
            <w:pPr>
              <w:rPr>
                <w:rFonts w:ascii="宋体" w:hAnsi="宋体"/>
                <w:color w:val="000000"/>
                <w:sz w:val="24"/>
              </w:rPr>
            </w:pPr>
          </w:p>
        </w:tc>
        <w:tc>
          <w:tcPr>
            <w:tcW w:w="1298" w:type="dxa"/>
            <w:shd w:val="clear" w:color="auto" w:fill="auto"/>
          </w:tcPr>
          <w:p>
            <w:pPr>
              <w:rPr>
                <w:rFonts w:ascii="宋体" w:hAnsi="宋体"/>
                <w:color w:val="000000"/>
                <w:sz w:val="24"/>
              </w:rPr>
            </w:pPr>
          </w:p>
        </w:tc>
        <w:tc>
          <w:tcPr>
            <w:tcW w:w="2190" w:type="dxa"/>
            <w:shd w:val="clear" w:color="auto" w:fill="auto"/>
          </w:tcPr>
          <w:p>
            <w:pPr>
              <w:rPr>
                <w:rFonts w:ascii="宋体" w:hAnsi="宋体"/>
                <w:color w:val="000000"/>
                <w:sz w:val="24"/>
              </w:rPr>
            </w:pPr>
          </w:p>
        </w:tc>
        <w:tc>
          <w:tcPr>
            <w:tcW w:w="1744" w:type="dxa"/>
            <w:shd w:val="clear" w:color="auto" w:fill="auto"/>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shd w:val="clear" w:color="auto" w:fill="auto"/>
          </w:tcPr>
          <w:p>
            <w:pPr>
              <w:rPr>
                <w:rFonts w:ascii="宋体" w:hAnsi="宋体"/>
                <w:color w:val="000000"/>
                <w:sz w:val="24"/>
              </w:rPr>
            </w:pPr>
          </w:p>
        </w:tc>
        <w:tc>
          <w:tcPr>
            <w:tcW w:w="2671" w:type="dxa"/>
            <w:shd w:val="clear" w:color="auto" w:fill="auto"/>
          </w:tcPr>
          <w:p>
            <w:pPr>
              <w:rPr>
                <w:rFonts w:ascii="宋体" w:hAnsi="宋体"/>
                <w:color w:val="000000"/>
                <w:sz w:val="24"/>
              </w:rPr>
            </w:pPr>
          </w:p>
        </w:tc>
        <w:tc>
          <w:tcPr>
            <w:tcW w:w="1298" w:type="dxa"/>
            <w:shd w:val="clear" w:color="auto" w:fill="auto"/>
          </w:tcPr>
          <w:p>
            <w:pPr>
              <w:rPr>
                <w:rFonts w:ascii="宋体" w:hAnsi="宋体"/>
                <w:color w:val="000000"/>
                <w:sz w:val="24"/>
              </w:rPr>
            </w:pPr>
          </w:p>
        </w:tc>
        <w:tc>
          <w:tcPr>
            <w:tcW w:w="2190" w:type="dxa"/>
            <w:shd w:val="clear" w:color="auto" w:fill="auto"/>
          </w:tcPr>
          <w:p>
            <w:pPr>
              <w:rPr>
                <w:rFonts w:ascii="宋体" w:hAnsi="宋体"/>
                <w:color w:val="000000"/>
                <w:sz w:val="24"/>
              </w:rPr>
            </w:pPr>
          </w:p>
        </w:tc>
        <w:tc>
          <w:tcPr>
            <w:tcW w:w="1744" w:type="dxa"/>
            <w:shd w:val="clear" w:color="auto" w:fill="auto"/>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shd w:val="clear" w:color="auto" w:fill="auto"/>
          </w:tcPr>
          <w:p>
            <w:pPr>
              <w:rPr>
                <w:rFonts w:ascii="宋体" w:hAnsi="宋体"/>
                <w:color w:val="000000"/>
                <w:sz w:val="24"/>
              </w:rPr>
            </w:pPr>
          </w:p>
        </w:tc>
        <w:tc>
          <w:tcPr>
            <w:tcW w:w="2671" w:type="dxa"/>
            <w:shd w:val="clear" w:color="auto" w:fill="auto"/>
          </w:tcPr>
          <w:p>
            <w:pPr>
              <w:rPr>
                <w:rFonts w:ascii="宋体" w:hAnsi="宋体"/>
                <w:color w:val="000000"/>
                <w:sz w:val="24"/>
              </w:rPr>
            </w:pPr>
          </w:p>
        </w:tc>
        <w:tc>
          <w:tcPr>
            <w:tcW w:w="1298" w:type="dxa"/>
            <w:shd w:val="clear" w:color="auto" w:fill="auto"/>
          </w:tcPr>
          <w:p>
            <w:pPr>
              <w:rPr>
                <w:rFonts w:ascii="宋体" w:hAnsi="宋体"/>
                <w:color w:val="000000"/>
                <w:sz w:val="24"/>
              </w:rPr>
            </w:pPr>
          </w:p>
        </w:tc>
        <w:tc>
          <w:tcPr>
            <w:tcW w:w="2190" w:type="dxa"/>
            <w:shd w:val="clear" w:color="auto" w:fill="auto"/>
          </w:tcPr>
          <w:p>
            <w:pPr>
              <w:rPr>
                <w:rFonts w:ascii="宋体" w:hAnsi="宋体"/>
                <w:color w:val="000000"/>
                <w:sz w:val="24"/>
              </w:rPr>
            </w:pPr>
          </w:p>
        </w:tc>
        <w:tc>
          <w:tcPr>
            <w:tcW w:w="1744" w:type="dxa"/>
            <w:shd w:val="clear" w:color="auto" w:fill="auto"/>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shd w:val="clear" w:color="auto" w:fill="auto"/>
          </w:tcPr>
          <w:p>
            <w:pPr>
              <w:rPr>
                <w:rFonts w:ascii="宋体" w:hAnsi="宋体"/>
                <w:color w:val="000000"/>
                <w:sz w:val="24"/>
              </w:rPr>
            </w:pPr>
          </w:p>
        </w:tc>
        <w:tc>
          <w:tcPr>
            <w:tcW w:w="2671" w:type="dxa"/>
            <w:shd w:val="clear" w:color="auto" w:fill="auto"/>
          </w:tcPr>
          <w:p>
            <w:pPr>
              <w:rPr>
                <w:rFonts w:ascii="宋体" w:hAnsi="宋体"/>
                <w:color w:val="000000"/>
                <w:sz w:val="24"/>
              </w:rPr>
            </w:pPr>
          </w:p>
        </w:tc>
        <w:tc>
          <w:tcPr>
            <w:tcW w:w="1298" w:type="dxa"/>
            <w:shd w:val="clear" w:color="auto" w:fill="auto"/>
          </w:tcPr>
          <w:p>
            <w:pPr>
              <w:rPr>
                <w:rFonts w:ascii="宋体" w:hAnsi="宋体"/>
                <w:color w:val="000000"/>
                <w:sz w:val="24"/>
              </w:rPr>
            </w:pPr>
          </w:p>
        </w:tc>
        <w:tc>
          <w:tcPr>
            <w:tcW w:w="2190" w:type="dxa"/>
            <w:shd w:val="clear" w:color="auto" w:fill="auto"/>
          </w:tcPr>
          <w:p>
            <w:pPr>
              <w:rPr>
                <w:rFonts w:ascii="宋体" w:hAnsi="宋体"/>
                <w:color w:val="000000"/>
                <w:sz w:val="24"/>
              </w:rPr>
            </w:pPr>
          </w:p>
        </w:tc>
        <w:tc>
          <w:tcPr>
            <w:tcW w:w="1744" w:type="dxa"/>
            <w:shd w:val="clear" w:color="auto" w:fill="auto"/>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shd w:val="clear" w:color="auto" w:fill="auto"/>
          </w:tcPr>
          <w:p>
            <w:pPr>
              <w:rPr>
                <w:rFonts w:ascii="宋体" w:hAnsi="宋体"/>
                <w:color w:val="000000"/>
                <w:sz w:val="24"/>
              </w:rPr>
            </w:pPr>
          </w:p>
        </w:tc>
        <w:tc>
          <w:tcPr>
            <w:tcW w:w="2671" w:type="dxa"/>
            <w:shd w:val="clear" w:color="auto" w:fill="auto"/>
          </w:tcPr>
          <w:p>
            <w:pPr>
              <w:rPr>
                <w:rFonts w:ascii="宋体" w:hAnsi="宋体"/>
                <w:color w:val="000000"/>
                <w:sz w:val="24"/>
              </w:rPr>
            </w:pPr>
          </w:p>
        </w:tc>
        <w:tc>
          <w:tcPr>
            <w:tcW w:w="1298" w:type="dxa"/>
            <w:shd w:val="clear" w:color="auto" w:fill="auto"/>
          </w:tcPr>
          <w:p>
            <w:pPr>
              <w:rPr>
                <w:rFonts w:ascii="宋体" w:hAnsi="宋体"/>
                <w:color w:val="000000"/>
                <w:sz w:val="24"/>
              </w:rPr>
            </w:pPr>
          </w:p>
        </w:tc>
        <w:tc>
          <w:tcPr>
            <w:tcW w:w="2190" w:type="dxa"/>
            <w:shd w:val="clear" w:color="auto" w:fill="auto"/>
          </w:tcPr>
          <w:p>
            <w:pPr>
              <w:rPr>
                <w:rFonts w:ascii="宋体" w:hAnsi="宋体"/>
                <w:color w:val="000000"/>
                <w:sz w:val="24"/>
              </w:rPr>
            </w:pPr>
          </w:p>
        </w:tc>
        <w:tc>
          <w:tcPr>
            <w:tcW w:w="1744" w:type="dxa"/>
            <w:shd w:val="clear" w:color="auto" w:fill="auto"/>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shd w:val="clear" w:color="auto" w:fill="auto"/>
          </w:tcPr>
          <w:p>
            <w:pPr>
              <w:rPr>
                <w:rFonts w:ascii="宋体" w:hAnsi="宋体"/>
                <w:color w:val="000000"/>
                <w:sz w:val="24"/>
              </w:rPr>
            </w:pPr>
          </w:p>
        </w:tc>
        <w:tc>
          <w:tcPr>
            <w:tcW w:w="2671" w:type="dxa"/>
            <w:shd w:val="clear" w:color="auto" w:fill="auto"/>
          </w:tcPr>
          <w:p>
            <w:pPr>
              <w:rPr>
                <w:rFonts w:ascii="宋体" w:hAnsi="宋体"/>
                <w:color w:val="000000"/>
                <w:sz w:val="24"/>
              </w:rPr>
            </w:pPr>
          </w:p>
        </w:tc>
        <w:tc>
          <w:tcPr>
            <w:tcW w:w="1298" w:type="dxa"/>
            <w:shd w:val="clear" w:color="auto" w:fill="auto"/>
          </w:tcPr>
          <w:p>
            <w:pPr>
              <w:rPr>
                <w:rFonts w:ascii="宋体" w:hAnsi="宋体"/>
                <w:color w:val="000000"/>
                <w:sz w:val="24"/>
              </w:rPr>
            </w:pPr>
          </w:p>
        </w:tc>
        <w:tc>
          <w:tcPr>
            <w:tcW w:w="2190" w:type="dxa"/>
            <w:shd w:val="clear" w:color="auto" w:fill="auto"/>
          </w:tcPr>
          <w:p>
            <w:pPr>
              <w:rPr>
                <w:rFonts w:ascii="宋体" w:hAnsi="宋体"/>
                <w:color w:val="000000"/>
                <w:sz w:val="24"/>
              </w:rPr>
            </w:pPr>
          </w:p>
        </w:tc>
        <w:tc>
          <w:tcPr>
            <w:tcW w:w="1744" w:type="dxa"/>
            <w:shd w:val="clear" w:color="auto" w:fill="auto"/>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shd w:val="clear" w:color="auto" w:fill="auto"/>
          </w:tcPr>
          <w:p>
            <w:pPr>
              <w:rPr>
                <w:rFonts w:ascii="宋体" w:hAnsi="宋体"/>
                <w:color w:val="000000"/>
                <w:sz w:val="24"/>
              </w:rPr>
            </w:pPr>
          </w:p>
        </w:tc>
        <w:tc>
          <w:tcPr>
            <w:tcW w:w="2671" w:type="dxa"/>
            <w:shd w:val="clear" w:color="auto" w:fill="auto"/>
          </w:tcPr>
          <w:p>
            <w:pPr>
              <w:rPr>
                <w:rFonts w:ascii="宋体" w:hAnsi="宋体"/>
                <w:color w:val="000000"/>
                <w:sz w:val="24"/>
              </w:rPr>
            </w:pPr>
          </w:p>
        </w:tc>
        <w:tc>
          <w:tcPr>
            <w:tcW w:w="1298" w:type="dxa"/>
            <w:shd w:val="clear" w:color="auto" w:fill="auto"/>
          </w:tcPr>
          <w:p>
            <w:pPr>
              <w:rPr>
                <w:rFonts w:ascii="宋体" w:hAnsi="宋体"/>
                <w:color w:val="000000"/>
                <w:sz w:val="24"/>
              </w:rPr>
            </w:pPr>
          </w:p>
        </w:tc>
        <w:tc>
          <w:tcPr>
            <w:tcW w:w="2190" w:type="dxa"/>
            <w:shd w:val="clear" w:color="auto" w:fill="auto"/>
          </w:tcPr>
          <w:p>
            <w:pPr>
              <w:rPr>
                <w:rFonts w:ascii="宋体" w:hAnsi="宋体"/>
                <w:color w:val="000000"/>
                <w:sz w:val="24"/>
              </w:rPr>
            </w:pPr>
          </w:p>
        </w:tc>
        <w:tc>
          <w:tcPr>
            <w:tcW w:w="1744" w:type="dxa"/>
            <w:shd w:val="clear" w:color="auto" w:fill="auto"/>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shd w:val="clear" w:color="auto" w:fill="auto"/>
          </w:tcPr>
          <w:p>
            <w:pPr>
              <w:rPr>
                <w:rFonts w:ascii="宋体" w:hAnsi="宋体"/>
                <w:color w:val="000000"/>
                <w:sz w:val="24"/>
              </w:rPr>
            </w:pPr>
          </w:p>
        </w:tc>
        <w:tc>
          <w:tcPr>
            <w:tcW w:w="2671" w:type="dxa"/>
            <w:shd w:val="clear" w:color="auto" w:fill="auto"/>
          </w:tcPr>
          <w:p>
            <w:pPr>
              <w:rPr>
                <w:rFonts w:ascii="宋体" w:hAnsi="宋体"/>
                <w:color w:val="000000"/>
                <w:sz w:val="24"/>
              </w:rPr>
            </w:pPr>
          </w:p>
        </w:tc>
        <w:tc>
          <w:tcPr>
            <w:tcW w:w="1298" w:type="dxa"/>
            <w:shd w:val="clear" w:color="auto" w:fill="auto"/>
          </w:tcPr>
          <w:p>
            <w:pPr>
              <w:rPr>
                <w:rFonts w:ascii="宋体" w:hAnsi="宋体"/>
                <w:color w:val="000000"/>
                <w:sz w:val="24"/>
              </w:rPr>
            </w:pPr>
          </w:p>
        </w:tc>
        <w:tc>
          <w:tcPr>
            <w:tcW w:w="2190" w:type="dxa"/>
            <w:shd w:val="clear" w:color="auto" w:fill="auto"/>
          </w:tcPr>
          <w:p>
            <w:pPr>
              <w:rPr>
                <w:rFonts w:ascii="宋体" w:hAnsi="宋体"/>
                <w:color w:val="000000"/>
                <w:sz w:val="24"/>
              </w:rPr>
            </w:pPr>
          </w:p>
        </w:tc>
        <w:tc>
          <w:tcPr>
            <w:tcW w:w="1744" w:type="dxa"/>
            <w:shd w:val="clear" w:color="auto" w:fill="auto"/>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shd w:val="clear" w:color="auto" w:fill="auto"/>
          </w:tcPr>
          <w:p>
            <w:pPr>
              <w:rPr>
                <w:rFonts w:ascii="宋体" w:hAnsi="宋体"/>
                <w:color w:val="000000"/>
                <w:sz w:val="24"/>
              </w:rPr>
            </w:pPr>
          </w:p>
        </w:tc>
        <w:tc>
          <w:tcPr>
            <w:tcW w:w="2671" w:type="dxa"/>
            <w:shd w:val="clear" w:color="auto" w:fill="auto"/>
          </w:tcPr>
          <w:p>
            <w:pPr>
              <w:rPr>
                <w:rFonts w:ascii="宋体" w:hAnsi="宋体"/>
                <w:color w:val="000000"/>
                <w:sz w:val="24"/>
              </w:rPr>
            </w:pPr>
          </w:p>
        </w:tc>
        <w:tc>
          <w:tcPr>
            <w:tcW w:w="1298" w:type="dxa"/>
            <w:shd w:val="clear" w:color="auto" w:fill="auto"/>
          </w:tcPr>
          <w:p>
            <w:pPr>
              <w:rPr>
                <w:rFonts w:ascii="宋体" w:hAnsi="宋体"/>
                <w:color w:val="000000"/>
                <w:sz w:val="24"/>
              </w:rPr>
            </w:pPr>
          </w:p>
        </w:tc>
        <w:tc>
          <w:tcPr>
            <w:tcW w:w="2190" w:type="dxa"/>
            <w:shd w:val="clear" w:color="auto" w:fill="auto"/>
          </w:tcPr>
          <w:p>
            <w:pPr>
              <w:rPr>
                <w:rFonts w:ascii="宋体" w:hAnsi="宋体"/>
                <w:color w:val="000000"/>
                <w:sz w:val="24"/>
              </w:rPr>
            </w:pPr>
          </w:p>
        </w:tc>
        <w:tc>
          <w:tcPr>
            <w:tcW w:w="1744" w:type="dxa"/>
            <w:shd w:val="clear" w:color="auto" w:fill="auto"/>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shd w:val="clear" w:color="auto" w:fill="auto"/>
          </w:tcPr>
          <w:p>
            <w:pPr>
              <w:rPr>
                <w:rFonts w:ascii="宋体" w:hAnsi="宋体"/>
                <w:color w:val="000000"/>
                <w:sz w:val="24"/>
              </w:rPr>
            </w:pPr>
          </w:p>
        </w:tc>
        <w:tc>
          <w:tcPr>
            <w:tcW w:w="2671" w:type="dxa"/>
            <w:shd w:val="clear" w:color="auto" w:fill="auto"/>
          </w:tcPr>
          <w:p>
            <w:pPr>
              <w:rPr>
                <w:rFonts w:ascii="宋体" w:hAnsi="宋体"/>
                <w:color w:val="000000"/>
                <w:sz w:val="24"/>
              </w:rPr>
            </w:pPr>
          </w:p>
        </w:tc>
        <w:tc>
          <w:tcPr>
            <w:tcW w:w="1298" w:type="dxa"/>
            <w:shd w:val="clear" w:color="auto" w:fill="auto"/>
          </w:tcPr>
          <w:p>
            <w:pPr>
              <w:rPr>
                <w:rFonts w:ascii="宋体" w:hAnsi="宋体"/>
                <w:color w:val="000000"/>
                <w:sz w:val="24"/>
              </w:rPr>
            </w:pPr>
          </w:p>
        </w:tc>
        <w:tc>
          <w:tcPr>
            <w:tcW w:w="2190" w:type="dxa"/>
            <w:shd w:val="clear" w:color="auto" w:fill="auto"/>
          </w:tcPr>
          <w:p>
            <w:pPr>
              <w:rPr>
                <w:rFonts w:ascii="宋体" w:hAnsi="宋体"/>
                <w:color w:val="000000"/>
                <w:sz w:val="24"/>
              </w:rPr>
            </w:pPr>
          </w:p>
        </w:tc>
        <w:tc>
          <w:tcPr>
            <w:tcW w:w="1744" w:type="dxa"/>
            <w:shd w:val="clear" w:color="auto" w:fill="auto"/>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shd w:val="clear" w:color="auto" w:fill="auto"/>
          </w:tcPr>
          <w:p>
            <w:pPr>
              <w:rPr>
                <w:rFonts w:ascii="宋体" w:hAnsi="宋体"/>
                <w:color w:val="000000"/>
                <w:sz w:val="24"/>
              </w:rPr>
            </w:pPr>
          </w:p>
        </w:tc>
        <w:tc>
          <w:tcPr>
            <w:tcW w:w="2671" w:type="dxa"/>
            <w:shd w:val="clear" w:color="auto" w:fill="auto"/>
          </w:tcPr>
          <w:p>
            <w:pPr>
              <w:rPr>
                <w:rFonts w:ascii="宋体" w:hAnsi="宋体"/>
                <w:color w:val="000000"/>
                <w:sz w:val="24"/>
              </w:rPr>
            </w:pPr>
          </w:p>
        </w:tc>
        <w:tc>
          <w:tcPr>
            <w:tcW w:w="1298" w:type="dxa"/>
            <w:shd w:val="clear" w:color="auto" w:fill="auto"/>
          </w:tcPr>
          <w:p>
            <w:pPr>
              <w:rPr>
                <w:rFonts w:ascii="宋体" w:hAnsi="宋体"/>
                <w:color w:val="000000"/>
                <w:sz w:val="24"/>
              </w:rPr>
            </w:pPr>
          </w:p>
        </w:tc>
        <w:tc>
          <w:tcPr>
            <w:tcW w:w="2190" w:type="dxa"/>
            <w:shd w:val="clear" w:color="auto" w:fill="auto"/>
          </w:tcPr>
          <w:p>
            <w:pPr>
              <w:rPr>
                <w:rFonts w:ascii="宋体" w:hAnsi="宋体"/>
                <w:color w:val="000000"/>
                <w:sz w:val="24"/>
              </w:rPr>
            </w:pPr>
          </w:p>
        </w:tc>
        <w:tc>
          <w:tcPr>
            <w:tcW w:w="1744" w:type="dxa"/>
            <w:shd w:val="clear" w:color="auto" w:fill="auto"/>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shd w:val="clear" w:color="auto" w:fill="auto"/>
          </w:tcPr>
          <w:p>
            <w:pPr>
              <w:rPr>
                <w:rFonts w:ascii="宋体" w:hAnsi="宋体"/>
                <w:color w:val="000000"/>
                <w:sz w:val="24"/>
              </w:rPr>
            </w:pPr>
          </w:p>
        </w:tc>
        <w:tc>
          <w:tcPr>
            <w:tcW w:w="2671" w:type="dxa"/>
            <w:shd w:val="clear" w:color="auto" w:fill="auto"/>
          </w:tcPr>
          <w:p>
            <w:pPr>
              <w:rPr>
                <w:rFonts w:ascii="宋体" w:hAnsi="宋体"/>
                <w:color w:val="000000"/>
                <w:sz w:val="24"/>
              </w:rPr>
            </w:pPr>
          </w:p>
        </w:tc>
        <w:tc>
          <w:tcPr>
            <w:tcW w:w="1298" w:type="dxa"/>
            <w:shd w:val="clear" w:color="auto" w:fill="auto"/>
          </w:tcPr>
          <w:p>
            <w:pPr>
              <w:rPr>
                <w:rFonts w:ascii="宋体" w:hAnsi="宋体"/>
                <w:color w:val="000000"/>
                <w:sz w:val="24"/>
              </w:rPr>
            </w:pPr>
          </w:p>
        </w:tc>
        <w:tc>
          <w:tcPr>
            <w:tcW w:w="2190" w:type="dxa"/>
            <w:shd w:val="clear" w:color="auto" w:fill="auto"/>
          </w:tcPr>
          <w:p>
            <w:pPr>
              <w:rPr>
                <w:rFonts w:ascii="宋体" w:hAnsi="宋体"/>
                <w:color w:val="000000"/>
                <w:sz w:val="24"/>
              </w:rPr>
            </w:pPr>
          </w:p>
        </w:tc>
        <w:tc>
          <w:tcPr>
            <w:tcW w:w="1744" w:type="dxa"/>
            <w:shd w:val="clear" w:color="auto" w:fill="auto"/>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shd w:val="clear" w:color="auto" w:fill="auto"/>
          </w:tcPr>
          <w:p>
            <w:pPr>
              <w:rPr>
                <w:rFonts w:ascii="宋体" w:hAnsi="宋体"/>
                <w:color w:val="000000"/>
                <w:sz w:val="24"/>
              </w:rPr>
            </w:pPr>
          </w:p>
        </w:tc>
        <w:tc>
          <w:tcPr>
            <w:tcW w:w="2671" w:type="dxa"/>
            <w:shd w:val="clear" w:color="auto" w:fill="auto"/>
          </w:tcPr>
          <w:p>
            <w:pPr>
              <w:rPr>
                <w:rFonts w:ascii="宋体" w:hAnsi="宋体"/>
                <w:color w:val="000000"/>
                <w:sz w:val="24"/>
              </w:rPr>
            </w:pPr>
          </w:p>
        </w:tc>
        <w:tc>
          <w:tcPr>
            <w:tcW w:w="1298" w:type="dxa"/>
            <w:shd w:val="clear" w:color="auto" w:fill="auto"/>
          </w:tcPr>
          <w:p>
            <w:pPr>
              <w:rPr>
                <w:rFonts w:ascii="宋体" w:hAnsi="宋体"/>
                <w:color w:val="000000"/>
                <w:sz w:val="24"/>
              </w:rPr>
            </w:pPr>
          </w:p>
        </w:tc>
        <w:tc>
          <w:tcPr>
            <w:tcW w:w="2190" w:type="dxa"/>
            <w:shd w:val="clear" w:color="auto" w:fill="auto"/>
          </w:tcPr>
          <w:p>
            <w:pPr>
              <w:rPr>
                <w:rFonts w:ascii="宋体" w:hAnsi="宋体"/>
                <w:color w:val="000000"/>
                <w:sz w:val="24"/>
              </w:rPr>
            </w:pPr>
          </w:p>
        </w:tc>
        <w:tc>
          <w:tcPr>
            <w:tcW w:w="1744" w:type="dxa"/>
            <w:shd w:val="clear" w:color="auto" w:fill="auto"/>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shd w:val="clear" w:color="auto" w:fill="auto"/>
          </w:tcPr>
          <w:p>
            <w:pPr>
              <w:rPr>
                <w:rFonts w:ascii="宋体" w:hAnsi="宋体"/>
                <w:color w:val="000000"/>
                <w:sz w:val="24"/>
              </w:rPr>
            </w:pPr>
          </w:p>
        </w:tc>
        <w:tc>
          <w:tcPr>
            <w:tcW w:w="2671" w:type="dxa"/>
            <w:shd w:val="clear" w:color="auto" w:fill="auto"/>
          </w:tcPr>
          <w:p>
            <w:pPr>
              <w:rPr>
                <w:rFonts w:ascii="宋体" w:hAnsi="宋体"/>
                <w:color w:val="000000"/>
                <w:sz w:val="24"/>
              </w:rPr>
            </w:pPr>
          </w:p>
        </w:tc>
        <w:tc>
          <w:tcPr>
            <w:tcW w:w="1298" w:type="dxa"/>
            <w:shd w:val="clear" w:color="auto" w:fill="auto"/>
          </w:tcPr>
          <w:p>
            <w:pPr>
              <w:rPr>
                <w:rFonts w:ascii="宋体" w:hAnsi="宋体"/>
                <w:color w:val="000000"/>
                <w:sz w:val="24"/>
              </w:rPr>
            </w:pPr>
          </w:p>
        </w:tc>
        <w:tc>
          <w:tcPr>
            <w:tcW w:w="2190" w:type="dxa"/>
            <w:shd w:val="clear" w:color="auto" w:fill="auto"/>
          </w:tcPr>
          <w:p>
            <w:pPr>
              <w:rPr>
                <w:rFonts w:ascii="宋体" w:hAnsi="宋体"/>
                <w:color w:val="000000"/>
                <w:sz w:val="24"/>
              </w:rPr>
            </w:pPr>
          </w:p>
        </w:tc>
        <w:tc>
          <w:tcPr>
            <w:tcW w:w="1744" w:type="dxa"/>
            <w:shd w:val="clear" w:color="auto" w:fill="auto"/>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shd w:val="clear" w:color="auto" w:fill="auto"/>
          </w:tcPr>
          <w:p>
            <w:pPr>
              <w:rPr>
                <w:rFonts w:ascii="宋体" w:hAnsi="宋体"/>
                <w:color w:val="000000"/>
                <w:sz w:val="24"/>
              </w:rPr>
            </w:pPr>
          </w:p>
        </w:tc>
        <w:tc>
          <w:tcPr>
            <w:tcW w:w="2671" w:type="dxa"/>
            <w:shd w:val="clear" w:color="auto" w:fill="auto"/>
          </w:tcPr>
          <w:p>
            <w:pPr>
              <w:rPr>
                <w:rFonts w:ascii="宋体" w:hAnsi="宋体"/>
                <w:color w:val="000000"/>
                <w:sz w:val="24"/>
              </w:rPr>
            </w:pPr>
          </w:p>
        </w:tc>
        <w:tc>
          <w:tcPr>
            <w:tcW w:w="1298" w:type="dxa"/>
            <w:shd w:val="clear" w:color="auto" w:fill="auto"/>
          </w:tcPr>
          <w:p>
            <w:pPr>
              <w:rPr>
                <w:rFonts w:ascii="宋体" w:hAnsi="宋体"/>
                <w:color w:val="000000"/>
                <w:sz w:val="24"/>
              </w:rPr>
            </w:pPr>
          </w:p>
        </w:tc>
        <w:tc>
          <w:tcPr>
            <w:tcW w:w="2190" w:type="dxa"/>
            <w:shd w:val="clear" w:color="auto" w:fill="auto"/>
          </w:tcPr>
          <w:p>
            <w:pPr>
              <w:rPr>
                <w:rFonts w:ascii="宋体" w:hAnsi="宋体"/>
                <w:color w:val="000000"/>
                <w:sz w:val="24"/>
              </w:rPr>
            </w:pPr>
          </w:p>
        </w:tc>
        <w:tc>
          <w:tcPr>
            <w:tcW w:w="1744" w:type="dxa"/>
            <w:shd w:val="clear" w:color="auto" w:fill="auto"/>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shd w:val="clear" w:color="auto" w:fill="auto"/>
          </w:tcPr>
          <w:p>
            <w:pPr>
              <w:rPr>
                <w:rFonts w:ascii="宋体" w:hAnsi="宋体"/>
                <w:color w:val="000000"/>
                <w:sz w:val="24"/>
              </w:rPr>
            </w:pPr>
          </w:p>
        </w:tc>
        <w:tc>
          <w:tcPr>
            <w:tcW w:w="2671" w:type="dxa"/>
            <w:shd w:val="clear" w:color="auto" w:fill="auto"/>
          </w:tcPr>
          <w:p>
            <w:pPr>
              <w:rPr>
                <w:rFonts w:ascii="宋体" w:hAnsi="宋体"/>
                <w:color w:val="000000"/>
                <w:sz w:val="24"/>
              </w:rPr>
            </w:pPr>
          </w:p>
        </w:tc>
        <w:tc>
          <w:tcPr>
            <w:tcW w:w="1298" w:type="dxa"/>
            <w:shd w:val="clear" w:color="auto" w:fill="auto"/>
          </w:tcPr>
          <w:p>
            <w:pPr>
              <w:rPr>
                <w:rFonts w:ascii="宋体" w:hAnsi="宋体"/>
                <w:color w:val="000000"/>
                <w:sz w:val="24"/>
              </w:rPr>
            </w:pPr>
          </w:p>
        </w:tc>
        <w:tc>
          <w:tcPr>
            <w:tcW w:w="2190" w:type="dxa"/>
            <w:shd w:val="clear" w:color="auto" w:fill="auto"/>
          </w:tcPr>
          <w:p>
            <w:pPr>
              <w:rPr>
                <w:rFonts w:ascii="宋体" w:hAnsi="宋体"/>
                <w:color w:val="000000"/>
                <w:sz w:val="24"/>
              </w:rPr>
            </w:pPr>
          </w:p>
        </w:tc>
        <w:tc>
          <w:tcPr>
            <w:tcW w:w="1744" w:type="dxa"/>
            <w:shd w:val="clear" w:color="auto" w:fill="auto"/>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shd w:val="clear" w:color="auto" w:fill="auto"/>
          </w:tcPr>
          <w:p>
            <w:pPr>
              <w:rPr>
                <w:rFonts w:ascii="宋体" w:hAnsi="宋体"/>
                <w:color w:val="000000"/>
                <w:sz w:val="24"/>
              </w:rPr>
            </w:pPr>
          </w:p>
        </w:tc>
        <w:tc>
          <w:tcPr>
            <w:tcW w:w="2671" w:type="dxa"/>
            <w:shd w:val="clear" w:color="auto" w:fill="auto"/>
          </w:tcPr>
          <w:p>
            <w:pPr>
              <w:rPr>
                <w:rFonts w:ascii="宋体" w:hAnsi="宋体"/>
                <w:color w:val="000000"/>
                <w:sz w:val="24"/>
              </w:rPr>
            </w:pPr>
          </w:p>
        </w:tc>
        <w:tc>
          <w:tcPr>
            <w:tcW w:w="1298" w:type="dxa"/>
            <w:shd w:val="clear" w:color="auto" w:fill="auto"/>
          </w:tcPr>
          <w:p>
            <w:pPr>
              <w:rPr>
                <w:rFonts w:ascii="宋体" w:hAnsi="宋体"/>
                <w:color w:val="000000"/>
                <w:sz w:val="24"/>
              </w:rPr>
            </w:pPr>
          </w:p>
        </w:tc>
        <w:tc>
          <w:tcPr>
            <w:tcW w:w="2190" w:type="dxa"/>
            <w:shd w:val="clear" w:color="auto" w:fill="auto"/>
          </w:tcPr>
          <w:p>
            <w:pPr>
              <w:rPr>
                <w:rFonts w:ascii="宋体" w:hAnsi="宋体"/>
                <w:color w:val="000000"/>
                <w:sz w:val="24"/>
              </w:rPr>
            </w:pPr>
          </w:p>
        </w:tc>
        <w:tc>
          <w:tcPr>
            <w:tcW w:w="1744" w:type="dxa"/>
            <w:shd w:val="clear" w:color="auto" w:fill="auto"/>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shd w:val="clear" w:color="auto" w:fill="auto"/>
          </w:tcPr>
          <w:p>
            <w:pPr>
              <w:rPr>
                <w:rFonts w:ascii="宋体" w:hAnsi="宋体"/>
                <w:color w:val="000000"/>
                <w:sz w:val="24"/>
              </w:rPr>
            </w:pPr>
          </w:p>
        </w:tc>
        <w:tc>
          <w:tcPr>
            <w:tcW w:w="2671" w:type="dxa"/>
            <w:shd w:val="clear" w:color="auto" w:fill="auto"/>
          </w:tcPr>
          <w:p>
            <w:pPr>
              <w:rPr>
                <w:rFonts w:ascii="宋体" w:hAnsi="宋体"/>
                <w:color w:val="000000"/>
                <w:sz w:val="24"/>
              </w:rPr>
            </w:pPr>
          </w:p>
        </w:tc>
        <w:tc>
          <w:tcPr>
            <w:tcW w:w="1298" w:type="dxa"/>
            <w:shd w:val="clear" w:color="auto" w:fill="auto"/>
          </w:tcPr>
          <w:p>
            <w:pPr>
              <w:rPr>
                <w:rFonts w:ascii="宋体" w:hAnsi="宋体"/>
                <w:color w:val="000000"/>
                <w:sz w:val="24"/>
              </w:rPr>
            </w:pPr>
          </w:p>
        </w:tc>
        <w:tc>
          <w:tcPr>
            <w:tcW w:w="2190" w:type="dxa"/>
            <w:shd w:val="clear" w:color="auto" w:fill="auto"/>
          </w:tcPr>
          <w:p>
            <w:pPr>
              <w:rPr>
                <w:rFonts w:ascii="宋体" w:hAnsi="宋体"/>
                <w:color w:val="000000"/>
                <w:sz w:val="24"/>
              </w:rPr>
            </w:pPr>
          </w:p>
        </w:tc>
        <w:tc>
          <w:tcPr>
            <w:tcW w:w="1744" w:type="dxa"/>
            <w:shd w:val="clear" w:color="auto" w:fill="auto"/>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shd w:val="clear" w:color="auto" w:fill="auto"/>
          </w:tcPr>
          <w:p>
            <w:pPr>
              <w:rPr>
                <w:rFonts w:ascii="宋体" w:hAnsi="宋体"/>
                <w:color w:val="000000"/>
                <w:sz w:val="24"/>
              </w:rPr>
            </w:pPr>
          </w:p>
        </w:tc>
        <w:tc>
          <w:tcPr>
            <w:tcW w:w="2671" w:type="dxa"/>
            <w:shd w:val="clear" w:color="auto" w:fill="auto"/>
          </w:tcPr>
          <w:p>
            <w:pPr>
              <w:rPr>
                <w:rFonts w:ascii="宋体" w:hAnsi="宋体"/>
                <w:color w:val="000000"/>
                <w:sz w:val="24"/>
              </w:rPr>
            </w:pPr>
          </w:p>
        </w:tc>
        <w:tc>
          <w:tcPr>
            <w:tcW w:w="1298" w:type="dxa"/>
            <w:shd w:val="clear" w:color="auto" w:fill="auto"/>
          </w:tcPr>
          <w:p>
            <w:pPr>
              <w:rPr>
                <w:rFonts w:ascii="宋体" w:hAnsi="宋体"/>
                <w:color w:val="000000"/>
                <w:sz w:val="24"/>
              </w:rPr>
            </w:pPr>
          </w:p>
        </w:tc>
        <w:tc>
          <w:tcPr>
            <w:tcW w:w="2190" w:type="dxa"/>
            <w:shd w:val="clear" w:color="auto" w:fill="auto"/>
          </w:tcPr>
          <w:p>
            <w:pPr>
              <w:rPr>
                <w:rFonts w:ascii="宋体" w:hAnsi="宋体"/>
                <w:color w:val="000000"/>
                <w:sz w:val="24"/>
              </w:rPr>
            </w:pPr>
          </w:p>
        </w:tc>
        <w:tc>
          <w:tcPr>
            <w:tcW w:w="1744" w:type="dxa"/>
            <w:shd w:val="clear" w:color="auto" w:fill="auto"/>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shd w:val="clear" w:color="auto" w:fill="auto"/>
          </w:tcPr>
          <w:p>
            <w:pPr>
              <w:rPr>
                <w:rFonts w:ascii="宋体" w:hAnsi="宋体"/>
                <w:color w:val="000000"/>
                <w:sz w:val="24"/>
              </w:rPr>
            </w:pPr>
          </w:p>
        </w:tc>
        <w:tc>
          <w:tcPr>
            <w:tcW w:w="2671" w:type="dxa"/>
            <w:shd w:val="clear" w:color="auto" w:fill="auto"/>
          </w:tcPr>
          <w:p>
            <w:pPr>
              <w:rPr>
                <w:rFonts w:ascii="宋体" w:hAnsi="宋体"/>
                <w:color w:val="000000"/>
                <w:sz w:val="24"/>
              </w:rPr>
            </w:pPr>
          </w:p>
        </w:tc>
        <w:tc>
          <w:tcPr>
            <w:tcW w:w="1298" w:type="dxa"/>
            <w:shd w:val="clear" w:color="auto" w:fill="auto"/>
          </w:tcPr>
          <w:p>
            <w:pPr>
              <w:rPr>
                <w:rFonts w:ascii="宋体" w:hAnsi="宋体"/>
                <w:color w:val="000000"/>
                <w:sz w:val="24"/>
              </w:rPr>
            </w:pPr>
          </w:p>
        </w:tc>
        <w:tc>
          <w:tcPr>
            <w:tcW w:w="2190" w:type="dxa"/>
            <w:shd w:val="clear" w:color="auto" w:fill="auto"/>
          </w:tcPr>
          <w:p>
            <w:pPr>
              <w:rPr>
                <w:rFonts w:ascii="宋体" w:hAnsi="宋体"/>
                <w:color w:val="000000"/>
                <w:sz w:val="24"/>
              </w:rPr>
            </w:pPr>
          </w:p>
        </w:tc>
        <w:tc>
          <w:tcPr>
            <w:tcW w:w="1744" w:type="dxa"/>
            <w:shd w:val="clear" w:color="auto" w:fill="auto"/>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shd w:val="clear" w:color="auto" w:fill="auto"/>
          </w:tcPr>
          <w:p>
            <w:pPr>
              <w:rPr>
                <w:rFonts w:ascii="宋体" w:hAnsi="宋体"/>
                <w:color w:val="000000"/>
                <w:sz w:val="24"/>
              </w:rPr>
            </w:pPr>
          </w:p>
        </w:tc>
        <w:tc>
          <w:tcPr>
            <w:tcW w:w="2671" w:type="dxa"/>
            <w:shd w:val="clear" w:color="auto" w:fill="auto"/>
          </w:tcPr>
          <w:p>
            <w:pPr>
              <w:rPr>
                <w:rFonts w:ascii="宋体" w:hAnsi="宋体"/>
                <w:color w:val="000000"/>
                <w:sz w:val="24"/>
              </w:rPr>
            </w:pPr>
          </w:p>
        </w:tc>
        <w:tc>
          <w:tcPr>
            <w:tcW w:w="1298" w:type="dxa"/>
            <w:shd w:val="clear" w:color="auto" w:fill="auto"/>
          </w:tcPr>
          <w:p>
            <w:pPr>
              <w:rPr>
                <w:rFonts w:ascii="宋体" w:hAnsi="宋体"/>
                <w:color w:val="000000"/>
                <w:sz w:val="24"/>
              </w:rPr>
            </w:pPr>
          </w:p>
        </w:tc>
        <w:tc>
          <w:tcPr>
            <w:tcW w:w="2190" w:type="dxa"/>
            <w:shd w:val="clear" w:color="auto" w:fill="auto"/>
          </w:tcPr>
          <w:p>
            <w:pPr>
              <w:rPr>
                <w:rFonts w:ascii="宋体" w:hAnsi="宋体"/>
                <w:color w:val="000000"/>
                <w:sz w:val="24"/>
              </w:rPr>
            </w:pPr>
          </w:p>
        </w:tc>
        <w:tc>
          <w:tcPr>
            <w:tcW w:w="1744" w:type="dxa"/>
            <w:shd w:val="clear" w:color="auto" w:fill="auto"/>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shd w:val="clear" w:color="auto" w:fill="auto"/>
          </w:tcPr>
          <w:p>
            <w:pPr>
              <w:rPr>
                <w:rFonts w:ascii="宋体" w:hAnsi="宋体"/>
                <w:color w:val="000000"/>
                <w:sz w:val="24"/>
              </w:rPr>
            </w:pPr>
          </w:p>
        </w:tc>
        <w:tc>
          <w:tcPr>
            <w:tcW w:w="2671" w:type="dxa"/>
            <w:shd w:val="clear" w:color="auto" w:fill="auto"/>
          </w:tcPr>
          <w:p>
            <w:pPr>
              <w:rPr>
                <w:rFonts w:ascii="宋体" w:hAnsi="宋体"/>
                <w:color w:val="000000"/>
                <w:sz w:val="24"/>
              </w:rPr>
            </w:pPr>
          </w:p>
        </w:tc>
        <w:tc>
          <w:tcPr>
            <w:tcW w:w="1298" w:type="dxa"/>
            <w:shd w:val="clear" w:color="auto" w:fill="auto"/>
          </w:tcPr>
          <w:p>
            <w:pPr>
              <w:rPr>
                <w:rFonts w:ascii="宋体" w:hAnsi="宋体"/>
                <w:color w:val="000000"/>
                <w:sz w:val="24"/>
              </w:rPr>
            </w:pPr>
          </w:p>
        </w:tc>
        <w:tc>
          <w:tcPr>
            <w:tcW w:w="2190" w:type="dxa"/>
            <w:shd w:val="clear" w:color="auto" w:fill="auto"/>
          </w:tcPr>
          <w:p>
            <w:pPr>
              <w:rPr>
                <w:rFonts w:ascii="宋体" w:hAnsi="宋体"/>
                <w:color w:val="000000"/>
                <w:sz w:val="24"/>
              </w:rPr>
            </w:pPr>
          </w:p>
        </w:tc>
        <w:tc>
          <w:tcPr>
            <w:tcW w:w="1744" w:type="dxa"/>
            <w:shd w:val="clear" w:color="auto" w:fill="auto"/>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shd w:val="clear" w:color="auto" w:fill="auto"/>
          </w:tcPr>
          <w:p>
            <w:pPr>
              <w:rPr>
                <w:rFonts w:ascii="宋体" w:hAnsi="宋体"/>
                <w:color w:val="000000"/>
                <w:sz w:val="24"/>
              </w:rPr>
            </w:pPr>
          </w:p>
        </w:tc>
        <w:tc>
          <w:tcPr>
            <w:tcW w:w="2671" w:type="dxa"/>
            <w:shd w:val="clear" w:color="auto" w:fill="auto"/>
          </w:tcPr>
          <w:p>
            <w:pPr>
              <w:rPr>
                <w:rFonts w:ascii="宋体" w:hAnsi="宋体"/>
                <w:color w:val="000000"/>
                <w:sz w:val="24"/>
              </w:rPr>
            </w:pPr>
          </w:p>
        </w:tc>
        <w:tc>
          <w:tcPr>
            <w:tcW w:w="1298" w:type="dxa"/>
            <w:shd w:val="clear" w:color="auto" w:fill="auto"/>
          </w:tcPr>
          <w:p>
            <w:pPr>
              <w:rPr>
                <w:rFonts w:ascii="宋体" w:hAnsi="宋体"/>
                <w:color w:val="000000"/>
                <w:sz w:val="24"/>
              </w:rPr>
            </w:pPr>
          </w:p>
        </w:tc>
        <w:tc>
          <w:tcPr>
            <w:tcW w:w="2190" w:type="dxa"/>
            <w:shd w:val="clear" w:color="auto" w:fill="auto"/>
          </w:tcPr>
          <w:p>
            <w:pPr>
              <w:rPr>
                <w:rFonts w:ascii="宋体" w:hAnsi="宋体"/>
                <w:color w:val="000000"/>
                <w:sz w:val="24"/>
              </w:rPr>
            </w:pPr>
          </w:p>
        </w:tc>
        <w:tc>
          <w:tcPr>
            <w:tcW w:w="1744" w:type="dxa"/>
            <w:shd w:val="clear" w:color="auto" w:fill="auto"/>
          </w:tcPr>
          <w:p>
            <w:pP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86" w:type="dxa"/>
            <w:gridSpan w:val="3"/>
            <w:shd w:val="clear" w:color="auto" w:fill="auto"/>
          </w:tcPr>
          <w:p>
            <w:pPr>
              <w:jc w:val="center"/>
              <w:rPr>
                <w:rFonts w:ascii="宋体" w:hAnsi="宋体"/>
                <w:color w:val="000000"/>
                <w:sz w:val="24"/>
              </w:rPr>
            </w:pPr>
            <w:r>
              <w:rPr>
                <w:rFonts w:hint="eastAsia" w:ascii="宋体" w:hAnsi="宋体"/>
                <w:color w:val="000000"/>
                <w:sz w:val="24"/>
              </w:rPr>
              <w:t>合计</w:t>
            </w:r>
          </w:p>
        </w:tc>
        <w:tc>
          <w:tcPr>
            <w:tcW w:w="2190" w:type="dxa"/>
            <w:shd w:val="clear" w:color="auto" w:fill="auto"/>
          </w:tcPr>
          <w:p>
            <w:pPr>
              <w:rPr>
                <w:rFonts w:ascii="宋体" w:hAnsi="宋体"/>
                <w:color w:val="000000"/>
                <w:sz w:val="24"/>
              </w:rPr>
            </w:pPr>
          </w:p>
        </w:tc>
        <w:tc>
          <w:tcPr>
            <w:tcW w:w="1744" w:type="dxa"/>
            <w:shd w:val="clear" w:color="auto" w:fill="auto"/>
          </w:tcPr>
          <w:p>
            <w:pPr>
              <w:rPr>
                <w:rFonts w:ascii="宋体" w:hAnsi="宋体"/>
                <w:color w:val="000000"/>
                <w:sz w:val="24"/>
              </w:rPr>
            </w:pPr>
          </w:p>
        </w:tc>
      </w:tr>
    </w:tbl>
    <w:p>
      <w:pPr>
        <w:rPr>
          <w:rFonts w:ascii="黑体" w:eastAsia="黑体"/>
          <w:color w:val="000000"/>
          <w:sz w:val="24"/>
        </w:rPr>
      </w:pPr>
    </w:p>
    <w:p>
      <w:pPr>
        <w:rPr>
          <w:rFonts w:ascii="黑体" w:eastAsia="黑体"/>
          <w:color w:val="000000"/>
          <w:sz w:val="24"/>
        </w:rPr>
      </w:pPr>
      <w:r>
        <w:rPr>
          <w:rFonts w:ascii="宋体" w:hAnsi="宋体"/>
          <w:color w:val="000000"/>
        </w:rPr>
        <w:br w:type="page"/>
      </w:r>
      <w:r>
        <w:rPr>
          <w:rFonts w:hint="eastAsia" w:ascii="黑体" w:eastAsia="黑体"/>
          <w:color w:val="000000"/>
          <w:sz w:val="24"/>
        </w:rPr>
        <w:t>4.17材料（工程设备）暂估价及调整表</w:t>
      </w:r>
    </w:p>
    <w:p>
      <w:pPr>
        <w:jc w:val="center"/>
        <w:rPr>
          <w:rFonts w:ascii="黑体" w:eastAsia="黑体"/>
          <w:b/>
          <w:color w:val="000000"/>
          <w:sz w:val="28"/>
          <w:szCs w:val="28"/>
        </w:rPr>
      </w:pPr>
      <w:r>
        <w:rPr>
          <w:rFonts w:hint="eastAsia" w:ascii="黑体" w:eastAsia="黑体"/>
          <w:b/>
          <w:color w:val="000000"/>
          <w:sz w:val="28"/>
          <w:szCs w:val="28"/>
        </w:rPr>
        <w:t>材料（工程设备）暂估价及调整表</w:t>
      </w:r>
    </w:p>
    <w:p>
      <w:pPr>
        <w:rPr>
          <w:rFonts w:ascii="宋体" w:hAnsi="宋体"/>
          <w:color w:val="000000"/>
          <w:sz w:val="24"/>
        </w:rPr>
      </w:pPr>
      <w:r>
        <w:rPr>
          <w:rFonts w:hint="eastAsia" w:ascii="宋体" w:hAnsi="宋体"/>
          <w:color w:val="000000"/>
          <w:sz w:val="24"/>
        </w:rPr>
        <w:t>工程名称：                 标段：                        第 页 共 页</w:t>
      </w:r>
    </w:p>
    <w:tbl>
      <w:tblPr>
        <w:tblStyle w:val="36"/>
        <w:tblW w:w="10117" w:type="dxa"/>
        <w:tblInd w:w="-10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1985"/>
        <w:gridCol w:w="717"/>
        <w:gridCol w:w="711"/>
        <w:gridCol w:w="712"/>
        <w:gridCol w:w="718"/>
        <w:gridCol w:w="718"/>
        <w:gridCol w:w="718"/>
        <w:gridCol w:w="718"/>
        <w:gridCol w:w="846"/>
        <w:gridCol w:w="712"/>
        <w:gridCol w:w="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0" w:type="dxa"/>
            <w:vMerge w:val="restart"/>
            <w:shd w:val="clear" w:color="auto" w:fill="auto"/>
            <w:vAlign w:val="center"/>
          </w:tcPr>
          <w:p>
            <w:pPr>
              <w:jc w:val="center"/>
              <w:rPr>
                <w:rFonts w:ascii="宋体" w:hAnsi="宋体"/>
                <w:color w:val="000000"/>
              </w:rPr>
            </w:pPr>
            <w:r>
              <w:rPr>
                <w:rFonts w:hint="eastAsia" w:ascii="宋体" w:hAnsi="宋体"/>
                <w:color w:val="000000"/>
              </w:rPr>
              <w:t>序号</w:t>
            </w:r>
          </w:p>
        </w:tc>
        <w:tc>
          <w:tcPr>
            <w:tcW w:w="1985" w:type="dxa"/>
            <w:vMerge w:val="restart"/>
            <w:shd w:val="clear" w:color="auto" w:fill="auto"/>
            <w:vAlign w:val="center"/>
          </w:tcPr>
          <w:p>
            <w:pPr>
              <w:jc w:val="center"/>
              <w:rPr>
                <w:rFonts w:ascii="宋体" w:hAnsi="宋体"/>
                <w:color w:val="000000"/>
              </w:rPr>
            </w:pPr>
            <w:r>
              <w:rPr>
                <w:rFonts w:hint="eastAsia" w:ascii="宋体" w:hAnsi="宋体"/>
                <w:color w:val="000000"/>
              </w:rPr>
              <w:t>材料（工程设备）名称、规格、型号</w:t>
            </w:r>
          </w:p>
        </w:tc>
        <w:tc>
          <w:tcPr>
            <w:tcW w:w="717" w:type="dxa"/>
            <w:vMerge w:val="restart"/>
            <w:shd w:val="clear" w:color="auto" w:fill="auto"/>
            <w:vAlign w:val="center"/>
          </w:tcPr>
          <w:p>
            <w:pPr>
              <w:jc w:val="center"/>
              <w:rPr>
                <w:rFonts w:ascii="宋体" w:hAnsi="宋体"/>
                <w:color w:val="000000"/>
              </w:rPr>
            </w:pPr>
            <w:r>
              <w:rPr>
                <w:rFonts w:hint="eastAsia" w:ascii="宋体" w:hAnsi="宋体"/>
                <w:color w:val="000000"/>
              </w:rPr>
              <w:t>计量单位</w:t>
            </w:r>
          </w:p>
        </w:tc>
        <w:tc>
          <w:tcPr>
            <w:tcW w:w="1423" w:type="dxa"/>
            <w:gridSpan w:val="2"/>
            <w:shd w:val="clear" w:color="auto" w:fill="auto"/>
            <w:vAlign w:val="center"/>
          </w:tcPr>
          <w:p>
            <w:pPr>
              <w:jc w:val="center"/>
              <w:rPr>
                <w:rFonts w:ascii="宋体" w:hAnsi="宋体"/>
                <w:color w:val="000000"/>
              </w:rPr>
            </w:pPr>
            <w:r>
              <w:rPr>
                <w:rFonts w:hint="eastAsia" w:ascii="宋体" w:hAnsi="宋体"/>
                <w:color w:val="000000"/>
              </w:rPr>
              <w:t>数量</w:t>
            </w:r>
          </w:p>
        </w:tc>
        <w:tc>
          <w:tcPr>
            <w:tcW w:w="1436" w:type="dxa"/>
            <w:gridSpan w:val="2"/>
            <w:shd w:val="clear" w:color="auto" w:fill="auto"/>
            <w:vAlign w:val="center"/>
          </w:tcPr>
          <w:p>
            <w:pPr>
              <w:jc w:val="center"/>
              <w:rPr>
                <w:rFonts w:ascii="宋体" w:hAnsi="宋体"/>
                <w:color w:val="000000"/>
              </w:rPr>
            </w:pPr>
            <w:r>
              <w:rPr>
                <w:rFonts w:hint="eastAsia" w:ascii="宋体" w:hAnsi="宋体"/>
                <w:color w:val="000000"/>
              </w:rPr>
              <w:t>暂估（元）</w:t>
            </w:r>
          </w:p>
        </w:tc>
        <w:tc>
          <w:tcPr>
            <w:tcW w:w="1436" w:type="dxa"/>
            <w:gridSpan w:val="2"/>
            <w:shd w:val="clear" w:color="auto" w:fill="auto"/>
            <w:vAlign w:val="center"/>
          </w:tcPr>
          <w:p>
            <w:pPr>
              <w:jc w:val="center"/>
              <w:rPr>
                <w:rFonts w:ascii="宋体" w:hAnsi="宋体"/>
                <w:color w:val="000000"/>
              </w:rPr>
            </w:pPr>
            <w:r>
              <w:rPr>
                <w:rFonts w:hint="eastAsia" w:ascii="宋体" w:hAnsi="宋体"/>
                <w:color w:val="000000"/>
              </w:rPr>
              <w:t>确认（元）</w:t>
            </w:r>
          </w:p>
        </w:tc>
        <w:tc>
          <w:tcPr>
            <w:tcW w:w="1558" w:type="dxa"/>
            <w:gridSpan w:val="2"/>
            <w:shd w:val="clear" w:color="auto" w:fill="auto"/>
            <w:vAlign w:val="center"/>
          </w:tcPr>
          <w:p>
            <w:pPr>
              <w:jc w:val="center"/>
              <w:rPr>
                <w:rFonts w:ascii="宋体" w:hAnsi="宋体"/>
                <w:color w:val="000000"/>
              </w:rPr>
            </w:pPr>
            <w:r>
              <w:rPr>
                <w:rFonts w:hint="eastAsia" w:ascii="宋体" w:hAnsi="宋体"/>
                <w:color w:val="000000"/>
              </w:rPr>
              <w:t>差额±（元）</w:t>
            </w:r>
          </w:p>
        </w:tc>
        <w:tc>
          <w:tcPr>
            <w:tcW w:w="712" w:type="dxa"/>
            <w:vMerge w:val="restart"/>
            <w:shd w:val="clear" w:color="auto" w:fill="auto"/>
            <w:vAlign w:val="center"/>
          </w:tcPr>
          <w:p>
            <w:pPr>
              <w:jc w:val="center"/>
              <w:rPr>
                <w:rFonts w:ascii="宋体" w:hAnsi="宋体"/>
                <w:color w:val="000000"/>
              </w:rPr>
            </w:pPr>
            <w:r>
              <w:rPr>
                <w:rFonts w:hint="eastAsia" w:ascii="宋体" w:hAnsi="宋体"/>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0" w:type="dxa"/>
            <w:vMerge w:val="continue"/>
            <w:shd w:val="clear" w:color="auto" w:fill="auto"/>
            <w:vAlign w:val="center"/>
          </w:tcPr>
          <w:p>
            <w:pPr>
              <w:jc w:val="center"/>
              <w:rPr>
                <w:rFonts w:ascii="宋体" w:hAnsi="宋体"/>
                <w:color w:val="000000"/>
              </w:rPr>
            </w:pPr>
          </w:p>
        </w:tc>
        <w:tc>
          <w:tcPr>
            <w:tcW w:w="1985" w:type="dxa"/>
            <w:vMerge w:val="continue"/>
            <w:shd w:val="clear" w:color="auto" w:fill="auto"/>
            <w:vAlign w:val="center"/>
          </w:tcPr>
          <w:p>
            <w:pPr>
              <w:jc w:val="center"/>
              <w:rPr>
                <w:rFonts w:ascii="宋体" w:hAnsi="宋体"/>
                <w:color w:val="000000"/>
              </w:rPr>
            </w:pPr>
          </w:p>
        </w:tc>
        <w:tc>
          <w:tcPr>
            <w:tcW w:w="717" w:type="dxa"/>
            <w:vMerge w:val="continue"/>
            <w:shd w:val="clear" w:color="auto" w:fill="auto"/>
            <w:vAlign w:val="center"/>
          </w:tcPr>
          <w:p>
            <w:pPr>
              <w:jc w:val="center"/>
              <w:rPr>
                <w:rFonts w:ascii="宋体" w:hAnsi="宋体"/>
                <w:color w:val="000000"/>
              </w:rPr>
            </w:pPr>
          </w:p>
        </w:tc>
        <w:tc>
          <w:tcPr>
            <w:tcW w:w="711" w:type="dxa"/>
            <w:shd w:val="clear" w:color="auto" w:fill="auto"/>
            <w:vAlign w:val="center"/>
          </w:tcPr>
          <w:p>
            <w:pPr>
              <w:jc w:val="center"/>
              <w:rPr>
                <w:rFonts w:ascii="宋体" w:hAnsi="宋体"/>
                <w:color w:val="000000"/>
              </w:rPr>
            </w:pPr>
            <w:r>
              <w:rPr>
                <w:rFonts w:hint="eastAsia" w:ascii="宋体" w:hAnsi="宋体"/>
                <w:color w:val="000000"/>
              </w:rPr>
              <w:t>暂估</w:t>
            </w:r>
          </w:p>
        </w:tc>
        <w:tc>
          <w:tcPr>
            <w:tcW w:w="712" w:type="dxa"/>
            <w:shd w:val="clear" w:color="auto" w:fill="auto"/>
            <w:vAlign w:val="center"/>
          </w:tcPr>
          <w:p>
            <w:pPr>
              <w:jc w:val="center"/>
              <w:rPr>
                <w:rFonts w:ascii="宋体" w:hAnsi="宋体"/>
                <w:color w:val="000000"/>
              </w:rPr>
            </w:pPr>
            <w:r>
              <w:rPr>
                <w:rFonts w:hint="eastAsia" w:ascii="宋体" w:hAnsi="宋体"/>
                <w:color w:val="000000"/>
              </w:rPr>
              <w:t>确认</w:t>
            </w:r>
          </w:p>
        </w:tc>
        <w:tc>
          <w:tcPr>
            <w:tcW w:w="718" w:type="dxa"/>
            <w:shd w:val="clear" w:color="auto" w:fill="auto"/>
            <w:vAlign w:val="center"/>
          </w:tcPr>
          <w:p>
            <w:pPr>
              <w:jc w:val="center"/>
              <w:rPr>
                <w:rFonts w:ascii="宋体" w:hAnsi="宋体"/>
                <w:color w:val="000000"/>
              </w:rPr>
            </w:pPr>
            <w:r>
              <w:rPr>
                <w:rFonts w:hint="eastAsia" w:ascii="宋体" w:hAnsi="宋体"/>
                <w:color w:val="000000"/>
              </w:rPr>
              <w:t>单价</w:t>
            </w:r>
          </w:p>
        </w:tc>
        <w:tc>
          <w:tcPr>
            <w:tcW w:w="718" w:type="dxa"/>
            <w:shd w:val="clear" w:color="auto" w:fill="auto"/>
            <w:vAlign w:val="center"/>
          </w:tcPr>
          <w:p>
            <w:pPr>
              <w:jc w:val="center"/>
              <w:rPr>
                <w:rFonts w:ascii="宋体" w:hAnsi="宋体"/>
                <w:color w:val="000000"/>
              </w:rPr>
            </w:pPr>
            <w:r>
              <w:rPr>
                <w:rFonts w:hint="eastAsia" w:ascii="宋体" w:hAnsi="宋体"/>
                <w:color w:val="000000"/>
              </w:rPr>
              <w:t>合价</w:t>
            </w:r>
          </w:p>
        </w:tc>
        <w:tc>
          <w:tcPr>
            <w:tcW w:w="718" w:type="dxa"/>
            <w:shd w:val="clear" w:color="auto" w:fill="auto"/>
            <w:vAlign w:val="center"/>
          </w:tcPr>
          <w:p>
            <w:pPr>
              <w:jc w:val="center"/>
              <w:rPr>
                <w:rFonts w:ascii="宋体" w:hAnsi="宋体"/>
                <w:color w:val="000000"/>
              </w:rPr>
            </w:pPr>
            <w:r>
              <w:rPr>
                <w:rFonts w:hint="eastAsia" w:ascii="宋体" w:hAnsi="宋体"/>
                <w:color w:val="000000"/>
              </w:rPr>
              <w:t>单价</w:t>
            </w:r>
          </w:p>
        </w:tc>
        <w:tc>
          <w:tcPr>
            <w:tcW w:w="718" w:type="dxa"/>
            <w:shd w:val="clear" w:color="auto" w:fill="auto"/>
            <w:vAlign w:val="center"/>
          </w:tcPr>
          <w:p>
            <w:pPr>
              <w:jc w:val="center"/>
              <w:rPr>
                <w:rFonts w:ascii="宋体" w:hAnsi="宋体"/>
                <w:color w:val="000000"/>
              </w:rPr>
            </w:pPr>
            <w:r>
              <w:rPr>
                <w:rFonts w:hint="eastAsia" w:ascii="宋体" w:hAnsi="宋体"/>
                <w:color w:val="000000"/>
              </w:rPr>
              <w:t>合价</w:t>
            </w:r>
          </w:p>
        </w:tc>
        <w:tc>
          <w:tcPr>
            <w:tcW w:w="846" w:type="dxa"/>
            <w:shd w:val="clear" w:color="auto" w:fill="auto"/>
            <w:vAlign w:val="center"/>
          </w:tcPr>
          <w:p>
            <w:pPr>
              <w:jc w:val="center"/>
              <w:rPr>
                <w:rFonts w:ascii="宋体" w:hAnsi="宋体"/>
                <w:color w:val="000000"/>
              </w:rPr>
            </w:pPr>
            <w:r>
              <w:rPr>
                <w:rFonts w:hint="eastAsia" w:ascii="宋体" w:hAnsi="宋体"/>
                <w:color w:val="000000"/>
              </w:rPr>
              <w:t>单价</w:t>
            </w:r>
          </w:p>
        </w:tc>
        <w:tc>
          <w:tcPr>
            <w:tcW w:w="712" w:type="dxa"/>
            <w:shd w:val="clear" w:color="auto" w:fill="auto"/>
            <w:vAlign w:val="center"/>
          </w:tcPr>
          <w:p>
            <w:pPr>
              <w:jc w:val="center"/>
              <w:rPr>
                <w:rFonts w:ascii="宋体" w:hAnsi="宋体"/>
                <w:color w:val="000000"/>
              </w:rPr>
            </w:pPr>
            <w:r>
              <w:rPr>
                <w:rFonts w:hint="eastAsia" w:ascii="宋体" w:hAnsi="宋体"/>
                <w:color w:val="000000"/>
              </w:rPr>
              <w:t>合价</w:t>
            </w:r>
          </w:p>
        </w:tc>
        <w:tc>
          <w:tcPr>
            <w:tcW w:w="712" w:type="dxa"/>
            <w:vMerge w:val="continue"/>
            <w:shd w:val="clear" w:color="auto" w:fill="auto"/>
            <w:vAlign w:val="center"/>
          </w:tcPr>
          <w:p>
            <w:pPr>
              <w:jc w:val="cente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0" w:type="dxa"/>
            <w:shd w:val="clear" w:color="auto" w:fill="auto"/>
          </w:tcPr>
          <w:p>
            <w:pPr>
              <w:rPr>
                <w:rFonts w:ascii="宋体" w:hAnsi="宋体"/>
                <w:color w:val="000000"/>
              </w:rPr>
            </w:pPr>
          </w:p>
        </w:tc>
        <w:tc>
          <w:tcPr>
            <w:tcW w:w="1985" w:type="dxa"/>
            <w:shd w:val="clear" w:color="auto" w:fill="auto"/>
          </w:tcPr>
          <w:p>
            <w:pPr>
              <w:rPr>
                <w:rFonts w:ascii="宋体" w:hAnsi="宋体"/>
                <w:color w:val="000000"/>
              </w:rPr>
            </w:pPr>
          </w:p>
        </w:tc>
        <w:tc>
          <w:tcPr>
            <w:tcW w:w="717" w:type="dxa"/>
            <w:shd w:val="clear" w:color="auto" w:fill="auto"/>
          </w:tcPr>
          <w:p>
            <w:pPr>
              <w:rPr>
                <w:rFonts w:ascii="宋体" w:hAnsi="宋体"/>
                <w:color w:val="000000"/>
              </w:rPr>
            </w:pPr>
          </w:p>
        </w:tc>
        <w:tc>
          <w:tcPr>
            <w:tcW w:w="711"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846"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0" w:type="dxa"/>
            <w:shd w:val="clear" w:color="auto" w:fill="auto"/>
          </w:tcPr>
          <w:p>
            <w:pPr>
              <w:rPr>
                <w:rFonts w:ascii="宋体" w:hAnsi="宋体"/>
                <w:color w:val="000000"/>
              </w:rPr>
            </w:pPr>
          </w:p>
        </w:tc>
        <w:tc>
          <w:tcPr>
            <w:tcW w:w="1985" w:type="dxa"/>
            <w:shd w:val="clear" w:color="auto" w:fill="auto"/>
          </w:tcPr>
          <w:p>
            <w:pPr>
              <w:rPr>
                <w:rFonts w:ascii="宋体" w:hAnsi="宋体"/>
                <w:color w:val="000000"/>
              </w:rPr>
            </w:pPr>
          </w:p>
        </w:tc>
        <w:tc>
          <w:tcPr>
            <w:tcW w:w="717" w:type="dxa"/>
            <w:shd w:val="clear" w:color="auto" w:fill="auto"/>
          </w:tcPr>
          <w:p>
            <w:pPr>
              <w:rPr>
                <w:rFonts w:ascii="宋体" w:hAnsi="宋体"/>
                <w:color w:val="000000"/>
              </w:rPr>
            </w:pPr>
          </w:p>
        </w:tc>
        <w:tc>
          <w:tcPr>
            <w:tcW w:w="711"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846"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0" w:type="dxa"/>
            <w:shd w:val="clear" w:color="auto" w:fill="auto"/>
          </w:tcPr>
          <w:p>
            <w:pPr>
              <w:rPr>
                <w:rFonts w:ascii="宋体" w:hAnsi="宋体"/>
                <w:color w:val="000000"/>
              </w:rPr>
            </w:pPr>
          </w:p>
        </w:tc>
        <w:tc>
          <w:tcPr>
            <w:tcW w:w="1985" w:type="dxa"/>
            <w:shd w:val="clear" w:color="auto" w:fill="auto"/>
          </w:tcPr>
          <w:p>
            <w:pPr>
              <w:rPr>
                <w:rFonts w:ascii="宋体" w:hAnsi="宋体"/>
                <w:color w:val="000000"/>
              </w:rPr>
            </w:pPr>
          </w:p>
        </w:tc>
        <w:tc>
          <w:tcPr>
            <w:tcW w:w="717" w:type="dxa"/>
            <w:shd w:val="clear" w:color="auto" w:fill="auto"/>
          </w:tcPr>
          <w:p>
            <w:pPr>
              <w:rPr>
                <w:rFonts w:ascii="宋体" w:hAnsi="宋体"/>
                <w:color w:val="000000"/>
              </w:rPr>
            </w:pPr>
          </w:p>
        </w:tc>
        <w:tc>
          <w:tcPr>
            <w:tcW w:w="711"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846"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0" w:type="dxa"/>
            <w:shd w:val="clear" w:color="auto" w:fill="auto"/>
          </w:tcPr>
          <w:p>
            <w:pPr>
              <w:rPr>
                <w:rFonts w:ascii="宋体" w:hAnsi="宋体"/>
                <w:color w:val="000000"/>
              </w:rPr>
            </w:pPr>
          </w:p>
        </w:tc>
        <w:tc>
          <w:tcPr>
            <w:tcW w:w="1985" w:type="dxa"/>
            <w:shd w:val="clear" w:color="auto" w:fill="auto"/>
          </w:tcPr>
          <w:p>
            <w:pPr>
              <w:rPr>
                <w:rFonts w:ascii="宋体" w:hAnsi="宋体"/>
                <w:color w:val="000000"/>
              </w:rPr>
            </w:pPr>
          </w:p>
        </w:tc>
        <w:tc>
          <w:tcPr>
            <w:tcW w:w="717" w:type="dxa"/>
            <w:shd w:val="clear" w:color="auto" w:fill="auto"/>
          </w:tcPr>
          <w:p>
            <w:pPr>
              <w:rPr>
                <w:rFonts w:ascii="宋体" w:hAnsi="宋体"/>
                <w:color w:val="000000"/>
              </w:rPr>
            </w:pPr>
          </w:p>
        </w:tc>
        <w:tc>
          <w:tcPr>
            <w:tcW w:w="711"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846"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0" w:type="dxa"/>
            <w:shd w:val="clear" w:color="auto" w:fill="auto"/>
          </w:tcPr>
          <w:p>
            <w:pPr>
              <w:rPr>
                <w:rFonts w:ascii="宋体" w:hAnsi="宋体"/>
                <w:color w:val="000000"/>
              </w:rPr>
            </w:pPr>
          </w:p>
        </w:tc>
        <w:tc>
          <w:tcPr>
            <w:tcW w:w="1985" w:type="dxa"/>
            <w:shd w:val="clear" w:color="auto" w:fill="auto"/>
          </w:tcPr>
          <w:p>
            <w:pPr>
              <w:rPr>
                <w:rFonts w:ascii="宋体" w:hAnsi="宋体"/>
                <w:color w:val="000000"/>
              </w:rPr>
            </w:pPr>
          </w:p>
        </w:tc>
        <w:tc>
          <w:tcPr>
            <w:tcW w:w="717" w:type="dxa"/>
            <w:shd w:val="clear" w:color="auto" w:fill="auto"/>
          </w:tcPr>
          <w:p>
            <w:pPr>
              <w:rPr>
                <w:rFonts w:ascii="宋体" w:hAnsi="宋体"/>
                <w:color w:val="000000"/>
              </w:rPr>
            </w:pPr>
          </w:p>
        </w:tc>
        <w:tc>
          <w:tcPr>
            <w:tcW w:w="711"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846"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0" w:type="dxa"/>
            <w:shd w:val="clear" w:color="auto" w:fill="auto"/>
          </w:tcPr>
          <w:p>
            <w:pPr>
              <w:rPr>
                <w:rFonts w:ascii="宋体" w:hAnsi="宋体"/>
                <w:color w:val="000000"/>
              </w:rPr>
            </w:pPr>
          </w:p>
        </w:tc>
        <w:tc>
          <w:tcPr>
            <w:tcW w:w="1985" w:type="dxa"/>
            <w:shd w:val="clear" w:color="auto" w:fill="auto"/>
          </w:tcPr>
          <w:p>
            <w:pPr>
              <w:rPr>
                <w:rFonts w:ascii="宋体" w:hAnsi="宋体"/>
                <w:color w:val="000000"/>
              </w:rPr>
            </w:pPr>
          </w:p>
        </w:tc>
        <w:tc>
          <w:tcPr>
            <w:tcW w:w="717" w:type="dxa"/>
            <w:shd w:val="clear" w:color="auto" w:fill="auto"/>
          </w:tcPr>
          <w:p>
            <w:pPr>
              <w:rPr>
                <w:rFonts w:ascii="宋体" w:hAnsi="宋体"/>
                <w:color w:val="000000"/>
              </w:rPr>
            </w:pPr>
          </w:p>
        </w:tc>
        <w:tc>
          <w:tcPr>
            <w:tcW w:w="711"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846"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0" w:type="dxa"/>
            <w:shd w:val="clear" w:color="auto" w:fill="auto"/>
          </w:tcPr>
          <w:p>
            <w:pPr>
              <w:rPr>
                <w:rFonts w:ascii="宋体" w:hAnsi="宋体"/>
                <w:color w:val="000000"/>
              </w:rPr>
            </w:pPr>
          </w:p>
        </w:tc>
        <w:tc>
          <w:tcPr>
            <w:tcW w:w="1985" w:type="dxa"/>
            <w:shd w:val="clear" w:color="auto" w:fill="auto"/>
          </w:tcPr>
          <w:p>
            <w:pPr>
              <w:rPr>
                <w:rFonts w:ascii="宋体" w:hAnsi="宋体"/>
                <w:color w:val="000000"/>
              </w:rPr>
            </w:pPr>
          </w:p>
        </w:tc>
        <w:tc>
          <w:tcPr>
            <w:tcW w:w="717" w:type="dxa"/>
            <w:shd w:val="clear" w:color="auto" w:fill="auto"/>
          </w:tcPr>
          <w:p>
            <w:pPr>
              <w:rPr>
                <w:rFonts w:ascii="宋体" w:hAnsi="宋体"/>
                <w:color w:val="000000"/>
              </w:rPr>
            </w:pPr>
          </w:p>
        </w:tc>
        <w:tc>
          <w:tcPr>
            <w:tcW w:w="711"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846"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0" w:type="dxa"/>
            <w:shd w:val="clear" w:color="auto" w:fill="auto"/>
          </w:tcPr>
          <w:p>
            <w:pPr>
              <w:rPr>
                <w:rFonts w:ascii="宋体" w:hAnsi="宋体"/>
                <w:color w:val="000000"/>
              </w:rPr>
            </w:pPr>
          </w:p>
        </w:tc>
        <w:tc>
          <w:tcPr>
            <w:tcW w:w="1985" w:type="dxa"/>
            <w:shd w:val="clear" w:color="auto" w:fill="auto"/>
          </w:tcPr>
          <w:p>
            <w:pPr>
              <w:rPr>
                <w:rFonts w:ascii="宋体" w:hAnsi="宋体"/>
                <w:color w:val="000000"/>
              </w:rPr>
            </w:pPr>
          </w:p>
        </w:tc>
        <w:tc>
          <w:tcPr>
            <w:tcW w:w="717" w:type="dxa"/>
            <w:shd w:val="clear" w:color="auto" w:fill="auto"/>
          </w:tcPr>
          <w:p>
            <w:pPr>
              <w:rPr>
                <w:rFonts w:ascii="宋体" w:hAnsi="宋体"/>
                <w:color w:val="000000"/>
              </w:rPr>
            </w:pPr>
          </w:p>
        </w:tc>
        <w:tc>
          <w:tcPr>
            <w:tcW w:w="711"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846"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0" w:type="dxa"/>
            <w:shd w:val="clear" w:color="auto" w:fill="auto"/>
          </w:tcPr>
          <w:p>
            <w:pPr>
              <w:rPr>
                <w:rFonts w:ascii="宋体" w:hAnsi="宋体"/>
                <w:color w:val="000000"/>
              </w:rPr>
            </w:pPr>
          </w:p>
        </w:tc>
        <w:tc>
          <w:tcPr>
            <w:tcW w:w="1985" w:type="dxa"/>
            <w:shd w:val="clear" w:color="auto" w:fill="auto"/>
          </w:tcPr>
          <w:p>
            <w:pPr>
              <w:rPr>
                <w:rFonts w:ascii="宋体" w:hAnsi="宋体"/>
                <w:color w:val="000000"/>
              </w:rPr>
            </w:pPr>
          </w:p>
        </w:tc>
        <w:tc>
          <w:tcPr>
            <w:tcW w:w="717" w:type="dxa"/>
            <w:shd w:val="clear" w:color="auto" w:fill="auto"/>
          </w:tcPr>
          <w:p>
            <w:pPr>
              <w:rPr>
                <w:rFonts w:ascii="宋体" w:hAnsi="宋体"/>
                <w:color w:val="000000"/>
              </w:rPr>
            </w:pPr>
          </w:p>
        </w:tc>
        <w:tc>
          <w:tcPr>
            <w:tcW w:w="711"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846"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0" w:type="dxa"/>
            <w:shd w:val="clear" w:color="auto" w:fill="auto"/>
          </w:tcPr>
          <w:p>
            <w:pPr>
              <w:rPr>
                <w:rFonts w:ascii="宋体" w:hAnsi="宋体"/>
                <w:color w:val="000000"/>
              </w:rPr>
            </w:pPr>
          </w:p>
        </w:tc>
        <w:tc>
          <w:tcPr>
            <w:tcW w:w="1985" w:type="dxa"/>
            <w:shd w:val="clear" w:color="auto" w:fill="auto"/>
          </w:tcPr>
          <w:p>
            <w:pPr>
              <w:rPr>
                <w:rFonts w:ascii="宋体" w:hAnsi="宋体"/>
                <w:color w:val="000000"/>
              </w:rPr>
            </w:pPr>
          </w:p>
        </w:tc>
        <w:tc>
          <w:tcPr>
            <w:tcW w:w="717" w:type="dxa"/>
            <w:shd w:val="clear" w:color="auto" w:fill="auto"/>
          </w:tcPr>
          <w:p>
            <w:pPr>
              <w:rPr>
                <w:rFonts w:ascii="宋体" w:hAnsi="宋体"/>
                <w:color w:val="000000"/>
              </w:rPr>
            </w:pPr>
          </w:p>
        </w:tc>
        <w:tc>
          <w:tcPr>
            <w:tcW w:w="711"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846"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0" w:type="dxa"/>
            <w:shd w:val="clear" w:color="auto" w:fill="auto"/>
          </w:tcPr>
          <w:p>
            <w:pPr>
              <w:rPr>
                <w:rFonts w:ascii="宋体" w:hAnsi="宋体"/>
                <w:color w:val="000000"/>
              </w:rPr>
            </w:pPr>
          </w:p>
        </w:tc>
        <w:tc>
          <w:tcPr>
            <w:tcW w:w="1985" w:type="dxa"/>
            <w:shd w:val="clear" w:color="auto" w:fill="auto"/>
          </w:tcPr>
          <w:p>
            <w:pPr>
              <w:rPr>
                <w:rFonts w:ascii="宋体" w:hAnsi="宋体"/>
                <w:color w:val="000000"/>
              </w:rPr>
            </w:pPr>
          </w:p>
        </w:tc>
        <w:tc>
          <w:tcPr>
            <w:tcW w:w="717" w:type="dxa"/>
            <w:shd w:val="clear" w:color="auto" w:fill="auto"/>
          </w:tcPr>
          <w:p>
            <w:pPr>
              <w:rPr>
                <w:rFonts w:ascii="宋体" w:hAnsi="宋体"/>
                <w:color w:val="000000"/>
              </w:rPr>
            </w:pPr>
          </w:p>
        </w:tc>
        <w:tc>
          <w:tcPr>
            <w:tcW w:w="711"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846"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0" w:type="dxa"/>
            <w:shd w:val="clear" w:color="auto" w:fill="auto"/>
          </w:tcPr>
          <w:p>
            <w:pPr>
              <w:rPr>
                <w:rFonts w:ascii="宋体" w:hAnsi="宋体"/>
                <w:color w:val="000000"/>
              </w:rPr>
            </w:pPr>
          </w:p>
        </w:tc>
        <w:tc>
          <w:tcPr>
            <w:tcW w:w="1985" w:type="dxa"/>
            <w:shd w:val="clear" w:color="auto" w:fill="auto"/>
          </w:tcPr>
          <w:p>
            <w:pPr>
              <w:rPr>
                <w:rFonts w:ascii="宋体" w:hAnsi="宋体"/>
                <w:color w:val="000000"/>
              </w:rPr>
            </w:pPr>
          </w:p>
        </w:tc>
        <w:tc>
          <w:tcPr>
            <w:tcW w:w="717" w:type="dxa"/>
            <w:shd w:val="clear" w:color="auto" w:fill="auto"/>
          </w:tcPr>
          <w:p>
            <w:pPr>
              <w:rPr>
                <w:rFonts w:ascii="宋体" w:hAnsi="宋体"/>
                <w:color w:val="000000"/>
              </w:rPr>
            </w:pPr>
          </w:p>
        </w:tc>
        <w:tc>
          <w:tcPr>
            <w:tcW w:w="711"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846"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0" w:type="dxa"/>
            <w:shd w:val="clear" w:color="auto" w:fill="auto"/>
          </w:tcPr>
          <w:p>
            <w:pPr>
              <w:rPr>
                <w:rFonts w:ascii="宋体" w:hAnsi="宋体"/>
                <w:color w:val="000000"/>
              </w:rPr>
            </w:pPr>
          </w:p>
        </w:tc>
        <w:tc>
          <w:tcPr>
            <w:tcW w:w="1985" w:type="dxa"/>
            <w:shd w:val="clear" w:color="auto" w:fill="auto"/>
          </w:tcPr>
          <w:p>
            <w:pPr>
              <w:rPr>
                <w:rFonts w:ascii="宋体" w:hAnsi="宋体"/>
                <w:color w:val="000000"/>
              </w:rPr>
            </w:pPr>
          </w:p>
        </w:tc>
        <w:tc>
          <w:tcPr>
            <w:tcW w:w="717" w:type="dxa"/>
            <w:shd w:val="clear" w:color="auto" w:fill="auto"/>
          </w:tcPr>
          <w:p>
            <w:pPr>
              <w:rPr>
                <w:rFonts w:ascii="宋体" w:hAnsi="宋体"/>
                <w:color w:val="000000"/>
              </w:rPr>
            </w:pPr>
          </w:p>
        </w:tc>
        <w:tc>
          <w:tcPr>
            <w:tcW w:w="711"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846"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0" w:type="dxa"/>
            <w:shd w:val="clear" w:color="auto" w:fill="auto"/>
          </w:tcPr>
          <w:p>
            <w:pPr>
              <w:rPr>
                <w:rFonts w:ascii="宋体" w:hAnsi="宋体"/>
                <w:color w:val="000000"/>
              </w:rPr>
            </w:pPr>
          </w:p>
        </w:tc>
        <w:tc>
          <w:tcPr>
            <w:tcW w:w="1985" w:type="dxa"/>
            <w:shd w:val="clear" w:color="auto" w:fill="auto"/>
          </w:tcPr>
          <w:p>
            <w:pPr>
              <w:rPr>
                <w:rFonts w:ascii="宋体" w:hAnsi="宋体"/>
                <w:color w:val="000000"/>
              </w:rPr>
            </w:pPr>
          </w:p>
        </w:tc>
        <w:tc>
          <w:tcPr>
            <w:tcW w:w="717" w:type="dxa"/>
            <w:shd w:val="clear" w:color="auto" w:fill="auto"/>
          </w:tcPr>
          <w:p>
            <w:pPr>
              <w:rPr>
                <w:rFonts w:ascii="宋体" w:hAnsi="宋体"/>
                <w:color w:val="000000"/>
              </w:rPr>
            </w:pPr>
          </w:p>
        </w:tc>
        <w:tc>
          <w:tcPr>
            <w:tcW w:w="711"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846"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0" w:type="dxa"/>
            <w:shd w:val="clear" w:color="auto" w:fill="auto"/>
          </w:tcPr>
          <w:p>
            <w:pPr>
              <w:rPr>
                <w:rFonts w:ascii="宋体" w:hAnsi="宋体"/>
                <w:color w:val="000000"/>
              </w:rPr>
            </w:pPr>
          </w:p>
        </w:tc>
        <w:tc>
          <w:tcPr>
            <w:tcW w:w="1985" w:type="dxa"/>
            <w:shd w:val="clear" w:color="auto" w:fill="auto"/>
          </w:tcPr>
          <w:p>
            <w:pPr>
              <w:rPr>
                <w:rFonts w:ascii="宋体" w:hAnsi="宋体"/>
                <w:color w:val="000000"/>
              </w:rPr>
            </w:pPr>
          </w:p>
        </w:tc>
        <w:tc>
          <w:tcPr>
            <w:tcW w:w="717" w:type="dxa"/>
            <w:shd w:val="clear" w:color="auto" w:fill="auto"/>
          </w:tcPr>
          <w:p>
            <w:pPr>
              <w:rPr>
                <w:rFonts w:ascii="宋体" w:hAnsi="宋体"/>
                <w:color w:val="000000"/>
              </w:rPr>
            </w:pPr>
          </w:p>
        </w:tc>
        <w:tc>
          <w:tcPr>
            <w:tcW w:w="711"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846"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0" w:type="dxa"/>
            <w:shd w:val="clear" w:color="auto" w:fill="auto"/>
          </w:tcPr>
          <w:p>
            <w:pPr>
              <w:rPr>
                <w:rFonts w:ascii="宋体" w:hAnsi="宋体"/>
                <w:color w:val="000000"/>
              </w:rPr>
            </w:pPr>
          </w:p>
        </w:tc>
        <w:tc>
          <w:tcPr>
            <w:tcW w:w="1985" w:type="dxa"/>
            <w:shd w:val="clear" w:color="auto" w:fill="auto"/>
          </w:tcPr>
          <w:p>
            <w:pPr>
              <w:rPr>
                <w:rFonts w:ascii="宋体" w:hAnsi="宋体"/>
                <w:color w:val="000000"/>
              </w:rPr>
            </w:pPr>
          </w:p>
        </w:tc>
        <w:tc>
          <w:tcPr>
            <w:tcW w:w="717" w:type="dxa"/>
            <w:shd w:val="clear" w:color="auto" w:fill="auto"/>
          </w:tcPr>
          <w:p>
            <w:pPr>
              <w:rPr>
                <w:rFonts w:ascii="宋体" w:hAnsi="宋体"/>
                <w:color w:val="000000"/>
              </w:rPr>
            </w:pPr>
          </w:p>
        </w:tc>
        <w:tc>
          <w:tcPr>
            <w:tcW w:w="711"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846"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0" w:type="dxa"/>
            <w:shd w:val="clear" w:color="auto" w:fill="auto"/>
          </w:tcPr>
          <w:p>
            <w:pPr>
              <w:rPr>
                <w:rFonts w:ascii="宋体" w:hAnsi="宋体"/>
                <w:color w:val="000000"/>
              </w:rPr>
            </w:pPr>
          </w:p>
        </w:tc>
        <w:tc>
          <w:tcPr>
            <w:tcW w:w="1985" w:type="dxa"/>
            <w:shd w:val="clear" w:color="auto" w:fill="auto"/>
          </w:tcPr>
          <w:p>
            <w:pPr>
              <w:rPr>
                <w:rFonts w:ascii="宋体" w:hAnsi="宋体"/>
                <w:color w:val="000000"/>
              </w:rPr>
            </w:pPr>
          </w:p>
        </w:tc>
        <w:tc>
          <w:tcPr>
            <w:tcW w:w="717" w:type="dxa"/>
            <w:shd w:val="clear" w:color="auto" w:fill="auto"/>
          </w:tcPr>
          <w:p>
            <w:pPr>
              <w:rPr>
                <w:rFonts w:ascii="宋体" w:hAnsi="宋体"/>
                <w:color w:val="000000"/>
              </w:rPr>
            </w:pPr>
          </w:p>
        </w:tc>
        <w:tc>
          <w:tcPr>
            <w:tcW w:w="711"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846"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0" w:type="dxa"/>
            <w:shd w:val="clear" w:color="auto" w:fill="auto"/>
          </w:tcPr>
          <w:p>
            <w:pPr>
              <w:rPr>
                <w:rFonts w:ascii="宋体" w:hAnsi="宋体"/>
                <w:color w:val="000000"/>
              </w:rPr>
            </w:pPr>
          </w:p>
        </w:tc>
        <w:tc>
          <w:tcPr>
            <w:tcW w:w="1985" w:type="dxa"/>
            <w:shd w:val="clear" w:color="auto" w:fill="auto"/>
          </w:tcPr>
          <w:p>
            <w:pPr>
              <w:rPr>
                <w:rFonts w:ascii="宋体" w:hAnsi="宋体"/>
                <w:color w:val="000000"/>
              </w:rPr>
            </w:pPr>
          </w:p>
        </w:tc>
        <w:tc>
          <w:tcPr>
            <w:tcW w:w="717" w:type="dxa"/>
            <w:shd w:val="clear" w:color="auto" w:fill="auto"/>
          </w:tcPr>
          <w:p>
            <w:pPr>
              <w:rPr>
                <w:rFonts w:ascii="宋体" w:hAnsi="宋体"/>
                <w:color w:val="000000"/>
              </w:rPr>
            </w:pPr>
          </w:p>
        </w:tc>
        <w:tc>
          <w:tcPr>
            <w:tcW w:w="711"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846"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0" w:type="dxa"/>
            <w:shd w:val="clear" w:color="auto" w:fill="auto"/>
          </w:tcPr>
          <w:p>
            <w:pPr>
              <w:rPr>
                <w:rFonts w:ascii="宋体" w:hAnsi="宋体"/>
                <w:color w:val="000000"/>
              </w:rPr>
            </w:pPr>
          </w:p>
        </w:tc>
        <w:tc>
          <w:tcPr>
            <w:tcW w:w="1985" w:type="dxa"/>
            <w:shd w:val="clear" w:color="auto" w:fill="auto"/>
          </w:tcPr>
          <w:p>
            <w:pPr>
              <w:rPr>
                <w:rFonts w:ascii="宋体" w:hAnsi="宋体"/>
                <w:color w:val="000000"/>
              </w:rPr>
            </w:pPr>
          </w:p>
        </w:tc>
        <w:tc>
          <w:tcPr>
            <w:tcW w:w="717" w:type="dxa"/>
            <w:shd w:val="clear" w:color="auto" w:fill="auto"/>
          </w:tcPr>
          <w:p>
            <w:pPr>
              <w:rPr>
                <w:rFonts w:ascii="宋体" w:hAnsi="宋体"/>
                <w:color w:val="000000"/>
              </w:rPr>
            </w:pPr>
          </w:p>
        </w:tc>
        <w:tc>
          <w:tcPr>
            <w:tcW w:w="711"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846"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0" w:type="dxa"/>
            <w:shd w:val="clear" w:color="auto" w:fill="auto"/>
          </w:tcPr>
          <w:p>
            <w:pPr>
              <w:rPr>
                <w:rFonts w:ascii="宋体" w:hAnsi="宋体"/>
                <w:color w:val="000000"/>
              </w:rPr>
            </w:pPr>
          </w:p>
        </w:tc>
        <w:tc>
          <w:tcPr>
            <w:tcW w:w="1985" w:type="dxa"/>
            <w:shd w:val="clear" w:color="auto" w:fill="auto"/>
          </w:tcPr>
          <w:p>
            <w:pPr>
              <w:rPr>
                <w:rFonts w:ascii="宋体" w:hAnsi="宋体"/>
                <w:color w:val="000000"/>
              </w:rPr>
            </w:pPr>
          </w:p>
        </w:tc>
        <w:tc>
          <w:tcPr>
            <w:tcW w:w="717" w:type="dxa"/>
            <w:shd w:val="clear" w:color="auto" w:fill="auto"/>
          </w:tcPr>
          <w:p>
            <w:pPr>
              <w:rPr>
                <w:rFonts w:ascii="宋体" w:hAnsi="宋体"/>
                <w:color w:val="000000"/>
              </w:rPr>
            </w:pPr>
          </w:p>
        </w:tc>
        <w:tc>
          <w:tcPr>
            <w:tcW w:w="711"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846"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0" w:type="dxa"/>
            <w:shd w:val="clear" w:color="auto" w:fill="auto"/>
          </w:tcPr>
          <w:p>
            <w:pPr>
              <w:rPr>
                <w:rFonts w:ascii="宋体" w:hAnsi="宋体"/>
                <w:color w:val="000000"/>
              </w:rPr>
            </w:pPr>
          </w:p>
        </w:tc>
        <w:tc>
          <w:tcPr>
            <w:tcW w:w="1985" w:type="dxa"/>
            <w:shd w:val="clear" w:color="auto" w:fill="auto"/>
          </w:tcPr>
          <w:p>
            <w:pPr>
              <w:rPr>
                <w:rFonts w:ascii="宋体" w:hAnsi="宋体"/>
                <w:color w:val="000000"/>
              </w:rPr>
            </w:pPr>
          </w:p>
        </w:tc>
        <w:tc>
          <w:tcPr>
            <w:tcW w:w="717" w:type="dxa"/>
            <w:shd w:val="clear" w:color="auto" w:fill="auto"/>
          </w:tcPr>
          <w:p>
            <w:pPr>
              <w:rPr>
                <w:rFonts w:ascii="宋体" w:hAnsi="宋体"/>
                <w:color w:val="000000"/>
              </w:rPr>
            </w:pPr>
          </w:p>
        </w:tc>
        <w:tc>
          <w:tcPr>
            <w:tcW w:w="711"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846"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0" w:type="dxa"/>
            <w:shd w:val="clear" w:color="auto" w:fill="auto"/>
          </w:tcPr>
          <w:p>
            <w:pPr>
              <w:rPr>
                <w:rFonts w:ascii="宋体" w:hAnsi="宋体"/>
                <w:color w:val="000000"/>
              </w:rPr>
            </w:pPr>
          </w:p>
        </w:tc>
        <w:tc>
          <w:tcPr>
            <w:tcW w:w="1985" w:type="dxa"/>
            <w:shd w:val="clear" w:color="auto" w:fill="auto"/>
          </w:tcPr>
          <w:p>
            <w:pPr>
              <w:rPr>
                <w:rFonts w:ascii="宋体" w:hAnsi="宋体"/>
                <w:color w:val="000000"/>
              </w:rPr>
            </w:pPr>
          </w:p>
        </w:tc>
        <w:tc>
          <w:tcPr>
            <w:tcW w:w="717" w:type="dxa"/>
            <w:shd w:val="clear" w:color="auto" w:fill="auto"/>
          </w:tcPr>
          <w:p>
            <w:pPr>
              <w:rPr>
                <w:rFonts w:ascii="宋体" w:hAnsi="宋体"/>
                <w:color w:val="000000"/>
              </w:rPr>
            </w:pPr>
          </w:p>
        </w:tc>
        <w:tc>
          <w:tcPr>
            <w:tcW w:w="711"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846"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52" w:type="dxa"/>
            <w:gridSpan w:val="3"/>
            <w:shd w:val="clear" w:color="auto" w:fill="auto"/>
          </w:tcPr>
          <w:p>
            <w:pPr>
              <w:jc w:val="center"/>
              <w:rPr>
                <w:rFonts w:ascii="宋体" w:hAnsi="宋体"/>
                <w:color w:val="000000"/>
              </w:rPr>
            </w:pPr>
            <w:r>
              <w:rPr>
                <w:rFonts w:hint="eastAsia" w:ascii="宋体" w:hAnsi="宋体"/>
                <w:color w:val="000000"/>
              </w:rPr>
              <w:t>合计</w:t>
            </w:r>
          </w:p>
        </w:tc>
        <w:tc>
          <w:tcPr>
            <w:tcW w:w="711"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718" w:type="dxa"/>
            <w:shd w:val="clear" w:color="auto" w:fill="auto"/>
          </w:tcPr>
          <w:p>
            <w:pPr>
              <w:rPr>
                <w:rFonts w:ascii="宋体" w:hAnsi="宋体"/>
                <w:color w:val="000000"/>
              </w:rPr>
            </w:pPr>
          </w:p>
        </w:tc>
        <w:tc>
          <w:tcPr>
            <w:tcW w:w="846"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c>
          <w:tcPr>
            <w:tcW w:w="712" w:type="dxa"/>
            <w:shd w:val="clear" w:color="auto" w:fill="auto"/>
          </w:tcPr>
          <w:p>
            <w:pPr>
              <w:rPr>
                <w:rFonts w:ascii="宋体" w:hAnsi="宋体"/>
                <w:color w:val="000000"/>
              </w:rPr>
            </w:pPr>
          </w:p>
        </w:tc>
      </w:tr>
    </w:tbl>
    <w:p>
      <w:pPr>
        <w:rPr>
          <w:rFonts w:ascii="黑体" w:eastAsia="黑体"/>
          <w:color w:val="000000"/>
          <w:sz w:val="24"/>
        </w:rPr>
      </w:pPr>
      <w:r>
        <w:rPr>
          <w:rFonts w:ascii="宋体" w:hAnsi="宋体"/>
          <w:color w:val="000000"/>
        </w:rPr>
        <w:br w:type="page"/>
      </w:r>
      <w:r>
        <w:rPr>
          <w:rFonts w:hint="eastAsia" w:ascii="黑体" w:eastAsia="黑体"/>
          <w:color w:val="000000"/>
          <w:sz w:val="24"/>
        </w:rPr>
        <w:t>4.18专业工程暂估价及结算价表</w:t>
      </w:r>
    </w:p>
    <w:p>
      <w:pPr>
        <w:jc w:val="center"/>
        <w:rPr>
          <w:rFonts w:ascii="黑体" w:eastAsia="黑体"/>
          <w:b/>
          <w:color w:val="000000"/>
          <w:sz w:val="28"/>
          <w:szCs w:val="28"/>
        </w:rPr>
      </w:pPr>
      <w:r>
        <w:rPr>
          <w:rFonts w:hint="eastAsia" w:ascii="黑体" w:eastAsia="黑体"/>
          <w:b/>
          <w:color w:val="000000"/>
          <w:sz w:val="28"/>
          <w:szCs w:val="28"/>
        </w:rPr>
        <w:t>专业工程暂估价及结算价表</w:t>
      </w:r>
    </w:p>
    <w:p>
      <w:pPr>
        <w:rPr>
          <w:rFonts w:ascii="宋体" w:hAnsi="宋体"/>
          <w:color w:val="000000"/>
          <w:sz w:val="24"/>
        </w:rPr>
      </w:pPr>
      <w:r>
        <w:rPr>
          <w:rFonts w:hint="eastAsia" w:ascii="宋体" w:hAnsi="宋体"/>
          <w:color w:val="000000"/>
          <w:sz w:val="24"/>
        </w:rPr>
        <w:t>工程名称：                 标段：                        第 页 共 页</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815"/>
        <w:gridCol w:w="1246"/>
        <w:gridCol w:w="1246"/>
        <w:gridCol w:w="1246"/>
        <w:gridCol w:w="1246"/>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1" w:hRule="atLeast"/>
        </w:trPr>
        <w:tc>
          <w:tcPr>
            <w:tcW w:w="675" w:type="dxa"/>
            <w:shd w:val="clear" w:color="auto" w:fill="auto"/>
            <w:vAlign w:val="center"/>
          </w:tcPr>
          <w:p>
            <w:pPr>
              <w:jc w:val="center"/>
              <w:rPr>
                <w:rFonts w:ascii="宋体" w:hAnsi="宋体"/>
                <w:color w:val="000000"/>
              </w:rPr>
            </w:pPr>
            <w:r>
              <w:rPr>
                <w:rFonts w:hint="eastAsia" w:ascii="宋体" w:hAnsi="宋体"/>
                <w:color w:val="000000"/>
              </w:rPr>
              <w:t>序号</w:t>
            </w:r>
          </w:p>
        </w:tc>
        <w:tc>
          <w:tcPr>
            <w:tcW w:w="1815" w:type="dxa"/>
            <w:shd w:val="clear" w:color="auto" w:fill="auto"/>
            <w:vAlign w:val="center"/>
          </w:tcPr>
          <w:p>
            <w:pPr>
              <w:jc w:val="center"/>
              <w:rPr>
                <w:rFonts w:ascii="宋体" w:hAnsi="宋体"/>
                <w:color w:val="000000"/>
              </w:rPr>
            </w:pPr>
            <w:r>
              <w:rPr>
                <w:rFonts w:hint="eastAsia" w:ascii="宋体" w:hAnsi="宋体"/>
                <w:color w:val="000000"/>
              </w:rPr>
              <w:t>工程名称</w:t>
            </w:r>
          </w:p>
        </w:tc>
        <w:tc>
          <w:tcPr>
            <w:tcW w:w="1246" w:type="dxa"/>
            <w:shd w:val="clear" w:color="auto" w:fill="auto"/>
            <w:vAlign w:val="center"/>
          </w:tcPr>
          <w:p>
            <w:pPr>
              <w:jc w:val="center"/>
              <w:rPr>
                <w:rFonts w:ascii="宋体" w:hAnsi="宋体"/>
                <w:color w:val="000000"/>
              </w:rPr>
            </w:pPr>
            <w:r>
              <w:rPr>
                <w:rFonts w:hint="eastAsia" w:ascii="宋体" w:hAnsi="宋体"/>
                <w:color w:val="000000"/>
              </w:rPr>
              <w:t>工程内容</w:t>
            </w:r>
          </w:p>
        </w:tc>
        <w:tc>
          <w:tcPr>
            <w:tcW w:w="1246" w:type="dxa"/>
            <w:shd w:val="clear" w:color="auto" w:fill="auto"/>
            <w:vAlign w:val="center"/>
          </w:tcPr>
          <w:p>
            <w:pPr>
              <w:jc w:val="center"/>
              <w:rPr>
                <w:rFonts w:ascii="宋体" w:hAnsi="宋体"/>
                <w:color w:val="000000"/>
              </w:rPr>
            </w:pPr>
            <w:r>
              <w:rPr>
                <w:rFonts w:hint="eastAsia" w:ascii="宋体" w:hAnsi="宋体"/>
                <w:color w:val="000000"/>
              </w:rPr>
              <w:t>暂估金额（元）</w:t>
            </w:r>
          </w:p>
        </w:tc>
        <w:tc>
          <w:tcPr>
            <w:tcW w:w="1246" w:type="dxa"/>
            <w:shd w:val="clear" w:color="auto" w:fill="auto"/>
            <w:vAlign w:val="center"/>
          </w:tcPr>
          <w:p>
            <w:pPr>
              <w:jc w:val="center"/>
              <w:rPr>
                <w:rFonts w:ascii="宋体" w:hAnsi="宋体"/>
                <w:color w:val="000000"/>
              </w:rPr>
            </w:pPr>
            <w:r>
              <w:rPr>
                <w:rFonts w:hint="eastAsia" w:ascii="宋体" w:hAnsi="宋体"/>
                <w:color w:val="000000"/>
              </w:rPr>
              <w:t>结算金额（元）</w:t>
            </w:r>
          </w:p>
        </w:tc>
        <w:tc>
          <w:tcPr>
            <w:tcW w:w="1246" w:type="dxa"/>
            <w:shd w:val="clear" w:color="auto" w:fill="auto"/>
            <w:vAlign w:val="center"/>
          </w:tcPr>
          <w:p>
            <w:pPr>
              <w:jc w:val="center"/>
              <w:rPr>
                <w:rFonts w:ascii="宋体" w:hAnsi="宋体"/>
                <w:color w:val="000000"/>
              </w:rPr>
            </w:pPr>
            <w:r>
              <w:rPr>
                <w:rFonts w:hint="eastAsia" w:ascii="宋体" w:hAnsi="宋体"/>
                <w:color w:val="000000"/>
              </w:rPr>
              <w:t>差额±（元）</w:t>
            </w:r>
          </w:p>
        </w:tc>
        <w:tc>
          <w:tcPr>
            <w:tcW w:w="1246" w:type="dxa"/>
            <w:shd w:val="clear" w:color="auto" w:fill="auto"/>
            <w:vAlign w:val="center"/>
          </w:tcPr>
          <w:p>
            <w:pPr>
              <w:jc w:val="center"/>
              <w:rPr>
                <w:rFonts w:ascii="宋体" w:hAnsi="宋体"/>
                <w:color w:val="000000"/>
              </w:rPr>
            </w:pPr>
            <w:r>
              <w:rPr>
                <w:rFonts w:hint="eastAsia" w:ascii="宋体" w:hAnsi="宋体"/>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5" w:hRule="atLeast"/>
        </w:trPr>
        <w:tc>
          <w:tcPr>
            <w:tcW w:w="675" w:type="dxa"/>
            <w:shd w:val="clear" w:color="auto" w:fill="auto"/>
            <w:vAlign w:val="center"/>
          </w:tcPr>
          <w:p>
            <w:pPr>
              <w:jc w:val="center"/>
              <w:rPr>
                <w:rFonts w:ascii="宋体" w:hAnsi="宋体"/>
                <w:color w:val="000000"/>
              </w:rPr>
            </w:pPr>
          </w:p>
        </w:tc>
        <w:tc>
          <w:tcPr>
            <w:tcW w:w="1815"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5" w:hRule="atLeast"/>
        </w:trPr>
        <w:tc>
          <w:tcPr>
            <w:tcW w:w="675" w:type="dxa"/>
            <w:shd w:val="clear" w:color="auto" w:fill="auto"/>
            <w:vAlign w:val="center"/>
          </w:tcPr>
          <w:p>
            <w:pPr>
              <w:jc w:val="center"/>
              <w:rPr>
                <w:rFonts w:ascii="宋体" w:hAnsi="宋体"/>
                <w:color w:val="000000"/>
              </w:rPr>
            </w:pPr>
          </w:p>
        </w:tc>
        <w:tc>
          <w:tcPr>
            <w:tcW w:w="1815"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5" w:hRule="atLeast"/>
        </w:trPr>
        <w:tc>
          <w:tcPr>
            <w:tcW w:w="675" w:type="dxa"/>
            <w:shd w:val="clear" w:color="auto" w:fill="auto"/>
            <w:vAlign w:val="center"/>
          </w:tcPr>
          <w:p>
            <w:pPr>
              <w:jc w:val="center"/>
              <w:rPr>
                <w:rFonts w:ascii="宋体" w:hAnsi="宋体"/>
                <w:color w:val="000000"/>
              </w:rPr>
            </w:pPr>
          </w:p>
        </w:tc>
        <w:tc>
          <w:tcPr>
            <w:tcW w:w="1815"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5" w:hRule="atLeast"/>
        </w:trPr>
        <w:tc>
          <w:tcPr>
            <w:tcW w:w="675" w:type="dxa"/>
            <w:shd w:val="clear" w:color="auto" w:fill="auto"/>
            <w:vAlign w:val="center"/>
          </w:tcPr>
          <w:p>
            <w:pPr>
              <w:jc w:val="center"/>
              <w:rPr>
                <w:rFonts w:ascii="宋体" w:hAnsi="宋体"/>
                <w:color w:val="000000"/>
              </w:rPr>
            </w:pPr>
          </w:p>
        </w:tc>
        <w:tc>
          <w:tcPr>
            <w:tcW w:w="1815"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5" w:hRule="atLeast"/>
        </w:trPr>
        <w:tc>
          <w:tcPr>
            <w:tcW w:w="675" w:type="dxa"/>
            <w:shd w:val="clear" w:color="auto" w:fill="auto"/>
            <w:vAlign w:val="center"/>
          </w:tcPr>
          <w:p>
            <w:pPr>
              <w:jc w:val="center"/>
              <w:rPr>
                <w:rFonts w:ascii="宋体" w:hAnsi="宋体"/>
                <w:color w:val="000000"/>
              </w:rPr>
            </w:pPr>
          </w:p>
        </w:tc>
        <w:tc>
          <w:tcPr>
            <w:tcW w:w="1815"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5" w:hRule="atLeast"/>
        </w:trPr>
        <w:tc>
          <w:tcPr>
            <w:tcW w:w="675" w:type="dxa"/>
            <w:shd w:val="clear" w:color="auto" w:fill="auto"/>
            <w:vAlign w:val="center"/>
          </w:tcPr>
          <w:p>
            <w:pPr>
              <w:jc w:val="center"/>
              <w:rPr>
                <w:rFonts w:ascii="宋体" w:hAnsi="宋体"/>
                <w:color w:val="000000"/>
              </w:rPr>
            </w:pPr>
          </w:p>
        </w:tc>
        <w:tc>
          <w:tcPr>
            <w:tcW w:w="1815"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5" w:hRule="atLeast"/>
        </w:trPr>
        <w:tc>
          <w:tcPr>
            <w:tcW w:w="675" w:type="dxa"/>
            <w:shd w:val="clear" w:color="auto" w:fill="auto"/>
            <w:vAlign w:val="center"/>
          </w:tcPr>
          <w:p>
            <w:pPr>
              <w:jc w:val="center"/>
              <w:rPr>
                <w:rFonts w:ascii="宋体" w:hAnsi="宋体"/>
                <w:color w:val="000000"/>
              </w:rPr>
            </w:pPr>
          </w:p>
        </w:tc>
        <w:tc>
          <w:tcPr>
            <w:tcW w:w="1815"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5" w:hRule="atLeast"/>
        </w:trPr>
        <w:tc>
          <w:tcPr>
            <w:tcW w:w="675" w:type="dxa"/>
            <w:shd w:val="clear" w:color="auto" w:fill="auto"/>
            <w:vAlign w:val="center"/>
          </w:tcPr>
          <w:p>
            <w:pPr>
              <w:jc w:val="center"/>
              <w:rPr>
                <w:rFonts w:ascii="宋体" w:hAnsi="宋体"/>
                <w:color w:val="000000"/>
              </w:rPr>
            </w:pPr>
          </w:p>
        </w:tc>
        <w:tc>
          <w:tcPr>
            <w:tcW w:w="1815"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5" w:hRule="atLeast"/>
        </w:trPr>
        <w:tc>
          <w:tcPr>
            <w:tcW w:w="675" w:type="dxa"/>
            <w:shd w:val="clear" w:color="auto" w:fill="auto"/>
            <w:vAlign w:val="center"/>
          </w:tcPr>
          <w:p>
            <w:pPr>
              <w:jc w:val="center"/>
              <w:rPr>
                <w:rFonts w:ascii="宋体" w:hAnsi="宋体"/>
                <w:color w:val="000000"/>
              </w:rPr>
            </w:pPr>
          </w:p>
        </w:tc>
        <w:tc>
          <w:tcPr>
            <w:tcW w:w="1815"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5" w:hRule="atLeast"/>
        </w:trPr>
        <w:tc>
          <w:tcPr>
            <w:tcW w:w="675" w:type="dxa"/>
            <w:shd w:val="clear" w:color="auto" w:fill="auto"/>
            <w:vAlign w:val="center"/>
          </w:tcPr>
          <w:p>
            <w:pPr>
              <w:jc w:val="center"/>
              <w:rPr>
                <w:rFonts w:ascii="宋体" w:hAnsi="宋体"/>
                <w:color w:val="000000"/>
              </w:rPr>
            </w:pPr>
          </w:p>
        </w:tc>
        <w:tc>
          <w:tcPr>
            <w:tcW w:w="1815"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5" w:hRule="atLeast"/>
        </w:trPr>
        <w:tc>
          <w:tcPr>
            <w:tcW w:w="675" w:type="dxa"/>
            <w:shd w:val="clear" w:color="auto" w:fill="auto"/>
            <w:vAlign w:val="center"/>
          </w:tcPr>
          <w:p>
            <w:pPr>
              <w:jc w:val="center"/>
              <w:rPr>
                <w:rFonts w:ascii="宋体" w:hAnsi="宋体"/>
                <w:color w:val="000000"/>
              </w:rPr>
            </w:pPr>
          </w:p>
        </w:tc>
        <w:tc>
          <w:tcPr>
            <w:tcW w:w="1815"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5" w:hRule="atLeast"/>
        </w:trPr>
        <w:tc>
          <w:tcPr>
            <w:tcW w:w="675" w:type="dxa"/>
            <w:shd w:val="clear" w:color="auto" w:fill="auto"/>
            <w:vAlign w:val="center"/>
          </w:tcPr>
          <w:p>
            <w:pPr>
              <w:jc w:val="center"/>
              <w:rPr>
                <w:rFonts w:ascii="宋体" w:hAnsi="宋体"/>
                <w:color w:val="000000"/>
              </w:rPr>
            </w:pPr>
          </w:p>
        </w:tc>
        <w:tc>
          <w:tcPr>
            <w:tcW w:w="1815"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5" w:hRule="atLeast"/>
        </w:trPr>
        <w:tc>
          <w:tcPr>
            <w:tcW w:w="675" w:type="dxa"/>
            <w:shd w:val="clear" w:color="auto" w:fill="auto"/>
            <w:vAlign w:val="center"/>
          </w:tcPr>
          <w:p>
            <w:pPr>
              <w:jc w:val="center"/>
              <w:rPr>
                <w:rFonts w:ascii="宋体" w:hAnsi="宋体"/>
                <w:color w:val="000000"/>
              </w:rPr>
            </w:pPr>
          </w:p>
        </w:tc>
        <w:tc>
          <w:tcPr>
            <w:tcW w:w="1815"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5" w:hRule="atLeast"/>
        </w:trPr>
        <w:tc>
          <w:tcPr>
            <w:tcW w:w="675" w:type="dxa"/>
            <w:shd w:val="clear" w:color="auto" w:fill="auto"/>
            <w:vAlign w:val="center"/>
          </w:tcPr>
          <w:p>
            <w:pPr>
              <w:jc w:val="center"/>
              <w:rPr>
                <w:rFonts w:ascii="宋体" w:hAnsi="宋体"/>
                <w:color w:val="000000"/>
              </w:rPr>
            </w:pPr>
          </w:p>
        </w:tc>
        <w:tc>
          <w:tcPr>
            <w:tcW w:w="1815"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5" w:hRule="atLeast"/>
        </w:trPr>
        <w:tc>
          <w:tcPr>
            <w:tcW w:w="675" w:type="dxa"/>
            <w:shd w:val="clear" w:color="auto" w:fill="auto"/>
            <w:vAlign w:val="center"/>
          </w:tcPr>
          <w:p>
            <w:pPr>
              <w:jc w:val="center"/>
              <w:rPr>
                <w:rFonts w:ascii="宋体" w:hAnsi="宋体"/>
                <w:color w:val="000000"/>
              </w:rPr>
            </w:pPr>
          </w:p>
        </w:tc>
        <w:tc>
          <w:tcPr>
            <w:tcW w:w="1815"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5" w:hRule="atLeast"/>
        </w:trPr>
        <w:tc>
          <w:tcPr>
            <w:tcW w:w="675" w:type="dxa"/>
            <w:shd w:val="clear" w:color="auto" w:fill="auto"/>
            <w:vAlign w:val="center"/>
          </w:tcPr>
          <w:p>
            <w:pPr>
              <w:jc w:val="center"/>
              <w:rPr>
                <w:rFonts w:ascii="宋体" w:hAnsi="宋体"/>
                <w:color w:val="000000"/>
              </w:rPr>
            </w:pPr>
          </w:p>
        </w:tc>
        <w:tc>
          <w:tcPr>
            <w:tcW w:w="1815"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6" w:hRule="atLeast"/>
        </w:trPr>
        <w:tc>
          <w:tcPr>
            <w:tcW w:w="3736" w:type="dxa"/>
            <w:gridSpan w:val="3"/>
            <w:shd w:val="clear" w:color="auto" w:fill="auto"/>
            <w:vAlign w:val="center"/>
          </w:tcPr>
          <w:p>
            <w:pPr>
              <w:jc w:val="center"/>
              <w:rPr>
                <w:rFonts w:ascii="宋体" w:hAnsi="宋体"/>
                <w:color w:val="000000"/>
              </w:rPr>
            </w:pPr>
            <w:r>
              <w:rPr>
                <w:rFonts w:hint="eastAsia" w:ascii="宋体" w:hAnsi="宋体"/>
                <w:color w:val="000000"/>
              </w:rPr>
              <w:t>合    计</w:t>
            </w: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c>
          <w:tcPr>
            <w:tcW w:w="1246" w:type="dxa"/>
            <w:shd w:val="clear" w:color="auto" w:fill="auto"/>
            <w:vAlign w:val="center"/>
          </w:tcPr>
          <w:p>
            <w:pPr>
              <w:jc w:val="center"/>
              <w:rPr>
                <w:rFonts w:ascii="宋体" w:hAnsi="宋体"/>
                <w:color w:val="000000"/>
              </w:rPr>
            </w:pPr>
          </w:p>
        </w:tc>
      </w:tr>
    </w:tbl>
    <w:p>
      <w:pPr>
        <w:rPr>
          <w:rFonts w:ascii="黑体" w:eastAsia="黑体"/>
          <w:color w:val="000000"/>
          <w:sz w:val="24"/>
        </w:rPr>
      </w:pPr>
      <w:r>
        <w:rPr>
          <w:rFonts w:ascii="宋体" w:hAnsi="宋体"/>
          <w:color w:val="000000"/>
        </w:rPr>
        <w:br w:type="page"/>
      </w:r>
      <w:r>
        <w:rPr>
          <w:rFonts w:hint="eastAsia" w:ascii="黑体" w:eastAsia="黑体"/>
          <w:color w:val="000000"/>
          <w:sz w:val="24"/>
        </w:rPr>
        <w:t>4.19计日工表</w:t>
      </w:r>
    </w:p>
    <w:p>
      <w:pPr>
        <w:spacing w:before="120" w:beforeLines="50" w:after="120" w:afterLines="50"/>
        <w:jc w:val="center"/>
        <w:rPr>
          <w:rFonts w:ascii="黑体" w:eastAsia="黑体"/>
          <w:color w:val="000000"/>
          <w:sz w:val="28"/>
          <w:szCs w:val="28"/>
        </w:rPr>
      </w:pPr>
      <w:r>
        <w:rPr>
          <w:rFonts w:hint="eastAsia" w:ascii="黑体" w:eastAsia="黑体"/>
          <w:color w:val="000000"/>
          <w:sz w:val="28"/>
          <w:szCs w:val="28"/>
        </w:rPr>
        <w:t>计日工表</w:t>
      </w:r>
    </w:p>
    <w:p>
      <w:pPr>
        <w:rPr>
          <w:color w:val="000000"/>
        </w:rPr>
      </w:pPr>
      <w:r>
        <w:rPr>
          <w:rFonts w:hint="eastAsia"/>
          <w:color w:val="000000"/>
        </w:rPr>
        <w:t>工程名称：　　　第页共页</w:t>
      </w:r>
    </w:p>
    <w:tbl>
      <w:tblPr>
        <w:tblStyle w:val="36"/>
        <w:tblW w:w="8720"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796"/>
        <w:gridCol w:w="1966"/>
        <w:gridCol w:w="947"/>
        <w:gridCol w:w="954"/>
        <w:gridCol w:w="900"/>
        <w:gridCol w:w="960"/>
        <w:gridCol w:w="1117"/>
        <w:gridCol w:w="108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45" w:hRule="atLeast"/>
          <w:jc w:val="center"/>
        </w:trPr>
        <w:tc>
          <w:tcPr>
            <w:tcW w:w="796" w:type="dxa"/>
            <w:vMerge w:val="restart"/>
            <w:vAlign w:val="center"/>
          </w:tcPr>
          <w:p>
            <w:pPr>
              <w:jc w:val="center"/>
              <w:rPr>
                <w:color w:val="000000"/>
              </w:rPr>
            </w:pPr>
            <w:r>
              <w:rPr>
                <w:rFonts w:hint="eastAsia"/>
                <w:color w:val="000000"/>
              </w:rPr>
              <w:t>编号</w:t>
            </w:r>
          </w:p>
        </w:tc>
        <w:tc>
          <w:tcPr>
            <w:tcW w:w="1966" w:type="dxa"/>
            <w:vMerge w:val="restart"/>
            <w:tcBorders>
              <w:right w:val="single" w:color="auto" w:sz="6" w:space="0"/>
            </w:tcBorders>
            <w:vAlign w:val="center"/>
          </w:tcPr>
          <w:p>
            <w:pPr>
              <w:jc w:val="center"/>
              <w:rPr>
                <w:color w:val="000000"/>
              </w:rPr>
            </w:pPr>
            <w:r>
              <w:rPr>
                <w:rFonts w:hint="eastAsia"/>
                <w:color w:val="000000"/>
              </w:rPr>
              <w:t>子目名称</w:t>
            </w:r>
          </w:p>
        </w:tc>
        <w:tc>
          <w:tcPr>
            <w:tcW w:w="947" w:type="dxa"/>
            <w:vMerge w:val="restart"/>
            <w:tcBorders>
              <w:left w:val="single" w:color="auto" w:sz="6" w:space="0"/>
            </w:tcBorders>
            <w:vAlign w:val="center"/>
          </w:tcPr>
          <w:p>
            <w:pPr>
              <w:jc w:val="center"/>
              <w:rPr>
                <w:color w:val="000000"/>
              </w:rPr>
            </w:pPr>
            <w:r>
              <w:rPr>
                <w:rFonts w:hint="eastAsia"/>
                <w:color w:val="000000"/>
              </w:rPr>
              <w:t>单位</w:t>
            </w:r>
          </w:p>
        </w:tc>
        <w:tc>
          <w:tcPr>
            <w:tcW w:w="954" w:type="dxa"/>
            <w:vMerge w:val="restart"/>
            <w:tcBorders>
              <w:right w:val="single" w:color="auto" w:sz="6" w:space="0"/>
            </w:tcBorders>
            <w:vAlign w:val="center"/>
          </w:tcPr>
          <w:p>
            <w:pPr>
              <w:jc w:val="center"/>
              <w:rPr>
                <w:color w:val="000000"/>
              </w:rPr>
            </w:pPr>
            <w:r>
              <w:rPr>
                <w:rFonts w:hint="eastAsia"/>
                <w:color w:val="000000"/>
              </w:rPr>
              <w:t>暂定数量</w:t>
            </w:r>
          </w:p>
        </w:tc>
        <w:tc>
          <w:tcPr>
            <w:tcW w:w="900" w:type="dxa"/>
            <w:vMerge w:val="restart"/>
            <w:tcBorders>
              <w:right w:val="single" w:color="auto" w:sz="6" w:space="0"/>
            </w:tcBorders>
          </w:tcPr>
          <w:p>
            <w:pPr>
              <w:jc w:val="center"/>
              <w:rPr>
                <w:color w:val="000000"/>
              </w:rPr>
            </w:pPr>
            <w:r>
              <w:rPr>
                <w:rFonts w:hint="eastAsia"/>
                <w:color w:val="000000"/>
              </w:rPr>
              <w:t>实际数量</w:t>
            </w:r>
          </w:p>
        </w:tc>
        <w:tc>
          <w:tcPr>
            <w:tcW w:w="960" w:type="dxa"/>
            <w:vMerge w:val="restart"/>
            <w:tcBorders>
              <w:left w:val="single" w:color="auto" w:sz="6" w:space="0"/>
            </w:tcBorders>
            <w:vAlign w:val="center"/>
          </w:tcPr>
          <w:p>
            <w:pPr>
              <w:jc w:val="center"/>
              <w:rPr>
                <w:color w:val="000000"/>
              </w:rPr>
            </w:pPr>
            <w:r>
              <w:rPr>
                <w:rFonts w:hint="eastAsia"/>
                <w:color w:val="000000"/>
              </w:rPr>
              <w:t>综合单价（元）</w:t>
            </w:r>
          </w:p>
        </w:tc>
        <w:tc>
          <w:tcPr>
            <w:tcW w:w="2197" w:type="dxa"/>
            <w:gridSpan w:val="2"/>
            <w:vAlign w:val="center"/>
          </w:tcPr>
          <w:p>
            <w:pPr>
              <w:jc w:val="center"/>
              <w:rPr>
                <w:color w:val="000000"/>
              </w:rPr>
            </w:pPr>
            <w:r>
              <w:rPr>
                <w:rFonts w:hint="eastAsia"/>
                <w:color w:val="000000"/>
              </w:rPr>
              <w:t>合价</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264" w:hRule="atLeast"/>
          <w:jc w:val="center"/>
        </w:trPr>
        <w:tc>
          <w:tcPr>
            <w:tcW w:w="796" w:type="dxa"/>
            <w:vMerge w:val="continue"/>
            <w:vAlign w:val="center"/>
          </w:tcPr>
          <w:p>
            <w:pPr>
              <w:jc w:val="center"/>
              <w:rPr>
                <w:color w:val="000000"/>
              </w:rPr>
            </w:pPr>
          </w:p>
        </w:tc>
        <w:tc>
          <w:tcPr>
            <w:tcW w:w="1966" w:type="dxa"/>
            <w:vMerge w:val="continue"/>
            <w:tcBorders>
              <w:right w:val="single" w:color="auto" w:sz="6" w:space="0"/>
            </w:tcBorders>
            <w:vAlign w:val="center"/>
          </w:tcPr>
          <w:p>
            <w:pPr>
              <w:jc w:val="center"/>
              <w:rPr>
                <w:color w:val="000000"/>
              </w:rPr>
            </w:pPr>
          </w:p>
        </w:tc>
        <w:tc>
          <w:tcPr>
            <w:tcW w:w="947" w:type="dxa"/>
            <w:vMerge w:val="continue"/>
            <w:tcBorders>
              <w:left w:val="single" w:color="auto" w:sz="6" w:space="0"/>
            </w:tcBorders>
            <w:vAlign w:val="center"/>
          </w:tcPr>
          <w:p>
            <w:pPr>
              <w:jc w:val="center"/>
              <w:rPr>
                <w:color w:val="000000"/>
              </w:rPr>
            </w:pPr>
          </w:p>
        </w:tc>
        <w:tc>
          <w:tcPr>
            <w:tcW w:w="954" w:type="dxa"/>
            <w:vMerge w:val="continue"/>
            <w:tcBorders>
              <w:right w:val="single" w:color="auto" w:sz="6" w:space="0"/>
            </w:tcBorders>
            <w:vAlign w:val="center"/>
          </w:tcPr>
          <w:p>
            <w:pPr>
              <w:jc w:val="center"/>
              <w:rPr>
                <w:color w:val="000000"/>
              </w:rPr>
            </w:pPr>
          </w:p>
        </w:tc>
        <w:tc>
          <w:tcPr>
            <w:tcW w:w="900" w:type="dxa"/>
            <w:vMerge w:val="continue"/>
            <w:tcBorders>
              <w:right w:val="single" w:color="auto" w:sz="6" w:space="0"/>
            </w:tcBorders>
          </w:tcPr>
          <w:p>
            <w:pPr>
              <w:jc w:val="center"/>
              <w:rPr>
                <w:color w:val="000000"/>
              </w:rPr>
            </w:pPr>
          </w:p>
        </w:tc>
        <w:tc>
          <w:tcPr>
            <w:tcW w:w="960" w:type="dxa"/>
            <w:vMerge w:val="continue"/>
            <w:tcBorders>
              <w:left w:val="single" w:color="auto" w:sz="6" w:space="0"/>
            </w:tcBorders>
            <w:vAlign w:val="center"/>
          </w:tcPr>
          <w:p>
            <w:pPr>
              <w:jc w:val="center"/>
              <w:rPr>
                <w:color w:val="000000"/>
              </w:rPr>
            </w:pPr>
          </w:p>
        </w:tc>
        <w:tc>
          <w:tcPr>
            <w:tcW w:w="1117" w:type="dxa"/>
            <w:vAlign w:val="center"/>
          </w:tcPr>
          <w:p>
            <w:pPr>
              <w:jc w:val="center"/>
              <w:rPr>
                <w:color w:val="000000"/>
              </w:rPr>
            </w:pPr>
            <w:r>
              <w:rPr>
                <w:rFonts w:hint="eastAsia"/>
                <w:color w:val="000000"/>
              </w:rPr>
              <w:t>暂定</w:t>
            </w:r>
          </w:p>
        </w:tc>
        <w:tc>
          <w:tcPr>
            <w:tcW w:w="1080" w:type="dxa"/>
            <w:vAlign w:val="center"/>
          </w:tcPr>
          <w:p>
            <w:pPr>
              <w:jc w:val="center"/>
              <w:rPr>
                <w:color w:val="000000"/>
              </w:rPr>
            </w:pPr>
            <w:r>
              <w:rPr>
                <w:rFonts w:hint="eastAsia"/>
                <w:color w:val="000000"/>
              </w:rPr>
              <w:t>实际</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82" w:hRule="atLeast"/>
          <w:jc w:val="center"/>
        </w:trPr>
        <w:tc>
          <w:tcPr>
            <w:tcW w:w="796" w:type="dxa"/>
            <w:vAlign w:val="center"/>
          </w:tcPr>
          <w:p>
            <w:pPr>
              <w:jc w:val="center"/>
              <w:rPr>
                <w:rFonts w:ascii="黑体" w:eastAsia="黑体"/>
                <w:color w:val="000000"/>
              </w:rPr>
            </w:pPr>
            <w:r>
              <w:rPr>
                <w:rFonts w:hint="eastAsia" w:ascii="黑体" w:eastAsia="黑体"/>
                <w:color w:val="000000"/>
              </w:rPr>
              <w:t>一</w:t>
            </w:r>
          </w:p>
        </w:tc>
        <w:tc>
          <w:tcPr>
            <w:tcW w:w="1966" w:type="dxa"/>
            <w:tcBorders>
              <w:right w:val="single" w:color="auto" w:sz="6" w:space="0"/>
            </w:tcBorders>
            <w:vAlign w:val="center"/>
          </w:tcPr>
          <w:p>
            <w:pPr>
              <w:rPr>
                <w:color w:val="000000"/>
              </w:rPr>
            </w:pPr>
            <w:r>
              <w:rPr>
                <w:rFonts w:hint="eastAsia"/>
                <w:color w:val="000000"/>
              </w:rPr>
              <w:t>人工</w:t>
            </w:r>
          </w:p>
        </w:tc>
        <w:tc>
          <w:tcPr>
            <w:tcW w:w="947" w:type="dxa"/>
            <w:tcBorders>
              <w:left w:val="single" w:color="auto" w:sz="6" w:space="0"/>
            </w:tcBorders>
            <w:vAlign w:val="center"/>
          </w:tcPr>
          <w:p>
            <w:pPr>
              <w:rPr>
                <w:color w:val="000000"/>
              </w:rPr>
            </w:pPr>
          </w:p>
        </w:tc>
        <w:tc>
          <w:tcPr>
            <w:tcW w:w="954" w:type="dxa"/>
            <w:tcBorders>
              <w:right w:val="single" w:color="auto" w:sz="6" w:space="0"/>
            </w:tcBorders>
            <w:vAlign w:val="center"/>
          </w:tcPr>
          <w:p>
            <w:pPr>
              <w:jc w:val="center"/>
              <w:rPr>
                <w:color w:val="000000"/>
              </w:rPr>
            </w:pPr>
          </w:p>
        </w:tc>
        <w:tc>
          <w:tcPr>
            <w:tcW w:w="900" w:type="dxa"/>
            <w:tcBorders>
              <w:right w:val="single" w:color="auto" w:sz="6" w:space="0"/>
            </w:tcBorders>
          </w:tcPr>
          <w:p>
            <w:pPr>
              <w:jc w:val="center"/>
              <w:rPr>
                <w:color w:val="000000"/>
              </w:rPr>
            </w:pPr>
          </w:p>
        </w:tc>
        <w:tc>
          <w:tcPr>
            <w:tcW w:w="960" w:type="dxa"/>
            <w:tcBorders>
              <w:left w:val="single" w:color="auto" w:sz="6" w:space="0"/>
            </w:tcBorders>
            <w:vAlign w:val="center"/>
          </w:tcPr>
          <w:p>
            <w:pPr>
              <w:jc w:val="center"/>
              <w:rPr>
                <w:color w:val="000000"/>
              </w:rPr>
            </w:pPr>
          </w:p>
        </w:tc>
        <w:tc>
          <w:tcPr>
            <w:tcW w:w="1117" w:type="dxa"/>
            <w:vAlign w:val="center"/>
          </w:tcPr>
          <w:p>
            <w:pPr>
              <w:jc w:val="center"/>
              <w:rPr>
                <w:color w:val="000000"/>
              </w:rPr>
            </w:pPr>
          </w:p>
        </w:tc>
        <w:tc>
          <w:tcPr>
            <w:tcW w:w="1080" w:type="dxa"/>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82" w:hRule="atLeast"/>
          <w:jc w:val="center"/>
        </w:trPr>
        <w:tc>
          <w:tcPr>
            <w:tcW w:w="796" w:type="dxa"/>
            <w:tcBorders>
              <w:bottom w:val="single" w:color="auto" w:sz="6" w:space="0"/>
            </w:tcBorders>
            <w:vAlign w:val="center"/>
          </w:tcPr>
          <w:p>
            <w:pPr>
              <w:jc w:val="center"/>
              <w:rPr>
                <w:rFonts w:ascii="黑体" w:eastAsia="黑体"/>
                <w:color w:val="000000"/>
              </w:rPr>
            </w:pPr>
            <w:r>
              <w:rPr>
                <w:rFonts w:hint="eastAsia" w:ascii="黑体" w:eastAsia="黑体"/>
                <w:color w:val="000000"/>
              </w:rPr>
              <w:t>1</w:t>
            </w:r>
          </w:p>
        </w:tc>
        <w:tc>
          <w:tcPr>
            <w:tcW w:w="1966" w:type="dxa"/>
            <w:tcBorders>
              <w:right w:val="single" w:color="auto" w:sz="6" w:space="0"/>
            </w:tcBorders>
            <w:vAlign w:val="center"/>
          </w:tcPr>
          <w:p>
            <w:pPr>
              <w:rPr>
                <w:color w:val="000000"/>
              </w:rPr>
            </w:pPr>
          </w:p>
        </w:tc>
        <w:tc>
          <w:tcPr>
            <w:tcW w:w="947" w:type="dxa"/>
            <w:tcBorders>
              <w:left w:val="single" w:color="auto" w:sz="6" w:space="0"/>
            </w:tcBorders>
            <w:vAlign w:val="center"/>
          </w:tcPr>
          <w:p>
            <w:pPr>
              <w:rPr>
                <w:color w:val="000000"/>
              </w:rPr>
            </w:pPr>
          </w:p>
        </w:tc>
        <w:tc>
          <w:tcPr>
            <w:tcW w:w="954" w:type="dxa"/>
            <w:tcBorders>
              <w:right w:val="single" w:color="auto" w:sz="6" w:space="0"/>
            </w:tcBorders>
            <w:vAlign w:val="center"/>
          </w:tcPr>
          <w:p>
            <w:pPr>
              <w:jc w:val="center"/>
              <w:rPr>
                <w:color w:val="000000"/>
              </w:rPr>
            </w:pPr>
          </w:p>
        </w:tc>
        <w:tc>
          <w:tcPr>
            <w:tcW w:w="900" w:type="dxa"/>
            <w:tcBorders>
              <w:right w:val="single" w:color="auto" w:sz="6" w:space="0"/>
            </w:tcBorders>
          </w:tcPr>
          <w:p>
            <w:pPr>
              <w:jc w:val="center"/>
              <w:rPr>
                <w:color w:val="000000"/>
              </w:rPr>
            </w:pPr>
          </w:p>
        </w:tc>
        <w:tc>
          <w:tcPr>
            <w:tcW w:w="960" w:type="dxa"/>
            <w:tcBorders>
              <w:left w:val="single" w:color="auto" w:sz="6" w:space="0"/>
            </w:tcBorders>
            <w:vAlign w:val="center"/>
          </w:tcPr>
          <w:p>
            <w:pPr>
              <w:jc w:val="center"/>
              <w:rPr>
                <w:color w:val="000000"/>
              </w:rPr>
            </w:pPr>
          </w:p>
        </w:tc>
        <w:tc>
          <w:tcPr>
            <w:tcW w:w="1117" w:type="dxa"/>
            <w:vAlign w:val="center"/>
          </w:tcPr>
          <w:p>
            <w:pPr>
              <w:jc w:val="center"/>
              <w:rPr>
                <w:color w:val="000000"/>
              </w:rPr>
            </w:pPr>
          </w:p>
        </w:tc>
        <w:tc>
          <w:tcPr>
            <w:tcW w:w="1080" w:type="dxa"/>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82" w:hRule="atLeast"/>
          <w:jc w:val="center"/>
        </w:trPr>
        <w:tc>
          <w:tcPr>
            <w:tcW w:w="796" w:type="dxa"/>
            <w:tcBorders>
              <w:top w:val="single" w:color="auto" w:sz="6" w:space="0"/>
            </w:tcBorders>
            <w:vAlign w:val="center"/>
          </w:tcPr>
          <w:p>
            <w:pPr>
              <w:jc w:val="center"/>
              <w:rPr>
                <w:rFonts w:ascii="黑体" w:eastAsia="黑体"/>
                <w:color w:val="000000"/>
              </w:rPr>
            </w:pPr>
            <w:r>
              <w:rPr>
                <w:rFonts w:hint="eastAsia" w:ascii="黑体" w:eastAsia="黑体"/>
                <w:color w:val="000000"/>
              </w:rPr>
              <w:t>2</w:t>
            </w:r>
          </w:p>
        </w:tc>
        <w:tc>
          <w:tcPr>
            <w:tcW w:w="1966" w:type="dxa"/>
            <w:tcBorders>
              <w:right w:val="single" w:color="auto" w:sz="6" w:space="0"/>
            </w:tcBorders>
            <w:vAlign w:val="center"/>
          </w:tcPr>
          <w:p>
            <w:pPr>
              <w:rPr>
                <w:color w:val="000000"/>
              </w:rPr>
            </w:pPr>
          </w:p>
        </w:tc>
        <w:tc>
          <w:tcPr>
            <w:tcW w:w="947" w:type="dxa"/>
            <w:tcBorders>
              <w:left w:val="single" w:color="auto" w:sz="6" w:space="0"/>
            </w:tcBorders>
            <w:vAlign w:val="center"/>
          </w:tcPr>
          <w:p>
            <w:pPr>
              <w:rPr>
                <w:color w:val="000000"/>
              </w:rPr>
            </w:pPr>
          </w:p>
        </w:tc>
        <w:tc>
          <w:tcPr>
            <w:tcW w:w="954" w:type="dxa"/>
            <w:tcBorders>
              <w:right w:val="single" w:color="auto" w:sz="6" w:space="0"/>
            </w:tcBorders>
            <w:vAlign w:val="center"/>
          </w:tcPr>
          <w:p>
            <w:pPr>
              <w:jc w:val="center"/>
              <w:rPr>
                <w:color w:val="000000"/>
              </w:rPr>
            </w:pPr>
          </w:p>
        </w:tc>
        <w:tc>
          <w:tcPr>
            <w:tcW w:w="900" w:type="dxa"/>
            <w:tcBorders>
              <w:right w:val="single" w:color="auto" w:sz="6" w:space="0"/>
            </w:tcBorders>
          </w:tcPr>
          <w:p>
            <w:pPr>
              <w:jc w:val="center"/>
              <w:rPr>
                <w:color w:val="000000"/>
              </w:rPr>
            </w:pPr>
          </w:p>
        </w:tc>
        <w:tc>
          <w:tcPr>
            <w:tcW w:w="960" w:type="dxa"/>
            <w:tcBorders>
              <w:left w:val="single" w:color="auto" w:sz="6" w:space="0"/>
            </w:tcBorders>
            <w:vAlign w:val="center"/>
          </w:tcPr>
          <w:p>
            <w:pPr>
              <w:jc w:val="center"/>
              <w:rPr>
                <w:color w:val="000000"/>
              </w:rPr>
            </w:pPr>
          </w:p>
        </w:tc>
        <w:tc>
          <w:tcPr>
            <w:tcW w:w="1117" w:type="dxa"/>
            <w:vAlign w:val="center"/>
          </w:tcPr>
          <w:p>
            <w:pPr>
              <w:jc w:val="center"/>
              <w:rPr>
                <w:color w:val="000000"/>
              </w:rPr>
            </w:pPr>
          </w:p>
        </w:tc>
        <w:tc>
          <w:tcPr>
            <w:tcW w:w="1080" w:type="dxa"/>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82" w:hRule="atLeast"/>
          <w:jc w:val="center"/>
        </w:trPr>
        <w:tc>
          <w:tcPr>
            <w:tcW w:w="796" w:type="dxa"/>
            <w:vAlign w:val="center"/>
          </w:tcPr>
          <w:p>
            <w:pPr>
              <w:jc w:val="center"/>
              <w:rPr>
                <w:rFonts w:ascii="黑体" w:eastAsia="黑体"/>
                <w:color w:val="000000"/>
              </w:rPr>
            </w:pPr>
            <w:r>
              <w:rPr>
                <w:rFonts w:hint="eastAsia" w:ascii="黑体" w:eastAsia="黑体"/>
                <w:color w:val="000000"/>
              </w:rPr>
              <w:t>3</w:t>
            </w:r>
          </w:p>
        </w:tc>
        <w:tc>
          <w:tcPr>
            <w:tcW w:w="1966" w:type="dxa"/>
            <w:tcBorders>
              <w:right w:val="single" w:color="auto" w:sz="6" w:space="0"/>
            </w:tcBorders>
            <w:vAlign w:val="center"/>
          </w:tcPr>
          <w:p>
            <w:pPr>
              <w:rPr>
                <w:color w:val="000000"/>
              </w:rPr>
            </w:pPr>
          </w:p>
        </w:tc>
        <w:tc>
          <w:tcPr>
            <w:tcW w:w="947" w:type="dxa"/>
            <w:tcBorders>
              <w:left w:val="single" w:color="auto" w:sz="6" w:space="0"/>
            </w:tcBorders>
            <w:vAlign w:val="center"/>
          </w:tcPr>
          <w:p>
            <w:pPr>
              <w:rPr>
                <w:color w:val="000000"/>
              </w:rPr>
            </w:pPr>
          </w:p>
        </w:tc>
        <w:tc>
          <w:tcPr>
            <w:tcW w:w="954" w:type="dxa"/>
            <w:tcBorders>
              <w:right w:val="single" w:color="auto" w:sz="6" w:space="0"/>
            </w:tcBorders>
            <w:vAlign w:val="center"/>
          </w:tcPr>
          <w:p>
            <w:pPr>
              <w:jc w:val="center"/>
              <w:rPr>
                <w:color w:val="000000"/>
              </w:rPr>
            </w:pPr>
          </w:p>
        </w:tc>
        <w:tc>
          <w:tcPr>
            <w:tcW w:w="900" w:type="dxa"/>
            <w:tcBorders>
              <w:right w:val="single" w:color="auto" w:sz="6" w:space="0"/>
            </w:tcBorders>
          </w:tcPr>
          <w:p>
            <w:pPr>
              <w:jc w:val="center"/>
              <w:rPr>
                <w:color w:val="000000"/>
              </w:rPr>
            </w:pPr>
          </w:p>
        </w:tc>
        <w:tc>
          <w:tcPr>
            <w:tcW w:w="960" w:type="dxa"/>
            <w:tcBorders>
              <w:left w:val="single" w:color="auto" w:sz="6" w:space="0"/>
            </w:tcBorders>
            <w:vAlign w:val="center"/>
          </w:tcPr>
          <w:p>
            <w:pPr>
              <w:jc w:val="center"/>
              <w:rPr>
                <w:color w:val="000000"/>
              </w:rPr>
            </w:pPr>
          </w:p>
        </w:tc>
        <w:tc>
          <w:tcPr>
            <w:tcW w:w="1117" w:type="dxa"/>
            <w:vAlign w:val="center"/>
          </w:tcPr>
          <w:p>
            <w:pPr>
              <w:jc w:val="center"/>
              <w:rPr>
                <w:color w:val="000000"/>
              </w:rPr>
            </w:pPr>
          </w:p>
        </w:tc>
        <w:tc>
          <w:tcPr>
            <w:tcW w:w="1080" w:type="dxa"/>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82" w:hRule="atLeast"/>
          <w:jc w:val="center"/>
        </w:trPr>
        <w:tc>
          <w:tcPr>
            <w:tcW w:w="796" w:type="dxa"/>
            <w:vAlign w:val="center"/>
          </w:tcPr>
          <w:p>
            <w:pPr>
              <w:jc w:val="center"/>
              <w:rPr>
                <w:rFonts w:ascii="黑体" w:eastAsia="黑体"/>
                <w:color w:val="000000"/>
              </w:rPr>
            </w:pPr>
            <w:r>
              <w:rPr>
                <w:rFonts w:hint="eastAsia" w:ascii="黑体" w:eastAsia="黑体"/>
                <w:color w:val="000000"/>
              </w:rPr>
              <w:t>4</w:t>
            </w:r>
          </w:p>
        </w:tc>
        <w:tc>
          <w:tcPr>
            <w:tcW w:w="1966" w:type="dxa"/>
            <w:tcBorders>
              <w:right w:val="single" w:color="auto" w:sz="6" w:space="0"/>
            </w:tcBorders>
            <w:vAlign w:val="center"/>
          </w:tcPr>
          <w:p>
            <w:pPr>
              <w:rPr>
                <w:color w:val="000000"/>
              </w:rPr>
            </w:pPr>
          </w:p>
        </w:tc>
        <w:tc>
          <w:tcPr>
            <w:tcW w:w="947" w:type="dxa"/>
            <w:tcBorders>
              <w:left w:val="single" w:color="auto" w:sz="6" w:space="0"/>
            </w:tcBorders>
            <w:vAlign w:val="center"/>
          </w:tcPr>
          <w:p>
            <w:pPr>
              <w:rPr>
                <w:color w:val="000000"/>
              </w:rPr>
            </w:pPr>
          </w:p>
        </w:tc>
        <w:tc>
          <w:tcPr>
            <w:tcW w:w="954" w:type="dxa"/>
            <w:tcBorders>
              <w:right w:val="single" w:color="auto" w:sz="6" w:space="0"/>
            </w:tcBorders>
            <w:vAlign w:val="center"/>
          </w:tcPr>
          <w:p>
            <w:pPr>
              <w:jc w:val="center"/>
              <w:rPr>
                <w:color w:val="000000"/>
              </w:rPr>
            </w:pPr>
          </w:p>
        </w:tc>
        <w:tc>
          <w:tcPr>
            <w:tcW w:w="900" w:type="dxa"/>
            <w:tcBorders>
              <w:right w:val="single" w:color="auto" w:sz="6" w:space="0"/>
            </w:tcBorders>
          </w:tcPr>
          <w:p>
            <w:pPr>
              <w:jc w:val="center"/>
              <w:rPr>
                <w:color w:val="000000"/>
              </w:rPr>
            </w:pPr>
          </w:p>
        </w:tc>
        <w:tc>
          <w:tcPr>
            <w:tcW w:w="960" w:type="dxa"/>
            <w:tcBorders>
              <w:left w:val="single" w:color="auto" w:sz="6" w:space="0"/>
            </w:tcBorders>
            <w:vAlign w:val="center"/>
          </w:tcPr>
          <w:p>
            <w:pPr>
              <w:jc w:val="center"/>
              <w:rPr>
                <w:color w:val="000000"/>
              </w:rPr>
            </w:pPr>
          </w:p>
        </w:tc>
        <w:tc>
          <w:tcPr>
            <w:tcW w:w="1117" w:type="dxa"/>
            <w:vAlign w:val="center"/>
          </w:tcPr>
          <w:p>
            <w:pPr>
              <w:jc w:val="center"/>
              <w:rPr>
                <w:color w:val="000000"/>
              </w:rPr>
            </w:pPr>
          </w:p>
        </w:tc>
        <w:tc>
          <w:tcPr>
            <w:tcW w:w="1080" w:type="dxa"/>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82" w:hRule="atLeast"/>
          <w:jc w:val="center"/>
        </w:trPr>
        <w:tc>
          <w:tcPr>
            <w:tcW w:w="6523" w:type="dxa"/>
            <w:gridSpan w:val="6"/>
            <w:tcBorders>
              <w:right w:val="single" w:color="auto" w:sz="6" w:space="0"/>
            </w:tcBorders>
            <w:vAlign w:val="center"/>
          </w:tcPr>
          <w:p>
            <w:pPr>
              <w:jc w:val="center"/>
              <w:rPr>
                <w:color w:val="000000"/>
              </w:rPr>
            </w:pPr>
            <w:r>
              <w:rPr>
                <w:rFonts w:hint="eastAsia"/>
                <w:color w:val="000000"/>
              </w:rPr>
              <w:t>人工小计</w:t>
            </w:r>
          </w:p>
        </w:tc>
        <w:tc>
          <w:tcPr>
            <w:tcW w:w="1117" w:type="dxa"/>
            <w:tcBorders>
              <w:left w:val="single" w:color="auto" w:sz="6" w:space="0"/>
            </w:tcBorders>
            <w:vAlign w:val="center"/>
          </w:tcPr>
          <w:p>
            <w:pPr>
              <w:jc w:val="center"/>
              <w:rPr>
                <w:color w:val="000000"/>
              </w:rPr>
            </w:pPr>
          </w:p>
        </w:tc>
        <w:tc>
          <w:tcPr>
            <w:tcW w:w="1080" w:type="dxa"/>
            <w:tcBorders>
              <w:left w:val="single" w:color="auto" w:sz="6" w:space="0"/>
            </w:tcBorders>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82" w:hRule="atLeast"/>
          <w:jc w:val="center"/>
        </w:trPr>
        <w:tc>
          <w:tcPr>
            <w:tcW w:w="796" w:type="dxa"/>
            <w:vAlign w:val="center"/>
          </w:tcPr>
          <w:p>
            <w:pPr>
              <w:jc w:val="center"/>
              <w:rPr>
                <w:color w:val="000000"/>
              </w:rPr>
            </w:pPr>
            <w:r>
              <w:rPr>
                <w:rFonts w:hint="eastAsia"/>
                <w:color w:val="000000"/>
              </w:rPr>
              <w:t>二</w:t>
            </w:r>
          </w:p>
        </w:tc>
        <w:tc>
          <w:tcPr>
            <w:tcW w:w="1966" w:type="dxa"/>
            <w:tcBorders>
              <w:right w:val="single" w:color="auto" w:sz="6" w:space="0"/>
            </w:tcBorders>
            <w:vAlign w:val="center"/>
          </w:tcPr>
          <w:p>
            <w:pPr>
              <w:rPr>
                <w:color w:val="000000"/>
              </w:rPr>
            </w:pPr>
            <w:r>
              <w:rPr>
                <w:rFonts w:hint="eastAsia"/>
                <w:color w:val="000000"/>
              </w:rPr>
              <w:t>材料</w:t>
            </w:r>
          </w:p>
        </w:tc>
        <w:tc>
          <w:tcPr>
            <w:tcW w:w="947" w:type="dxa"/>
            <w:tcBorders>
              <w:left w:val="single" w:color="auto" w:sz="6" w:space="0"/>
            </w:tcBorders>
            <w:vAlign w:val="center"/>
          </w:tcPr>
          <w:p>
            <w:pPr>
              <w:rPr>
                <w:color w:val="000000"/>
              </w:rPr>
            </w:pPr>
          </w:p>
        </w:tc>
        <w:tc>
          <w:tcPr>
            <w:tcW w:w="954" w:type="dxa"/>
            <w:tcBorders>
              <w:right w:val="single" w:color="auto" w:sz="6" w:space="0"/>
            </w:tcBorders>
            <w:vAlign w:val="center"/>
          </w:tcPr>
          <w:p>
            <w:pPr>
              <w:jc w:val="center"/>
              <w:rPr>
                <w:color w:val="000000"/>
              </w:rPr>
            </w:pPr>
          </w:p>
        </w:tc>
        <w:tc>
          <w:tcPr>
            <w:tcW w:w="900" w:type="dxa"/>
            <w:tcBorders>
              <w:right w:val="single" w:color="auto" w:sz="6" w:space="0"/>
            </w:tcBorders>
          </w:tcPr>
          <w:p>
            <w:pPr>
              <w:jc w:val="center"/>
              <w:rPr>
                <w:color w:val="000000"/>
              </w:rPr>
            </w:pPr>
          </w:p>
        </w:tc>
        <w:tc>
          <w:tcPr>
            <w:tcW w:w="960" w:type="dxa"/>
            <w:tcBorders>
              <w:left w:val="single" w:color="auto" w:sz="6" w:space="0"/>
            </w:tcBorders>
            <w:vAlign w:val="center"/>
          </w:tcPr>
          <w:p>
            <w:pPr>
              <w:jc w:val="center"/>
              <w:rPr>
                <w:color w:val="000000"/>
              </w:rPr>
            </w:pPr>
          </w:p>
        </w:tc>
        <w:tc>
          <w:tcPr>
            <w:tcW w:w="1117" w:type="dxa"/>
            <w:vAlign w:val="center"/>
          </w:tcPr>
          <w:p>
            <w:pPr>
              <w:jc w:val="center"/>
              <w:rPr>
                <w:color w:val="000000"/>
              </w:rPr>
            </w:pPr>
          </w:p>
        </w:tc>
        <w:tc>
          <w:tcPr>
            <w:tcW w:w="1080" w:type="dxa"/>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82" w:hRule="atLeast"/>
          <w:jc w:val="center"/>
        </w:trPr>
        <w:tc>
          <w:tcPr>
            <w:tcW w:w="796" w:type="dxa"/>
            <w:vAlign w:val="center"/>
          </w:tcPr>
          <w:p>
            <w:pPr>
              <w:jc w:val="center"/>
              <w:rPr>
                <w:rFonts w:ascii="黑体" w:eastAsia="黑体"/>
                <w:color w:val="000000"/>
              </w:rPr>
            </w:pPr>
            <w:r>
              <w:rPr>
                <w:rFonts w:hint="eastAsia" w:ascii="黑体" w:eastAsia="黑体"/>
                <w:color w:val="000000"/>
              </w:rPr>
              <w:t>1</w:t>
            </w:r>
          </w:p>
        </w:tc>
        <w:tc>
          <w:tcPr>
            <w:tcW w:w="1966" w:type="dxa"/>
            <w:tcBorders>
              <w:right w:val="single" w:color="auto" w:sz="6" w:space="0"/>
            </w:tcBorders>
            <w:vAlign w:val="center"/>
          </w:tcPr>
          <w:p>
            <w:pPr>
              <w:rPr>
                <w:color w:val="000000"/>
              </w:rPr>
            </w:pPr>
          </w:p>
        </w:tc>
        <w:tc>
          <w:tcPr>
            <w:tcW w:w="947" w:type="dxa"/>
            <w:tcBorders>
              <w:left w:val="single" w:color="auto" w:sz="6" w:space="0"/>
            </w:tcBorders>
            <w:vAlign w:val="center"/>
          </w:tcPr>
          <w:p>
            <w:pPr>
              <w:rPr>
                <w:color w:val="000000"/>
              </w:rPr>
            </w:pPr>
          </w:p>
        </w:tc>
        <w:tc>
          <w:tcPr>
            <w:tcW w:w="954" w:type="dxa"/>
            <w:tcBorders>
              <w:right w:val="single" w:color="auto" w:sz="6" w:space="0"/>
            </w:tcBorders>
            <w:vAlign w:val="center"/>
          </w:tcPr>
          <w:p>
            <w:pPr>
              <w:jc w:val="center"/>
              <w:rPr>
                <w:color w:val="000000"/>
              </w:rPr>
            </w:pPr>
          </w:p>
        </w:tc>
        <w:tc>
          <w:tcPr>
            <w:tcW w:w="900" w:type="dxa"/>
            <w:tcBorders>
              <w:right w:val="single" w:color="auto" w:sz="6" w:space="0"/>
            </w:tcBorders>
          </w:tcPr>
          <w:p>
            <w:pPr>
              <w:jc w:val="center"/>
              <w:rPr>
                <w:color w:val="000000"/>
              </w:rPr>
            </w:pPr>
          </w:p>
        </w:tc>
        <w:tc>
          <w:tcPr>
            <w:tcW w:w="960" w:type="dxa"/>
            <w:tcBorders>
              <w:left w:val="single" w:color="auto" w:sz="6" w:space="0"/>
            </w:tcBorders>
            <w:vAlign w:val="center"/>
          </w:tcPr>
          <w:p>
            <w:pPr>
              <w:jc w:val="center"/>
              <w:rPr>
                <w:color w:val="000000"/>
              </w:rPr>
            </w:pPr>
          </w:p>
        </w:tc>
        <w:tc>
          <w:tcPr>
            <w:tcW w:w="1117" w:type="dxa"/>
            <w:vAlign w:val="center"/>
          </w:tcPr>
          <w:p>
            <w:pPr>
              <w:jc w:val="center"/>
              <w:rPr>
                <w:color w:val="000000"/>
              </w:rPr>
            </w:pPr>
          </w:p>
        </w:tc>
        <w:tc>
          <w:tcPr>
            <w:tcW w:w="1080" w:type="dxa"/>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82" w:hRule="atLeast"/>
          <w:jc w:val="center"/>
        </w:trPr>
        <w:tc>
          <w:tcPr>
            <w:tcW w:w="796" w:type="dxa"/>
            <w:vAlign w:val="center"/>
          </w:tcPr>
          <w:p>
            <w:pPr>
              <w:jc w:val="center"/>
              <w:rPr>
                <w:rFonts w:ascii="黑体" w:eastAsia="黑体"/>
                <w:color w:val="000000"/>
              </w:rPr>
            </w:pPr>
            <w:r>
              <w:rPr>
                <w:rFonts w:hint="eastAsia" w:ascii="黑体" w:eastAsia="黑体"/>
                <w:color w:val="000000"/>
              </w:rPr>
              <w:t>2</w:t>
            </w:r>
          </w:p>
        </w:tc>
        <w:tc>
          <w:tcPr>
            <w:tcW w:w="1966" w:type="dxa"/>
            <w:tcBorders>
              <w:right w:val="single" w:color="auto" w:sz="6" w:space="0"/>
            </w:tcBorders>
            <w:vAlign w:val="center"/>
          </w:tcPr>
          <w:p>
            <w:pPr>
              <w:rPr>
                <w:color w:val="000000"/>
              </w:rPr>
            </w:pPr>
          </w:p>
        </w:tc>
        <w:tc>
          <w:tcPr>
            <w:tcW w:w="947" w:type="dxa"/>
            <w:tcBorders>
              <w:left w:val="single" w:color="auto" w:sz="6" w:space="0"/>
            </w:tcBorders>
            <w:vAlign w:val="center"/>
          </w:tcPr>
          <w:p>
            <w:pPr>
              <w:rPr>
                <w:color w:val="000000"/>
              </w:rPr>
            </w:pPr>
          </w:p>
        </w:tc>
        <w:tc>
          <w:tcPr>
            <w:tcW w:w="954" w:type="dxa"/>
            <w:tcBorders>
              <w:right w:val="single" w:color="auto" w:sz="6" w:space="0"/>
            </w:tcBorders>
            <w:vAlign w:val="center"/>
          </w:tcPr>
          <w:p>
            <w:pPr>
              <w:jc w:val="center"/>
              <w:rPr>
                <w:color w:val="000000"/>
              </w:rPr>
            </w:pPr>
          </w:p>
        </w:tc>
        <w:tc>
          <w:tcPr>
            <w:tcW w:w="900" w:type="dxa"/>
            <w:tcBorders>
              <w:right w:val="single" w:color="auto" w:sz="6" w:space="0"/>
            </w:tcBorders>
          </w:tcPr>
          <w:p>
            <w:pPr>
              <w:jc w:val="center"/>
              <w:rPr>
                <w:color w:val="000000"/>
              </w:rPr>
            </w:pPr>
          </w:p>
        </w:tc>
        <w:tc>
          <w:tcPr>
            <w:tcW w:w="960" w:type="dxa"/>
            <w:tcBorders>
              <w:left w:val="single" w:color="auto" w:sz="6" w:space="0"/>
            </w:tcBorders>
            <w:vAlign w:val="center"/>
          </w:tcPr>
          <w:p>
            <w:pPr>
              <w:jc w:val="center"/>
              <w:rPr>
                <w:color w:val="000000"/>
              </w:rPr>
            </w:pPr>
          </w:p>
        </w:tc>
        <w:tc>
          <w:tcPr>
            <w:tcW w:w="1117" w:type="dxa"/>
            <w:vAlign w:val="center"/>
          </w:tcPr>
          <w:p>
            <w:pPr>
              <w:jc w:val="center"/>
              <w:rPr>
                <w:color w:val="000000"/>
              </w:rPr>
            </w:pPr>
          </w:p>
        </w:tc>
        <w:tc>
          <w:tcPr>
            <w:tcW w:w="1080" w:type="dxa"/>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82" w:hRule="atLeast"/>
          <w:jc w:val="center"/>
        </w:trPr>
        <w:tc>
          <w:tcPr>
            <w:tcW w:w="796" w:type="dxa"/>
            <w:vAlign w:val="center"/>
          </w:tcPr>
          <w:p>
            <w:pPr>
              <w:jc w:val="center"/>
              <w:rPr>
                <w:rFonts w:ascii="黑体" w:eastAsia="黑体"/>
                <w:color w:val="000000"/>
              </w:rPr>
            </w:pPr>
            <w:r>
              <w:rPr>
                <w:rFonts w:hint="eastAsia" w:ascii="黑体" w:eastAsia="黑体"/>
                <w:color w:val="000000"/>
              </w:rPr>
              <w:t>3</w:t>
            </w:r>
          </w:p>
        </w:tc>
        <w:tc>
          <w:tcPr>
            <w:tcW w:w="1966" w:type="dxa"/>
            <w:tcBorders>
              <w:right w:val="single" w:color="auto" w:sz="6" w:space="0"/>
            </w:tcBorders>
            <w:vAlign w:val="center"/>
          </w:tcPr>
          <w:p>
            <w:pPr>
              <w:rPr>
                <w:color w:val="000000"/>
              </w:rPr>
            </w:pPr>
          </w:p>
        </w:tc>
        <w:tc>
          <w:tcPr>
            <w:tcW w:w="947" w:type="dxa"/>
            <w:tcBorders>
              <w:left w:val="single" w:color="auto" w:sz="6" w:space="0"/>
            </w:tcBorders>
            <w:vAlign w:val="center"/>
          </w:tcPr>
          <w:p>
            <w:pPr>
              <w:rPr>
                <w:color w:val="000000"/>
              </w:rPr>
            </w:pPr>
          </w:p>
        </w:tc>
        <w:tc>
          <w:tcPr>
            <w:tcW w:w="954" w:type="dxa"/>
            <w:tcBorders>
              <w:right w:val="single" w:color="auto" w:sz="6" w:space="0"/>
            </w:tcBorders>
            <w:vAlign w:val="center"/>
          </w:tcPr>
          <w:p>
            <w:pPr>
              <w:jc w:val="center"/>
              <w:rPr>
                <w:color w:val="000000"/>
              </w:rPr>
            </w:pPr>
          </w:p>
        </w:tc>
        <w:tc>
          <w:tcPr>
            <w:tcW w:w="900" w:type="dxa"/>
            <w:tcBorders>
              <w:right w:val="single" w:color="auto" w:sz="6" w:space="0"/>
            </w:tcBorders>
          </w:tcPr>
          <w:p>
            <w:pPr>
              <w:jc w:val="center"/>
              <w:rPr>
                <w:color w:val="000000"/>
              </w:rPr>
            </w:pPr>
          </w:p>
        </w:tc>
        <w:tc>
          <w:tcPr>
            <w:tcW w:w="960" w:type="dxa"/>
            <w:tcBorders>
              <w:left w:val="single" w:color="auto" w:sz="6" w:space="0"/>
            </w:tcBorders>
            <w:vAlign w:val="center"/>
          </w:tcPr>
          <w:p>
            <w:pPr>
              <w:jc w:val="center"/>
              <w:rPr>
                <w:color w:val="000000"/>
              </w:rPr>
            </w:pPr>
          </w:p>
        </w:tc>
        <w:tc>
          <w:tcPr>
            <w:tcW w:w="1117" w:type="dxa"/>
            <w:vAlign w:val="center"/>
          </w:tcPr>
          <w:p>
            <w:pPr>
              <w:jc w:val="center"/>
              <w:rPr>
                <w:color w:val="000000"/>
              </w:rPr>
            </w:pPr>
          </w:p>
        </w:tc>
        <w:tc>
          <w:tcPr>
            <w:tcW w:w="1080" w:type="dxa"/>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82" w:hRule="atLeast"/>
          <w:jc w:val="center"/>
        </w:trPr>
        <w:tc>
          <w:tcPr>
            <w:tcW w:w="796" w:type="dxa"/>
            <w:vAlign w:val="center"/>
          </w:tcPr>
          <w:p>
            <w:pPr>
              <w:jc w:val="center"/>
              <w:rPr>
                <w:rFonts w:ascii="黑体" w:eastAsia="黑体"/>
                <w:color w:val="000000"/>
              </w:rPr>
            </w:pPr>
            <w:r>
              <w:rPr>
                <w:rFonts w:hint="eastAsia" w:ascii="黑体" w:eastAsia="黑体"/>
                <w:color w:val="000000"/>
              </w:rPr>
              <w:t>4</w:t>
            </w:r>
          </w:p>
        </w:tc>
        <w:tc>
          <w:tcPr>
            <w:tcW w:w="1966" w:type="dxa"/>
            <w:tcBorders>
              <w:right w:val="single" w:color="auto" w:sz="6" w:space="0"/>
            </w:tcBorders>
            <w:vAlign w:val="center"/>
          </w:tcPr>
          <w:p>
            <w:pPr>
              <w:rPr>
                <w:color w:val="000000"/>
              </w:rPr>
            </w:pPr>
          </w:p>
        </w:tc>
        <w:tc>
          <w:tcPr>
            <w:tcW w:w="947" w:type="dxa"/>
            <w:tcBorders>
              <w:left w:val="single" w:color="auto" w:sz="6" w:space="0"/>
            </w:tcBorders>
            <w:vAlign w:val="center"/>
          </w:tcPr>
          <w:p>
            <w:pPr>
              <w:rPr>
                <w:color w:val="000000"/>
              </w:rPr>
            </w:pPr>
          </w:p>
        </w:tc>
        <w:tc>
          <w:tcPr>
            <w:tcW w:w="954" w:type="dxa"/>
            <w:tcBorders>
              <w:right w:val="single" w:color="auto" w:sz="6" w:space="0"/>
            </w:tcBorders>
            <w:vAlign w:val="center"/>
          </w:tcPr>
          <w:p>
            <w:pPr>
              <w:jc w:val="center"/>
              <w:rPr>
                <w:color w:val="000000"/>
              </w:rPr>
            </w:pPr>
          </w:p>
        </w:tc>
        <w:tc>
          <w:tcPr>
            <w:tcW w:w="900" w:type="dxa"/>
            <w:tcBorders>
              <w:right w:val="single" w:color="auto" w:sz="6" w:space="0"/>
            </w:tcBorders>
          </w:tcPr>
          <w:p>
            <w:pPr>
              <w:jc w:val="center"/>
              <w:rPr>
                <w:color w:val="000000"/>
              </w:rPr>
            </w:pPr>
          </w:p>
        </w:tc>
        <w:tc>
          <w:tcPr>
            <w:tcW w:w="960" w:type="dxa"/>
            <w:tcBorders>
              <w:left w:val="single" w:color="auto" w:sz="6" w:space="0"/>
              <w:right w:val="single" w:color="auto" w:sz="6" w:space="0"/>
            </w:tcBorders>
            <w:vAlign w:val="center"/>
          </w:tcPr>
          <w:p>
            <w:pPr>
              <w:jc w:val="center"/>
              <w:rPr>
                <w:color w:val="000000"/>
              </w:rPr>
            </w:pPr>
          </w:p>
        </w:tc>
        <w:tc>
          <w:tcPr>
            <w:tcW w:w="1117" w:type="dxa"/>
            <w:tcBorders>
              <w:left w:val="single" w:color="auto" w:sz="6" w:space="0"/>
            </w:tcBorders>
            <w:vAlign w:val="center"/>
          </w:tcPr>
          <w:p>
            <w:pPr>
              <w:jc w:val="center"/>
              <w:rPr>
                <w:color w:val="000000"/>
              </w:rPr>
            </w:pPr>
          </w:p>
        </w:tc>
        <w:tc>
          <w:tcPr>
            <w:tcW w:w="1080" w:type="dxa"/>
            <w:tcBorders>
              <w:left w:val="single" w:color="auto" w:sz="6" w:space="0"/>
            </w:tcBorders>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82" w:hRule="atLeast"/>
          <w:jc w:val="center"/>
        </w:trPr>
        <w:tc>
          <w:tcPr>
            <w:tcW w:w="6523" w:type="dxa"/>
            <w:gridSpan w:val="6"/>
            <w:tcBorders>
              <w:right w:val="single" w:color="auto" w:sz="6" w:space="0"/>
            </w:tcBorders>
            <w:vAlign w:val="center"/>
          </w:tcPr>
          <w:p>
            <w:pPr>
              <w:jc w:val="center"/>
              <w:rPr>
                <w:color w:val="000000"/>
              </w:rPr>
            </w:pPr>
            <w:r>
              <w:rPr>
                <w:rFonts w:hint="eastAsia"/>
                <w:color w:val="000000"/>
              </w:rPr>
              <w:t>材料小计</w:t>
            </w:r>
          </w:p>
        </w:tc>
        <w:tc>
          <w:tcPr>
            <w:tcW w:w="1117" w:type="dxa"/>
            <w:tcBorders>
              <w:left w:val="single" w:color="auto" w:sz="6" w:space="0"/>
            </w:tcBorders>
            <w:vAlign w:val="center"/>
          </w:tcPr>
          <w:p>
            <w:pPr>
              <w:jc w:val="center"/>
              <w:rPr>
                <w:color w:val="000000"/>
              </w:rPr>
            </w:pPr>
          </w:p>
        </w:tc>
        <w:tc>
          <w:tcPr>
            <w:tcW w:w="1080" w:type="dxa"/>
            <w:tcBorders>
              <w:left w:val="single" w:color="auto" w:sz="6" w:space="0"/>
            </w:tcBorders>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82" w:hRule="atLeast"/>
          <w:jc w:val="center"/>
        </w:trPr>
        <w:tc>
          <w:tcPr>
            <w:tcW w:w="796" w:type="dxa"/>
            <w:vAlign w:val="center"/>
          </w:tcPr>
          <w:p>
            <w:pPr>
              <w:jc w:val="center"/>
              <w:rPr>
                <w:color w:val="000000"/>
              </w:rPr>
            </w:pPr>
            <w:r>
              <w:rPr>
                <w:rFonts w:hint="eastAsia"/>
                <w:color w:val="000000"/>
              </w:rPr>
              <w:t>三</w:t>
            </w:r>
          </w:p>
        </w:tc>
        <w:tc>
          <w:tcPr>
            <w:tcW w:w="1966" w:type="dxa"/>
            <w:tcBorders>
              <w:right w:val="single" w:color="auto" w:sz="6" w:space="0"/>
            </w:tcBorders>
            <w:vAlign w:val="center"/>
          </w:tcPr>
          <w:p>
            <w:pPr>
              <w:rPr>
                <w:color w:val="000000"/>
              </w:rPr>
            </w:pPr>
            <w:r>
              <w:rPr>
                <w:rFonts w:hint="eastAsia"/>
                <w:color w:val="000000"/>
              </w:rPr>
              <w:t>施工机械</w:t>
            </w:r>
          </w:p>
        </w:tc>
        <w:tc>
          <w:tcPr>
            <w:tcW w:w="947" w:type="dxa"/>
            <w:tcBorders>
              <w:left w:val="single" w:color="auto" w:sz="6" w:space="0"/>
            </w:tcBorders>
            <w:vAlign w:val="center"/>
          </w:tcPr>
          <w:p>
            <w:pPr>
              <w:rPr>
                <w:color w:val="000000"/>
              </w:rPr>
            </w:pPr>
          </w:p>
        </w:tc>
        <w:tc>
          <w:tcPr>
            <w:tcW w:w="954" w:type="dxa"/>
            <w:tcBorders>
              <w:right w:val="single" w:color="auto" w:sz="6" w:space="0"/>
            </w:tcBorders>
            <w:vAlign w:val="center"/>
          </w:tcPr>
          <w:p>
            <w:pPr>
              <w:jc w:val="center"/>
              <w:rPr>
                <w:color w:val="000000"/>
              </w:rPr>
            </w:pPr>
          </w:p>
        </w:tc>
        <w:tc>
          <w:tcPr>
            <w:tcW w:w="900" w:type="dxa"/>
            <w:tcBorders>
              <w:right w:val="single" w:color="auto" w:sz="6" w:space="0"/>
            </w:tcBorders>
          </w:tcPr>
          <w:p>
            <w:pPr>
              <w:jc w:val="center"/>
              <w:rPr>
                <w:color w:val="000000"/>
              </w:rPr>
            </w:pPr>
          </w:p>
        </w:tc>
        <w:tc>
          <w:tcPr>
            <w:tcW w:w="960" w:type="dxa"/>
            <w:tcBorders>
              <w:left w:val="single" w:color="auto" w:sz="6" w:space="0"/>
            </w:tcBorders>
            <w:vAlign w:val="center"/>
          </w:tcPr>
          <w:p>
            <w:pPr>
              <w:jc w:val="center"/>
              <w:rPr>
                <w:color w:val="000000"/>
              </w:rPr>
            </w:pPr>
          </w:p>
        </w:tc>
        <w:tc>
          <w:tcPr>
            <w:tcW w:w="1117" w:type="dxa"/>
            <w:vAlign w:val="center"/>
          </w:tcPr>
          <w:p>
            <w:pPr>
              <w:jc w:val="center"/>
              <w:rPr>
                <w:color w:val="000000"/>
              </w:rPr>
            </w:pPr>
          </w:p>
        </w:tc>
        <w:tc>
          <w:tcPr>
            <w:tcW w:w="1080" w:type="dxa"/>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82" w:hRule="atLeast"/>
          <w:jc w:val="center"/>
        </w:trPr>
        <w:tc>
          <w:tcPr>
            <w:tcW w:w="796" w:type="dxa"/>
            <w:vAlign w:val="center"/>
          </w:tcPr>
          <w:p>
            <w:pPr>
              <w:jc w:val="center"/>
              <w:rPr>
                <w:rFonts w:ascii="黑体" w:eastAsia="黑体"/>
                <w:color w:val="000000"/>
              </w:rPr>
            </w:pPr>
            <w:r>
              <w:rPr>
                <w:rFonts w:hint="eastAsia" w:ascii="黑体" w:eastAsia="黑体"/>
                <w:color w:val="000000"/>
              </w:rPr>
              <w:t>1</w:t>
            </w:r>
          </w:p>
        </w:tc>
        <w:tc>
          <w:tcPr>
            <w:tcW w:w="1966" w:type="dxa"/>
            <w:tcBorders>
              <w:right w:val="single" w:color="auto" w:sz="6" w:space="0"/>
            </w:tcBorders>
            <w:vAlign w:val="center"/>
          </w:tcPr>
          <w:p>
            <w:pPr>
              <w:rPr>
                <w:color w:val="000000"/>
              </w:rPr>
            </w:pPr>
          </w:p>
        </w:tc>
        <w:tc>
          <w:tcPr>
            <w:tcW w:w="947" w:type="dxa"/>
            <w:tcBorders>
              <w:left w:val="single" w:color="auto" w:sz="6" w:space="0"/>
            </w:tcBorders>
            <w:vAlign w:val="center"/>
          </w:tcPr>
          <w:p>
            <w:pPr>
              <w:rPr>
                <w:color w:val="000000"/>
              </w:rPr>
            </w:pPr>
          </w:p>
        </w:tc>
        <w:tc>
          <w:tcPr>
            <w:tcW w:w="954" w:type="dxa"/>
            <w:tcBorders>
              <w:right w:val="single" w:color="auto" w:sz="6" w:space="0"/>
            </w:tcBorders>
            <w:vAlign w:val="center"/>
          </w:tcPr>
          <w:p>
            <w:pPr>
              <w:jc w:val="center"/>
              <w:rPr>
                <w:color w:val="000000"/>
              </w:rPr>
            </w:pPr>
          </w:p>
        </w:tc>
        <w:tc>
          <w:tcPr>
            <w:tcW w:w="900" w:type="dxa"/>
            <w:tcBorders>
              <w:right w:val="single" w:color="auto" w:sz="6" w:space="0"/>
            </w:tcBorders>
          </w:tcPr>
          <w:p>
            <w:pPr>
              <w:jc w:val="center"/>
              <w:rPr>
                <w:color w:val="000000"/>
              </w:rPr>
            </w:pPr>
          </w:p>
        </w:tc>
        <w:tc>
          <w:tcPr>
            <w:tcW w:w="960" w:type="dxa"/>
            <w:tcBorders>
              <w:left w:val="single" w:color="auto" w:sz="6" w:space="0"/>
            </w:tcBorders>
            <w:vAlign w:val="center"/>
          </w:tcPr>
          <w:p>
            <w:pPr>
              <w:jc w:val="center"/>
              <w:rPr>
                <w:color w:val="000000"/>
              </w:rPr>
            </w:pPr>
          </w:p>
        </w:tc>
        <w:tc>
          <w:tcPr>
            <w:tcW w:w="1117" w:type="dxa"/>
            <w:vAlign w:val="center"/>
          </w:tcPr>
          <w:p>
            <w:pPr>
              <w:jc w:val="center"/>
              <w:rPr>
                <w:color w:val="000000"/>
              </w:rPr>
            </w:pPr>
          </w:p>
        </w:tc>
        <w:tc>
          <w:tcPr>
            <w:tcW w:w="1080" w:type="dxa"/>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82" w:hRule="atLeast"/>
          <w:jc w:val="center"/>
        </w:trPr>
        <w:tc>
          <w:tcPr>
            <w:tcW w:w="796" w:type="dxa"/>
            <w:vAlign w:val="center"/>
          </w:tcPr>
          <w:p>
            <w:pPr>
              <w:jc w:val="center"/>
              <w:rPr>
                <w:rFonts w:ascii="黑体" w:eastAsia="黑体"/>
                <w:color w:val="000000"/>
              </w:rPr>
            </w:pPr>
            <w:r>
              <w:rPr>
                <w:rFonts w:hint="eastAsia" w:ascii="黑体" w:eastAsia="黑体"/>
                <w:color w:val="000000"/>
              </w:rPr>
              <w:t>2</w:t>
            </w:r>
          </w:p>
        </w:tc>
        <w:tc>
          <w:tcPr>
            <w:tcW w:w="1966" w:type="dxa"/>
            <w:tcBorders>
              <w:right w:val="single" w:color="auto" w:sz="6" w:space="0"/>
            </w:tcBorders>
            <w:vAlign w:val="center"/>
          </w:tcPr>
          <w:p>
            <w:pPr>
              <w:rPr>
                <w:color w:val="000000"/>
              </w:rPr>
            </w:pPr>
          </w:p>
        </w:tc>
        <w:tc>
          <w:tcPr>
            <w:tcW w:w="947" w:type="dxa"/>
            <w:tcBorders>
              <w:left w:val="single" w:color="auto" w:sz="6" w:space="0"/>
            </w:tcBorders>
            <w:vAlign w:val="center"/>
          </w:tcPr>
          <w:p>
            <w:pPr>
              <w:rPr>
                <w:color w:val="000000"/>
              </w:rPr>
            </w:pPr>
          </w:p>
        </w:tc>
        <w:tc>
          <w:tcPr>
            <w:tcW w:w="954" w:type="dxa"/>
            <w:tcBorders>
              <w:right w:val="single" w:color="auto" w:sz="6" w:space="0"/>
            </w:tcBorders>
            <w:vAlign w:val="center"/>
          </w:tcPr>
          <w:p>
            <w:pPr>
              <w:jc w:val="center"/>
              <w:rPr>
                <w:color w:val="000000"/>
              </w:rPr>
            </w:pPr>
          </w:p>
        </w:tc>
        <w:tc>
          <w:tcPr>
            <w:tcW w:w="900" w:type="dxa"/>
            <w:tcBorders>
              <w:right w:val="single" w:color="auto" w:sz="6" w:space="0"/>
            </w:tcBorders>
          </w:tcPr>
          <w:p>
            <w:pPr>
              <w:jc w:val="center"/>
              <w:rPr>
                <w:color w:val="000000"/>
              </w:rPr>
            </w:pPr>
          </w:p>
        </w:tc>
        <w:tc>
          <w:tcPr>
            <w:tcW w:w="960" w:type="dxa"/>
            <w:tcBorders>
              <w:left w:val="single" w:color="auto" w:sz="6" w:space="0"/>
            </w:tcBorders>
            <w:vAlign w:val="center"/>
          </w:tcPr>
          <w:p>
            <w:pPr>
              <w:jc w:val="center"/>
              <w:rPr>
                <w:color w:val="000000"/>
              </w:rPr>
            </w:pPr>
          </w:p>
        </w:tc>
        <w:tc>
          <w:tcPr>
            <w:tcW w:w="1117" w:type="dxa"/>
            <w:vAlign w:val="center"/>
          </w:tcPr>
          <w:p>
            <w:pPr>
              <w:jc w:val="center"/>
              <w:rPr>
                <w:color w:val="000000"/>
              </w:rPr>
            </w:pPr>
          </w:p>
        </w:tc>
        <w:tc>
          <w:tcPr>
            <w:tcW w:w="1080" w:type="dxa"/>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82" w:hRule="atLeast"/>
          <w:jc w:val="center"/>
        </w:trPr>
        <w:tc>
          <w:tcPr>
            <w:tcW w:w="796" w:type="dxa"/>
            <w:vAlign w:val="center"/>
          </w:tcPr>
          <w:p>
            <w:pPr>
              <w:jc w:val="center"/>
              <w:rPr>
                <w:rFonts w:ascii="黑体" w:eastAsia="黑体"/>
                <w:color w:val="000000"/>
              </w:rPr>
            </w:pPr>
            <w:r>
              <w:rPr>
                <w:rFonts w:hint="eastAsia" w:ascii="黑体" w:eastAsia="黑体"/>
                <w:color w:val="000000"/>
              </w:rPr>
              <w:t>3</w:t>
            </w:r>
          </w:p>
        </w:tc>
        <w:tc>
          <w:tcPr>
            <w:tcW w:w="1966" w:type="dxa"/>
            <w:tcBorders>
              <w:right w:val="single" w:color="auto" w:sz="6" w:space="0"/>
            </w:tcBorders>
            <w:vAlign w:val="center"/>
          </w:tcPr>
          <w:p>
            <w:pPr>
              <w:rPr>
                <w:color w:val="000000"/>
              </w:rPr>
            </w:pPr>
          </w:p>
        </w:tc>
        <w:tc>
          <w:tcPr>
            <w:tcW w:w="947" w:type="dxa"/>
            <w:tcBorders>
              <w:left w:val="single" w:color="auto" w:sz="6" w:space="0"/>
            </w:tcBorders>
            <w:vAlign w:val="center"/>
          </w:tcPr>
          <w:p>
            <w:pPr>
              <w:rPr>
                <w:color w:val="000000"/>
              </w:rPr>
            </w:pPr>
          </w:p>
        </w:tc>
        <w:tc>
          <w:tcPr>
            <w:tcW w:w="954" w:type="dxa"/>
            <w:tcBorders>
              <w:right w:val="single" w:color="auto" w:sz="6" w:space="0"/>
            </w:tcBorders>
            <w:vAlign w:val="center"/>
          </w:tcPr>
          <w:p>
            <w:pPr>
              <w:jc w:val="center"/>
              <w:rPr>
                <w:color w:val="000000"/>
              </w:rPr>
            </w:pPr>
          </w:p>
        </w:tc>
        <w:tc>
          <w:tcPr>
            <w:tcW w:w="900" w:type="dxa"/>
            <w:tcBorders>
              <w:right w:val="single" w:color="auto" w:sz="6" w:space="0"/>
            </w:tcBorders>
          </w:tcPr>
          <w:p>
            <w:pPr>
              <w:jc w:val="center"/>
              <w:rPr>
                <w:color w:val="000000"/>
              </w:rPr>
            </w:pPr>
          </w:p>
        </w:tc>
        <w:tc>
          <w:tcPr>
            <w:tcW w:w="960" w:type="dxa"/>
            <w:tcBorders>
              <w:left w:val="single" w:color="auto" w:sz="6" w:space="0"/>
            </w:tcBorders>
            <w:vAlign w:val="center"/>
          </w:tcPr>
          <w:p>
            <w:pPr>
              <w:jc w:val="center"/>
              <w:rPr>
                <w:color w:val="000000"/>
              </w:rPr>
            </w:pPr>
          </w:p>
        </w:tc>
        <w:tc>
          <w:tcPr>
            <w:tcW w:w="1117" w:type="dxa"/>
            <w:vAlign w:val="center"/>
          </w:tcPr>
          <w:p>
            <w:pPr>
              <w:jc w:val="center"/>
              <w:rPr>
                <w:color w:val="000000"/>
              </w:rPr>
            </w:pPr>
          </w:p>
        </w:tc>
        <w:tc>
          <w:tcPr>
            <w:tcW w:w="1080" w:type="dxa"/>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82" w:hRule="atLeast"/>
          <w:jc w:val="center"/>
        </w:trPr>
        <w:tc>
          <w:tcPr>
            <w:tcW w:w="796" w:type="dxa"/>
            <w:vAlign w:val="center"/>
          </w:tcPr>
          <w:p>
            <w:pPr>
              <w:jc w:val="center"/>
              <w:rPr>
                <w:rFonts w:ascii="黑体" w:eastAsia="黑体"/>
                <w:color w:val="000000"/>
              </w:rPr>
            </w:pPr>
            <w:r>
              <w:rPr>
                <w:rFonts w:hint="eastAsia" w:ascii="黑体" w:eastAsia="黑体"/>
                <w:color w:val="000000"/>
              </w:rPr>
              <w:t>4</w:t>
            </w:r>
          </w:p>
        </w:tc>
        <w:tc>
          <w:tcPr>
            <w:tcW w:w="1966" w:type="dxa"/>
            <w:tcBorders>
              <w:right w:val="single" w:color="auto" w:sz="6" w:space="0"/>
            </w:tcBorders>
            <w:vAlign w:val="center"/>
          </w:tcPr>
          <w:p>
            <w:pPr>
              <w:rPr>
                <w:color w:val="000000"/>
              </w:rPr>
            </w:pPr>
          </w:p>
        </w:tc>
        <w:tc>
          <w:tcPr>
            <w:tcW w:w="947" w:type="dxa"/>
            <w:tcBorders>
              <w:left w:val="single" w:color="auto" w:sz="6" w:space="0"/>
            </w:tcBorders>
            <w:vAlign w:val="center"/>
          </w:tcPr>
          <w:p>
            <w:pPr>
              <w:rPr>
                <w:color w:val="000000"/>
              </w:rPr>
            </w:pPr>
          </w:p>
        </w:tc>
        <w:tc>
          <w:tcPr>
            <w:tcW w:w="954" w:type="dxa"/>
            <w:tcBorders>
              <w:right w:val="single" w:color="auto" w:sz="6" w:space="0"/>
            </w:tcBorders>
            <w:vAlign w:val="center"/>
          </w:tcPr>
          <w:p>
            <w:pPr>
              <w:jc w:val="center"/>
              <w:rPr>
                <w:color w:val="000000"/>
              </w:rPr>
            </w:pPr>
          </w:p>
        </w:tc>
        <w:tc>
          <w:tcPr>
            <w:tcW w:w="900" w:type="dxa"/>
            <w:tcBorders>
              <w:right w:val="single" w:color="auto" w:sz="6" w:space="0"/>
            </w:tcBorders>
          </w:tcPr>
          <w:p>
            <w:pPr>
              <w:jc w:val="center"/>
              <w:rPr>
                <w:color w:val="000000"/>
              </w:rPr>
            </w:pPr>
          </w:p>
        </w:tc>
        <w:tc>
          <w:tcPr>
            <w:tcW w:w="960" w:type="dxa"/>
            <w:tcBorders>
              <w:left w:val="single" w:color="auto" w:sz="6" w:space="0"/>
            </w:tcBorders>
            <w:vAlign w:val="center"/>
          </w:tcPr>
          <w:p>
            <w:pPr>
              <w:jc w:val="center"/>
              <w:rPr>
                <w:color w:val="000000"/>
              </w:rPr>
            </w:pPr>
          </w:p>
        </w:tc>
        <w:tc>
          <w:tcPr>
            <w:tcW w:w="1117" w:type="dxa"/>
            <w:vAlign w:val="center"/>
          </w:tcPr>
          <w:p>
            <w:pPr>
              <w:jc w:val="center"/>
              <w:rPr>
                <w:color w:val="000000"/>
              </w:rPr>
            </w:pPr>
          </w:p>
        </w:tc>
        <w:tc>
          <w:tcPr>
            <w:tcW w:w="1080" w:type="dxa"/>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82" w:hRule="atLeast"/>
          <w:jc w:val="center"/>
        </w:trPr>
        <w:tc>
          <w:tcPr>
            <w:tcW w:w="6523" w:type="dxa"/>
            <w:gridSpan w:val="6"/>
            <w:vAlign w:val="center"/>
          </w:tcPr>
          <w:p>
            <w:pPr>
              <w:jc w:val="center"/>
              <w:rPr>
                <w:color w:val="000000"/>
              </w:rPr>
            </w:pPr>
            <w:r>
              <w:rPr>
                <w:rFonts w:hint="eastAsia"/>
                <w:color w:val="000000"/>
              </w:rPr>
              <w:t>施工机械小计</w:t>
            </w:r>
          </w:p>
        </w:tc>
        <w:tc>
          <w:tcPr>
            <w:tcW w:w="1117" w:type="dxa"/>
            <w:vAlign w:val="center"/>
          </w:tcPr>
          <w:p>
            <w:pPr>
              <w:jc w:val="center"/>
              <w:rPr>
                <w:color w:val="000000"/>
              </w:rPr>
            </w:pPr>
          </w:p>
        </w:tc>
        <w:tc>
          <w:tcPr>
            <w:tcW w:w="1080" w:type="dxa"/>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82" w:hRule="atLeast"/>
          <w:jc w:val="center"/>
        </w:trPr>
        <w:tc>
          <w:tcPr>
            <w:tcW w:w="6523" w:type="dxa"/>
            <w:gridSpan w:val="6"/>
          </w:tcPr>
          <w:p>
            <w:pPr>
              <w:rPr>
                <w:color w:val="000000"/>
              </w:rPr>
            </w:pPr>
            <w:r>
              <w:rPr>
                <w:rFonts w:hint="eastAsia"/>
                <w:color w:val="000000"/>
              </w:rPr>
              <w:t>四、企业管理费和利润</w:t>
            </w:r>
          </w:p>
        </w:tc>
        <w:tc>
          <w:tcPr>
            <w:tcW w:w="1117" w:type="dxa"/>
            <w:vAlign w:val="center"/>
          </w:tcPr>
          <w:p>
            <w:pPr>
              <w:jc w:val="center"/>
              <w:rPr>
                <w:color w:val="000000"/>
              </w:rPr>
            </w:pPr>
          </w:p>
        </w:tc>
        <w:tc>
          <w:tcPr>
            <w:tcW w:w="1080" w:type="dxa"/>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82" w:hRule="atLeast"/>
          <w:jc w:val="center"/>
        </w:trPr>
        <w:tc>
          <w:tcPr>
            <w:tcW w:w="6523" w:type="dxa"/>
            <w:gridSpan w:val="6"/>
            <w:vAlign w:val="center"/>
          </w:tcPr>
          <w:p>
            <w:pPr>
              <w:jc w:val="center"/>
              <w:rPr>
                <w:color w:val="000000"/>
              </w:rPr>
            </w:pPr>
            <w:r>
              <w:rPr>
                <w:rFonts w:hint="eastAsia"/>
                <w:color w:val="000000"/>
              </w:rPr>
              <w:t>总计</w:t>
            </w:r>
          </w:p>
        </w:tc>
        <w:tc>
          <w:tcPr>
            <w:tcW w:w="1117" w:type="dxa"/>
            <w:vAlign w:val="center"/>
          </w:tcPr>
          <w:p>
            <w:pPr>
              <w:jc w:val="center"/>
              <w:rPr>
                <w:color w:val="000000"/>
              </w:rPr>
            </w:pPr>
          </w:p>
        </w:tc>
        <w:tc>
          <w:tcPr>
            <w:tcW w:w="1080" w:type="dxa"/>
          </w:tcPr>
          <w:p>
            <w:pPr>
              <w:jc w:val="center"/>
              <w:rPr>
                <w:color w:val="000000"/>
              </w:rPr>
            </w:pPr>
          </w:p>
        </w:tc>
      </w:tr>
    </w:tbl>
    <w:p>
      <w:pPr>
        <w:rPr>
          <w:rFonts w:ascii="黑体" w:eastAsia="黑体"/>
          <w:color w:val="000000"/>
          <w:sz w:val="24"/>
        </w:rPr>
      </w:pPr>
      <w:r>
        <w:rPr>
          <w:rFonts w:ascii="宋体" w:hAnsi="宋体"/>
          <w:color w:val="000000"/>
        </w:rPr>
        <w:br w:type="page"/>
      </w:r>
      <w:r>
        <w:rPr>
          <w:rFonts w:hint="eastAsia" w:ascii="黑体" w:eastAsia="黑体"/>
          <w:color w:val="000000"/>
          <w:sz w:val="24"/>
        </w:rPr>
        <w:t>4.20总承包服务费计价表</w:t>
      </w:r>
    </w:p>
    <w:p>
      <w:pPr>
        <w:spacing w:before="120" w:beforeLines="50" w:after="120" w:afterLines="50"/>
        <w:jc w:val="center"/>
        <w:rPr>
          <w:rFonts w:ascii="黑体" w:eastAsia="黑体"/>
          <w:color w:val="000000"/>
          <w:sz w:val="28"/>
          <w:szCs w:val="28"/>
        </w:rPr>
      </w:pPr>
      <w:r>
        <w:rPr>
          <w:rFonts w:hint="eastAsia" w:ascii="黑体" w:eastAsia="黑体"/>
          <w:color w:val="000000"/>
          <w:sz w:val="28"/>
          <w:szCs w:val="28"/>
        </w:rPr>
        <w:t>总承包服务费计价表</w:t>
      </w:r>
    </w:p>
    <w:p>
      <w:pPr>
        <w:spacing w:after="120" w:afterLines="50"/>
        <w:rPr>
          <w:color w:val="000000"/>
        </w:rPr>
      </w:pPr>
      <w:r>
        <w:rPr>
          <w:rFonts w:hint="eastAsia"/>
          <w:color w:val="000000"/>
        </w:rPr>
        <w:t>工程名称：第页共页</w:t>
      </w:r>
    </w:p>
    <w:tbl>
      <w:tblPr>
        <w:tblStyle w:val="36"/>
        <w:tblW w:w="8720"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2173"/>
        <w:gridCol w:w="1208"/>
        <w:gridCol w:w="1135"/>
        <w:gridCol w:w="1099"/>
        <w:gridCol w:w="1190"/>
        <w:gridCol w:w="1211"/>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909" w:hRule="atLeast"/>
          <w:jc w:val="center"/>
        </w:trPr>
        <w:tc>
          <w:tcPr>
            <w:tcW w:w="705" w:type="dxa"/>
            <w:vAlign w:val="center"/>
          </w:tcPr>
          <w:p>
            <w:pPr>
              <w:jc w:val="center"/>
              <w:rPr>
                <w:color w:val="000000"/>
              </w:rPr>
            </w:pPr>
            <w:r>
              <w:rPr>
                <w:rFonts w:hint="eastAsia"/>
                <w:color w:val="000000"/>
              </w:rPr>
              <w:t>序号</w:t>
            </w:r>
          </w:p>
        </w:tc>
        <w:tc>
          <w:tcPr>
            <w:tcW w:w="2172" w:type="dxa"/>
            <w:vAlign w:val="center"/>
          </w:tcPr>
          <w:p>
            <w:pPr>
              <w:jc w:val="center"/>
              <w:rPr>
                <w:color w:val="000000"/>
              </w:rPr>
            </w:pPr>
            <w:r>
              <w:rPr>
                <w:rFonts w:hint="eastAsia"/>
                <w:color w:val="000000"/>
              </w:rPr>
              <w:t>工程名称</w:t>
            </w:r>
          </w:p>
        </w:tc>
        <w:tc>
          <w:tcPr>
            <w:tcW w:w="1208" w:type="dxa"/>
            <w:tcBorders>
              <w:right w:val="single" w:color="auto" w:sz="6" w:space="0"/>
            </w:tcBorders>
            <w:vAlign w:val="center"/>
          </w:tcPr>
          <w:p>
            <w:pPr>
              <w:jc w:val="center"/>
              <w:rPr>
                <w:color w:val="000000"/>
              </w:rPr>
            </w:pPr>
            <w:r>
              <w:rPr>
                <w:rFonts w:hint="eastAsia"/>
                <w:color w:val="000000"/>
              </w:rPr>
              <w:t>项目价值（元）</w:t>
            </w:r>
          </w:p>
        </w:tc>
        <w:tc>
          <w:tcPr>
            <w:tcW w:w="1135" w:type="dxa"/>
            <w:tcBorders>
              <w:left w:val="single" w:color="auto" w:sz="6" w:space="0"/>
            </w:tcBorders>
            <w:vAlign w:val="center"/>
          </w:tcPr>
          <w:p>
            <w:pPr>
              <w:jc w:val="center"/>
              <w:rPr>
                <w:color w:val="000000"/>
              </w:rPr>
            </w:pPr>
            <w:r>
              <w:rPr>
                <w:rFonts w:hint="eastAsia"/>
                <w:color w:val="000000"/>
              </w:rPr>
              <w:t>服务内容</w:t>
            </w:r>
          </w:p>
        </w:tc>
        <w:tc>
          <w:tcPr>
            <w:tcW w:w="1099" w:type="dxa"/>
            <w:vAlign w:val="center"/>
          </w:tcPr>
          <w:p>
            <w:pPr>
              <w:jc w:val="center"/>
              <w:rPr>
                <w:color w:val="000000"/>
              </w:rPr>
            </w:pPr>
            <w:r>
              <w:rPr>
                <w:rFonts w:hint="eastAsia"/>
                <w:color w:val="000000"/>
              </w:rPr>
              <w:t>计算基础</w:t>
            </w:r>
          </w:p>
        </w:tc>
        <w:tc>
          <w:tcPr>
            <w:tcW w:w="1190" w:type="dxa"/>
            <w:vAlign w:val="center"/>
          </w:tcPr>
          <w:p>
            <w:pPr>
              <w:jc w:val="center"/>
              <w:rPr>
                <w:color w:val="000000"/>
              </w:rPr>
            </w:pPr>
            <w:r>
              <w:rPr>
                <w:rFonts w:hint="eastAsia"/>
                <w:color w:val="000000"/>
              </w:rPr>
              <w:t>费率</w:t>
            </w:r>
            <w:r>
              <w:rPr>
                <w:rFonts w:hint="eastAsia" w:ascii="宋体" w:hAnsi="宋体"/>
                <w:color w:val="000000"/>
              </w:rPr>
              <w:t>（%）</w:t>
            </w:r>
          </w:p>
        </w:tc>
        <w:tc>
          <w:tcPr>
            <w:tcW w:w="1211" w:type="dxa"/>
            <w:vAlign w:val="center"/>
          </w:tcPr>
          <w:p>
            <w:pPr>
              <w:jc w:val="center"/>
              <w:rPr>
                <w:color w:val="000000"/>
              </w:rPr>
            </w:pPr>
            <w:r>
              <w:rPr>
                <w:rFonts w:hint="eastAsia"/>
                <w:color w:val="000000"/>
              </w:rPr>
              <w:t>金额（元）</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910" w:hRule="atLeast"/>
          <w:jc w:val="center"/>
        </w:trPr>
        <w:tc>
          <w:tcPr>
            <w:tcW w:w="705" w:type="dxa"/>
            <w:vAlign w:val="center"/>
          </w:tcPr>
          <w:p>
            <w:pPr>
              <w:jc w:val="center"/>
              <w:rPr>
                <w:rFonts w:ascii="黑体" w:eastAsia="黑体"/>
                <w:color w:val="000000"/>
              </w:rPr>
            </w:pPr>
            <w:r>
              <w:rPr>
                <w:rFonts w:hint="eastAsia" w:ascii="黑体" w:eastAsia="黑体"/>
                <w:color w:val="000000"/>
              </w:rPr>
              <w:t>1</w:t>
            </w:r>
          </w:p>
        </w:tc>
        <w:tc>
          <w:tcPr>
            <w:tcW w:w="2172" w:type="dxa"/>
            <w:vAlign w:val="center"/>
          </w:tcPr>
          <w:p>
            <w:pPr>
              <w:rPr>
                <w:color w:val="000000"/>
              </w:rPr>
            </w:pPr>
            <w:r>
              <w:rPr>
                <w:rFonts w:hint="eastAsia"/>
                <w:color w:val="000000"/>
              </w:rPr>
              <w:t>发包人发包专业工程</w:t>
            </w:r>
          </w:p>
        </w:tc>
        <w:tc>
          <w:tcPr>
            <w:tcW w:w="1208" w:type="dxa"/>
            <w:tcBorders>
              <w:right w:val="single" w:color="auto" w:sz="6" w:space="0"/>
            </w:tcBorders>
            <w:vAlign w:val="center"/>
          </w:tcPr>
          <w:p>
            <w:pPr>
              <w:jc w:val="center"/>
              <w:rPr>
                <w:color w:val="000000"/>
              </w:rPr>
            </w:pPr>
          </w:p>
        </w:tc>
        <w:tc>
          <w:tcPr>
            <w:tcW w:w="1135" w:type="dxa"/>
            <w:tcBorders>
              <w:left w:val="single" w:color="auto" w:sz="6" w:space="0"/>
            </w:tcBorders>
            <w:vAlign w:val="center"/>
          </w:tcPr>
          <w:p>
            <w:pPr>
              <w:jc w:val="center"/>
              <w:rPr>
                <w:color w:val="000000"/>
              </w:rPr>
            </w:pPr>
          </w:p>
        </w:tc>
        <w:tc>
          <w:tcPr>
            <w:tcW w:w="1099" w:type="dxa"/>
          </w:tcPr>
          <w:p>
            <w:pPr>
              <w:jc w:val="center"/>
              <w:rPr>
                <w:color w:val="000000"/>
              </w:rPr>
            </w:pPr>
          </w:p>
        </w:tc>
        <w:tc>
          <w:tcPr>
            <w:tcW w:w="1190" w:type="dxa"/>
            <w:vAlign w:val="center"/>
          </w:tcPr>
          <w:p>
            <w:pPr>
              <w:jc w:val="center"/>
              <w:rPr>
                <w:color w:val="000000"/>
              </w:rPr>
            </w:pPr>
          </w:p>
        </w:tc>
        <w:tc>
          <w:tcPr>
            <w:tcW w:w="1211" w:type="dxa"/>
            <w:vAlign w:val="center"/>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910" w:hRule="atLeast"/>
          <w:jc w:val="center"/>
        </w:trPr>
        <w:tc>
          <w:tcPr>
            <w:tcW w:w="705" w:type="dxa"/>
            <w:tcBorders>
              <w:bottom w:val="single" w:color="auto" w:sz="6" w:space="0"/>
            </w:tcBorders>
            <w:vAlign w:val="center"/>
          </w:tcPr>
          <w:p>
            <w:pPr>
              <w:jc w:val="center"/>
              <w:rPr>
                <w:rFonts w:ascii="黑体" w:eastAsia="黑体"/>
                <w:color w:val="000000"/>
              </w:rPr>
            </w:pPr>
            <w:r>
              <w:rPr>
                <w:rFonts w:hint="eastAsia" w:ascii="黑体" w:eastAsia="黑体"/>
                <w:color w:val="000000"/>
              </w:rPr>
              <w:t>2</w:t>
            </w:r>
          </w:p>
        </w:tc>
        <w:tc>
          <w:tcPr>
            <w:tcW w:w="2172" w:type="dxa"/>
            <w:vAlign w:val="center"/>
          </w:tcPr>
          <w:p>
            <w:pPr>
              <w:rPr>
                <w:color w:val="000000"/>
              </w:rPr>
            </w:pPr>
            <w:r>
              <w:rPr>
                <w:rFonts w:hint="eastAsia"/>
                <w:color w:val="000000"/>
              </w:rPr>
              <w:t>发包人供应材料</w:t>
            </w:r>
          </w:p>
        </w:tc>
        <w:tc>
          <w:tcPr>
            <w:tcW w:w="1208" w:type="dxa"/>
            <w:tcBorders>
              <w:right w:val="single" w:color="auto" w:sz="6" w:space="0"/>
            </w:tcBorders>
            <w:vAlign w:val="center"/>
          </w:tcPr>
          <w:p>
            <w:pPr>
              <w:jc w:val="center"/>
              <w:rPr>
                <w:color w:val="000000"/>
              </w:rPr>
            </w:pPr>
          </w:p>
        </w:tc>
        <w:tc>
          <w:tcPr>
            <w:tcW w:w="1135" w:type="dxa"/>
            <w:tcBorders>
              <w:left w:val="single" w:color="auto" w:sz="6" w:space="0"/>
            </w:tcBorders>
            <w:vAlign w:val="center"/>
          </w:tcPr>
          <w:p>
            <w:pPr>
              <w:jc w:val="center"/>
              <w:rPr>
                <w:color w:val="000000"/>
              </w:rPr>
            </w:pPr>
          </w:p>
        </w:tc>
        <w:tc>
          <w:tcPr>
            <w:tcW w:w="1099" w:type="dxa"/>
          </w:tcPr>
          <w:p>
            <w:pPr>
              <w:jc w:val="center"/>
              <w:rPr>
                <w:color w:val="000000"/>
              </w:rPr>
            </w:pPr>
          </w:p>
        </w:tc>
        <w:tc>
          <w:tcPr>
            <w:tcW w:w="1190" w:type="dxa"/>
            <w:vAlign w:val="center"/>
          </w:tcPr>
          <w:p>
            <w:pPr>
              <w:jc w:val="center"/>
              <w:rPr>
                <w:color w:val="000000"/>
              </w:rPr>
            </w:pPr>
          </w:p>
        </w:tc>
        <w:tc>
          <w:tcPr>
            <w:tcW w:w="1211" w:type="dxa"/>
            <w:vAlign w:val="center"/>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910" w:hRule="atLeast"/>
          <w:jc w:val="center"/>
        </w:trPr>
        <w:tc>
          <w:tcPr>
            <w:tcW w:w="705" w:type="dxa"/>
            <w:tcBorders>
              <w:top w:val="single" w:color="auto" w:sz="6" w:space="0"/>
            </w:tcBorders>
            <w:vAlign w:val="center"/>
          </w:tcPr>
          <w:p>
            <w:pPr>
              <w:jc w:val="center"/>
              <w:rPr>
                <w:rFonts w:ascii="黑体" w:eastAsia="黑体"/>
                <w:color w:val="000000"/>
              </w:rPr>
            </w:pPr>
          </w:p>
        </w:tc>
        <w:tc>
          <w:tcPr>
            <w:tcW w:w="2172" w:type="dxa"/>
            <w:vAlign w:val="center"/>
          </w:tcPr>
          <w:p>
            <w:pPr>
              <w:rPr>
                <w:color w:val="000000"/>
              </w:rPr>
            </w:pPr>
          </w:p>
        </w:tc>
        <w:tc>
          <w:tcPr>
            <w:tcW w:w="1208" w:type="dxa"/>
            <w:tcBorders>
              <w:right w:val="single" w:color="auto" w:sz="6" w:space="0"/>
            </w:tcBorders>
            <w:vAlign w:val="center"/>
          </w:tcPr>
          <w:p>
            <w:pPr>
              <w:jc w:val="center"/>
              <w:rPr>
                <w:color w:val="000000"/>
              </w:rPr>
            </w:pPr>
          </w:p>
        </w:tc>
        <w:tc>
          <w:tcPr>
            <w:tcW w:w="1135" w:type="dxa"/>
            <w:tcBorders>
              <w:left w:val="single" w:color="auto" w:sz="6" w:space="0"/>
            </w:tcBorders>
            <w:vAlign w:val="center"/>
          </w:tcPr>
          <w:p>
            <w:pPr>
              <w:jc w:val="center"/>
              <w:rPr>
                <w:color w:val="000000"/>
              </w:rPr>
            </w:pPr>
          </w:p>
        </w:tc>
        <w:tc>
          <w:tcPr>
            <w:tcW w:w="1099" w:type="dxa"/>
          </w:tcPr>
          <w:p>
            <w:pPr>
              <w:jc w:val="center"/>
              <w:rPr>
                <w:color w:val="000000"/>
              </w:rPr>
            </w:pPr>
          </w:p>
        </w:tc>
        <w:tc>
          <w:tcPr>
            <w:tcW w:w="1190" w:type="dxa"/>
            <w:vAlign w:val="center"/>
          </w:tcPr>
          <w:p>
            <w:pPr>
              <w:jc w:val="center"/>
              <w:rPr>
                <w:color w:val="000000"/>
              </w:rPr>
            </w:pPr>
          </w:p>
        </w:tc>
        <w:tc>
          <w:tcPr>
            <w:tcW w:w="1211" w:type="dxa"/>
            <w:vAlign w:val="center"/>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909" w:hRule="atLeast"/>
          <w:jc w:val="center"/>
        </w:trPr>
        <w:tc>
          <w:tcPr>
            <w:tcW w:w="705" w:type="dxa"/>
            <w:vAlign w:val="center"/>
          </w:tcPr>
          <w:p>
            <w:pPr>
              <w:jc w:val="center"/>
              <w:rPr>
                <w:rFonts w:ascii="黑体" w:eastAsia="黑体"/>
                <w:color w:val="000000"/>
              </w:rPr>
            </w:pPr>
          </w:p>
        </w:tc>
        <w:tc>
          <w:tcPr>
            <w:tcW w:w="2172" w:type="dxa"/>
            <w:vAlign w:val="center"/>
          </w:tcPr>
          <w:p>
            <w:pPr>
              <w:rPr>
                <w:color w:val="000000"/>
              </w:rPr>
            </w:pPr>
          </w:p>
        </w:tc>
        <w:tc>
          <w:tcPr>
            <w:tcW w:w="1208" w:type="dxa"/>
            <w:tcBorders>
              <w:right w:val="single" w:color="auto" w:sz="6" w:space="0"/>
            </w:tcBorders>
            <w:vAlign w:val="center"/>
          </w:tcPr>
          <w:p>
            <w:pPr>
              <w:jc w:val="center"/>
              <w:rPr>
                <w:color w:val="000000"/>
              </w:rPr>
            </w:pPr>
          </w:p>
        </w:tc>
        <w:tc>
          <w:tcPr>
            <w:tcW w:w="1135" w:type="dxa"/>
            <w:tcBorders>
              <w:left w:val="single" w:color="auto" w:sz="6" w:space="0"/>
            </w:tcBorders>
            <w:vAlign w:val="center"/>
          </w:tcPr>
          <w:p>
            <w:pPr>
              <w:jc w:val="center"/>
              <w:rPr>
                <w:color w:val="000000"/>
              </w:rPr>
            </w:pPr>
          </w:p>
        </w:tc>
        <w:tc>
          <w:tcPr>
            <w:tcW w:w="1099" w:type="dxa"/>
          </w:tcPr>
          <w:p>
            <w:pPr>
              <w:jc w:val="center"/>
              <w:rPr>
                <w:color w:val="000000"/>
              </w:rPr>
            </w:pPr>
          </w:p>
        </w:tc>
        <w:tc>
          <w:tcPr>
            <w:tcW w:w="1190" w:type="dxa"/>
            <w:vAlign w:val="center"/>
          </w:tcPr>
          <w:p>
            <w:pPr>
              <w:jc w:val="center"/>
              <w:rPr>
                <w:color w:val="000000"/>
              </w:rPr>
            </w:pPr>
          </w:p>
        </w:tc>
        <w:tc>
          <w:tcPr>
            <w:tcW w:w="1211" w:type="dxa"/>
            <w:vAlign w:val="center"/>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910" w:hRule="atLeast"/>
          <w:jc w:val="center"/>
        </w:trPr>
        <w:tc>
          <w:tcPr>
            <w:tcW w:w="705" w:type="dxa"/>
            <w:vAlign w:val="center"/>
          </w:tcPr>
          <w:p>
            <w:pPr>
              <w:jc w:val="center"/>
              <w:rPr>
                <w:rFonts w:ascii="黑体" w:eastAsia="黑体"/>
                <w:color w:val="000000"/>
              </w:rPr>
            </w:pPr>
          </w:p>
        </w:tc>
        <w:tc>
          <w:tcPr>
            <w:tcW w:w="2172" w:type="dxa"/>
            <w:vAlign w:val="center"/>
          </w:tcPr>
          <w:p>
            <w:pPr>
              <w:rPr>
                <w:color w:val="000000"/>
              </w:rPr>
            </w:pPr>
          </w:p>
        </w:tc>
        <w:tc>
          <w:tcPr>
            <w:tcW w:w="1208" w:type="dxa"/>
            <w:tcBorders>
              <w:right w:val="single" w:color="auto" w:sz="6" w:space="0"/>
            </w:tcBorders>
            <w:vAlign w:val="center"/>
          </w:tcPr>
          <w:p>
            <w:pPr>
              <w:jc w:val="center"/>
              <w:rPr>
                <w:color w:val="000000"/>
              </w:rPr>
            </w:pPr>
          </w:p>
        </w:tc>
        <w:tc>
          <w:tcPr>
            <w:tcW w:w="1135" w:type="dxa"/>
            <w:tcBorders>
              <w:left w:val="single" w:color="auto" w:sz="6" w:space="0"/>
            </w:tcBorders>
            <w:vAlign w:val="center"/>
          </w:tcPr>
          <w:p>
            <w:pPr>
              <w:jc w:val="center"/>
              <w:rPr>
                <w:color w:val="000000"/>
              </w:rPr>
            </w:pPr>
          </w:p>
        </w:tc>
        <w:tc>
          <w:tcPr>
            <w:tcW w:w="1099" w:type="dxa"/>
          </w:tcPr>
          <w:p>
            <w:pPr>
              <w:jc w:val="center"/>
              <w:rPr>
                <w:color w:val="000000"/>
              </w:rPr>
            </w:pPr>
          </w:p>
        </w:tc>
        <w:tc>
          <w:tcPr>
            <w:tcW w:w="1190" w:type="dxa"/>
            <w:vAlign w:val="center"/>
          </w:tcPr>
          <w:p>
            <w:pPr>
              <w:jc w:val="center"/>
              <w:rPr>
                <w:color w:val="000000"/>
              </w:rPr>
            </w:pPr>
          </w:p>
        </w:tc>
        <w:tc>
          <w:tcPr>
            <w:tcW w:w="1211" w:type="dxa"/>
            <w:vAlign w:val="center"/>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909" w:hRule="atLeast"/>
          <w:jc w:val="center"/>
        </w:trPr>
        <w:tc>
          <w:tcPr>
            <w:tcW w:w="705" w:type="dxa"/>
            <w:vAlign w:val="center"/>
          </w:tcPr>
          <w:p>
            <w:pPr>
              <w:jc w:val="center"/>
              <w:rPr>
                <w:color w:val="000000"/>
              </w:rPr>
            </w:pPr>
          </w:p>
        </w:tc>
        <w:tc>
          <w:tcPr>
            <w:tcW w:w="2172" w:type="dxa"/>
            <w:vAlign w:val="center"/>
          </w:tcPr>
          <w:p>
            <w:pPr>
              <w:rPr>
                <w:color w:val="000000"/>
              </w:rPr>
            </w:pPr>
          </w:p>
        </w:tc>
        <w:tc>
          <w:tcPr>
            <w:tcW w:w="1208" w:type="dxa"/>
            <w:tcBorders>
              <w:right w:val="single" w:color="auto" w:sz="6" w:space="0"/>
            </w:tcBorders>
            <w:vAlign w:val="center"/>
          </w:tcPr>
          <w:p>
            <w:pPr>
              <w:jc w:val="center"/>
              <w:rPr>
                <w:color w:val="000000"/>
              </w:rPr>
            </w:pPr>
          </w:p>
        </w:tc>
        <w:tc>
          <w:tcPr>
            <w:tcW w:w="1135" w:type="dxa"/>
            <w:tcBorders>
              <w:left w:val="single" w:color="auto" w:sz="6" w:space="0"/>
            </w:tcBorders>
            <w:vAlign w:val="center"/>
          </w:tcPr>
          <w:p>
            <w:pPr>
              <w:jc w:val="center"/>
              <w:rPr>
                <w:color w:val="000000"/>
              </w:rPr>
            </w:pPr>
          </w:p>
        </w:tc>
        <w:tc>
          <w:tcPr>
            <w:tcW w:w="1099" w:type="dxa"/>
          </w:tcPr>
          <w:p>
            <w:pPr>
              <w:jc w:val="center"/>
              <w:rPr>
                <w:color w:val="000000"/>
              </w:rPr>
            </w:pPr>
          </w:p>
        </w:tc>
        <w:tc>
          <w:tcPr>
            <w:tcW w:w="1190" w:type="dxa"/>
            <w:vAlign w:val="center"/>
          </w:tcPr>
          <w:p>
            <w:pPr>
              <w:jc w:val="center"/>
              <w:rPr>
                <w:color w:val="000000"/>
              </w:rPr>
            </w:pPr>
          </w:p>
        </w:tc>
        <w:tc>
          <w:tcPr>
            <w:tcW w:w="1211" w:type="dxa"/>
            <w:vAlign w:val="center"/>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910" w:hRule="atLeast"/>
          <w:jc w:val="center"/>
        </w:trPr>
        <w:tc>
          <w:tcPr>
            <w:tcW w:w="705" w:type="dxa"/>
            <w:vAlign w:val="center"/>
          </w:tcPr>
          <w:p>
            <w:pPr>
              <w:jc w:val="center"/>
              <w:rPr>
                <w:color w:val="000000"/>
              </w:rPr>
            </w:pPr>
          </w:p>
        </w:tc>
        <w:tc>
          <w:tcPr>
            <w:tcW w:w="2172" w:type="dxa"/>
            <w:vAlign w:val="center"/>
          </w:tcPr>
          <w:p>
            <w:pPr>
              <w:rPr>
                <w:color w:val="000000"/>
              </w:rPr>
            </w:pPr>
          </w:p>
        </w:tc>
        <w:tc>
          <w:tcPr>
            <w:tcW w:w="1208" w:type="dxa"/>
            <w:tcBorders>
              <w:right w:val="single" w:color="auto" w:sz="6" w:space="0"/>
            </w:tcBorders>
            <w:vAlign w:val="center"/>
          </w:tcPr>
          <w:p>
            <w:pPr>
              <w:jc w:val="center"/>
              <w:rPr>
                <w:color w:val="000000"/>
              </w:rPr>
            </w:pPr>
          </w:p>
        </w:tc>
        <w:tc>
          <w:tcPr>
            <w:tcW w:w="1135" w:type="dxa"/>
            <w:tcBorders>
              <w:left w:val="single" w:color="auto" w:sz="6" w:space="0"/>
            </w:tcBorders>
            <w:vAlign w:val="center"/>
          </w:tcPr>
          <w:p>
            <w:pPr>
              <w:jc w:val="center"/>
              <w:rPr>
                <w:color w:val="000000"/>
              </w:rPr>
            </w:pPr>
          </w:p>
        </w:tc>
        <w:tc>
          <w:tcPr>
            <w:tcW w:w="1099" w:type="dxa"/>
          </w:tcPr>
          <w:p>
            <w:pPr>
              <w:jc w:val="center"/>
              <w:rPr>
                <w:color w:val="000000"/>
              </w:rPr>
            </w:pPr>
          </w:p>
        </w:tc>
        <w:tc>
          <w:tcPr>
            <w:tcW w:w="1190" w:type="dxa"/>
            <w:vAlign w:val="center"/>
          </w:tcPr>
          <w:p>
            <w:pPr>
              <w:jc w:val="center"/>
              <w:rPr>
                <w:color w:val="000000"/>
              </w:rPr>
            </w:pPr>
          </w:p>
        </w:tc>
        <w:tc>
          <w:tcPr>
            <w:tcW w:w="1211" w:type="dxa"/>
            <w:vAlign w:val="center"/>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910" w:hRule="atLeast"/>
          <w:jc w:val="center"/>
        </w:trPr>
        <w:tc>
          <w:tcPr>
            <w:tcW w:w="2880" w:type="dxa"/>
            <w:gridSpan w:val="2"/>
            <w:tcBorders>
              <w:right w:val="single" w:color="auto" w:sz="4" w:space="0"/>
            </w:tcBorders>
            <w:vAlign w:val="center"/>
          </w:tcPr>
          <w:p>
            <w:pPr>
              <w:jc w:val="center"/>
              <w:rPr>
                <w:color w:val="000000"/>
              </w:rPr>
            </w:pPr>
            <w:r>
              <w:rPr>
                <w:rFonts w:hint="eastAsia"/>
                <w:color w:val="000000"/>
              </w:rPr>
              <w:t>合计</w:t>
            </w:r>
          </w:p>
        </w:tc>
        <w:tc>
          <w:tcPr>
            <w:tcW w:w="1205" w:type="dxa"/>
            <w:tcBorders>
              <w:left w:val="single" w:color="auto" w:sz="4" w:space="0"/>
              <w:right w:val="single" w:color="auto" w:sz="6" w:space="0"/>
            </w:tcBorders>
            <w:vAlign w:val="center"/>
          </w:tcPr>
          <w:p>
            <w:pPr>
              <w:jc w:val="center"/>
              <w:rPr>
                <w:color w:val="000000"/>
              </w:rPr>
            </w:pPr>
          </w:p>
        </w:tc>
        <w:tc>
          <w:tcPr>
            <w:tcW w:w="1135" w:type="dxa"/>
            <w:tcBorders>
              <w:right w:val="single" w:color="auto" w:sz="6" w:space="0"/>
            </w:tcBorders>
            <w:vAlign w:val="center"/>
          </w:tcPr>
          <w:p>
            <w:pPr>
              <w:jc w:val="center"/>
              <w:rPr>
                <w:color w:val="000000"/>
              </w:rPr>
            </w:pPr>
          </w:p>
        </w:tc>
        <w:tc>
          <w:tcPr>
            <w:tcW w:w="1099" w:type="dxa"/>
            <w:tcBorders>
              <w:right w:val="single" w:color="auto" w:sz="6" w:space="0"/>
            </w:tcBorders>
          </w:tcPr>
          <w:p>
            <w:pPr>
              <w:jc w:val="center"/>
              <w:rPr>
                <w:color w:val="000000"/>
              </w:rPr>
            </w:pPr>
          </w:p>
        </w:tc>
        <w:tc>
          <w:tcPr>
            <w:tcW w:w="1190" w:type="dxa"/>
            <w:tcBorders>
              <w:left w:val="single" w:color="auto" w:sz="6" w:space="0"/>
            </w:tcBorders>
            <w:vAlign w:val="center"/>
          </w:tcPr>
          <w:p>
            <w:pPr>
              <w:jc w:val="center"/>
              <w:rPr>
                <w:color w:val="000000"/>
              </w:rPr>
            </w:pPr>
          </w:p>
        </w:tc>
        <w:tc>
          <w:tcPr>
            <w:tcW w:w="1211" w:type="dxa"/>
            <w:vAlign w:val="center"/>
          </w:tcPr>
          <w:p>
            <w:pPr>
              <w:jc w:val="center"/>
              <w:rPr>
                <w:color w:val="000000"/>
              </w:rPr>
            </w:pPr>
          </w:p>
        </w:tc>
      </w:tr>
    </w:tbl>
    <w:p>
      <w:pPr>
        <w:rPr>
          <w:rFonts w:ascii="黑体" w:eastAsia="黑体"/>
          <w:color w:val="000000"/>
          <w:sz w:val="24"/>
        </w:rPr>
      </w:pPr>
    </w:p>
    <w:p>
      <w:pPr>
        <w:rPr>
          <w:rFonts w:ascii="黑体" w:eastAsia="黑体"/>
          <w:color w:val="000000"/>
          <w:sz w:val="24"/>
        </w:rPr>
      </w:pPr>
      <w:r>
        <w:rPr>
          <w:rFonts w:ascii="宋体" w:hAnsi="宋体"/>
          <w:color w:val="000000"/>
        </w:rPr>
        <w:br w:type="page"/>
      </w:r>
      <w:r>
        <w:rPr>
          <w:rFonts w:hint="eastAsia" w:ascii="黑体" w:eastAsia="黑体"/>
          <w:color w:val="000000"/>
          <w:sz w:val="24"/>
        </w:rPr>
        <w:t>4.21规费、税金项目计价表</w:t>
      </w:r>
    </w:p>
    <w:p>
      <w:pPr>
        <w:jc w:val="center"/>
        <w:rPr>
          <w:rFonts w:ascii="黑体" w:eastAsia="黑体"/>
          <w:b/>
          <w:color w:val="000000"/>
          <w:sz w:val="28"/>
          <w:szCs w:val="28"/>
        </w:rPr>
      </w:pPr>
      <w:r>
        <w:rPr>
          <w:rFonts w:hint="eastAsia" w:ascii="黑体" w:eastAsia="黑体"/>
          <w:b/>
          <w:color w:val="000000"/>
          <w:sz w:val="28"/>
          <w:szCs w:val="28"/>
        </w:rPr>
        <w:t>规费、税金项目计价表</w:t>
      </w:r>
    </w:p>
    <w:p>
      <w:pPr>
        <w:rPr>
          <w:color w:val="000000"/>
        </w:rPr>
      </w:pPr>
      <w:r>
        <w:rPr>
          <w:rFonts w:hint="eastAsia"/>
          <w:color w:val="000000"/>
        </w:rPr>
        <w:t>工程名称：第页共页</w:t>
      </w:r>
    </w:p>
    <w:tbl>
      <w:tblPr>
        <w:tblStyle w:val="36"/>
        <w:tblW w:w="8596"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1943"/>
        <w:gridCol w:w="1985"/>
        <w:gridCol w:w="1279"/>
        <w:gridCol w:w="1407"/>
        <w:gridCol w:w="1141"/>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681" w:hRule="atLeast"/>
          <w:jc w:val="center"/>
        </w:trPr>
        <w:tc>
          <w:tcPr>
            <w:tcW w:w="841" w:type="dxa"/>
            <w:vAlign w:val="center"/>
          </w:tcPr>
          <w:p>
            <w:pPr>
              <w:jc w:val="center"/>
              <w:rPr>
                <w:color w:val="000000"/>
              </w:rPr>
            </w:pPr>
            <w:r>
              <w:rPr>
                <w:rFonts w:hint="eastAsia"/>
                <w:color w:val="000000"/>
              </w:rPr>
              <w:t>序号</w:t>
            </w:r>
          </w:p>
        </w:tc>
        <w:tc>
          <w:tcPr>
            <w:tcW w:w="1943" w:type="dxa"/>
            <w:vAlign w:val="center"/>
          </w:tcPr>
          <w:p>
            <w:pPr>
              <w:jc w:val="center"/>
              <w:rPr>
                <w:color w:val="000000"/>
              </w:rPr>
            </w:pPr>
            <w:r>
              <w:rPr>
                <w:rFonts w:hint="eastAsia"/>
                <w:color w:val="000000"/>
              </w:rPr>
              <w:t>项目名称</w:t>
            </w:r>
          </w:p>
        </w:tc>
        <w:tc>
          <w:tcPr>
            <w:tcW w:w="1985" w:type="dxa"/>
            <w:vAlign w:val="center"/>
          </w:tcPr>
          <w:p>
            <w:pPr>
              <w:jc w:val="center"/>
              <w:rPr>
                <w:color w:val="000000"/>
              </w:rPr>
            </w:pPr>
            <w:r>
              <w:rPr>
                <w:rFonts w:hint="eastAsia"/>
                <w:color w:val="000000"/>
              </w:rPr>
              <w:t>计算基础</w:t>
            </w:r>
          </w:p>
        </w:tc>
        <w:tc>
          <w:tcPr>
            <w:tcW w:w="1279" w:type="dxa"/>
            <w:vAlign w:val="center"/>
          </w:tcPr>
          <w:p>
            <w:pPr>
              <w:jc w:val="center"/>
              <w:rPr>
                <w:color w:val="000000"/>
              </w:rPr>
            </w:pPr>
            <w:r>
              <w:rPr>
                <w:rFonts w:hint="eastAsia"/>
                <w:color w:val="000000"/>
              </w:rPr>
              <w:t>计算基数</w:t>
            </w:r>
          </w:p>
        </w:tc>
        <w:tc>
          <w:tcPr>
            <w:tcW w:w="1407" w:type="dxa"/>
            <w:vAlign w:val="center"/>
          </w:tcPr>
          <w:p>
            <w:pPr>
              <w:jc w:val="center"/>
              <w:rPr>
                <w:color w:val="000000"/>
              </w:rPr>
            </w:pPr>
            <w:r>
              <w:rPr>
                <w:rFonts w:hint="eastAsia"/>
                <w:color w:val="000000"/>
              </w:rPr>
              <w:t>计算费率（%）</w:t>
            </w:r>
          </w:p>
        </w:tc>
        <w:tc>
          <w:tcPr>
            <w:tcW w:w="1141" w:type="dxa"/>
            <w:vAlign w:val="center"/>
          </w:tcPr>
          <w:p>
            <w:pPr>
              <w:jc w:val="center"/>
              <w:rPr>
                <w:color w:val="000000"/>
              </w:rPr>
            </w:pPr>
            <w:r>
              <w:rPr>
                <w:rFonts w:hint="eastAsia"/>
                <w:color w:val="000000"/>
              </w:rPr>
              <w:t>金额（元）</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569" w:hRule="atLeast"/>
          <w:jc w:val="center"/>
        </w:trPr>
        <w:tc>
          <w:tcPr>
            <w:tcW w:w="841" w:type="dxa"/>
            <w:vAlign w:val="center"/>
          </w:tcPr>
          <w:p>
            <w:pPr>
              <w:jc w:val="center"/>
              <w:rPr>
                <w:rFonts w:ascii="黑体" w:eastAsia="黑体"/>
                <w:color w:val="000000"/>
              </w:rPr>
            </w:pPr>
            <w:r>
              <w:rPr>
                <w:rFonts w:hint="eastAsia" w:ascii="黑体" w:eastAsia="黑体"/>
                <w:color w:val="000000"/>
              </w:rPr>
              <w:t>一</w:t>
            </w:r>
          </w:p>
        </w:tc>
        <w:tc>
          <w:tcPr>
            <w:tcW w:w="1943" w:type="dxa"/>
            <w:vAlign w:val="center"/>
          </w:tcPr>
          <w:p>
            <w:pPr>
              <w:rPr>
                <w:color w:val="000000"/>
              </w:rPr>
            </w:pPr>
            <w:r>
              <w:rPr>
                <w:rFonts w:hint="eastAsia"/>
                <w:color w:val="000000"/>
              </w:rPr>
              <w:t>规费</w:t>
            </w:r>
          </w:p>
        </w:tc>
        <w:tc>
          <w:tcPr>
            <w:tcW w:w="1985" w:type="dxa"/>
            <w:vAlign w:val="center"/>
          </w:tcPr>
          <w:p>
            <w:pPr>
              <w:jc w:val="center"/>
              <w:rPr>
                <w:color w:val="000000"/>
              </w:rPr>
            </w:pPr>
            <w:r>
              <w:rPr>
                <w:rFonts w:hint="eastAsia"/>
                <w:color w:val="000000"/>
              </w:rPr>
              <w:t>定额人工费</w:t>
            </w:r>
          </w:p>
        </w:tc>
        <w:tc>
          <w:tcPr>
            <w:tcW w:w="1279" w:type="dxa"/>
            <w:vAlign w:val="center"/>
          </w:tcPr>
          <w:p>
            <w:pPr>
              <w:jc w:val="center"/>
              <w:rPr>
                <w:color w:val="000000"/>
              </w:rPr>
            </w:pPr>
          </w:p>
        </w:tc>
        <w:tc>
          <w:tcPr>
            <w:tcW w:w="1407" w:type="dxa"/>
            <w:vAlign w:val="center"/>
          </w:tcPr>
          <w:p>
            <w:pPr>
              <w:jc w:val="center"/>
              <w:rPr>
                <w:color w:val="000000"/>
              </w:rPr>
            </w:pPr>
          </w:p>
        </w:tc>
        <w:tc>
          <w:tcPr>
            <w:tcW w:w="1141" w:type="dxa"/>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621" w:hRule="atLeast"/>
          <w:jc w:val="center"/>
        </w:trPr>
        <w:tc>
          <w:tcPr>
            <w:tcW w:w="841" w:type="dxa"/>
            <w:tcBorders>
              <w:top w:val="single" w:color="auto" w:sz="6" w:space="0"/>
            </w:tcBorders>
            <w:vAlign w:val="center"/>
          </w:tcPr>
          <w:p>
            <w:pPr>
              <w:jc w:val="center"/>
              <w:rPr>
                <w:rFonts w:ascii="黑体" w:eastAsia="黑体"/>
                <w:color w:val="000000"/>
              </w:rPr>
            </w:pPr>
          </w:p>
        </w:tc>
        <w:tc>
          <w:tcPr>
            <w:tcW w:w="1943" w:type="dxa"/>
            <w:vAlign w:val="center"/>
          </w:tcPr>
          <w:p>
            <w:pPr>
              <w:rPr>
                <w:color w:val="000000"/>
              </w:rPr>
            </w:pPr>
            <w:r>
              <w:rPr>
                <w:rFonts w:hint="eastAsia"/>
                <w:color w:val="000000"/>
              </w:rPr>
              <w:t>社会保障费</w:t>
            </w:r>
          </w:p>
        </w:tc>
        <w:tc>
          <w:tcPr>
            <w:tcW w:w="1985" w:type="dxa"/>
            <w:vAlign w:val="center"/>
          </w:tcPr>
          <w:p>
            <w:pPr>
              <w:jc w:val="center"/>
              <w:rPr>
                <w:color w:val="000000"/>
              </w:rPr>
            </w:pPr>
            <w:r>
              <w:rPr>
                <w:rFonts w:hint="eastAsia"/>
                <w:color w:val="000000"/>
              </w:rPr>
              <w:t>定额人工费</w:t>
            </w:r>
          </w:p>
        </w:tc>
        <w:tc>
          <w:tcPr>
            <w:tcW w:w="1279" w:type="dxa"/>
            <w:vAlign w:val="center"/>
          </w:tcPr>
          <w:p>
            <w:pPr>
              <w:jc w:val="center"/>
              <w:rPr>
                <w:color w:val="000000"/>
              </w:rPr>
            </w:pPr>
          </w:p>
        </w:tc>
        <w:tc>
          <w:tcPr>
            <w:tcW w:w="1407" w:type="dxa"/>
            <w:vAlign w:val="center"/>
          </w:tcPr>
          <w:p>
            <w:pPr>
              <w:jc w:val="center"/>
              <w:rPr>
                <w:color w:val="000000"/>
              </w:rPr>
            </w:pPr>
          </w:p>
        </w:tc>
        <w:tc>
          <w:tcPr>
            <w:tcW w:w="1141" w:type="dxa"/>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692" w:hRule="atLeast"/>
          <w:jc w:val="center"/>
        </w:trPr>
        <w:tc>
          <w:tcPr>
            <w:tcW w:w="841" w:type="dxa"/>
            <w:vAlign w:val="center"/>
          </w:tcPr>
          <w:p>
            <w:pPr>
              <w:jc w:val="center"/>
              <w:rPr>
                <w:rFonts w:ascii="黑体" w:eastAsia="黑体"/>
                <w:color w:val="000000"/>
              </w:rPr>
            </w:pPr>
          </w:p>
        </w:tc>
        <w:tc>
          <w:tcPr>
            <w:tcW w:w="1943" w:type="dxa"/>
            <w:vAlign w:val="center"/>
          </w:tcPr>
          <w:p>
            <w:pPr>
              <w:rPr>
                <w:color w:val="000000"/>
              </w:rPr>
            </w:pPr>
            <w:r>
              <w:rPr>
                <w:rFonts w:hint="eastAsia"/>
                <w:color w:val="000000"/>
              </w:rPr>
              <w:t>养老保险费</w:t>
            </w:r>
          </w:p>
        </w:tc>
        <w:tc>
          <w:tcPr>
            <w:tcW w:w="1985" w:type="dxa"/>
            <w:vAlign w:val="center"/>
          </w:tcPr>
          <w:p>
            <w:pPr>
              <w:jc w:val="center"/>
              <w:rPr>
                <w:color w:val="000000"/>
              </w:rPr>
            </w:pPr>
            <w:r>
              <w:rPr>
                <w:rFonts w:hint="eastAsia"/>
                <w:color w:val="000000"/>
              </w:rPr>
              <w:t>定额人工费</w:t>
            </w:r>
          </w:p>
        </w:tc>
        <w:tc>
          <w:tcPr>
            <w:tcW w:w="1279" w:type="dxa"/>
            <w:vAlign w:val="center"/>
          </w:tcPr>
          <w:p>
            <w:pPr>
              <w:jc w:val="center"/>
              <w:rPr>
                <w:color w:val="000000"/>
              </w:rPr>
            </w:pPr>
          </w:p>
        </w:tc>
        <w:tc>
          <w:tcPr>
            <w:tcW w:w="1407" w:type="dxa"/>
            <w:vAlign w:val="center"/>
          </w:tcPr>
          <w:p>
            <w:pPr>
              <w:jc w:val="center"/>
              <w:rPr>
                <w:color w:val="000000"/>
              </w:rPr>
            </w:pPr>
          </w:p>
        </w:tc>
        <w:tc>
          <w:tcPr>
            <w:tcW w:w="1141" w:type="dxa"/>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546" w:hRule="atLeast"/>
          <w:jc w:val="center"/>
        </w:trPr>
        <w:tc>
          <w:tcPr>
            <w:tcW w:w="841" w:type="dxa"/>
            <w:vAlign w:val="center"/>
          </w:tcPr>
          <w:p>
            <w:pPr>
              <w:jc w:val="center"/>
              <w:rPr>
                <w:rFonts w:ascii="黑体" w:eastAsia="黑体"/>
                <w:color w:val="000000"/>
              </w:rPr>
            </w:pPr>
          </w:p>
        </w:tc>
        <w:tc>
          <w:tcPr>
            <w:tcW w:w="1943" w:type="dxa"/>
            <w:vAlign w:val="center"/>
          </w:tcPr>
          <w:p>
            <w:pPr>
              <w:rPr>
                <w:color w:val="000000"/>
              </w:rPr>
            </w:pPr>
            <w:r>
              <w:rPr>
                <w:rFonts w:hint="eastAsia"/>
                <w:color w:val="000000"/>
              </w:rPr>
              <w:t>失业保险费</w:t>
            </w:r>
          </w:p>
        </w:tc>
        <w:tc>
          <w:tcPr>
            <w:tcW w:w="1985" w:type="dxa"/>
            <w:vAlign w:val="center"/>
          </w:tcPr>
          <w:p>
            <w:pPr>
              <w:jc w:val="center"/>
              <w:rPr>
                <w:color w:val="000000"/>
              </w:rPr>
            </w:pPr>
            <w:r>
              <w:rPr>
                <w:rFonts w:hint="eastAsia"/>
                <w:color w:val="000000"/>
              </w:rPr>
              <w:t>定额人工费</w:t>
            </w:r>
          </w:p>
        </w:tc>
        <w:tc>
          <w:tcPr>
            <w:tcW w:w="1279" w:type="dxa"/>
            <w:vAlign w:val="center"/>
          </w:tcPr>
          <w:p>
            <w:pPr>
              <w:jc w:val="center"/>
              <w:rPr>
                <w:color w:val="000000"/>
              </w:rPr>
            </w:pPr>
          </w:p>
        </w:tc>
        <w:tc>
          <w:tcPr>
            <w:tcW w:w="1407" w:type="dxa"/>
            <w:vAlign w:val="center"/>
          </w:tcPr>
          <w:p>
            <w:pPr>
              <w:jc w:val="center"/>
              <w:rPr>
                <w:color w:val="000000"/>
              </w:rPr>
            </w:pPr>
          </w:p>
        </w:tc>
        <w:tc>
          <w:tcPr>
            <w:tcW w:w="1141" w:type="dxa"/>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84" w:hRule="atLeast"/>
          <w:jc w:val="center"/>
        </w:trPr>
        <w:tc>
          <w:tcPr>
            <w:tcW w:w="841" w:type="dxa"/>
            <w:vAlign w:val="center"/>
          </w:tcPr>
          <w:p>
            <w:pPr>
              <w:jc w:val="center"/>
              <w:rPr>
                <w:rFonts w:ascii="黑体" w:eastAsia="黑体"/>
                <w:color w:val="000000"/>
              </w:rPr>
            </w:pPr>
          </w:p>
        </w:tc>
        <w:tc>
          <w:tcPr>
            <w:tcW w:w="1943" w:type="dxa"/>
            <w:vAlign w:val="center"/>
          </w:tcPr>
          <w:p>
            <w:pPr>
              <w:rPr>
                <w:color w:val="000000"/>
              </w:rPr>
            </w:pPr>
            <w:r>
              <w:rPr>
                <w:rFonts w:hint="eastAsia"/>
                <w:color w:val="000000"/>
              </w:rPr>
              <w:t>医疗保险费</w:t>
            </w:r>
          </w:p>
        </w:tc>
        <w:tc>
          <w:tcPr>
            <w:tcW w:w="1985" w:type="dxa"/>
            <w:vAlign w:val="center"/>
          </w:tcPr>
          <w:p>
            <w:pPr>
              <w:jc w:val="center"/>
              <w:rPr>
                <w:color w:val="000000"/>
              </w:rPr>
            </w:pPr>
            <w:r>
              <w:rPr>
                <w:rFonts w:hint="eastAsia"/>
                <w:color w:val="000000"/>
              </w:rPr>
              <w:t>定额人工费</w:t>
            </w:r>
          </w:p>
        </w:tc>
        <w:tc>
          <w:tcPr>
            <w:tcW w:w="1279" w:type="dxa"/>
            <w:vAlign w:val="center"/>
          </w:tcPr>
          <w:p>
            <w:pPr>
              <w:jc w:val="center"/>
              <w:rPr>
                <w:color w:val="000000"/>
              </w:rPr>
            </w:pPr>
          </w:p>
        </w:tc>
        <w:tc>
          <w:tcPr>
            <w:tcW w:w="1407" w:type="dxa"/>
            <w:vAlign w:val="center"/>
          </w:tcPr>
          <w:p>
            <w:pPr>
              <w:jc w:val="center"/>
              <w:rPr>
                <w:color w:val="000000"/>
              </w:rPr>
            </w:pPr>
          </w:p>
        </w:tc>
        <w:tc>
          <w:tcPr>
            <w:tcW w:w="1141" w:type="dxa"/>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564" w:hRule="atLeast"/>
          <w:jc w:val="center"/>
        </w:trPr>
        <w:tc>
          <w:tcPr>
            <w:tcW w:w="841" w:type="dxa"/>
            <w:vAlign w:val="center"/>
          </w:tcPr>
          <w:p>
            <w:pPr>
              <w:jc w:val="center"/>
              <w:rPr>
                <w:rFonts w:ascii="黑体" w:eastAsia="黑体"/>
                <w:color w:val="000000"/>
              </w:rPr>
            </w:pPr>
          </w:p>
        </w:tc>
        <w:tc>
          <w:tcPr>
            <w:tcW w:w="1943" w:type="dxa"/>
            <w:vAlign w:val="center"/>
          </w:tcPr>
          <w:p>
            <w:pPr>
              <w:rPr>
                <w:color w:val="000000"/>
              </w:rPr>
            </w:pPr>
            <w:r>
              <w:rPr>
                <w:rFonts w:hint="eastAsia"/>
                <w:color w:val="000000"/>
              </w:rPr>
              <w:t>工伤保险费</w:t>
            </w:r>
          </w:p>
        </w:tc>
        <w:tc>
          <w:tcPr>
            <w:tcW w:w="1985" w:type="dxa"/>
            <w:vAlign w:val="center"/>
          </w:tcPr>
          <w:p>
            <w:pPr>
              <w:jc w:val="center"/>
              <w:rPr>
                <w:color w:val="000000"/>
              </w:rPr>
            </w:pPr>
            <w:r>
              <w:rPr>
                <w:rFonts w:hint="eastAsia"/>
                <w:color w:val="000000"/>
              </w:rPr>
              <w:t>定额人工费</w:t>
            </w:r>
          </w:p>
        </w:tc>
        <w:tc>
          <w:tcPr>
            <w:tcW w:w="1279" w:type="dxa"/>
            <w:vAlign w:val="center"/>
          </w:tcPr>
          <w:p>
            <w:pPr>
              <w:jc w:val="center"/>
              <w:rPr>
                <w:color w:val="000000"/>
              </w:rPr>
            </w:pPr>
          </w:p>
        </w:tc>
        <w:tc>
          <w:tcPr>
            <w:tcW w:w="1407" w:type="dxa"/>
            <w:vAlign w:val="center"/>
          </w:tcPr>
          <w:p>
            <w:pPr>
              <w:jc w:val="center"/>
              <w:rPr>
                <w:color w:val="000000"/>
              </w:rPr>
            </w:pPr>
          </w:p>
        </w:tc>
        <w:tc>
          <w:tcPr>
            <w:tcW w:w="1141" w:type="dxa"/>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89" w:hRule="atLeast"/>
          <w:jc w:val="center"/>
        </w:trPr>
        <w:tc>
          <w:tcPr>
            <w:tcW w:w="841" w:type="dxa"/>
            <w:vAlign w:val="center"/>
          </w:tcPr>
          <w:p>
            <w:pPr>
              <w:jc w:val="center"/>
              <w:rPr>
                <w:rFonts w:ascii="黑体" w:eastAsia="黑体"/>
                <w:color w:val="000000"/>
              </w:rPr>
            </w:pPr>
          </w:p>
        </w:tc>
        <w:tc>
          <w:tcPr>
            <w:tcW w:w="1943" w:type="dxa"/>
            <w:vAlign w:val="center"/>
          </w:tcPr>
          <w:p>
            <w:pPr>
              <w:rPr>
                <w:color w:val="000000"/>
              </w:rPr>
            </w:pPr>
            <w:r>
              <w:rPr>
                <w:rFonts w:hint="eastAsia"/>
                <w:color w:val="000000"/>
              </w:rPr>
              <w:t>生育保险费</w:t>
            </w:r>
          </w:p>
        </w:tc>
        <w:tc>
          <w:tcPr>
            <w:tcW w:w="1985" w:type="dxa"/>
            <w:vAlign w:val="center"/>
          </w:tcPr>
          <w:p>
            <w:pPr>
              <w:jc w:val="center"/>
              <w:rPr>
                <w:color w:val="000000"/>
              </w:rPr>
            </w:pPr>
            <w:r>
              <w:rPr>
                <w:rFonts w:hint="eastAsia"/>
                <w:color w:val="000000"/>
              </w:rPr>
              <w:t>定额人工费</w:t>
            </w:r>
          </w:p>
        </w:tc>
        <w:tc>
          <w:tcPr>
            <w:tcW w:w="1279" w:type="dxa"/>
            <w:vAlign w:val="center"/>
          </w:tcPr>
          <w:p>
            <w:pPr>
              <w:jc w:val="center"/>
              <w:rPr>
                <w:color w:val="000000"/>
              </w:rPr>
            </w:pPr>
          </w:p>
        </w:tc>
        <w:tc>
          <w:tcPr>
            <w:tcW w:w="1407" w:type="dxa"/>
            <w:vAlign w:val="center"/>
          </w:tcPr>
          <w:p>
            <w:pPr>
              <w:jc w:val="center"/>
              <w:rPr>
                <w:color w:val="000000"/>
              </w:rPr>
            </w:pPr>
          </w:p>
        </w:tc>
        <w:tc>
          <w:tcPr>
            <w:tcW w:w="1141" w:type="dxa"/>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629" w:hRule="atLeast"/>
          <w:jc w:val="center"/>
        </w:trPr>
        <w:tc>
          <w:tcPr>
            <w:tcW w:w="841" w:type="dxa"/>
            <w:vAlign w:val="center"/>
          </w:tcPr>
          <w:p>
            <w:pPr>
              <w:jc w:val="center"/>
              <w:rPr>
                <w:rFonts w:ascii="黑体" w:eastAsia="黑体"/>
                <w:color w:val="000000"/>
              </w:rPr>
            </w:pPr>
          </w:p>
        </w:tc>
        <w:tc>
          <w:tcPr>
            <w:tcW w:w="1943" w:type="dxa"/>
            <w:vAlign w:val="center"/>
          </w:tcPr>
          <w:p>
            <w:pPr>
              <w:rPr>
                <w:color w:val="000000"/>
              </w:rPr>
            </w:pPr>
            <w:r>
              <w:rPr>
                <w:rFonts w:hint="eastAsia"/>
                <w:color w:val="000000"/>
              </w:rPr>
              <w:t>工程定额测定费</w:t>
            </w:r>
          </w:p>
        </w:tc>
        <w:tc>
          <w:tcPr>
            <w:tcW w:w="1985" w:type="dxa"/>
            <w:vAlign w:val="center"/>
          </w:tcPr>
          <w:p>
            <w:pPr>
              <w:jc w:val="center"/>
              <w:rPr>
                <w:color w:val="000000"/>
              </w:rPr>
            </w:pPr>
            <w:r>
              <w:rPr>
                <w:rFonts w:hint="eastAsia"/>
                <w:color w:val="000000"/>
              </w:rPr>
              <w:t>定额人工费</w:t>
            </w:r>
          </w:p>
        </w:tc>
        <w:tc>
          <w:tcPr>
            <w:tcW w:w="1279" w:type="dxa"/>
            <w:vAlign w:val="center"/>
          </w:tcPr>
          <w:p>
            <w:pPr>
              <w:jc w:val="center"/>
              <w:rPr>
                <w:color w:val="000000"/>
              </w:rPr>
            </w:pPr>
          </w:p>
        </w:tc>
        <w:tc>
          <w:tcPr>
            <w:tcW w:w="1407" w:type="dxa"/>
            <w:vAlign w:val="center"/>
          </w:tcPr>
          <w:p>
            <w:pPr>
              <w:jc w:val="center"/>
              <w:rPr>
                <w:color w:val="000000"/>
              </w:rPr>
            </w:pPr>
          </w:p>
        </w:tc>
        <w:tc>
          <w:tcPr>
            <w:tcW w:w="1141" w:type="dxa"/>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529" w:hRule="atLeast"/>
          <w:jc w:val="center"/>
        </w:trPr>
        <w:tc>
          <w:tcPr>
            <w:tcW w:w="841" w:type="dxa"/>
            <w:vAlign w:val="center"/>
          </w:tcPr>
          <w:p>
            <w:pPr>
              <w:rPr>
                <w:color w:val="000000"/>
              </w:rPr>
            </w:pPr>
          </w:p>
        </w:tc>
        <w:tc>
          <w:tcPr>
            <w:tcW w:w="1943" w:type="dxa"/>
            <w:vAlign w:val="center"/>
          </w:tcPr>
          <w:p>
            <w:pPr>
              <w:rPr>
                <w:color w:val="000000"/>
              </w:rPr>
            </w:pPr>
            <w:r>
              <w:rPr>
                <w:rFonts w:hint="eastAsia"/>
                <w:color w:val="000000"/>
              </w:rPr>
              <w:t>住房公积金</w:t>
            </w:r>
          </w:p>
        </w:tc>
        <w:tc>
          <w:tcPr>
            <w:tcW w:w="1985" w:type="dxa"/>
            <w:vAlign w:val="center"/>
          </w:tcPr>
          <w:p>
            <w:pPr>
              <w:jc w:val="center"/>
              <w:rPr>
                <w:color w:val="000000"/>
              </w:rPr>
            </w:pPr>
            <w:r>
              <w:rPr>
                <w:rFonts w:hint="eastAsia"/>
                <w:color w:val="000000"/>
              </w:rPr>
              <w:t>定额人工费</w:t>
            </w:r>
          </w:p>
        </w:tc>
        <w:tc>
          <w:tcPr>
            <w:tcW w:w="1279" w:type="dxa"/>
            <w:vAlign w:val="center"/>
          </w:tcPr>
          <w:p>
            <w:pPr>
              <w:jc w:val="center"/>
              <w:rPr>
                <w:color w:val="000000"/>
              </w:rPr>
            </w:pPr>
          </w:p>
        </w:tc>
        <w:tc>
          <w:tcPr>
            <w:tcW w:w="1407" w:type="dxa"/>
            <w:vAlign w:val="center"/>
          </w:tcPr>
          <w:p>
            <w:pPr>
              <w:jc w:val="center"/>
              <w:rPr>
                <w:color w:val="000000"/>
              </w:rPr>
            </w:pPr>
          </w:p>
        </w:tc>
        <w:tc>
          <w:tcPr>
            <w:tcW w:w="1141" w:type="dxa"/>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584" w:hRule="atLeast"/>
          <w:jc w:val="center"/>
        </w:trPr>
        <w:tc>
          <w:tcPr>
            <w:tcW w:w="841" w:type="dxa"/>
            <w:vAlign w:val="center"/>
          </w:tcPr>
          <w:p>
            <w:pPr>
              <w:rPr>
                <w:color w:val="000000"/>
              </w:rPr>
            </w:pPr>
          </w:p>
        </w:tc>
        <w:tc>
          <w:tcPr>
            <w:tcW w:w="1943" w:type="dxa"/>
            <w:vAlign w:val="center"/>
          </w:tcPr>
          <w:p>
            <w:pPr>
              <w:rPr>
                <w:color w:val="000000"/>
              </w:rPr>
            </w:pPr>
            <w:r>
              <w:rPr>
                <w:rFonts w:hint="eastAsia"/>
                <w:color w:val="000000"/>
              </w:rPr>
              <w:t>工程排污费</w:t>
            </w:r>
          </w:p>
        </w:tc>
        <w:tc>
          <w:tcPr>
            <w:tcW w:w="1985" w:type="dxa"/>
            <w:vAlign w:val="center"/>
          </w:tcPr>
          <w:p>
            <w:pPr>
              <w:jc w:val="center"/>
              <w:rPr>
                <w:color w:val="000000"/>
              </w:rPr>
            </w:pPr>
            <w:r>
              <w:rPr>
                <w:rFonts w:hint="eastAsia"/>
                <w:color w:val="000000"/>
              </w:rPr>
              <w:t>按工程所在地环保部门收取标准，按实计入</w:t>
            </w:r>
          </w:p>
        </w:tc>
        <w:tc>
          <w:tcPr>
            <w:tcW w:w="1279" w:type="dxa"/>
            <w:vAlign w:val="center"/>
          </w:tcPr>
          <w:p>
            <w:pPr>
              <w:jc w:val="center"/>
              <w:rPr>
                <w:color w:val="000000"/>
              </w:rPr>
            </w:pPr>
          </w:p>
        </w:tc>
        <w:tc>
          <w:tcPr>
            <w:tcW w:w="1407" w:type="dxa"/>
            <w:vAlign w:val="center"/>
          </w:tcPr>
          <w:p>
            <w:pPr>
              <w:jc w:val="center"/>
              <w:rPr>
                <w:color w:val="000000"/>
              </w:rPr>
            </w:pPr>
          </w:p>
        </w:tc>
        <w:tc>
          <w:tcPr>
            <w:tcW w:w="1141" w:type="dxa"/>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574" w:hRule="atLeast"/>
          <w:jc w:val="center"/>
        </w:trPr>
        <w:tc>
          <w:tcPr>
            <w:tcW w:w="841" w:type="dxa"/>
            <w:vAlign w:val="center"/>
          </w:tcPr>
          <w:p>
            <w:pPr>
              <w:jc w:val="center"/>
              <w:rPr>
                <w:color w:val="000000"/>
              </w:rPr>
            </w:pPr>
          </w:p>
        </w:tc>
        <w:tc>
          <w:tcPr>
            <w:tcW w:w="1943" w:type="dxa"/>
            <w:vAlign w:val="center"/>
          </w:tcPr>
          <w:p>
            <w:pPr>
              <w:jc w:val="center"/>
              <w:rPr>
                <w:color w:val="000000"/>
              </w:rPr>
            </w:pPr>
          </w:p>
        </w:tc>
        <w:tc>
          <w:tcPr>
            <w:tcW w:w="1985" w:type="dxa"/>
            <w:vAlign w:val="center"/>
          </w:tcPr>
          <w:p>
            <w:pPr>
              <w:jc w:val="center"/>
              <w:rPr>
                <w:color w:val="000000"/>
              </w:rPr>
            </w:pPr>
          </w:p>
        </w:tc>
        <w:tc>
          <w:tcPr>
            <w:tcW w:w="1279" w:type="dxa"/>
            <w:vAlign w:val="center"/>
          </w:tcPr>
          <w:p>
            <w:pPr>
              <w:jc w:val="center"/>
              <w:rPr>
                <w:color w:val="000000"/>
              </w:rPr>
            </w:pPr>
          </w:p>
        </w:tc>
        <w:tc>
          <w:tcPr>
            <w:tcW w:w="1407" w:type="dxa"/>
            <w:vAlign w:val="center"/>
          </w:tcPr>
          <w:p>
            <w:pPr>
              <w:jc w:val="center"/>
              <w:rPr>
                <w:color w:val="000000"/>
              </w:rPr>
            </w:pPr>
          </w:p>
        </w:tc>
        <w:tc>
          <w:tcPr>
            <w:tcW w:w="1141" w:type="dxa"/>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574" w:hRule="atLeast"/>
          <w:jc w:val="center"/>
        </w:trPr>
        <w:tc>
          <w:tcPr>
            <w:tcW w:w="841" w:type="dxa"/>
            <w:vAlign w:val="center"/>
          </w:tcPr>
          <w:p>
            <w:pPr>
              <w:jc w:val="center"/>
              <w:rPr>
                <w:color w:val="000000"/>
              </w:rPr>
            </w:pPr>
          </w:p>
        </w:tc>
        <w:tc>
          <w:tcPr>
            <w:tcW w:w="1943" w:type="dxa"/>
            <w:vAlign w:val="center"/>
          </w:tcPr>
          <w:p>
            <w:pPr>
              <w:jc w:val="center"/>
              <w:rPr>
                <w:color w:val="000000"/>
              </w:rPr>
            </w:pPr>
          </w:p>
        </w:tc>
        <w:tc>
          <w:tcPr>
            <w:tcW w:w="1985" w:type="dxa"/>
            <w:vAlign w:val="center"/>
          </w:tcPr>
          <w:p>
            <w:pPr>
              <w:jc w:val="center"/>
              <w:rPr>
                <w:color w:val="000000"/>
              </w:rPr>
            </w:pPr>
          </w:p>
        </w:tc>
        <w:tc>
          <w:tcPr>
            <w:tcW w:w="1279" w:type="dxa"/>
            <w:vAlign w:val="center"/>
          </w:tcPr>
          <w:p>
            <w:pPr>
              <w:jc w:val="center"/>
              <w:rPr>
                <w:color w:val="000000"/>
              </w:rPr>
            </w:pPr>
          </w:p>
        </w:tc>
        <w:tc>
          <w:tcPr>
            <w:tcW w:w="1407" w:type="dxa"/>
            <w:vAlign w:val="center"/>
          </w:tcPr>
          <w:p>
            <w:pPr>
              <w:jc w:val="center"/>
              <w:rPr>
                <w:color w:val="000000"/>
              </w:rPr>
            </w:pPr>
          </w:p>
        </w:tc>
        <w:tc>
          <w:tcPr>
            <w:tcW w:w="1141" w:type="dxa"/>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574" w:hRule="atLeast"/>
          <w:jc w:val="center"/>
        </w:trPr>
        <w:tc>
          <w:tcPr>
            <w:tcW w:w="841" w:type="dxa"/>
            <w:vAlign w:val="center"/>
          </w:tcPr>
          <w:p>
            <w:pPr>
              <w:jc w:val="center"/>
              <w:rPr>
                <w:color w:val="000000"/>
              </w:rPr>
            </w:pPr>
          </w:p>
        </w:tc>
        <w:tc>
          <w:tcPr>
            <w:tcW w:w="1943" w:type="dxa"/>
            <w:vAlign w:val="center"/>
          </w:tcPr>
          <w:p>
            <w:pPr>
              <w:jc w:val="center"/>
              <w:rPr>
                <w:color w:val="000000"/>
              </w:rPr>
            </w:pPr>
          </w:p>
        </w:tc>
        <w:tc>
          <w:tcPr>
            <w:tcW w:w="1985" w:type="dxa"/>
            <w:vAlign w:val="center"/>
          </w:tcPr>
          <w:p>
            <w:pPr>
              <w:jc w:val="center"/>
              <w:rPr>
                <w:color w:val="000000"/>
              </w:rPr>
            </w:pPr>
          </w:p>
        </w:tc>
        <w:tc>
          <w:tcPr>
            <w:tcW w:w="1279" w:type="dxa"/>
            <w:vAlign w:val="center"/>
          </w:tcPr>
          <w:p>
            <w:pPr>
              <w:jc w:val="center"/>
              <w:rPr>
                <w:color w:val="000000"/>
              </w:rPr>
            </w:pPr>
          </w:p>
        </w:tc>
        <w:tc>
          <w:tcPr>
            <w:tcW w:w="1407" w:type="dxa"/>
            <w:vAlign w:val="center"/>
          </w:tcPr>
          <w:p>
            <w:pPr>
              <w:jc w:val="center"/>
              <w:rPr>
                <w:color w:val="000000"/>
              </w:rPr>
            </w:pPr>
          </w:p>
        </w:tc>
        <w:tc>
          <w:tcPr>
            <w:tcW w:w="1141" w:type="dxa"/>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574" w:hRule="atLeast"/>
          <w:jc w:val="center"/>
        </w:trPr>
        <w:tc>
          <w:tcPr>
            <w:tcW w:w="841" w:type="dxa"/>
            <w:vAlign w:val="center"/>
          </w:tcPr>
          <w:p>
            <w:pPr>
              <w:jc w:val="center"/>
              <w:rPr>
                <w:color w:val="000000"/>
              </w:rPr>
            </w:pPr>
          </w:p>
        </w:tc>
        <w:tc>
          <w:tcPr>
            <w:tcW w:w="1943" w:type="dxa"/>
            <w:vAlign w:val="center"/>
          </w:tcPr>
          <w:p>
            <w:pPr>
              <w:jc w:val="center"/>
              <w:rPr>
                <w:color w:val="000000"/>
              </w:rPr>
            </w:pPr>
          </w:p>
        </w:tc>
        <w:tc>
          <w:tcPr>
            <w:tcW w:w="1985" w:type="dxa"/>
            <w:vAlign w:val="center"/>
          </w:tcPr>
          <w:p>
            <w:pPr>
              <w:jc w:val="center"/>
              <w:rPr>
                <w:color w:val="000000"/>
              </w:rPr>
            </w:pPr>
          </w:p>
        </w:tc>
        <w:tc>
          <w:tcPr>
            <w:tcW w:w="1279" w:type="dxa"/>
            <w:vAlign w:val="center"/>
          </w:tcPr>
          <w:p>
            <w:pPr>
              <w:jc w:val="center"/>
              <w:rPr>
                <w:color w:val="000000"/>
              </w:rPr>
            </w:pPr>
          </w:p>
        </w:tc>
        <w:tc>
          <w:tcPr>
            <w:tcW w:w="1407" w:type="dxa"/>
            <w:vAlign w:val="center"/>
          </w:tcPr>
          <w:p>
            <w:pPr>
              <w:jc w:val="center"/>
              <w:rPr>
                <w:color w:val="000000"/>
              </w:rPr>
            </w:pPr>
          </w:p>
        </w:tc>
        <w:tc>
          <w:tcPr>
            <w:tcW w:w="1141" w:type="dxa"/>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590" w:hRule="atLeast"/>
          <w:jc w:val="center"/>
        </w:trPr>
        <w:tc>
          <w:tcPr>
            <w:tcW w:w="841" w:type="dxa"/>
            <w:vAlign w:val="center"/>
          </w:tcPr>
          <w:p>
            <w:pPr>
              <w:jc w:val="center"/>
              <w:rPr>
                <w:color w:val="000000"/>
              </w:rPr>
            </w:pPr>
          </w:p>
        </w:tc>
        <w:tc>
          <w:tcPr>
            <w:tcW w:w="1943" w:type="dxa"/>
            <w:vAlign w:val="center"/>
          </w:tcPr>
          <w:p>
            <w:pPr>
              <w:jc w:val="center"/>
              <w:rPr>
                <w:color w:val="000000"/>
              </w:rPr>
            </w:pPr>
          </w:p>
        </w:tc>
        <w:tc>
          <w:tcPr>
            <w:tcW w:w="1985" w:type="dxa"/>
            <w:vAlign w:val="center"/>
          </w:tcPr>
          <w:p>
            <w:pPr>
              <w:jc w:val="center"/>
              <w:rPr>
                <w:color w:val="000000"/>
              </w:rPr>
            </w:pPr>
          </w:p>
        </w:tc>
        <w:tc>
          <w:tcPr>
            <w:tcW w:w="1279" w:type="dxa"/>
            <w:vAlign w:val="center"/>
          </w:tcPr>
          <w:p>
            <w:pPr>
              <w:jc w:val="center"/>
              <w:rPr>
                <w:color w:val="000000"/>
              </w:rPr>
            </w:pPr>
          </w:p>
        </w:tc>
        <w:tc>
          <w:tcPr>
            <w:tcW w:w="1407" w:type="dxa"/>
            <w:vAlign w:val="center"/>
          </w:tcPr>
          <w:p>
            <w:pPr>
              <w:jc w:val="center"/>
              <w:rPr>
                <w:color w:val="000000"/>
              </w:rPr>
            </w:pPr>
          </w:p>
        </w:tc>
        <w:tc>
          <w:tcPr>
            <w:tcW w:w="1141" w:type="dxa"/>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57" w:hRule="atLeast"/>
          <w:jc w:val="center"/>
        </w:trPr>
        <w:tc>
          <w:tcPr>
            <w:tcW w:w="841" w:type="dxa"/>
            <w:vAlign w:val="center"/>
          </w:tcPr>
          <w:p>
            <w:pPr>
              <w:jc w:val="center"/>
              <w:rPr>
                <w:color w:val="000000"/>
              </w:rPr>
            </w:pPr>
            <w:r>
              <w:rPr>
                <w:rFonts w:hint="eastAsia"/>
                <w:color w:val="000000"/>
              </w:rPr>
              <w:t>二</w:t>
            </w:r>
          </w:p>
        </w:tc>
        <w:tc>
          <w:tcPr>
            <w:tcW w:w="1943" w:type="dxa"/>
            <w:vAlign w:val="center"/>
          </w:tcPr>
          <w:p>
            <w:pPr>
              <w:jc w:val="center"/>
              <w:rPr>
                <w:color w:val="000000"/>
              </w:rPr>
            </w:pPr>
            <w:r>
              <w:rPr>
                <w:rFonts w:hint="eastAsia"/>
                <w:color w:val="000000"/>
              </w:rPr>
              <w:t>税金</w:t>
            </w:r>
          </w:p>
        </w:tc>
        <w:tc>
          <w:tcPr>
            <w:tcW w:w="1985" w:type="dxa"/>
            <w:vAlign w:val="center"/>
          </w:tcPr>
          <w:p>
            <w:pPr>
              <w:jc w:val="center"/>
              <w:rPr>
                <w:color w:val="000000"/>
              </w:rPr>
            </w:pPr>
          </w:p>
        </w:tc>
        <w:tc>
          <w:tcPr>
            <w:tcW w:w="1279" w:type="dxa"/>
            <w:vAlign w:val="center"/>
          </w:tcPr>
          <w:p>
            <w:pPr>
              <w:jc w:val="center"/>
              <w:rPr>
                <w:color w:val="000000"/>
              </w:rPr>
            </w:pPr>
          </w:p>
        </w:tc>
        <w:tc>
          <w:tcPr>
            <w:tcW w:w="1407" w:type="dxa"/>
            <w:vAlign w:val="center"/>
          </w:tcPr>
          <w:p>
            <w:pPr>
              <w:jc w:val="center"/>
              <w:rPr>
                <w:color w:val="000000"/>
              </w:rPr>
            </w:pPr>
          </w:p>
        </w:tc>
        <w:tc>
          <w:tcPr>
            <w:tcW w:w="1141" w:type="dxa"/>
          </w:tcPr>
          <w:p>
            <w:pPr>
              <w:jc w:val="center"/>
              <w:rPr>
                <w:color w:val="000000"/>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68" w:hRule="atLeast"/>
          <w:jc w:val="center"/>
        </w:trPr>
        <w:tc>
          <w:tcPr>
            <w:tcW w:w="6048" w:type="dxa"/>
            <w:gridSpan w:val="4"/>
            <w:vAlign w:val="center"/>
          </w:tcPr>
          <w:p>
            <w:pPr>
              <w:jc w:val="center"/>
              <w:rPr>
                <w:color w:val="000000"/>
              </w:rPr>
            </w:pPr>
            <w:r>
              <w:rPr>
                <w:rFonts w:hint="eastAsia"/>
                <w:color w:val="000000"/>
              </w:rPr>
              <w:t>合计</w:t>
            </w:r>
          </w:p>
        </w:tc>
        <w:tc>
          <w:tcPr>
            <w:tcW w:w="1407" w:type="dxa"/>
            <w:vAlign w:val="center"/>
          </w:tcPr>
          <w:p>
            <w:pPr>
              <w:jc w:val="center"/>
              <w:rPr>
                <w:color w:val="000000"/>
              </w:rPr>
            </w:pPr>
          </w:p>
        </w:tc>
        <w:tc>
          <w:tcPr>
            <w:tcW w:w="1141" w:type="dxa"/>
          </w:tcPr>
          <w:p>
            <w:pPr>
              <w:jc w:val="center"/>
              <w:rPr>
                <w:color w:val="000000"/>
              </w:rPr>
            </w:pPr>
          </w:p>
        </w:tc>
      </w:tr>
    </w:tbl>
    <w:p>
      <w:pPr>
        <w:rPr>
          <w:rFonts w:ascii="宋体" w:hAnsi="宋体"/>
          <w:color w:val="000000"/>
        </w:rPr>
      </w:pPr>
      <w:r>
        <w:rPr>
          <w:rFonts w:hint="eastAsia" w:ascii="宋体" w:hAnsi="宋体"/>
          <w:color w:val="000000"/>
        </w:rPr>
        <w:t xml:space="preserve"> 编制人（造价员）：                               复核人（造价工程师）：</w:t>
      </w:r>
    </w:p>
    <w:p>
      <w:pPr>
        <w:jc w:val="left"/>
        <w:rPr>
          <w:rFonts w:ascii="黑体" w:eastAsia="黑体"/>
          <w:color w:val="000000"/>
          <w:sz w:val="24"/>
        </w:rPr>
      </w:pPr>
      <w:r>
        <w:rPr>
          <w:rFonts w:hint="eastAsia"/>
          <w:color w:val="000000"/>
        </w:rPr>
        <w:t>注：“项目名称”可根据海南省现行的预算定额设置。</w:t>
      </w:r>
      <w:r>
        <w:rPr>
          <w:color w:val="000000"/>
        </w:rPr>
        <w:br w:type="page"/>
      </w:r>
      <w:r>
        <w:rPr>
          <w:rFonts w:hint="eastAsia" w:ascii="黑体" w:eastAsia="黑体"/>
          <w:color w:val="000000"/>
          <w:sz w:val="24"/>
        </w:rPr>
        <w:t>4.22分部分项工程量清单评审表</w:t>
      </w:r>
    </w:p>
    <w:p>
      <w:pPr>
        <w:jc w:val="center"/>
        <w:rPr>
          <w:rFonts w:ascii="黑体" w:eastAsia="黑体"/>
          <w:b/>
          <w:color w:val="000000"/>
          <w:sz w:val="28"/>
          <w:szCs w:val="28"/>
        </w:rPr>
      </w:pPr>
      <w:r>
        <w:rPr>
          <w:rFonts w:hint="eastAsia" w:ascii="黑体" w:eastAsia="黑体"/>
          <w:b/>
          <w:color w:val="000000"/>
          <w:sz w:val="28"/>
          <w:szCs w:val="28"/>
        </w:rPr>
        <w:t>分部分项工程量清单评审表</w:t>
      </w:r>
    </w:p>
    <w:p>
      <w:pPr>
        <w:rPr>
          <w:color w:val="000000"/>
        </w:rPr>
      </w:pPr>
      <w:r>
        <w:rPr>
          <w:rFonts w:hint="eastAsia"/>
          <w:color w:val="000000"/>
        </w:rPr>
        <w:t>工程名称：第页共页</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1442"/>
        <w:gridCol w:w="1530"/>
        <w:gridCol w:w="1246"/>
        <w:gridCol w:w="1232"/>
        <w:gridCol w:w="1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6" w:type="dxa"/>
            <w:shd w:val="clear" w:color="auto" w:fill="auto"/>
            <w:vAlign w:val="center"/>
          </w:tcPr>
          <w:p>
            <w:pPr>
              <w:spacing w:before="240" w:after="240"/>
              <w:rPr>
                <w:rFonts w:ascii="宋体" w:hAnsi="宋体" w:cs="宋体"/>
                <w:color w:val="000000"/>
                <w:kern w:val="0"/>
                <w:szCs w:val="21"/>
              </w:rPr>
            </w:pPr>
            <w:r>
              <w:rPr>
                <w:rFonts w:hint="eastAsia" w:ascii="宋体" w:hAnsi="宋体" w:cs="宋体"/>
                <w:color w:val="000000"/>
                <w:kern w:val="0"/>
                <w:szCs w:val="21"/>
              </w:rPr>
              <w:t>序号</w:t>
            </w:r>
          </w:p>
        </w:tc>
        <w:tc>
          <w:tcPr>
            <w:tcW w:w="1442" w:type="dxa"/>
            <w:shd w:val="clear" w:color="auto" w:fill="auto"/>
            <w:vAlign w:val="center"/>
          </w:tcPr>
          <w:p>
            <w:pPr>
              <w:spacing w:before="240" w:after="240"/>
              <w:jc w:val="center"/>
              <w:rPr>
                <w:rFonts w:ascii="宋体" w:hAnsi="宋体" w:cs="宋体"/>
                <w:color w:val="000000"/>
                <w:kern w:val="0"/>
                <w:szCs w:val="21"/>
              </w:rPr>
            </w:pPr>
            <w:r>
              <w:rPr>
                <w:rFonts w:hint="eastAsia" w:ascii="宋体" w:hAnsi="宋体" w:cs="宋体"/>
                <w:color w:val="000000"/>
                <w:kern w:val="0"/>
                <w:szCs w:val="21"/>
              </w:rPr>
              <w:t>清单编码</w:t>
            </w:r>
          </w:p>
        </w:tc>
        <w:tc>
          <w:tcPr>
            <w:tcW w:w="1530" w:type="dxa"/>
            <w:shd w:val="clear" w:color="auto" w:fill="auto"/>
            <w:vAlign w:val="center"/>
          </w:tcPr>
          <w:p>
            <w:pPr>
              <w:spacing w:before="240" w:after="240"/>
              <w:jc w:val="center"/>
              <w:rPr>
                <w:rFonts w:ascii="宋体" w:hAnsi="宋体" w:cs="宋体"/>
                <w:color w:val="000000"/>
                <w:kern w:val="0"/>
                <w:szCs w:val="21"/>
              </w:rPr>
            </w:pPr>
            <w:r>
              <w:rPr>
                <w:rFonts w:hint="eastAsia" w:ascii="宋体" w:hAnsi="宋体" w:cs="宋体"/>
                <w:color w:val="000000"/>
                <w:kern w:val="0"/>
                <w:szCs w:val="21"/>
              </w:rPr>
              <w:t>清单名称</w:t>
            </w:r>
          </w:p>
        </w:tc>
        <w:tc>
          <w:tcPr>
            <w:tcW w:w="1246" w:type="dxa"/>
            <w:shd w:val="clear" w:color="auto" w:fill="auto"/>
            <w:vAlign w:val="center"/>
          </w:tcPr>
          <w:p>
            <w:pPr>
              <w:spacing w:before="240" w:after="240"/>
              <w:jc w:val="center"/>
              <w:rPr>
                <w:rFonts w:ascii="宋体" w:hAnsi="宋体" w:cs="宋体"/>
                <w:color w:val="000000"/>
                <w:kern w:val="0"/>
                <w:szCs w:val="21"/>
              </w:rPr>
            </w:pPr>
            <w:r>
              <w:rPr>
                <w:rFonts w:hint="eastAsia" w:ascii="宋体" w:hAnsi="宋体" w:cs="宋体"/>
                <w:color w:val="000000"/>
                <w:kern w:val="0"/>
                <w:szCs w:val="21"/>
              </w:rPr>
              <w:t>综合单价</w:t>
            </w:r>
          </w:p>
        </w:tc>
        <w:tc>
          <w:tcPr>
            <w:tcW w:w="1232" w:type="dxa"/>
            <w:shd w:val="clear" w:color="auto" w:fill="auto"/>
            <w:vAlign w:val="center"/>
          </w:tcPr>
          <w:p>
            <w:pPr>
              <w:spacing w:before="240" w:after="240"/>
              <w:jc w:val="center"/>
              <w:rPr>
                <w:rFonts w:ascii="宋体" w:hAnsi="宋体" w:cs="宋体"/>
                <w:color w:val="000000"/>
                <w:kern w:val="0"/>
                <w:szCs w:val="21"/>
              </w:rPr>
            </w:pPr>
            <w:r>
              <w:rPr>
                <w:rFonts w:hint="eastAsia" w:ascii="宋体" w:hAnsi="宋体" w:cs="宋体"/>
                <w:color w:val="000000"/>
                <w:kern w:val="0"/>
                <w:szCs w:val="21"/>
              </w:rPr>
              <w:t>单位工程</w:t>
            </w:r>
          </w:p>
        </w:tc>
        <w:tc>
          <w:tcPr>
            <w:tcW w:w="1647" w:type="dxa"/>
            <w:shd w:val="clear" w:color="auto" w:fill="auto"/>
            <w:vAlign w:val="center"/>
          </w:tcPr>
          <w:p>
            <w:pPr>
              <w:spacing w:before="240" w:after="240"/>
              <w:jc w:val="center"/>
              <w:rPr>
                <w:rFonts w:ascii="宋体" w:hAnsi="宋体" w:cs="宋体"/>
                <w:color w:val="000000"/>
                <w:kern w:val="0"/>
                <w:szCs w:val="21"/>
              </w:rPr>
            </w:pPr>
            <w:r>
              <w:rPr>
                <w:rFonts w:hint="eastAsia" w:ascii="宋体" w:hAnsi="宋体" w:cs="宋体"/>
                <w:color w:val="000000"/>
                <w:kern w:val="0"/>
                <w:szCs w:val="21"/>
              </w:rPr>
              <w:t>单项工程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6" w:type="dxa"/>
            <w:shd w:val="clear" w:color="auto" w:fill="auto"/>
            <w:vAlign w:val="center"/>
          </w:tcPr>
          <w:p>
            <w:pPr>
              <w:spacing w:before="240" w:after="240"/>
              <w:jc w:val="center"/>
              <w:rPr>
                <w:rFonts w:ascii="宋体" w:hAnsi="宋体" w:cs="宋体"/>
                <w:color w:val="000000"/>
                <w:kern w:val="0"/>
                <w:szCs w:val="21"/>
              </w:rPr>
            </w:pPr>
          </w:p>
        </w:tc>
        <w:tc>
          <w:tcPr>
            <w:tcW w:w="1442" w:type="dxa"/>
            <w:shd w:val="clear" w:color="auto" w:fill="auto"/>
            <w:vAlign w:val="center"/>
          </w:tcPr>
          <w:p>
            <w:pPr>
              <w:spacing w:before="240" w:after="240"/>
              <w:jc w:val="center"/>
              <w:rPr>
                <w:rFonts w:ascii="宋体" w:hAnsi="宋体" w:cs="宋体"/>
                <w:color w:val="000000"/>
                <w:kern w:val="0"/>
                <w:szCs w:val="21"/>
              </w:rPr>
            </w:pPr>
          </w:p>
        </w:tc>
        <w:tc>
          <w:tcPr>
            <w:tcW w:w="1530" w:type="dxa"/>
            <w:shd w:val="clear" w:color="auto" w:fill="auto"/>
            <w:vAlign w:val="center"/>
          </w:tcPr>
          <w:p>
            <w:pPr>
              <w:spacing w:before="240" w:after="240"/>
              <w:jc w:val="center"/>
              <w:rPr>
                <w:rFonts w:ascii="宋体" w:hAnsi="宋体" w:cs="宋体"/>
                <w:color w:val="000000"/>
                <w:kern w:val="0"/>
                <w:szCs w:val="21"/>
              </w:rPr>
            </w:pPr>
          </w:p>
        </w:tc>
        <w:tc>
          <w:tcPr>
            <w:tcW w:w="1246" w:type="dxa"/>
            <w:shd w:val="clear" w:color="auto" w:fill="auto"/>
            <w:vAlign w:val="center"/>
          </w:tcPr>
          <w:p>
            <w:pPr>
              <w:spacing w:before="240" w:after="240"/>
              <w:jc w:val="center"/>
              <w:rPr>
                <w:rFonts w:ascii="宋体" w:hAnsi="宋体" w:cs="宋体"/>
                <w:color w:val="000000"/>
                <w:kern w:val="0"/>
                <w:szCs w:val="21"/>
              </w:rPr>
            </w:pPr>
          </w:p>
        </w:tc>
        <w:tc>
          <w:tcPr>
            <w:tcW w:w="1232" w:type="dxa"/>
            <w:shd w:val="clear" w:color="auto" w:fill="auto"/>
            <w:vAlign w:val="center"/>
          </w:tcPr>
          <w:p>
            <w:pPr>
              <w:spacing w:before="240" w:after="240"/>
              <w:jc w:val="center"/>
              <w:rPr>
                <w:rFonts w:ascii="宋体" w:hAnsi="宋体" w:cs="宋体"/>
                <w:color w:val="000000"/>
                <w:kern w:val="0"/>
                <w:szCs w:val="21"/>
              </w:rPr>
            </w:pPr>
          </w:p>
        </w:tc>
        <w:tc>
          <w:tcPr>
            <w:tcW w:w="1647" w:type="dxa"/>
            <w:shd w:val="clear" w:color="auto" w:fill="auto"/>
            <w:vAlign w:val="center"/>
          </w:tcPr>
          <w:p>
            <w:pPr>
              <w:spacing w:before="240" w:after="240"/>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6" w:type="dxa"/>
            <w:shd w:val="clear" w:color="auto" w:fill="auto"/>
            <w:vAlign w:val="center"/>
          </w:tcPr>
          <w:p>
            <w:pPr>
              <w:spacing w:before="240" w:after="240"/>
              <w:jc w:val="center"/>
              <w:rPr>
                <w:rFonts w:ascii="宋体" w:hAnsi="宋体" w:cs="宋体"/>
                <w:color w:val="000000"/>
                <w:kern w:val="0"/>
                <w:szCs w:val="21"/>
              </w:rPr>
            </w:pPr>
          </w:p>
        </w:tc>
        <w:tc>
          <w:tcPr>
            <w:tcW w:w="1442" w:type="dxa"/>
            <w:shd w:val="clear" w:color="auto" w:fill="auto"/>
            <w:vAlign w:val="center"/>
          </w:tcPr>
          <w:p>
            <w:pPr>
              <w:spacing w:before="240" w:after="240"/>
              <w:jc w:val="center"/>
              <w:rPr>
                <w:rFonts w:ascii="宋体" w:hAnsi="宋体" w:cs="宋体"/>
                <w:color w:val="000000"/>
                <w:kern w:val="0"/>
                <w:szCs w:val="21"/>
              </w:rPr>
            </w:pPr>
          </w:p>
        </w:tc>
        <w:tc>
          <w:tcPr>
            <w:tcW w:w="1530" w:type="dxa"/>
            <w:shd w:val="clear" w:color="auto" w:fill="auto"/>
            <w:vAlign w:val="center"/>
          </w:tcPr>
          <w:p>
            <w:pPr>
              <w:spacing w:before="240" w:after="240"/>
              <w:jc w:val="center"/>
              <w:rPr>
                <w:rFonts w:ascii="宋体" w:hAnsi="宋体" w:cs="宋体"/>
                <w:color w:val="000000"/>
                <w:kern w:val="0"/>
                <w:szCs w:val="21"/>
              </w:rPr>
            </w:pPr>
          </w:p>
        </w:tc>
        <w:tc>
          <w:tcPr>
            <w:tcW w:w="1246" w:type="dxa"/>
            <w:shd w:val="clear" w:color="auto" w:fill="auto"/>
            <w:vAlign w:val="center"/>
          </w:tcPr>
          <w:p>
            <w:pPr>
              <w:spacing w:before="240" w:after="240"/>
              <w:jc w:val="center"/>
              <w:rPr>
                <w:rFonts w:ascii="宋体" w:hAnsi="宋体" w:cs="宋体"/>
                <w:color w:val="000000"/>
                <w:kern w:val="0"/>
                <w:szCs w:val="21"/>
              </w:rPr>
            </w:pPr>
          </w:p>
        </w:tc>
        <w:tc>
          <w:tcPr>
            <w:tcW w:w="1232" w:type="dxa"/>
            <w:shd w:val="clear" w:color="auto" w:fill="auto"/>
            <w:vAlign w:val="center"/>
          </w:tcPr>
          <w:p>
            <w:pPr>
              <w:spacing w:before="240" w:after="240"/>
              <w:jc w:val="center"/>
              <w:rPr>
                <w:rFonts w:ascii="宋体" w:hAnsi="宋体" w:cs="宋体"/>
                <w:color w:val="000000"/>
                <w:kern w:val="0"/>
                <w:szCs w:val="21"/>
              </w:rPr>
            </w:pPr>
          </w:p>
        </w:tc>
        <w:tc>
          <w:tcPr>
            <w:tcW w:w="1647" w:type="dxa"/>
            <w:shd w:val="clear" w:color="auto" w:fill="auto"/>
            <w:vAlign w:val="center"/>
          </w:tcPr>
          <w:p>
            <w:pPr>
              <w:spacing w:before="240" w:after="240"/>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6" w:type="dxa"/>
            <w:shd w:val="clear" w:color="auto" w:fill="auto"/>
            <w:vAlign w:val="center"/>
          </w:tcPr>
          <w:p>
            <w:pPr>
              <w:spacing w:before="240" w:after="240"/>
              <w:jc w:val="center"/>
              <w:rPr>
                <w:rFonts w:ascii="宋体" w:hAnsi="宋体" w:cs="宋体"/>
                <w:color w:val="000000"/>
                <w:kern w:val="0"/>
                <w:szCs w:val="21"/>
              </w:rPr>
            </w:pPr>
          </w:p>
        </w:tc>
        <w:tc>
          <w:tcPr>
            <w:tcW w:w="1442" w:type="dxa"/>
            <w:shd w:val="clear" w:color="auto" w:fill="auto"/>
            <w:vAlign w:val="center"/>
          </w:tcPr>
          <w:p>
            <w:pPr>
              <w:spacing w:before="240" w:after="240"/>
              <w:jc w:val="center"/>
              <w:rPr>
                <w:rFonts w:ascii="宋体" w:hAnsi="宋体" w:cs="宋体"/>
                <w:color w:val="000000"/>
                <w:kern w:val="0"/>
                <w:szCs w:val="21"/>
              </w:rPr>
            </w:pPr>
          </w:p>
        </w:tc>
        <w:tc>
          <w:tcPr>
            <w:tcW w:w="1530" w:type="dxa"/>
            <w:shd w:val="clear" w:color="auto" w:fill="auto"/>
            <w:vAlign w:val="center"/>
          </w:tcPr>
          <w:p>
            <w:pPr>
              <w:spacing w:before="240" w:after="240"/>
              <w:jc w:val="center"/>
              <w:rPr>
                <w:rFonts w:ascii="宋体" w:hAnsi="宋体" w:cs="宋体"/>
                <w:color w:val="000000"/>
                <w:kern w:val="0"/>
                <w:szCs w:val="21"/>
              </w:rPr>
            </w:pPr>
          </w:p>
        </w:tc>
        <w:tc>
          <w:tcPr>
            <w:tcW w:w="1246" w:type="dxa"/>
            <w:shd w:val="clear" w:color="auto" w:fill="auto"/>
            <w:vAlign w:val="center"/>
          </w:tcPr>
          <w:p>
            <w:pPr>
              <w:spacing w:before="240" w:after="240"/>
              <w:jc w:val="center"/>
              <w:rPr>
                <w:rFonts w:ascii="宋体" w:hAnsi="宋体" w:cs="宋体"/>
                <w:color w:val="000000"/>
                <w:kern w:val="0"/>
                <w:szCs w:val="21"/>
              </w:rPr>
            </w:pPr>
          </w:p>
        </w:tc>
        <w:tc>
          <w:tcPr>
            <w:tcW w:w="1232" w:type="dxa"/>
            <w:shd w:val="clear" w:color="auto" w:fill="auto"/>
            <w:vAlign w:val="center"/>
          </w:tcPr>
          <w:p>
            <w:pPr>
              <w:spacing w:before="240" w:after="240"/>
              <w:jc w:val="center"/>
              <w:rPr>
                <w:rFonts w:ascii="宋体" w:hAnsi="宋体" w:cs="宋体"/>
                <w:color w:val="000000"/>
                <w:kern w:val="0"/>
                <w:szCs w:val="21"/>
              </w:rPr>
            </w:pPr>
          </w:p>
        </w:tc>
        <w:tc>
          <w:tcPr>
            <w:tcW w:w="1647" w:type="dxa"/>
            <w:shd w:val="clear" w:color="auto" w:fill="auto"/>
            <w:vAlign w:val="center"/>
          </w:tcPr>
          <w:p>
            <w:pPr>
              <w:spacing w:before="240" w:after="240"/>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6" w:type="dxa"/>
            <w:shd w:val="clear" w:color="auto" w:fill="auto"/>
            <w:vAlign w:val="center"/>
          </w:tcPr>
          <w:p>
            <w:pPr>
              <w:spacing w:before="240" w:after="240"/>
              <w:jc w:val="center"/>
              <w:rPr>
                <w:rFonts w:ascii="宋体" w:hAnsi="宋体" w:cs="宋体"/>
                <w:color w:val="000000"/>
                <w:kern w:val="0"/>
                <w:szCs w:val="21"/>
              </w:rPr>
            </w:pPr>
          </w:p>
        </w:tc>
        <w:tc>
          <w:tcPr>
            <w:tcW w:w="1442" w:type="dxa"/>
            <w:shd w:val="clear" w:color="auto" w:fill="auto"/>
            <w:vAlign w:val="center"/>
          </w:tcPr>
          <w:p>
            <w:pPr>
              <w:spacing w:before="240" w:after="240"/>
              <w:jc w:val="center"/>
              <w:rPr>
                <w:rFonts w:ascii="宋体" w:hAnsi="宋体" w:cs="宋体"/>
                <w:color w:val="000000"/>
                <w:kern w:val="0"/>
                <w:szCs w:val="21"/>
              </w:rPr>
            </w:pPr>
          </w:p>
        </w:tc>
        <w:tc>
          <w:tcPr>
            <w:tcW w:w="1530" w:type="dxa"/>
            <w:shd w:val="clear" w:color="auto" w:fill="auto"/>
            <w:vAlign w:val="center"/>
          </w:tcPr>
          <w:p>
            <w:pPr>
              <w:spacing w:before="240" w:after="240"/>
              <w:jc w:val="center"/>
              <w:rPr>
                <w:rFonts w:ascii="宋体" w:hAnsi="宋体" w:cs="宋体"/>
                <w:color w:val="000000"/>
                <w:kern w:val="0"/>
                <w:szCs w:val="21"/>
              </w:rPr>
            </w:pPr>
          </w:p>
        </w:tc>
        <w:tc>
          <w:tcPr>
            <w:tcW w:w="1246" w:type="dxa"/>
            <w:shd w:val="clear" w:color="auto" w:fill="auto"/>
            <w:vAlign w:val="center"/>
          </w:tcPr>
          <w:p>
            <w:pPr>
              <w:spacing w:before="240" w:after="240"/>
              <w:jc w:val="center"/>
              <w:rPr>
                <w:rFonts w:ascii="宋体" w:hAnsi="宋体" w:cs="宋体"/>
                <w:color w:val="000000"/>
                <w:kern w:val="0"/>
                <w:szCs w:val="21"/>
              </w:rPr>
            </w:pPr>
          </w:p>
        </w:tc>
        <w:tc>
          <w:tcPr>
            <w:tcW w:w="1232" w:type="dxa"/>
            <w:shd w:val="clear" w:color="auto" w:fill="auto"/>
            <w:vAlign w:val="center"/>
          </w:tcPr>
          <w:p>
            <w:pPr>
              <w:spacing w:before="240" w:after="240"/>
              <w:jc w:val="center"/>
              <w:rPr>
                <w:rFonts w:ascii="宋体" w:hAnsi="宋体" w:cs="宋体"/>
                <w:color w:val="000000"/>
                <w:kern w:val="0"/>
                <w:szCs w:val="21"/>
              </w:rPr>
            </w:pPr>
          </w:p>
        </w:tc>
        <w:tc>
          <w:tcPr>
            <w:tcW w:w="1647" w:type="dxa"/>
            <w:shd w:val="clear" w:color="auto" w:fill="auto"/>
            <w:vAlign w:val="center"/>
          </w:tcPr>
          <w:p>
            <w:pPr>
              <w:spacing w:before="240" w:after="240"/>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6" w:type="dxa"/>
            <w:shd w:val="clear" w:color="auto" w:fill="auto"/>
            <w:vAlign w:val="center"/>
          </w:tcPr>
          <w:p>
            <w:pPr>
              <w:spacing w:before="240" w:after="240"/>
              <w:jc w:val="center"/>
              <w:rPr>
                <w:rFonts w:ascii="宋体" w:hAnsi="宋体" w:cs="宋体"/>
                <w:color w:val="000000"/>
                <w:kern w:val="0"/>
                <w:szCs w:val="21"/>
              </w:rPr>
            </w:pPr>
          </w:p>
        </w:tc>
        <w:tc>
          <w:tcPr>
            <w:tcW w:w="1442" w:type="dxa"/>
            <w:shd w:val="clear" w:color="auto" w:fill="auto"/>
            <w:vAlign w:val="center"/>
          </w:tcPr>
          <w:p>
            <w:pPr>
              <w:spacing w:before="240" w:after="240"/>
              <w:jc w:val="center"/>
              <w:rPr>
                <w:rFonts w:ascii="宋体" w:hAnsi="宋体" w:cs="宋体"/>
                <w:color w:val="000000"/>
                <w:kern w:val="0"/>
                <w:szCs w:val="21"/>
              </w:rPr>
            </w:pPr>
          </w:p>
        </w:tc>
        <w:tc>
          <w:tcPr>
            <w:tcW w:w="1530" w:type="dxa"/>
            <w:shd w:val="clear" w:color="auto" w:fill="auto"/>
            <w:vAlign w:val="center"/>
          </w:tcPr>
          <w:p>
            <w:pPr>
              <w:spacing w:before="240" w:after="240"/>
              <w:jc w:val="center"/>
              <w:rPr>
                <w:rFonts w:ascii="宋体" w:hAnsi="宋体" w:cs="宋体"/>
                <w:color w:val="000000"/>
                <w:kern w:val="0"/>
                <w:szCs w:val="21"/>
              </w:rPr>
            </w:pPr>
          </w:p>
        </w:tc>
        <w:tc>
          <w:tcPr>
            <w:tcW w:w="1246" w:type="dxa"/>
            <w:shd w:val="clear" w:color="auto" w:fill="auto"/>
            <w:vAlign w:val="center"/>
          </w:tcPr>
          <w:p>
            <w:pPr>
              <w:spacing w:before="240" w:after="240"/>
              <w:jc w:val="center"/>
              <w:rPr>
                <w:rFonts w:ascii="宋体" w:hAnsi="宋体" w:cs="宋体"/>
                <w:color w:val="000000"/>
                <w:kern w:val="0"/>
                <w:szCs w:val="21"/>
              </w:rPr>
            </w:pPr>
          </w:p>
        </w:tc>
        <w:tc>
          <w:tcPr>
            <w:tcW w:w="1232" w:type="dxa"/>
            <w:shd w:val="clear" w:color="auto" w:fill="auto"/>
            <w:vAlign w:val="center"/>
          </w:tcPr>
          <w:p>
            <w:pPr>
              <w:spacing w:before="240" w:after="240"/>
              <w:jc w:val="center"/>
              <w:rPr>
                <w:rFonts w:ascii="宋体" w:hAnsi="宋体" w:cs="宋体"/>
                <w:color w:val="000000"/>
                <w:kern w:val="0"/>
                <w:szCs w:val="21"/>
              </w:rPr>
            </w:pPr>
          </w:p>
        </w:tc>
        <w:tc>
          <w:tcPr>
            <w:tcW w:w="1647" w:type="dxa"/>
            <w:shd w:val="clear" w:color="auto" w:fill="auto"/>
            <w:vAlign w:val="center"/>
          </w:tcPr>
          <w:p>
            <w:pPr>
              <w:spacing w:before="240" w:after="240"/>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6" w:type="dxa"/>
            <w:shd w:val="clear" w:color="auto" w:fill="auto"/>
            <w:vAlign w:val="center"/>
          </w:tcPr>
          <w:p>
            <w:pPr>
              <w:spacing w:before="240" w:after="240"/>
              <w:jc w:val="center"/>
              <w:rPr>
                <w:rFonts w:ascii="宋体" w:hAnsi="宋体" w:cs="宋体"/>
                <w:color w:val="000000"/>
                <w:kern w:val="0"/>
                <w:szCs w:val="21"/>
              </w:rPr>
            </w:pPr>
          </w:p>
        </w:tc>
        <w:tc>
          <w:tcPr>
            <w:tcW w:w="1442" w:type="dxa"/>
            <w:shd w:val="clear" w:color="auto" w:fill="auto"/>
            <w:vAlign w:val="center"/>
          </w:tcPr>
          <w:p>
            <w:pPr>
              <w:spacing w:before="240" w:after="240"/>
              <w:jc w:val="center"/>
              <w:rPr>
                <w:rFonts w:ascii="宋体" w:hAnsi="宋体" w:cs="宋体"/>
                <w:color w:val="000000"/>
                <w:kern w:val="0"/>
                <w:szCs w:val="21"/>
              </w:rPr>
            </w:pPr>
          </w:p>
        </w:tc>
        <w:tc>
          <w:tcPr>
            <w:tcW w:w="1530" w:type="dxa"/>
            <w:shd w:val="clear" w:color="auto" w:fill="auto"/>
            <w:vAlign w:val="center"/>
          </w:tcPr>
          <w:p>
            <w:pPr>
              <w:spacing w:before="240" w:after="240"/>
              <w:jc w:val="center"/>
              <w:rPr>
                <w:rFonts w:ascii="宋体" w:hAnsi="宋体" w:cs="宋体"/>
                <w:color w:val="000000"/>
                <w:kern w:val="0"/>
                <w:szCs w:val="21"/>
              </w:rPr>
            </w:pPr>
          </w:p>
        </w:tc>
        <w:tc>
          <w:tcPr>
            <w:tcW w:w="1246" w:type="dxa"/>
            <w:shd w:val="clear" w:color="auto" w:fill="auto"/>
            <w:vAlign w:val="center"/>
          </w:tcPr>
          <w:p>
            <w:pPr>
              <w:spacing w:before="240" w:after="240"/>
              <w:jc w:val="center"/>
              <w:rPr>
                <w:rFonts w:ascii="宋体" w:hAnsi="宋体" w:cs="宋体"/>
                <w:color w:val="000000"/>
                <w:kern w:val="0"/>
                <w:szCs w:val="21"/>
              </w:rPr>
            </w:pPr>
          </w:p>
        </w:tc>
        <w:tc>
          <w:tcPr>
            <w:tcW w:w="1232" w:type="dxa"/>
            <w:shd w:val="clear" w:color="auto" w:fill="auto"/>
            <w:vAlign w:val="center"/>
          </w:tcPr>
          <w:p>
            <w:pPr>
              <w:spacing w:before="240" w:after="240"/>
              <w:jc w:val="center"/>
              <w:rPr>
                <w:rFonts w:ascii="宋体" w:hAnsi="宋体" w:cs="宋体"/>
                <w:color w:val="000000"/>
                <w:kern w:val="0"/>
                <w:szCs w:val="21"/>
              </w:rPr>
            </w:pPr>
          </w:p>
        </w:tc>
        <w:tc>
          <w:tcPr>
            <w:tcW w:w="1647" w:type="dxa"/>
            <w:shd w:val="clear" w:color="auto" w:fill="auto"/>
            <w:vAlign w:val="center"/>
          </w:tcPr>
          <w:p>
            <w:pPr>
              <w:spacing w:before="240" w:after="240"/>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6" w:type="dxa"/>
            <w:shd w:val="clear" w:color="auto" w:fill="auto"/>
            <w:vAlign w:val="center"/>
          </w:tcPr>
          <w:p>
            <w:pPr>
              <w:spacing w:before="240" w:after="240"/>
              <w:jc w:val="center"/>
              <w:rPr>
                <w:rFonts w:ascii="宋体" w:hAnsi="宋体" w:cs="宋体"/>
                <w:color w:val="000000"/>
                <w:kern w:val="0"/>
                <w:szCs w:val="21"/>
              </w:rPr>
            </w:pPr>
          </w:p>
        </w:tc>
        <w:tc>
          <w:tcPr>
            <w:tcW w:w="1442" w:type="dxa"/>
            <w:shd w:val="clear" w:color="auto" w:fill="auto"/>
            <w:vAlign w:val="center"/>
          </w:tcPr>
          <w:p>
            <w:pPr>
              <w:spacing w:before="240" w:after="240"/>
              <w:jc w:val="center"/>
              <w:rPr>
                <w:rFonts w:ascii="宋体" w:hAnsi="宋体" w:cs="宋体"/>
                <w:color w:val="000000"/>
                <w:kern w:val="0"/>
                <w:szCs w:val="21"/>
              </w:rPr>
            </w:pPr>
          </w:p>
        </w:tc>
        <w:tc>
          <w:tcPr>
            <w:tcW w:w="1530" w:type="dxa"/>
            <w:shd w:val="clear" w:color="auto" w:fill="auto"/>
            <w:vAlign w:val="center"/>
          </w:tcPr>
          <w:p>
            <w:pPr>
              <w:spacing w:before="240" w:after="240"/>
              <w:jc w:val="center"/>
              <w:rPr>
                <w:rFonts w:ascii="宋体" w:hAnsi="宋体" w:cs="宋体"/>
                <w:color w:val="000000"/>
                <w:kern w:val="0"/>
                <w:szCs w:val="21"/>
              </w:rPr>
            </w:pPr>
          </w:p>
        </w:tc>
        <w:tc>
          <w:tcPr>
            <w:tcW w:w="1246" w:type="dxa"/>
            <w:shd w:val="clear" w:color="auto" w:fill="auto"/>
            <w:vAlign w:val="center"/>
          </w:tcPr>
          <w:p>
            <w:pPr>
              <w:spacing w:before="240" w:after="240"/>
              <w:jc w:val="center"/>
              <w:rPr>
                <w:rFonts w:ascii="宋体" w:hAnsi="宋体" w:cs="宋体"/>
                <w:color w:val="000000"/>
                <w:kern w:val="0"/>
                <w:szCs w:val="21"/>
              </w:rPr>
            </w:pPr>
          </w:p>
        </w:tc>
        <w:tc>
          <w:tcPr>
            <w:tcW w:w="1232" w:type="dxa"/>
            <w:shd w:val="clear" w:color="auto" w:fill="auto"/>
            <w:vAlign w:val="center"/>
          </w:tcPr>
          <w:p>
            <w:pPr>
              <w:spacing w:before="240" w:after="240"/>
              <w:jc w:val="center"/>
              <w:rPr>
                <w:rFonts w:ascii="宋体" w:hAnsi="宋体" w:cs="宋体"/>
                <w:color w:val="000000"/>
                <w:kern w:val="0"/>
                <w:szCs w:val="21"/>
              </w:rPr>
            </w:pPr>
          </w:p>
        </w:tc>
        <w:tc>
          <w:tcPr>
            <w:tcW w:w="1647" w:type="dxa"/>
            <w:shd w:val="clear" w:color="auto" w:fill="auto"/>
            <w:vAlign w:val="center"/>
          </w:tcPr>
          <w:p>
            <w:pPr>
              <w:spacing w:before="240" w:after="240"/>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6" w:type="dxa"/>
            <w:shd w:val="clear" w:color="auto" w:fill="auto"/>
            <w:vAlign w:val="center"/>
          </w:tcPr>
          <w:p>
            <w:pPr>
              <w:spacing w:before="240" w:after="240"/>
              <w:jc w:val="center"/>
              <w:rPr>
                <w:rFonts w:ascii="宋体" w:hAnsi="宋体" w:cs="宋体"/>
                <w:color w:val="000000"/>
                <w:kern w:val="0"/>
                <w:szCs w:val="21"/>
              </w:rPr>
            </w:pPr>
          </w:p>
        </w:tc>
        <w:tc>
          <w:tcPr>
            <w:tcW w:w="1442" w:type="dxa"/>
            <w:shd w:val="clear" w:color="auto" w:fill="auto"/>
            <w:vAlign w:val="center"/>
          </w:tcPr>
          <w:p>
            <w:pPr>
              <w:spacing w:before="240" w:after="240"/>
              <w:jc w:val="center"/>
              <w:rPr>
                <w:rFonts w:ascii="宋体" w:hAnsi="宋体" w:cs="宋体"/>
                <w:color w:val="000000"/>
                <w:kern w:val="0"/>
                <w:szCs w:val="21"/>
              </w:rPr>
            </w:pPr>
          </w:p>
        </w:tc>
        <w:tc>
          <w:tcPr>
            <w:tcW w:w="1530" w:type="dxa"/>
            <w:shd w:val="clear" w:color="auto" w:fill="auto"/>
            <w:vAlign w:val="center"/>
          </w:tcPr>
          <w:p>
            <w:pPr>
              <w:spacing w:before="240" w:after="240"/>
              <w:jc w:val="center"/>
              <w:rPr>
                <w:rFonts w:ascii="宋体" w:hAnsi="宋体" w:cs="宋体"/>
                <w:color w:val="000000"/>
                <w:kern w:val="0"/>
                <w:szCs w:val="21"/>
              </w:rPr>
            </w:pPr>
          </w:p>
        </w:tc>
        <w:tc>
          <w:tcPr>
            <w:tcW w:w="1246" w:type="dxa"/>
            <w:shd w:val="clear" w:color="auto" w:fill="auto"/>
            <w:vAlign w:val="center"/>
          </w:tcPr>
          <w:p>
            <w:pPr>
              <w:spacing w:before="240" w:after="240"/>
              <w:jc w:val="center"/>
              <w:rPr>
                <w:rFonts w:ascii="宋体" w:hAnsi="宋体" w:cs="宋体"/>
                <w:color w:val="000000"/>
                <w:kern w:val="0"/>
                <w:szCs w:val="21"/>
              </w:rPr>
            </w:pPr>
          </w:p>
        </w:tc>
        <w:tc>
          <w:tcPr>
            <w:tcW w:w="1232" w:type="dxa"/>
            <w:shd w:val="clear" w:color="auto" w:fill="auto"/>
            <w:vAlign w:val="center"/>
          </w:tcPr>
          <w:p>
            <w:pPr>
              <w:spacing w:before="240" w:after="240"/>
              <w:jc w:val="center"/>
              <w:rPr>
                <w:rFonts w:ascii="宋体" w:hAnsi="宋体" w:cs="宋体"/>
                <w:color w:val="000000"/>
                <w:kern w:val="0"/>
                <w:szCs w:val="21"/>
              </w:rPr>
            </w:pPr>
          </w:p>
        </w:tc>
        <w:tc>
          <w:tcPr>
            <w:tcW w:w="1647" w:type="dxa"/>
            <w:shd w:val="clear" w:color="auto" w:fill="auto"/>
            <w:vAlign w:val="center"/>
          </w:tcPr>
          <w:p>
            <w:pPr>
              <w:spacing w:before="240" w:after="240"/>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6" w:type="dxa"/>
            <w:shd w:val="clear" w:color="auto" w:fill="auto"/>
            <w:vAlign w:val="center"/>
          </w:tcPr>
          <w:p>
            <w:pPr>
              <w:spacing w:before="240" w:after="240"/>
              <w:jc w:val="center"/>
              <w:rPr>
                <w:rFonts w:ascii="宋体" w:hAnsi="宋体" w:cs="宋体"/>
                <w:color w:val="000000"/>
                <w:kern w:val="0"/>
                <w:szCs w:val="21"/>
              </w:rPr>
            </w:pPr>
          </w:p>
        </w:tc>
        <w:tc>
          <w:tcPr>
            <w:tcW w:w="1442" w:type="dxa"/>
            <w:shd w:val="clear" w:color="auto" w:fill="auto"/>
            <w:vAlign w:val="center"/>
          </w:tcPr>
          <w:p>
            <w:pPr>
              <w:spacing w:before="240" w:after="240"/>
              <w:jc w:val="center"/>
              <w:rPr>
                <w:rFonts w:ascii="宋体" w:hAnsi="宋体" w:cs="宋体"/>
                <w:color w:val="000000"/>
                <w:kern w:val="0"/>
                <w:szCs w:val="21"/>
              </w:rPr>
            </w:pPr>
          </w:p>
        </w:tc>
        <w:tc>
          <w:tcPr>
            <w:tcW w:w="1530" w:type="dxa"/>
            <w:shd w:val="clear" w:color="auto" w:fill="auto"/>
            <w:vAlign w:val="center"/>
          </w:tcPr>
          <w:p>
            <w:pPr>
              <w:spacing w:before="240" w:after="240"/>
              <w:jc w:val="center"/>
              <w:rPr>
                <w:rFonts w:ascii="宋体" w:hAnsi="宋体" w:cs="宋体"/>
                <w:color w:val="000000"/>
                <w:kern w:val="0"/>
                <w:szCs w:val="21"/>
              </w:rPr>
            </w:pPr>
          </w:p>
        </w:tc>
        <w:tc>
          <w:tcPr>
            <w:tcW w:w="1246" w:type="dxa"/>
            <w:shd w:val="clear" w:color="auto" w:fill="auto"/>
            <w:vAlign w:val="center"/>
          </w:tcPr>
          <w:p>
            <w:pPr>
              <w:spacing w:before="240" w:after="240"/>
              <w:jc w:val="center"/>
              <w:rPr>
                <w:rFonts w:ascii="宋体" w:hAnsi="宋体" w:cs="宋体"/>
                <w:color w:val="000000"/>
                <w:kern w:val="0"/>
                <w:szCs w:val="21"/>
              </w:rPr>
            </w:pPr>
          </w:p>
        </w:tc>
        <w:tc>
          <w:tcPr>
            <w:tcW w:w="1232" w:type="dxa"/>
            <w:shd w:val="clear" w:color="auto" w:fill="auto"/>
            <w:vAlign w:val="center"/>
          </w:tcPr>
          <w:p>
            <w:pPr>
              <w:spacing w:before="240" w:after="240"/>
              <w:jc w:val="center"/>
              <w:rPr>
                <w:rFonts w:ascii="宋体" w:hAnsi="宋体" w:cs="宋体"/>
                <w:color w:val="000000"/>
                <w:kern w:val="0"/>
                <w:szCs w:val="21"/>
              </w:rPr>
            </w:pPr>
          </w:p>
        </w:tc>
        <w:tc>
          <w:tcPr>
            <w:tcW w:w="1647" w:type="dxa"/>
            <w:shd w:val="clear" w:color="auto" w:fill="auto"/>
            <w:vAlign w:val="center"/>
          </w:tcPr>
          <w:p>
            <w:pPr>
              <w:spacing w:before="240" w:after="240"/>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6" w:type="dxa"/>
            <w:shd w:val="clear" w:color="auto" w:fill="auto"/>
            <w:vAlign w:val="center"/>
          </w:tcPr>
          <w:p>
            <w:pPr>
              <w:spacing w:before="240" w:after="240"/>
              <w:jc w:val="center"/>
              <w:rPr>
                <w:rFonts w:ascii="宋体" w:hAnsi="宋体" w:cs="宋体"/>
                <w:color w:val="000000"/>
                <w:kern w:val="0"/>
                <w:szCs w:val="21"/>
              </w:rPr>
            </w:pPr>
          </w:p>
        </w:tc>
        <w:tc>
          <w:tcPr>
            <w:tcW w:w="1442" w:type="dxa"/>
            <w:shd w:val="clear" w:color="auto" w:fill="auto"/>
            <w:vAlign w:val="center"/>
          </w:tcPr>
          <w:p>
            <w:pPr>
              <w:spacing w:before="240" w:after="240"/>
              <w:jc w:val="center"/>
              <w:rPr>
                <w:rFonts w:ascii="宋体" w:hAnsi="宋体" w:cs="宋体"/>
                <w:color w:val="000000"/>
                <w:kern w:val="0"/>
                <w:szCs w:val="21"/>
              </w:rPr>
            </w:pPr>
          </w:p>
        </w:tc>
        <w:tc>
          <w:tcPr>
            <w:tcW w:w="1530" w:type="dxa"/>
            <w:shd w:val="clear" w:color="auto" w:fill="auto"/>
            <w:vAlign w:val="center"/>
          </w:tcPr>
          <w:p>
            <w:pPr>
              <w:spacing w:before="240" w:after="240"/>
              <w:jc w:val="center"/>
              <w:rPr>
                <w:rFonts w:ascii="宋体" w:hAnsi="宋体" w:cs="宋体"/>
                <w:color w:val="000000"/>
                <w:kern w:val="0"/>
                <w:szCs w:val="21"/>
              </w:rPr>
            </w:pPr>
          </w:p>
        </w:tc>
        <w:tc>
          <w:tcPr>
            <w:tcW w:w="1246" w:type="dxa"/>
            <w:shd w:val="clear" w:color="auto" w:fill="auto"/>
            <w:vAlign w:val="center"/>
          </w:tcPr>
          <w:p>
            <w:pPr>
              <w:spacing w:before="240" w:after="240"/>
              <w:jc w:val="center"/>
              <w:rPr>
                <w:rFonts w:ascii="宋体" w:hAnsi="宋体" w:cs="宋体"/>
                <w:color w:val="000000"/>
                <w:kern w:val="0"/>
                <w:szCs w:val="21"/>
              </w:rPr>
            </w:pPr>
          </w:p>
        </w:tc>
        <w:tc>
          <w:tcPr>
            <w:tcW w:w="1232" w:type="dxa"/>
            <w:shd w:val="clear" w:color="auto" w:fill="auto"/>
            <w:vAlign w:val="center"/>
          </w:tcPr>
          <w:p>
            <w:pPr>
              <w:spacing w:before="240" w:after="240"/>
              <w:jc w:val="center"/>
              <w:rPr>
                <w:rFonts w:ascii="宋体" w:hAnsi="宋体" w:cs="宋体"/>
                <w:color w:val="000000"/>
                <w:kern w:val="0"/>
                <w:szCs w:val="21"/>
              </w:rPr>
            </w:pPr>
          </w:p>
        </w:tc>
        <w:tc>
          <w:tcPr>
            <w:tcW w:w="1647" w:type="dxa"/>
            <w:shd w:val="clear" w:color="auto" w:fill="auto"/>
            <w:vAlign w:val="center"/>
          </w:tcPr>
          <w:p>
            <w:pPr>
              <w:spacing w:before="240" w:after="240"/>
              <w:jc w:val="center"/>
              <w:rPr>
                <w:rFonts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6" w:type="dxa"/>
            <w:shd w:val="clear" w:color="auto" w:fill="auto"/>
            <w:vAlign w:val="center"/>
          </w:tcPr>
          <w:p>
            <w:pPr>
              <w:spacing w:before="240" w:after="240"/>
              <w:jc w:val="center"/>
              <w:rPr>
                <w:rFonts w:ascii="宋体" w:hAnsi="宋体" w:cs="宋体"/>
                <w:color w:val="000000"/>
                <w:kern w:val="0"/>
                <w:szCs w:val="21"/>
              </w:rPr>
            </w:pPr>
          </w:p>
        </w:tc>
        <w:tc>
          <w:tcPr>
            <w:tcW w:w="1442" w:type="dxa"/>
            <w:shd w:val="clear" w:color="auto" w:fill="auto"/>
            <w:vAlign w:val="center"/>
          </w:tcPr>
          <w:p>
            <w:pPr>
              <w:spacing w:before="240" w:after="240"/>
              <w:jc w:val="center"/>
              <w:rPr>
                <w:rFonts w:ascii="宋体" w:hAnsi="宋体" w:cs="宋体"/>
                <w:color w:val="000000"/>
                <w:kern w:val="0"/>
                <w:szCs w:val="21"/>
              </w:rPr>
            </w:pPr>
          </w:p>
        </w:tc>
        <w:tc>
          <w:tcPr>
            <w:tcW w:w="1530" w:type="dxa"/>
            <w:shd w:val="clear" w:color="auto" w:fill="auto"/>
            <w:vAlign w:val="center"/>
          </w:tcPr>
          <w:p>
            <w:pPr>
              <w:spacing w:before="240" w:after="240"/>
              <w:jc w:val="center"/>
              <w:rPr>
                <w:rFonts w:ascii="宋体" w:hAnsi="宋体" w:cs="宋体"/>
                <w:color w:val="000000"/>
                <w:kern w:val="0"/>
                <w:szCs w:val="21"/>
              </w:rPr>
            </w:pPr>
          </w:p>
        </w:tc>
        <w:tc>
          <w:tcPr>
            <w:tcW w:w="1246" w:type="dxa"/>
            <w:shd w:val="clear" w:color="auto" w:fill="auto"/>
            <w:vAlign w:val="center"/>
          </w:tcPr>
          <w:p>
            <w:pPr>
              <w:spacing w:before="240" w:after="240"/>
              <w:jc w:val="center"/>
              <w:rPr>
                <w:rFonts w:ascii="宋体" w:hAnsi="宋体" w:cs="宋体"/>
                <w:color w:val="000000"/>
                <w:kern w:val="0"/>
                <w:szCs w:val="21"/>
              </w:rPr>
            </w:pPr>
          </w:p>
        </w:tc>
        <w:tc>
          <w:tcPr>
            <w:tcW w:w="1232" w:type="dxa"/>
            <w:shd w:val="clear" w:color="auto" w:fill="auto"/>
            <w:vAlign w:val="center"/>
          </w:tcPr>
          <w:p>
            <w:pPr>
              <w:spacing w:before="240" w:after="240"/>
              <w:jc w:val="center"/>
              <w:rPr>
                <w:rFonts w:ascii="宋体" w:hAnsi="宋体" w:cs="宋体"/>
                <w:color w:val="000000"/>
                <w:kern w:val="0"/>
                <w:szCs w:val="21"/>
              </w:rPr>
            </w:pPr>
          </w:p>
        </w:tc>
        <w:tc>
          <w:tcPr>
            <w:tcW w:w="1647" w:type="dxa"/>
            <w:shd w:val="clear" w:color="auto" w:fill="auto"/>
            <w:vAlign w:val="center"/>
          </w:tcPr>
          <w:p>
            <w:pPr>
              <w:spacing w:before="240" w:after="240"/>
              <w:jc w:val="center"/>
              <w:rPr>
                <w:rFonts w:ascii="宋体" w:hAnsi="宋体" w:cs="宋体"/>
                <w:color w:val="000000"/>
                <w:kern w:val="0"/>
                <w:szCs w:val="21"/>
              </w:rPr>
            </w:pPr>
          </w:p>
        </w:tc>
      </w:tr>
    </w:tbl>
    <w:p>
      <w:pPr>
        <w:rPr>
          <w:rFonts w:ascii="黑体" w:eastAsia="黑体"/>
          <w:color w:val="000000"/>
          <w:sz w:val="24"/>
        </w:rPr>
      </w:pPr>
      <w:r>
        <w:rPr>
          <w:rFonts w:hint="eastAsia"/>
          <w:color w:val="000000"/>
        </w:rPr>
        <w:t>注：招标人使用《海南省房屋建主和市政工程量清单招标投标评标办法》时，并公布抽取的工程量清单项目，投标人需填报此表格，否则不需填报。</w:t>
      </w:r>
      <w:r>
        <w:rPr>
          <w:color w:val="000000"/>
        </w:rPr>
        <w:br w:type="page"/>
      </w:r>
      <w:r>
        <w:rPr>
          <w:rFonts w:hint="eastAsia" w:ascii="黑体" w:eastAsia="黑体"/>
          <w:color w:val="000000"/>
          <w:sz w:val="24"/>
        </w:rPr>
        <w:t>4.23评审主材表</w:t>
      </w:r>
    </w:p>
    <w:p>
      <w:pPr>
        <w:jc w:val="center"/>
        <w:rPr>
          <w:rFonts w:ascii="黑体" w:eastAsia="黑体"/>
          <w:b/>
          <w:color w:val="000000"/>
          <w:sz w:val="28"/>
          <w:szCs w:val="28"/>
        </w:rPr>
      </w:pPr>
      <w:r>
        <w:rPr>
          <w:rFonts w:hint="eastAsia" w:ascii="黑体" w:eastAsia="黑体"/>
          <w:b/>
          <w:color w:val="000000"/>
          <w:sz w:val="28"/>
          <w:szCs w:val="28"/>
        </w:rPr>
        <w:t>主材评审表</w:t>
      </w:r>
    </w:p>
    <w:p>
      <w:pPr>
        <w:rPr>
          <w:color w:val="000000"/>
        </w:rPr>
      </w:pPr>
      <w:r>
        <w:rPr>
          <w:rFonts w:hint="eastAsia"/>
          <w:color w:val="000000"/>
        </w:rPr>
        <w:t>工程名称：第页共页</w:t>
      </w:r>
    </w:p>
    <w:tbl>
      <w:tblPr>
        <w:tblStyle w:val="36"/>
        <w:tblW w:w="7532" w:type="dxa"/>
        <w:jc w:val="center"/>
        <w:tblLayout w:type="autofit"/>
        <w:tblCellMar>
          <w:top w:w="0" w:type="dxa"/>
          <w:left w:w="108" w:type="dxa"/>
          <w:bottom w:w="0" w:type="dxa"/>
          <w:right w:w="108" w:type="dxa"/>
        </w:tblCellMar>
      </w:tblPr>
      <w:tblGrid>
        <w:gridCol w:w="1154"/>
        <w:gridCol w:w="1701"/>
        <w:gridCol w:w="1842"/>
        <w:gridCol w:w="1621"/>
        <w:gridCol w:w="1214"/>
      </w:tblGrid>
      <w:tr>
        <w:trPr>
          <w:trHeight w:val="270" w:hRule="atLeast"/>
          <w:jc w:val="center"/>
        </w:trPr>
        <w:tc>
          <w:tcPr>
            <w:tcW w:w="115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left"/>
              <w:rPr>
                <w:rFonts w:ascii="宋体" w:hAnsi="宋体" w:cs="宋体"/>
                <w:color w:val="000000"/>
                <w:kern w:val="0"/>
                <w:szCs w:val="21"/>
              </w:rPr>
            </w:pPr>
            <w:r>
              <w:rPr>
                <w:rFonts w:hint="eastAsia" w:ascii="宋体" w:hAnsi="宋体" w:cs="宋体"/>
                <w:color w:val="000000"/>
                <w:kern w:val="0"/>
                <w:szCs w:val="21"/>
              </w:rPr>
              <w:t>序号</w:t>
            </w:r>
          </w:p>
        </w:tc>
        <w:tc>
          <w:tcPr>
            <w:tcW w:w="1701" w:type="dxa"/>
            <w:tcBorders>
              <w:top w:val="single" w:color="auto" w:sz="4" w:space="0"/>
              <w:left w:val="nil"/>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r>
              <w:rPr>
                <w:rFonts w:hint="eastAsia" w:ascii="宋体" w:hAnsi="宋体" w:cs="宋体"/>
                <w:color w:val="000000"/>
                <w:kern w:val="0"/>
                <w:szCs w:val="21"/>
              </w:rPr>
              <w:t>主材编号</w:t>
            </w:r>
          </w:p>
        </w:tc>
        <w:tc>
          <w:tcPr>
            <w:tcW w:w="1842" w:type="dxa"/>
            <w:tcBorders>
              <w:top w:val="single" w:color="auto" w:sz="4" w:space="0"/>
              <w:left w:val="nil"/>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r>
              <w:rPr>
                <w:rFonts w:hint="eastAsia" w:ascii="宋体" w:hAnsi="宋体" w:cs="宋体"/>
                <w:color w:val="000000"/>
                <w:kern w:val="0"/>
                <w:szCs w:val="21"/>
              </w:rPr>
              <w:t>主材名称</w:t>
            </w:r>
          </w:p>
        </w:tc>
        <w:tc>
          <w:tcPr>
            <w:tcW w:w="1621" w:type="dxa"/>
            <w:tcBorders>
              <w:top w:val="single" w:color="auto" w:sz="4" w:space="0"/>
              <w:left w:val="nil"/>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r>
              <w:rPr>
                <w:rFonts w:hint="eastAsia" w:ascii="宋体" w:hAnsi="宋体" w:cs="宋体"/>
                <w:color w:val="000000"/>
                <w:kern w:val="0"/>
                <w:szCs w:val="21"/>
              </w:rPr>
              <w:t>单位</w:t>
            </w:r>
          </w:p>
        </w:tc>
        <w:tc>
          <w:tcPr>
            <w:tcW w:w="1214" w:type="dxa"/>
            <w:tcBorders>
              <w:top w:val="single" w:color="auto" w:sz="4" w:space="0"/>
              <w:left w:val="nil"/>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r>
              <w:rPr>
                <w:rFonts w:hint="eastAsia" w:ascii="宋体" w:hAnsi="宋体" w:cs="宋体"/>
                <w:color w:val="000000"/>
                <w:kern w:val="0"/>
                <w:szCs w:val="21"/>
              </w:rPr>
              <w:t>单价</w:t>
            </w:r>
          </w:p>
        </w:tc>
      </w:tr>
      <w:tr>
        <w:trPr>
          <w:trHeight w:val="270" w:hRule="atLeast"/>
          <w:jc w:val="center"/>
        </w:trPr>
        <w:tc>
          <w:tcPr>
            <w:tcW w:w="115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left"/>
              <w:rPr>
                <w:rFonts w:ascii="宋体" w:hAnsi="宋体" w:cs="宋体"/>
                <w:color w:val="000000"/>
                <w:kern w:val="0"/>
                <w:szCs w:val="21"/>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c>
          <w:tcPr>
            <w:tcW w:w="1842"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c>
          <w:tcPr>
            <w:tcW w:w="1621"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c>
          <w:tcPr>
            <w:tcW w:w="121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r>
      <w:tr>
        <w:trPr>
          <w:trHeight w:val="270" w:hRule="atLeast"/>
          <w:jc w:val="center"/>
        </w:trPr>
        <w:tc>
          <w:tcPr>
            <w:tcW w:w="115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left"/>
              <w:rPr>
                <w:rFonts w:ascii="宋体" w:hAnsi="宋体" w:cs="宋体"/>
                <w:color w:val="000000"/>
                <w:kern w:val="0"/>
                <w:szCs w:val="21"/>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c>
          <w:tcPr>
            <w:tcW w:w="1842"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c>
          <w:tcPr>
            <w:tcW w:w="1621"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c>
          <w:tcPr>
            <w:tcW w:w="121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r>
      <w:tr>
        <w:trPr>
          <w:trHeight w:val="270" w:hRule="atLeast"/>
          <w:jc w:val="center"/>
        </w:trPr>
        <w:tc>
          <w:tcPr>
            <w:tcW w:w="115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left"/>
              <w:rPr>
                <w:rFonts w:ascii="宋体" w:hAnsi="宋体" w:cs="宋体"/>
                <w:color w:val="000000"/>
                <w:kern w:val="0"/>
                <w:szCs w:val="21"/>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c>
          <w:tcPr>
            <w:tcW w:w="1842"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c>
          <w:tcPr>
            <w:tcW w:w="1621"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c>
          <w:tcPr>
            <w:tcW w:w="121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r>
      <w:tr>
        <w:trPr>
          <w:trHeight w:val="270" w:hRule="atLeast"/>
          <w:jc w:val="center"/>
        </w:trPr>
        <w:tc>
          <w:tcPr>
            <w:tcW w:w="115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left"/>
              <w:rPr>
                <w:rFonts w:ascii="宋体" w:hAnsi="宋体" w:cs="宋体"/>
                <w:color w:val="000000"/>
                <w:kern w:val="0"/>
                <w:szCs w:val="21"/>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c>
          <w:tcPr>
            <w:tcW w:w="1842"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c>
          <w:tcPr>
            <w:tcW w:w="1621"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c>
          <w:tcPr>
            <w:tcW w:w="121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r>
      <w:tr>
        <w:trPr>
          <w:trHeight w:val="270" w:hRule="atLeast"/>
          <w:jc w:val="center"/>
        </w:trPr>
        <w:tc>
          <w:tcPr>
            <w:tcW w:w="115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left"/>
              <w:rPr>
                <w:rFonts w:ascii="宋体" w:hAnsi="宋体" w:cs="宋体"/>
                <w:color w:val="000000"/>
                <w:kern w:val="0"/>
                <w:szCs w:val="21"/>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c>
          <w:tcPr>
            <w:tcW w:w="1842"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c>
          <w:tcPr>
            <w:tcW w:w="1621"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c>
          <w:tcPr>
            <w:tcW w:w="121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r>
      <w:tr>
        <w:trPr>
          <w:trHeight w:val="270" w:hRule="atLeast"/>
          <w:jc w:val="center"/>
        </w:trPr>
        <w:tc>
          <w:tcPr>
            <w:tcW w:w="115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left"/>
              <w:rPr>
                <w:rFonts w:ascii="宋体" w:hAnsi="宋体" w:cs="宋体"/>
                <w:color w:val="000000"/>
                <w:kern w:val="0"/>
                <w:szCs w:val="21"/>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c>
          <w:tcPr>
            <w:tcW w:w="1842"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c>
          <w:tcPr>
            <w:tcW w:w="1621"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c>
          <w:tcPr>
            <w:tcW w:w="121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r>
      <w:tr>
        <w:trPr>
          <w:trHeight w:val="270" w:hRule="atLeast"/>
          <w:jc w:val="center"/>
        </w:trPr>
        <w:tc>
          <w:tcPr>
            <w:tcW w:w="115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left"/>
              <w:rPr>
                <w:rFonts w:ascii="宋体" w:hAnsi="宋体" w:cs="宋体"/>
                <w:color w:val="000000"/>
                <w:kern w:val="0"/>
                <w:szCs w:val="21"/>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c>
          <w:tcPr>
            <w:tcW w:w="1842"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c>
          <w:tcPr>
            <w:tcW w:w="1621"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c>
          <w:tcPr>
            <w:tcW w:w="121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r>
      <w:tr>
        <w:trPr>
          <w:trHeight w:val="270" w:hRule="atLeast"/>
          <w:jc w:val="center"/>
        </w:trPr>
        <w:tc>
          <w:tcPr>
            <w:tcW w:w="115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left"/>
              <w:rPr>
                <w:rFonts w:ascii="宋体" w:hAnsi="宋体" w:cs="宋体"/>
                <w:color w:val="000000"/>
                <w:kern w:val="0"/>
                <w:szCs w:val="21"/>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c>
          <w:tcPr>
            <w:tcW w:w="1842"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c>
          <w:tcPr>
            <w:tcW w:w="1621"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c>
          <w:tcPr>
            <w:tcW w:w="121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r>
      <w:tr>
        <w:trPr>
          <w:trHeight w:val="270" w:hRule="atLeast"/>
          <w:jc w:val="center"/>
        </w:trPr>
        <w:tc>
          <w:tcPr>
            <w:tcW w:w="115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left"/>
              <w:rPr>
                <w:rFonts w:ascii="宋体" w:hAnsi="宋体" w:cs="宋体"/>
                <w:color w:val="000000"/>
                <w:kern w:val="0"/>
                <w:szCs w:val="21"/>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c>
          <w:tcPr>
            <w:tcW w:w="1842"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c>
          <w:tcPr>
            <w:tcW w:w="1621"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c>
          <w:tcPr>
            <w:tcW w:w="121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r>
      <w:tr>
        <w:trPr>
          <w:trHeight w:val="270" w:hRule="atLeast"/>
          <w:jc w:val="center"/>
        </w:trPr>
        <w:tc>
          <w:tcPr>
            <w:tcW w:w="115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left"/>
              <w:rPr>
                <w:rFonts w:ascii="宋体" w:hAnsi="宋体" w:cs="宋体"/>
                <w:color w:val="000000"/>
                <w:kern w:val="0"/>
                <w:szCs w:val="21"/>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c>
          <w:tcPr>
            <w:tcW w:w="1842"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c>
          <w:tcPr>
            <w:tcW w:w="1621"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c>
          <w:tcPr>
            <w:tcW w:w="121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r>
      <w:tr>
        <w:trPr>
          <w:trHeight w:val="270" w:hRule="atLeast"/>
          <w:jc w:val="center"/>
        </w:trPr>
        <w:tc>
          <w:tcPr>
            <w:tcW w:w="115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left"/>
              <w:rPr>
                <w:rFonts w:ascii="宋体" w:hAnsi="宋体" w:cs="宋体"/>
                <w:color w:val="000000"/>
                <w:kern w:val="0"/>
                <w:szCs w:val="21"/>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c>
          <w:tcPr>
            <w:tcW w:w="1842"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c>
          <w:tcPr>
            <w:tcW w:w="1621"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c>
          <w:tcPr>
            <w:tcW w:w="121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r>
      <w:tr>
        <w:trPr>
          <w:trHeight w:val="270" w:hRule="atLeast"/>
          <w:jc w:val="center"/>
        </w:trPr>
        <w:tc>
          <w:tcPr>
            <w:tcW w:w="115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left"/>
              <w:rPr>
                <w:rFonts w:ascii="宋体" w:hAnsi="宋体" w:cs="宋体"/>
                <w:color w:val="000000"/>
                <w:kern w:val="0"/>
                <w:szCs w:val="21"/>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c>
          <w:tcPr>
            <w:tcW w:w="1842"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c>
          <w:tcPr>
            <w:tcW w:w="1621"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c>
          <w:tcPr>
            <w:tcW w:w="121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r>
      <w:tr>
        <w:trPr>
          <w:trHeight w:val="270" w:hRule="atLeast"/>
          <w:jc w:val="center"/>
        </w:trPr>
        <w:tc>
          <w:tcPr>
            <w:tcW w:w="115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left"/>
              <w:rPr>
                <w:rFonts w:ascii="宋体" w:hAnsi="宋体" w:cs="宋体"/>
                <w:color w:val="000000"/>
                <w:kern w:val="0"/>
                <w:szCs w:val="21"/>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c>
          <w:tcPr>
            <w:tcW w:w="1842"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c>
          <w:tcPr>
            <w:tcW w:w="1621"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c>
          <w:tcPr>
            <w:tcW w:w="121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r>
      <w:tr>
        <w:trPr>
          <w:trHeight w:val="270" w:hRule="atLeast"/>
          <w:jc w:val="center"/>
        </w:trPr>
        <w:tc>
          <w:tcPr>
            <w:tcW w:w="115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left"/>
              <w:rPr>
                <w:rFonts w:ascii="宋体" w:hAnsi="宋体" w:cs="宋体"/>
                <w:color w:val="000000"/>
                <w:kern w:val="0"/>
                <w:szCs w:val="21"/>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c>
          <w:tcPr>
            <w:tcW w:w="1842"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c>
          <w:tcPr>
            <w:tcW w:w="1621"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c>
          <w:tcPr>
            <w:tcW w:w="121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r>
      <w:tr>
        <w:trPr>
          <w:trHeight w:val="270" w:hRule="atLeast"/>
          <w:jc w:val="center"/>
        </w:trPr>
        <w:tc>
          <w:tcPr>
            <w:tcW w:w="115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left"/>
              <w:rPr>
                <w:rFonts w:ascii="宋体" w:hAnsi="宋体" w:cs="宋体"/>
                <w:color w:val="000000"/>
                <w:kern w:val="0"/>
                <w:szCs w:val="21"/>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c>
          <w:tcPr>
            <w:tcW w:w="1842"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c>
          <w:tcPr>
            <w:tcW w:w="1621"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c>
          <w:tcPr>
            <w:tcW w:w="121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r>
      <w:tr>
        <w:trPr>
          <w:trHeight w:val="270" w:hRule="atLeast"/>
          <w:jc w:val="center"/>
        </w:trPr>
        <w:tc>
          <w:tcPr>
            <w:tcW w:w="115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left"/>
              <w:rPr>
                <w:rFonts w:ascii="宋体" w:hAnsi="宋体" w:cs="宋体"/>
                <w:color w:val="000000"/>
                <w:kern w:val="0"/>
                <w:szCs w:val="21"/>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c>
          <w:tcPr>
            <w:tcW w:w="1842"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c>
          <w:tcPr>
            <w:tcW w:w="1621"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c>
          <w:tcPr>
            <w:tcW w:w="1214"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480" w:lineRule="auto"/>
              <w:jc w:val="center"/>
              <w:rPr>
                <w:rFonts w:ascii="宋体" w:hAnsi="宋体" w:cs="宋体"/>
                <w:color w:val="000000"/>
                <w:kern w:val="0"/>
                <w:szCs w:val="21"/>
              </w:rPr>
            </w:pPr>
          </w:p>
        </w:tc>
      </w:tr>
    </w:tbl>
    <w:p>
      <w:pPr>
        <w:ind w:firstLine="105" w:firstLineChars="50"/>
        <w:rPr>
          <w:color w:val="000000"/>
        </w:rPr>
      </w:pPr>
      <w:r>
        <w:rPr>
          <w:rFonts w:hint="eastAsia"/>
          <w:color w:val="000000"/>
        </w:rPr>
        <w:t>注：招标人使用《海南省房屋建主和市政工程量清单招标投标评标办法》时，投标人需填报此表格，否则不需填报。</w:t>
      </w:r>
    </w:p>
    <w:p>
      <w:pPr>
        <w:rPr>
          <w:rFonts w:ascii="黑体" w:hAnsi="宋体" w:eastAsia="黑体"/>
          <w:color w:val="000000"/>
          <w:sz w:val="28"/>
          <w:szCs w:val="28"/>
        </w:rPr>
      </w:pPr>
      <w:r>
        <w:rPr>
          <w:rFonts w:ascii="黑体" w:hAnsi="宋体" w:eastAsia="黑体"/>
          <w:color w:val="000000"/>
          <w:sz w:val="28"/>
          <w:szCs w:val="28"/>
        </w:rPr>
        <w:br w:type="page"/>
      </w:r>
    </w:p>
    <w:p>
      <w:pPr>
        <w:jc w:val="center"/>
        <w:outlineLvl w:val="0"/>
        <w:rPr>
          <w:rFonts w:ascii="黑体" w:eastAsia="黑体"/>
          <w:color w:val="000000"/>
          <w:sz w:val="32"/>
          <w:szCs w:val="32"/>
        </w:rPr>
      </w:pPr>
      <w:bookmarkStart w:id="1297" w:name="_Toc114222848"/>
      <w:bookmarkStart w:id="1298" w:name="_Toc295812278"/>
      <w:permStart w:id="519" w:edGrp="everyone"/>
      <w:permEnd w:id="519"/>
      <w:r>
        <w:rPr>
          <w:rFonts w:hint="eastAsia" w:ascii="黑体" w:eastAsia="黑体"/>
          <w:color w:val="000000"/>
          <w:sz w:val="32"/>
          <w:szCs w:val="32"/>
        </w:rPr>
        <w:t>第二卷</w:t>
      </w:r>
      <w:bookmarkEnd w:id="1297"/>
      <w:bookmarkEnd w:id="1298"/>
    </w:p>
    <w:p>
      <w:pPr>
        <w:jc w:val="center"/>
        <w:rPr>
          <w:rFonts w:ascii="黑体" w:eastAsia="黑体"/>
          <w:color w:val="000000"/>
          <w:sz w:val="48"/>
          <w:szCs w:val="48"/>
        </w:rPr>
      </w:pPr>
      <w:r>
        <w:rPr>
          <w:rFonts w:ascii="黑体" w:eastAsia="黑体"/>
          <w:color w:val="000000"/>
          <w:sz w:val="48"/>
          <w:szCs w:val="48"/>
        </w:rPr>
        <w:br w:type="page"/>
      </w:r>
    </w:p>
    <w:p>
      <w:pPr>
        <w:jc w:val="center"/>
        <w:rPr>
          <w:rFonts w:ascii="黑体" w:eastAsia="黑体"/>
          <w:color w:val="000000"/>
          <w:sz w:val="48"/>
          <w:szCs w:val="48"/>
        </w:rPr>
      </w:pPr>
    </w:p>
    <w:p>
      <w:pPr>
        <w:jc w:val="center"/>
        <w:rPr>
          <w:rFonts w:ascii="黑体" w:eastAsia="黑体"/>
          <w:color w:val="000000"/>
          <w:sz w:val="48"/>
          <w:szCs w:val="48"/>
        </w:rPr>
      </w:pPr>
    </w:p>
    <w:p>
      <w:pPr>
        <w:spacing w:line="420" w:lineRule="exact"/>
        <w:rPr>
          <w:rFonts w:ascii="楷体_GB2312" w:eastAsia="楷体_GB2312"/>
          <w:color w:val="000000"/>
        </w:rPr>
      </w:pPr>
    </w:p>
    <w:p>
      <w:pPr>
        <w:jc w:val="center"/>
        <w:outlineLvl w:val="1"/>
        <w:rPr>
          <w:rFonts w:ascii="黑体" w:eastAsia="黑体"/>
          <w:color w:val="000000"/>
          <w:sz w:val="32"/>
          <w:szCs w:val="32"/>
        </w:rPr>
      </w:pPr>
      <w:bookmarkStart w:id="1299" w:name="_Toc114222849"/>
      <w:bookmarkStart w:id="1300" w:name="_Toc295812279"/>
      <w:r>
        <w:rPr>
          <w:rFonts w:hint="eastAsia" w:ascii="黑体" w:eastAsia="黑体"/>
          <w:color w:val="000000"/>
          <w:sz w:val="32"/>
          <w:szCs w:val="32"/>
        </w:rPr>
        <w:t>第六章  图  纸</w:t>
      </w:r>
      <w:bookmarkEnd w:id="1299"/>
      <w:bookmarkEnd w:id="1300"/>
    </w:p>
    <w:p>
      <w:pPr>
        <w:spacing w:after="240" w:afterLines="100"/>
        <w:outlineLvl w:val="2"/>
        <w:rPr>
          <w:rFonts w:ascii="黑体" w:hAnsi="宋体" w:eastAsia="黑体"/>
          <w:color w:val="000000"/>
          <w:sz w:val="24"/>
        </w:rPr>
      </w:pPr>
      <w:r>
        <w:rPr>
          <w:rFonts w:ascii="黑体" w:eastAsia="黑体"/>
          <w:color w:val="000000"/>
          <w:sz w:val="44"/>
          <w:szCs w:val="44"/>
        </w:rPr>
        <w:br w:type="page"/>
      </w:r>
      <w:bookmarkStart w:id="1301" w:name="_Toc295812280"/>
      <w:bookmarkStart w:id="1302" w:name="_Toc114222850"/>
      <w:r>
        <w:rPr>
          <w:rFonts w:hint="eastAsia" w:ascii="黑体" w:hAnsi="宋体" w:eastAsia="黑体"/>
          <w:color w:val="000000"/>
          <w:sz w:val="24"/>
        </w:rPr>
        <w:t>1．图纸目录</w:t>
      </w:r>
      <w:bookmarkEnd w:id="1301"/>
      <w:bookmarkEnd w:id="1302"/>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7"/>
        <w:gridCol w:w="1397"/>
        <w:gridCol w:w="1396"/>
        <w:gridCol w:w="1396"/>
        <w:gridCol w:w="1397"/>
        <w:gridCol w:w="1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397" w:type="dxa"/>
            <w:vAlign w:val="center"/>
          </w:tcPr>
          <w:p>
            <w:pPr>
              <w:jc w:val="center"/>
              <w:rPr>
                <w:rFonts w:ascii="宋体" w:hAnsi="宋体"/>
                <w:color w:val="000000"/>
                <w:szCs w:val="21"/>
              </w:rPr>
            </w:pPr>
            <w:r>
              <w:rPr>
                <w:rFonts w:hint="eastAsia" w:ascii="宋体" w:hAnsi="宋体"/>
                <w:color w:val="000000"/>
                <w:szCs w:val="21"/>
              </w:rPr>
              <w:t>序号</w:t>
            </w:r>
          </w:p>
        </w:tc>
        <w:tc>
          <w:tcPr>
            <w:tcW w:w="1397" w:type="dxa"/>
            <w:vAlign w:val="center"/>
          </w:tcPr>
          <w:p>
            <w:pPr>
              <w:jc w:val="center"/>
              <w:rPr>
                <w:rFonts w:ascii="宋体" w:hAnsi="宋体"/>
                <w:color w:val="000000"/>
                <w:szCs w:val="21"/>
              </w:rPr>
            </w:pPr>
            <w:r>
              <w:rPr>
                <w:rFonts w:hint="eastAsia" w:ascii="宋体" w:hAnsi="宋体"/>
                <w:color w:val="000000"/>
                <w:szCs w:val="21"/>
              </w:rPr>
              <w:t>图名</w:t>
            </w:r>
          </w:p>
        </w:tc>
        <w:tc>
          <w:tcPr>
            <w:tcW w:w="1396" w:type="dxa"/>
            <w:vAlign w:val="center"/>
          </w:tcPr>
          <w:p>
            <w:pPr>
              <w:jc w:val="center"/>
              <w:rPr>
                <w:rFonts w:ascii="宋体" w:hAnsi="宋体"/>
                <w:color w:val="000000"/>
                <w:szCs w:val="21"/>
              </w:rPr>
            </w:pPr>
            <w:r>
              <w:rPr>
                <w:rFonts w:hint="eastAsia" w:ascii="宋体" w:hAnsi="宋体"/>
                <w:color w:val="000000"/>
                <w:szCs w:val="21"/>
              </w:rPr>
              <w:t>图号</w:t>
            </w:r>
          </w:p>
        </w:tc>
        <w:tc>
          <w:tcPr>
            <w:tcW w:w="1396" w:type="dxa"/>
            <w:vAlign w:val="center"/>
          </w:tcPr>
          <w:p>
            <w:pPr>
              <w:jc w:val="center"/>
              <w:rPr>
                <w:rFonts w:ascii="宋体" w:hAnsi="宋体"/>
                <w:color w:val="000000"/>
                <w:szCs w:val="21"/>
              </w:rPr>
            </w:pPr>
            <w:r>
              <w:rPr>
                <w:rFonts w:hint="eastAsia" w:ascii="宋体" w:hAnsi="宋体"/>
                <w:color w:val="000000"/>
                <w:szCs w:val="21"/>
              </w:rPr>
              <w:t>版本</w:t>
            </w:r>
          </w:p>
        </w:tc>
        <w:tc>
          <w:tcPr>
            <w:tcW w:w="1397" w:type="dxa"/>
            <w:vAlign w:val="center"/>
          </w:tcPr>
          <w:p>
            <w:pPr>
              <w:jc w:val="center"/>
              <w:rPr>
                <w:rFonts w:ascii="宋体" w:hAnsi="宋体"/>
                <w:color w:val="000000"/>
                <w:szCs w:val="21"/>
              </w:rPr>
            </w:pPr>
            <w:r>
              <w:rPr>
                <w:rFonts w:hint="eastAsia" w:ascii="宋体" w:hAnsi="宋体"/>
                <w:color w:val="000000"/>
                <w:szCs w:val="21"/>
              </w:rPr>
              <w:t>出图日期</w:t>
            </w:r>
          </w:p>
        </w:tc>
        <w:tc>
          <w:tcPr>
            <w:tcW w:w="1511" w:type="dxa"/>
            <w:vAlign w:val="center"/>
          </w:tcPr>
          <w:p>
            <w:pPr>
              <w:jc w:val="center"/>
              <w:rPr>
                <w:rFonts w:ascii="宋体" w:hAnsi="宋体"/>
                <w:color w:val="000000"/>
                <w:szCs w:val="21"/>
              </w:rPr>
            </w:pPr>
            <w:r>
              <w:rPr>
                <w:rFonts w:hint="eastAsia" w:ascii="宋体" w:hAnsi="宋体"/>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397" w:type="dxa"/>
            <w:vAlign w:val="center"/>
          </w:tcPr>
          <w:p>
            <w:pPr>
              <w:jc w:val="center"/>
              <w:rPr>
                <w:rFonts w:ascii="宋体" w:hAnsi="宋体"/>
                <w:color w:val="000000"/>
                <w:szCs w:val="21"/>
              </w:rPr>
            </w:pPr>
            <w:permStart w:id="520" w:edGrp="everyone"/>
            <w:r>
              <w:rPr>
                <w:rFonts w:hint="eastAsia" w:ascii="宋体" w:hAnsi="宋体"/>
                <w:color w:val="000000"/>
                <w:szCs w:val="21"/>
              </w:rPr>
              <w:t>…</w:t>
            </w:r>
            <w:permEnd w:id="520"/>
          </w:p>
        </w:tc>
        <w:tc>
          <w:tcPr>
            <w:tcW w:w="1397" w:type="dxa"/>
            <w:vAlign w:val="center"/>
          </w:tcPr>
          <w:p>
            <w:pPr>
              <w:jc w:val="center"/>
              <w:rPr>
                <w:color w:val="000000"/>
              </w:rPr>
            </w:pPr>
            <w:permStart w:id="521" w:edGrp="everyone"/>
            <w:r>
              <w:rPr>
                <w:rFonts w:hint="eastAsia" w:ascii="宋体" w:hAnsi="宋体"/>
                <w:color w:val="000000"/>
                <w:szCs w:val="21"/>
              </w:rPr>
              <w:t>…</w:t>
            </w:r>
            <w:permEnd w:id="521"/>
          </w:p>
        </w:tc>
        <w:tc>
          <w:tcPr>
            <w:tcW w:w="1396" w:type="dxa"/>
            <w:vAlign w:val="center"/>
          </w:tcPr>
          <w:p>
            <w:pPr>
              <w:jc w:val="center"/>
              <w:rPr>
                <w:color w:val="000000"/>
              </w:rPr>
            </w:pPr>
            <w:permStart w:id="522" w:edGrp="everyone"/>
            <w:r>
              <w:rPr>
                <w:rFonts w:hint="eastAsia" w:ascii="宋体" w:hAnsi="宋体"/>
                <w:color w:val="000000"/>
                <w:szCs w:val="21"/>
              </w:rPr>
              <w:t>…</w:t>
            </w:r>
            <w:permEnd w:id="522"/>
          </w:p>
        </w:tc>
        <w:tc>
          <w:tcPr>
            <w:tcW w:w="1396" w:type="dxa"/>
            <w:vAlign w:val="center"/>
          </w:tcPr>
          <w:p>
            <w:pPr>
              <w:jc w:val="center"/>
              <w:rPr>
                <w:color w:val="000000"/>
              </w:rPr>
            </w:pPr>
            <w:permStart w:id="523" w:edGrp="everyone"/>
            <w:r>
              <w:rPr>
                <w:rFonts w:hint="eastAsia" w:ascii="宋体" w:hAnsi="宋体"/>
                <w:color w:val="000000"/>
                <w:szCs w:val="21"/>
              </w:rPr>
              <w:t>…</w:t>
            </w:r>
            <w:permEnd w:id="523"/>
          </w:p>
        </w:tc>
        <w:tc>
          <w:tcPr>
            <w:tcW w:w="1397" w:type="dxa"/>
            <w:vAlign w:val="center"/>
          </w:tcPr>
          <w:p>
            <w:pPr>
              <w:jc w:val="center"/>
              <w:rPr>
                <w:color w:val="000000"/>
              </w:rPr>
            </w:pPr>
            <w:permStart w:id="524" w:edGrp="everyone"/>
            <w:r>
              <w:rPr>
                <w:rFonts w:hint="eastAsia" w:ascii="宋体" w:hAnsi="宋体"/>
                <w:color w:val="000000"/>
                <w:szCs w:val="21"/>
              </w:rPr>
              <w:t>…</w:t>
            </w:r>
            <w:permEnd w:id="524"/>
          </w:p>
        </w:tc>
        <w:tc>
          <w:tcPr>
            <w:tcW w:w="1511" w:type="dxa"/>
            <w:vAlign w:val="center"/>
          </w:tcPr>
          <w:p>
            <w:pPr>
              <w:jc w:val="center"/>
              <w:rPr>
                <w:color w:val="000000"/>
              </w:rPr>
            </w:pPr>
            <w:permStart w:id="525" w:edGrp="everyone"/>
            <w:r>
              <w:rPr>
                <w:rFonts w:hint="eastAsia" w:ascii="宋体" w:hAnsi="宋体"/>
                <w:color w:val="000000"/>
                <w:szCs w:val="21"/>
              </w:rPr>
              <w:t>…</w:t>
            </w:r>
            <w:permEnd w:id="52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397" w:type="dxa"/>
            <w:vAlign w:val="center"/>
          </w:tcPr>
          <w:p>
            <w:pPr>
              <w:jc w:val="center"/>
              <w:rPr>
                <w:rFonts w:ascii="宋体" w:hAnsi="宋体"/>
                <w:color w:val="000000"/>
                <w:szCs w:val="21"/>
              </w:rPr>
            </w:pPr>
            <w:permStart w:id="526" w:edGrp="everyone"/>
            <w:r>
              <w:rPr>
                <w:rFonts w:hint="eastAsia" w:ascii="宋体" w:hAnsi="宋体"/>
                <w:color w:val="000000"/>
                <w:szCs w:val="21"/>
              </w:rPr>
              <w:t>…</w:t>
            </w:r>
            <w:permEnd w:id="526"/>
          </w:p>
        </w:tc>
        <w:tc>
          <w:tcPr>
            <w:tcW w:w="1397" w:type="dxa"/>
            <w:vAlign w:val="center"/>
          </w:tcPr>
          <w:p>
            <w:pPr>
              <w:jc w:val="center"/>
              <w:rPr>
                <w:rFonts w:ascii="宋体" w:hAnsi="宋体"/>
                <w:color w:val="000000"/>
                <w:szCs w:val="21"/>
              </w:rPr>
            </w:pPr>
            <w:permStart w:id="527" w:edGrp="everyone"/>
            <w:r>
              <w:rPr>
                <w:rFonts w:hint="eastAsia" w:ascii="宋体" w:hAnsi="宋体"/>
                <w:color w:val="000000"/>
                <w:szCs w:val="21"/>
              </w:rPr>
              <w:t>…</w:t>
            </w:r>
            <w:permEnd w:id="527"/>
          </w:p>
        </w:tc>
        <w:tc>
          <w:tcPr>
            <w:tcW w:w="1396" w:type="dxa"/>
            <w:vAlign w:val="center"/>
          </w:tcPr>
          <w:p>
            <w:pPr>
              <w:jc w:val="center"/>
              <w:rPr>
                <w:rFonts w:ascii="宋体" w:hAnsi="宋体"/>
                <w:color w:val="000000"/>
                <w:szCs w:val="21"/>
              </w:rPr>
            </w:pPr>
            <w:permStart w:id="528" w:edGrp="everyone"/>
            <w:r>
              <w:rPr>
                <w:rFonts w:hint="eastAsia" w:ascii="宋体" w:hAnsi="宋体"/>
                <w:color w:val="000000"/>
                <w:szCs w:val="21"/>
              </w:rPr>
              <w:t>…</w:t>
            </w:r>
            <w:permEnd w:id="528"/>
          </w:p>
        </w:tc>
        <w:tc>
          <w:tcPr>
            <w:tcW w:w="1396" w:type="dxa"/>
            <w:vAlign w:val="center"/>
          </w:tcPr>
          <w:p>
            <w:pPr>
              <w:jc w:val="center"/>
              <w:rPr>
                <w:rFonts w:ascii="宋体" w:hAnsi="宋体"/>
                <w:color w:val="000000"/>
                <w:szCs w:val="21"/>
              </w:rPr>
            </w:pPr>
            <w:permStart w:id="529" w:edGrp="everyone"/>
            <w:r>
              <w:rPr>
                <w:rFonts w:hint="eastAsia" w:ascii="宋体" w:hAnsi="宋体"/>
                <w:color w:val="000000"/>
                <w:szCs w:val="21"/>
              </w:rPr>
              <w:t>…</w:t>
            </w:r>
            <w:permEnd w:id="529"/>
          </w:p>
        </w:tc>
        <w:tc>
          <w:tcPr>
            <w:tcW w:w="1397" w:type="dxa"/>
            <w:vAlign w:val="center"/>
          </w:tcPr>
          <w:p>
            <w:pPr>
              <w:jc w:val="center"/>
              <w:rPr>
                <w:rFonts w:ascii="宋体" w:hAnsi="宋体"/>
                <w:color w:val="000000"/>
                <w:szCs w:val="21"/>
              </w:rPr>
            </w:pPr>
            <w:permStart w:id="530" w:edGrp="everyone"/>
            <w:r>
              <w:rPr>
                <w:rFonts w:hint="eastAsia" w:ascii="宋体" w:hAnsi="宋体"/>
                <w:color w:val="000000"/>
                <w:szCs w:val="21"/>
              </w:rPr>
              <w:t>…</w:t>
            </w:r>
            <w:permEnd w:id="530"/>
          </w:p>
        </w:tc>
        <w:tc>
          <w:tcPr>
            <w:tcW w:w="1511" w:type="dxa"/>
            <w:vAlign w:val="center"/>
          </w:tcPr>
          <w:p>
            <w:pPr>
              <w:jc w:val="center"/>
              <w:rPr>
                <w:rFonts w:ascii="宋体" w:hAnsi="宋体"/>
                <w:color w:val="000000"/>
                <w:szCs w:val="21"/>
              </w:rPr>
            </w:pPr>
            <w:permStart w:id="531" w:edGrp="everyone"/>
            <w:r>
              <w:rPr>
                <w:rFonts w:hint="eastAsia" w:ascii="宋体" w:hAnsi="宋体"/>
                <w:color w:val="000000"/>
                <w:szCs w:val="21"/>
              </w:rPr>
              <w:t>…</w:t>
            </w:r>
            <w:permEnd w:id="531"/>
          </w:p>
        </w:tc>
      </w:tr>
    </w:tbl>
    <w:p>
      <w:pPr>
        <w:outlineLvl w:val="2"/>
        <w:rPr>
          <w:rFonts w:ascii="黑体" w:eastAsia="黑体"/>
          <w:color w:val="000000"/>
          <w:sz w:val="24"/>
        </w:rPr>
      </w:pPr>
      <w:r>
        <w:rPr>
          <w:rFonts w:ascii="黑体" w:eastAsia="黑体"/>
          <w:color w:val="000000"/>
          <w:sz w:val="44"/>
          <w:szCs w:val="44"/>
        </w:rPr>
        <w:br w:type="page"/>
      </w:r>
      <w:bookmarkStart w:id="1303" w:name="_Toc295812281"/>
      <w:bookmarkStart w:id="1304" w:name="_Toc114222851"/>
      <w:r>
        <w:rPr>
          <w:rFonts w:hint="eastAsia" w:ascii="黑体" w:eastAsia="黑体"/>
          <w:color w:val="000000"/>
          <w:sz w:val="24"/>
        </w:rPr>
        <w:t>2．图  纸</w:t>
      </w:r>
      <w:bookmarkEnd w:id="1303"/>
      <w:bookmarkEnd w:id="1304"/>
    </w:p>
    <w:p>
      <w:pPr>
        <w:rPr>
          <w:rFonts w:ascii="黑体" w:eastAsia="黑体"/>
          <w:color w:val="000000"/>
          <w:sz w:val="24"/>
        </w:rPr>
      </w:pPr>
      <w:permStart w:id="532" w:edGrp="everyone"/>
      <w:r>
        <w:rPr>
          <w:rFonts w:hint="eastAsia" w:ascii="黑体" w:eastAsia="黑体"/>
          <w:color w:val="000000"/>
          <w:sz w:val="24"/>
        </w:rPr>
        <w:t xml:space="preserve">    详见附件</w:t>
      </w:r>
    </w:p>
    <w:permEnd w:id="532"/>
    <w:p>
      <w:pPr>
        <w:rPr>
          <w:color w:val="000000"/>
          <w:szCs w:val="21"/>
        </w:rPr>
      </w:pPr>
      <w:r>
        <w:rPr>
          <w:rFonts w:ascii="黑体" w:eastAsia="黑体"/>
          <w:color w:val="000000"/>
          <w:sz w:val="24"/>
        </w:rPr>
        <w:br w:type="page"/>
      </w:r>
    </w:p>
    <w:p>
      <w:pPr>
        <w:rPr>
          <w:color w:val="000000"/>
          <w:szCs w:val="21"/>
        </w:rPr>
      </w:pPr>
    </w:p>
    <w:p>
      <w:pPr>
        <w:rPr>
          <w:color w:val="000000"/>
          <w:szCs w:val="21"/>
        </w:rPr>
      </w:pPr>
    </w:p>
    <w:p>
      <w:pPr>
        <w:rPr>
          <w:color w:val="000000"/>
          <w:szCs w:val="21"/>
        </w:rPr>
      </w:pPr>
    </w:p>
    <w:p>
      <w:pPr>
        <w:rPr>
          <w:color w:val="000000"/>
          <w:szCs w:val="21"/>
        </w:rPr>
      </w:pPr>
    </w:p>
    <w:p>
      <w:pPr>
        <w:rPr>
          <w:color w:val="000000"/>
          <w:szCs w:val="21"/>
        </w:rPr>
      </w:pPr>
    </w:p>
    <w:p>
      <w:pPr>
        <w:rPr>
          <w:color w:val="000000"/>
          <w:szCs w:val="21"/>
        </w:rPr>
      </w:pPr>
    </w:p>
    <w:p>
      <w:pPr>
        <w:rPr>
          <w:color w:val="000000"/>
          <w:szCs w:val="21"/>
        </w:rPr>
      </w:pPr>
    </w:p>
    <w:p>
      <w:pPr>
        <w:rPr>
          <w:color w:val="000000"/>
          <w:szCs w:val="21"/>
        </w:rPr>
      </w:pPr>
    </w:p>
    <w:p>
      <w:pPr>
        <w:rPr>
          <w:color w:val="000000"/>
          <w:szCs w:val="21"/>
        </w:rPr>
      </w:pPr>
    </w:p>
    <w:p>
      <w:pPr>
        <w:jc w:val="center"/>
        <w:outlineLvl w:val="0"/>
        <w:rPr>
          <w:rFonts w:ascii="黑体" w:eastAsia="黑体"/>
          <w:color w:val="000000"/>
          <w:sz w:val="32"/>
          <w:szCs w:val="32"/>
        </w:rPr>
      </w:pPr>
      <w:bookmarkStart w:id="1305" w:name="_Toc114222852"/>
      <w:bookmarkStart w:id="1306" w:name="_Toc295812282"/>
      <w:r>
        <w:rPr>
          <w:rFonts w:hint="eastAsia" w:ascii="黑体" w:eastAsia="黑体"/>
          <w:color w:val="000000"/>
          <w:sz w:val="32"/>
          <w:szCs w:val="32"/>
        </w:rPr>
        <w:t>第三卷</w:t>
      </w:r>
      <w:bookmarkEnd w:id="1305"/>
      <w:bookmarkEnd w:id="1306"/>
    </w:p>
    <w:p>
      <w:pPr>
        <w:jc w:val="center"/>
        <w:rPr>
          <w:rFonts w:ascii="黑体" w:eastAsia="黑体"/>
          <w:color w:val="000000"/>
          <w:sz w:val="32"/>
          <w:szCs w:val="32"/>
        </w:rPr>
      </w:pPr>
    </w:p>
    <w:p>
      <w:pPr>
        <w:spacing w:line="420" w:lineRule="exact"/>
        <w:jc w:val="center"/>
        <w:rPr>
          <w:rFonts w:ascii="楷体_GB2312" w:eastAsia="楷体_GB2312"/>
          <w:color w:val="000000"/>
        </w:rPr>
      </w:pPr>
      <w:r>
        <w:rPr>
          <w:rFonts w:ascii="黑体" w:eastAsia="黑体"/>
          <w:color w:val="000000"/>
          <w:sz w:val="32"/>
          <w:szCs w:val="32"/>
        </w:rPr>
        <w:br w:type="page"/>
      </w:r>
    </w:p>
    <w:p>
      <w:pPr>
        <w:spacing w:line="420" w:lineRule="exact"/>
        <w:jc w:val="center"/>
        <w:rPr>
          <w:rFonts w:ascii="楷体_GB2312" w:eastAsia="楷体_GB2312"/>
          <w:color w:val="000000"/>
        </w:rPr>
      </w:pPr>
    </w:p>
    <w:p>
      <w:pPr>
        <w:spacing w:line="420" w:lineRule="exact"/>
        <w:jc w:val="center"/>
        <w:rPr>
          <w:rFonts w:ascii="楷体_GB2312" w:eastAsia="楷体_GB2312"/>
          <w:color w:val="000000"/>
        </w:rPr>
      </w:pPr>
    </w:p>
    <w:p>
      <w:pPr>
        <w:spacing w:line="420" w:lineRule="exact"/>
        <w:jc w:val="center"/>
        <w:rPr>
          <w:rFonts w:ascii="楷体_GB2312" w:eastAsia="楷体_GB2312"/>
          <w:color w:val="000000"/>
        </w:rPr>
      </w:pPr>
    </w:p>
    <w:p>
      <w:pPr>
        <w:spacing w:line="420" w:lineRule="exact"/>
        <w:jc w:val="center"/>
        <w:rPr>
          <w:rFonts w:ascii="楷体_GB2312" w:eastAsia="楷体_GB2312"/>
          <w:color w:val="000000"/>
        </w:rPr>
      </w:pPr>
    </w:p>
    <w:p>
      <w:pPr>
        <w:jc w:val="center"/>
        <w:rPr>
          <w:rFonts w:ascii="黑体" w:eastAsia="黑体"/>
          <w:color w:val="000000"/>
          <w:sz w:val="32"/>
          <w:szCs w:val="32"/>
        </w:rPr>
      </w:pPr>
      <w:bookmarkStart w:id="1307" w:name="_Toc295812283"/>
      <w:r>
        <w:rPr>
          <w:rFonts w:hint="eastAsia" w:ascii="黑体" w:eastAsia="黑体"/>
          <w:color w:val="000000"/>
          <w:sz w:val="32"/>
          <w:szCs w:val="32"/>
        </w:rPr>
        <w:t>第七章  技术标准和要求</w:t>
      </w:r>
      <w:bookmarkEnd w:id="1307"/>
    </w:p>
    <w:p>
      <w:pPr>
        <w:jc w:val="left"/>
        <w:rPr>
          <w:rFonts w:ascii="黑体" w:eastAsia="黑体"/>
          <w:color w:val="000000"/>
          <w:sz w:val="32"/>
          <w:szCs w:val="32"/>
        </w:rPr>
      </w:pPr>
      <w:permStart w:id="533" w:edGrp="everyone"/>
      <w:r>
        <w:rPr>
          <w:rFonts w:hint="eastAsia" w:ascii="黑体" w:eastAsia="黑体"/>
          <w:color w:val="000000"/>
          <w:sz w:val="32"/>
          <w:szCs w:val="32"/>
        </w:rPr>
        <w:t xml:space="preserve">                </w:t>
      </w:r>
      <w:permEnd w:id="533"/>
    </w:p>
    <w:p>
      <w:pPr>
        <w:spacing w:before="240" w:beforeLines="100" w:after="240" w:afterLines="100"/>
        <w:jc w:val="center"/>
        <w:outlineLvl w:val="1"/>
        <w:rPr>
          <w:rFonts w:ascii="黑体" w:eastAsia="黑体"/>
          <w:color w:val="000000"/>
          <w:sz w:val="28"/>
          <w:szCs w:val="28"/>
        </w:rPr>
      </w:pPr>
      <w:r>
        <w:rPr>
          <w:rFonts w:hint="eastAsia" w:ascii="黑体" w:eastAsia="黑体"/>
          <w:color w:val="000000"/>
          <w:sz w:val="28"/>
          <w:szCs w:val="28"/>
        </w:rPr>
        <w:br w:type="page"/>
      </w:r>
      <w:bookmarkStart w:id="1308" w:name="_Toc295812284"/>
      <w:bookmarkStart w:id="1309" w:name="_Toc114222853"/>
      <w:r>
        <w:rPr>
          <w:rFonts w:hint="eastAsia" w:ascii="黑体" w:eastAsia="黑体"/>
          <w:color w:val="000000"/>
          <w:sz w:val="28"/>
          <w:szCs w:val="28"/>
        </w:rPr>
        <w:t>第七章  技术标准和要求</w:t>
      </w:r>
      <w:bookmarkEnd w:id="1308"/>
      <w:bookmarkEnd w:id="1309"/>
    </w:p>
    <w:p>
      <w:pPr>
        <w:pStyle w:val="4"/>
        <w:spacing w:after="100" w:afterAutospacing="1" w:line="240" w:lineRule="auto"/>
        <w:rPr>
          <w:rFonts w:ascii="黑体" w:eastAsia="黑体"/>
          <w:b w:val="0"/>
          <w:color w:val="000000"/>
          <w:sz w:val="28"/>
          <w:szCs w:val="28"/>
        </w:rPr>
      </w:pPr>
      <w:bookmarkStart w:id="1310" w:name="_Toc295812285"/>
      <w:bookmarkStart w:id="1311" w:name="_Toc114222854"/>
      <w:r>
        <w:rPr>
          <w:rFonts w:hint="eastAsia" w:ascii="黑体" w:eastAsia="黑体"/>
          <w:b w:val="0"/>
          <w:color w:val="000000"/>
          <w:sz w:val="28"/>
          <w:szCs w:val="28"/>
        </w:rPr>
        <w:t>第一节 一般要求</w:t>
      </w:r>
      <w:bookmarkEnd w:id="1310"/>
      <w:bookmarkEnd w:id="1311"/>
    </w:p>
    <w:p>
      <w:pPr>
        <w:spacing w:before="240" w:beforeLines="100" w:after="240" w:afterLines="100"/>
        <w:outlineLvl w:val="3"/>
        <w:rPr>
          <w:rFonts w:ascii="黑体" w:hAnsi="宋体" w:eastAsia="黑体"/>
          <w:color w:val="000000"/>
          <w:sz w:val="24"/>
        </w:rPr>
      </w:pPr>
      <w:bookmarkStart w:id="1312" w:name="_Toc114222855"/>
      <w:bookmarkStart w:id="1313" w:name="_Toc295812286"/>
      <w:r>
        <w:rPr>
          <w:rFonts w:hint="eastAsia" w:ascii="黑体" w:hAnsi="宋体" w:eastAsia="黑体"/>
          <w:color w:val="000000"/>
          <w:sz w:val="24"/>
        </w:rPr>
        <w:t>1.工程说明</w:t>
      </w:r>
      <w:bookmarkEnd w:id="1312"/>
      <w:bookmarkEnd w:id="1313"/>
    </w:p>
    <w:p>
      <w:pPr>
        <w:rPr>
          <w:rFonts w:ascii="黑体" w:eastAsia="黑体"/>
          <w:color w:val="000000"/>
          <w:sz w:val="24"/>
        </w:rPr>
      </w:pPr>
      <w:r>
        <w:rPr>
          <w:rFonts w:hint="eastAsia" w:ascii="黑体" w:eastAsia="黑体"/>
          <w:color w:val="000000"/>
          <w:sz w:val="24"/>
        </w:rPr>
        <w:t>1.1工程概况</w:t>
      </w:r>
    </w:p>
    <w:p>
      <w:pPr>
        <w:spacing w:line="480" w:lineRule="exact"/>
        <w:ind w:left="420" w:hanging="420" w:hangingChars="200"/>
        <w:rPr>
          <w:rFonts w:ascii="宋体" w:hAnsi="宋体"/>
          <w:color w:val="000000"/>
          <w:szCs w:val="21"/>
        </w:rPr>
      </w:pPr>
      <w:r>
        <w:rPr>
          <w:rFonts w:hint="eastAsia" w:ascii="宋体" w:hAnsi="宋体"/>
          <w:color w:val="000000"/>
          <w:szCs w:val="21"/>
        </w:rPr>
        <w:t>l.1.1  本工程基本情况如下：</w:t>
      </w:r>
    </w:p>
    <w:p>
      <w:pPr>
        <w:spacing w:line="480" w:lineRule="exact"/>
        <w:ind w:left="420" w:hanging="420" w:hangingChars="200"/>
        <w:rPr>
          <w:rFonts w:ascii="宋体" w:hAnsi="宋体"/>
          <w:color w:val="000000"/>
          <w:szCs w:val="21"/>
          <w:u w:val="single"/>
        </w:rPr>
      </w:pPr>
      <w:permStart w:id="534" w:edGrp="everyone"/>
      <w:r>
        <w:rPr>
          <w:rFonts w:hint="eastAsia" w:ascii="宋体" w:hAnsi="宋体"/>
          <w:color w:val="000000"/>
          <w:szCs w:val="21"/>
          <w:u w:val="single"/>
        </w:rPr>
        <w:t xml:space="preserve">                                          </w:t>
      </w:r>
      <w:permEnd w:id="534"/>
    </w:p>
    <w:p>
      <w:pPr>
        <w:spacing w:line="480" w:lineRule="exact"/>
        <w:ind w:left="420" w:hanging="420" w:hangingChars="200"/>
        <w:rPr>
          <w:rFonts w:ascii="宋体" w:hAnsi="宋体"/>
          <w:color w:val="000000"/>
          <w:szCs w:val="21"/>
        </w:rPr>
      </w:pPr>
      <w:permStart w:id="535" w:edGrp="everyone"/>
      <w:r>
        <w:rPr>
          <w:rFonts w:hint="eastAsia" w:ascii="宋体" w:hAnsi="宋体"/>
          <w:color w:val="000000"/>
          <w:szCs w:val="21"/>
          <w:u w:val="single"/>
        </w:rPr>
        <w:t xml:space="preserve">                                          </w:t>
      </w:r>
    </w:p>
    <w:permEnd w:id="535"/>
    <w:p>
      <w:pPr>
        <w:spacing w:line="480" w:lineRule="exact"/>
        <w:ind w:left="420" w:hanging="420" w:hangingChars="200"/>
        <w:rPr>
          <w:rFonts w:ascii="宋体" w:hAnsi="宋体"/>
          <w:color w:val="000000"/>
          <w:szCs w:val="21"/>
        </w:rPr>
      </w:pPr>
      <w:r>
        <w:rPr>
          <w:rFonts w:hint="eastAsia" w:ascii="宋体" w:hAnsi="宋体"/>
          <w:color w:val="000000"/>
          <w:szCs w:val="21"/>
        </w:rPr>
        <w:t>1.1.2  本工程施工场地</w:t>
      </w:r>
      <w:r>
        <w:rPr>
          <w:rFonts w:hint="eastAsia" w:ascii="宋体" w:hAnsi="宋体"/>
          <w:color w:val="000000"/>
          <w:szCs w:val="21"/>
          <w:lang w:eastAsia="zh-CN"/>
        </w:rPr>
        <w:t>（</w:t>
      </w:r>
      <w:r>
        <w:rPr>
          <w:rFonts w:hint="eastAsia" w:ascii="宋体" w:hAnsi="宋体"/>
          <w:color w:val="000000"/>
          <w:szCs w:val="21"/>
        </w:rPr>
        <w:t>现场</w:t>
      </w:r>
      <w:r>
        <w:rPr>
          <w:rFonts w:hint="eastAsia" w:ascii="宋体" w:hAnsi="宋体"/>
          <w:color w:val="000000"/>
          <w:szCs w:val="21"/>
          <w:lang w:eastAsia="zh-CN"/>
        </w:rPr>
        <w:t>）</w:t>
      </w:r>
      <w:r>
        <w:rPr>
          <w:rFonts w:hint="eastAsia" w:ascii="宋体" w:hAnsi="宋体"/>
          <w:color w:val="000000"/>
          <w:szCs w:val="21"/>
        </w:rPr>
        <w:t>具体地理位置如下：</w:t>
      </w:r>
    </w:p>
    <w:p>
      <w:pPr>
        <w:spacing w:line="480" w:lineRule="exact"/>
        <w:ind w:left="420" w:hanging="420" w:hangingChars="200"/>
        <w:rPr>
          <w:rFonts w:ascii="宋体" w:hAnsi="宋体"/>
          <w:color w:val="000000"/>
          <w:szCs w:val="21"/>
          <w:u w:val="single"/>
        </w:rPr>
      </w:pPr>
      <w:permStart w:id="536" w:edGrp="everyone"/>
      <w:r>
        <w:rPr>
          <w:rFonts w:hint="eastAsia" w:ascii="宋体" w:hAnsi="宋体"/>
          <w:color w:val="000000"/>
          <w:szCs w:val="21"/>
          <w:u w:val="single"/>
        </w:rPr>
        <w:t xml:space="preserve">                                          </w:t>
      </w:r>
    </w:p>
    <w:p>
      <w:pPr>
        <w:spacing w:line="480" w:lineRule="exact"/>
        <w:ind w:left="420" w:hanging="420" w:hangingChars="200"/>
        <w:rPr>
          <w:rFonts w:ascii="宋体" w:hAnsi="宋体"/>
          <w:color w:val="000000"/>
          <w:szCs w:val="21"/>
        </w:rPr>
      </w:pPr>
      <w:r>
        <w:rPr>
          <w:rFonts w:hint="eastAsia" w:ascii="宋体" w:hAnsi="宋体"/>
          <w:color w:val="000000"/>
          <w:szCs w:val="21"/>
          <w:u w:val="single"/>
        </w:rPr>
        <w:t xml:space="preserve">                                          </w:t>
      </w:r>
    </w:p>
    <w:permEnd w:id="536"/>
    <w:p>
      <w:pPr>
        <w:rPr>
          <w:rFonts w:ascii="黑体" w:eastAsia="黑体"/>
          <w:color w:val="000000"/>
          <w:sz w:val="24"/>
        </w:rPr>
      </w:pPr>
      <w:r>
        <w:rPr>
          <w:rFonts w:hint="eastAsia" w:ascii="黑体" w:eastAsia="黑体"/>
          <w:color w:val="000000"/>
          <w:sz w:val="24"/>
        </w:rPr>
        <w:t>1.2现场条件和周围环境</w:t>
      </w:r>
    </w:p>
    <w:p>
      <w:pPr>
        <w:spacing w:line="480" w:lineRule="exact"/>
        <w:ind w:left="735" w:hanging="735" w:hangingChars="350"/>
        <w:rPr>
          <w:rFonts w:ascii="宋体" w:hAnsi="宋体"/>
          <w:color w:val="000000"/>
          <w:szCs w:val="21"/>
        </w:rPr>
      </w:pPr>
      <w:r>
        <w:rPr>
          <w:rFonts w:hint="eastAsia" w:ascii="宋体" w:hAnsi="宋体"/>
          <w:color w:val="000000"/>
          <w:szCs w:val="21"/>
        </w:rPr>
        <w:t>1.2.1  本工程施工场地</w:t>
      </w:r>
      <w:r>
        <w:rPr>
          <w:rFonts w:hint="eastAsia" w:ascii="宋体" w:hAnsi="宋体"/>
          <w:color w:val="000000"/>
          <w:szCs w:val="21"/>
          <w:lang w:eastAsia="zh-CN"/>
        </w:rPr>
        <w:t>（</w:t>
      </w:r>
      <w:r>
        <w:rPr>
          <w:rFonts w:hint="eastAsia" w:ascii="宋体" w:hAnsi="宋体"/>
          <w:color w:val="000000"/>
          <w:szCs w:val="21"/>
        </w:rPr>
        <w:t>现场</w:t>
      </w:r>
      <w:r>
        <w:rPr>
          <w:rFonts w:hint="eastAsia" w:ascii="宋体" w:hAnsi="宋体"/>
          <w:color w:val="000000"/>
          <w:szCs w:val="21"/>
          <w:lang w:eastAsia="zh-CN"/>
        </w:rPr>
        <w:t>）</w:t>
      </w:r>
      <w:r>
        <w:rPr>
          <w:rFonts w:hint="eastAsia" w:ascii="宋体" w:hAnsi="宋体"/>
          <w:color w:val="000000"/>
          <w:szCs w:val="21"/>
        </w:rPr>
        <w:t>已经具备施工条件。施工场地</w:t>
      </w:r>
      <w:r>
        <w:rPr>
          <w:rFonts w:hint="eastAsia" w:ascii="宋体" w:hAnsi="宋体"/>
          <w:color w:val="000000"/>
          <w:szCs w:val="21"/>
          <w:lang w:eastAsia="zh-CN"/>
        </w:rPr>
        <w:t>（</w:t>
      </w:r>
      <w:r>
        <w:rPr>
          <w:rFonts w:hint="eastAsia" w:ascii="宋体" w:hAnsi="宋体"/>
          <w:color w:val="000000"/>
          <w:szCs w:val="21"/>
        </w:rPr>
        <w:t>现场</w:t>
      </w:r>
      <w:r>
        <w:rPr>
          <w:rFonts w:hint="eastAsia" w:ascii="宋体" w:hAnsi="宋体"/>
          <w:color w:val="000000"/>
          <w:szCs w:val="21"/>
          <w:lang w:eastAsia="zh-CN"/>
        </w:rPr>
        <w:t>）</w:t>
      </w:r>
      <w:r>
        <w:rPr>
          <w:rFonts w:hint="eastAsia" w:ascii="宋体" w:hAnsi="宋体"/>
          <w:color w:val="000000"/>
          <w:szCs w:val="21"/>
        </w:rPr>
        <w:t>临时水源接口位置、临时电源接口位置、临时排污口位置、建筑红线位置、道路交通和出入口</w:t>
      </w:r>
      <w:r>
        <w:rPr>
          <w:rFonts w:hint="eastAsia" w:ascii="宋体" w:hAnsi="宋体"/>
          <w:color w:val="000000"/>
          <w:szCs w:val="21"/>
          <w:lang w:eastAsia="zh-CN"/>
        </w:rPr>
        <w:t>，以及</w:t>
      </w:r>
      <w:r>
        <w:rPr>
          <w:rFonts w:hint="eastAsia" w:ascii="宋体" w:hAnsi="宋体"/>
          <w:color w:val="000000"/>
          <w:szCs w:val="21"/>
        </w:rPr>
        <w:t>施工场地</w:t>
      </w:r>
      <w:r>
        <w:rPr>
          <w:rFonts w:hint="eastAsia" w:ascii="宋体" w:hAnsi="宋体"/>
          <w:color w:val="000000"/>
          <w:szCs w:val="21"/>
          <w:lang w:eastAsia="zh-CN"/>
        </w:rPr>
        <w:t>（</w:t>
      </w:r>
      <w:r>
        <w:rPr>
          <w:rFonts w:hint="eastAsia" w:ascii="宋体" w:hAnsi="宋体"/>
          <w:color w:val="000000"/>
          <w:szCs w:val="21"/>
        </w:rPr>
        <w:t>现场</w:t>
      </w:r>
      <w:r>
        <w:rPr>
          <w:rFonts w:hint="eastAsia" w:ascii="宋体" w:hAnsi="宋体"/>
          <w:color w:val="000000"/>
          <w:szCs w:val="21"/>
          <w:lang w:eastAsia="zh-CN"/>
        </w:rPr>
        <w:t>）</w:t>
      </w:r>
      <w:r>
        <w:rPr>
          <w:rFonts w:hint="eastAsia" w:ascii="宋体" w:hAnsi="宋体"/>
          <w:color w:val="000000"/>
          <w:szCs w:val="21"/>
        </w:rPr>
        <w:t>和周围环境等情况见本章附件A：施工场地</w:t>
      </w:r>
      <w:r>
        <w:rPr>
          <w:rFonts w:hint="eastAsia" w:ascii="宋体" w:hAnsi="宋体"/>
          <w:color w:val="000000"/>
          <w:szCs w:val="21"/>
          <w:lang w:eastAsia="zh-CN"/>
        </w:rPr>
        <w:t>（</w:t>
      </w:r>
      <w:r>
        <w:rPr>
          <w:rFonts w:hint="eastAsia" w:ascii="宋体" w:hAnsi="宋体"/>
          <w:color w:val="000000"/>
          <w:szCs w:val="21"/>
        </w:rPr>
        <w:t>现场</w:t>
      </w:r>
      <w:r>
        <w:rPr>
          <w:rFonts w:hint="eastAsia" w:ascii="宋体" w:hAnsi="宋体"/>
          <w:color w:val="000000"/>
          <w:szCs w:val="21"/>
          <w:lang w:eastAsia="zh-CN"/>
        </w:rPr>
        <w:t>）</w:t>
      </w:r>
      <w:r>
        <w:rPr>
          <w:rFonts w:hint="eastAsia" w:ascii="宋体" w:hAnsi="宋体"/>
          <w:color w:val="000000"/>
          <w:szCs w:val="21"/>
        </w:rPr>
        <w:t>现状平面图。</w:t>
      </w:r>
    </w:p>
    <w:p>
      <w:pPr>
        <w:spacing w:line="480" w:lineRule="exact"/>
        <w:ind w:left="1050" w:hanging="1050" w:hangingChars="500"/>
        <w:rPr>
          <w:rFonts w:ascii="宋体" w:hAnsi="宋体"/>
          <w:color w:val="000000"/>
          <w:szCs w:val="21"/>
        </w:rPr>
      </w:pPr>
      <w:r>
        <w:rPr>
          <w:rFonts w:hint="eastAsia" w:ascii="宋体" w:hAnsi="宋体"/>
          <w:color w:val="000000"/>
          <w:szCs w:val="21"/>
        </w:rPr>
        <w:t>1.2.2  施工场地</w:t>
      </w:r>
      <w:r>
        <w:rPr>
          <w:rFonts w:hint="eastAsia" w:ascii="宋体" w:hAnsi="宋体"/>
          <w:color w:val="000000"/>
          <w:szCs w:val="21"/>
          <w:lang w:eastAsia="zh-CN"/>
        </w:rPr>
        <w:t>（</w:t>
      </w:r>
      <w:r>
        <w:rPr>
          <w:rFonts w:hint="eastAsia" w:ascii="宋体" w:hAnsi="宋体"/>
          <w:color w:val="000000"/>
          <w:szCs w:val="21"/>
        </w:rPr>
        <w:t>现场</w:t>
      </w:r>
      <w:r>
        <w:rPr>
          <w:rFonts w:hint="eastAsia" w:ascii="宋体" w:hAnsi="宋体"/>
          <w:color w:val="000000"/>
          <w:szCs w:val="21"/>
          <w:lang w:eastAsia="zh-CN"/>
        </w:rPr>
        <w:t>）</w:t>
      </w:r>
      <w:r>
        <w:rPr>
          <w:rFonts w:hint="eastAsia" w:ascii="宋体" w:hAnsi="宋体"/>
          <w:color w:val="000000"/>
          <w:szCs w:val="21"/>
        </w:rPr>
        <w:t>临时供水管径</w:t>
      </w:r>
      <w:permStart w:id="537" w:edGrp="everyone"/>
      <w:r>
        <w:rPr>
          <w:rFonts w:hint="eastAsia" w:ascii="宋体" w:hAnsi="宋体"/>
          <w:color w:val="000000"/>
          <w:szCs w:val="21"/>
        </w:rPr>
        <w:t xml:space="preserve">                     </w:t>
      </w:r>
      <w:permEnd w:id="537"/>
      <w:r>
        <w:rPr>
          <w:rFonts w:hint="eastAsia" w:ascii="宋体" w:hAnsi="宋体"/>
          <w:color w:val="000000"/>
          <w:szCs w:val="21"/>
        </w:rPr>
        <w:t>。</w:t>
      </w:r>
    </w:p>
    <w:p>
      <w:pPr>
        <w:spacing w:line="480" w:lineRule="exact"/>
        <w:ind w:firstLine="735" w:firstLineChars="350"/>
        <w:rPr>
          <w:rFonts w:ascii="宋体" w:hAnsi="宋体"/>
          <w:color w:val="000000"/>
          <w:szCs w:val="21"/>
        </w:rPr>
      </w:pPr>
      <w:r>
        <w:rPr>
          <w:rFonts w:hint="eastAsia" w:ascii="宋体" w:hAnsi="宋体"/>
          <w:color w:val="000000"/>
          <w:szCs w:val="21"/>
        </w:rPr>
        <w:t>施工场地</w:t>
      </w:r>
      <w:r>
        <w:rPr>
          <w:rFonts w:hint="eastAsia" w:ascii="宋体" w:hAnsi="宋体"/>
          <w:color w:val="000000"/>
          <w:szCs w:val="21"/>
          <w:lang w:eastAsia="zh-CN"/>
        </w:rPr>
        <w:t>（</w:t>
      </w:r>
      <w:r>
        <w:rPr>
          <w:rFonts w:hint="eastAsia" w:ascii="宋体" w:hAnsi="宋体"/>
          <w:color w:val="000000"/>
          <w:szCs w:val="21"/>
        </w:rPr>
        <w:t>现场</w:t>
      </w:r>
      <w:r>
        <w:rPr>
          <w:rFonts w:hint="eastAsia" w:ascii="宋体" w:hAnsi="宋体"/>
          <w:color w:val="000000"/>
          <w:szCs w:val="21"/>
          <w:lang w:eastAsia="zh-CN"/>
        </w:rPr>
        <w:t>）</w:t>
      </w:r>
      <w:r>
        <w:rPr>
          <w:rFonts w:hint="eastAsia" w:ascii="宋体" w:hAnsi="宋体"/>
          <w:color w:val="000000"/>
          <w:szCs w:val="21"/>
        </w:rPr>
        <w:t>临时排污管径</w:t>
      </w:r>
      <w:permStart w:id="538" w:edGrp="everyone"/>
      <w:r>
        <w:rPr>
          <w:rFonts w:hint="eastAsia" w:ascii="宋体" w:hAnsi="宋体"/>
          <w:color w:val="000000"/>
          <w:szCs w:val="21"/>
        </w:rPr>
        <w:t xml:space="preserve">                     </w:t>
      </w:r>
      <w:permEnd w:id="538"/>
      <w:r>
        <w:rPr>
          <w:rFonts w:hint="eastAsia" w:ascii="宋体" w:hAnsi="宋体"/>
          <w:color w:val="000000"/>
          <w:szCs w:val="21"/>
        </w:rPr>
        <w:t>。</w:t>
      </w:r>
    </w:p>
    <w:p>
      <w:pPr>
        <w:spacing w:line="480" w:lineRule="exact"/>
        <w:ind w:left="798" w:leftChars="330" w:hanging="105" w:hangingChars="50"/>
        <w:rPr>
          <w:rFonts w:ascii="宋体" w:hAnsi="宋体"/>
          <w:color w:val="000000"/>
          <w:szCs w:val="21"/>
        </w:rPr>
      </w:pPr>
      <w:r>
        <w:rPr>
          <w:rFonts w:hint="eastAsia" w:ascii="宋体" w:hAnsi="宋体"/>
          <w:color w:val="000000"/>
          <w:szCs w:val="21"/>
        </w:rPr>
        <w:t>施工场地</w:t>
      </w:r>
      <w:r>
        <w:rPr>
          <w:rFonts w:hint="eastAsia" w:ascii="宋体" w:hAnsi="宋体"/>
          <w:color w:val="000000"/>
          <w:szCs w:val="21"/>
          <w:lang w:eastAsia="zh-CN"/>
        </w:rPr>
        <w:t>（</w:t>
      </w:r>
      <w:r>
        <w:rPr>
          <w:rFonts w:hint="eastAsia" w:ascii="宋体" w:hAnsi="宋体"/>
          <w:color w:val="000000"/>
          <w:szCs w:val="21"/>
        </w:rPr>
        <w:t>现场</w:t>
      </w:r>
      <w:r>
        <w:rPr>
          <w:rFonts w:hint="eastAsia" w:ascii="宋体" w:hAnsi="宋体"/>
          <w:color w:val="000000"/>
          <w:szCs w:val="21"/>
          <w:lang w:eastAsia="zh-CN"/>
        </w:rPr>
        <w:t>）</w:t>
      </w:r>
      <w:r>
        <w:rPr>
          <w:rFonts w:hint="eastAsia" w:ascii="宋体" w:hAnsi="宋体"/>
          <w:color w:val="000000"/>
          <w:szCs w:val="21"/>
        </w:rPr>
        <w:t>临时雨水管径</w:t>
      </w:r>
      <w:permStart w:id="539" w:edGrp="everyone"/>
      <w:r>
        <w:rPr>
          <w:rFonts w:hint="eastAsia" w:ascii="宋体" w:hAnsi="宋体"/>
          <w:color w:val="000000"/>
          <w:szCs w:val="21"/>
        </w:rPr>
        <w:t xml:space="preserve">                     </w:t>
      </w:r>
      <w:permEnd w:id="539"/>
      <w:r>
        <w:rPr>
          <w:rFonts w:hint="eastAsia" w:ascii="宋体" w:hAnsi="宋体"/>
          <w:color w:val="000000"/>
          <w:szCs w:val="21"/>
        </w:rPr>
        <w:t>。</w:t>
      </w:r>
    </w:p>
    <w:p>
      <w:pPr>
        <w:spacing w:line="480" w:lineRule="exact"/>
        <w:ind w:firstLine="756" w:firstLineChars="360"/>
        <w:rPr>
          <w:rFonts w:ascii="宋体" w:hAnsi="宋体"/>
          <w:color w:val="000000"/>
          <w:szCs w:val="21"/>
        </w:rPr>
      </w:pPr>
      <w:r>
        <w:rPr>
          <w:rFonts w:hint="eastAsia" w:ascii="宋体" w:hAnsi="宋体"/>
          <w:color w:val="000000"/>
          <w:szCs w:val="21"/>
        </w:rPr>
        <w:t>施工现场临时供电容量</w:t>
      </w:r>
      <w:r>
        <w:rPr>
          <w:rFonts w:hint="eastAsia" w:ascii="宋体" w:hAnsi="宋体"/>
          <w:color w:val="000000"/>
          <w:szCs w:val="21"/>
          <w:lang w:eastAsia="zh-CN"/>
        </w:rPr>
        <w:t>（</w:t>
      </w:r>
      <w:r>
        <w:rPr>
          <w:rFonts w:hint="eastAsia" w:ascii="宋体" w:hAnsi="宋体"/>
          <w:color w:val="000000"/>
          <w:szCs w:val="21"/>
        </w:rPr>
        <w:t>变压器输出功率</w:t>
      </w:r>
      <w:r>
        <w:rPr>
          <w:rFonts w:hint="eastAsia" w:ascii="宋体" w:hAnsi="宋体"/>
          <w:color w:val="000000"/>
          <w:szCs w:val="21"/>
          <w:lang w:eastAsia="zh-CN"/>
        </w:rPr>
        <w:t>）</w:t>
      </w:r>
      <w:permStart w:id="540" w:edGrp="everyone"/>
      <w:r>
        <w:rPr>
          <w:rFonts w:ascii="宋体" w:hAnsi="宋体"/>
          <w:color w:val="000000"/>
          <w:szCs w:val="21"/>
        </w:rPr>
        <w:t xml:space="preserve">           </w:t>
      </w:r>
      <w:permEnd w:id="540"/>
      <w:r>
        <w:rPr>
          <w:rFonts w:hint="eastAsia" w:ascii="宋体" w:hAnsi="宋体"/>
          <w:color w:val="000000"/>
          <w:szCs w:val="21"/>
        </w:rPr>
        <w:t>。</w:t>
      </w:r>
    </w:p>
    <w:p>
      <w:pPr>
        <w:spacing w:line="480" w:lineRule="exact"/>
        <w:ind w:left="420" w:hanging="420" w:hangingChars="200"/>
        <w:rPr>
          <w:rFonts w:ascii="宋体" w:hAnsi="宋体"/>
          <w:color w:val="000000"/>
          <w:szCs w:val="21"/>
        </w:rPr>
      </w:pPr>
      <w:r>
        <w:rPr>
          <w:rFonts w:hint="eastAsia" w:ascii="宋体" w:hAnsi="宋体"/>
          <w:color w:val="000000"/>
          <w:szCs w:val="21"/>
        </w:rPr>
        <w:t>1.2.3  现场条件和周围环境的其他资料和信息数据如下：</w:t>
      </w:r>
    </w:p>
    <w:p>
      <w:pPr>
        <w:spacing w:line="480" w:lineRule="exact"/>
        <w:ind w:left="420" w:hanging="420" w:hangingChars="200"/>
        <w:rPr>
          <w:rFonts w:ascii="宋体" w:hAnsi="宋体"/>
          <w:color w:val="000000"/>
          <w:szCs w:val="21"/>
          <w:u w:val="single"/>
        </w:rPr>
      </w:pPr>
      <w:permStart w:id="541" w:edGrp="everyone"/>
      <w:r>
        <w:rPr>
          <w:rFonts w:hint="eastAsia" w:ascii="宋体" w:hAnsi="宋体"/>
          <w:color w:val="000000"/>
          <w:szCs w:val="21"/>
          <w:u w:val="single"/>
        </w:rPr>
        <w:t xml:space="preserve">                                          </w:t>
      </w:r>
    </w:p>
    <w:p>
      <w:pPr>
        <w:spacing w:line="480" w:lineRule="exact"/>
        <w:ind w:left="420" w:hanging="420" w:hangingChars="200"/>
        <w:rPr>
          <w:rFonts w:ascii="宋体" w:hAnsi="宋体"/>
          <w:color w:val="000000"/>
          <w:szCs w:val="21"/>
        </w:rPr>
      </w:pPr>
      <w:r>
        <w:rPr>
          <w:rFonts w:hint="eastAsia" w:ascii="宋体" w:hAnsi="宋体"/>
          <w:color w:val="000000"/>
          <w:szCs w:val="21"/>
          <w:u w:val="single"/>
        </w:rPr>
        <w:t xml:space="preserve">                                          </w:t>
      </w:r>
    </w:p>
    <w:permEnd w:id="541"/>
    <w:p>
      <w:pPr>
        <w:spacing w:line="480" w:lineRule="exact"/>
        <w:ind w:left="420" w:hanging="420" w:hangingChars="200"/>
        <w:rPr>
          <w:rFonts w:ascii="宋体" w:hAnsi="宋体"/>
          <w:color w:val="000000"/>
          <w:szCs w:val="21"/>
        </w:rPr>
      </w:pPr>
      <w:r>
        <w:rPr>
          <w:rFonts w:hint="eastAsia" w:ascii="宋体" w:hAnsi="宋体"/>
          <w:color w:val="000000"/>
          <w:szCs w:val="21"/>
        </w:rPr>
        <w:t>1.2.4  承包人被认为已在本工程投标阶段踏勘现场时充分了解本工程现场条件和周围</w:t>
      </w:r>
    </w:p>
    <w:p>
      <w:pPr>
        <w:spacing w:line="480" w:lineRule="exact"/>
        <w:ind w:left="420" w:leftChars="200" w:firstLine="315" w:firstLineChars="150"/>
        <w:rPr>
          <w:rFonts w:ascii="宋体" w:hAnsi="宋体"/>
          <w:color w:val="000000"/>
          <w:szCs w:val="21"/>
        </w:rPr>
      </w:pPr>
      <w:r>
        <w:rPr>
          <w:rFonts w:hint="eastAsia" w:ascii="宋体" w:hAnsi="宋体"/>
          <w:color w:val="000000"/>
          <w:szCs w:val="21"/>
        </w:rPr>
        <w:t>环境，并已在其投标时就此给予了充分的考虑。</w:t>
      </w:r>
    </w:p>
    <w:p>
      <w:pPr>
        <w:rPr>
          <w:rFonts w:ascii="黑体" w:eastAsia="黑体"/>
          <w:color w:val="000000"/>
          <w:sz w:val="24"/>
        </w:rPr>
      </w:pPr>
      <w:r>
        <w:rPr>
          <w:rFonts w:hint="eastAsia" w:ascii="黑体" w:eastAsia="黑体"/>
          <w:color w:val="000000"/>
          <w:sz w:val="24"/>
        </w:rPr>
        <w:t>1.3地质及水文资料</w:t>
      </w:r>
    </w:p>
    <w:p>
      <w:pPr>
        <w:spacing w:line="480" w:lineRule="exact"/>
        <w:ind w:left="420" w:hanging="420" w:hangingChars="200"/>
        <w:rPr>
          <w:rFonts w:ascii="宋体" w:hAnsi="宋体"/>
          <w:color w:val="000000"/>
          <w:szCs w:val="21"/>
        </w:rPr>
      </w:pPr>
      <w:r>
        <w:rPr>
          <w:rFonts w:hint="eastAsia" w:ascii="宋体" w:hAnsi="宋体"/>
          <w:color w:val="000000"/>
          <w:szCs w:val="21"/>
        </w:rPr>
        <w:t>1.3.1  现场地质及水文资料和信息数据如下：</w:t>
      </w:r>
    </w:p>
    <w:p>
      <w:pPr>
        <w:spacing w:line="480" w:lineRule="exact"/>
        <w:ind w:left="420" w:hanging="420" w:hangingChars="200"/>
        <w:rPr>
          <w:rFonts w:ascii="宋体" w:hAnsi="宋体"/>
          <w:color w:val="000000"/>
          <w:szCs w:val="21"/>
          <w:u w:val="single"/>
        </w:rPr>
      </w:pPr>
      <w:permStart w:id="542" w:edGrp="everyone"/>
      <w:r>
        <w:rPr>
          <w:rFonts w:hint="eastAsia" w:ascii="宋体" w:hAnsi="宋体"/>
          <w:color w:val="000000"/>
          <w:szCs w:val="21"/>
          <w:u w:val="single"/>
        </w:rPr>
        <w:t xml:space="preserve">                                                         </w:t>
      </w:r>
      <w:permEnd w:id="542"/>
    </w:p>
    <w:p>
      <w:pPr>
        <w:spacing w:line="480" w:lineRule="exact"/>
        <w:ind w:left="420" w:hanging="420" w:hangingChars="200"/>
        <w:rPr>
          <w:rFonts w:ascii="宋体" w:hAnsi="宋体"/>
          <w:color w:val="000000"/>
          <w:szCs w:val="21"/>
        </w:rPr>
      </w:pPr>
      <w:permStart w:id="543" w:edGrp="everyone"/>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p>
    <w:permEnd w:id="543"/>
    <w:p>
      <w:pPr>
        <w:rPr>
          <w:rFonts w:ascii="黑体" w:eastAsia="黑体"/>
          <w:color w:val="000000"/>
          <w:sz w:val="24"/>
        </w:rPr>
      </w:pPr>
      <w:r>
        <w:rPr>
          <w:rFonts w:hint="eastAsia" w:ascii="黑体" w:eastAsia="黑体"/>
          <w:color w:val="000000"/>
          <w:sz w:val="24"/>
        </w:rPr>
        <w:t>1.4资料和信息的使用</w:t>
      </w:r>
    </w:p>
    <w:p>
      <w:pPr>
        <w:spacing w:line="400" w:lineRule="exact"/>
        <w:ind w:left="783" w:hanging="783" w:hangingChars="373"/>
        <w:rPr>
          <w:rFonts w:ascii="宋体" w:hAnsi="宋体"/>
          <w:color w:val="000000"/>
          <w:szCs w:val="21"/>
        </w:rPr>
      </w:pPr>
      <w:r>
        <w:rPr>
          <w:rFonts w:hint="eastAsia" w:ascii="宋体" w:hAnsi="宋体"/>
          <w:color w:val="000000"/>
          <w:szCs w:val="21"/>
        </w:rPr>
        <w:t>1.4.1  合同文件中载明的涉及本工程现场条件、周围环境、地质及水文等情况的资料和信息数据，是发包人现有的和客观的，发包人保证有关资料和信息数据的真实、准确。但承包人据此作出的推论、判断和决策，由承包人自行负责。</w:t>
      </w:r>
    </w:p>
    <w:p>
      <w:pPr>
        <w:spacing w:before="240" w:beforeLines="100" w:after="240" w:afterLines="100" w:line="400" w:lineRule="exact"/>
        <w:ind w:left="1400" w:hanging="1400" w:hangingChars="500"/>
        <w:outlineLvl w:val="3"/>
        <w:rPr>
          <w:rFonts w:ascii="黑体" w:hAnsi="宋体" w:eastAsia="黑体"/>
          <w:color w:val="000000"/>
          <w:sz w:val="28"/>
          <w:szCs w:val="28"/>
        </w:rPr>
      </w:pPr>
      <w:bookmarkStart w:id="1314" w:name="_Toc114222856"/>
      <w:bookmarkStart w:id="1315" w:name="_Toc295812287"/>
      <w:r>
        <w:rPr>
          <w:rFonts w:hint="eastAsia" w:ascii="黑体" w:hAnsi="宋体" w:eastAsia="黑体"/>
          <w:color w:val="000000"/>
          <w:sz w:val="28"/>
          <w:szCs w:val="28"/>
        </w:rPr>
        <w:t>2.承包范围</w:t>
      </w:r>
      <w:bookmarkEnd w:id="1314"/>
      <w:bookmarkEnd w:id="1315"/>
    </w:p>
    <w:p>
      <w:pPr>
        <w:rPr>
          <w:rFonts w:ascii="黑体" w:eastAsia="黑体"/>
          <w:color w:val="000000"/>
          <w:sz w:val="24"/>
        </w:rPr>
      </w:pPr>
      <w:r>
        <w:rPr>
          <w:rFonts w:hint="eastAsia" w:ascii="黑体" w:eastAsia="黑体"/>
          <w:color w:val="000000"/>
          <w:sz w:val="24"/>
        </w:rPr>
        <w:t>2.1承包范围</w:t>
      </w:r>
    </w:p>
    <w:p>
      <w:pPr>
        <w:spacing w:line="400" w:lineRule="exact"/>
        <w:ind w:left="1050" w:hanging="1050" w:hangingChars="500"/>
        <w:rPr>
          <w:rFonts w:ascii="黑体" w:hAnsi="宋体" w:eastAsia="黑体"/>
          <w:color w:val="000000"/>
          <w:szCs w:val="21"/>
        </w:rPr>
      </w:pPr>
      <w:r>
        <w:rPr>
          <w:rFonts w:hint="eastAsia" w:ascii="黑体" w:hAnsi="宋体" w:eastAsia="黑体"/>
          <w:color w:val="000000"/>
          <w:szCs w:val="21"/>
        </w:rPr>
        <w:t>2.1.1   承包人自行施工范围</w:t>
      </w:r>
    </w:p>
    <w:p>
      <w:pPr>
        <w:spacing w:line="400" w:lineRule="exact"/>
        <w:ind w:left="1050" w:leftChars="250" w:hanging="525" w:hangingChars="250"/>
        <w:rPr>
          <w:rFonts w:ascii="宋体" w:hAnsi="宋体"/>
          <w:color w:val="000000"/>
          <w:szCs w:val="21"/>
        </w:rPr>
      </w:pPr>
      <w:r>
        <w:rPr>
          <w:rFonts w:hint="eastAsia" w:ascii="宋体" w:hAnsi="宋体"/>
          <w:color w:val="000000"/>
          <w:szCs w:val="21"/>
        </w:rPr>
        <w:t xml:space="preserve">   本工程承包人自行施工的工程范围如下：</w:t>
      </w:r>
    </w:p>
    <w:p>
      <w:pPr>
        <w:spacing w:line="500" w:lineRule="exact"/>
        <w:ind w:left="420" w:hanging="420" w:hangingChars="200"/>
        <w:rPr>
          <w:rFonts w:ascii="宋体" w:hAnsi="宋体"/>
          <w:color w:val="000000"/>
          <w:szCs w:val="21"/>
          <w:u w:val="single"/>
        </w:rPr>
      </w:pPr>
      <w:permStart w:id="544" w:edGrp="everyone"/>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p>
    <w:p>
      <w:pPr>
        <w:spacing w:line="500" w:lineRule="exact"/>
        <w:ind w:left="420" w:hanging="420" w:hangingChars="200"/>
        <w:rPr>
          <w:rFonts w:ascii="宋体" w:hAnsi="宋体"/>
          <w:color w:val="000000"/>
          <w:szCs w:val="21"/>
        </w:rPr>
      </w:pP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permEnd w:id="544"/>
    </w:p>
    <w:p>
      <w:pPr>
        <w:spacing w:line="400" w:lineRule="exact"/>
        <w:ind w:left="1050" w:hanging="1050" w:hangingChars="500"/>
        <w:rPr>
          <w:rFonts w:ascii="黑体" w:hAnsi="宋体" w:eastAsia="黑体"/>
          <w:color w:val="000000"/>
          <w:szCs w:val="21"/>
        </w:rPr>
      </w:pPr>
      <w:r>
        <w:rPr>
          <w:rFonts w:hint="eastAsia" w:ascii="黑体" w:hAnsi="宋体" w:eastAsia="黑体"/>
          <w:color w:val="000000"/>
          <w:szCs w:val="21"/>
        </w:rPr>
        <w:t xml:space="preserve">2.1.2    承包范围内的暂估价项目 </w:t>
      </w:r>
    </w:p>
    <w:p>
      <w:pPr>
        <w:spacing w:line="400" w:lineRule="exact"/>
        <w:ind w:left="945" w:hanging="945" w:hangingChars="450"/>
        <w:rPr>
          <w:rFonts w:ascii="宋体" w:hAnsi="宋体"/>
          <w:color w:val="000000"/>
          <w:szCs w:val="21"/>
        </w:rPr>
      </w:pPr>
      <w:r>
        <w:rPr>
          <w:rFonts w:hint="eastAsia" w:ascii="宋体" w:hAnsi="宋体"/>
          <w:color w:val="000000"/>
          <w:szCs w:val="21"/>
        </w:rPr>
        <w:t>2.1.2.1  承包范围内以暂估价形式实施的专业工程见第五章“工程量清单”表4.11—3“专业工程暂估价表”。</w:t>
      </w:r>
    </w:p>
    <w:p>
      <w:pPr>
        <w:tabs>
          <w:tab w:val="left" w:pos="1260"/>
        </w:tabs>
        <w:spacing w:line="400" w:lineRule="exact"/>
        <w:ind w:left="945" w:hanging="945" w:hangingChars="450"/>
        <w:rPr>
          <w:rFonts w:ascii="宋体" w:hAnsi="宋体"/>
          <w:color w:val="000000"/>
          <w:szCs w:val="21"/>
        </w:rPr>
      </w:pPr>
      <w:r>
        <w:rPr>
          <w:rFonts w:hint="eastAsia" w:ascii="宋体" w:hAnsi="宋体"/>
          <w:color w:val="000000"/>
          <w:szCs w:val="21"/>
        </w:rPr>
        <w:t>2.1.2.2  承包范围内以暂估价形式实施的材料和工程设备见第五章“工程量清单”表4.11—2“材料和工程设备暂估单价表”。</w:t>
      </w:r>
    </w:p>
    <w:p>
      <w:pPr>
        <w:spacing w:line="400" w:lineRule="exact"/>
        <w:ind w:left="735" w:hanging="735" w:hangingChars="350"/>
        <w:rPr>
          <w:rFonts w:ascii="宋体" w:hAnsi="宋体"/>
          <w:color w:val="000000"/>
          <w:szCs w:val="21"/>
        </w:rPr>
      </w:pPr>
      <w:r>
        <w:rPr>
          <w:rFonts w:hint="eastAsia" w:ascii="宋体" w:hAnsi="宋体"/>
          <w:color w:val="000000"/>
          <w:szCs w:val="21"/>
        </w:rPr>
        <w:t>2.1.2.3  上述暂估价项目与本节第2.1.1项承包人自行施工范围的工作界面划分如下：</w:t>
      </w:r>
    </w:p>
    <w:p>
      <w:pPr>
        <w:spacing w:line="500" w:lineRule="exact"/>
        <w:ind w:left="735" w:hanging="735" w:hangingChars="350"/>
        <w:rPr>
          <w:rFonts w:ascii="宋体" w:hAnsi="宋体"/>
          <w:color w:val="000000"/>
          <w:szCs w:val="21"/>
          <w:u w:val="single"/>
        </w:rPr>
      </w:pPr>
      <w:permStart w:id="545" w:edGrp="everyone"/>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permEnd w:id="545"/>
    </w:p>
    <w:p>
      <w:pPr>
        <w:spacing w:line="400" w:lineRule="exact"/>
        <w:ind w:left="735" w:hanging="735" w:hangingChars="350"/>
        <w:rPr>
          <w:rFonts w:ascii="宋体" w:hAnsi="宋体"/>
          <w:color w:val="000000"/>
          <w:szCs w:val="21"/>
        </w:rPr>
      </w:pPr>
      <w:permStart w:id="546" w:edGrp="everyone"/>
      <w:r>
        <w:rPr>
          <w:rFonts w:hint="eastAsia" w:ascii="宋体" w:hAnsi="宋体"/>
          <w:color w:val="000000"/>
          <w:szCs w:val="21"/>
        </w:rPr>
        <w:t xml:space="preserve">                                 </w:t>
      </w:r>
      <w:r>
        <w:rPr>
          <w:rFonts w:ascii="宋体" w:hAnsi="宋体"/>
          <w:color w:val="000000"/>
          <w:szCs w:val="21"/>
        </w:rPr>
        <w:t xml:space="preserve">                         </w:t>
      </w:r>
      <w:r>
        <w:rPr>
          <w:rFonts w:hint="eastAsia" w:ascii="宋体" w:hAnsi="宋体"/>
          <w:color w:val="000000"/>
          <w:szCs w:val="21"/>
        </w:rPr>
        <w:t xml:space="preserve">        </w:t>
      </w:r>
      <w:permEnd w:id="546"/>
    </w:p>
    <w:p>
      <w:pPr>
        <w:spacing w:line="400" w:lineRule="exact"/>
        <w:ind w:left="735" w:hanging="735" w:hangingChars="350"/>
        <w:rPr>
          <w:rFonts w:ascii="宋体" w:hAnsi="宋体"/>
          <w:color w:val="000000"/>
          <w:szCs w:val="21"/>
        </w:rPr>
      </w:pPr>
      <w:permStart w:id="547" w:edGrp="everyone"/>
      <w:r>
        <w:rPr>
          <w:rFonts w:hint="eastAsia" w:ascii="宋体" w:hAnsi="宋体"/>
          <w:color w:val="000000"/>
          <w:szCs w:val="21"/>
        </w:rPr>
        <w:t xml:space="preserve">  </w:t>
      </w:r>
      <w:r>
        <w:rPr>
          <w:rFonts w:ascii="宋体" w:hAnsi="宋体"/>
          <w:color w:val="000000"/>
          <w:szCs w:val="21"/>
        </w:rPr>
        <w:t xml:space="preserve">                                                              </w:t>
      </w:r>
      <w:permEnd w:id="547"/>
    </w:p>
    <w:p>
      <w:pPr>
        <w:spacing w:line="400" w:lineRule="exact"/>
        <w:ind w:left="735" w:hanging="735" w:hangingChars="350"/>
        <w:rPr>
          <w:rFonts w:ascii="黑体" w:hAnsi="宋体" w:eastAsia="黑体"/>
          <w:color w:val="000000"/>
          <w:szCs w:val="21"/>
        </w:rPr>
      </w:pPr>
      <w:r>
        <w:rPr>
          <w:rFonts w:hint="eastAsia" w:ascii="黑体" w:hAnsi="宋体" w:eastAsia="黑体"/>
          <w:color w:val="000000"/>
          <w:szCs w:val="21"/>
        </w:rPr>
        <w:t>2.1.3     承包范围内的暂列金额项目</w:t>
      </w:r>
    </w:p>
    <w:p>
      <w:pPr>
        <w:spacing w:line="400" w:lineRule="exact"/>
        <w:ind w:left="945" w:hanging="945" w:hangingChars="450"/>
        <w:rPr>
          <w:rFonts w:ascii="宋体" w:hAnsi="宋体"/>
          <w:color w:val="000000"/>
          <w:szCs w:val="21"/>
        </w:rPr>
      </w:pPr>
      <w:r>
        <w:rPr>
          <w:rFonts w:hint="eastAsia" w:ascii="宋体" w:hAnsi="宋体"/>
          <w:color w:val="000000"/>
          <w:szCs w:val="21"/>
        </w:rPr>
        <w:t>2.1.3.1  承包范围内以暂列金额</w:t>
      </w:r>
      <w:r>
        <w:rPr>
          <w:rFonts w:hint="eastAsia" w:ascii="宋体" w:hAnsi="宋体"/>
          <w:color w:val="000000"/>
          <w:szCs w:val="21"/>
          <w:lang w:eastAsia="zh-CN"/>
        </w:rPr>
        <w:t>（</w:t>
      </w:r>
      <w:r>
        <w:rPr>
          <w:rFonts w:hint="eastAsia" w:ascii="宋体" w:hAnsi="宋体"/>
          <w:color w:val="000000"/>
          <w:szCs w:val="21"/>
        </w:rPr>
        <w:t>包括计日工</w:t>
      </w:r>
      <w:r>
        <w:rPr>
          <w:rFonts w:hint="eastAsia" w:ascii="宋体" w:hAnsi="宋体"/>
          <w:color w:val="000000"/>
          <w:szCs w:val="21"/>
          <w:lang w:eastAsia="zh-CN"/>
        </w:rPr>
        <w:t>）</w:t>
      </w:r>
      <w:r>
        <w:rPr>
          <w:rFonts w:hint="eastAsia" w:ascii="宋体" w:hAnsi="宋体"/>
          <w:color w:val="000000"/>
          <w:szCs w:val="21"/>
        </w:rPr>
        <w:t>方式实施的项目见第五章“工程量清单”表4.1l—l“暂列金额明细表”</w:t>
      </w:r>
      <w:r>
        <w:rPr>
          <w:rFonts w:hint="eastAsia" w:ascii="宋体" w:hAnsi="宋体"/>
          <w:color w:val="000000"/>
          <w:szCs w:val="21"/>
          <w:lang w:eastAsia="zh-CN"/>
        </w:rPr>
        <w:t>（</w:t>
      </w:r>
      <w:r>
        <w:rPr>
          <w:rFonts w:hint="eastAsia" w:ascii="宋体" w:hAnsi="宋体"/>
          <w:color w:val="000000"/>
          <w:szCs w:val="21"/>
        </w:rPr>
        <w:t>不包括计日工</w:t>
      </w:r>
      <w:r>
        <w:rPr>
          <w:rFonts w:hint="eastAsia" w:ascii="宋体" w:hAnsi="宋体"/>
          <w:color w:val="000000"/>
          <w:szCs w:val="21"/>
          <w:lang w:eastAsia="zh-CN"/>
        </w:rPr>
        <w:t>）</w:t>
      </w:r>
      <w:r>
        <w:rPr>
          <w:rFonts w:hint="eastAsia" w:ascii="宋体" w:hAnsi="宋体"/>
          <w:color w:val="000000"/>
          <w:szCs w:val="21"/>
        </w:rPr>
        <w:t>和表4.1l一4“计日工表”，其中计日工金额为承包人在其投标报价中按表4.11—4“计日工表”所列计日工子目、数量和相应规定填报的金额。</w:t>
      </w:r>
    </w:p>
    <w:p>
      <w:pPr>
        <w:spacing w:line="400" w:lineRule="exact"/>
        <w:ind w:left="945" w:hanging="945" w:hangingChars="450"/>
        <w:rPr>
          <w:rFonts w:ascii="宋体" w:hAnsi="宋体"/>
          <w:color w:val="000000"/>
          <w:szCs w:val="21"/>
        </w:rPr>
      </w:pPr>
      <w:r>
        <w:rPr>
          <w:rFonts w:hint="eastAsia" w:ascii="宋体" w:hAnsi="宋体"/>
          <w:color w:val="000000"/>
          <w:szCs w:val="21"/>
        </w:rPr>
        <w:t>2.1.3.2  暂列金额明细表中每笔暂列金额所对应的子目，包括计日工，均只是可能发生的子目。承包人应当充分认识到，合同履行过程中所列暂列金额可能不发生，也可能部分发生。即便发生，监理人按照合同约定发出的使用暂列金额的指示也不限于只能用于表中所列子目。</w:t>
      </w:r>
    </w:p>
    <w:p>
      <w:pPr>
        <w:spacing w:line="400" w:lineRule="exact"/>
        <w:ind w:left="945" w:hanging="945" w:hangingChars="450"/>
        <w:rPr>
          <w:rFonts w:ascii="宋体" w:hAnsi="宋体"/>
          <w:color w:val="000000"/>
          <w:szCs w:val="21"/>
        </w:rPr>
      </w:pPr>
      <w:r>
        <w:rPr>
          <w:rFonts w:hint="eastAsia" w:ascii="宋体" w:hAnsi="宋体"/>
          <w:color w:val="000000"/>
          <w:szCs w:val="21"/>
        </w:rPr>
        <w:t>2.1.3.3  暂列金额是否实际发生、其再分和合并等均不应成为承包人要求任何追加费用和</w:t>
      </w:r>
      <w:r>
        <w:rPr>
          <w:rFonts w:hint="eastAsia" w:ascii="宋体" w:hAnsi="宋体"/>
          <w:color w:val="000000"/>
          <w:szCs w:val="21"/>
          <w:lang w:eastAsia="zh-CN"/>
        </w:rPr>
        <w:t>（</w:t>
      </w:r>
      <w:r>
        <w:rPr>
          <w:rFonts w:hint="eastAsia" w:ascii="宋体" w:hAnsi="宋体"/>
          <w:color w:val="000000"/>
          <w:szCs w:val="21"/>
        </w:rPr>
        <w:t>或</w:t>
      </w:r>
      <w:r>
        <w:rPr>
          <w:rFonts w:hint="eastAsia" w:ascii="宋体" w:hAnsi="宋体"/>
          <w:color w:val="000000"/>
          <w:szCs w:val="21"/>
          <w:lang w:eastAsia="zh-CN"/>
        </w:rPr>
        <w:t>）</w:t>
      </w:r>
      <w:r>
        <w:rPr>
          <w:rFonts w:hint="eastAsia" w:ascii="宋体" w:hAnsi="宋体"/>
          <w:color w:val="000000"/>
          <w:szCs w:val="21"/>
        </w:rPr>
        <w:t>延长工期的理由。</w:t>
      </w:r>
    </w:p>
    <w:p>
      <w:pPr>
        <w:spacing w:line="400" w:lineRule="exact"/>
        <w:ind w:left="735" w:hanging="735" w:hangingChars="350"/>
        <w:rPr>
          <w:rFonts w:ascii="宋体" w:hAnsi="宋体"/>
          <w:color w:val="000000"/>
          <w:szCs w:val="21"/>
        </w:rPr>
      </w:pPr>
      <w:r>
        <w:rPr>
          <w:rFonts w:hint="eastAsia" w:ascii="宋体" w:hAnsi="宋体"/>
          <w:color w:val="000000"/>
          <w:szCs w:val="21"/>
        </w:rPr>
        <w:t>2.1.3.4  关于暂列金额的其他说明：</w:t>
      </w:r>
    </w:p>
    <w:p>
      <w:pPr>
        <w:spacing w:line="400" w:lineRule="exact"/>
        <w:ind w:left="735" w:hanging="735" w:hangingChars="350"/>
        <w:rPr>
          <w:rFonts w:ascii="宋体" w:hAnsi="宋体"/>
          <w:color w:val="000000"/>
          <w:szCs w:val="21"/>
        </w:rPr>
      </w:pPr>
      <w:permStart w:id="548" w:edGrp="everyone"/>
      <w:r>
        <w:rPr>
          <w:rFonts w:hint="eastAsia" w:ascii="宋体" w:hAnsi="宋体"/>
          <w:color w:val="000000"/>
          <w:szCs w:val="21"/>
        </w:rPr>
        <w:t xml:space="preserve">                                                                          </w:t>
      </w:r>
      <w:permEnd w:id="548"/>
    </w:p>
    <w:p>
      <w:pPr>
        <w:rPr>
          <w:rFonts w:ascii="黑体" w:eastAsia="黑体"/>
          <w:color w:val="000000"/>
          <w:sz w:val="24"/>
        </w:rPr>
      </w:pPr>
      <w:r>
        <w:rPr>
          <w:rFonts w:hint="eastAsia" w:ascii="黑体" w:eastAsia="黑体"/>
          <w:color w:val="000000"/>
          <w:sz w:val="24"/>
        </w:rPr>
        <w:t>2.2发包人发包专业工程和发包人供应的材料和工程设备</w:t>
      </w:r>
    </w:p>
    <w:p>
      <w:pPr>
        <w:spacing w:line="400" w:lineRule="exact"/>
        <w:ind w:left="735" w:hanging="735" w:hangingChars="350"/>
        <w:rPr>
          <w:rFonts w:ascii="宋体" w:hAnsi="宋体"/>
          <w:color w:val="000000"/>
          <w:szCs w:val="21"/>
        </w:rPr>
      </w:pPr>
      <w:r>
        <w:rPr>
          <w:rFonts w:hint="eastAsia" w:ascii="宋体" w:hAnsi="宋体"/>
          <w:color w:val="000000"/>
          <w:szCs w:val="21"/>
        </w:rPr>
        <w:t>2.2.1  由发包人发包的专业工程属于与本工程有关的其他工程，不属于承包人的承包范围。发包人发包的专业工程如下：</w:t>
      </w:r>
    </w:p>
    <w:p>
      <w:pPr>
        <w:spacing w:line="500" w:lineRule="exact"/>
        <w:ind w:left="735" w:hanging="735" w:hangingChars="350"/>
        <w:rPr>
          <w:rFonts w:ascii="宋体" w:hAnsi="宋体"/>
          <w:color w:val="000000"/>
          <w:szCs w:val="21"/>
        </w:rPr>
      </w:pPr>
      <w:permStart w:id="549" w:edGrp="everyone"/>
      <w:r>
        <w:rPr>
          <w:rFonts w:hint="eastAsia" w:ascii="宋体" w:hAnsi="宋体"/>
          <w:color w:val="000000"/>
          <w:szCs w:val="21"/>
        </w:rPr>
        <w:t xml:space="preserve">                                                                    </w:t>
      </w:r>
      <w:permEnd w:id="549"/>
    </w:p>
    <w:p>
      <w:pPr>
        <w:spacing w:line="400" w:lineRule="exact"/>
        <w:ind w:left="735" w:hanging="735" w:hangingChars="350"/>
        <w:rPr>
          <w:rFonts w:ascii="宋体" w:hAnsi="宋体"/>
          <w:color w:val="000000"/>
          <w:szCs w:val="21"/>
        </w:rPr>
      </w:pPr>
      <w:r>
        <w:rPr>
          <w:rFonts w:hint="eastAsia" w:ascii="宋体" w:hAnsi="宋体"/>
          <w:color w:val="000000"/>
          <w:szCs w:val="21"/>
        </w:rPr>
        <w:t>2.2.2  由发包人供应的材料和工程设备不属于承包人的承包范围。发包人供应的材料和工程设备见合同附件二“发包人供应的材料和工程设备一览表”。</w:t>
      </w:r>
    </w:p>
    <w:p>
      <w:pPr>
        <w:rPr>
          <w:rFonts w:ascii="黑体" w:eastAsia="黑体"/>
          <w:color w:val="000000"/>
          <w:sz w:val="24"/>
        </w:rPr>
      </w:pPr>
      <w:r>
        <w:rPr>
          <w:rFonts w:hint="eastAsia" w:ascii="黑体" w:eastAsia="黑体"/>
          <w:color w:val="000000"/>
          <w:sz w:val="24"/>
        </w:rPr>
        <w:t>2.3承包人与发包人发包专业工程承包人的工作界面</w:t>
      </w:r>
    </w:p>
    <w:p>
      <w:pPr>
        <w:spacing w:line="400" w:lineRule="exact"/>
        <w:ind w:left="735" w:hanging="735" w:hangingChars="350"/>
        <w:rPr>
          <w:rFonts w:ascii="宋体" w:hAnsi="宋体"/>
          <w:color w:val="000000"/>
          <w:szCs w:val="21"/>
        </w:rPr>
      </w:pPr>
      <w:r>
        <w:rPr>
          <w:rFonts w:hint="eastAsia" w:ascii="宋体" w:hAnsi="宋体"/>
          <w:color w:val="000000"/>
          <w:szCs w:val="21"/>
        </w:rPr>
        <w:t>2.3.1  承包人与发包人发包专业工程承包人以及与发包人供应的材料和设备的供应商之间的工作界面划分如下：</w:t>
      </w:r>
    </w:p>
    <w:p>
      <w:pPr>
        <w:spacing w:line="500" w:lineRule="exact"/>
        <w:ind w:left="735" w:hanging="735" w:hangingChars="350"/>
        <w:rPr>
          <w:rFonts w:ascii="宋体" w:hAnsi="宋体"/>
          <w:color w:val="000000"/>
          <w:szCs w:val="21"/>
        </w:rPr>
      </w:pPr>
      <w:permStart w:id="550" w:edGrp="everyone"/>
      <w:r>
        <w:rPr>
          <w:rFonts w:hint="eastAsia" w:ascii="宋体" w:hAnsi="宋体"/>
          <w:color w:val="000000"/>
          <w:szCs w:val="21"/>
        </w:rPr>
        <w:t xml:space="preserve">                                                                       </w:t>
      </w:r>
      <w:r>
        <w:rPr>
          <w:rFonts w:ascii="宋体" w:hAnsi="宋体"/>
          <w:color w:val="000000"/>
          <w:szCs w:val="21"/>
        </w:rPr>
        <w:t xml:space="preserve"> </w:t>
      </w:r>
      <w:r>
        <w:rPr>
          <w:rFonts w:hint="eastAsia" w:ascii="宋体" w:hAnsi="宋体"/>
          <w:color w:val="000000"/>
          <w:szCs w:val="21"/>
        </w:rPr>
        <w:t xml:space="preserve">         </w:t>
      </w:r>
      <w:permEnd w:id="550"/>
    </w:p>
    <w:p>
      <w:pPr>
        <w:spacing w:line="400" w:lineRule="exact"/>
        <w:ind w:left="840" w:hanging="840" w:hangingChars="350"/>
        <w:rPr>
          <w:rFonts w:ascii="黑体" w:hAnsi="宋体" w:eastAsia="黑体"/>
          <w:color w:val="000000"/>
          <w:sz w:val="24"/>
        </w:rPr>
      </w:pPr>
      <w:r>
        <w:rPr>
          <w:rFonts w:hint="eastAsia" w:ascii="黑体" w:hAnsi="宋体" w:eastAsia="黑体"/>
          <w:color w:val="000000"/>
          <w:sz w:val="24"/>
        </w:rPr>
        <w:t>2.4    承包人需要为发包人和监理人提供的现场办公条件和设施</w:t>
      </w:r>
    </w:p>
    <w:p>
      <w:pPr>
        <w:spacing w:line="400" w:lineRule="exact"/>
        <w:ind w:left="735" w:hanging="735" w:hangingChars="350"/>
        <w:rPr>
          <w:rFonts w:ascii="宋体" w:hAnsi="宋体"/>
          <w:color w:val="000000"/>
          <w:szCs w:val="21"/>
        </w:rPr>
      </w:pPr>
      <w:r>
        <w:rPr>
          <w:rFonts w:hint="eastAsia" w:ascii="宋体" w:hAnsi="宋体"/>
          <w:color w:val="000000"/>
          <w:szCs w:val="21"/>
        </w:rPr>
        <w:t>2.4.1  承包人需要为发包人和监理人提供的现场办公条件和设施及其详细要求如下：</w:t>
      </w:r>
    </w:p>
    <w:p>
      <w:pPr>
        <w:spacing w:line="400" w:lineRule="exact"/>
        <w:ind w:left="735" w:hanging="735" w:hangingChars="350"/>
        <w:rPr>
          <w:rFonts w:ascii="宋体" w:hAnsi="宋体"/>
          <w:color w:val="000000"/>
          <w:szCs w:val="21"/>
        </w:rPr>
      </w:pPr>
      <w:permStart w:id="551" w:edGrp="everyone"/>
      <w:r>
        <w:rPr>
          <w:rFonts w:hint="eastAsia" w:ascii="宋体" w:hAnsi="宋体"/>
          <w:color w:val="000000"/>
          <w:szCs w:val="21"/>
        </w:rPr>
        <w:t xml:space="preserve">                                                                                </w:t>
      </w:r>
    </w:p>
    <w:p>
      <w:pPr>
        <w:spacing w:line="400" w:lineRule="exact"/>
        <w:ind w:left="735" w:hanging="735" w:hangingChars="350"/>
        <w:rPr>
          <w:rFonts w:ascii="宋体" w:hAnsi="宋体"/>
          <w:color w:val="000000"/>
          <w:szCs w:val="21"/>
        </w:rPr>
      </w:pPr>
      <w:r>
        <w:rPr>
          <w:rFonts w:hint="eastAsia" w:ascii="宋体" w:hAnsi="宋体"/>
          <w:color w:val="000000"/>
          <w:szCs w:val="21"/>
        </w:rPr>
        <w:t xml:space="preserve">     </w:t>
      </w:r>
      <w:r>
        <w:rPr>
          <w:rFonts w:ascii="宋体" w:hAnsi="宋体"/>
          <w:color w:val="000000"/>
          <w:szCs w:val="21"/>
        </w:rPr>
        <w:t xml:space="preserve">                                                                             </w:t>
      </w:r>
      <w:permEnd w:id="551"/>
    </w:p>
    <w:p>
      <w:pPr>
        <w:spacing w:before="240" w:beforeLines="100" w:after="240" w:afterLines="100" w:line="400" w:lineRule="exact"/>
        <w:ind w:left="980" w:hanging="980" w:hangingChars="350"/>
        <w:outlineLvl w:val="3"/>
        <w:rPr>
          <w:rFonts w:ascii="黑体" w:hAnsi="宋体" w:eastAsia="黑体"/>
          <w:color w:val="000000"/>
          <w:sz w:val="28"/>
          <w:szCs w:val="28"/>
        </w:rPr>
      </w:pPr>
      <w:bookmarkStart w:id="1316" w:name="_Toc295812288"/>
      <w:bookmarkStart w:id="1317" w:name="_Toc114222857"/>
      <w:r>
        <w:rPr>
          <w:rFonts w:hint="eastAsia" w:ascii="黑体" w:hAnsi="宋体" w:eastAsia="黑体"/>
          <w:color w:val="000000"/>
          <w:sz w:val="28"/>
          <w:szCs w:val="28"/>
        </w:rPr>
        <w:t>3.工期要求</w:t>
      </w:r>
      <w:bookmarkEnd w:id="1316"/>
      <w:bookmarkEnd w:id="1317"/>
    </w:p>
    <w:p>
      <w:pPr>
        <w:rPr>
          <w:rFonts w:ascii="黑体" w:eastAsia="黑体"/>
          <w:color w:val="000000"/>
          <w:sz w:val="24"/>
        </w:rPr>
      </w:pPr>
      <w:r>
        <w:rPr>
          <w:rFonts w:hint="eastAsia" w:ascii="黑体" w:eastAsia="黑体"/>
          <w:color w:val="000000"/>
          <w:sz w:val="24"/>
        </w:rPr>
        <w:t>3.1合同工期</w:t>
      </w:r>
    </w:p>
    <w:p>
      <w:pPr>
        <w:spacing w:line="400" w:lineRule="exact"/>
        <w:ind w:left="711" w:leftChars="333" w:hanging="12" w:hangingChars="6"/>
        <w:rPr>
          <w:rFonts w:ascii="宋体" w:hAnsi="宋体"/>
          <w:color w:val="000000"/>
          <w:szCs w:val="21"/>
        </w:rPr>
      </w:pPr>
      <w:r>
        <w:rPr>
          <w:rFonts w:hint="eastAsia" w:ascii="宋体" w:hAnsi="宋体"/>
          <w:color w:val="000000"/>
          <w:szCs w:val="21"/>
        </w:rPr>
        <w:t>本工程合同工期和计划开、竣工日期为承包人在投标函附录中承诺的工期和计划开、竣工日期，并在合同协议书中载明。</w:t>
      </w:r>
    </w:p>
    <w:p>
      <w:pPr>
        <w:rPr>
          <w:rFonts w:ascii="黑体" w:eastAsia="黑体"/>
          <w:color w:val="000000"/>
          <w:sz w:val="24"/>
        </w:rPr>
      </w:pPr>
      <w:r>
        <w:rPr>
          <w:rFonts w:hint="eastAsia" w:ascii="黑体" w:eastAsia="黑体"/>
          <w:color w:val="000000"/>
          <w:sz w:val="24"/>
        </w:rPr>
        <w:t>3.2关于工期的一般规定</w:t>
      </w:r>
    </w:p>
    <w:p>
      <w:pPr>
        <w:spacing w:line="400" w:lineRule="exact"/>
        <w:ind w:left="735" w:hanging="735" w:hangingChars="350"/>
        <w:rPr>
          <w:rFonts w:ascii="宋体" w:hAnsi="宋体"/>
          <w:color w:val="000000"/>
          <w:szCs w:val="21"/>
        </w:rPr>
      </w:pPr>
      <w:r>
        <w:rPr>
          <w:rFonts w:hint="eastAsia" w:ascii="宋体" w:hAnsi="宋体"/>
          <w:color w:val="000000"/>
          <w:szCs w:val="21"/>
        </w:rPr>
        <w:t>3.2.1  承包人在投标函中承诺的工期和计划开、竣工日期之间发生矛盾或者不一致时，以承包人承诺的工期为准。实际开工日期以通用合同条款第11.1款约定的监理人发出的开工通知中载明的开工日期为准。</w:t>
      </w:r>
    </w:p>
    <w:p>
      <w:pPr>
        <w:spacing w:line="400" w:lineRule="exact"/>
        <w:ind w:left="735" w:hanging="735" w:hangingChars="350"/>
        <w:rPr>
          <w:rFonts w:ascii="宋体" w:hAnsi="宋体"/>
          <w:color w:val="000000"/>
          <w:szCs w:val="21"/>
        </w:rPr>
      </w:pPr>
      <w:r>
        <w:rPr>
          <w:rFonts w:hint="eastAsia" w:ascii="宋体" w:hAnsi="宋体"/>
          <w:color w:val="000000"/>
          <w:szCs w:val="21"/>
        </w:rPr>
        <w:t>3.2.2  如果承包人在投标函附录中承诺的工期提前于发包人在本工程招标文件中所要求的工期，承包人在施工组织设计中应当制定相应的工期保证措施，由此而增加的费用应当被认为已经包括在投标总价中。除合同另有约定外，合同履约过程中发包人不会因此再向承包人支付任何性质的技术措施费用、赶工费用或其他任何性质的提前完工奖励等费用。</w:t>
      </w:r>
    </w:p>
    <w:p>
      <w:pPr>
        <w:spacing w:line="400" w:lineRule="exact"/>
        <w:ind w:left="735" w:hanging="735" w:hangingChars="350"/>
        <w:rPr>
          <w:rFonts w:ascii="宋体" w:hAnsi="宋体"/>
          <w:color w:val="000000"/>
          <w:szCs w:val="21"/>
        </w:rPr>
      </w:pPr>
      <w:r>
        <w:rPr>
          <w:rFonts w:hint="eastAsia" w:ascii="宋体" w:hAnsi="宋体"/>
          <w:color w:val="000000"/>
          <w:szCs w:val="21"/>
        </w:rPr>
        <w:t>3.2.3  承包人在投标函附录中所承诺的工期应当包括实施并完成本节上述2.1.2项规定的暂估价项目和上述2.1.3项规定的实际可能发生的暂列金额在内的所有工作的工期。</w:t>
      </w:r>
    </w:p>
    <w:p>
      <w:pPr>
        <w:spacing w:after="240" w:afterLines="100" w:line="400" w:lineRule="exact"/>
        <w:ind w:left="980" w:hanging="980" w:hangingChars="350"/>
        <w:outlineLvl w:val="3"/>
        <w:rPr>
          <w:rFonts w:ascii="黑体" w:hAnsi="宋体" w:eastAsia="黑体"/>
          <w:color w:val="000000"/>
          <w:sz w:val="28"/>
          <w:szCs w:val="28"/>
        </w:rPr>
      </w:pPr>
      <w:bookmarkStart w:id="1318" w:name="_Toc295812289"/>
      <w:bookmarkStart w:id="1319" w:name="_Toc114222858"/>
      <w:r>
        <w:rPr>
          <w:rFonts w:hint="eastAsia" w:ascii="黑体" w:hAnsi="宋体" w:eastAsia="黑体"/>
          <w:color w:val="000000"/>
          <w:sz w:val="28"/>
          <w:szCs w:val="28"/>
        </w:rPr>
        <w:t>4.质量要求</w:t>
      </w:r>
      <w:bookmarkEnd w:id="1318"/>
      <w:bookmarkEnd w:id="1319"/>
    </w:p>
    <w:p>
      <w:pPr>
        <w:rPr>
          <w:rFonts w:ascii="黑体" w:eastAsia="黑体"/>
          <w:color w:val="000000"/>
          <w:sz w:val="24"/>
        </w:rPr>
      </w:pPr>
      <w:r>
        <w:rPr>
          <w:rFonts w:hint="eastAsia" w:ascii="黑体" w:eastAsia="黑体"/>
          <w:color w:val="000000"/>
          <w:sz w:val="24"/>
        </w:rPr>
        <w:t>4.1质量标准</w:t>
      </w:r>
    </w:p>
    <w:p>
      <w:pPr>
        <w:spacing w:line="400" w:lineRule="exact"/>
        <w:ind w:left="735" w:hanging="735" w:hangingChars="350"/>
        <w:rPr>
          <w:rFonts w:ascii="宋体" w:hAnsi="宋体"/>
          <w:color w:val="000000"/>
          <w:szCs w:val="21"/>
        </w:rPr>
      </w:pPr>
      <w:r>
        <w:rPr>
          <w:rFonts w:hint="eastAsia" w:ascii="宋体" w:hAnsi="宋体"/>
          <w:color w:val="000000"/>
          <w:szCs w:val="21"/>
        </w:rPr>
        <w:t>4.1.1  本工程要求的质量标准为</w:t>
      </w:r>
      <w:r>
        <w:rPr>
          <w:rFonts w:hint="eastAsia" w:ascii="宋体" w:hAnsi="宋体"/>
          <w:color w:val="000000"/>
          <w:szCs w:val="21"/>
          <w:u w:val="single"/>
        </w:rPr>
        <w:t>符合现行国家有关工程施工验收规范和标准的要求合格</w:t>
      </w:r>
      <w:r>
        <w:rPr>
          <w:rFonts w:hint="eastAsia" w:ascii="宋体" w:hAnsi="宋体"/>
          <w:color w:val="000000"/>
          <w:szCs w:val="21"/>
        </w:rPr>
        <w:t>。</w:t>
      </w:r>
    </w:p>
    <w:p>
      <w:pPr>
        <w:rPr>
          <w:rFonts w:ascii="黑体" w:eastAsia="黑体"/>
          <w:color w:val="000000"/>
          <w:sz w:val="24"/>
        </w:rPr>
      </w:pPr>
      <w:r>
        <w:rPr>
          <w:rFonts w:hint="eastAsia" w:ascii="黑体" w:eastAsia="黑体"/>
          <w:color w:val="000000"/>
          <w:sz w:val="24"/>
        </w:rPr>
        <w:t>4.2特殊质量要求</w:t>
      </w:r>
    </w:p>
    <w:p>
      <w:pPr>
        <w:spacing w:line="400" w:lineRule="exact"/>
        <w:ind w:left="735" w:hanging="735" w:hangingChars="350"/>
        <w:rPr>
          <w:rFonts w:ascii="宋体" w:hAnsi="宋体"/>
          <w:color w:val="000000"/>
          <w:szCs w:val="21"/>
        </w:rPr>
      </w:pPr>
      <w:r>
        <w:rPr>
          <w:rFonts w:hint="eastAsia" w:ascii="宋体" w:hAnsi="宋体"/>
          <w:color w:val="000000"/>
          <w:szCs w:val="21"/>
        </w:rPr>
        <w:t>4.2.1  有关本工程质量方面的特殊要求如下：</w:t>
      </w:r>
    </w:p>
    <w:p>
      <w:pPr>
        <w:spacing w:line="500" w:lineRule="exact"/>
        <w:ind w:left="735" w:hanging="735" w:hangingChars="350"/>
        <w:rPr>
          <w:rFonts w:ascii="宋体" w:hAnsi="宋体"/>
          <w:color w:val="000000"/>
          <w:szCs w:val="21"/>
        </w:rPr>
      </w:pPr>
      <w:permStart w:id="552" w:edGrp="everyone"/>
      <w:r>
        <w:rPr>
          <w:rFonts w:hint="eastAsia" w:ascii="宋体" w:hAnsi="宋体"/>
          <w:color w:val="000000"/>
          <w:szCs w:val="21"/>
        </w:rPr>
        <w:t xml:space="preserve">                           </w:t>
      </w:r>
      <w:r>
        <w:rPr>
          <w:rFonts w:ascii="宋体" w:hAnsi="宋体"/>
          <w:color w:val="000000"/>
          <w:szCs w:val="21"/>
        </w:rPr>
        <w:t xml:space="preserve">                                                                                </w:t>
      </w:r>
      <w:r>
        <w:rPr>
          <w:rFonts w:hint="eastAsia" w:ascii="宋体" w:hAnsi="宋体"/>
          <w:color w:val="000000"/>
          <w:szCs w:val="21"/>
        </w:rPr>
        <w:t xml:space="preserve">                                      </w:t>
      </w:r>
    </w:p>
    <w:p>
      <w:pPr>
        <w:spacing w:line="500" w:lineRule="exact"/>
        <w:ind w:left="735" w:hanging="735" w:hangingChars="350"/>
        <w:rPr>
          <w:rFonts w:ascii="宋体" w:hAnsi="宋体"/>
          <w:color w:val="000000"/>
          <w:szCs w:val="21"/>
        </w:rPr>
      </w:pPr>
      <w:r>
        <w:rPr>
          <w:rFonts w:hint="eastAsia" w:ascii="宋体" w:hAnsi="宋体"/>
          <w:color w:val="000000"/>
          <w:szCs w:val="21"/>
        </w:rPr>
        <w:t xml:space="preserve">                                                                        </w:t>
      </w:r>
      <w:r>
        <w:rPr>
          <w:rFonts w:ascii="宋体" w:hAnsi="宋体"/>
          <w:color w:val="000000"/>
          <w:szCs w:val="21"/>
        </w:rPr>
        <w:t xml:space="preserve">           </w:t>
      </w:r>
    </w:p>
    <w:permEnd w:id="552"/>
    <w:p>
      <w:pPr>
        <w:spacing w:before="240" w:beforeLines="100" w:after="240" w:afterLines="100" w:line="400" w:lineRule="exact"/>
        <w:ind w:left="980" w:hanging="980" w:hangingChars="350"/>
        <w:outlineLvl w:val="3"/>
        <w:rPr>
          <w:rFonts w:ascii="黑体" w:hAnsi="宋体" w:eastAsia="黑体"/>
          <w:color w:val="000000"/>
          <w:sz w:val="28"/>
          <w:szCs w:val="28"/>
        </w:rPr>
      </w:pPr>
      <w:bookmarkStart w:id="1320" w:name="_Toc114222859"/>
      <w:bookmarkStart w:id="1321" w:name="_Toc295812290"/>
      <w:r>
        <w:rPr>
          <w:rFonts w:hint="eastAsia" w:ascii="黑体" w:hAnsi="宋体" w:eastAsia="黑体"/>
          <w:color w:val="000000"/>
          <w:sz w:val="28"/>
          <w:szCs w:val="28"/>
        </w:rPr>
        <w:t>5.适用规范和标准</w:t>
      </w:r>
      <w:bookmarkEnd w:id="1320"/>
      <w:bookmarkEnd w:id="1321"/>
    </w:p>
    <w:p>
      <w:pPr>
        <w:rPr>
          <w:rFonts w:ascii="黑体" w:eastAsia="黑体"/>
          <w:color w:val="000000"/>
          <w:sz w:val="24"/>
        </w:rPr>
      </w:pPr>
      <w:r>
        <w:rPr>
          <w:rFonts w:hint="eastAsia" w:ascii="黑体" w:eastAsia="黑体"/>
          <w:color w:val="000000"/>
          <w:sz w:val="24"/>
        </w:rPr>
        <w:t>5.1适用的规范、标准和规程</w:t>
      </w:r>
    </w:p>
    <w:p>
      <w:pPr>
        <w:spacing w:line="420" w:lineRule="exact"/>
        <w:ind w:left="735" w:hanging="735" w:hangingChars="350"/>
        <w:rPr>
          <w:rFonts w:ascii="宋体" w:hAnsi="宋体"/>
          <w:color w:val="000000"/>
          <w:szCs w:val="21"/>
        </w:rPr>
      </w:pPr>
      <w:r>
        <w:rPr>
          <w:rFonts w:hint="eastAsia" w:ascii="宋体" w:hAnsi="宋体"/>
          <w:color w:val="000000"/>
          <w:szCs w:val="21"/>
        </w:rPr>
        <w:t>5.1.1  除合同另有约定外，本工程适用现行国家、行业和地方规范、标准和规程。适用于本工程的国家、行业和地方的规范、标准和规范等的名录见本章第三节。</w:t>
      </w:r>
    </w:p>
    <w:p>
      <w:pPr>
        <w:spacing w:line="420" w:lineRule="exact"/>
        <w:ind w:left="737"/>
        <w:rPr>
          <w:rFonts w:ascii="宋体" w:hAnsi="宋体"/>
          <w:color w:val="000000"/>
          <w:szCs w:val="21"/>
        </w:rPr>
      </w:pPr>
      <w:r>
        <w:rPr>
          <w:rFonts w:hint="eastAsia" w:ascii="宋体" w:hAnsi="宋体"/>
          <w:color w:val="000000"/>
          <w:szCs w:val="21"/>
        </w:rPr>
        <w:t>构成合同文件的任何内容与适用的规范、标准和规程之间出现矛盾，承包人应书面要求监理人予以澄清，除监理人有特别指示外，承包人应按照其中要求最严格的标准执行。</w:t>
      </w:r>
    </w:p>
    <w:p>
      <w:pPr>
        <w:spacing w:line="420" w:lineRule="exact"/>
        <w:ind w:left="735" w:hanging="735" w:hangingChars="350"/>
        <w:rPr>
          <w:rFonts w:ascii="宋体" w:hAnsi="宋体"/>
          <w:color w:val="000000"/>
          <w:szCs w:val="21"/>
        </w:rPr>
      </w:pPr>
      <w:r>
        <w:rPr>
          <w:rFonts w:hint="eastAsia" w:ascii="宋体" w:hAnsi="宋体"/>
          <w:color w:val="000000"/>
          <w:szCs w:val="21"/>
        </w:rPr>
        <w:t>5.1.3  除合同另有约定外，材料、施工工艺和本工程都应依照本技术标准和要求以及适用的现行规范、标准和规程的最新版本执行。若适用的现行规范、标准和规程的最新版本是在基准日后颁布的，且相应标准发生变更并成为合同文件中最严格的标准，则应按合同条款第15条的约定办理。</w:t>
      </w:r>
    </w:p>
    <w:p>
      <w:pPr>
        <w:rPr>
          <w:rFonts w:ascii="黑体" w:eastAsia="黑体"/>
          <w:color w:val="000000"/>
          <w:sz w:val="24"/>
        </w:rPr>
      </w:pPr>
      <w:r>
        <w:rPr>
          <w:rFonts w:hint="eastAsia" w:ascii="黑体" w:eastAsia="黑体"/>
          <w:color w:val="000000"/>
          <w:sz w:val="24"/>
        </w:rPr>
        <w:t>5.2特殊技术标准和要求</w:t>
      </w:r>
    </w:p>
    <w:p>
      <w:pPr>
        <w:spacing w:line="430" w:lineRule="exact"/>
        <w:ind w:left="735" w:hanging="735" w:hangingChars="350"/>
        <w:rPr>
          <w:rFonts w:ascii="宋体" w:hAnsi="宋体"/>
          <w:color w:val="000000"/>
          <w:szCs w:val="21"/>
        </w:rPr>
      </w:pPr>
      <w:r>
        <w:rPr>
          <w:rFonts w:hint="eastAsia" w:ascii="宋体" w:hAnsi="宋体"/>
          <w:color w:val="000000"/>
          <w:szCs w:val="21"/>
        </w:rPr>
        <w:t>5.2.1  适用本工程的特殊技术标准和要求见本章第二节。</w:t>
      </w:r>
    </w:p>
    <w:p>
      <w:pPr>
        <w:spacing w:line="430" w:lineRule="exact"/>
        <w:ind w:left="735" w:hanging="735" w:hangingChars="350"/>
        <w:rPr>
          <w:rFonts w:ascii="宋体" w:hAnsi="宋体"/>
          <w:color w:val="000000"/>
          <w:szCs w:val="21"/>
        </w:rPr>
      </w:pPr>
      <w:r>
        <w:rPr>
          <w:rFonts w:hint="eastAsia" w:ascii="宋体" w:hAnsi="宋体"/>
          <w:color w:val="000000"/>
          <w:szCs w:val="21"/>
        </w:rPr>
        <w:t>5.2.2  有合同约束力的图纸和其他设计文件中的有关文字说明是本节的组成内容。</w:t>
      </w:r>
    </w:p>
    <w:p>
      <w:pPr>
        <w:spacing w:before="240" w:beforeLines="100" w:after="240" w:afterLines="100" w:line="400" w:lineRule="exact"/>
        <w:ind w:left="980" w:hanging="980" w:hangingChars="350"/>
        <w:outlineLvl w:val="3"/>
        <w:rPr>
          <w:rFonts w:ascii="黑体" w:hAnsi="宋体" w:eastAsia="黑体"/>
          <w:color w:val="000000"/>
          <w:sz w:val="28"/>
          <w:szCs w:val="28"/>
        </w:rPr>
      </w:pPr>
      <w:bookmarkStart w:id="1322" w:name="_Toc295812291"/>
      <w:bookmarkStart w:id="1323" w:name="_Toc114222860"/>
      <w:r>
        <w:rPr>
          <w:rFonts w:hint="eastAsia" w:ascii="黑体" w:hAnsi="宋体" w:eastAsia="黑体"/>
          <w:color w:val="000000"/>
          <w:sz w:val="28"/>
          <w:szCs w:val="28"/>
        </w:rPr>
        <w:t>6.安全文明施工</w:t>
      </w:r>
      <w:bookmarkEnd w:id="1322"/>
      <w:bookmarkEnd w:id="1323"/>
    </w:p>
    <w:p>
      <w:pPr>
        <w:rPr>
          <w:rFonts w:ascii="黑体" w:eastAsia="黑体"/>
          <w:color w:val="000000"/>
          <w:sz w:val="24"/>
        </w:rPr>
      </w:pPr>
      <w:r>
        <w:rPr>
          <w:rFonts w:hint="eastAsia" w:ascii="黑体" w:eastAsia="黑体"/>
          <w:color w:val="000000"/>
          <w:sz w:val="24"/>
        </w:rPr>
        <w:t>6.1安全防护</w:t>
      </w:r>
    </w:p>
    <w:p>
      <w:pPr>
        <w:spacing w:line="430" w:lineRule="exact"/>
        <w:ind w:left="735" w:hanging="735" w:hangingChars="350"/>
        <w:rPr>
          <w:rFonts w:ascii="宋体" w:hAnsi="宋体"/>
          <w:color w:val="000000"/>
          <w:szCs w:val="21"/>
        </w:rPr>
      </w:pPr>
      <w:r>
        <w:rPr>
          <w:rFonts w:hint="eastAsia" w:ascii="宋体" w:hAnsi="宋体"/>
          <w:color w:val="000000"/>
          <w:szCs w:val="21"/>
        </w:rPr>
        <w:t>6.1.1  在工程施工、竣工、交付及修补任何缺陷的过程中，承包人应当始终遵守国家和地方有关安全生产的法律、法规、规范、标准和规程等，按照通用合同条款第9.2款的约定履行其安全施工职责。</w:t>
      </w:r>
    </w:p>
    <w:p>
      <w:pPr>
        <w:spacing w:line="430" w:lineRule="exact"/>
        <w:ind w:left="735" w:hanging="735" w:hangingChars="350"/>
        <w:rPr>
          <w:rFonts w:ascii="宋体" w:hAnsi="宋体"/>
          <w:color w:val="000000"/>
          <w:szCs w:val="21"/>
        </w:rPr>
      </w:pPr>
      <w:r>
        <w:rPr>
          <w:rFonts w:hint="eastAsia" w:ascii="宋体" w:hAnsi="宋体"/>
          <w:color w:val="000000"/>
          <w:szCs w:val="21"/>
        </w:rPr>
        <w:t>6.1.2  承包人应坚持“安全第一，预防为主”的方针，建立、健全安全生产责任制度和安全生产教育培训制度。在整个工程施工期间，承包人应在施工场地</w:t>
      </w:r>
      <w:r>
        <w:rPr>
          <w:rFonts w:hint="eastAsia" w:ascii="宋体" w:hAnsi="宋体"/>
          <w:color w:val="000000"/>
          <w:szCs w:val="21"/>
          <w:lang w:eastAsia="zh-CN"/>
        </w:rPr>
        <w:t>（</w:t>
      </w:r>
      <w:r>
        <w:rPr>
          <w:rFonts w:hint="eastAsia" w:ascii="宋体" w:hAnsi="宋体"/>
          <w:color w:val="000000"/>
          <w:szCs w:val="21"/>
        </w:rPr>
        <w:t>现场</w:t>
      </w:r>
      <w:r>
        <w:rPr>
          <w:rFonts w:hint="eastAsia" w:ascii="宋体" w:hAnsi="宋体"/>
          <w:color w:val="000000"/>
          <w:szCs w:val="21"/>
          <w:lang w:eastAsia="zh-CN"/>
        </w:rPr>
        <w:t>）</w:t>
      </w:r>
      <w:r>
        <w:rPr>
          <w:rFonts w:hint="eastAsia" w:ascii="宋体" w:hAnsi="宋体"/>
          <w:color w:val="000000"/>
          <w:szCs w:val="21"/>
        </w:rPr>
        <w:t>设立、提供和维护并在有关工作完成或竣工后撤除：</w:t>
      </w:r>
    </w:p>
    <w:p>
      <w:pPr>
        <w:spacing w:line="420" w:lineRule="exact"/>
        <w:ind w:left="1075" w:leftChars="249" w:hanging="552" w:hangingChars="263"/>
        <w:rPr>
          <w:rFonts w:ascii="宋体" w:hAnsi="宋体"/>
          <w:color w:val="000000"/>
          <w:szCs w:val="21"/>
        </w:rPr>
      </w:pPr>
      <w:r>
        <w:rPr>
          <w:rFonts w:hint="eastAsia" w:ascii="宋体" w:hAnsi="宋体"/>
          <w:color w:val="000000"/>
          <w:szCs w:val="21"/>
        </w:rPr>
        <w:t>（1）设立在现场入口显著位置的现场施工总平面图、总平面管理、安全生产、文明施工、环境保护、质量控制、材料管理等的规章制度和主要参建单位名称和工程概况等说明的图板；</w:t>
      </w:r>
    </w:p>
    <w:p>
      <w:pPr>
        <w:spacing w:line="400" w:lineRule="exact"/>
        <w:ind w:left="1050" w:leftChars="250" w:hanging="525" w:hangingChars="250"/>
        <w:rPr>
          <w:rFonts w:ascii="宋体" w:hAnsi="宋体"/>
          <w:color w:val="000000"/>
          <w:szCs w:val="21"/>
        </w:rPr>
      </w:pPr>
      <w:r>
        <w:rPr>
          <w:rFonts w:hint="eastAsia" w:ascii="宋体" w:hAnsi="宋体"/>
          <w:color w:val="000000"/>
          <w:szCs w:val="21"/>
        </w:rPr>
        <w:t>（2）为确保工程安全施工须设立的足够的标志、宣传画、标语、指示牌、警告牌、火警、匪警和急救电话提示牌等等；</w:t>
      </w:r>
    </w:p>
    <w:p>
      <w:pPr>
        <w:spacing w:line="400" w:lineRule="exact"/>
        <w:ind w:left="1155" w:leftChars="250" w:hanging="630" w:hangingChars="300"/>
        <w:rPr>
          <w:rFonts w:ascii="宋体" w:hAnsi="宋体"/>
          <w:color w:val="000000"/>
          <w:szCs w:val="21"/>
        </w:rPr>
      </w:pPr>
      <w:r>
        <w:rPr>
          <w:rFonts w:hint="eastAsia" w:ascii="宋体" w:hAnsi="宋体"/>
          <w:color w:val="000000"/>
          <w:szCs w:val="21"/>
        </w:rPr>
        <w:t>（3）洞口和临边位置的安全防护设施，包括护身栏杆、脚手架、洞口盖板和加筋、竖井防护栏杆、防护棚、防护网、坡道等等；</w:t>
      </w:r>
    </w:p>
    <w:p>
      <w:pPr>
        <w:spacing w:line="400" w:lineRule="exact"/>
        <w:ind w:left="1155" w:leftChars="250" w:hanging="630" w:hangingChars="300"/>
        <w:rPr>
          <w:rFonts w:ascii="宋体" w:hAnsi="宋体"/>
          <w:color w:val="000000"/>
          <w:szCs w:val="21"/>
        </w:rPr>
      </w:pPr>
      <w:r>
        <w:rPr>
          <w:rFonts w:hint="eastAsia" w:ascii="宋体" w:hAnsi="宋体"/>
          <w:color w:val="000000"/>
          <w:szCs w:val="21"/>
        </w:rPr>
        <w:t>（4）安全带、安全绳、安全帽、安全网、绝缘鞋、绝缘手套、防护口罩和防护衣等安全生产用品；</w:t>
      </w:r>
    </w:p>
    <w:p>
      <w:pPr>
        <w:spacing w:line="400" w:lineRule="exact"/>
        <w:ind w:firstLine="525" w:firstLineChars="250"/>
        <w:rPr>
          <w:rFonts w:ascii="宋体" w:hAnsi="宋体"/>
          <w:color w:val="000000"/>
          <w:szCs w:val="21"/>
        </w:rPr>
      </w:pPr>
      <w:r>
        <w:rPr>
          <w:rFonts w:hint="eastAsia" w:ascii="宋体" w:hAnsi="宋体"/>
          <w:color w:val="000000"/>
          <w:szCs w:val="21"/>
        </w:rPr>
        <w:t>（5）所有机械设备包括各类电动工具的安全保护和接地装置和操作说明；</w:t>
      </w:r>
    </w:p>
    <w:p>
      <w:pPr>
        <w:spacing w:line="400" w:lineRule="exact"/>
        <w:ind w:firstLine="525" w:firstLineChars="250"/>
        <w:rPr>
          <w:rFonts w:ascii="宋体" w:hAnsi="宋体"/>
          <w:color w:val="000000"/>
          <w:szCs w:val="21"/>
        </w:rPr>
      </w:pPr>
      <w:r>
        <w:rPr>
          <w:rFonts w:hint="eastAsia" w:ascii="宋体" w:hAnsi="宋体"/>
          <w:color w:val="000000"/>
          <w:szCs w:val="21"/>
        </w:rPr>
        <w:t>（6）装备良好的临时急救站和配备称职的医护人员；</w:t>
      </w:r>
    </w:p>
    <w:p>
      <w:pPr>
        <w:spacing w:line="400" w:lineRule="exact"/>
        <w:ind w:left="1050" w:leftChars="250" w:hanging="525" w:hangingChars="250"/>
        <w:rPr>
          <w:rFonts w:ascii="宋体" w:hAnsi="宋体"/>
          <w:color w:val="000000"/>
          <w:szCs w:val="21"/>
        </w:rPr>
      </w:pPr>
      <w:r>
        <w:rPr>
          <w:rFonts w:hint="eastAsia" w:ascii="宋体" w:hAnsi="宋体"/>
          <w:color w:val="000000"/>
          <w:szCs w:val="21"/>
        </w:rPr>
        <w:t>（7）主要作业场所和临时安全疏散通道24小时36伏安全照明和必要的警示等以防止各种可能的事故；</w:t>
      </w:r>
    </w:p>
    <w:p>
      <w:pPr>
        <w:spacing w:line="400" w:lineRule="exact"/>
        <w:ind w:firstLine="525" w:firstLineChars="250"/>
        <w:rPr>
          <w:rFonts w:ascii="宋体" w:hAnsi="宋体"/>
          <w:color w:val="000000"/>
          <w:szCs w:val="21"/>
        </w:rPr>
      </w:pPr>
      <w:r>
        <w:rPr>
          <w:rFonts w:hint="eastAsia" w:ascii="宋体" w:hAnsi="宋体"/>
          <w:color w:val="000000"/>
          <w:szCs w:val="21"/>
        </w:rPr>
        <w:t>（8）足够数量的和合格的手提灭火器；</w:t>
      </w:r>
    </w:p>
    <w:p>
      <w:pPr>
        <w:spacing w:line="400" w:lineRule="exact"/>
        <w:ind w:firstLine="525" w:firstLineChars="250"/>
        <w:rPr>
          <w:rFonts w:ascii="宋体" w:hAnsi="宋体"/>
          <w:color w:val="000000"/>
          <w:szCs w:val="21"/>
        </w:rPr>
      </w:pPr>
      <w:r>
        <w:rPr>
          <w:rFonts w:hint="eastAsia" w:ascii="宋体" w:hAnsi="宋体"/>
          <w:color w:val="000000"/>
          <w:szCs w:val="21"/>
        </w:rPr>
        <w:t>（9）装备良好的易燃易爆物品仓库和相应的使用管理制度；</w:t>
      </w:r>
    </w:p>
    <w:p>
      <w:pPr>
        <w:spacing w:line="400" w:lineRule="exact"/>
        <w:ind w:firstLine="525" w:firstLineChars="250"/>
        <w:rPr>
          <w:rFonts w:ascii="宋体" w:hAnsi="宋体"/>
          <w:color w:val="000000"/>
          <w:szCs w:val="21"/>
        </w:rPr>
      </w:pPr>
      <w:r>
        <w:rPr>
          <w:rFonts w:hint="eastAsia" w:ascii="宋体" w:hAnsi="宋体"/>
          <w:color w:val="000000"/>
          <w:szCs w:val="21"/>
        </w:rPr>
        <w:t>（10）对涉及明火施工的工作制定诸如用火证等的管理制度；</w:t>
      </w:r>
    </w:p>
    <w:p>
      <w:pPr>
        <w:spacing w:line="400" w:lineRule="exact"/>
        <w:ind w:firstLine="525" w:firstLineChars="250"/>
        <w:rPr>
          <w:rFonts w:ascii="宋体" w:hAnsi="宋体"/>
          <w:color w:val="000000"/>
          <w:szCs w:val="21"/>
        </w:rPr>
      </w:pPr>
      <w:r>
        <w:rPr>
          <w:rFonts w:hint="eastAsia" w:ascii="宋体" w:hAnsi="宋体"/>
          <w:color w:val="000000"/>
          <w:szCs w:val="21"/>
        </w:rPr>
        <w:t>（11）其他：</w:t>
      </w:r>
      <w:permStart w:id="553" w:edGrp="everyone"/>
      <w:r>
        <w:rPr>
          <w:rFonts w:hint="eastAsia" w:ascii="宋体" w:hAnsi="宋体"/>
          <w:color w:val="000000"/>
          <w:szCs w:val="21"/>
        </w:rPr>
        <w:t xml:space="preserve">                                                               </w:t>
      </w:r>
      <w:permEnd w:id="553"/>
      <w:r>
        <w:rPr>
          <w:rFonts w:hint="eastAsia" w:ascii="宋体" w:hAnsi="宋体"/>
          <w:color w:val="000000"/>
          <w:szCs w:val="21"/>
        </w:rPr>
        <w:t>。</w:t>
      </w:r>
    </w:p>
    <w:p>
      <w:pPr>
        <w:spacing w:line="400" w:lineRule="exact"/>
        <w:ind w:left="945" w:hanging="945" w:hangingChars="450"/>
        <w:rPr>
          <w:rFonts w:ascii="宋体" w:hAnsi="宋体"/>
          <w:color w:val="000000"/>
          <w:szCs w:val="21"/>
        </w:rPr>
      </w:pPr>
      <w:r>
        <w:rPr>
          <w:rFonts w:hint="eastAsia" w:ascii="宋体" w:hAnsi="宋体"/>
          <w:color w:val="000000"/>
          <w:szCs w:val="21"/>
        </w:rPr>
        <w:t>6.1.3    安全文明施工费用必须专款专用，承包人应对其由于安全文明施工费用和施工安全措施不到位而发生的安全事故承担全部责任。</w:t>
      </w:r>
    </w:p>
    <w:p>
      <w:pPr>
        <w:spacing w:line="400" w:lineRule="exact"/>
        <w:ind w:left="945" w:hanging="945" w:hangingChars="450"/>
        <w:rPr>
          <w:rFonts w:ascii="宋体" w:hAnsi="宋体"/>
          <w:color w:val="000000"/>
          <w:szCs w:val="21"/>
        </w:rPr>
      </w:pPr>
      <w:r>
        <w:rPr>
          <w:rFonts w:hint="eastAsia" w:ascii="宋体" w:hAnsi="宋体"/>
          <w:color w:val="000000"/>
          <w:szCs w:val="21"/>
        </w:rPr>
        <w:t>6.1.4    承包人应建立专门的施工场地</w:t>
      </w:r>
      <w:r>
        <w:rPr>
          <w:rFonts w:hint="eastAsia" w:ascii="宋体" w:hAnsi="宋体"/>
          <w:color w:val="000000"/>
          <w:szCs w:val="21"/>
          <w:lang w:eastAsia="zh-CN"/>
        </w:rPr>
        <w:t>（</w:t>
      </w:r>
      <w:r>
        <w:rPr>
          <w:rFonts w:hint="eastAsia" w:ascii="宋体" w:hAnsi="宋体"/>
          <w:color w:val="000000"/>
          <w:szCs w:val="21"/>
        </w:rPr>
        <w:t>现场</w:t>
      </w:r>
      <w:r>
        <w:rPr>
          <w:rFonts w:hint="eastAsia" w:ascii="宋体" w:hAnsi="宋体"/>
          <w:color w:val="000000"/>
          <w:szCs w:val="21"/>
          <w:lang w:eastAsia="zh-CN"/>
        </w:rPr>
        <w:t>）</w:t>
      </w:r>
      <w:r>
        <w:rPr>
          <w:rFonts w:hint="eastAsia" w:ascii="宋体" w:hAnsi="宋体"/>
          <w:color w:val="000000"/>
          <w:szCs w:val="21"/>
        </w:rPr>
        <w:t>安全生产管理机构，配备足够数量的和符合有关规定的专职安全生产管理人员，负责日常安全生产巡查和专项检查，召集和主持现场全体人员参加的安全生产例会</w:t>
      </w:r>
      <w:r>
        <w:rPr>
          <w:rFonts w:hint="eastAsia" w:ascii="宋体" w:hAnsi="宋体"/>
          <w:color w:val="000000"/>
          <w:szCs w:val="21"/>
          <w:lang w:eastAsia="zh-CN"/>
        </w:rPr>
        <w:t>（</w:t>
      </w:r>
      <w:r>
        <w:rPr>
          <w:rFonts w:hint="eastAsia" w:ascii="宋体" w:hAnsi="宋体"/>
          <w:color w:val="000000"/>
          <w:szCs w:val="21"/>
        </w:rPr>
        <w:t>每周至少一次</w:t>
      </w:r>
      <w:r>
        <w:rPr>
          <w:rFonts w:hint="eastAsia" w:ascii="宋体" w:hAnsi="宋体"/>
          <w:color w:val="000000"/>
          <w:szCs w:val="21"/>
          <w:lang w:eastAsia="zh-CN"/>
        </w:rPr>
        <w:t>）</w:t>
      </w:r>
      <w:r>
        <w:rPr>
          <w:rFonts w:hint="eastAsia" w:ascii="宋体" w:hAnsi="宋体"/>
          <w:color w:val="000000"/>
          <w:szCs w:val="21"/>
        </w:rPr>
        <w:t>，负责安全技术交底和技术方案的安全把关，负责制定或审核安全隐患的整改措施并监督落实，负责安全资料的整理和管理，及时消除安全隐患，做好安全检查记录，确保所有的安全设施都处于良好的运转状态。</w:t>
      </w:r>
    </w:p>
    <w:p>
      <w:pPr>
        <w:spacing w:line="400" w:lineRule="exact"/>
        <w:ind w:left="945" w:hanging="945" w:hangingChars="450"/>
        <w:rPr>
          <w:rFonts w:ascii="宋体" w:hAnsi="宋体"/>
          <w:color w:val="000000"/>
          <w:szCs w:val="21"/>
        </w:rPr>
      </w:pPr>
      <w:r>
        <w:rPr>
          <w:rFonts w:hint="eastAsia" w:ascii="宋体" w:hAnsi="宋体"/>
          <w:color w:val="000000"/>
          <w:szCs w:val="21"/>
        </w:rPr>
        <w:t>6.1.5    承包人应遵照有关法规要求，编印安全防护手册发给进场施工人员，做好进场施工人员上岗前的安全教育和培训工作，并建立考核制度，只有考核合格的人员才能进场施工作业。特种作业人员还应经过专门的安全作业培训，并取得特种作业操作资格证书后方可上岗。在任何分部分项工程开始施工前，承包人应当就有关安全施工的技术要求向施工作业班组和作业人员等进行安全交底，并由双方签字确认。</w:t>
      </w:r>
    </w:p>
    <w:p>
      <w:pPr>
        <w:spacing w:line="360" w:lineRule="exact"/>
        <w:ind w:left="945" w:hanging="945" w:hangingChars="450"/>
        <w:rPr>
          <w:rFonts w:ascii="宋体" w:hAnsi="宋体"/>
          <w:color w:val="000000"/>
          <w:szCs w:val="21"/>
        </w:rPr>
      </w:pPr>
      <w:r>
        <w:rPr>
          <w:rFonts w:hint="eastAsia" w:ascii="宋体" w:hAnsi="宋体"/>
          <w:color w:val="000000"/>
          <w:szCs w:val="21"/>
        </w:rPr>
        <w:t>6.1.6    承包人应为其进场施工人员配备必需的安全防护设施和设备，承包人还应为施工场地</w:t>
      </w:r>
      <w:r>
        <w:rPr>
          <w:rFonts w:hint="eastAsia" w:ascii="宋体" w:hAnsi="宋体"/>
          <w:color w:val="000000"/>
          <w:szCs w:val="21"/>
          <w:lang w:eastAsia="zh-CN"/>
        </w:rPr>
        <w:t>（</w:t>
      </w:r>
      <w:r>
        <w:rPr>
          <w:rFonts w:hint="eastAsia" w:ascii="宋体" w:hAnsi="宋体"/>
          <w:color w:val="000000"/>
          <w:szCs w:val="21"/>
        </w:rPr>
        <w:t>现场</w:t>
      </w:r>
      <w:r>
        <w:rPr>
          <w:rFonts w:hint="eastAsia" w:ascii="宋体" w:hAnsi="宋体"/>
          <w:color w:val="000000"/>
          <w:szCs w:val="21"/>
          <w:lang w:eastAsia="zh-CN"/>
        </w:rPr>
        <w:t>）</w:t>
      </w:r>
      <w:r>
        <w:rPr>
          <w:rFonts w:hint="eastAsia" w:ascii="宋体" w:hAnsi="宋体"/>
          <w:color w:val="000000"/>
          <w:szCs w:val="21"/>
        </w:rPr>
        <w:t>邻近地区的所有者和占有者、公众和其他人员，提供一切必要的临时道路、人行道、防护棚、围栏及警告等，以确保财产和人身安全以及最大程度地降低施工可能造成的不便。</w:t>
      </w:r>
    </w:p>
    <w:p>
      <w:pPr>
        <w:spacing w:line="360" w:lineRule="exact"/>
        <w:ind w:left="945" w:hanging="945" w:hangingChars="450"/>
        <w:rPr>
          <w:rFonts w:ascii="宋体" w:hAnsi="宋体"/>
          <w:color w:val="000000"/>
          <w:szCs w:val="21"/>
        </w:rPr>
      </w:pPr>
      <w:r>
        <w:rPr>
          <w:rFonts w:hint="eastAsia" w:ascii="宋体" w:hAnsi="宋体"/>
          <w:color w:val="000000"/>
          <w:szCs w:val="21"/>
        </w:rPr>
        <w:t>6.1.7    承包人应在施工场地</w:t>
      </w:r>
      <w:r>
        <w:rPr>
          <w:rFonts w:hint="eastAsia" w:ascii="宋体" w:hAnsi="宋体"/>
          <w:color w:val="000000"/>
          <w:szCs w:val="21"/>
          <w:lang w:eastAsia="zh-CN"/>
        </w:rPr>
        <w:t>（</w:t>
      </w:r>
      <w:r>
        <w:rPr>
          <w:rFonts w:hint="eastAsia" w:ascii="宋体" w:hAnsi="宋体"/>
          <w:color w:val="000000"/>
          <w:szCs w:val="21"/>
        </w:rPr>
        <w:t>现场</w:t>
      </w:r>
      <w:r>
        <w:rPr>
          <w:rFonts w:hint="eastAsia" w:ascii="宋体" w:hAnsi="宋体"/>
          <w:color w:val="000000"/>
          <w:szCs w:val="21"/>
          <w:lang w:eastAsia="zh-CN"/>
        </w:rPr>
        <w:t>）</w:t>
      </w:r>
      <w:r>
        <w:rPr>
          <w:rFonts w:hint="eastAsia" w:ascii="宋体" w:hAnsi="宋体"/>
          <w:color w:val="000000"/>
          <w:szCs w:val="21"/>
        </w:rPr>
        <w:t>入口处、施工起重机械、临时用电设施、脚手架、出入通道口、楼梯口、电梯井口、孔洞口、隧道口、基坑边沿、危险品存放处等危险部位设置一切必需的安全警示标志，包括但不限于标准道路标志、报警标志、危险标志、控制标志、安全标志、指示标志、警告标志等，并配备必要的照明、防护和看守。承包人应当按监理人的指示，经常补充或更换失效的警示和标志。</w:t>
      </w:r>
    </w:p>
    <w:p>
      <w:pPr>
        <w:spacing w:line="360" w:lineRule="exact"/>
        <w:ind w:left="945" w:hanging="945" w:hangingChars="450"/>
        <w:rPr>
          <w:rFonts w:ascii="宋体" w:hAnsi="宋体"/>
          <w:color w:val="000000"/>
          <w:szCs w:val="21"/>
        </w:rPr>
      </w:pPr>
      <w:r>
        <w:rPr>
          <w:rFonts w:hint="eastAsia" w:ascii="宋体" w:hAnsi="宋体"/>
          <w:color w:val="000000"/>
          <w:szCs w:val="21"/>
        </w:rPr>
        <w:t>6.1.8    承包人应对施工场地</w:t>
      </w:r>
      <w:r>
        <w:rPr>
          <w:rFonts w:hint="eastAsia" w:ascii="宋体" w:hAnsi="宋体"/>
          <w:color w:val="000000"/>
          <w:szCs w:val="21"/>
          <w:lang w:eastAsia="zh-CN"/>
        </w:rPr>
        <w:t>（</w:t>
      </w:r>
      <w:r>
        <w:rPr>
          <w:rFonts w:hint="eastAsia" w:ascii="宋体" w:hAnsi="宋体"/>
          <w:color w:val="000000"/>
          <w:szCs w:val="21"/>
        </w:rPr>
        <w:t>现场</w:t>
      </w:r>
      <w:r>
        <w:rPr>
          <w:rFonts w:hint="eastAsia" w:ascii="宋体" w:hAnsi="宋体"/>
          <w:color w:val="000000"/>
          <w:szCs w:val="21"/>
          <w:lang w:eastAsia="zh-CN"/>
        </w:rPr>
        <w:t>）</w:t>
      </w:r>
      <w:r>
        <w:rPr>
          <w:rFonts w:hint="eastAsia" w:ascii="宋体" w:hAnsi="宋体"/>
          <w:color w:val="000000"/>
          <w:szCs w:val="21"/>
        </w:rPr>
        <w:t>内由其提供并安装的所有提升架、外用电梯和塔吊等垂直和水平运输机械进行安全围护，包括卸料平台门的安全开关、警示铃和警示灯，卸料平台的护身栏杆，脚手架和安全网等等；所有的机械设备应设置安全操作防护罩，并在醒目位置张挂详细的安全操作要点等。</w:t>
      </w:r>
    </w:p>
    <w:p>
      <w:pPr>
        <w:spacing w:line="360" w:lineRule="exact"/>
        <w:ind w:left="945" w:hanging="945" w:hangingChars="450"/>
        <w:rPr>
          <w:rFonts w:ascii="宋体" w:hAnsi="宋体"/>
          <w:color w:val="000000"/>
          <w:szCs w:val="21"/>
        </w:rPr>
      </w:pPr>
      <w:r>
        <w:rPr>
          <w:rFonts w:hint="eastAsia" w:ascii="宋体" w:hAnsi="宋体"/>
          <w:color w:val="000000"/>
          <w:szCs w:val="21"/>
        </w:rPr>
        <w:t>6.1.9    承包人应对所有用于提升的挂钩、挂环、钢丝绳、铁扁担等进行定期检测、检查和标定；如果监理人认为，任何此类设施已经损坏或有使用不当之处，承包人应立即以合格的产品进行更换；所有垂直和水平运输机械的搭设、顶升、使用和拆除必须严格依照现行有关法规、规章、规范、标准和规程等的要求。</w:t>
      </w:r>
    </w:p>
    <w:p>
      <w:pPr>
        <w:spacing w:line="360" w:lineRule="exact"/>
        <w:ind w:left="945" w:hanging="945" w:hangingChars="450"/>
        <w:rPr>
          <w:rFonts w:ascii="宋体" w:hAnsi="宋体"/>
          <w:color w:val="000000"/>
          <w:szCs w:val="21"/>
        </w:rPr>
      </w:pPr>
      <w:r>
        <w:rPr>
          <w:rFonts w:hint="eastAsia" w:ascii="宋体" w:hAnsi="宋体"/>
          <w:color w:val="000000"/>
          <w:szCs w:val="21"/>
        </w:rPr>
        <w:t>6.1.10   所有机械和工器具应定期保养、校核和维护，以保证它们处于良好和安全的工作状态。保养、校核和维护工作应尽可能安排在非工作时间进行，并为上述机械和工器具准备足够的备用配件，以确保工程的施工能不间断地进行。</w:t>
      </w:r>
    </w:p>
    <w:p>
      <w:pPr>
        <w:spacing w:line="360" w:lineRule="exact"/>
        <w:ind w:left="945" w:hanging="945" w:hangingChars="450"/>
        <w:rPr>
          <w:rFonts w:ascii="宋体" w:hAnsi="宋体"/>
          <w:color w:val="000000"/>
          <w:szCs w:val="21"/>
        </w:rPr>
      </w:pPr>
      <w:r>
        <w:rPr>
          <w:rFonts w:hint="eastAsia" w:ascii="宋体" w:hAnsi="宋体"/>
          <w:color w:val="000000"/>
          <w:szCs w:val="21"/>
        </w:rPr>
        <w:t>6.1.11   在永久工程和施工边坡、建筑物基坑、地下洞室等的开挖过程中，应根据其施工安全的需要和</w:t>
      </w:r>
      <w:r>
        <w:rPr>
          <w:rFonts w:hint="eastAsia" w:ascii="宋体" w:hAnsi="宋体"/>
          <w:color w:val="000000"/>
          <w:szCs w:val="21"/>
          <w:lang w:eastAsia="zh-CN"/>
        </w:rPr>
        <w:t>（</w:t>
      </w:r>
      <w:r>
        <w:rPr>
          <w:rFonts w:hint="eastAsia" w:ascii="宋体" w:hAnsi="宋体"/>
          <w:color w:val="000000"/>
          <w:szCs w:val="21"/>
        </w:rPr>
        <w:t>或</w:t>
      </w:r>
      <w:r>
        <w:rPr>
          <w:rFonts w:hint="eastAsia" w:ascii="宋体" w:hAnsi="宋体"/>
          <w:color w:val="000000"/>
          <w:szCs w:val="21"/>
          <w:lang w:eastAsia="zh-CN"/>
        </w:rPr>
        <w:t>）</w:t>
      </w:r>
      <w:r>
        <w:rPr>
          <w:rFonts w:hint="eastAsia" w:ascii="宋体" w:hAnsi="宋体"/>
          <w:color w:val="000000"/>
          <w:szCs w:val="21"/>
        </w:rPr>
        <w:t>监理人指示，安装必要的施工安全监测仪器，及时进行必要的施工安全监测，并定期将安全监测成果提交监理人，以防止引起任何沉降、变形或其他影响正常施工进度的损害。</w:t>
      </w:r>
    </w:p>
    <w:p>
      <w:pPr>
        <w:spacing w:line="360" w:lineRule="exact"/>
        <w:ind w:left="945" w:hanging="945" w:hangingChars="450"/>
        <w:rPr>
          <w:rFonts w:ascii="宋体" w:hAnsi="宋体"/>
          <w:color w:val="000000"/>
          <w:szCs w:val="21"/>
        </w:rPr>
      </w:pPr>
      <w:r>
        <w:rPr>
          <w:rFonts w:hint="eastAsia" w:ascii="宋体" w:hAnsi="宋体"/>
          <w:color w:val="000000"/>
          <w:szCs w:val="21"/>
        </w:rPr>
        <w:t>6.1.12   承包人应对任何施工中的永久工程进行必要的支撑或临时加固。除非承包人已获得监理人书面许可并按要求进行了必要的加固或支撑，不允许承包人在任何已完成的永久性结构上堆放超过设计允许荷载的任何材料、物品或设备。在任何情况下，承包人均应对其任何上述超载行为引起的后果负责，并承担相应的修缮费用。</w:t>
      </w:r>
    </w:p>
    <w:p>
      <w:pPr>
        <w:spacing w:line="360" w:lineRule="exact"/>
        <w:ind w:left="945" w:hanging="945" w:hangingChars="450"/>
        <w:rPr>
          <w:rFonts w:ascii="宋体" w:hAnsi="宋体"/>
          <w:color w:val="000000"/>
          <w:szCs w:val="21"/>
        </w:rPr>
      </w:pPr>
      <w:r>
        <w:rPr>
          <w:rFonts w:hint="eastAsia" w:ascii="宋体" w:hAnsi="宋体"/>
          <w:color w:val="000000"/>
          <w:szCs w:val="21"/>
        </w:rPr>
        <w:t>6.1.13   承包人应成立应急救援小组，配备必要的应急救援器材和设备，制定灾害和生产安全事故的应急救援预案，并将应急救援预案报送监理人。应急救援预案应能随时组织</w:t>
      </w:r>
      <w:r>
        <w:rPr>
          <w:rFonts w:hint="eastAsia" w:ascii="宋体" w:hAnsi="宋体"/>
          <w:color w:val="000000"/>
          <w:szCs w:val="21"/>
          <w:lang w:eastAsia="zh-CN"/>
        </w:rPr>
        <w:t>应急</w:t>
      </w:r>
      <w:r>
        <w:rPr>
          <w:rFonts w:hint="eastAsia" w:ascii="宋体" w:hAnsi="宋体"/>
          <w:color w:val="000000"/>
          <w:szCs w:val="21"/>
        </w:rPr>
        <w:t>专职人员、并定期组织演练。</w:t>
      </w:r>
    </w:p>
    <w:p>
      <w:pPr>
        <w:spacing w:line="360" w:lineRule="exact"/>
        <w:ind w:left="945" w:hanging="945" w:hangingChars="450"/>
        <w:rPr>
          <w:rFonts w:ascii="宋体" w:hAnsi="宋体"/>
          <w:color w:val="000000"/>
          <w:szCs w:val="21"/>
        </w:rPr>
      </w:pPr>
      <w:r>
        <w:rPr>
          <w:rFonts w:hint="eastAsia" w:ascii="宋体" w:hAnsi="宋体"/>
          <w:color w:val="000000"/>
          <w:szCs w:val="21"/>
        </w:rPr>
        <w:t>6.1.14   施工过程中需要使用爆破或带炸药的工具等危险性施工方法时，承包人应提前通</w:t>
      </w:r>
    </w:p>
    <w:p>
      <w:pPr>
        <w:spacing w:line="360" w:lineRule="exact"/>
        <w:ind w:left="945" w:leftChars="450"/>
        <w:rPr>
          <w:rFonts w:ascii="宋体" w:hAnsi="宋体"/>
          <w:color w:val="000000"/>
          <w:szCs w:val="21"/>
        </w:rPr>
      </w:pPr>
      <w:r>
        <w:rPr>
          <w:rFonts w:hint="eastAsia" w:ascii="宋体" w:hAnsi="宋体"/>
          <w:color w:val="000000"/>
          <w:szCs w:val="21"/>
        </w:rPr>
        <w:t>知监理人。经监理人批准后，承包人应依照有关法律、法规、规章以及政府有关主管机构制定的规范性文件等的规定，向有关机构提出申请并获得相关许可。承包人应严格依照上述规定使用、储藏、管理爆破物品或带炸药的工具等，并负责由于这类物品的使用可能引起的任何损失或损害的赔偿。任何情况下，承包人不得在已完永久性工程中和空心砌体中使用爆破方法。</w:t>
      </w:r>
    </w:p>
    <w:p>
      <w:pPr>
        <w:spacing w:line="360" w:lineRule="exact"/>
        <w:ind w:left="945" w:hanging="945" w:hangingChars="450"/>
        <w:rPr>
          <w:rFonts w:ascii="宋体" w:hAnsi="宋体"/>
          <w:color w:val="000000"/>
          <w:szCs w:val="21"/>
        </w:rPr>
      </w:pPr>
      <w:r>
        <w:rPr>
          <w:rFonts w:hint="eastAsia" w:ascii="宋体" w:hAnsi="宋体"/>
          <w:color w:val="000000"/>
          <w:szCs w:val="21"/>
        </w:rPr>
        <w:t>6.1.15   基坑支护与降水工程、土方开挖工程、模板工程、起重吊装工程、脚手架工程、拆除工程和爆破工程等达到一定规模和危险性较大的分部分项工程，承包人应当编制专项施工方案，其中深基坑、地下暗挖和高大模板工程的专项施工方案，还应组织专家进行论证和审查。</w:t>
      </w:r>
    </w:p>
    <w:p>
      <w:pPr>
        <w:spacing w:line="360" w:lineRule="exact"/>
        <w:ind w:left="945" w:hanging="945" w:hangingChars="450"/>
        <w:rPr>
          <w:rFonts w:ascii="宋体" w:hAnsi="宋体"/>
          <w:color w:val="000000"/>
          <w:szCs w:val="21"/>
        </w:rPr>
      </w:pPr>
      <w:r>
        <w:rPr>
          <w:rFonts w:hint="eastAsia" w:ascii="宋体" w:hAnsi="宋体"/>
          <w:color w:val="000000"/>
          <w:szCs w:val="21"/>
        </w:rPr>
        <w:t>6.1.16   承包人应按照通用合同条款第9.5款的约定处理本工程施工过程中发生的事故。发生施工安全事故后，承包人必须立即报告监理人和发包人，并在事故发生后一小时内向发包人提交事故情况书面报告，并根据《生产安全事故报告和调查处理条例》的规定，及时向工程所在地县级以上地方人民政府安全生产监督管理部门和建设行政主管部门报告。情况紧急时，事故现场有关人员可以直接向工程所在地县级以上地方人民政府安全生产监督管理部门和建设行政主管部门报告。</w:t>
      </w:r>
    </w:p>
    <w:p>
      <w:pPr>
        <w:spacing w:line="360" w:lineRule="exact"/>
        <w:ind w:left="945" w:hanging="945" w:hangingChars="450"/>
        <w:rPr>
          <w:rFonts w:ascii="宋体" w:hAnsi="宋体"/>
          <w:color w:val="000000"/>
          <w:szCs w:val="21"/>
        </w:rPr>
      </w:pPr>
      <w:r>
        <w:rPr>
          <w:rFonts w:hint="eastAsia" w:ascii="宋体" w:hAnsi="宋体"/>
          <w:color w:val="000000"/>
          <w:szCs w:val="21"/>
        </w:rPr>
        <w:t>6.1.17   承包人还应根据有关法律、法规、规定和条例等的要求，制定一套安全生产应急措施和程序，保证一旦出现任何安全事故，能立即保护好现场，抢救伤员和财产，保证施工生产的正常进行，防止损失扩大。</w:t>
      </w:r>
    </w:p>
    <w:p>
      <w:pPr>
        <w:spacing w:line="360" w:lineRule="exact"/>
        <w:ind w:left="945" w:hanging="945" w:hangingChars="450"/>
        <w:rPr>
          <w:rFonts w:ascii="宋体" w:hAnsi="宋体"/>
          <w:color w:val="000000"/>
          <w:szCs w:val="21"/>
        </w:rPr>
      </w:pPr>
      <w:r>
        <w:rPr>
          <w:rFonts w:hint="eastAsia" w:ascii="宋体" w:hAnsi="宋体"/>
          <w:color w:val="000000"/>
          <w:szCs w:val="21"/>
        </w:rPr>
        <w:t>6.1.18   安全防护方面的其他要求如下：</w:t>
      </w:r>
    </w:p>
    <w:p>
      <w:pPr>
        <w:spacing w:line="500" w:lineRule="exact"/>
        <w:ind w:left="735" w:hanging="735" w:hangingChars="350"/>
        <w:rPr>
          <w:rFonts w:ascii="宋体" w:hAnsi="宋体"/>
          <w:color w:val="000000"/>
          <w:szCs w:val="21"/>
        </w:rPr>
      </w:pPr>
      <w:permStart w:id="554" w:edGrp="everyone"/>
      <w:permEnd w:id="554"/>
    </w:p>
    <w:p>
      <w:pPr>
        <w:spacing w:line="500" w:lineRule="exact"/>
        <w:ind w:left="945" w:hanging="945" w:hangingChars="450"/>
        <w:rPr>
          <w:rFonts w:ascii="宋体" w:hAnsi="宋体"/>
          <w:color w:val="000000"/>
          <w:szCs w:val="21"/>
        </w:rPr>
      </w:pPr>
    </w:p>
    <w:p>
      <w:pPr>
        <w:rPr>
          <w:rFonts w:ascii="黑体" w:eastAsia="黑体"/>
          <w:color w:val="000000"/>
          <w:sz w:val="24"/>
        </w:rPr>
      </w:pPr>
      <w:r>
        <w:rPr>
          <w:rFonts w:hint="eastAsia" w:ascii="黑体" w:eastAsia="黑体"/>
          <w:color w:val="000000"/>
          <w:sz w:val="24"/>
        </w:rPr>
        <w:t>6.2临时消防</w:t>
      </w:r>
    </w:p>
    <w:p>
      <w:pPr>
        <w:spacing w:line="400" w:lineRule="exact"/>
        <w:ind w:left="945" w:hanging="945" w:hangingChars="450"/>
        <w:rPr>
          <w:rFonts w:ascii="宋体" w:hAnsi="宋体"/>
          <w:color w:val="000000"/>
          <w:szCs w:val="21"/>
        </w:rPr>
      </w:pPr>
      <w:r>
        <w:rPr>
          <w:rFonts w:hint="eastAsia" w:ascii="宋体" w:hAnsi="宋体"/>
          <w:color w:val="000000"/>
          <w:szCs w:val="21"/>
        </w:rPr>
        <w:t>6.2.1    承包人应建立消防安全责任制度，制定用火、用电和使用易燃易爆等危险品的消防安全管理制度和操作规程。各项制度和规程等应满足相关法律法规和政府消防管理机构的要求。</w:t>
      </w:r>
    </w:p>
    <w:p>
      <w:pPr>
        <w:spacing w:line="400" w:lineRule="exact"/>
        <w:ind w:left="945" w:hanging="945" w:hangingChars="450"/>
        <w:rPr>
          <w:rFonts w:ascii="宋体" w:hAnsi="宋体"/>
          <w:color w:val="000000"/>
          <w:szCs w:val="21"/>
        </w:rPr>
      </w:pPr>
      <w:r>
        <w:rPr>
          <w:rFonts w:hint="eastAsia" w:ascii="宋体" w:hAnsi="宋体"/>
          <w:color w:val="000000"/>
          <w:szCs w:val="21"/>
        </w:rPr>
        <w:t>6.2.2    承包人应根据相关法律法规和消防管理部门的要求，为施工中的永久工程和所有临时工程提供必要的临时消防和紧急疏散设施，包括提供并维持畅通的消防通道、临时消火栓、灭火器、水龙带、灭火桶、灭火铲、灭火斧、消防水管、阀门、检查井、临时消防水箱、泵房和紧随工作面的临时疏散楼梯或疏散设施，消防设施的设立和消防设备的型号和功率应满足消防任务的需要，始终保持能够随时投入正常使用的状态，并设立明显标志。承包人的临时消防系统和配置应分别经过监理人和消防管理部门的审批和验收；承包人还应自费获得消防管理部门的临时消防证书。所有的临时消防设施属于承包人所有，至工程实际竣工时且永久性消防系统投入使用后从现场拆除。</w:t>
      </w:r>
    </w:p>
    <w:p>
      <w:pPr>
        <w:spacing w:line="400" w:lineRule="exact"/>
        <w:ind w:left="945" w:hanging="945" w:hangingChars="450"/>
        <w:rPr>
          <w:rFonts w:ascii="宋体" w:hAnsi="宋体"/>
          <w:color w:val="000000"/>
          <w:szCs w:val="21"/>
        </w:rPr>
      </w:pPr>
      <w:r>
        <w:rPr>
          <w:rFonts w:hint="eastAsia" w:ascii="宋体" w:hAnsi="宋体"/>
          <w:color w:val="000000"/>
          <w:szCs w:val="21"/>
        </w:rPr>
        <w:t>6.2.3    承包人应当成立由项目主要负责人担任组长的临时消防组或消防队，宣传消防基本知识和基本操作培训，组织消防演练，保证一旦发生火灾，能够组织有效的自救，保护生命和财产安全。</w:t>
      </w:r>
    </w:p>
    <w:p>
      <w:pPr>
        <w:spacing w:line="400" w:lineRule="exact"/>
        <w:ind w:left="945" w:hanging="945" w:hangingChars="450"/>
        <w:rPr>
          <w:rFonts w:ascii="宋体" w:hAnsi="宋体"/>
          <w:color w:val="000000"/>
          <w:szCs w:val="21"/>
        </w:rPr>
      </w:pPr>
      <w:r>
        <w:rPr>
          <w:rFonts w:hint="eastAsia" w:ascii="宋体" w:hAnsi="宋体"/>
          <w:color w:val="000000"/>
          <w:szCs w:val="21"/>
        </w:rPr>
        <w:t>6.2.4    施工场地</w:t>
      </w:r>
      <w:r>
        <w:rPr>
          <w:rFonts w:hint="eastAsia" w:ascii="宋体" w:hAnsi="宋体"/>
          <w:color w:val="000000"/>
          <w:szCs w:val="21"/>
          <w:lang w:eastAsia="zh-CN"/>
        </w:rPr>
        <w:t>（</w:t>
      </w:r>
      <w:r>
        <w:rPr>
          <w:rFonts w:hint="eastAsia" w:ascii="宋体" w:hAnsi="宋体"/>
          <w:color w:val="000000"/>
          <w:szCs w:val="21"/>
        </w:rPr>
        <w:t>现场</w:t>
      </w:r>
      <w:r>
        <w:rPr>
          <w:rFonts w:hint="eastAsia" w:ascii="宋体" w:hAnsi="宋体"/>
          <w:color w:val="000000"/>
          <w:szCs w:val="21"/>
          <w:lang w:eastAsia="zh-CN"/>
        </w:rPr>
        <w:t>）</w:t>
      </w:r>
      <w:r>
        <w:rPr>
          <w:rFonts w:hint="eastAsia" w:ascii="宋体" w:hAnsi="宋体"/>
          <w:color w:val="000000"/>
          <w:szCs w:val="21"/>
        </w:rPr>
        <w:t>内的易燃、易爆物品应单独和安全地存放，设专人进行存放和领用管理。施工场地</w:t>
      </w:r>
      <w:r>
        <w:rPr>
          <w:rFonts w:hint="eastAsia" w:ascii="宋体" w:hAnsi="宋体"/>
          <w:color w:val="000000"/>
          <w:szCs w:val="21"/>
          <w:lang w:eastAsia="zh-CN"/>
        </w:rPr>
        <w:t>（</w:t>
      </w:r>
      <w:r>
        <w:rPr>
          <w:rFonts w:hint="eastAsia" w:ascii="宋体" w:hAnsi="宋体"/>
          <w:color w:val="000000"/>
          <w:szCs w:val="21"/>
        </w:rPr>
        <w:t>现场</w:t>
      </w:r>
      <w:r>
        <w:rPr>
          <w:rFonts w:hint="eastAsia" w:ascii="宋体" w:hAnsi="宋体"/>
          <w:color w:val="000000"/>
          <w:szCs w:val="21"/>
          <w:lang w:eastAsia="zh-CN"/>
        </w:rPr>
        <w:t>）</w:t>
      </w:r>
      <w:r>
        <w:rPr>
          <w:rFonts w:hint="eastAsia" w:ascii="宋体" w:hAnsi="宋体"/>
          <w:color w:val="000000"/>
          <w:szCs w:val="21"/>
        </w:rPr>
        <w:t>储有或正在使用易燃、易爆或可燃材料时或有明火施工的工序，应当实行严格的“用火证”管理制度。</w:t>
      </w:r>
    </w:p>
    <w:p>
      <w:pPr>
        <w:spacing w:line="400" w:lineRule="exact"/>
        <w:ind w:left="945" w:hanging="945" w:hangingChars="450"/>
        <w:rPr>
          <w:rFonts w:ascii="宋体" w:hAnsi="宋体"/>
          <w:color w:val="000000"/>
          <w:szCs w:val="21"/>
        </w:rPr>
      </w:pPr>
      <w:r>
        <w:rPr>
          <w:rFonts w:hint="eastAsia" w:ascii="宋体" w:hAnsi="宋体"/>
          <w:color w:val="000000"/>
          <w:szCs w:val="21"/>
        </w:rPr>
        <w:t>6.2.5    临时消防方面的其他要求如下：</w:t>
      </w:r>
    </w:p>
    <w:p>
      <w:pPr>
        <w:spacing w:line="500" w:lineRule="exact"/>
        <w:ind w:left="735" w:hanging="735" w:hangingChars="350"/>
        <w:rPr>
          <w:rFonts w:ascii="宋体" w:hAnsi="宋体"/>
          <w:color w:val="000000"/>
          <w:szCs w:val="21"/>
        </w:rPr>
      </w:pPr>
      <w:permStart w:id="555" w:edGrp="everyone"/>
      <w:r>
        <w:rPr>
          <w:rFonts w:hint="eastAsia" w:ascii="宋体" w:hAnsi="宋体"/>
          <w:color w:val="000000"/>
          <w:szCs w:val="21"/>
        </w:rPr>
        <w:t xml:space="preserve">                                                            </w:t>
      </w:r>
      <w:r>
        <w:rPr>
          <w:rFonts w:ascii="宋体" w:hAnsi="宋体"/>
          <w:color w:val="000000"/>
          <w:szCs w:val="21"/>
        </w:rPr>
        <w:t xml:space="preserve">     </w:t>
      </w:r>
      <w:r>
        <w:rPr>
          <w:rFonts w:hint="eastAsia" w:ascii="宋体" w:hAnsi="宋体"/>
          <w:color w:val="000000"/>
          <w:szCs w:val="21"/>
        </w:rPr>
        <w:t xml:space="preserve">                  </w:t>
      </w:r>
      <w:permEnd w:id="555"/>
    </w:p>
    <w:p>
      <w:pPr>
        <w:rPr>
          <w:rFonts w:ascii="黑体" w:eastAsia="黑体"/>
          <w:color w:val="000000"/>
          <w:sz w:val="24"/>
        </w:rPr>
      </w:pPr>
      <w:r>
        <w:rPr>
          <w:rFonts w:hint="eastAsia" w:ascii="黑体" w:eastAsia="黑体"/>
          <w:color w:val="000000"/>
          <w:sz w:val="24"/>
        </w:rPr>
        <w:t>6.3临时供电</w:t>
      </w:r>
    </w:p>
    <w:p>
      <w:pPr>
        <w:spacing w:line="390" w:lineRule="exact"/>
        <w:ind w:left="945" w:hanging="945" w:hangingChars="450"/>
        <w:rPr>
          <w:rFonts w:ascii="宋体" w:hAnsi="宋体"/>
          <w:color w:val="000000"/>
          <w:szCs w:val="21"/>
        </w:rPr>
      </w:pPr>
      <w:r>
        <w:rPr>
          <w:rFonts w:hint="eastAsia" w:ascii="宋体" w:hAnsi="宋体"/>
          <w:color w:val="000000"/>
          <w:szCs w:val="21"/>
        </w:rPr>
        <w:t>6.3.1    承包人应当根据《施工现场临时用电安全技术规范》(JGJ 46—2005</w:t>
      </w:r>
      <w:r>
        <w:rPr>
          <w:rFonts w:hint="eastAsia" w:ascii="宋体" w:hAnsi="宋体"/>
          <w:color w:val="000000"/>
          <w:szCs w:val="21"/>
          <w:lang w:eastAsia="zh-CN"/>
        </w:rPr>
        <w:t>）</w:t>
      </w:r>
      <w:r>
        <w:rPr>
          <w:rFonts w:hint="eastAsia" w:ascii="宋体" w:hAnsi="宋体"/>
          <w:color w:val="000000"/>
          <w:szCs w:val="21"/>
        </w:rPr>
        <w:t>及其适用的修订版本的规定和施工要求编制施工临时用电方案。临时用电方案及其变更必须履行“编制、审核、批准”程序。施工临时用电方案应当由电气工程技术人员组织编制，经企业技术负责人批准后实施，经编制、审核、批准部门和使用单位共同验收合格后方可投入使用。</w:t>
      </w:r>
    </w:p>
    <w:p>
      <w:pPr>
        <w:spacing w:line="390" w:lineRule="exact"/>
        <w:ind w:left="945" w:hanging="945" w:hangingChars="450"/>
        <w:rPr>
          <w:rFonts w:ascii="宋体" w:hAnsi="宋体"/>
          <w:color w:val="000000"/>
          <w:szCs w:val="21"/>
        </w:rPr>
      </w:pPr>
      <w:r>
        <w:rPr>
          <w:rFonts w:hint="eastAsia" w:ascii="宋体" w:hAnsi="宋体"/>
          <w:color w:val="000000"/>
          <w:szCs w:val="21"/>
        </w:rPr>
        <w:t>6.3.2    承包人应为施工场地</w:t>
      </w:r>
      <w:r>
        <w:rPr>
          <w:rFonts w:hint="eastAsia" w:ascii="宋体" w:hAnsi="宋体"/>
          <w:color w:val="000000"/>
          <w:szCs w:val="21"/>
          <w:lang w:eastAsia="zh-CN"/>
        </w:rPr>
        <w:t>（</w:t>
      </w:r>
      <w:r>
        <w:rPr>
          <w:rFonts w:hint="eastAsia" w:ascii="宋体" w:hAnsi="宋体"/>
          <w:color w:val="000000"/>
          <w:szCs w:val="21"/>
        </w:rPr>
        <w:t>现场</w:t>
      </w:r>
      <w:r>
        <w:rPr>
          <w:rFonts w:hint="eastAsia" w:ascii="宋体" w:hAnsi="宋体"/>
          <w:color w:val="000000"/>
          <w:szCs w:val="21"/>
          <w:lang w:eastAsia="zh-CN"/>
        </w:rPr>
        <w:t>）</w:t>
      </w:r>
      <w:r>
        <w:rPr>
          <w:rFonts w:hint="eastAsia" w:ascii="宋体" w:hAnsi="宋体"/>
          <w:color w:val="000000"/>
          <w:szCs w:val="21"/>
        </w:rPr>
        <w:t>，包括为工程楼层或者各区域，提供、设立和维护必要的临时电力供应系统，并保证电力供应系统始终处于满足供电管理部门要求和正常施工生产所要求的状态，并在工程实际竣工和相应永久系统投入使用后从现场拆除。</w:t>
      </w:r>
    </w:p>
    <w:p>
      <w:pPr>
        <w:spacing w:line="390" w:lineRule="exact"/>
        <w:ind w:left="945" w:hanging="945" w:hangingChars="450"/>
        <w:rPr>
          <w:rFonts w:ascii="宋体" w:hAnsi="宋体"/>
          <w:color w:val="000000"/>
          <w:szCs w:val="21"/>
        </w:rPr>
      </w:pPr>
      <w:r>
        <w:rPr>
          <w:rFonts w:hint="eastAsia" w:ascii="宋体" w:hAnsi="宋体"/>
          <w:color w:val="000000"/>
          <w:szCs w:val="21"/>
        </w:rPr>
        <w:t>6.3.3    临时供电系统的电缆、电线、配电箱、控制柜、开关箱、漏电保护器等材料设备均应当具有生产</w:t>
      </w:r>
      <w:r>
        <w:rPr>
          <w:rFonts w:hint="eastAsia" w:ascii="宋体" w:hAnsi="宋体"/>
          <w:color w:val="000000"/>
          <w:szCs w:val="21"/>
          <w:lang w:eastAsia="zh-CN"/>
        </w:rPr>
        <w:t>（</w:t>
      </w:r>
      <w:r>
        <w:rPr>
          <w:rFonts w:hint="eastAsia" w:ascii="宋体" w:hAnsi="宋体"/>
          <w:color w:val="000000"/>
          <w:szCs w:val="21"/>
        </w:rPr>
        <w:t>制造</w:t>
      </w:r>
      <w:r>
        <w:rPr>
          <w:rFonts w:hint="eastAsia" w:ascii="宋体" w:hAnsi="宋体"/>
          <w:color w:val="000000"/>
          <w:szCs w:val="21"/>
          <w:lang w:eastAsia="zh-CN"/>
        </w:rPr>
        <w:t>）</w:t>
      </w:r>
      <w:r>
        <w:rPr>
          <w:rFonts w:hint="eastAsia" w:ascii="宋体" w:hAnsi="宋体"/>
          <w:color w:val="000000"/>
          <w:szCs w:val="21"/>
        </w:rPr>
        <w:t>许可证、产品合格证并经过检验合格的产品。临时用电采用三相五线制、三级配电和两极漏电保护供电，三相四线制配电的电缆线路必须采用五芯电缆，按规定设立零线和接地线。电缆和电线的铺设要符合安全用电标准要求，电缆线路应采用埋地或架空敷设，</w:t>
      </w:r>
      <w:r>
        <w:rPr>
          <w:rFonts w:hint="eastAsia" w:ascii="宋体" w:hAnsi="宋体"/>
          <w:color w:val="000000"/>
          <w:szCs w:val="21"/>
          <w:lang w:eastAsia="zh-CN"/>
        </w:rPr>
        <w:t>严禁</w:t>
      </w:r>
      <w:r>
        <w:rPr>
          <w:rFonts w:hint="eastAsia" w:ascii="宋体" w:hAnsi="宋体"/>
          <w:color w:val="000000"/>
          <w:szCs w:val="21"/>
        </w:rPr>
        <w:t>地面明设，并应避免机械损伤和介质腐蚀。埋地电缆路径应设方位标志。各种配电设备均设有防止漏电和防雨防水设施。</w:t>
      </w:r>
    </w:p>
    <w:p>
      <w:pPr>
        <w:spacing w:line="390" w:lineRule="exact"/>
        <w:ind w:left="945" w:hanging="945" w:hangingChars="450"/>
        <w:rPr>
          <w:rFonts w:ascii="宋体" w:hAnsi="宋体"/>
          <w:color w:val="000000"/>
          <w:szCs w:val="21"/>
        </w:rPr>
      </w:pPr>
      <w:r>
        <w:rPr>
          <w:rFonts w:hint="eastAsia" w:ascii="宋体" w:hAnsi="宋体"/>
          <w:color w:val="000000"/>
          <w:szCs w:val="21"/>
        </w:rPr>
        <w:t>6.3.4    承包人应在施工作业区、施工道路、临时设施、办公区和生活区设置足够的照明，地下工程照明系统的电压不得高于36V，在潮湿和易触及带电体场所的照明供电电压不应大于24V。不便于使用电器照明的工作面应采用特殊照明设施。</w:t>
      </w:r>
    </w:p>
    <w:p>
      <w:pPr>
        <w:spacing w:line="390" w:lineRule="exact"/>
        <w:ind w:left="945" w:hanging="945" w:hangingChars="450"/>
        <w:rPr>
          <w:rFonts w:ascii="宋体" w:hAnsi="宋体"/>
          <w:color w:val="000000"/>
          <w:szCs w:val="21"/>
        </w:rPr>
      </w:pPr>
      <w:r>
        <w:rPr>
          <w:rFonts w:hint="eastAsia" w:ascii="宋体" w:hAnsi="宋体"/>
          <w:color w:val="000000"/>
          <w:szCs w:val="21"/>
        </w:rPr>
        <w:t>6.3.5    凡可能漏电伤人或易受雷击的电器及建筑物均应设置接地和避雷装置。承包人应负责避雷装置的采购、安装、管理和维修，并建立定期检查制度。</w:t>
      </w:r>
    </w:p>
    <w:p>
      <w:pPr>
        <w:spacing w:line="390" w:lineRule="exact"/>
        <w:ind w:left="945" w:hanging="945" w:hangingChars="450"/>
        <w:rPr>
          <w:rFonts w:ascii="宋体" w:hAnsi="宋体"/>
          <w:color w:val="000000"/>
          <w:szCs w:val="21"/>
        </w:rPr>
      </w:pPr>
      <w:r>
        <w:rPr>
          <w:rFonts w:hint="eastAsia" w:ascii="宋体" w:hAnsi="宋体"/>
          <w:color w:val="000000"/>
          <w:szCs w:val="21"/>
        </w:rPr>
        <w:t>6.3.6    临时用电方面的其他要求如下：</w:t>
      </w:r>
    </w:p>
    <w:p>
      <w:pPr>
        <w:spacing w:line="390" w:lineRule="exact"/>
        <w:ind w:left="735" w:hanging="735" w:hangingChars="350"/>
        <w:rPr>
          <w:rFonts w:ascii="宋体" w:hAnsi="宋体"/>
          <w:color w:val="000000"/>
          <w:szCs w:val="21"/>
        </w:rPr>
      </w:pPr>
      <w:permStart w:id="556" w:edGrp="everyone"/>
      <w:r>
        <w:rPr>
          <w:rFonts w:hint="eastAsia" w:ascii="宋体" w:hAnsi="宋体"/>
          <w:color w:val="000000"/>
          <w:szCs w:val="21"/>
        </w:rPr>
        <w:t xml:space="preserve">                                                                                  </w:t>
      </w:r>
      <w:permEnd w:id="556"/>
    </w:p>
    <w:p>
      <w:pPr>
        <w:rPr>
          <w:rFonts w:ascii="黑体" w:eastAsia="黑体"/>
          <w:color w:val="000000"/>
          <w:sz w:val="24"/>
        </w:rPr>
      </w:pPr>
      <w:r>
        <w:rPr>
          <w:rFonts w:hint="eastAsia" w:ascii="黑体" w:eastAsia="黑体"/>
          <w:color w:val="000000"/>
          <w:sz w:val="24"/>
        </w:rPr>
        <w:t>6.4劳动保护</w:t>
      </w:r>
    </w:p>
    <w:p>
      <w:pPr>
        <w:spacing w:line="390" w:lineRule="exact"/>
        <w:ind w:left="945" w:hanging="945" w:hangingChars="450"/>
        <w:rPr>
          <w:rFonts w:ascii="宋体" w:hAnsi="宋体"/>
          <w:color w:val="000000"/>
          <w:szCs w:val="21"/>
        </w:rPr>
      </w:pPr>
      <w:r>
        <w:rPr>
          <w:rFonts w:hint="eastAsia" w:ascii="宋体" w:hAnsi="宋体"/>
          <w:color w:val="000000"/>
          <w:szCs w:val="21"/>
        </w:rPr>
        <w:t>6.4.1    承包人应遵守所有适用于本合同的劳动法规及其他有关法律、法规、规章和规定中关于工人工资标准、劳动时间和劳动条件的规定，合理安排现场作业人员的劳动和休息时间，保障劳动者必须的休息时间，支付合理的报酬和费用。承包人应按有关行政管理部门的规定为本合同下雇佣的职员和工人办理任何必要的证件、许可、保险和注册等，并保障发包人免于因承包人不能依照或完全依照上述所有法律、法规、规章和规定等可能给发包人带来的任何处罚、索赔、损失和损害等。</w:t>
      </w:r>
    </w:p>
    <w:p>
      <w:pPr>
        <w:spacing w:line="390" w:lineRule="exact"/>
        <w:ind w:left="945" w:hanging="945" w:hangingChars="450"/>
        <w:rPr>
          <w:rFonts w:ascii="宋体" w:hAnsi="宋体"/>
          <w:color w:val="000000"/>
          <w:szCs w:val="21"/>
        </w:rPr>
      </w:pPr>
      <w:r>
        <w:rPr>
          <w:rFonts w:hint="eastAsia" w:ascii="宋体" w:hAnsi="宋体"/>
          <w:color w:val="000000"/>
          <w:szCs w:val="21"/>
        </w:rPr>
        <w:t>6.4.2    承包人应按照国家《劳动保护法》的规定，保障现场施工人员的劳动安全。承包人应为本合同下雇佣的职员和工人提供适当和充分的劳动保护，包括但不限于安全防护、防寒、防雨、防尘、绝缘保护、常用药品、急救设备、传染病预防等。</w:t>
      </w:r>
    </w:p>
    <w:p>
      <w:pPr>
        <w:spacing w:line="390" w:lineRule="exact"/>
        <w:ind w:left="945" w:hanging="945" w:hangingChars="450"/>
        <w:rPr>
          <w:rFonts w:ascii="宋体" w:hAnsi="宋体"/>
          <w:color w:val="000000"/>
          <w:szCs w:val="21"/>
        </w:rPr>
      </w:pPr>
      <w:r>
        <w:rPr>
          <w:rFonts w:hint="eastAsia" w:ascii="宋体" w:hAnsi="宋体"/>
          <w:color w:val="000000"/>
          <w:szCs w:val="21"/>
        </w:rPr>
        <w:t>6.4.3    承包人应为其履行本合同所雇佣的职员和工人提供和维护任何必要的膳宿条件和生活环境，包括但不限于宿舍、围栏、供水</w:t>
      </w:r>
      <w:r>
        <w:rPr>
          <w:rFonts w:hint="eastAsia" w:ascii="宋体" w:hAnsi="宋体"/>
          <w:color w:val="000000"/>
          <w:szCs w:val="21"/>
          <w:lang w:eastAsia="zh-CN"/>
        </w:rPr>
        <w:t>（</w:t>
      </w:r>
      <w:r>
        <w:rPr>
          <w:rFonts w:hint="eastAsia" w:ascii="宋体" w:hAnsi="宋体"/>
          <w:color w:val="000000"/>
          <w:szCs w:val="21"/>
        </w:rPr>
        <w:t>饮用及其他目的用水</w:t>
      </w:r>
      <w:r>
        <w:rPr>
          <w:rFonts w:hint="eastAsia" w:ascii="宋体" w:hAnsi="宋体"/>
          <w:color w:val="000000"/>
          <w:szCs w:val="21"/>
          <w:lang w:eastAsia="zh-CN"/>
        </w:rPr>
        <w:t>）</w:t>
      </w:r>
      <w:r>
        <w:rPr>
          <w:rFonts w:hint="eastAsia" w:ascii="宋体" w:hAnsi="宋体"/>
          <w:color w:val="000000"/>
          <w:szCs w:val="21"/>
        </w:rPr>
        <w:t>、供电、卫生设备、食堂及炊具、防火及灭火设备、供热、家具及其他正常膳宿条件和生活环境所需的必需品，并应考虑宗教和民族习惯。</w:t>
      </w:r>
    </w:p>
    <w:p>
      <w:pPr>
        <w:spacing w:line="360" w:lineRule="exact"/>
        <w:ind w:left="945" w:hanging="945" w:hangingChars="450"/>
        <w:rPr>
          <w:rFonts w:ascii="宋体" w:hAnsi="宋体"/>
          <w:color w:val="000000"/>
          <w:szCs w:val="21"/>
        </w:rPr>
      </w:pPr>
      <w:r>
        <w:rPr>
          <w:rFonts w:hint="eastAsia" w:ascii="宋体" w:hAnsi="宋体"/>
          <w:color w:val="000000"/>
          <w:szCs w:val="21"/>
        </w:rPr>
        <w:t>6.4.4    承包人应为现场工人提供符合政府卫生规定的生活条件并获得必要的许可，保证工人的健康和防止任何传染病，包括工人的食堂、厕所、工具房、宿舍等；承包人应聘请专业的卫生防疫部门定期对现场、工人生活基地和工程进行防疫和卫生的专业检查和处理，包括消灭白蚁、鼠害、蚊蝇</w:t>
      </w:r>
      <w:r>
        <w:rPr>
          <w:rFonts w:hint="eastAsia" w:ascii="宋体" w:hAnsi="宋体"/>
          <w:color w:val="000000"/>
          <w:szCs w:val="21"/>
          <w:lang w:eastAsia="zh-CN"/>
        </w:rPr>
        <w:t>和其他</w:t>
      </w:r>
      <w:r>
        <w:rPr>
          <w:rFonts w:hint="eastAsia" w:ascii="宋体" w:hAnsi="宋体"/>
          <w:color w:val="000000"/>
          <w:szCs w:val="21"/>
        </w:rPr>
        <w:t>害虫，以防对施工人员、现场和永久工程造成任何危害。</w:t>
      </w:r>
    </w:p>
    <w:p>
      <w:pPr>
        <w:spacing w:line="360" w:lineRule="exact"/>
        <w:ind w:left="945" w:hanging="945" w:hangingChars="450"/>
        <w:rPr>
          <w:rFonts w:ascii="宋体" w:hAnsi="宋体"/>
          <w:color w:val="000000"/>
          <w:szCs w:val="21"/>
        </w:rPr>
      </w:pPr>
      <w:r>
        <w:rPr>
          <w:rFonts w:hint="eastAsia" w:ascii="宋体" w:hAnsi="宋体"/>
          <w:color w:val="000000"/>
          <w:szCs w:val="21"/>
        </w:rPr>
        <w:t>6.4.5    承包人应在现场设立专门的临时医疗站，配备足够的设施、药物和称职的医务人员，承包人还应准备急救担架，用于一旦发生安全事故时对受伤人员的急救。</w:t>
      </w:r>
    </w:p>
    <w:p>
      <w:pPr>
        <w:spacing w:line="360" w:lineRule="exact"/>
        <w:ind w:left="945" w:hanging="945" w:hangingChars="450"/>
        <w:rPr>
          <w:rFonts w:ascii="宋体" w:hAnsi="宋体"/>
          <w:color w:val="000000"/>
          <w:szCs w:val="21"/>
        </w:rPr>
      </w:pPr>
      <w:r>
        <w:rPr>
          <w:rFonts w:hint="eastAsia" w:ascii="宋体" w:hAnsi="宋体"/>
          <w:color w:val="000000"/>
          <w:szCs w:val="21"/>
        </w:rPr>
        <w:t>6.4.6    劳动保护方面的其他要求如下：</w:t>
      </w:r>
    </w:p>
    <w:p>
      <w:pPr>
        <w:spacing w:line="600" w:lineRule="exact"/>
        <w:ind w:left="735" w:hanging="735" w:hangingChars="350"/>
        <w:rPr>
          <w:rFonts w:ascii="宋体" w:hAnsi="宋体"/>
          <w:color w:val="000000"/>
          <w:szCs w:val="21"/>
        </w:rPr>
      </w:pPr>
      <w:permStart w:id="557" w:edGrp="everyone"/>
      <w:r>
        <w:rPr>
          <w:rFonts w:hint="eastAsia" w:ascii="宋体" w:hAnsi="宋体"/>
          <w:color w:val="000000"/>
          <w:szCs w:val="21"/>
        </w:rPr>
        <w:t xml:space="preserve">                                                                           </w:t>
      </w:r>
      <w:r>
        <w:rPr>
          <w:rFonts w:ascii="宋体" w:hAnsi="宋体"/>
          <w:color w:val="000000"/>
          <w:szCs w:val="21"/>
        </w:rPr>
        <w:t xml:space="preserve">     </w:t>
      </w:r>
      <w:permEnd w:id="557"/>
    </w:p>
    <w:p>
      <w:pPr>
        <w:rPr>
          <w:rFonts w:ascii="黑体" w:eastAsia="黑体"/>
          <w:color w:val="000000"/>
          <w:sz w:val="24"/>
        </w:rPr>
      </w:pPr>
      <w:r>
        <w:rPr>
          <w:rFonts w:hint="eastAsia" w:ascii="黑体" w:eastAsia="黑体"/>
          <w:color w:val="000000"/>
          <w:sz w:val="24"/>
        </w:rPr>
        <w:t>6.5脚手架</w:t>
      </w:r>
    </w:p>
    <w:p>
      <w:pPr>
        <w:spacing w:line="380" w:lineRule="exact"/>
        <w:ind w:left="945" w:hanging="945" w:hangingChars="450"/>
        <w:rPr>
          <w:rFonts w:ascii="宋体" w:hAnsi="宋体"/>
          <w:color w:val="000000"/>
          <w:szCs w:val="21"/>
        </w:rPr>
      </w:pPr>
      <w:r>
        <w:rPr>
          <w:rFonts w:hint="eastAsia" w:ascii="宋体" w:hAnsi="宋体"/>
          <w:color w:val="000000"/>
          <w:szCs w:val="21"/>
        </w:rPr>
        <w:t>6.5.1    承包人应搭设并维护一切必要的临时脚手架、挑平台并配以脚手板、安全网、护身栏杆、门架、马道、坡道、爬梯等等。脚手架和挑平台的搭设应满足有关安全生产的法律、法规、规范、标准和规程等的要求。新搭设的脚手架投入使用前，承包人必须组织安全检查和验收，并对使用脚手架的作业人员进行安全交底。</w:t>
      </w:r>
    </w:p>
    <w:p>
      <w:pPr>
        <w:spacing w:line="380" w:lineRule="exact"/>
        <w:ind w:left="945" w:hanging="945" w:hangingChars="450"/>
        <w:rPr>
          <w:rFonts w:ascii="宋体" w:hAnsi="宋体"/>
          <w:color w:val="000000"/>
          <w:szCs w:val="21"/>
        </w:rPr>
      </w:pPr>
      <w:r>
        <w:rPr>
          <w:rFonts w:hint="eastAsia" w:ascii="宋体" w:hAnsi="宋体"/>
          <w:color w:val="000000"/>
          <w:szCs w:val="21"/>
        </w:rPr>
        <w:t>6.5.2    所有脚手架，尤其是大型、复杂、高耸和非常规脚手架，要编制专项施工方案，还应当经过安全验算，脚手架安全验算结果必须报送监理人核查后方可实施。</w:t>
      </w:r>
    </w:p>
    <w:p>
      <w:pPr>
        <w:spacing w:line="380" w:lineRule="exact"/>
        <w:ind w:left="945" w:hanging="945" w:hangingChars="450"/>
        <w:rPr>
          <w:rFonts w:ascii="宋体" w:hAnsi="宋体"/>
          <w:color w:val="000000"/>
          <w:szCs w:val="21"/>
        </w:rPr>
      </w:pPr>
      <w:r>
        <w:rPr>
          <w:rFonts w:hint="eastAsia" w:ascii="宋体" w:hAnsi="宋体"/>
          <w:color w:val="000000"/>
          <w:szCs w:val="21"/>
        </w:rPr>
        <w:t>6.5.3    搭设爬架、挂架、超高脚手架等特种或新型脚手架时，承包人应确保此类脚手架的安全性和保证此类脚手架已经过有关行政管理部门允许使用的批准，并承担与此有关的一切费用。</w:t>
      </w:r>
    </w:p>
    <w:p>
      <w:pPr>
        <w:spacing w:line="380" w:lineRule="exact"/>
        <w:ind w:left="945" w:hanging="945" w:hangingChars="450"/>
        <w:rPr>
          <w:rFonts w:ascii="宋体" w:hAnsi="宋体"/>
          <w:color w:val="000000"/>
          <w:szCs w:val="21"/>
        </w:rPr>
      </w:pPr>
      <w:r>
        <w:rPr>
          <w:rFonts w:hint="eastAsia" w:ascii="宋体" w:hAnsi="宋体"/>
          <w:color w:val="000000"/>
          <w:szCs w:val="21"/>
        </w:rPr>
        <w:t>6.5.4    承包人应当加强脚手架的日常安全巡查，及时对其中的安全隐患进行整改，确保脚手架使用安全。雨、雪、雾、霜和大风等天气后，承包人必须对脚手架进行安全巡查，并及时消除安全隐患。</w:t>
      </w:r>
    </w:p>
    <w:p>
      <w:pPr>
        <w:spacing w:line="380" w:lineRule="exact"/>
        <w:ind w:left="945" w:hanging="945" w:hangingChars="450"/>
        <w:rPr>
          <w:rFonts w:ascii="宋体" w:hAnsi="宋体"/>
          <w:color w:val="000000"/>
          <w:szCs w:val="21"/>
        </w:rPr>
      </w:pPr>
      <w:r>
        <w:rPr>
          <w:rFonts w:hint="eastAsia" w:ascii="宋体" w:hAnsi="宋体"/>
          <w:color w:val="000000"/>
          <w:szCs w:val="21"/>
        </w:rPr>
        <w:t>6.5.5    承包人应允许发包人、监理人、专业分包人、独立承包人</w:t>
      </w:r>
      <w:r>
        <w:rPr>
          <w:rFonts w:hint="eastAsia" w:ascii="宋体" w:hAnsi="宋体"/>
          <w:color w:val="000000"/>
          <w:szCs w:val="21"/>
          <w:lang w:eastAsia="zh-CN"/>
        </w:rPr>
        <w:t>（</w:t>
      </w:r>
      <w:r>
        <w:rPr>
          <w:rFonts w:hint="eastAsia" w:ascii="宋体" w:hAnsi="宋体"/>
          <w:color w:val="000000"/>
          <w:szCs w:val="21"/>
        </w:rPr>
        <w:t>如果有</w:t>
      </w:r>
      <w:r>
        <w:rPr>
          <w:rFonts w:hint="eastAsia" w:ascii="宋体" w:hAnsi="宋体"/>
          <w:color w:val="000000"/>
          <w:szCs w:val="21"/>
          <w:lang w:eastAsia="zh-CN"/>
        </w:rPr>
        <w:t>）</w:t>
      </w:r>
      <w:r>
        <w:rPr>
          <w:rFonts w:hint="eastAsia" w:ascii="宋体" w:hAnsi="宋体"/>
          <w:color w:val="000000"/>
          <w:szCs w:val="21"/>
        </w:rPr>
        <w:t>和有关行政管理部门或者机构免费使用承包人在现场搭设的任何已有脚手架，并就其安全使用</w:t>
      </w:r>
      <w:r>
        <w:rPr>
          <w:rFonts w:hint="eastAsia" w:ascii="宋体" w:hAnsi="宋体"/>
          <w:color w:val="000000"/>
          <w:szCs w:val="21"/>
          <w:lang w:eastAsia="zh-CN"/>
        </w:rPr>
        <w:t>作</w:t>
      </w:r>
      <w:r>
        <w:rPr>
          <w:rFonts w:hint="eastAsia" w:ascii="宋体" w:hAnsi="宋体"/>
          <w:color w:val="000000"/>
          <w:szCs w:val="21"/>
        </w:rPr>
        <w:t>必要交底说明。承包人在拆除任何脚手架前，应书面请示监理人他将要拆除的脚手架是否为发包人、监理人、专业分包人、独立承包人</w:t>
      </w:r>
      <w:r>
        <w:rPr>
          <w:rFonts w:hint="eastAsia" w:ascii="宋体" w:hAnsi="宋体"/>
          <w:color w:val="000000"/>
          <w:szCs w:val="21"/>
          <w:lang w:eastAsia="zh-CN"/>
        </w:rPr>
        <w:t>（</w:t>
      </w:r>
      <w:r>
        <w:rPr>
          <w:rFonts w:hint="eastAsia" w:ascii="宋体" w:hAnsi="宋体"/>
          <w:color w:val="000000"/>
          <w:szCs w:val="21"/>
        </w:rPr>
        <w:t>如果有</w:t>
      </w:r>
      <w:r>
        <w:rPr>
          <w:rFonts w:hint="eastAsia" w:ascii="宋体" w:hAnsi="宋体"/>
          <w:color w:val="000000"/>
          <w:szCs w:val="21"/>
          <w:lang w:eastAsia="zh-CN"/>
        </w:rPr>
        <w:t>）</w:t>
      </w:r>
      <w:r>
        <w:rPr>
          <w:rFonts w:hint="eastAsia" w:ascii="宋体" w:hAnsi="宋体"/>
          <w:color w:val="000000"/>
          <w:szCs w:val="21"/>
        </w:rPr>
        <w:t>和政府有关机构所需，只有在获得监理人书面批准后，承包人才能拆除相关脚手架，否则承包人应自费重新搭设。</w:t>
      </w:r>
    </w:p>
    <w:p>
      <w:pPr>
        <w:spacing w:line="380" w:lineRule="exact"/>
        <w:ind w:left="945" w:hanging="945" w:hangingChars="450"/>
        <w:rPr>
          <w:rFonts w:ascii="宋体" w:hAnsi="宋体"/>
          <w:color w:val="000000"/>
          <w:szCs w:val="21"/>
        </w:rPr>
      </w:pPr>
      <w:r>
        <w:rPr>
          <w:rFonts w:hint="eastAsia" w:ascii="宋体" w:hAnsi="宋体"/>
          <w:color w:val="000000"/>
          <w:szCs w:val="21"/>
        </w:rPr>
        <w:t>6.5.6    脚手架的其他要求如下：</w:t>
      </w:r>
    </w:p>
    <w:p>
      <w:pPr>
        <w:spacing w:line="380" w:lineRule="exact"/>
        <w:ind w:left="735" w:hanging="735" w:hangingChars="350"/>
        <w:rPr>
          <w:rFonts w:ascii="宋体" w:hAnsi="宋体"/>
          <w:color w:val="000000"/>
          <w:szCs w:val="21"/>
        </w:rPr>
      </w:pPr>
      <w:permStart w:id="558" w:edGrp="everyone"/>
      <w:r>
        <w:rPr>
          <w:rFonts w:hint="eastAsia" w:ascii="宋体" w:hAnsi="宋体"/>
          <w:color w:val="000000"/>
          <w:szCs w:val="21"/>
        </w:rPr>
        <w:t xml:space="preserve">                                                                       </w:t>
      </w:r>
      <w:r>
        <w:rPr>
          <w:rFonts w:ascii="宋体" w:hAnsi="宋体"/>
          <w:color w:val="000000"/>
          <w:szCs w:val="21"/>
        </w:rPr>
        <w:t xml:space="preserve">         </w:t>
      </w:r>
      <w:permEnd w:id="558"/>
    </w:p>
    <w:p>
      <w:pPr>
        <w:rPr>
          <w:rFonts w:ascii="黑体" w:eastAsia="黑体"/>
          <w:color w:val="000000"/>
          <w:sz w:val="24"/>
        </w:rPr>
      </w:pPr>
      <w:r>
        <w:rPr>
          <w:rFonts w:hint="eastAsia" w:ascii="黑体" w:eastAsia="黑体"/>
          <w:color w:val="000000"/>
          <w:sz w:val="24"/>
        </w:rPr>
        <w:t>6.6施工安全措施计划</w:t>
      </w:r>
    </w:p>
    <w:p>
      <w:pPr>
        <w:spacing w:line="400" w:lineRule="exact"/>
        <w:ind w:left="945" w:hanging="945" w:hangingChars="450"/>
        <w:rPr>
          <w:rFonts w:ascii="宋体" w:hAnsi="宋体"/>
          <w:color w:val="000000"/>
          <w:szCs w:val="21"/>
        </w:rPr>
      </w:pPr>
      <w:r>
        <w:rPr>
          <w:rFonts w:hint="eastAsia" w:ascii="宋体" w:hAnsi="宋体"/>
          <w:color w:val="000000"/>
          <w:szCs w:val="21"/>
        </w:rPr>
        <w:t>6.6.1    承包人应根据《中华人民共和国安全生产法</w:t>
      </w:r>
      <w:r>
        <w:rPr>
          <w:rFonts w:hint="eastAsia" w:ascii="宋体" w:hAnsi="宋体"/>
          <w:color w:val="000000"/>
          <w:szCs w:val="21"/>
          <w:lang w:eastAsia="zh-CN"/>
        </w:rPr>
        <w:t>》《</w:t>
      </w:r>
      <w:r>
        <w:rPr>
          <w:rFonts w:hint="eastAsia" w:ascii="宋体" w:hAnsi="宋体"/>
          <w:color w:val="000000"/>
          <w:szCs w:val="21"/>
        </w:rPr>
        <w:t>职业健康安全管理体系规范</w:t>
      </w:r>
      <w:r>
        <w:rPr>
          <w:rFonts w:hint="eastAsia" w:ascii="宋体" w:hAnsi="宋体"/>
          <w:color w:val="000000"/>
          <w:szCs w:val="21"/>
          <w:lang w:eastAsia="zh-CN"/>
        </w:rPr>
        <w:t>》《</w:t>
      </w:r>
      <w:r>
        <w:rPr>
          <w:rFonts w:hint="eastAsia" w:ascii="宋体" w:hAnsi="宋体"/>
          <w:color w:val="000000"/>
          <w:szCs w:val="21"/>
        </w:rPr>
        <w:t>中华人民共和国消防法</w:t>
      </w:r>
      <w:r>
        <w:rPr>
          <w:rFonts w:hint="eastAsia" w:ascii="宋体" w:hAnsi="宋体"/>
          <w:color w:val="000000"/>
          <w:szCs w:val="21"/>
          <w:lang w:eastAsia="zh-CN"/>
        </w:rPr>
        <w:t>》《</w:t>
      </w:r>
      <w:r>
        <w:rPr>
          <w:rFonts w:hint="eastAsia" w:ascii="宋体" w:hAnsi="宋体"/>
          <w:color w:val="000000"/>
          <w:szCs w:val="21"/>
        </w:rPr>
        <w:t>中华人民共和国道路交通安全法</w:t>
      </w:r>
      <w:r>
        <w:rPr>
          <w:rFonts w:hint="eastAsia" w:ascii="宋体" w:hAnsi="宋体"/>
          <w:color w:val="000000"/>
          <w:szCs w:val="21"/>
          <w:lang w:eastAsia="zh-CN"/>
        </w:rPr>
        <w:t>》《</w:t>
      </w:r>
      <w:r>
        <w:rPr>
          <w:rFonts w:hint="eastAsia" w:ascii="宋体" w:hAnsi="宋体"/>
          <w:color w:val="000000"/>
          <w:szCs w:val="21"/>
        </w:rPr>
        <w:t>中华人民共和国传染病防治法实施办法》和地方有关的法规等，按照合同条款第9.2.1项的约定，编制一份施工安全措施计划，报送监理人审批。</w:t>
      </w:r>
    </w:p>
    <w:p>
      <w:pPr>
        <w:spacing w:line="400" w:lineRule="exact"/>
        <w:ind w:left="945" w:hanging="945" w:hangingChars="450"/>
        <w:rPr>
          <w:rFonts w:ascii="宋体" w:hAnsi="宋体"/>
          <w:color w:val="000000"/>
          <w:szCs w:val="21"/>
        </w:rPr>
      </w:pPr>
      <w:r>
        <w:rPr>
          <w:rFonts w:hint="eastAsia" w:ascii="宋体" w:hAnsi="宋体"/>
          <w:color w:val="000000"/>
          <w:szCs w:val="21"/>
        </w:rPr>
        <w:t>6.6.2    施工安全措施计划是承包人阐明其安全管理方针、管理体系、安全制度和安全措施等的文件，其内容应当反映现行法律法规规定的和合同条款约定的以及本条上述约定的承包人安全职责，包括但不限于：</w:t>
      </w:r>
    </w:p>
    <w:p>
      <w:pPr>
        <w:spacing w:line="400" w:lineRule="exact"/>
        <w:ind w:left="945" w:hanging="945" w:hangingChars="450"/>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1</w:t>
      </w:r>
      <w:r>
        <w:rPr>
          <w:rFonts w:hint="eastAsia" w:ascii="宋体" w:hAnsi="宋体"/>
          <w:color w:val="000000"/>
          <w:szCs w:val="21"/>
          <w:lang w:eastAsia="zh-CN"/>
        </w:rPr>
        <w:t>）</w:t>
      </w:r>
      <w:r>
        <w:rPr>
          <w:rFonts w:hint="eastAsia" w:ascii="宋体" w:hAnsi="宋体"/>
          <w:color w:val="000000"/>
          <w:szCs w:val="21"/>
        </w:rPr>
        <w:t>施工安全管理机构的设置；</w:t>
      </w:r>
    </w:p>
    <w:p>
      <w:pPr>
        <w:spacing w:line="400" w:lineRule="exact"/>
        <w:ind w:left="945" w:hanging="945" w:hangingChars="450"/>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2</w:t>
      </w:r>
      <w:r>
        <w:rPr>
          <w:rFonts w:hint="eastAsia" w:ascii="宋体" w:hAnsi="宋体"/>
          <w:color w:val="000000"/>
          <w:szCs w:val="21"/>
          <w:lang w:eastAsia="zh-CN"/>
        </w:rPr>
        <w:t>）</w:t>
      </w:r>
      <w:r>
        <w:rPr>
          <w:rFonts w:hint="eastAsia" w:ascii="宋体" w:hAnsi="宋体"/>
          <w:color w:val="000000"/>
          <w:szCs w:val="21"/>
        </w:rPr>
        <w:t>专职安全管理人员的配备；</w:t>
      </w:r>
    </w:p>
    <w:p>
      <w:pPr>
        <w:spacing w:line="400" w:lineRule="exact"/>
        <w:ind w:left="945" w:hanging="945" w:hangingChars="450"/>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3</w:t>
      </w:r>
      <w:r>
        <w:rPr>
          <w:rFonts w:hint="eastAsia" w:ascii="宋体" w:hAnsi="宋体"/>
          <w:color w:val="000000"/>
          <w:szCs w:val="21"/>
          <w:lang w:eastAsia="zh-CN"/>
        </w:rPr>
        <w:t>）</w:t>
      </w:r>
      <w:r>
        <w:rPr>
          <w:rFonts w:hint="eastAsia" w:ascii="宋体" w:hAnsi="宋体"/>
          <w:color w:val="000000"/>
          <w:szCs w:val="21"/>
        </w:rPr>
        <w:t>安全责任制度和管理措施；</w:t>
      </w:r>
    </w:p>
    <w:p>
      <w:pPr>
        <w:spacing w:line="400" w:lineRule="exact"/>
        <w:ind w:left="945" w:hanging="945" w:hangingChars="450"/>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4</w:t>
      </w:r>
      <w:r>
        <w:rPr>
          <w:rFonts w:hint="eastAsia" w:ascii="宋体" w:hAnsi="宋体"/>
          <w:color w:val="000000"/>
          <w:szCs w:val="21"/>
          <w:lang w:eastAsia="zh-CN"/>
        </w:rPr>
        <w:t>）</w:t>
      </w:r>
      <w:r>
        <w:rPr>
          <w:rFonts w:hint="eastAsia" w:ascii="宋体" w:hAnsi="宋体"/>
          <w:color w:val="000000"/>
          <w:szCs w:val="21"/>
        </w:rPr>
        <w:t>安全教育和培训制度及管理措施；</w:t>
      </w:r>
    </w:p>
    <w:p>
      <w:pPr>
        <w:spacing w:line="400" w:lineRule="exact"/>
        <w:ind w:left="945" w:hanging="945" w:hangingChars="450"/>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5</w:t>
      </w:r>
      <w:r>
        <w:rPr>
          <w:rFonts w:hint="eastAsia" w:ascii="宋体" w:hAnsi="宋体"/>
          <w:color w:val="000000"/>
          <w:szCs w:val="21"/>
          <w:lang w:eastAsia="zh-CN"/>
        </w:rPr>
        <w:t>）</w:t>
      </w:r>
      <w:r>
        <w:rPr>
          <w:rFonts w:hint="eastAsia" w:ascii="宋体" w:hAnsi="宋体"/>
          <w:color w:val="000000"/>
          <w:szCs w:val="21"/>
        </w:rPr>
        <w:t>各项安全生产规章制度和操作规程；</w:t>
      </w:r>
    </w:p>
    <w:p>
      <w:pPr>
        <w:spacing w:line="400" w:lineRule="exact"/>
        <w:ind w:left="945" w:hanging="945" w:hangingChars="450"/>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6</w:t>
      </w:r>
      <w:r>
        <w:rPr>
          <w:rFonts w:hint="eastAsia" w:ascii="宋体" w:hAnsi="宋体"/>
          <w:color w:val="000000"/>
          <w:szCs w:val="21"/>
          <w:lang w:eastAsia="zh-CN"/>
        </w:rPr>
        <w:t>）</w:t>
      </w:r>
      <w:r>
        <w:rPr>
          <w:rFonts w:hint="eastAsia" w:ascii="宋体" w:hAnsi="宋体"/>
          <w:color w:val="000000"/>
          <w:szCs w:val="21"/>
        </w:rPr>
        <w:t>各项施工安全措施和防护措施；</w:t>
      </w:r>
    </w:p>
    <w:p>
      <w:pPr>
        <w:spacing w:line="400" w:lineRule="exact"/>
        <w:ind w:left="945" w:hanging="945" w:hangingChars="450"/>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7</w:t>
      </w:r>
      <w:r>
        <w:rPr>
          <w:rFonts w:hint="eastAsia" w:ascii="宋体" w:hAnsi="宋体"/>
          <w:color w:val="000000"/>
          <w:szCs w:val="21"/>
          <w:lang w:eastAsia="zh-CN"/>
        </w:rPr>
        <w:t>）</w:t>
      </w:r>
      <w:r>
        <w:rPr>
          <w:rFonts w:hint="eastAsia" w:ascii="宋体" w:hAnsi="宋体"/>
          <w:color w:val="000000"/>
          <w:szCs w:val="21"/>
        </w:rPr>
        <w:t>危险品管理和使用制度；</w:t>
      </w:r>
    </w:p>
    <w:p>
      <w:pPr>
        <w:spacing w:line="400" w:lineRule="exact"/>
        <w:ind w:left="945" w:hanging="945" w:hangingChars="450"/>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8</w:t>
      </w:r>
      <w:r>
        <w:rPr>
          <w:rFonts w:hint="eastAsia" w:ascii="宋体" w:hAnsi="宋体"/>
          <w:color w:val="000000"/>
          <w:szCs w:val="21"/>
          <w:lang w:eastAsia="zh-CN"/>
        </w:rPr>
        <w:t>）</w:t>
      </w:r>
      <w:r>
        <w:rPr>
          <w:rFonts w:hint="eastAsia" w:ascii="宋体" w:hAnsi="宋体"/>
          <w:color w:val="000000"/>
          <w:szCs w:val="21"/>
        </w:rPr>
        <w:t>安全设施、设备、器材和劳动保护用品的配置；</w:t>
      </w:r>
    </w:p>
    <w:p>
      <w:pPr>
        <w:spacing w:line="400" w:lineRule="exact"/>
        <w:ind w:left="945" w:hanging="945" w:hangingChars="450"/>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9</w:t>
      </w:r>
      <w:r>
        <w:rPr>
          <w:rFonts w:hint="eastAsia" w:ascii="宋体" w:hAnsi="宋体"/>
          <w:color w:val="000000"/>
          <w:szCs w:val="21"/>
          <w:lang w:eastAsia="zh-CN"/>
        </w:rPr>
        <w:t>）</w:t>
      </w:r>
      <w:r>
        <w:rPr>
          <w:rFonts w:hint="eastAsia" w:ascii="宋体" w:hAnsi="宋体"/>
          <w:color w:val="000000"/>
          <w:szCs w:val="21"/>
        </w:rPr>
        <w:t>其他：</w:t>
      </w:r>
      <w:permStart w:id="559" w:edGrp="everyone"/>
      <w:r>
        <w:rPr>
          <w:rFonts w:hint="eastAsia" w:ascii="宋体" w:hAnsi="宋体"/>
          <w:color w:val="000000"/>
          <w:szCs w:val="21"/>
        </w:rPr>
        <w:t xml:space="preserve">                                                           。</w:t>
      </w:r>
      <w:permEnd w:id="559"/>
    </w:p>
    <w:p>
      <w:pPr>
        <w:spacing w:line="400" w:lineRule="exact"/>
        <w:ind w:left="947" w:firstLine="21" w:firstLineChars="10"/>
        <w:rPr>
          <w:rFonts w:ascii="宋体" w:hAnsi="宋体"/>
          <w:color w:val="000000"/>
          <w:szCs w:val="21"/>
        </w:rPr>
      </w:pPr>
      <w:r>
        <w:rPr>
          <w:rFonts w:hint="eastAsia" w:ascii="宋体" w:hAnsi="宋体"/>
          <w:color w:val="000000"/>
          <w:szCs w:val="21"/>
        </w:rPr>
        <w:t>施工安全措施的项目和范围，应符合国家颁发的《安全技术措施计划的项目总名称表》及其附录H、I、J的规定，即应采取以改善劳动条件，防止工伤事故，预防职业病和职业中毒为目的的一切施工安全措施，以及修建必要的安全设施、配备安全技术开发试验所需的器材、设备和技术资料，并对现场的施工管理及作业人员做好相应的安全宣传教育。</w:t>
      </w:r>
    </w:p>
    <w:p>
      <w:pPr>
        <w:spacing w:line="400" w:lineRule="exact"/>
        <w:ind w:left="945" w:hanging="945" w:hangingChars="450"/>
        <w:rPr>
          <w:rFonts w:ascii="宋体" w:hAnsi="宋体"/>
          <w:color w:val="000000"/>
          <w:szCs w:val="21"/>
        </w:rPr>
      </w:pPr>
      <w:r>
        <w:rPr>
          <w:rFonts w:hint="eastAsia" w:ascii="宋体" w:hAnsi="宋体"/>
          <w:color w:val="000000"/>
          <w:szCs w:val="21"/>
        </w:rPr>
        <w:t>6.6.3    施工安全措施计划应当在专用合同条款第9.2.1项约定的期限内报送监理人。承包人应当严格执行经监理人批准的施工安全措施计划，并及时补充、修订和完善施工安全措施计划，确保安全生产。</w:t>
      </w:r>
    </w:p>
    <w:p>
      <w:pPr>
        <w:rPr>
          <w:rFonts w:ascii="黑体" w:eastAsia="黑体"/>
          <w:color w:val="000000"/>
          <w:sz w:val="24"/>
        </w:rPr>
      </w:pPr>
      <w:r>
        <w:rPr>
          <w:rFonts w:hint="eastAsia" w:ascii="黑体" w:eastAsia="黑体"/>
          <w:color w:val="000000"/>
          <w:sz w:val="24"/>
        </w:rPr>
        <w:t>6.7文明施工</w:t>
      </w:r>
    </w:p>
    <w:p>
      <w:pPr>
        <w:spacing w:line="420" w:lineRule="exact"/>
        <w:ind w:left="945" w:hanging="945" w:hangingChars="450"/>
        <w:rPr>
          <w:rFonts w:ascii="宋体" w:hAnsi="宋体"/>
          <w:color w:val="000000"/>
          <w:szCs w:val="21"/>
        </w:rPr>
      </w:pPr>
      <w:r>
        <w:rPr>
          <w:rFonts w:hint="eastAsia" w:ascii="宋体" w:hAnsi="宋体"/>
          <w:color w:val="000000"/>
          <w:szCs w:val="21"/>
        </w:rPr>
        <w:t>6.7.1    承包人应遵守国家和工程所在地有关法规、规范、规程和标准的规定，履行文明施工义务，确保文明施工专项费用专款专用。</w:t>
      </w:r>
    </w:p>
    <w:p>
      <w:pPr>
        <w:spacing w:line="420" w:lineRule="exact"/>
        <w:ind w:left="945" w:hanging="945" w:hangingChars="450"/>
        <w:rPr>
          <w:rFonts w:ascii="宋体" w:hAnsi="宋体"/>
          <w:color w:val="000000"/>
          <w:szCs w:val="21"/>
        </w:rPr>
      </w:pPr>
      <w:r>
        <w:rPr>
          <w:rFonts w:hint="eastAsia" w:ascii="宋体" w:hAnsi="宋体"/>
          <w:color w:val="000000"/>
          <w:szCs w:val="21"/>
        </w:rPr>
        <w:t>6.7.2     承包人应当规范现场施工秩序，实行标准化管理：</w:t>
      </w:r>
    </w:p>
    <w:p>
      <w:pPr>
        <w:spacing w:line="420" w:lineRule="exact"/>
        <w:ind w:left="1365" w:leftChars="500" w:hanging="315" w:hangingChars="150"/>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1</w:t>
      </w:r>
      <w:r>
        <w:rPr>
          <w:rFonts w:hint="eastAsia" w:ascii="宋体" w:hAnsi="宋体"/>
          <w:color w:val="000000"/>
          <w:szCs w:val="21"/>
          <w:lang w:eastAsia="zh-CN"/>
        </w:rPr>
        <w:t>）</w:t>
      </w:r>
      <w:r>
        <w:rPr>
          <w:rFonts w:hint="eastAsia" w:ascii="宋体" w:hAnsi="宋体"/>
          <w:color w:val="000000"/>
          <w:szCs w:val="21"/>
        </w:rPr>
        <w:t>承包人的施工场地</w:t>
      </w:r>
      <w:r>
        <w:rPr>
          <w:rFonts w:hint="eastAsia" w:ascii="宋体" w:hAnsi="宋体"/>
          <w:color w:val="000000"/>
          <w:szCs w:val="21"/>
          <w:lang w:eastAsia="zh-CN"/>
        </w:rPr>
        <w:t>（</w:t>
      </w:r>
      <w:r>
        <w:rPr>
          <w:rFonts w:hint="eastAsia" w:ascii="宋体" w:hAnsi="宋体"/>
          <w:color w:val="000000"/>
          <w:szCs w:val="21"/>
        </w:rPr>
        <w:t>现场</w:t>
      </w:r>
      <w:r>
        <w:rPr>
          <w:rFonts w:hint="eastAsia" w:ascii="宋体" w:hAnsi="宋体"/>
          <w:color w:val="000000"/>
          <w:szCs w:val="21"/>
          <w:lang w:eastAsia="zh-CN"/>
        </w:rPr>
        <w:t>）</w:t>
      </w:r>
      <w:r>
        <w:rPr>
          <w:rFonts w:hint="eastAsia" w:ascii="宋体" w:hAnsi="宋体"/>
          <w:color w:val="000000"/>
          <w:szCs w:val="21"/>
        </w:rPr>
        <w:t>必须</w:t>
      </w:r>
      <w:r>
        <w:rPr>
          <w:rFonts w:hint="eastAsia" w:ascii="宋体" w:hAnsi="宋体"/>
          <w:color w:val="000000"/>
          <w:szCs w:val="21"/>
          <w:lang w:eastAsia="zh-CN"/>
        </w:rPr>
        <w:t>干净整洁</w:t>
      </w:r>
      <w:r>
        <w:rPr>
          <w:rFonts w:hint="eastAsia" w:ascii="宋体" w:hAnsi="宋体"/>
          <w:color w:val="000000"/>
          <w:szCs w:val="21"/>
        </w:rPr>
        <w:t>、做到无积水、无淤泥、无杂物，材料堆放整齐；</w:t>
      </w:r>
    </w:p>
    <w:p>
      <w:pPr>
        <w:spacing w:line="420" w:lineRule="exact"/>
        <w:ind w:left="945" w:leftChars="450" w:right="-174" w:rightChars="-83" w:firstLine="105" w:firstLineChars="50"/>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2</w:t>
      </w:r>
      <w:r>
        <w:rPr>
          <w:rFonts w:hint="eastAsia" w:ascii="宋体" w:hAnsi="宋体"/>
          <w:color w:val="000000"/>
          <w:szCs w:val="21"/>
          <w:lang w:eastAsia="zh-CN"/>
        </w:rPr>
        <w:t>）</w:t>
      </w:r>
      <w:r>
        <w:rPr>
          <w:rFonts w:hint="eastAsia" w:ascii="宋体" w:hAnsi="宋体"/>
          <w:color w:val="000000"/>
          <w:szCs w:val="21"/>
        </w:rPr>
        <w:t>施工场地</w:t>
      </w:r>
      <w:r>
        <w:rPr>
          <w:rFonts w:hint="eastAsia" w:ascii="宋体" w:hAnsi="宋体"/>
          <w:color w:val="000000"/>
          <w:szCs w:val="21"/>
          <w:lang w:eastAsia="zh-CN"/>
        </w:rPr>
        <w:t>（</w:t>
      </w:r>
      <w:r>
        <w:rPr>
          <w:rFonts w:hint="eastAsia" w:ascii="宋体" w:hAnsi="宋体"/>
          <w:color w:val="000000"/>
          <w:szCs w:val="21"/>
        </w:rPr>
        <w:t>现场</w:t>
      </w:r>
      <w:r>
        <w:rPr>
          <w:rFonts w:hint="eastAsia" w:ascii="宋体" w:hAnsi="宋体"/>
          <w:color w:val="000000"/>
          <w:szCs w:val="21"/>
          <w:lang w:eastAsia="zh-CN"/>
        </w:rPr>
        <w:t>）</w:t>
      </w:r>
      <w:r>
        <w:rPr>
          <w:rFonts w:hint="eastAsia" w:ascii="宋体" w:hAnsi="宋体"/>
          <w:color w:val="000000"/>
          <w:szCs w:val="21"/>
        </w:rPr>
        <w:t>应进行硬化处理，定期定时洒水，做好防治扬尘和大气污染工作；</w:t>
      </w:r>
    </w:p>
    <w:p>
      <w:pPr>
        <w:spacing w:line="420" w:lineRule="exact"/>
        <w:ind w:left="945" w:leftChars="450" w:firstLine="105" w:firstLineChars="50"/>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3</w:t>
      </w:r>
      <w:r>
        <w:rPr>
          <w:rFonts w:hint="eastAsia" w:ascii="宋体" w:hAnsi="宋体"/>
          <w:color w:val="000000"/>
          <w:szCs w:val="21"/>
          <w:lang w:eastAsia="zh-CN"/>
        </w:rPr>
        <w:t>）</w:t>
      </w:r>
      <w:r>
        <w:rPr>
          <w:rFonts w:hint="eastAsia" w:ascii="宋体" w:hAnsi="宋体"/>
          <w:color w:val="000000"/>
          <w:szCs w:val="21"/>
        </w:rPr>
        <w:t>严格遵守“工完、料尽、场地净”的原则，不留垃圾、不留剩余施工材料和施工机具，各种设备运转正常；</w:t>
      </w:r>
    </w:p>
    <w:p>
      <w:pPr>
        <w:spacing w:line="380" w:lineRule="exact"/>
        <w:ind w:left="1365" w:leftChars="500" w:hanging="315" w:hangingChars="150"/>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4</w:t>
      </w:r>
      <w:r>
        <w:rPr>
          <w:rFonts w:hint="eastAsia" w:ascii="宋体" w:hAnsi="宋体"/>
          <w:color w:val="000000"/>
          <w:szCs w:val="21"/>
          <w:lang w:eastAsia="zh-CN"/>
        </w:rPr>
        <w:t>）</w:t>
      </w:r>
      <w:r>
        <w:rPr>
          <w:rFonts w:hint="eastAsia" w:ascii="宋体" w:hAnsi="宋体"/>
          <w:color w:val="000000"/>
          <w:szCs w:val="21"/>
        </w:rPr>
        <w:t>承包人修建的施工临时设施应符合监理人批准的施工规划要求，并应满足本节规定的各项安全要求；</w:t>
      </w:r>
    </w:p>
    <w:p>
      <w:pPr>
        <w:spacing w:line="380" w:lineRule="exact"/>
        <w:ind w:left="1365" w:leftChars="500" w:hanging="315" w:hangingChars="150"/>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5</w:t>
      </w:r>
      <w:r>
        <w:rPr>
          <w:rFonts w:hint="eastAsia" w:ascii="宋体" w:hAnsi="宋体"/>
          <w:color w:val="000000"/>
          <w:szCs w:val="21"/>
          <w:lang w:eastAsia="zh-CN"/>
        </w:rPr>
        <w:t>）</w:t>
      </w:r>
      <w:r>
        <w:rPr>
          <w:rFonts w:hint="eastAsia" w:ascii="宋体" w:hAnsi="宋体"/>
          <w:color w:val="000000"/>
          <w:szCs w:val="21"/>
        </w:rPr>
        <w:t>监理人可要求承包人在施工场地</w:t>
      </w:r>
      <w:r>
        <w:rPr>
          <w:rFonts w:hint="eastAsia" w:ascii="宋体" w:hAnsi="宋体"/>
          <w:color w:val="000000"/>
          <w:szCs w:val="21"/>
          <w:lang w:eastAsia="zh-CN"/>
        </w:rPr>
        <w:t>（</w:t>
      </w:r>
      <w:r>
        <w:rPr>
          <w:rFonts w:hint="eastAsia" w:ascii="宋体" w:hAnsi="宋体"/>
          <w:color w:val="000000"/>
          <w:szCs w:val="21"/>
        </w:rPr>
        <w:t>现场</w:t>
      </w:r>
      <w:r>
        <w:rPr>
          <w:rFonts w:hint="eastAsia" w:ascii="宋体" w:hAnsi="宋体"/>
          <w:color w:val="000000"/>
          <w:szCs w:val="21"/>
          <w:lang w:eastAsia="zh-CN"/>
        </w:rPr>
        <w:t>）</w:t>
      </w:r>
      <w:r>
        <w:rPr>
          <w:rFonts w:hint="eastAsia" w:ascii="宋体" w:hAnsi="宋体"/>
          <w:color w:val="000000"/>
          <w:szCs w:val="21"/>
        </w:rPr>
        <w:t>设置各级承包人的安全文明施工责任牌等文明施工警示牌；</w:t>
      </w:r>
    </w:p>
    <w:p>
      <w:pPr>
        <w:spacing w:line="380" w:lineRule="exact"/>
        <w:ind w:left="1365" w:leftChars="500" w:hanging="315" w:hangingChars="150"/>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6</w:t>
      </w:r>
      <w:r>
        <w:rPr>
          <w:rFonts w:hint="eastAsia" w:ascii="宋体" w:hAnsi="宋体"/>
          <w:color w:val="000000"/>
          <w:szCs w:val="21"/>
          <w:lang w:eastAsia="zh-CN"/>
        </w:rPr>
        <w:t>）</w:t>
      </w:r>
      <w:r>
        <w:rPr>
          <w:rFonts w:hint="eastAsia" w:ascii="宋体" w:hAnsi="宋体"/>
          <w:color w:val="000000"/>
          <w:szCs w:val="21"/>
        </w:rPr>
        <w:t>材料进入现场应按指定位置堆放整齐，不得影响现场施工和堵塞施工、消防通道。材料堆放场地应有专职的管理人员；</w:t>
      </w:r>
    </w:p>
    <w:p>
      <w:pPr>
        <w:spacing w:line="380" w:lineRule="exact"/>
        <w:ind w:left="1365" w:leftChars="500" w:hanging="315" w:hangingChars="150"/>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7</w:t>
      </w:r>
      <w:r>
        <w:rPr>
          <w:rFonts w:hint="eastAsia" w:ascii="宋体" w:hAnsi="宋体"/>
          <w:color w:val="000000"/>
          <w:szCs w:val="21"/>
          <w:lang w:eastAsia="zh-CN"/>
        </w:rPr>
        <w:t>）</w:t>
      </w:r>
      <w:r>
        <w:rPr>
          <w:rFonts w:hint="eastAsia" w:ascii="宋体" w:hAnsi="宋体"/>
          <w:color w:val="000000"/>
          <w:szCs w:val="21"/>
        </w:rPr>
        <w:t>施工和安装用的各种扣件、紧固件、绳索具、小型配件、</w:t>
      </w:r>
      <w:r>
        <w:rPr>
          <w:rFonts w:hint="eastAsia" w:ascii="宋体" w:hAnsi="宋体"/>
          <w:color w:val="000000"/>
          <w:szCs w:val="21"/>
          <w:lang w:eastAsia="zh-CN"/>
        </w:rPr>
        <w:t>螺钉</w:t>
      </w:r>
      <w:r>
        <w:rPr>
          <w:rFonts w:hint="eastAsia" w:ascii="宋体" w:hAnsi="宋体"/>
          <w:color w:val="000000"/>
          <w:szCs w:val="21"/>
        </w:rPr>
        <w:t>等应在专设的仓库内装箱放置；</w:t>
      </w:r>
    </w:p>
    <w:p>
      <w:pPr>
        <w:spacing w:line="380" w:lineRule="exact"/>
        <w:ind w:left="1365" w:leftChars="500" w:hanging="315" w:hangingChars="150"/>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8</w:t>
      </w:r>
      <w:r>
        <w:rPr>
          <w:rFonts w:hint="eastAsia" w:ascii="宋体" w:hAnsi="宋体"/>
          <w:color w:val="000000"/>
          <w:szCs w:val="21"/>
          <w:lang w:eastAsia="zh-CN"/>
        </w:rPr>
        <w:t>）</w:t>
      </w:r>
      <w:r>
        <w:rPr>
          <w:rFonts w:hint="eastAsia" w:ascii="宋体" w:hAnsi="宋体"/>
          <w:color w:val="000000"/>
          <w:szCs w:val="21"/>
        </w:rPr>
        <w:t>现场风、水管及照明电线的布置应安全、合理、规范、有序，做到整齐美观。不得随意架设和造成隐患或影响施工。</w:t>
      </w:r>
    </w:p>
    <w:p>
      <w:pPr>
        <w:spacing w:line="380" w:lineRule="exact"/>
        <w:ind w:left="945" w:right="42" w:rightChars="20" w:hanging="945" w:hangingChars="450"/>
        <w:rPr>
          <w:rFonts w:ascii="宋体" w:hAnsi="宋体"/>
          <w:color w:val="000000"/>
          <w:szCs w:val="21"/>
        </w:rPr>
      </w:pPr>
      <w:r>
        <w:rPr>
          <w:rFonts w:hint="eastAsia" w:ascii="宋体" w:hAnsi="宋体"/>
          <w:color w:val="000000"/>
          <w:szCs w:val="21"/>
        </w:rPr>
        <w:t>6.7.3    承包人应为其雇佣的施工工人建立并维护相应的生活宿舍、食堂、浴室、厕所和文化活动室等，其标准应满足政府有关机构的生活标准和卫生标准等的要求。</w:t>
      </w:r>
    </w:p>
    <w:p>
      <w:pPr>
        <w:spacing w:line="380" w:lineRule="exact"/>
        <w:ind w:left="945" w:right="42" w:rightChars="20" w:hanging="945" w:hangingChars="450"/>
        <w:rPr>
          <w:rFonts w:ascii="宋体" w:hAnsi="宋体"/>
          <w:color w:val="000000"/>
          <w:szCs w:val="21"/>
        </w:rPr>
      </w:pPr>
      <w:r>
        <w:rPr>
          <w:rFonts w:hint="eastAsia" w:ascii="宋体" w:hAnsi="宋体"/>
          <w:color w:val="000000"/>
          <w:szCs w:val="21"/>
        </w:rPr>
        <w:t>6.7.4    承包人应为任何已完成的、正在施工的和将要进行的任何永久和临时工程、材料、物品、设备</w:t>
      </w:r>
      <w:r>
        <w:rPr>
          <w:rFonts w:hint="eastAsia" w:ascii="宋体" w:hAnsi="宋体"/>
          <w:color w:val="000000"/>
          <w:szCs w:val="21"/>
          <w:lang w:eastAsia="zh-CN"/>
        </w:rPr>
        <w:t>，以及</w:t>
      </w:r>
      <w:r>
        <w:rPr>
          <w:rFonts w:hint="eastAsia" w:ascii="宋体" w:hAnsi="宋体"/>
          <w:color w:val="000000"/>
          <w:szCs w:val="21"/>
        </w:rPr>
        <w:t>因永久工程施工而暴露的任何毗邻财产提供必要的覆盖和保护措施，以避免恶劣天气影响工程施工和造成损失。保护措施包括必要的冬季供暖、雨季用阻燃防水油布覆盖、额外的临时仓库等等。因承包人措施不得力或不到位而给工程带来的任何损失或损害由承包人自己负责。</w:t>
      </w:r>
    </w:p>
    <w:p>
      <w:pPr>
        <w:spacing w:line="380" w:lineRule="exact"/>
        <w:ind w:left="945" w:right="42" w:rightChars="20" w:hanging="945" w:hangingChars="450"/>
        <w:rPr>
          <w:rFonts w:ascii="宋体" w:hAnsi="宋体"/>
          <w:color w:val="000000"/>
          <w:szCs w:val="21"/>
        </w:rPr>
      </w:pPr>
      <w:r>
        <w:rPr>
          <w:rFonts w:hint="eastAsia" w:ascii="宋体" w:hAnsi="宋体"/>
          <w:color w:val="000000"/>
          <w:szCs w:val="21"/>
        </w:rPr>
        <w:t>6.7.5    在工程施工期间，承包人应始终避免现场出现不必要的障碍物，妥当存放并处置施工设备和多余的材料，及时从现场清除运走任何废料、垃圾或不再需要的临时工程和设施。</w:t>
      </w:r>
    </w:p>
    <w:p>
      <w:pPr>
        <w:spacing w:line="380" w:lineRule="exact"/>
        <w:ind w:left="945" w:right="42" w:rightChars="20" w:hanging="945" w:hangingChars="450"/>
        <w:rPr>
          <w:rFonts w:ascii="宋体" w:hAnsi="宋体"/>
          <w:color w:val="000000"/>
          <w:szCs w:val="21"/>
        </w:rPr>
      </w:pPr>
      <w:r>
        <w:rPr>
          <w:rFonts w:hint="eastAsia" w:ascii="宋体" w:hAnsi="宋体"/>
          <w:color w:val="000000"/>
          <w:szCs w:val="21"/>
        </w:rPr>
        <w:t>6.7.6    承包人应为现场的工人和其他所有工作人员提供符合卫生要求的厕所，厕所应贴有</w:t>
      </w:r>
      <w:r>
        <w:rPr>
          <w:rFonts w:hint="eastAsia" w:ascii="宋体" w:hAnsi="宋体"/>
          <w:color w:val="000000"/>
          <w:szCs w:val="21"/>
          <w:lang w:eastAsia="zh-CN"/>
        </w:rPr>
        <w:t>瓷砖</w:t>
      </w:r>
      <w:r>
        <w:rPr>
          <w:rFonts w:hint="eastAsia" w:ascii="宋体" w:hAnsi="宋体"/>
          <w:color w:val="000000"/>
          <w:szCs w:val="21"/>
        </w:rPr>
        <w:t>并带手动或自动冲刷设备和洗手盆；承包人负责支付与该厕所相关的所有费用，并在工程竣工时，从现场拆除。承包人应在工作区域设立必要的临时厕所，并安排专门人员负责看护和定时清理，以确保现场免于随地大小便的污染。</w:t>
      </w:r>
    </w:p>
    <w:p>
      <w:pPr>
        <w:spacing w:line="380" w:lineRule="exact"/>
        <w:ind w:left="945" w:right="42" w:rightChars="20" w:hanging="945" w:hangingChars="450"/>
        <w:rPr>
          <w:rFonts w:ascii="宋体" w:hAnsi="宋体"/>
          <w:color w:val="000000"/>
          <w:szCs w:val="21"/>
        </w:rPr>
      </w:pPr>
      <w:r>
        <w:rPr>
          <w:rFonts w:hint="eastAsia" w:ascii="宋体" w:hAnsi="宋体"/>
          <w:color w:val="000000"/>
          <w:szCs w:val="21"/>
        </w:rPr>
        <w:t>6.7.7    承包人应在现场设立固定的垃圾临时存放点并在各楼层或区域设立必要的垃圾箱；所有垃圾必须在当天清除出现场，并按有关行政管理部门的规定，运送到指定的垃圾消纳场。</w:t>
      </w:r>
    </w:p>
    <w:p>
      <w:pPr>
        <w:spacing w:line="380" w:lineRule="exact"/>
        <w:ind w:left="945" w:right="42" w:rightChars="20" w:hanging="945" w:hangingChars="450"/>
        <w:rPr>
          <w:rFonts w:ascii="宋体" w:hAnsi="宋体"/>
          <w:color w:val="000000"/>
          <w:szCs w:val="21"/>
        </w:rPr>
      </w:pPr>
      <w:r>
        <w:rPr>
          <w:rFonts w:hint="eastAsia" w:ascii="宋体" w:hAnsi="宋体"/>
          <w:color w:val="000000"/>
          <w:szCs w:val="21"/>
        </w:rPr>
        <w:t>6.7.8    承包人应对离场垃圾和所有车辆进行防遗洒和防污染公共道路的处理。承包人在运输任何材料的过程中，应采取一切必要的措施，防止遗洒和污染公共道路；一旦出现上述遗洒或污染现象，承包人应立即采取措施进行清扫，并承担所有费用。承包人在</w:t>
      </w:r>
      <w:r>
        <w:rPr>
          <w:rFonts w:hint="eastAsia" w:ascii="宋体" w:hAnsi="宋体"/>
          <w:color w:val="000000"/>
          <w:szCs w:val="21"/>
          <w:lang w:eastAsia="zh-CN"/>
        </w:rPr>
        <w:t>混凝土浇筑</w:t>
      </w:r>
      <w:r>
        <w:rPr>
          <w:rFonts w:hint="eastAsia" w:ascii="宋体" w:hAnsi="宋体"/>
          <w:color w:val="000000"/>
          <w:szCs w:val="21"/>
        </w:rPr>
        <w:t>、材料运输、材料装卸、现场清理等工作中应采取一切必要的措施防止影响公共交通。</w:t>
      </w:r>
    </w:p>
    <w:p>
      <w:pPr>
        <w:spacing w:line="380" w:lineRule="exact"/>
        <w:ind w:left="945" w:right="42" w:rightChars="20" w:hanging="945" w:hangingChars="450"/>
        <w:rPr>
          <w:rFonts w:ascii="宋体" w:hAnsi="宋体"/>
          <w:color w:val="000000"/>
          <w:szCs w:val="21"/>
        </w:rPr>
      </w:pPr>
      <w:r>
        <w:rPr>
          <w:rFonts w:hint="eastAsia" w:ascii="宋体" w:hAnsi="宋体"/>
          <w:color w:val="000000"/>
          <w:szCs w:val="21"/>
        </w:rPr>
        <w:t>6.7.9    承包人应当</w:t>
      </w:r>
      <w:r>
        <w:rPr>
          <w:rFonts w:hint="eastAsia" w:ascii="宋体" w:hAnsi="宋体"/>
          <w:color w:val="000000"/>
          <w:szCs w:val="21"/>
          <w:lang w:eastAsia="zh-CN"/>
        </w:rPr>
        <w:t>制定</w:t>
      </w:r>
      <w:r>
        <w:rPr>
          <w:rFonts w:hint="eastAsia" w:ascii="宋体" w:hAnsi="宋体"/>
          <w:color w:val="000000"/>
          <w:szCs w:val="21"/>
        </w:rPr>
        <w:t>成品保护措施计划，并提供必要的人员、材料和设备用于整个工程的成品保护，包括对已完成的所有分包人和独立承包人</w:t>
      </w:r>
      <w:r>
        <w:rPr>
          <w:rFonts w:hint="eastAsia" w:ascii="宋体" w:hAnsi="宋体"/>
          <w:color w:val="000000"/>
          <w:szCs w:val="21"/>
          <w:lang w:eastAsia="zh-CN"/>
        </w:rPr>
        <w:t>（</w:t>
      </w:r>
      <w:r>
        <w:rPr>
          <w:rFonts w:hint="eastAsia" w:ascii="宋体" w:hAnsi="宋体"/>
          <w:color w:val="000000"/>
          <w:szCs w:val="21"/>
        </w:rPr>
        <w:t>如果有</w:t>
      </w:r>
      <w:r>
        <w:rPr>
          <w:rFonts w:hint="eastAsia" w:ascii="宋体" w:hAnsi="宋体"/>
          <w:color w:val="000000"/>
          <w:szCs w:val="21"/>
          <w:lang w:eastAsia="zh-CN"/>
        </w:rPr>
        <w:t>）</w:t>
      </w:r>
      <w:r>
        <w:rPr>
          <w:rFonts w:hint="eastAsia" w:ascii="宋体" w:hAnsi="宋体"/>
          <w:color w:val="000000"/>
          <w:szCs w:val="21"/>
        </w:rPr>
        <w:t>的工程或工作的保护，防止已完工作遭受任何损坏或破坏。成品保护措施应当合理安排工序，并包括工作面移交制度和责任赔偿制度。成品保护措施计划最迟应当在任何专业分包人或独立承包人进场施工前不少于28天报监理人审批。</w:t>
      </w:r>
    </w:p>
    <w:p>
      <w:pPr>
        <w:spacing w:line="378" w:lineRule="exact"/>
        <w:ind w:left="945" w:right="42" w:rightChars="20" w:hanging="945" w:hangingChars="450"/>
        <w:rPr>
          <w:rFonts w:ascii="宋体" w:hAnsi="宋体"/>
          <w:color w:val="000000"/>
          <w:szCs w:val="21"/>
        </w:rPr>
      </w:pPr>
      <w:r>
        <w:rPr>
          <w:rFonts w:hint="eastAsia" w:ascii="宋体" w:hAnsi="宋体"/>
          <w:color w:val="000000"/>
          <w:szCs w:val="21"/>
        </w:rPr>
        <w:t>6.7.10   文明施工方面的其他要求如下：</w:t>
      </w:r>
    </w:p>
    <w:p>
      <w:pPr>
        <w:spacing w:line="378" w:lineRule="exact"/>
        <w:ind w:left="945" w:right="42" w:rightChars="20" w:hanging="945" w:hangingChars="450"/>
        <w:rPr>
          <w:rFonts w:ascii="宋体" w:hAnsi="宋体"/>
          <w:color w:val="000000"/>
          <w:szCs w:val="21"/>
        </w:rPr>
      </w:pPr>
      <w:permStart w:id="560" w:edGrp="everyone"/>
      <w:r>
        <w:rPr>
          <w:rFonts w:hint="eastAsia" w:ascii="宋体" w:hAnsi="宋体"/>
          <w:color w:val="000000"/>
          <w:szCs w:val="21"/>
          <w:u w:val="single"/>
        </w:rPr>
        <w:t xml:space="preserve">                                                                                </w:t>
      </w:r>
      <w:permEnd w:id="560"/>
    </w:p>
    <w:p>
      <w:pPr>
        <w:rPr>
          <w:rFonts w:ascii="黑体" w:eastAsia="黑体"/>
          <w:color w:val="000000"/>
          <w:sz w:val="24"/>
        </w:rPr>
      </w:pPr>
      <w:r>
        <w:rPr>
          <w:rFonts w:hint="eastAsia" w:ascii="黑体" w:eastAsia="黑体"/>
          <w:color w:val="000000"/>
          <w:sz w:val="24"/>
        </w:rPr>
        <w:t>6.8环境保护</w:t>
      </w:r>
    </w:p>
    <w:p>
      <w:pPr>
        <w:spacing w:line="378" w:lineRule="exact"/>
        <w:ind w:left="945" w:right="42" w:rightChars="20" w:hanging="945" w:hangingChars="450"/>
        <w:rPr>
          <w:rFonts w:ascii="宋体" w:hAnsi="宋体"/>
          <w:color w:val="000000"/>
          <w:szCs w:val="21"/>
        </w:rPr>
      </w:pPr>
      <w:r>
        <w:rPr>
          <w:rFonts w:hint="eastAsia" w:ascii="宋体" w:hAnsi="宋体"/>
          <w:color w:val="000000"/>
          <w:szCs w:val="21"/>
        </w:rPr>
        <w:t>6.8.1    在工程施工、完工及修补任何缺陷的过程中，承包人应当始终遵守国家和工程所在地有关环境保护、水土保护和污染防治的法律、法规、规章、规范、标准和规程等，按照通用合同条款第4.1.6项和第9.4款的约定履行其环境与生态保护职责。</w:t>
      </w:r>
    </w:p>
    <w:p>
      <w:pPr>
        <w:spacing w:line="378" w:lineRule="exact"/>
        <w:ind w:left="945" w:right="42" w:rightChars="20" w:hanging="945" w:hangingChars="450"/>
        <w:rPr>
          <w:rFonts w:ascii="宋体" w:hAnsi="宋体"/>
          <w:color w:val="000000"/>
          <w:szCs w:val="21"/>
        </w:rPr>
      </w:pPr>
      <w:r>
        <w:rPr>
          <w:rFonts w:hint="eastAsia" w:ascii="宋体" w:hAnsi="宋体"/>
          <w:color w:val="000000"/>
          <w:szCs w:val="21"/>
        </w:rPr>
        <w:t>6.8.2    承包人应按合同约定和监理人指示，接受国家和地方环境保护行政主管部门的监督、监测和检查。承包人应对其违反现行法律、法规、规章、规范、标准和规程等以及本合同约定所造成的环境污染、水土流失、人员伤害和财产损失等承担赔偿责任。</w:t>
      </w:r>
    </w:p>
    <w:p>
      <w:pPr>
        <w:spacing w:line="378" w:lineRule="exact"/>
        <w:ind w:left="945" w:right="42" w:rightChars="20" w:hanging="945" w:hangingChars="450"/>
        <w:rPr>
          <w:rFonts w:ascii="宋体" w:hAnsi="宋体"/>
          <w:color w:val="000000"/>
          <w:szCs w:val="21"/>
        </w:rPr>
      </w:pPr>
      <w:r>
        <w:rPr>
          <w:rFonts w:hint="eastAsia" w:ascii="宋体" w:hAnsi="宋体"/>
          <w:color w:val="000000"/>
          <w:szCs w:val="21"/>
        </w:rPr>
        <w:t>6.8.3    承包人</w:t>
      </w:r>
      <w:r>
        <w:rPr>
          <w:rFonts w:hint="eastAsia" w:ascii="宋体" w:hAnsi="宋体"/>
          <w:color w:val="000000"/>
          <w:szCs w:val="21"/>
          <w:lang w:eastAsia="zh-CN"/>
        </w:rPr>
        <w:t>制定</w:t>
      </w:r>
      <w:r>
        <w:rPr>
          <w:rFonts w:hint="eastAsia" w:ascii="宋体" w:hAnsi="宋体"/>
          <w:color w:val="000000"/>
          <w:szCs w:val="21"/>
        </w:rPr>
        <w:t>施工方案和组织措施时应当同步考虑环境和资源保护，包括水土资源保护、噪声、振动和照明污染防治、固体废弃物处理、污水和废气处理、粉尘和扬尘控制、道路污染防治、卫生防疫、禁止有害材料、节能减排以及不可再生资源的循环使用等因素。</w:t>
      </w:r>
    </w:p>
    <w:p>
      <w:pPr>
        <w:spacing w:line="378" w:lineRule="exact"/>
        <w:ind w:left="945" w:right="42" w:rightChars="20" w:hanging="945" w:hangingChars="450"/>
        <w:rPr>
          <w:rFonts w:ascii="宋体" w:hAnsi="宋体"/>
          <w:color w:val="000000"/>
          <w:szCs w:val="21"/>
        </w:rPr>
      </w:pPr>
      <w:r>
        <w:rPr>
          <w:rFonts w:hint="eastAsia" w:ascii="宋体" w:hAnsi="宋体"/>
          <w:color w:val="000000"/>
          <w:szCs w:val="21"/>
        </w:rPr>
        <w:t>6.8.4    承包人应当做好施工场地</w:t>
      </w:r>
      <w:r>
        <w:rPr>
          <w:rFonts w:hint="eastAsia" w:ascii="宋体" w:hAnsi="宋体"/>
          <w:color w:val="000000"/>
          <w:szCs w:val="21"/>
          <w:lang w:eastAsia="zh-CN"/>
        </w:rPr>
        <w:t>（</w:t>
      </w:r>
      <w:r>
        <w:rPr>
          <w:rFonts w:hint="eastAsia" w:ascii="宋体" w:hAnsi="宋体"/>
          <w:color w:val="000000"/>
          <w:szCs w:val="21"/>
        </w:rPr>
        <w:t>现场</w:t>
      </w:r>
      <w:r>
        <w:rPr>
          <w:rFonts w:hint="eastAsia" w:ascii="宋体" w:hAnsi="宋体"/>
          <w:color w:val="000000"/>
          <w:szCs w:val="21"/>
          <w:lang w:eastAsia="zh-CN"/>
        </w:rPr>
        <w:t>）</w:t>
      </w:r>
      <w:r>
        <w:rPr>
          <w:rFonts w:hint="eastAsia" w:ascii="宋体" w:hAnsi="宋体"/>
          <w:color w:val="000000"/>
          <w:szCs w:val="21"/>
        </w:rPr>
        <w:t>范围内各项工程的开挖支护、截水、降水、灌浆、衬砌、挡护结构及排水等工程防护措施。施工场地</w:t>
      </w:r>
      <w:r>
        <w:rPr>
          <w:rFonts w:hint="eastAsia" w:ascii="宋体" w:hAnsi="宋体"/>
          <w:color w:val="000000"/>
          <w:szCs w:val="21"/>
          <w:lang w:eastAsia="zh-CN"/>
        </w:rPr>
        <w:t>（</w:t>
      </w:r>
      <w:r>
        <w:rPr>
          <w:rFonts w:hint="eastAsia" w:ascii="宋体" w:hAnsi="宋体"/>
          <w:color w:val="000000"/>
          <w:szCs w:val="21"/>
        </w:rPr>
        <w:t>现场</w:t>
      </w:r>
      <w:r>
        <w:rPr>
          <w:rFonts w:hint="eastAsia" w:ascii="宋体" w:hAnsi="宋体"/>
          <w:color w:val="000000"/>
          <w:szCs w:val="21"/>
          <w:lang w:eastAsia="zh-CN"/>
        </w:rPr>
        <w:t>）</w:t>
      </w:r>
      <w:r>
        <w:rPr>
          <w:rFonts w:hint="eastAsia" w:ascii="宋体" w:hAnsi="宋体"/>
          <w:color w:val="000000"/>
          <w:szCs w:val="21"/>
        </w:rPr>
        <w:t>内所有边坡应当采取有效的水土流失防治和保持措施。承包人采用的降水方案应当充分考虑对地下水的保护和合理使用，如果国家和</w:t>
      </w:r>
      <w:r>
        <w:rPr>
          <w:rFonts w:hint="eastAsia" w:ascii="宋体" w:hAnsi="宋体"/>
          <w:color w:val="000000"/>
          <w:szCs w:val="21"/>
          <w:lang w:eastAsia="zh-CN"/>
        </w:rPr>
        <w:t>（</w:t>
      </w:r>
      <w:r>
        <w:rPr>
          <w:rFonts w:hint="eastAsia" w:ascii="宋体" w:hAnsi="宋体"/>
          <w:color w:val="000000"/>
          <w:szCs w:val="21"/>
        </w:rPr>
        <w:t>或</w:t>
      </w:r>
      <w:r>
        <w:rPr>
          <w:rFonts w:hint="eastAsia" w:ascii="宋体" w:hAnsi="宋体"/>
          <w:color w:val="000000"/>
          <w:szCs w:val="21"/>
          <w:lang w:eastAsia="zh-CN"/>
        </w:rPr>
        <w:t>）</w:t>
      </w:r>
      <w:r>
        <w:rPr>
          <w:rFonts w:hint="eastAsia" w:ascii="宋体" w:hAnsi="宋体"/>
          <w:color w:val="000000"/>
          <w:szCs w:val="21"/>
        </w:rPr>
        <w:t>地方人民政府有特别规定的，承包人应当遵守有关规定。承包人还应设置完善的排水系统，保持施工场地</w:t>
      </w:r>
      <w:r>
        <w:rPr>
          <w:rFonts w:hint="eastAsia" w:ascii="宋体" w:hAnsi="宋体"/>
          <w:color w:val="000000"/>
          <w:szCs w:val="21"/>
          <w:lang w:eastAsia="zh-CN"/>
        </w:rPr>
        <w:t>（</w:t>
      </w:r>
      <w:r>
        <w:rPr>
          <w:rFonts w:hint="eastAsia" w:ascii="宋体" w:hAnsi="宋体"/>
          <w:color w:val="000000"/>
          <w:szCs w:val="21"/>
        </w:rPr>
        <w:t>现场</w:t>
      </w:r>
      <w:r>
        <w:rPr>
          <w:rFonts w:hint="eastAsia" w:ascii="宋体" w:hAnsi="宋体"/>
          <w:color w:val="000000"/>
          <w:szCs w:val="21"/>
          <w:lang w:eastAsia="zh-CN"/>
        </w:rPr>
        <w:t>）</w:t>
      </w:r>
      <w:r>
        <w:rPr>
          <w:rFonts w:hint="eastAsia" w:ascii="宋体" w:hAnsi="宋体"/>
          <w:color w:val="000000"/>
          <w:szCs w:val="21"/>
        </w:rPr>
        <w:t>始终处于良好的排水状态，防止降雨径流对施工场地</w:t>
      </w:r>
      <w:r>
        <w:rPr>
          <w:rFonts w:hint="eastAsia" w:ascii="宋体" w:hAnsi="宋体"/>
          <w:color w:val="000000"/>
          <w:szCs w:val="21"/>
          <w:lang w:eastAsia="zh-CN"/>
        </w:rPr>
        <w:t>（</w:t>
      </w:r>
      <w:r>
        <w:rPr>
          <w:rFonts w:hint="eastAsia" w:ascii="宋体" w:hAnsi="宋体"/>
          <w:color w:val="000000"/>
          <w:szCs w:val="21"/>
        </w:rPr>
        <w:t>现场</w:t>
      </w:r>
      <w:r>
        <w:rPr>
          <w:rFonts w:hint="eastAsia" w:ascii="宋体" w:hAnsi="宋体"/>
          <w:color w:val="000000"/>
          <w:szCs w:val="21"/>
          <w:lang w:eastAsia="zh-CN"/>
        </w:rPr>
        <w:t>）</w:t>
      </w:r>
      <w:r>
        <w:rPr>
          <w:rFonts w:hint="eastAsia" w:ascii="宋体" w:hAnsi="宋体"/>
          <w:color w:val="000000"/>
          <w:szCs w:val="21"/>
        </w:rPr>
        <w:t>的冲刷。</w:t>
      </w:r>
    </w:p>
    <w:p>
      <w:pPr>
        <w:spacing w:line="378" w:lineRule="exact"/>
        <w:ind w:left="945" w:right="42" w:rightChars="20" w:hanging="945" w:hangingChars="450"/>
        <w:rPr>
          <w:rFonts w:ascii="宋体" w:hAnsi="宋体"/>
          <w:color w:val="000000"/>
          <w:szCs w:val="21"/>
        </w:rPr>
      </w:pPr>
      <w:r>
        <w:rPr>
          <w:rFonts w:hint="eastAsia" w:ascii="宋体" w:hAnsi="宋体"/>
          <w:color w:val="000000"/>
          <w:szCs w:val="21"/>
        </w:rPr>
        <w:t>6.8.5    承包人应当确保其所提供的材料、工程设备、施工设备和其他材料都是绿色环保产品，列入国家强制认证产品名录的，还应当是通过国家强制认证的产品。承包人不得在任何临时和永久性工程中使用任何政府明令禁止使用的对人体有害的任何材料</w:t>
      </w:r>
      <w:r>
        <w:rPr>
          <w:rFonts w:hint="eastAsia" w:ascii="宋体" w:hAnsi="宋体"/>
          <w:color w:val="000000"/>
          <w:szCs w:val="21"/>
          <w:lang w:eastAsia="zh-CN"/>
        </w:rPr>
        <w:t>（</w:t>
      </w:r>
      <w:r>
        <w:rPr>
          <w:rFonts w:hint="eastAsia" w:ascii="宋体" w:hAnsi="宋体"/>
          <w:color w:val="000000"/>
          <w:szCs w:val="21"/>
        </w:rPr>
        <w:t>如放射性材料、石棉制品等</w:t>
      </w:r>
      <w:r>
        <w:rPr>
          <w:rFonts w:hint="eastAsia" w:ascii="宋体" w:hAnsi="宋体"/>
          <w:color w:val="000000"/>
          <w:szCs w:val="21"/>
          <w:lang w:eastAsia="zh-CN"/>
        </w:rPr>
        <w:t>）</w:t>
      </w:r>
      <w:r>
        <w:rPr>
          <w:rFonts w:hint="eastAsia" w:ascii="宋体" w:hAnsi="宋体"/>
          <w:color w:val="000000"/>
          <w:szCs w:val="21"/>
        </w:rPr>
        <w:t>和方法，同时也不得在永久性工程中使用政府虽未明令禁止但会给居住或使用人带来不适感觉或味觉的任何材料和添加剂等；承包人应在其施工环保措施计划中明确防止误用的保证措施；承包人违背此项约定的责任和后果全部由承包人承担。</w:t>
      </w:r>
    </w:p>
    <w:p>
      <w:pPr>
        <w:spacing w:line="378" w:lineRule="exact"/>
        <w:ind w:left="945" w:right="42" w:rightChars="20" w:hanging="945" w:hangingChars="450"/>
        <w:rPr>
          <w:rFonts w:ascii="宋体" w:hAnsi="宋体"/>
          <w:color w:val="000000"/>
          <w:szCs w:val="21"/>
        </w:rPr>
      </w:pPr>
      <w:r>
        <w:rPr>
          <w:rFonts w:hint="eastAsia" w:ascii="宋体" w:hAnsi="宋体"/>
          <w:color w:val="000000"/>
          <w:szCs w:val="21"/>
        </w:rPr>
        <w:t>6.8.6    承包人应为防止进出场的车辆的遗洒和轮胎夹带物等污染周边和公共道路等行为制定并落实必要的措施，这类措施应至少包括在现场出入口设立冲刷池、对现场道路做硬化处理和采用密闭车厢或者对车厢进行必要的覆盖等等。</w:t>
      </w:r>
    </w:p>
    <w:p>
      <w:pPr>
        <w:spacing w:line="378" w:lineRule="exact"/>
        <w:ind w:left="945" w:right="42" w:rightChars="20" w:hanging="945" w:hangingChars="450"/>
        <w:rPr>
          <w:rFonts w:ascii="宋体" w:hAnsi="宋体"/>
          <w:color w:val="000000"/>
          <w:szCs w:val="21"/>
        </w:rPr>
      </w:pPr>
      <w:r>
        <w:rPr>
          <w:rFonts w:hint="eastAsia" w:ascii="宋体" w:hAnsi="宋体"/>
          <w:color w:val="000000"/>
          <w:szCs w:val="21"/>
        </w:rPr>
        <w:t>6.8.7    承包人应当保证施工生产用水和生活用水符合国家有关标准的规定。承包人还应建设、运行和维护施工生产和生活污水收集和处理系统</w:t>
      </w:r>
      <w:r>
        <w:rPr>
          <w:rFonts w:hint="eastAsia" w:ascii="宋体" w:hAnsi="宋体"/>
          <w:color w:val="000000"/>
          <w:szCs w:val="21"/>
          <w:lang w:eastAsia="zh-CN"/>
        </w:rPr>
        <w:t>（</w:t>
      </w:r>
      <w:r>
        <w:rPr>
          <w:rFonts w:hint="eastAsia" w:ascii="宋体" w:hAnsi="宋体"/>
          <w:color w:val="000000"/>
          <w:szCs w:val="21"/>
        </w:rPr>
        <w:t>包括排污口接入</w:t>
      </w:r>
      <w:r>
        <w:rPr>
          <w:rFonts w:hint="eastAsia" w:ascii="宋体" w:hAnsi="宋体"/>
          <w:color w:val="000000"/>
          <w:szCs w:val="21"/>
          <w:lang w:eastAsia="zh-CN"/>
        </w:rPr>
        <w:t>）</w:t>
      </w:r>
      <w:r>
        <w:rPr>
          <w:rFonts w:hint="eastAsia" w:ascii="宋体" w:hAnsi="宋体"/>
          <w:color w:val="000000"/>
          <w:szCs w:val="21"/>
        </w:rPr>
        <w:t>，建立符合排放标准的临时沉淀池和化粪池等，不得将未处理的污水直接或间接排放或造成地表水体、地下水体或生产和生活供水系统的污染。</w:t>
      </w:r>
    </w:p>
    <w:p>
      <w:pPr>
        <w:spacing w:line="396" w:lineRule="exact"/>
        <w:ind w:left="945" w:right="42" w:rightChars="20" w:hanging="945" w:hangingChars="450"/>
        <w:rPr>
          <w:rFonts w:ascii="宋体" w:hAnsi="宋体"/>
          <w:color w:val="000000"/>
          <w:szCs w:val="21"/>
        </w:rPr>
      </w:pPr>
      <w:r>
        <w:rPr>
          <w:rFonts w:hint="eastAsia" w:ascii="宋体" w:hAnsi="宋体"/>
          <w:color w:val="000000"/>
          <w:szCs w:val="21"/>
        </w:rPr>
        <w:t>6.8.8    承包人应当采取有效措施，建立相应的过滤、分离、分解或沉淀等处理系统，不得让有害物质</w:t>
      </w:r>
      <w:r>
        <w:rPr>
          <w:rFonts w:hint="eastAsia" w:ascii="宋体" w:hAnsi="宋体"/>
          <w:color w:val="000000"/>
          <w:szCs w:val="21"/>
          <w:lang w:eastAsia="zh-CN"/>
        </w:rPr>
        <w:t>（</w:t>
      </w:r>
      <w:r>
        <w:rPr>
          <w:rFonts w:hint="eastAsia" w:ascii="宋体" w:hAnsi="宋体"/>
          <w:color w:val="000000"/>
          <w:szCs w:val="21"/>
        </w:rPr>
        <w:t>如燃料、油料、化学品、酸等，以及超过剂量的有害气体和尘埃、污水、泥土或水、弃渣等</w:t>
      </w:r>
      <w:r>
        <w:rPr>
          <w:rFonts w:hint="eastAsia" w:ascii="宋体" w:hAnsi="宋体"/>
          <w:color w:val="000000"/>
          <w:szCs w:val="21"/>
          <w:lang w:eastAsia="zh-CN"/>
        </w:rPr>
        <w:t>）</w:t>
      </w:r>
      <w:r>
        <w:rPr>
          <w:rFonts w:hint="eastAsia" w:ascii="宋体" w:hAnsi="宋体"/>
          <w:color w:val="000000"/>
          <w:szCs w:val="21"/>
        </w:rPr>
        <w:t>污染施工场地</w:t>
      </w:r>
      <w:r>
        <w:rPr>
          <w:rFonts w:hint="eastAsia" w:ascii="宋体" w:hAnsi="宋体"/>
          <w:color w:val="000000"/>
          <w:szCs w:val="21"/>
          <w:lang w:eastAsia="zh-CN"/>
        </w:rPr>
        <w:t>（</w:t>
      </w:r>
      <w:r>
        <w:rPr>
          <w:rFonts w:hint="eastAsia" w:ascii="宋体" w:hAnsi="宋体"/>
          <w:color w:val="000000"/>
          <w:szCs w:val="21"/>
        </w:rPr>
        <w:t>现场</w:t>
      </w:r>
      <w:r>
        <w:rPr>
          <w:rFonts w:hint="eastAsia" w:ascii="宋体" w:hAnsi="宋体"/>
          <w:color w:val="000000"/>
          <w:szCs w:val="21"/>
          <w:lang w:eastAsia="zh-CN"/>
        </w:rPr>
        <w:t>）</w:t>
      </w:r>
      <w:r>
        <w:rPr>
          <w:rFonts w:hint="eastAsia" w:ascii="宋体" w:hAnsi="宋体"/>
          <w:color w:val="000000"/>
          <w:szCs w:val="21"/>
        </w:rPr>
        <w:t xml:space="preserve">及其周边环境。承包人施工工序、工作时间安排和施工设备的配置应当充分考虑降低噪声和照明等对施工场地 </w:t>
      </w:r>
      <w:r>
        <w:rPr>
          <w:rFonts w:hint="eastAsia" w:ascii="宋体" w:hAnsi="宋体"/>
          <w:color w:val="000000"/>
          <w:szCs w:val="21"/>
          <w:lang w:eastAsia="zh-CN"/>
        </w:rPr>
        <w:t>（</w:t>
      </w:r>
      <w:r>
        <w:rPr>
          <w:rFonts w:hint="eastAsia" w:ascii="宋体" w:hAnsi="宋体"/>
          <w:color w:val="000000"/>
          <w:szCs w:val="21"/>
        </w:rPr>
        <w:t>现场</w:t>
      </w:r>
      <w:r>
        <w:rPr>
          <w:rFonts w:hint="eastAsia" w:ascii="宋体" w:hAnsi="宋体"/>
          <w:color w:val="000000"/>
          <w:szCs w:val="21"/>
          <w:lang w:eastAsia="zh-CN"/>
        </w:rPr>
        <w:t>）</w:t>
      </w:r>
      <w:r>
        <w:rPr>
          <w:rFonts w:hint="eastAsia" w:ascii="宋体" w:hAnsi="宋体"/>
          <w:color w:val="000000"/>
          <w:szCs w:val="21"/>
        </w:rPr>
        <w:t>周边生产和生活的影响，并满足国家和地方政府有关规定的要求。</w:t>
      </w:r>
    </w:p>
    <w:p>
      <w:pPr>
        <w:spacing w:line="396" w:lineRule="exact"/>
        <w:ind w:left="945" w:right="42" w:rightChars="20" w:hanging="945" w:hangingChars="450"/>
        <w:rPr>
          <w:rFonts w:ascii="宋体" w:hAnsi="宋体"/>
          <w:color w:val="000000"/>
          <w:szCs w:val="21"/>
        </w:rPr>
      </w:pPr>
      <w:r>
        <w:rPr>
          <w:rFonts w:hint="eastAsia" w:ascii="宋体" w:hAnsi="宋体"/>
          <w:color w:val="000000"/>
          <w:szCs w:val="21"/>
        </w:rPr>
        <w:t>6.8.9    环境保护方面的其他要求如下：</w:t>
      </w:r>
    </w:p>
    <w:p>
      <w:pPr>
        <w:spacing w:line="440" w:lineRule="exact"/>
        <w:ind w:left="945" w:right="42" w:rightChars="20" w:hanging="945" w:hangingChars="450"/>
        <w:rPr>
          <w:rFonts w:ascii="宋体" w:hAnsi="宋体"/>
          <w:color w:val="000000"/>
          <w:szCs w:val="21"/>
          <w:u w:val="single"/>
        </w:rPr>
      </w:pPr>
      <w:permStart w:id="561" w:edGrp="everyone"/>
      <w:r>
        <w:rPr>
          <w:rFonts w:hint="eastAsia" w:ascii="宋体" w:hAnsi="宋体"/>
          <w:color w:val="000000"/>
          <w:szCs w:val="21"/>
          <w:u w:val="single"/>
        </w:rPr>
        <w:t xml:space="preserve">                                                                                  </w:t>
      </w:r>
    </w:p>
    <w:permEnd w:id="561"/>
    <w:p>
      <w:pPr>
        <w:rPr>
          <w:rFonts w:ascii="黑体" w:eastAsia="黑体"/>
          <w:color w:val="000000"/>
          <w:sz w:val="24"/>
        </w:rPr>
      </w:pPr>
      <w:r>
        <w:rPr>
          <w:rFonts w:hint="eastAsia" w:ascii="黑体" w:eastAsia="黑体"/>
          <w:color w:val="000000"/>
          <w:sz w:val="24"/>
        </w:rPr>
        <w:t>6.9施工环保措施计划</w:t>
      </w:r>
    </w:p>
    <w:p>
      <w:pPr>
        <w:spacing w:line="396" w:lineRule="exact"/>
        <w:ind w:left="945" w:right="42" w:rightChars="20" w:hanging="945" w:hangingChars="450"/>
        <w:rPr>
          <w:rFonts w:ascii="宋体" w:hAnsi="宋体"/>
          <w:color w:val="000000"/>
          <w:szCs w:val="21"/>
        </w:rPr>
      </w:pPr>
      <w:r>
        <w:rPr>
          <w:rFonts w:hint="eastAsia" w:ascii="宋体" w:hAnsi="宋体"/>
          <w:color w:val="000000"/>
          <w:szCs w:val="21"/>
        </w:rPr>
        <w:t>6.9.1    通用合同条款第9.4.2项约定的施工环保措施计划是承包人阐明环保方针和拟采用的环保措施及方法等的文件，其内容应包括但不限于：</w:t>
      </w:r>
    </w:p>
    <w:p>
      <w:pPr>
        <w:spacing w:line="396" w:lineRule="exact"/>
        <w:ind w:left="945" w:leftChars="450" w:right="42" w:rightChars="20"/>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1</w:t>
      </w:r>
      <w:r>
        <w:rPr>
          <w:rFonts w:hint="eastAsia" w:ascii="宋体" w:hAnsi="宋体"/>
          <w:color w:val="000000"/>
          <w:szCs w:val="21"/>
          <w:lang w:eastAsia="zh-CN"/>
        </w:rPr>
        <w:t>）</w:t>
      </w:r>
      <w:r>
        <w:rPr>
          <w:rFonts w:hint="eastAsia" w:ascii="宋体" w:hAnsi="宋体"/>
          <w:color w:val="000000"/>
          <w:szCs w:val="21"/>
        </w:rPr>
        <w:t>承包人生活区</w:t>
      </w:r>
      <w:r>
        <w:rPr>
          <w:rFonts w:hint="eastAsia" w:ascii="宋体" w:hAnsi="宋体"/>
          <w:color w:val="000000"/>
          <w:szCs w:val="21"/>
          <w:lang w:eastAsia="zh-CN"/>
        </w:rPr>
        <w:t>（</w:t>
      </w:r>
      <w:r>
        <w:rPr>
          <w:rFonts w:hint="eastAsia" w:ascii="宋体" w:hAnsi="宋体"/>
          <w:color w:val="000000"/>
          <w:szCs w:val="21"/>
        </w:rPr>
        <w:t>如果有</w:t>
      </w:r>
      <w:r>
        <w:rPr>
          <w:rFonts w:hint="eastAsia" w:ascii="宋体" w:hAnsi="宋体"/>
          <w:color w:val="000000"/>
          <w:szCs w:val="21"/>
          <w:lang w:eastAsia="zh-CN"/>
        </w:rPr>
        <w:t>）</w:t>
      </w:r>
      <w:r>
        <w:rPr>
          <w:rFonts w:hint="eastAsia" w:ascii="宋体" w:hAnsi="宋体"/>
          <w:color w:val="000000"/>
          <w:szCs w:val="21"/>
        </w:rPr>
        <w:t>的生活用水和生活污水处理措施；</w:t>
      </w:r>
    </w:p>
    <w:p>
      <w:pPr>
        <w:spacing w:line="396" w:lineRule="exact"/>
        <w:ind w:left="945" w:leftChars="450" w:right="42" w:rightChars="20"/>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2</w:t>
      </w:r>
      <w:r>
        <w:rPr>
          <w:rFonts w:hint="eastAsia" w:ascii="宋体" w:hAnsi="宋体"/>
          <w:color w:val="000000"/>
          <w:szCs w:val="21"/>
          <w:lang w:eastAsia="zh-CN"/>
        </w:rPr>
        <w:t>）</w:t>
      </w:r>
      <w:r>
        <w:rPr>
          <w:rFonts w:hint="eastAsia" w:ascii="宋体" w:hAnsi="宋体"/>
          <w:color w:val="000000"/>
          <w:szCs w:val="21"/>
        </w:rPr>
        <w:t>施工生产废水处理措施；</w:t>
      </w:r>
    </w:p>
    <w:p>
      <w:pPr>
        <w:spacing w:line="396" w:lineRule="exact"/>
        <w:ind w:left="945" w:leftChars="450" w:right="42" w:rightChars="20"/>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3</w:t>
      </w:r>
      <w:r>
        <w:rPr>
          <w:rFonts w:hint="eastAsia" w:ascii="宋体" w:hAnsi="宋体"/>
          <w:color w:val="000000"/>
          <w:szCs w:val="21"/>
          <w:lang w:eastAsia="zh-CN"/>
        </w:rPr>
        <w:t>）</w:t>
      </w:r>
      <w:r>
        <w:rPr>
          <w:rFonts w:hint="eastAsia" w:ascii="宋体" w:hAnsi="宋体"/>
          <w:color w:val="000000"/>
          <w:szCs w:val="21"/>
        </w:rPr>
        <w:t>施工扬尘和废气的处理措施；</w:t>
      </w:r>
    </w:p>
    <w:p>
      <w:pPr>
        <w:spacing w:line="396" w:lineRule="exact"/>
        <w:ind w:left="945" w:leftChars="450" w:right="42" w:rightChars="20"/>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4</w:t>
      </w:r>
      <w:r>
        <w:rPr>
          <w:rFonts w:hint="eastAsia" w:ascii="宋体" w:hAnsi="宋体"/>
          <w:color w:val="000000"/>
          <w:szCs w:val="21"/>
          <w:lang w:eastAsia="zh-CN"/>
        </w:rPr>
        <w:t>）</w:t>
      </w:r>
      <w:r>
        <w:rPr>
          <w:rFonts w:hint="eastAsia" w:ascii="宋体" w:hAnsi="宋体"/>
          <w:color w:val="000000"/>
          <w:szCs w:val="21"/>
        </w:rPr>
        <w:t>施工噪声和光污染控制措施；</w:t>
      </w:r>
    </w:p>
    <w:p>
      <w:pPr>
        <w:spacing w:line="396" w:lineRule="exact"/>
        <w:ind w:left="945" w:leftChars="450" w:right="42" w:rightChars="20"/>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5</w:t>
      </w:r>
      <w:r>
        <w:rPr>
          <w:rFonts w:hint="eastAsia" w:ascii="宋体" w:hAnsi="宋体"/>
          <w:color w:val="000000"/>
          <w:szCs w:val="21"/>
          <w:lang w:eastAsia="zh-CN"/>
        </w:rPr>
        <w:t>）</w:t>
      </w:r>
      <w:r>
        <w:rPr>
          <w:rFonts w:hint="eastAsia" w:ascii="宋体" w:hAnsi="宋体"/>
          <w:color w:val="000000"/>
          <w:szCs w:val="21"/>
        </w:rPr>
        <w:t>节能减排措施；</w:t>
      </w:r>
    </w:p>
    <w:p>
      <w:pPr>
        <w:spacing w:line="396" w:lineRule="exact"/>
        <w:ind w:left="945" w:leftChars="450" w:right="42" w:rightChars="20"/>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6</w:t>
      </w:r>
      <w:r>
        <w:rPr>
          <w:rFonts w:hint="eastAsia" w:ascii="宋体" w:hAnsi="宋体"/>
          <w:color w:val="000000"/>
          <w:szCs w:val="21"/>
          <w:lang w:eastAsia="zh-CN"/>
        </w:rPr>
        <w:t>）</w:t>
      </w:r>
      <w:r>
        <w:rPr>
          <w:rFonts w:hint="eastAsia" w:ascii="宋体" w:hAnsi="宋体"/>
          <w:color w:val="000000"/>
          <w:szCs w:val="21"/>
        </w:rPr>
        <w:t>不可再生资源循环利用措施；</w:t>
      </w:r>
    </w:p>
    <w:p>
      <w:pPr>
        <w:spacing w:line="396" w:lineRule="exact"/>
        <w:ind w:left="945" w:leftChars="450" w:right="42" w:rightChars="20"/>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7</w:t>
      </w:r>
      <w:r>
        <w:rPr>
          <w:rFonts w:hint="eastAsia" w:ascii="宋体" w:hAnsi="宋体"/>
          <w:color w:val="000000"/>
          <w:szCs w:val="21"/>
          <w:lang w:eastAsia="zh-CN"/>
        </w:rPr>
        <w:t>）</w:t>
      </w:r>
      <w:r>
        <w:rPr>
          <w:rFonts w:hint="eastAsia" w:ascii="宋体" w:hAnsi="宋体"/>
          <w:color w:val="000000"/>
          <w:szCs w:val="21"/>
        </w:rPr>
        <w:t>固体废弃物处理措施；</w:t>
      </w:r>
    </w:p>
    <w:p>
      <w:pPr>
        <w:spacing w:line="396" w:lineRule="exact"/>
        <w:ind w:left="945" w:leftChars="450" w:right="42" w:rightChars="20"/>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8</w:t>
      </w:r>
      <w:r>
        <w:rPr>
          <w:rFonts w:hint="eastAsia" w:ascii="宋体" w:hAnsi="宋体"/>
          <w:color w:val="000000"/>
          <w:szCs w:val="21"/>
          <w:lang w:eastAsia="zh-CN"/>
        </w:rPr>
        <w:t>）</w:t>
      </w:r>
      <w:r>
        <w:rPr>
          <w:rFonts w:hint="eastAsia" w:ascii="宋体" w:hAnsi="宋体"/>
          <w:color w:val="000000"/>
          <w:szCs w:val="21"/>
        </w:rPr>
        <w:t>人群健康保护和卫生防疫措施；</w:t>
      </w:r>
    </w:p>
    <w:p>
      <w:pPr>
        <w:spacing w:line="396" w:lineRule="exact"/>
        <w:ind w:left="945" w:leftChars="450" w:right="42" w:rightChars="20"/>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9</w:t>
      </w:r>
      <w:r>
        <w:rPr>
          <w:rFonts w:hint="eastAsia" w:ascii="宋体" w:hAnsi="宋体"/>
          <w:color w:val="000000"/>
          <w:szCs w:val="21"/>
          <w:lang w:eastAsia="zh-CN"/>
        </w:rPr>
        <w:t>）</w:t>
      </w:r>
      <w:r>
        <w:rPr>
          <w:rFonts w:hint="eastAsia" w:ascii="宋体" w:hAnsi="宋体"/>
          <w:color w:val="000000"/>
          <w:szCs w:val="21"/>
        </w:rPr>
        <w:t>防止误用有害材料的保证措施；</w:t>
      </w:r>
    </w:p>
    <w:p>
      <w:pPr>
        <w:spacing w:line="396" w:lineRule="exact"/>
        <w:ind w:left="945" w:leftChars="450" w:right="42" w:rightChars="20"/>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10</w:t>
      </w:r>
      <w:r>
        <w:rPr>
          <w:rFonts w:hint="eastAsia" w:ascii="宋体" w:hAnsi="宋体"/>
          <w:color w:val="000000"/>
          <w:szCs w:val="21"/>
          <w:lang w:eastAsia="zh-CN"/>
        </w:rPr>
        <w:t>）</w:t>
      </w:r>
      <w:r>
        <w:rPr>
          <w:rFonts w:hint="eastAsia" w:ascii="宋体" w:hAnsi="宋体"/>
          <w:color w:val="000000"/>
          <w:szCs w:val="21"/>
        </w:rPr>
        <w:t>施工边坡工程</w:t>
      </w:r>
      <w:r>
        <w:rPr>
          <w:rFonts w:hint="eastAsia" w:ascii="宋体" w:hAnsi="宋体"/>
          <w:color w:val="000000"/>
          <w:szCs w:val="21"/>
          <w:lang w:eastAsia="zh-CN"/>
        </w:rPr>
        <w:t>地</w:t>
      </w:r>
      <w:r>
        <w:rPr>
          <w:rFonts w:hint="eastAsia" w:ascii="宋体" w:hAnsi="宋体"/>
          <w:color w:val="000000"/>
          <w:szCs w:val="21"/>
        </w:rPr>
        <w:t>水土流失保护措施；</w:t>
      </w:r>
    </w:p>
    <w:p>
      <w:pPr>
        <w:spacing w:line="396" w:lineRule="exact"/>
        <w:ind w:left="945" w:leftChars="450" w:right="42" w:rightChars="20"/>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11</w:t>
      </w:r>
      <w:r>
        <w:rPr>
          <w:rFonts w:hint="eastAsia" w:ascii="宋体" w:hAnsi="宋体"/>
          <w:color w:val="000000"/>
          <w:szCs w:val="21"/>
          <w:lang w:eastAsia="zh-CN"/>
        </w:rPr>
        <w:t>）</w:t>
      </w:r>
      <w:r>
        <w:rPr>
          <w:rFonts w:hint="eastAsia" w:ascii="宋体" w:hAnsi="宋体"/>
          <w:color w:val="000000"/>
          <w:szCs w:val="21"/>
        </w:rPr>
        <w:t>道路污染防治措施；</w:t>
      </w:r>
    </w:p>
    <w:p>
      <w:pPr>
        <w:spacing w:line="396" w:lineRule="exact"/>
        <w:ind w:left="945" w:leftChars="450" w:right="42" w:rightChars="20"/>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12</w:t>
      </w:r>
      <w:r>
        <w:rPr>
          <w:rFonts w:hint="eastAsia" w:ascii="宋体" w:hAnsi="宋体"/>
          <w:color w:val="000000"/>
          <w:szCs w:val="21"/>
          <w:lang w:eastAsia="zh-CN"/>
        </w:rPr>
        <w:t>）</w:t>
      </w:r>
      <w:r>
        <w:rPr>
          <w:rFonts w:hint="eastAsia" w:ascii="宋体" w:hAnsi="宋体"/>
          <w:color w:val="000000"/>
          <w:szCs w:val="21"/>
        </w:rPr>
        <w:t>完工后场地清理及其植被</w:t>
      </w:r>
      <w:r>
        <w:rPr>
          <w:rFonts w:hint="eastAsia" w:ascii="宋体" w:hAnsi="宋体"/>
          <w:color w:val="000000"/>
          <w:szCs w:val="21"/>
          <w:lang w:eastAsia="zh-CN"/>
        </w:rPr>
        <w:t>（</w:t>
      </w:r>
      <w:r>
        <w:rPr>
          <w:rFonts w:hint="eastAsia" w:ascii="宋体" w:hAnsi="宋体"/>
          <w:color w:val="000000"/>
          <w:szCs w:val="21"/>
        </w:rPr>
        <w:t>如果有</w:t>
      </w:r>
      <w:r>
        <w:rPr>
          <w:rFonts w:hint="eastAsia" w:ascii="宋体" w:hAnsi="宋体"/>
          <w:color w:val="000000"/>
          <w:szCs w:val="21"/>
          <w:lang w:eastAsia="zh-CN"/>
        </w:rPr>
        <w:t>）</w:t>
      </w:r>
      <w:r>
        <w:rPr>
          <w:rFonts w:hint="eastAsia" w:ascii="宋体" w:hAnsi="宋体"/>
          <w:color w:val="000000"/>
          <w:szCs w:val="21"/>
        </w:rPr>
        <w:t>恢复的规划和措施；</w:t>
      </w:r>
    </w:p>
    <w:p>
      <w:pPr>
        <w:spacing w:line="396" w:lineRule="exact"/>
        <w:ind w:left="945" w:leftChars="450" w:right="42" w:rightChars="20"/>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13</w:t>
      </w:r>
      <w:r>
        <w:rPr>
          <w:rFonts w:hint="eastAsia" w:ascii="宋体" w:hAnsi="宋体"/>
          <w:color w:val="000000"/>
          <w:szCs w:val="21"/>
          <w:lang w:eastAsia="zh-CN"/>
        </w:rPr>
        <w:t>）</w:t>
      </w:r>
      <w:r>
        <w:rPr>
          <w:rFonts w:hint="eastAsia" w:ascii="宋体" w:hAnsi="宋体"/>
          <w:color w:val="000000"/>
          <w:szCs w:val="21"/>
        </w:rPr>
        <w:t>其他</w:t>
      </w:r>
      <w:r>
        <w:rPr>
          <w:rFonts w:hint="eastAsia" w:ascii="宋体" w:hAnsi="宋体"/>
          <w:color w:val="000000"/>
          <w:szCs w:val="21"/>
          <w:lang w:eastAsia="zh-CN"/>
        </w:rPr>
        <w:t>：</w:t>
      </w:r>
    </w:p>
    <w:p>
      <w:pPr>
        <w:spacing w:line="396" w:lineRule="exact"/>
        <w:ind w:left="945" w:right="42" w:rightChars="20" w:hanging="945" w:hangingChars="450"/>
        <w:rPr>
          <w:rFonts w:ascii="宋体" w:hAnsi="宋体"/>
          <w:color w:val="000000"/>
          <w:szCs w:val="21"/>
        </w:rPr>
      </w:pPr>
      <w:r>
        <w:rPr>
          <w:rFonts w:hint="eastAsia" w:ascii="宋体" w:hAnsi="宋体"/>
          <w:color w:val="000000"/>
          <w:szCs w:val="21"/>
        </w:rPr>
        <w:t>6.9.2    施工环保措施计划应当在专用合同条款第9.4款约定的期限内报送监理人。承包人应当严格执行经监理人批准的施工环保措施计划，并及时补充、修订和完善施工环保措施计划。</w:t>
      </w:r>
    </w:p>
    <w:p>
      <w:pPr>
        <w:spacing w:before="360" w:beforeLines="150" w:after="360" w:afterLines="150" w:line="396" w:lineRule="exact"/>
        <w:ind w:left="1260" w:right="159" w:rightChars="76" w:hanging="1260" w:hangingChars="450"/>
        <w:outlineLvl w:val="3"/>
        <w:rPr>
          <w:rFonts w:ascii="黑体" w:hAnsi="宋体" w:eastAsia="黑体"/>
          <w:color w:val="000000"/>
          <w:sz w:val="28"/>
          <w:szCs w:val="28"/>
        </w:rPr>
      </w:pPr>
      <w:bookmarkStart w:id="1324" w:name="_Toc114222861"/>
      <w:bookmarkStart w:id="1325" w:name="_Toc295812292"/>
      <w:r>
        <w:rPr>
          <w:rFonts w:hint="eastAsia" w:ascii="黑体" w:hAnsi="宋体" w:eastAsia="黑体"/>
          <w:color w:val="000000"/>
          <w:sz w:val="28"/>
          <w:szCs w:val="28"/>
        </w:rPr>
        <w:t>7.治安保卫</w:t>
      </w:r>
      <w:bookmarkEnd w:id="1324"/>
      <w:bookmarkEnd w:id="1325"/>
    </w:p>
    <w:p>
      <w:pPr>
        <w:spacing w:line="390" w:lineRule="exact"/>
        <w:ind w:left="945" w:hanging="945" w:hangingChars="450"/>
        <w:rPr>
          <w:rFonts w:ascii="宋体" w:hAnsi="宋体"/>
          <w:color w:val="000000"/>
          <w:szCs w:val="21"/>
        </w:rPr>
      </w:pPr>
      <w:r>
        <w:rPr>
          <w:rFonts w:hint="eastAsia" w:ascii="宋体" w:hAnsi="宋体"/>
          <w:color w:val="000000"/>
          <w:szCs w:val="21"/>
        </w:rPr>
        <w:t xml:space="preserve">7.1      </w:t>
      </w:r>
      <w:r>
        <w:rPr>
          <w:rFonts w:hint="eastAsia" w:ascii="宋体" w:hAnsi="宋体"/>
          <w:color w:val="000000"/>
          <w:spacing w:val="6"/>
          <w:szCs w:val="21"/>
        </w:rPr>
        <w:t>承包人应为施工场地</w:t>
      </w:r>
      <w:r>
        <w:rPr>
          <w:rFonts w:hint="eastAsia" w:ascii="宋体" w:hAnsi="宋体"/>
          <w:color w:val="000000"/>
          <w:spacing w:val="6"/>
          <w:szCs w:val="21"/>
          <w:lang w:eastAsia="zh-CN"/>
        </w:rPr>
        <w:t>（</w:t>
      </w:r>
      <w:r>
        <w:rPr>
          <w:rFonts w:hint="eastAsia" w:ascii="宋体" w:hAnsi="宋体"/>
          <w:color w:val="000000"/>
          <w:spacing w:val="6"/>
          <w:szCs w:val="21"/>
        </w:rPr>
        <w:t>现场</w:t>
      </w:r>
      <w:r>
        <w:rPr>
          <w:rFonts w:hint="eastAsia" w:ascii="宋体" w:hAnsi="宋体"/>
          <w:color w:val="000000"/>
          <w:spacing w:val="6"/>
          <w:szCs w:val="21"/>
          <w:lang w:eastAsia="zh-CN"/>
        </w:rPr>
        <w:t>）</w:t>
      </w:r>
      <w:r>
        <w:rPr>
          <w:rFonts w:hint="eastAsia" w:ascii="宋体" w:hAnsi="宋体"/>
          <w:color w:val="000000"/>
          <w:spacing w:val="6"/>
          <w:szCs w:val="21"/>
        </w:rPr>
        <w:t>提供24小时的保安保卫服务，配备足够的保安人员和保安设备，防止未经批准的任何人进入现场，控制人员、材料和设备等的进出场，防止现场材料、设备或其他任何物品的失窃，禁止任何现场内的打架斗殴事件。</w:t>
      </w:r>
    </w:p>
    <w:p>
      <w:pPr>
        <w:spacing w:line="390" w:lineRule="exact"/>
        <w:ind w:left="945" w:hanging="945" w:hangingChars="450"/>
        <w:rPr>
          <w:rFonts w:ascii="宋体" w:hAnsi="宋体"/>
          <w:color w:val="000000"/>
          <w:szCs w:val="21"/>
        </w:rPr>
      </w:pPr>
      <w:r>
        <w:rPr>
          <w:rFonts w:hint="eastAsia" w:ascii="宋体" w:hAnsi="宋体"/>
          <w:color w:val="000000"/>
          <w:szCs w:val="21"/>
        </w:rPr>
        <w:t>7.2      承包人的保安人员应是训练有素的专业保安人员，承包人可以雇佣专业保安公司负责现场保安和保卫；保安保卫制度除规范现场出入大门控制外，还应规定定时和不定时的施工场地</w:t>
      </w:r>
      <w:r>
        <w:rPr>
          <w:rFonts w:hint="eastAsia" w:ascii="宋体" w:hAnsi="宋体"/>
          <w:color w:val="000000"/>
          <w:szCs w:val="21"/>
          <w:lang w:eastAsia="zh-CN"/>
        </w:rPr>
        <w:t>（</w:t>
      </w:r>
      <w:r>
        <w:rPr>
          <w:rFonts w:hint="eastAsia" w:ascii="宋体" w:hAnsi="宋体"/>
          <w:color w:val="000000"/>
          <w:szCs w:val="21"/>
        </w:rPr>
        <w:t>现场</w:t>
      </w:r>
      <w:r>
        <w:rPr>
          <w:rFonts w:hint="eastAsia" w:ascii="宋体" w:hAnsi="宋体"/>
          <w:color w:val="000000"/>
          <w:szCs w:val="21"/>
          <w:lang w:eastAsia="zh-CN"/>
        </w:rPr>
        <w:t>）</w:t>
      </w:r>
      <w:r>
        <w:rPr>
          <w:rFonts w:hint="eastAsia" w:ascii="宋体" w:hAnsi="宋体"/>
          <w:color w:val="000000"/>
          <w:szCs w:val="21"/>
        </w:rPr>
        <w:t>周边和全现场的保安巡逻。</w:t>
      </w:r>
    </w:p>
    <w:p>
      <w:pPr>
        <w:spacing w:line="390" w:lineRule="exact"/>
        <w:ind w:left="945" w:hanging="945" w:hangingChars="450"/>
        <w:rPr>
          <w:rFonts w:ascii="宋体" w:hAnsi="宋体"/>
          <w:color w:val="000000"/>
          <w:szCs w:val="21"/>
        </w:rPr>
      </w:pPr>
      <w:r>
        <w:rPr>
          <w:rFonts w:hint="eastAsia" w:ascii="宋体" w:hAnsi="宋体"/>
          <w:color w:val="000000"/>
          <w:szCs w:val="21"/>
        </w:rPr>
        <w:t>7.3      承包人应制定并实施严格的施工场地</w:t>
      </w:r>
      <w:r>
        <w:rPr>
          <w:rFonts w:hint="eastAsia" w:ascii="宋体" w:hAnsi="宋体"/>
          <w:color w:val="000000"/>
          <w:szCs w:val="21"/>
          <w:lang w:eastAsia="zh-CN"/>
        </w:rPr>
        <w:t>（</w:t>
      </w:r>
      <w:r>
        <w:rPr>
          <w:rFonts w:hint="eastAsia" w:ascii="宋体" w:hAnsi="宋体"/>
          <w:color w:val="000000"/>
          <w:szCs w:val="21"/>
        </w:rPr>
        <w:t>现场</w:t>
      </w:r>
      <w:r>
        <w:rPr>
          <w:rFonts w:hint="eastAsia" w:ascii="宋体" w:hAnsi="宋体"/>
          <w:color w:val="000000"/>
          <w:szCs w:val="21"/>
          <w:lang w:eastAsia="zh-CN"/>
        </w:rPr>
        <w:t>）</w:t>
      </w:r>
      <w:r>
        <w:rPr>
          <w:rFonts w:hint="eastAsia" w:ascii="宋体" w:hAnsi="宋体"/>
          <w:color w:val="000000"/>
          <w:szCs w:val="21"/>
        </w:rPr>
        <w:t>出入制度并报监理人审批；车辆的出入须有出入审批制度，并</w:t>
      </w:r>
      <w:r>
        <w:rPr>
          <w:rFonts w:hint="eastAsia" w:ascii="宋体" w:hAnsi="宋体"/>
          <w:color w:val="000000"/>
          <w:szCs w:val="21"/>
          <w:lang w:eastAsia="zh-CN"/>
        </w:rPr>
        <w:t>由</w:t>
      </w:r>
      <w:r>
        <w:rPr>
          <w:rFonts w:hint="eastAsia" w:ascii="宋体" w:hAnsi="宋体"/>
          <w:color w:val="000000"/>
          <w:szCs w:val="21"/>
        </w:rPr>
        <w:t>指定的专人负责管理；人员进出现场应有出入证，出入证须以经过监理人批准的格式印制。</w:t>
      </w:r>
    </w:p>
    <w:p>
      <w:pPr>
        <w:spacing w:line="390" w:lineRule="exact"/>
        <w:ind w:left="945" w:hanging="945" w:hangingChars="450"/>
        <w:rPr>
          <w:rFonts w:ascii="宋体" w:hAnsi="宋体"/>
          <w:color w:val="000000"/>
          <w:szCs w:val="21"/>
        </w:rPr>
      </w:pPr>
      <w:r>
        <w:rPr>
          <w:rFonts w:hint="eastAsia" w:ascii="宋体" w:hAnsi="宋体"/>
          <w:color w:val="000000"/>
          <w:szCs w:val="21"/>
        </w:rPr>
        <w:t>7.4      承包人应确保任何未经监理人同意的参观人员进入现场；承包人应准备足够数量的专门用于参观人员的安全帽并带明显标志，承包人同时应准备一个参观人员登记簿用于记录所有参观现场人员的姓名、参观目的和参观时间等内容；承包人应确保每个参观现场的人员了解和遵守现场的安全管理规章制度，</w:t>
      </w:r>
      <w:r>
        <w:rPr>
          <w:rFonts w:hint="eastAsia" w:ascii="宋体" w:hAnsi="宋体"/>
          <w:color w:val="000000"/>
          <w:szCs w:val="21"/>
          <w:lang w:eastAsia="zh-CN"/>
        </w:rPr>
        <w:t>佩戴安全帽</w:t>
      </w:r>
      <w:r>
        <w:rPr>
          <w:rFonts w:hint="eastAsia" w:ascii="宋体" w:hAnsi="宋体"/>
          <w:color w:val="000000"/>
          <w:szCs w:val="21"/>
        </w:rPr>
        <w:t>，确保所有经发包人和监理人批准的参观人员的人身安全。</w:t>
      </w:r>
    </w:p>
    <w:p>
      <w:pPr>
        <w:spacing w:line="390" w:lineRule="exact"/>
        <w:ind w:left="945" w:hanging="945" w:hangingChars="450"/>
        <w:rPr>
          <w:rFonts w:ascii="宋体" w:hAnsi="宋体"/>
          <w:color w:val="000000"/>
          <w:szCs w:val="21"/>
        </w:rPr>
      </w:pPr>
      <w:r>
        <w:rPr>
          <w:rFonts w:hint="eastAsia" w:ascii="宋体" w:hAnsi="宋体"/>
          <w:color w:val="000000"/>
          <w:szCs w:val="21"/>
        </w:rPr>
        <w:t>7.5      承包人应为施工场地</w:t>
      </w:r>
      <w:r>
        <w:rPr>
          <w:rFonts w:hint="eastAsia" w:ascii="宋体" w:hAnsi="宋体"/>
          <w:color w:val="000000"/>
          <w:szCs w:val="21"/>
          <w:lang w:eastAsia="zh-CN"/>
        </w:rPr>
        <w:t>（</w:t>
      </w:r>
      <w:r>
        <w:rPr>
          <w:rFonts w:hint="eastAsia" w:ascii="宋体" w:hAnsi="宋体"/>
          <w:color w:val="000000"/>
          <w:szCs w:val="21"/>
        </w:rPr>
        <w:t>现场</w:t>
      </w:r>
      <w:r>
        <w:rPr>
          <w:rFonts w:hint="eastAsia" w:ascii="宋体" w:hAnsi="宋体"/>
          <w:color w:val="000000"/>
          <w:szCs w:val="21"/>
          <w:lang w:eastAsia="zh-CN"/>
        </w:rPr>
        <w:t>）</w:t>
      </w:r>
      <w:r>
        <w:rPr>
          <w:rFonts w:hint="eastAsia" w:ascii="宋体" w:hAnsi="宋体"/>
          <w:color w:val="000000"/>
          <w:szCs w:val="21"/>
        </w:rPr>
        <w:t>提供和维护符合建设行政主管部门和市容管理部门规定的临时围墙和其他安全维护，并在工程进度需要时，进行必要的改造。围墙和大门的表面维护应考虑定期的修补和重新刷漆，并应保证所有的乱涂乱画或招贴广告随时被清理。临时围墙和出入大门考虑必要的照明，照明系统要满足现场安全保卫和美观的要求。</w:t>
      </w:r>
    </w:p>
    <w:p>
      <w:pPr>
        <w:spacing w:line="390" w:lineRule="exact"/>
        <w:ind w:left="945" w:hanging="945" w:hangingChars="450"/>
        <w:rPr>
          <w:rFonts w:ascii="宋体" w:hAnsi="宋体"/>
          <w:color w:val="000000"/>
          <w:szCs w:val="21"/>
        </w:rPr>
      </w:pPr>
      <w:r>
        <w:rPr>
          <w:rFonts w:hint="eastAsia" w:ascii="宋体" w:hAnsi="宋体"/>
          <w:color w:val="000000"/>
          <w:szCs w:val="21"/>
        </w:rPr>
        <w:t>7.6      承包人应当保证发包人支付的工程款项仅用于本合同目的，及时和足额地向所雇佣的人员支付劳动报酬，并制定严格的工人工资支付保障措施，确保所有分包人及时支付所雇佣工人的工资，有效防止影响社会安定的群体事件发生，并保障发包人免于因承包人</w:t>
      </w:r>
      <w:r>
        <w:rPr>
          <w:rFonts w:hint="eastAsia" w:ascii="宋体" w:hAnsi="宋体"/>
          <w:color w:val="000000"/>
          <w:szCs w:val="21"/>
          <w:lang w:eastAsia="zh-CN"/>
        </w:rPr>
        <w:t>（</w:t>
      </w:r>
      <w:r>
        <w:rPr>
          <w:rFonts w:hint="eastAsia" w:ascii="宋体" w:hAnsi="宋体"/>
          <w:color w:val="000000"/>
          <w:szCs w:val="21"/>
        </w:rPr>
        <w:t>包括其分包人</w:t>
      </w:r>
      <w:r>
        <w:rPr>
          <w:rFonts w:hint="eastAsia" w:ascii="宋体" w:hAnsi="宋体"/>
          <w:color w:val="000000"/>
          <w:szCs w:val="21"/>
          <w:lang w:eastAsia="zh-CN"/>
        </w:rPr>
        <w:t>）</w:t>
      </w:r>
      <w:r>
        <w:rPr>
          <w:rFonts w:hint="eastAsia" w:ascii="宋体" w:hAnsi="宋体"/>
          <w:color w:val="000000"/>
          <w:szCs w:val="21"/>
        </w:rPr>
        <w:t>拖欠工人工资而可能遭受的任何处罚、索赔、损失和损害等。</w:t>
      </w:r>
    </w:p>
    <w:p>
      <w:pPr>
        <w:spacing w:line="390" w:lineRule="exact"/>
        <w:ind w:left="945" w:hanging="945" w:hangingChars="450"/>
        <w:rPr>
          <w:rFonts w:ascii="宋体" w:hAnsi="宋体"/>
          <w:color w:val="000000"/>
          <w:szCs w:val="21"/>
        </w:rPr>
      </w:pPr>
      <w:r>
        <w:rPr>
          <w:rFonts w:hint="eastAsia" w:ascii="宋体" w:hAnsi="宋体"/>
          <w:color w:val="000000"/>
          <w:szCs w:val="21"/>
        </w:rPr>
        <w:t>7.7      施工场地</w:t>
      </w:r>
      <w:r>
        <w:rPr>
          <w:rFonts w:hint="eastAsia" w:ascii="宋体" w:hAnsi="宋体"/>
          <w:color w:val="000000"/>
          <w:szCs w:val="21"/>
          <w:lang w:eastAsia="zh-CN"/>
        </w:rPr>
        <w:t>（</w:t>
      </w:r>
      <w:r>
        <w:rPr>
          <w:rFonts w:hint="eastAsia" w:ascii="宋体" w:hAnsi="宋体"/>
          <w:color w:val="000000"/>
          <w:szCs w:val="21"/>
        </w:rPr>
        <w:t>现场</w:t>
      </w:r>
      <w:r>
        <w:rPr>
          <w:rFonts w:hint="eastAsia" w:ascii="宋体" w:hAnsi="宋体"/>
          <w:color w:val="000000"/>
          <w:szCs w:val="21"/>
          <w:lang w:eastAsia="zh-CN"/>
        </w:rPr>
        <w:t>）</w:t>
      </w:r>
      <w:r>
        <w:rPr>
          <w:rFonts w:hint="eastAsia" w:ascii="宋体" w:hAnsi="宋体"/>
          <w:color w:val="000000"/>
          <w:szCs w:val="21"/>
        </w:rPr>
        <w:t>治安管理计划的要求：</w:t>
      </w:r>
    </w:p>
    <w:p>
      <w:pPr>
        <w:spacing w:line="390" w:lineRule="exact"/>
        <w:rPr>
          <w:rFonts w:ascii="宋体" w:hAnsi="宋体"/>
          <w:color w:val="000000"/>
          <w:szCs w:val="21"/>
        </w:rPr>
      </w:pPr>
      <w:permStart w:id="562" w:edGrp="everyone"/>
      <w:r>
        <w:rPr>
          <w:rFonts w:hint="eastAsia" w:ascii="宋体" w:hAnsi="宋体"/>
          <w:color w:val="000000"/>
          <w:szCs w:val="21"/>
        </w:rPr>
        <w:t xml:space="preserve">                      </w:t>
      </w:r>
      <w:r>
        <w:rPr>
          <w:rFonts w:ascii="宋体" w:hAnsi="宋体"/>
          <w:color w:val="000000"/>
          <w:szCs w:val="21"/>
        </w:rPr>
        <w:t xml:space="preserve">                                                               </w:t>
      </w:r>
      <w:permEnd w:id="562"/>
    </w:p>
    <w:p>
      <w:pPr>
        <w:spacing w:line="390" w:lineRule="exact"/>
        <w:ind w:left="945" w:hanging="945" w:hangingChars="450"/>
        <w:rPr>
          <w:rFonts w:ascii="宋体" w:hAnsi="宋体"/>
          <w:color w:val="000000"/>
          <w:szCs w:val="21"/>
        </w:rPr>
      </w:pPr>
      <w:r>
        <w:rPr>
          <w:rFonts w:hint="eastAsia" w:ascii="宋体" w:hAnsi="宋体"/>
          <w:color w:val="000000"/>
          <w:szCs w:val="21"/>
        </w:rPr>
        <w:t>7.8      突发治安事件紧急预案的要求：</w:t>
      </w:r>
    </w:p>
    <w:p>
      <w:pPr>
        <w:spacing w:line="390" w:lineRule="exact"/>
        <w:ind w:left="945" w:hanging="945" w:hangingChars="450"/>
        <w:rPr>
          <w:rFonts w:ascii="宋体" w:hAnsi="宋体"/>
          <w:color w:val="000000"/>
          <w:szCs w:val="21"/>
        </w:rPr>
      </w:pPr>
      <w:permStart w:id="563" w:edGrp="everyone"/>
      <w:r>
        <w:rPr>
          <w:rFonts w:hint="eastAsia" w:ascii="宋体" w:hAnsi="宋体"/>
          <w:color w:val="000000"/>
          <w:szCs w:val="21"/>
        </w:rPr>
        <w:t xml:space="preserve">                </w:t>
      </w:r>
      <w:r>
        <w:rPr>
          <w:rFonts w:ascii="宋体" w:hAnsi="宋体"/>
          <w:color w:val="000000"/>
          <w:szCs w:val="21"/>
        </w:rPr>
        <w:t xml:space="preserve">                                                                   </w:t>
      </w:r>
      <w:permEnd w:id="563"/>
    </w:p>
    <w:p>
      <w:pPr>
        <w:spacing w:line="390" w:lineRule="exact"/>
        <w:ind w:left="945" w:hanging="945" w:hangingChars="450"/>
        <w:rPr>
          <w:rFonts w:ascii="宋体" w:hAnsi="宋体"/>
          <w:color w:val="000000"/>
          <w:szCs w:val="21"/>
        </w:rPr>
      </w:pPr>
      <w:r>
        <w:rPr>
          <w:rFonts w:hint="eastAsia" w:ascii="宋体" w:hAnsi="宋体"/>
          <w:color w:val="000000"/>
          <w:szCs w:val="21"/>
        </w:rPr>
        <w:t>7.9      治安保卫方面的其他要求如下：</w:t>
      </w:r>
      <w:permStart w:id="564" w:edGrp="everyone"/>
      <w:permEnd w:id="564"/>
    </w:p>
    <w:p>
      <w:pPr>
        <w:spacing w:line="390" w:lineRule="exact"/>
        <w:ind w:left="945" w:hanging="945" w:hangingChars="450"/>
        <w:rPr>
          <w:rFonts w:ascii="宋体" w:hAnsi="宋体"/>
          <w:color w:val="000000"/>
          <w:szCs w:val="21"/>
        </w:rPr>
      </w:pPr>
      <w:permStart w:id="565" w:edGrp="everyone"/>
      <w:r>
        <w:rPr>
          <w:rFonts w:hint="eastAsia" w:ascii="宋体" w:hAnsi="宋体"/>
          <w:color w:val="000000"/>
          <w:szCs w:val="21"/>
        </w:rPr>
        <w:t xml:space="preserve">                                                                                     </w:t>
      </w:r>
      <w:permEnd w:id="565"/>
    </w:p>
    <w:p>
      <w:pPr>
        <w:spacing w:before="192" w:beforeLines="80" w:after="192" w:afterLines="80" w:line="396" w:lineRule="exact"/>
        <w:ind w:left="1260" w:hanging="1260" w:hangingChars="450"/>
        <w:outlineLvl w:val="3"/>
        <w:rPr>
          <w:rFonts w:ascii="黑体" w:hAnsi="宋体" w:eastAsia="黑体"/>
          <w:color w:val="000000"/>
          <w:sz w:val="28"/>
          <w:szCs w:val="28"/>
        </w:rPr>
      </w:pPr>
      <w:bookmarkStart w:id="1326" w:name="_Toc114222862"/>
      <w:bookmarkStart w:id="1327" w:name="_Toc295812293"/>
      <w:r>
        <w:rPr>
          <w:rFonts w:hint="eastAsia" w:ascii="黑体" w:hAnsi="宋体" w:eastAsia="黑体"/>
          <w:color w:val="000000"/>
          <w:sz w:val="28"/>
          <w:szCs w:val="28"/>
        </w:rPr>
        <w:t>8.地上、地下设施和周边建筑物的临时保护</w:t>
      </w:r>
      <w:bookmarkEnd w:id="1326"/>
      <w:bookmarkEnd w:id="1327"/>
    </w:p>
    <w:p>
      <w:pPr>
        <w:spacing w:line="390" w:lineRule="exact"/>
        <w:ind w:left="945" w:hanging="945" w:hangingChars="450"/>
        <w:rPr>
          <w:rFonts w:ascii="宋体" w:hAnsi="宋体"/>
          <w:color w:val="000000"/>
          <w:szCs w:val="21"/>
        </w:rPr>
      </w:pPr>
      <w:r>
        <w:rPr>
          <w:rFonts w:hint="eastAsia" w:ascii="宋体" w:hAnsi="宋体"/>
          <w:color w:val="000000"/>
          <w:szCs w:val="21"/>
        </w:rPr>
        <w:t>8.1      承包人应为施工场地及其周边现有的地上、地下设施和建筑物提供足够的临时保护设施，确保施工过程中这些设施和建筑物不会受到干扰和破坏。</w:t>
      </w:r>
    </w:p>
    <w:p>
      <w:pPr>
        <w:spacing w:line="400" w:lineRule="exact"/>
        <w:ind w:left="945" w:hanging="945" w:hangingChars="450"/>
        <w:rPr>
          <w:rFonts w:ascii="宋体" w:hAnsi="宋体"/>
          <w:color w:val="000000"/>
          <w:szCs w:val="21"/>
        </w:rPr>
      </w:pPr>
      <w:r>
        <w:rPr>
          <w:rFonts w:hint="eastAsia" w:ascii="宋体" w:hAnsi="宋体"/>
          <w:color w:val="000000"/>
          <w:szCs w:val="21"/>
        </w:rPr>
        <w:t>8.2      承包人应当制订现有设施临时保护方案和应急处理方案，并在本工程开工前至少提前7天报送监理人，监理人应在收到现有设施临时保护方案后的3天内批复承包人。承包人应当严格执行经监理人批准的保护方案，并保证在任何可能影响周边现有的地上、地下设施或周边建筑物的施工作业开始前，相应的临时保护设施能够落实到位。</w:t>
      </w:r>
    </w:p>
    <w:p>
      <w:pPr>
        <w:spacing w:line="390" w:lineRule="exact"/>
        <w:ind w:left="945" w:hanging="945" w:hangingChars="450"/>
        <w:rPr>
          <w:rFonts w:ascii="宋体" w:hAnsi="宋体"/>
          <w:color w:val="000000"/>
          <w:szCs w:val="21"/>
        </w:rPr>
      </w:pPr>
      <w:r>
        <w:rPr>
          <w:rFonts w:hint="eastAsia" w:ascii="宋体" w:hAnsi="宋体"/>
          <w:color w:val="000000"/>
          <w:szCs w:val="21"/>
        </w:rPr>
        <w:t>8.3      发包人特别提醒承包人注意以下地上、地下设施和周边建筑物的保护：</w:t>
      </w:r>
    </w:p>
    <w:p>
      <w:pPr>
        <w:spacing w:line="390" w:lineRule="exact"/>
        <w:ind w:left="945" w:hanging="945" w:hangingChars="450"/>
        <w:rPr>
          <w:rFonts w:ascii="宋体" w:hAnsi="宋体"/>
          <w:color w:val="000000"/>
          <w:szCs w:val="21"/>
          <w:u w:val="single"/>
        </w:rPr>
      </w:pPr>
      <w:permStart w:id="566" w:edGrp="everyone"/>
      <w:r>
        <w:rPr>
          <w:rFonts w:hint="eastAsia" w:ascii="宋体" w:hAnsi="宋体"/>
          <w:color w:val="000000"/>
          <w:szCs w:val="21"/>
          <w:u w:val="single"/>
        </w:rPr>
        <w:t xml:space="preserve">                                                                               </w:t>
      </w:r>
    </w:p>
    <w:p>
      <w:pPr>
        <w:spacing w:line="390" w:lineRule="exact"/>
        <w:ind w:left="945" w:hanging="945" w:hangingChars="450"/>
        <w:rPr>
          <w:rFonts w:ascii="宋体" w:hAnsi="宋体"/>
          <w:color w:val="000000"/>
          <w:szCs w:val="21"/>
          <w:u w:val="single"/>
        </w:rPr>
      </w:pPr>
      <w:r>
        <w:rPr>
          <w:rFonts w:hint="eastAsia" w:ascii="宋体" w:hAnsi="宋体"/>
          <w:color w:val="000000"/>
          <w:szCs w:val="21"/>
          <w:u w:val="single"/>
        </w:rPr>
        <w:t xml:space="preserve">                                                                               </w:t>
      </w:r>
    </w:p>
    <w:p>
      <w:pPr>
        <w:spacing w:line="390" w:lineRule="exact"/>
        <w:ind w:left="945" w:hanging="945" w:hangingChars="450"/>
        <w:rPr>
          <w:rFonts w:ascii="宋体" w:hAnsi="宋体"/>
          <w:color w:val="000000"/>
          <w:szCs w:val="21"/>
          <w:u w:val="single"/>
        </w:rPr>
      </w:pPr>
      <w:r>
        <w:rPr>
          <w:rFonts w:hint="eastAsia" w:ascii="宋体" w:hAnsi="宋体"/>
          <w:color w:val="000000"/>
          <w:szCs w:val="21"/>
          <w:u w:val="single"/>
        </w:rPr>
        <w:t xml:space="preserve">                                                                               </w:t>
      </w:r>
    </w:p>
    <w:p>
      <w:pPr>
        <w:spacing w:line="390" w:lineRule="exact"/>
        <w:ind w:left="945" w:hanging="945" w:hangingChars="450"/>
        <w:rPr>
          <w:rFonts w:ascii="宋体" w:hAnsi="宋体"/>
          <w:color w:val="000000"/>
          <w:szCs w:val="21"/>
          <w:u w:val="single"/>
        </w:rPr>
      </w:pPr>
      <w:r>
        <w:rPr>
          <w:rFonts w:hint="eastAsia" w:ascii="宋体" w:hAnsi="宋体"/>
          <w:color w:val="000000"/>
          <w:szCs w:val="21"/>
          <w:u w:val="single"/>
        </w:rPr>
        <w:t xml:space="preserve">                                                                               </w:t>
      </w:r>
      <w:permEnd w:id="566"/>
    </w:p>
    <w:p>
      <w:pPr>
        <w:spacing w:line="390" w:lineRule="exact"/>
        <w:ind w:left="945" w:hanging="945" w:hangingChars="450"/>
        <w:rPr>
          <w:rFonts w:ascii="宋体" w:hAnsi="宋体"/>
          <w:color w:val="000000"/>
          <w:szCs w:val="21"/>
        </w:rPr>
      </w:pPr>
      <w:r>
        <w:rPr>
          <w:rFonts w:hint="eastAsia" w:ascii="宋体" w:hAnsi="宋体"/>
          <w:color w:val="000000"/>
          <w:szCs w:val="21"/>
        </w:rPr>
        <w:t>8.4     地上、地下设施和周边建筑物的临时保护的其他要求如下</w:t>
      </w:r>
    </w:p>
    <w:p>
      <w:pPr>
        <w:spacing w:line="390" w:lineRule="exact"/>
        <w:ind w:left="945" w:hanging="945" w:hangingChars="450"/>
        <w:rPr>
          <w:rFonts w:ascii="宋体" w:hAnsi="宋体"/>
          <w:color w:val="000000"/>
          <w:szCs w:val="21"/>
        </w:rPr>
      </w:pPr>
      <w:permStart w:id="567" w:edGrp="everyone"/>
      <w:r>
        <w:rPr>
          <w:rFonts w:hint="eastAsia" w:ascii="宋体" w:hAnsi="宋体"/>
          <w:color w:val="000000"/>
          <w:szCs w:val="21"/>
        </w:rPr>
        <w:t xml:space="preserve">                                                           </w:t>
      </w:r>
      <w:r>
        <w:rPr>
          <w:rFonts w:ascii="宋体" w:hAnsi="宋体"/>
          <w:color w:val="000000"/>
          <w:szCs w:val="21"/>
        </w:rPr>
        <w:t xml:space="preserve">     </w:t>
      </w:r>
      <w:r>
        <w:rPr>
          <w:rFonts w:hint="eastAsia" w:ascii="宋体" w:hAnsi="宋体"/>
          <w:color w:val="000000"/>
          <w:szCs w:val="21"/>
        </w:rPr>
        <w:t xml:space="preserve">              </w:t>
      </w:r>
    </w:p>
    <w:p>
      <w:pPr>
        <w:spacing w:line="390" w:lineRule="exact"/>
        <w:ind w:left="945" w:hanging="945" w:hangingChars="450"/>
        <w:rPr>
          <w:rFonts w:ascii="宋体" w:hAnsi="宋体"/>
          <w:color w:val="000000"/>
          <w:szCs w:val="21"/>
        </w:rPr>
      </w:pPr>
      <w:r>
        <w:rPr>
          <w:rFonts w:hint="eastAsia" w:ascii="宋体" w:hAnsi="宋体"/>
          <w:color w:val="000000"/>
          <w:szCs w:val="21"/>
        </w:rPr>
        <w:t xml:space="preserve">                                                       </w:t>
      </w:r>
      <w:r>
        <w:rPr>
          <w:rFonts w:ascii="宋体" w:hAnsi="宋体"/>
          <w:color w:val="000000"/>
          <w:szCs w:val="21"/>
        </w:rPr>
        <w:t xml:space="preserve">                         </w:t>
      </w:r>
      <w:permEnd w:id="567"/>
    </w:p>
    <w:p>
      <w:pPr>
        <w:spacing w:before="240" w:beforeLines="100" w:after="240" w:afterLines="100" w:line="390" w:lineRule="exact"/>
        <w:ind w:left="1260" w:hanging="1260" w:hangingChars="450"/>
        <w:outlineLvl w:val="3"/>
        <w:rPr>
          <w:rFonts w:ascii="黑体" w:hAnsi="宋体" w:eastAsia="黑体"/>
          <w:color w:val="000000"/>
          <w:sz w:val="28"/>
          <w:szCs w:val="28"/>
        </w:rPr>
      </w:pPr>
      <w:bookmarkStart w:id="1328" w:name="_Toc295812294"/>
      <w:bookmarkStart w:id="1329" w:name="_Toc114222863"/>
      <w:r>
        <w:rPr>
          <w:rFonts w:hint="eastAsia" w:ascii="黑体" w:hAnsi="宋体" w:eastAsia="黑体"/>
          <w:color w:val="000000"/>
          <w:sz w:val="28"/>
          <w:szCs w:val="28"/>
        </w:rPr>
        <w:t>9.样品和材料代换</w:t>
      </w:r>
      <w:bookmarkEnd w:id="1328"/>
      <w:bookmarkEnd w:id="1329"/>
    </w:p>
    <w:p>
      <w:pPr>
        <w:rPr>
          <w:rFonts w:ascii="黑体" w:eastAsia="黑体"/>
          <w:color w:val="000000"/>
          <w:sz w:val="24"/>
        </w:rPr>
      </w:pPr>
      <w:r>
        <w:rPr>
          <w:rFonts w:hint="eastAsia" w:ascii="黑体" w:eastAsia="黑体"/>
          <w:color w:val="000000"/>
          <w:sz w:val="24"/>
        </w:rPr>
        <w:t>9.1样品</w:t>
      </w:r>
    </w:p>
    <w:p>
      <w:pPr>
        <w:spacing w:line="400" w:lineRule="exact"/>
        <w:ind w:left="945" w:hanging="945" w:hangingChars="450"/>
        <w:rPr>
          <w:rFonts w:ascii="宋体" w:hAnsi="宋体"/>
          <w:color w:val="000000"/>
          <w:szCs w:val="21"/>
        </w:rPr>
      </w:pPr>
      <w:r>
        <w:rPr>
          <w:rFonts w:hint="eastAsia" w:ascii="宋体" w:hAnsi="宋体"/>
          <w:color w:val="000000"/>
          <w:szCs w:val="21"/>
        </w:rPr>
        <w:t>9.1.1    本工程需要承包人提供样品的材料和工程设备如下：</w:t>
      </w:r>
    </w:p>
    <w:p>
      <w:pPr>
        <w:spacing w:line="500" w:lineRule="exact"/>
        <w:ind w:left="945" w:hanging="945" w:hangingChars="450"/>
        <w:rPr>
          <w:rFonts w:ascii="宋体" w:hAnsi="宋体"/>
          <w:color w:val="000000"/>
          <w:szCs w:val="21"/>
        </w:rPr>
      </w:pPr>
      <w:permStart w:id="568" w:edGrp="everyone"/>
      <w:r>
        <w:rPr>
          <w:rFonts w:hint="eastAsia" w:ascii="宋体" w:hAnsi="宋体"/>
          <w:color w:val="000000"/>
          <w:szCs w:val="21"/>
        </w:rPr>
        <w:t xml:space="preserve">                                                                               </w:t>
      </w:r>
      <w:permEnd w:id="568"/>
    </w:p>
    <w:p>
      <w:pPr>
        <w:spacing w:line="390" w:lineRule="exact"/>
        <w:ind w:left="945" w:hanging="945" w:hangingChars="450"/>
        <w:rPr>
          <w:rFonts w:ascii="宋体" w:hAnsi="宋体"/>
          <w:color w:val="000000"/>
          <w:szCs w:val="21"/>
        </w:rPr>
      </w:pPr>
      <w:r>
        <w:rPr>
          <w:rFonts w:hint="eastAsia" w:ascii="宋体" w:hAnsi="宋体"/>
          <w:color w:val="000000"/>
          <w:szCs w:val="21"/>
        </w:rPr>
        <w:t>9.1.2    对于本款第9.1.1项约定的材料和工程设备，承包人应按照专用合同条款第5.1.2项约定的期限，向监理人提交样品并附上任何必要的说明书、生产</w:t>
      </w:r>
      <w:r>
        <w:rPr>
          <w:rFonts w:hint="eastAsia" w:ascii="宋体" w:hAnsi="宋体"/>
          <w:color w:val="000000"/>
          <w:szCs w:val="21"/>
          <w:lang w:eastAsia="zh-CN"/>
        </w:rPr>
        <w:t>（</w:t>
      </w:r>
      <w:r>
        <w:rPr>
          <w:rFonts w:hint="eastAsia" w:ascii="宋体" w:hAnsi="宋体"/>
          <w:color w:val="000000"/>
          <w:szCs w:val="21"/>
        </w:rPr>
        <w:t>制造</w:t>
      </w:r>
      <w:r>
        <w:rPr>
          <w:rFonts w:hint="eastAsia" w:ascii="宋体" w:hAnsi="宋体"/>
          <w:color w:val="000000"/>
          <w:szCs w:val="21"/>
          <w:lang w:eastAsia="zh-CN"/>
        </w:rPr>
        <w:t>）</w:t>
      </w:r>
      <w:r>
        <w:rPr>
          <w:rFonts w:hint="eastAsia" w:ascii="宋体" w:hAnsi="宋体"/>
          <w:color w:val="000000"/>
          <w:szCs w:val="21"/>
        </w:rPr>
        <w:t>许可证书、出厂合格证明或者证书、出厂检测报告、性能介绍、使用说明等相关资料，同时注明材料和工程设备的供货人及品种、规格、数量和供货时间等，以供检验和审批。样品送达的地点和样品的数量或尺寸应符合监理人和发包人的要求。除合同另有约定外，承包人在报送任何样品时应按监理人同意的格式填写并递交样品报送单。监理人应及时签收样品。</w:t>
      </w:r>
    </w:p>
    <w:p>
      <w:pPr>
        <w:spacing w:line="390" w:lineRule="exact"/>
        <w:ind w:left="945" w:hanging="945" w:hangingChars="450"/>
        <w:rPr>
          <w:rFonts w:ascii="宋体" w:hAnsi="宋体"/>
          <w:color w:val="000000"/>
          <w:szCs w:val="21"/>
        </w:rPr>
      </w:pPr>
      <w:r>
        <w:rPr>
          <w:rFonts w:hint="eastAsia" w:ascii="宋体" w:hAnsi="宋体"/>
          <w:color w:val="000000"/>
          <w:szCs w:val="21"/>
        </w:rPr>
        <w:t>9.1.3    合同条款第15.8.2项约定的依法不需要招标的、以暂估价形式包括在工程量清单中的材料和工程设备，所附资料除本款第9.1.2项约定的内容外，还应附上价格资料，每一类材料设备，至少应准备符合合同要求的三个产品，价格分高、中、低三档，以便监理人和发包人选择和批准。</w:t>
      </w:r>
    </w:p>
    <w:p>
      <w:pPr>
        <w:spacing w:line="390" w:lineRule="exact"/>
        <w:ind w:left="945" w:hanging="945" w:hangingChars="450"/>
        <w:rPr>
          <w:rFonts w:ascii="宋体" w:hAnsi="宋体"/>
          <w:color w:val="000000"/>
          <w:szCs w:val="21"/>
        </w:rPr>
      </w:pPr>
      <w:r>
        <w:rPr>
          <w:rFonts w:hint="eastAsia" w:ascii="宋体" w:hAnsi="宋体"/>
          <w:color w:val="000000"/>
          <w:szCs w:val="21"/>
        </w:rPr>
        <w:t>9.1.4    监理人应在收到承包人报送的样品后7天内转呈发包人并附上监理人的书面审批意见。发包人在收到通过监理人转交的样品以及监理人的审批意见后7天内就此样品给出书面批复。监理人应在收到样品后21天内通知承包人他相关样品所</w:t>
      </w:r>
      <w:r>
        <w:rPr>
          <w:rFonts w:hint="eastAsia" w:ascii="宋体" w:hAnsi="宋体"/>
          <w:color w:val="000000"/>
          <w:szCs w:val="21"/>
          <w:lang w:eastAsia="zh-CN"/>
        </w:rPr>
        <w:t>作出的决定</w:t>
      </w:r>
      <w:r>
        <w:rPr>
          <w:rFonts w:hint="eastAsia" w:ascii="宋体" w:hAnsi="宋体"/>
          <w:color w:val="000000"/>
          <w:szCs w:val="21"/>
        </w:rPr>
        <w:t>或指示</w:t>
      </w:r>
      <w:r>
        <w:rPr>
          <w:rFonts w:hint="eastAsia" w:ascii="宋体" w:hAnsi="宋体"/>
          <w:color w:val="000000"/>
          <w:szCs w:val="21"/>
          <w:lang w:eastAsia="zh-CN"/>
        </w:rPr>
        <w:t>（</w:t>
      </w:r>
      <w:r>
        <w:rPr>
          <w:rFonts w:hint="eastAsia" w:ascii="宋体" w:hAnsi="宋体"/>
          <w:color w:val="000000"/>
          <w:szCs w:val="21"/>
        </w:rPr>
        <w:t>同时抄送一份给发包人</w:t>
      </w:r>
      <w:r>
        <w:rPr>
          <w:rFonts w:hint="eastAsia" w:ascii="宋体" w:hAnsi="宋体"/>
          <w:color w:val="000000"/>
          <w:szCs w:val="21"/>
          <w:lang w:eastAsia="zh-CN"/>
        </w:rPr>
        <w:t>）</w:t>
      </w:r>
      <w:r>
        <w:rPr>
          <w:rFonts w:hint="eastAsia" w:ascii="宋体" w:hAnsi="宋体"/>
          <w:color w:val="000000"/>
          <w:szCs w:val="21"/>
        </w:rPr>
        <w:t>。承包人应根据监理人的书面批复和指示相应地进行下一步工作。如果监理人未能在承包人报送样品后21天内给出书面批复，承包人应就此通知监理人，要求尽快批复。如果发包人在收到此类通知后7天内仍未对样品进行批复，则视为监理人和发包人已经批准。</w:t>
      </w:r>
    </w:p>
    <w:p>
      <w:pPr>
        <w:spacing w:line="406" w:lineRule="exact"/>
        <w:ind w:left="945" w:hanging="945" w:hangingChars="450"/>
        <w:rPr>
          <w:rFonts w:ascii="宋体" w:hAnsi="宋体"/>
          <w:color w:val="000000"/>
          <w:szCs w:val="21"/>
        </w:rPr>
      </w:pPr>
      <w:r>
        <w:rPr>
          <w:rFonts w:hint="eastAsia" w:ascii="宋体" w:hAnsi="宋体"/>
          <w:color w:val="000000"/>
          <w:szCs w:val="21"/>
        </w:rPr>
        <w:t>9.1.5    得到批准后的样品由监理人负责存放。但承包人应为保存样品提供适当和固定的场所并保持适当和良好的环境条件。</w:t>
      </w:r>
    </w:p>
    <w:p>
      <w:pPr>
        <w:spacing w:line="406" w:lineRule="exact"/>
        <w:ind w:left="945" w:hanging="945" w:hangingChars="450"/>
        <w:rPr>
          <w:rFonts w:ascii="宋体" w:hAnsi="宋体"/>
          <w:color w:val="000000"/>
          <w:szCs w:val="21"/>
        </w:rPr>
      </w:pPr>
      <w:r>
        <w:rPr>
          <w:rFonts w:hint="eastAsia" w:ascii="宋体" w:hAnsi="宋体"/>
          <w:color w:val="000000"/>
          <w:szCs w:val="21"/>
        </w:rPr>
        <w:t>9.1.6    提供样品和提供存放样品场所的费用由承包人承担。</w:t>
      </w:r>
    </w:p>
    <w:p>
      <w:pPr>
        <w:rPr>
          <w:rFonts w:ascii="黑体" w:eastAsia="黑体"/>
          <w:color w:val="000000"/>
          <w:sz w:val="24"/>
        </w:rPr>
      </w:pPr>
      <w:r>
        <w:rPr>
          <w:rFonts w:hint="eastAsia" w:ascii="黑体" w:eastAsia="黑体"/>
          <w:color w:val="000000"/>
          <w:sz w:val="24"/>
        </w:rPr>
        <w:t>9.2材料代换</w:t>
      </w:r>
    </w:p>
    <w:p>
      <w:pPr>
        <w:spacing w:line="406" w:lineRule="exact"/>
        <w:ind w:left="945" w:hanging="945" w:hangingChars="450"/>
        <w:rPr>
          <w:rFonts w:ascii="宋体" w:hAnsi="宋体"/>
          <w:color w:val="000000"/>
          <w:szCs w:val="21"/>
        </w:rPr>
      </w:pPr>
      <w:r>
        <w:rPr>
          <w:rFonts w:hint="eastAsia" w:ascii="宋体" w:hAnsi="宋体"/>
          <w:color w:val="000000"/>
          <w:szCs w:val="21"/>
        </w:rPr>
        <w:t>9.2.1    如果任何后继法律、法规、规章、规范、标准和规程等等禁止使用合同中约定的材料和工程设备，承包人应当按本款约定的程序使用其他替代品来实施工程或修补缺陷。监理人对使用替代品的批准以及承包人据此使用替代品不应减免合同约定的承包人的任何责任和义务。</w:t>
      </w:r>
    </w:p>
    <w:p>
      <w:pPr>
        <w:spacing w:line="406" w:lineRule="exact"/>
        <w:ind w:left="945" w:hanging="945" w:hangingChars="450"/>
        <w:rPr>
          <w:rFonts w:ascii="宋体" w:hAnsi="宋体"/>
          <w:color w:val="000000"/>
          <w:szCs w:val="21"/>
        </w:rPr>
      </w:pPr>
      <w:r>
        <w:rPr>
          <w:rFonts w:hint="eastAsia" w:ascii="宋体" w:hAnsi="宋体"/>
          <w:color w:val="000000"/>
          <w:szCs w:val="21"/>
        </w:rPr>
        <w:t>9.2.2    如果使用替代品，承包人应至少在被替代品按批准的进度计划用于永久工程前56天以书面形式通知监理人并随此通知提交下列文件：</w:t>
      </w:r>
    </w:p>
    <w:p>
      <w:pPr>
        <w:spacing w:line="406" w:lineRule="exact"/>
        <w:ind w:left="1155" w:leftChars="400" w:hanging="315" w:hangingChars="150"/>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1</w:t>
      </w:r>
      <w:r>
        <w:rPr>
          <w:rFonts w:hint="eastAsia" w:ascii="宋体" w:hAnsi="宋体"/>
          <w:color w:val="000000"/>
          <w:szCs w:val="21"/>
          <w:lang w:eastAsia="zh-CN"/>
        </w:rPr>
        <w:t>）</w:t>
      </w:r>
      <w:r>
        <w:rPr>
          <w:rFonts w:hint="eastAsia" w:ascii="宋体" w:hAnsi="宋体"/>
          <w:color w:val="000000"/>
          <w:szCs w:val="21"/>
        </w:rPr>
        <w:t>拟被替代的合同约定的材料和工程设备的名称、数量、规格、型号、品牌、性能、价格及其他任何详细资料；</w:t>
      </w:r>
    </w:p>
    <w:p>
      <w:pPr>
        <w:spacing w:line="406" w:lineRule="exact"/>
        <w:ind w:left="1155" w:leftChars="400" w:hanging="315" w:hangingChars="150"/>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2</w:t>
      </w:r>
      <w:r>
        <w:rPr>
          <w:rFonts w:hint="eastAsia" w:ascii="宋体" w:hAnsi="宋体"/>
          <w:color w:val="000000"/>
          <w:szCs w:val="21"/>
          <w:lang w:eastAsia="zh-CN"/>
        </w:rPr>
        <w:t>）</w:t>
      </w:r>
      <w:r>
        <w:rPr>
          <w:rFonts w:hint="eastAsia" w:ascii="宋体" w:hAnsi="宋体"/>
          <w:color w:val="000000"/>
          <w:szCs w:val="21"/>
        </w:rPr>
        <w:t>拟采用的替代品的名称、数量、规格、型号、品牌、性能、价格及其他任何必要的详细资料；</w:t>
      </w:r>
    </w:p>
    <w:p>
      <w:pPr>
        <w:spacing w:line="406" w:lineRule="exact"/>
        <w:ind w:left="1155" w:leftChars="400" w:hanging="315" w:hangingChars="150"/>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3</w:t>
      </w:r>
      <w:r>
        <w:rPr>
          <w:rFonts w:hint="eastAsia" w:ascii="宋体" w:hAnsi="宋体"/>
          <w:color w:val="000000"/>
          <w:szCs w:val="21"/>
          <w:lang w:eastAsia="zh-CN"/>
        </w:rPr>
        <w:t>）</w:t>
      </w:r>
      <w:r>
        <w:rPr>
          <w:rFonts w:hint="eastAsia" w:ascii="宋体" w:hAnsi="宋体"/>
          <w:color w:val="000000"/>
          <w:szCs w:val="21"/>
        </w:rPr>
        <w:t>替代品使用的工程部位；</w:t>
      </w:r>
    </w:p>
    <w:p>
      <w:pPr>
        <w:spacing w:line="406" w:lineRule="exact"/>
        <w:ind w:left="1155" w:leftChars="400" w:hanging="315" w:hangingChars="150"/>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4</w:t>
      </w:r>
      <w:r>
        <w:rPr>
          <w:rFonts w:hint="eastAsia" w:ascii="宋体" w:hAnsi="宋体"/>
          <w:color w:val="000000"/>
          <w:szCs w:val="21"/>
          <w:lang w:eastAsia="zh-CN"/>
        </w:rPr>
        <w:t>）</w:t>
      </w:r>
      <w:r>
        <w:rPr>
          <w:rFonts w:hint="eastAsia" w:ascii="宋体" w:hAnsi="宋体"/>
          <w:color w:val="000000"/>
          <w:szCs w:val="21"/>
        </w:rPr>
        <w:t>采用替代品的理由和原因说明；</w:t>
      </w:r>
    </w:p>
    <w:p>
      <w:pPr>
        <w:spacing w:line="406" w:lineRule="exact"/>
        <w:ind w:left="1155" w:leftChars="400" w:hanging="315" w:hangingChars="150"/>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5</w:t>
      </w:r>
      <w:r>
        <w:rPr>
          <w:rFonts w:hint="eastAsia" w:ascii="宋体" w:hAnsi="宋体"/>
          <w:color w:val="000000"/>
          <w:szCs w:val="21"/>
          <w:lang w:eastAsia="zh-CN"/>
        </w:rPr>
        <w:t>）</w:t>
      </w:r>
      <w:r>
        <w:rPr>
          <w:rFonts w:hint="eastAsia" w:ascii="宋体" w:hAnsi="宋体"/>
          <w:color w:val="000000"/>
          <w:szCs w:val="21"/>
        </w:rPr>
        <w:t>替代品与合同中约定的产品之间的差异以及使用替代品后可能对工程产生的任何影响；</w:t>
      </w:r>
    </w:p>
    <w:p>
      <w:pPr>
        <w:spacing w:line="406" w:lineRule="exact"/>
        <w:ind w:left="1155" w:leftChars="400" w:hanging="315" w:hangingChars="150"/>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6</w:t>
      </w:r>
      <w:r>
        <w:rPr>
          <w:rFonts w:hint="eastAsia" w:ascii="宋体" w:hAnsi="宋体"/>
          <w:color w:val="000000"/>
          <w:szCs w:val="21"/>
          <w:lang w:eastAsia="zh-CN"/>
        </w:rPr>
        <w:t>）</w:t>
      </w:r>
      <w:r>
        <w:rPr>
          <w:rFonts w:hint="eastAsia" w:ascii="宋体" w:hAnsi="宋体"/>
          <w:color w:val="000000"/>
          <w:szCs w:val="21"/>
        </w:rPr>
        <w:t>价格上的差异；</w:t>
      </w:r>
    </w:p>
    <w:p>
      <w:pPr>
        <w:spacing w:line="406" w:lineRule="exact"/>
        <w:ind w:left="1155" w:leftChars="400" w:hanging="315" w:hangingChars="150"/>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7</w:t>
      </w:r>
      <w:r>
        <w:rPr>
          <w:rFonts w:hint="eastAsia" w:ascii="宋体" w:hAnsi="宋体"/>
          <w:color w:val="000000"/>
          <w:szCs w:val="21"/>
          <w:lang w:eastAsia="zh-CN"/>
        </w:rPr>
        <w:t>）</w:t>
      </w:r>
      <w:r>
        <w:rPr>
          <w:rFonts w:hint="eastAsia" w:ascii="宋体" w:hAnsi="宋体"/>
          <w:color w:val="000000"/>
          <w:szCs w:val="21"/>
        </w:rPr>
        <w:t>监理人为</w:t>
      </w:r>
      <w:r>
        <w:rPr>
          <w:rFonts w:hint="eastAsia" w:ascii="宋体" w:hAnsi="宋体"/>
          <w:color w:val="000000"/>
          <w:szCs w:val="21"/>
          <w:lang w:eastAsia="zh-CN"/>
        </w:rPr>
        <w:t>作出</w:t>
      </w:r>
      <w:r>
        <w:rPr>
          <w:rFonts w:hint="eastAsia" w:ascii="宋体" w:hAnsi="宋体"/>
          <w:color w:val="000000"/>
          <w:szCs w:val="21"/>
        </w:rPr>
        <w:t>适当的决定而随时要求承包人提供的任何其他文件。</w:t>
      </w:r>
    </w:p>
    <w:p>
      <w:pPr>
        <w:spacing w:line="406" w:lineRule="exact"/>
        <w:ind w:left="798" w:leftChars="380" w:firstLine="462" w:firstLineChars="220"/>
        <w:rPr>
          <w:rFonts w:ascii="宋体" w:hAnsi="宋体"/>
          <w:color w:val="000000"/>
          <w:szCs w:val="21"/>
        </w:rPr>
      </w:pPr>
      <w:r>
        <w:rPr>
          <w:rFonts w:hint="eastAsia" w:ascii="宋体" w:hAnsi="宋体"/>
          <w:color w:val="000000"/>
          <w:szCs w:val="21"/>
        </w:rPr>
        <w:t>监理人在收到此类通知及上述文件后，应在28天内向承包人给出书面指示。如果28天内监理人未给出书面指示，应视为监理人和发包人已经批准使用上述替代品，承包人可以据此使用替代品。</w:t>
      </w:r>
    </w:p>
    <w:p>
      <w:pPr>
        <w:spacing w:line="406" w:lineRule="exact"/>
        <w:ind w:left="945" w:hanging="945" w:hangingChars="450"/>
        <w:rPr>
          <w:rFonts w:ascii="宋体" w:hAnsi="宋体"/>
          <w:color w:val="000000"/>
          <w:szCs w:val="21"/>
        </w:rPr>
      </w:pPr>
      <w:r>
        <w:rPr>
          <w:rFonts w:hint="eastAsia" w:ascii="宋体" w:hAnsi="宋体"/>
          <w:color w:val="000000"/>
          <w:szCs w:val="21"/>
        </w:rPr>
        <w:t>9.2.3    任何情况下，替代品都应遵守本合同中对相关材料和工程设备的要求。</w:t>
      </w:r>
    </w:p>
    <w:p>
      <w:pPr>
        <w:spacing w:line="406" w:lineRule="exact"/>
        <w:ind w:left="945" w:hanging="945" w:hangingChars="450"/>
        <w:rPr>
          <w:rFonts w:ascii="宋体" w:hAnsi="宋体"/>
          <w:color w:val="000000"/>
          <w:szCs w:val="21"/>
        </w:rPr>
      </w:pPr>
      <w:r>
        <w:rPr>
          <w:rFonts w:hint="eastAsia" w:ascii="宋体" w:hAnsi="宋体"/>
          <w:color w:val="000000"/>
          <w:szCs w:val="21"/>
        </w:rPr>
        <w:t>9.2.4  如果承包人根据本条约定使用了替代品，监理人应与承包人适当协商之后并在合理的期限内确定替代材料和工程设备与合同中约定的材料和工程设备之间的价值差值，并决定：</w:t>
      </w:r>
    </w:p>
    <w:p>
      <w:pPr>
        <w:spacing w:line="406" w:lineRule="exact"/>
        <w:ind w:left="1155" w:leftChars="400" w:hanging="315" w:hangingChars="150"/>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1</w:t>
      </w:r>
      <w:r>
        <w:rPr>
          <w:rFonts w:hint="eastAsia" w:ascii="宋体" w:hAnsi="宋体"/>
          <w:color w:val="000000"/>
          <w:szCs w:val="21"/>
          <w:lang w:eastAsia="zh-CN"/>
        </w:rPr>
        <w:t>）</w:t>
      </w:r>
      <w:r>
        <w:rPr>
          <w:rFonts w:hint="eastAsia" w:ascii="宋体" w:hAnsi="宋体"/>
          <w:color w:val="000000"/>
          <w:szCs w:val="21"/>
        </w:rPr>
        <w:t>如果替代材料和工程设备的价值高于合同中约定的材料和工程设备的价值，则将高出部分的价值追加到合同价格中并相应地通知承包人；</w:t>
      </w:r>
    </w:p>
    <w:p>
      <w:pPr>
        <w:spacing w:line="406" w:lineRule="exact"/>
        <w:ind w:left="1155" w:leftChars="400" w:hanging="315" w:hangingChars="150"/>
        <w:rPr>
          <w:rFonts w:ascii="宋体" w:hAnsi="宋体"/>
          <w:color w:val="000000"/>
          <w:szCs w:val="21"/>
        </w:rPr>
      </w:pPr>
      <w:r>
        <w:rPr>
          <w:rFonts w:hint="eastAsia" w:ascii="宋体" w:hAnsi="宋体"/>
          <w:color w:val="000000"/>
          <w:szCs w:val="21"/>
        </w:rPr>
        <w:t>(2)(2</w:t>
      </w:r>
      <w:r>
        <w:rPr>
          <w:rFonts w:hint="eastAsia" w:ascii="宋体" w:hAnsi="宋体"/>
          <w:color w:val="000000"/>
          <w:szCs w:val="21"/>
          <w:lang w:eastAsia="zh-CN"/>
        </w:rPr>
        <w:t>）</w:t>
      </w:r>
      <w:r>
        <w:rPr>
          <w:rFonts w:hint="eastAsia" w:ascii="宋体" w:hAnsi="宋体"/>
          <w:color w:val="000000"/>
          <w:szCs w:val="21"/>
        </w:rPr>
        <w:t>如果替代材料和工程设备的价值低于合同中约定的材料和工程设备的价值，则将节余部分的价值从合同价格中扣除并相应地通知承包人。</w:t>
      </w:r>
    </w:p>
    <w:p>
      <w:pPr>
        <w:spacing w:before="240" w:beforeLines="100" w:after="240" w:afterLines="100" w:line="406" w:lineRule="exact"/>
        <w:outlineLvl w:val="3"/>
        <w:rPr>
          <w:rFonts w:ascii="黑体" w:hAnsi="宋体" w:eastAsia="黑体"/>
          <w:color w:val="000000"/>
          <w:sz w:val="28"/>
          <w:szCs w:val="28"/>
        </w:rPr>
      </w:pPr>
      <w:bookmarkStart w:id="1330" w:name="_Toc295812295"/>
      <w:bookmarkStart w:id="1331" w:name="_Toc114222864"/>
      <w:r>
        <w:rPr>
          <w:rFonts w:hint="eastAsia" w:ascii="黑体" w:hAnsi="宋体" w:eastAsia="黑体"/>
          <w:color w:val="000000"/>
          <w:sz w:val="28"/>
          <w:szCs w:val="28"/>
        </w:rPr>
        <w:t>10.进口材料和工程设备</w:t>
      </w:r>
      <w:bookmarkEnd w:id="1330"/>
      <w:bookmarkEnd w:id="1331"/>
    </w:p>
    <w:p>
      <w:pPr>
        <w:spacing w:line="500" w:lineRule="exact"/>
        <w:rPr>
          <w:rFonts w:ascii="宋体" w:hAnsi="宋体"/>
          <w:color w:val="000000"/>
          <w:szCs w:val="21"/>
        </w:rPr>
      </w:pPr>
      <w:r>
        <w:rPr>
          <w:rFonts w:hint="eastAsia" w:ascii="宋体" w:hAnsi="宋体"/>
          <w:color w:val="000000"/>
          <w:szCs w:val="21"/>
        </w:rPr>
        <w:t>10.1    本工程需要进口的材料和工程设备如下：</w:t>
      </w:r>
    </w:p>
    <w:p>
      <w:pPr>
        <w:spacing w:line="500" w:lineRule="exact"/>
        <w:ind w:left="945" w:hanging="945" w:hangingChars="450"/>
        <w:rPr>
          <w:rFonts w:ascii="宋体" w:hAnsi="宋体"/>
          <w:color w:val="000000"/>
          <w:szCs w:val="21"/>
        </w:rPr>
      </w:pPr>
      <w:permStart w:id="569" w:edGrp="everyone"/>
      <w:permEnd w:id="569"/>
    </w:p>
    <w:p>
      <w:pPr>
        <w:spacing w:line="500" w:lineRule="exact"/>
        <w:rPr>
          <w:rFonts w:ascii="宋体" w:hAnsi="宋体"/>
          <w:color w:val="000000"/>
          <w:szCs w:val="21"/>
        </w:rPr>
      </w:pPr>
    </w:p>
    <w:p>
      <w:pPr>
        <w:spacing w:line="500" w:lineRule="exact"/>
        <w:ind w:left="945" w:hanging="945" w:hangingChars="450"/>
        <w:rPr>
          <w:rFonts w:ascii="宋体" w:hAnsi="宋体"/>
          <w:color w:val="000000"/>
          <w:szCs w:val="21"/>
        </w:rPr>
      </w:pPr>
      <w:r>
        <w:rPr>
          <w:rFonts w:hint="eastAsia" w:ascii="宋体" w:hAnsi="宋体"/>
          <w:color w:val="000000"/>
          <w:szCs w:val="21"/>
        </w:rPr>
        <w:t>10.2    上述进口材料和工程设备采购、进口、报关、清关、商检、境内运输</w:t>
      </w:r>
      <w:r>
        <w:rPr>
          <w:rFonts w:hint="eastAsia" w:ascii="宋体" w:hAnsi="宋体"/>
          <w:color w:val="000000"/>
          <w:szCs w:val="21"/>
          <w:lang w:eastAsia="zh-CN"/>
        </w:rPr>
        <w:t>（</w:t>
      </w:r>
      <w:r>
        <w:rPr>
          <w:rFonts w:hint="eastAsia" w:ascii="宋体" w:hAnsi="宋体"/>
          <w:color w:val="000000"/>
          <w:szCs w:val="21"/>
        </w:rPr>
        <w:t>包括保险</w:t>
      </w:r>
      <w:r>
        <w:rPr>
          <w:rFonts w:hint="eastAsia" w:ascii="宋体" w:hAnsi="宋体"/>
          <w:color w:val="000000"/>
          <w:szCs w:val="21"/>
          <w:lang w:eastAsia="zh-CN"/>
        </w:rPr>
        <w:t>）</w:t>
      </w:r>
      <w:r>
        <w:rPr>
          <w:rFonts w:hint="eastAsia" w:ascii="宋体" w:hAnsi="宋体"/>
          <w:color w:val="000000"/>
          <w:szCs w:val="21"/>
        </w:rPr>
        <w:t>、保管的责任以及费用承担方式划分如下：</w:t>
      </w:r>
    </w:p>
    <w:p>
      <w:pPr>
        <w:spacing w:line="500" w:lineRule="exact"/>
        <w:ind w:left="945" w:hanging="945" w:hangingChars="450"/>
        <w:rPr>
          <w:rFonts w:ascii="宋体" w:hAnsi="宋体"/>
          <w:color w:val="000000"/>
          <w:szCs w:val="21"/>
        </w:rPr>
      </w:pPr>
      <w:permStart w:id="570" w:edGrp="everyone"/>
    </w:p>
    <w:permEnd w:id="570"/>
    <w:p>
      <w:pPr>
        <w:spacing w:line="500" w:lineRule="exact"/>
        <w:ind w:left="945" w:hanging="945" w:hangingChars="450"/>
        <w:rPr>
          <w:rFonts w:ascii="宋体" w:hAnsi="宋体"/>
          <w:color w:val="000000"/>
          <w:szCs w:val="21"/>
        </w:rPr>
      </w:pPr>
    </w:p>
    <w:p>
      <w:pPr>
        <w:spacing w:before="120" w:beforeLines="50" w:after="120" w:afterLines="50" w:line="406" w:lineRule="exact"/>
        <w:ind w:left="1260" w:hanging="1260" w:hangingChars="450"/>
        <w:jc w:val="left"/>
        <w:outlineLvl w:val="3"/>
        <w:rPr>
          <w:rFonts w:ascii="黑体" w:hAnsi="宋体" w:eastAsia="黑体"/>
          <w:color w:val="000000"/>
          <w:sz w:val="28"/>
          <w:szCs w:val="28"/>
        </w:rPr>
      </w:pPr>
      <w:bookmarkStart w:id="1332" w:name="_Toc295812296"/>
      <w:bookmarkStart w:id="1333" w:name="_Toc114222865"/>
      <w:r>
        <w:rPr>
          <w:rFonts w:hint="eastAsia" w:ascii="黑体" w:hAnsi="宋体" w:eastAsia="黑体"/>
          <w:color w:val="000000"/>
          <w:sz w:val="28"/>
          <w:szCs w:val="28"/>
        </w:rPr>
        <w:t>11.进度报告和进度例会</w:t>
      </w:r>
      <w:bookmarkEnd w:id="1332"/>
      <w:bookmarkEnd w:id="1333"/>
    </w:p>
    <w:p>
      <w:pPr>
        <w:rPr>
          <w:rFonts w:ascii="黑体" w:eastAsia="黑体"/>
          <w:color w:val="000000"/>
          <w:sz w:val="24"/>
        </w:rPr>
      </w:pPr>
      <w:r>
        <w:rPr>
          <w:rFonts w:hint="eastAsia" w:ascii="黑体" w:eastAsia="黑体"/>
          <w:color w:val="000000"/>
          <w:sz w:val="24"/>
        </w:rPr>
        <w:t>11.1进度报告</w:t>
      </w:r>
    </w:p>
    <w:p>
      <w:pPr>
        <w:spacing w:line="406" w:lineRule="exact"/>
        <w:ind w:left="945" w:hanging="945" w:hangingChars="450"/>
        <w:jc w:val="left"/>
        <w:rPr>
          <w:rFonts w:ascii="宋体" w:hAnsi="宋体"/>
          <w:color w:val="000000"/>
          <w:szCs w:val="21"/>
        </w:rPr>
      </w:pPr>
      <w:r>
        <w:rPr>
          <w:rFonts w:hint="eastAsia" w:ascii="宋体" w:hAnsi="宋体"/>
          <w:color w:val="000000"/>
          <w:szCs w:val="21"/>
        </w:rPr>
        <w:t>11.1.1   施工过程中，承包人应向监理人指定的代表呈递一份每日的日进度报表、每周的周进度报表和每月的月进度报表。除非监理人同意，日进度报表应在次日上午九点前递交，周进度报表应在次周的周一上午九时前递交，月进度报表应随合同条款第17.3.2项约定的进度付款申请单一并递交。</w:t>
      </w:r>
    </w:p>
    <w:p>
      <w:pPr>
        <w:spacing w:line="406" w:lineRule="exact"/>
        <w:ind w:left="945" w:hanging="945" w:hangingChars="450"/>
        <w:jc w:val="left"/>
        <w:rPr>
          <w:rFonts w:ascii="宋体" w:hAnsi="宋体"/>
          <w:color w:val="000000"/>
          <w:szCs w:val="21"/>
        </w:rPr>
      </w:pPr>
      <w:r>
        <w:rPr>
          <w:rFonts w:hint="eastAsia" w:ascii="宋体" w:hAnsi="宋体"/>
          <w:color w:val="000000"/>
          <w:szCs w:val="21"/>
        </w:rPr>
        <w:t>11.1.2   日和周进度报表的内容应至少包括每日在现场工作的技术管理人员数量、各工种技术工人和非技术工人数量、后勤人员数量、参观现场的人员数量，包括分包人人员数量；还应包括所使用的各种主要机械设备和车辆的型号、数量和台班，工作的区段，以及工程进度情况、天气情况记录、停工、质量和安全事故等特别事项说明；此外，应附上每日进场材料、物品或设备的分类汇总表、用于次日或次周的工程进度计划等。</w:t>
      </w:r>
    </w:p>
    <w:p>
      <w:pPr>
        <w:spacing w:line="406" w:lineRule="exact"/>
        <w:ind w:left="945" w:hanging="945" w:hangingChars="450"/>
        <w:jc w:val="left"/>
        <w:rPr>
          <w:rFonts w:ascii="宋体" w:hAnsi="宋体"/>
          <w:color w:val="000000"/>
          <w:szCs w:val="21"/>
        </w:rPr>
      </w:pPr>
      <w:r>
        <w:rPr>
          <w:rFonts w:hint="eastAsia" w:ascii="宋体" w:hAnsi="宋体"/>
          <w:color w:val="000000"/>
          <w:szCs w:val="21"/>
        </w:rPr>
        <w:t>11.1.3   月进度报表应当反映月完成工程量和累计完成工程量</w:t>
      </w:r>
      <w:r>
        <w:rPr>
          <w:rFonts w:hint="eastAsia" w:ascii="宋体" w:hAnsi="宋体"/>
          <w:color w:val="000000"/>
          <w:szCs w:val="21"/>
          <w:lang w:eastAsia="zh-CN"/>
        </w:rPr>
        <w:t>（</w:t>
      </w:r>
      <w:r>
        <w:rPr>
          <w:rFonts w:hint="eastAsia" w:ascii="宋体" w:hAnsi="宋体"/>
          <w:color w:val="000000"/>
          <w:szCs w:val="21"/>
        </w:rPr>
        <w:t>包括永久工程和临时工程</w:t>
      </w:r>
      <w:r>
        <w:rPr>
          <w:rFonts w:hint="eastAsia" w:ascii="宋体" w:hAnsi="宋体"/>
          <w:color w:val="000000"/>
          <w:szCs w:val="21"/>
          <w:lang w:eastAsia="zh-CN"/>
        </w:rPr>
        <w:t>）</w:t>
      </w:r>
      <w:r>
        <w:rPr>
          <w:rFonts w:hint="eastAsia" w:ascii="宋体" w:hAnsi="宋体"/>
          <w:color w:val="000000"/>
          <w:szCs w:val="21"/>
        </w:rPr>
        <w:t>、材料实际进货、消耗和库存量、现场施工设备的投运数量和运行状况、工程设备的到货情况、劳动力数量</w:t>
      </w:r>
      <w:r>
        <w:rPr>
          <w:rFonts w:hint="eastAsia" w:ascii="宋体" w:hAnsi="宋体"/>
          <w:color w:val="000000"/>
          <w:szCs w:val="21"/>
          <w:lang w:eastAsia="zh-CN"/>
        </w:rPr>
        <w:t>（</w:t>
      </w:r>
      <w:r>
        <w:rPr>
          <w:rFonts w:hint="eastAsia" w:ascii="宋体" w:hAnsi="宋体"/>
          <w:color w:val="000000"/>
          <w:szCs w:val="21"/>
        </w:rPr>
        <w:t>本月及预计未来三个月劳动力的数量</w:t>
      </w:r>
      <w:r>
        <w:rPr>
          <w:rFonts w:hint="eastAsia" w:ascii="宋体" w:hAnsi="宋体"/>
          <w:color w:val="000000"/>
          <w:szCs w:val="21"/>
          <w:lang w:eastAsia="zh-CN"/>
        </w:rPr>
        <w:t>）</w:t>
      </w:r>
      <w:r>
        <w:rPr>
          <w:rFonts w:hint="eastAsia" w:ascii="宋体" w:hAnsi="宋体"/>
          <w:color w:val="000000"/>
          <w:szCs w:val="21"/>
        </w:rPr>
        <w:t>、当前影响施工进度计划的因素和采取的改进措施、进度计划调整及其说明、质量事故和质量缺陷处理</w:t>
      </w:r>
      <w:r>
        <w:rPr>
          <w:rFonts w:hint="eastAsia" w:ascii="宋体" w:hAnsi="宋体"/>
          <w:color w:val="000000"/>
          <w:szCs w:val="21"/>
          <w:lang w:eastAsia="zh-CN"/>
        </w:rPr>
        <w:t>记录</w:t>
      </w:r>
      <w:r>
        <w:rPr>
          <w:rFonts w:hint="eastAsia" w:ascii="宋体" w:hAnsi="宋体"/>
          <w:color w:val="000000"/>
          <w:szCs w:val="21"/>
        </w:rPr>
        <w:t>、质量状况评价、安全施工措施计划实施情况、安全事故以及人员伤亡和财产损失情况</w:t>
      </w:r>
      <w:r>
        <w:rPr>
          <w:rFonts w:hint="eastAsia" w:ascii="宋体" w:hAnsi="宋体"/>
          <w:color w:val="000000"/>
          <w:szCs w:val="21"/>
          <w:lang w:eastAsia="zh-CN"/>
        </w:rPr>
        <w:t>（</w:t>
      </w:r>
      <w:r>
        <w:rPr>
          <w:rFonts w:hint="eastAsia" w:ascii="宋体" w:hAnsi="宋体"/>
          <w:color w:val="000000"/>
          <w:szCs w:val="21"/>
        </w:rPr>
        <w:t>如果有</w:t>
      </w:r>
      <w:r>
        <w:rPr>
          <w:rFonts w:hint="eastAsia" w:ascii="宋体" w:hAnsi="宋体"/>
          <w:color w:val="000000"/>
          <w:szCs w:val="21"/>
          <w:lang w:eastAsia="zh-CN"/>
        </w:rPr>
        <w:t>）</w:t>
      </w:r>
      <w:r>
        <w:rPr>
          <w:rFonts w:hint="eastAsia" w:ascii="宋体" w:hAnsi="宋体"/>
          <w:color w:val="000000"/>
          <w:szCs w:val="21"/>
        </w:rPr>
        <w:t>、环境保护措施实施和文明施工措施实施情况。</w:t>
      </w:r>
    </w:p>
    <w:p>
      <w:pPr>
        <w:spacing w:line="406" w:lineRule="exact"/>
        <w:ind w:left="924" w:leftChars="-10" w:hanging="945" w:hangingChars="450"/>
        <w:jc w:val="left"/>
        <w:rPr>
          <w:rFonts w:ascii="宋体" w:hAnsi="宋体"/>
          <w:color w:val="000000"/>
          <w:szCs w:val="21"/>
        </w:rPr>
      </w:pPr>
      <w:r>
        <w:rPr>
          <w:rFonts w:hint="eastAsia" w:ascii="宋体" w:hAnsi="宋体"/>
          <w:color w:val="000000"/>
          <w:szCs w:val="21"/>
        </w:rPr>
        <w:t>11.1.4   月进度报告还应附有一组充分显示工程形象进度的定点摄影照片。照片应当在经监理人批准的不同位置定期拍摄，每张照片都应标上相应的拍摄日期和简要文字说明，且应用经发包人和监理人批准的标准或格式装裱后呈交。</w:t>
      </w:r>
    </w:p>
    <w:p>
      <w:pPr>
        <w:spacing w:line="406" w:lineRule="exact"/>
        <w:ind w:left="945" w:hanging="945" w:hangingChars="450"/>
        <w:jc w:val="left"/>
        <w:rPr>
          <w:rFonts w:ascii="宋体" w:hAnsi="宋体"/>
          <w:color w:val="000000"/>
          <w:szCs w:val="21"/>
        </w:rPr>
      </w:pPr>
      <w:r>
        <w:rPr>
          <w:rFonts w:hint="eastAsia" w:ascii="宋体" w:hAnsi="宋体"/>
          <w:color w:val="000000"/>
          <w:szCs w:val="21"/>
        </w:rPr>
        <w:t>11.1.5   各个进度报表的格式和内容应经过监理人的审批。进度报表应如实填写，由承包人授权代表签名，并报监理人的指定代表签名确认后再行分发。</w:t>
      </w:r>
    </w:p>
    <w:p>
      <w:pPr>
        <w:spacing w:line="406" w:lineRule="exact"/>
        <w:ind w:left="945" w:hanging="945" w:hangingChars="450"/>
        <w:jc w:val="left"/>
        <w:rPr>
          <w:rFonts w:ascii="宋体" w:hAnsi="宋体"/>
          <w:color w:val="000000"/>
          <w:szCs w:val="21"/>
        </w:rPr>
      </w:pPr>
      <w:r>
        <w:rPr>
          <w:rFonts w:hint="eastAsia" w:ascii="宋体" w:hAnsi="宋体"/>
          <w:color w:val="000000"/>
          <w:szCs w:val="21"/>
        </w:rPr>
        <w:t>11.1.6   如果监理人认为必要，进度报告和进度照片应同时以存储在磁盘或光盘中的数据文件的形式递交给发包人和监理人。数据文件采用的应用软件及其版本应经过监理人的审批。</w:t>
      </w:r>
    </w:p>
    <w:p>
      <w:pPr>
        <w:spacing w:line="406" w:lineRule="exact"/>
        <w:ind w:left="945" w:hanging="945" w:hangingChars="450"/>
        <w:jc w:val="left"/>
        <w:rPr>
          <w:rFonts w:ascii="宋体" w:hAnsi="宋体"/>
          <w:color w:val="000000"/>
          <w:szCs w:val="21"/>
        </w:rPr>
      </w:pPr>
      <w:r>
        <w:rPr>
          <w:rFonts w:hint="eastAsia" w:ascii="宋体" w:hAnsi="宋体"/>
          <w:color w:val="000000"/>
          <w:szCs w:val="21"/>
        </w:rPr>
        <w:t>11.1.7   有关进度报告的其他要求：</w:t>
      </w:r>
    </w:p>
    <w:p>
      <w:pPr>
        <w:spacing w:line="400" w:lineRule="exact"/>
        <w:ind w:left="945" w:hanging="945" w:hangingChars="450"/>
        <w:rPr>
          <w:rFonts w:ascii="宋体" w:hAnsi="宋体"/>
          <w:color w:val="000000"/>
          <w:szCs w:val="21"/>
        </w:rPr>
      </w:pPr>
      <w:permStart w:id="571" w:edGrp="everyone"/>
      <w:r>
        <w:rPr>
          <w:rFonts w:hint="eastAsia" w:ascii="宋体" w:hAnsi="宋体"/>
          <w:color w:val="000000"/>
          <w:szCs w:val="21"/>
        </w:rPr>
        <w:t xml:space="preserve">                                                                         </w:t>
      </w:r>
      <w:permEnd w:id="571"/>
    </w:p>
    <w:p>
      <w:pPr>
        <w:rPr>
          <w:rFonts w:ascii="黑体" w:eastAsia="黑体"/>
          <w:color w:val="000000"/>
          <w:sz w:val="24"/>
        </w:rPr>
      </w:pPr>
      <w:r>
        <w:rPr>
          <w:rFonts w:hint="eastAsia" w:ascii="黑体" w:eastAsia="黑体"/>
          <w:color w:val="000000"/>
          <w:sz w:val="24"/>
        </w:rPr>
        <w:t>11.2进度例会</w:t>
      </w:r>
    </w:p>
    <w:p>
      <w:pPr>
        <w:spacing w:line="406" w:lineRule="exact"/>
        <w:ind w:left="945" w:hanging="945" w:hangingChars="450"/>
        <w:jc w:val="left"/>
        <w:rPr>
          <w:rFonts w:ascii="宋体" w:hAnsi="宋体"/>
          <w:color w:val="000000"/>
          <w:szCs w:val="21"/>
        </w:rPr>
      </w:pPr>
      <w:r>
        <w:rPr>
          <w:rFonts w:hint="eastAsia" w:ascii="宋体" w:hAnsi="宋体"/>
          <w:color w:val="000000"/>
          <w:szCs w:val="21"/>
        </w:rPr>
        <w:t>11.2.1   监理人将主持召开有发包人、承包人、独立承包人和主要分包人等与本工程建设有关各方出席的每周一次的进度例会。必要时，监理人可随时召集所有上述各方或其中部分单位参加的会议。承包人应保证能代表其当场作出决定的高级管理人员出席会议。</w:t>
      </w:r>
    </w:p>
    <w:p>
      <w:pPr>
        <w:spacing w:line="406" w:lineRule="exact"/>
        <w:ind w:left="945" w:hanging="945" w:hangingChars="450"/>
        <w:jc w:val="left"/>
        <w:rPr>
          <w:rFonts w:ascii="宋体" w:hAnsi="宋体"/>
          <w:color w:val="000000"/>
          <w:szCs w:val="21"/>
        </w:rPr>
      </w:pPr>
      <w:r>
        <w:rPr>
          <w:rFonts w:hint="eastAsia" w:ascii="宋体" w:hAnsi="宋体"/>
          <w:color w:val="000000"/>
          <w:szCs w:val="21"/>
        </w:rPr>
        <w:t>11.2.2   进度例会的内容将涉及合同管理、进度协调和工程管理的各个方面，由监理人准备的会议议题将随会议通知在会议召开前至少24小时发给各参会方。</w:t>
      </w:r>
    </w:p>
    <w:p>
      <w:pPr>
        <w:spacing w:line="406" w:lineRule="exact"/>
        <w:ind w:left="945" w:hanging="945" w:hangingChars="450"/>
        <w:jc w:val="left"/>
        <w:rPr>
          <w:rFonts w:ascii="宋体" w:hAnsi="宋体"/>
          <w:color w:val="000000"/>
          <w:szCs w:val="21"/>
        </w:rPr>
      </w:pPr>
      <w:r>
        <w:rPr>
          <w:rFonts w:hint="eastAsia" w:ascii="宋体" w:hAnsi="宋体"/>
          <w:color w:val="000000"/>
          <w:szCs w:val="21"/>
        </w:rPr>
        <w:t>11.2.3   监理人应当做好会议记录，并在会议结束时由与会各方签字确认。监理人应根据会议记录整理出会议纪要，并在相应会议后24小时内分发给出席会议的各方。会议纪要应当如实反映会议记录的内容，包括任何决定、存在的问题、责任方、有关工作的时间目标等等。各方在收到会议纪要后24小时内给予签字确认，如有任何异议，应将有关异议以书面形式通知监理人，由监理人与有异议一方或各方共同核对会议记录，有异议的一方或者各方对与会议记录内容一致的会议纪要必须给予签字确认，否则监理人可以用会议记录作为会议纪要。经参会各方签字认可的会议纪要对各方有合同约束力。</w:t>
      </w:r>
    </w:p>
    <w:p>
      <w:pPr>
        <w:spacing w:line="406" w:lineRule="exact"/>
        <w:ind w:left="945" w:hanging="945" w:hangingChars="450"/>
        <w:jc w:val="left"/>
        <w:rPr>
          <w:rFonts w:ascii="宋体" w:hAnsi="宋体"/>
          <w:color w:val="000000"/>
          <w:szCs w:val="21"/>
        </w:rPr>
      </w:pPr>
      <w:r>
        <w:rPr>
          <w:rFonts w:hint="eastAsia" w:ascii="宋体" w:hAnsi="宋体"/>
          <w:color w:val="000000"/>
          <w:szCs w:val="21"/>
        </w:rPr>
        <w:t>11.2.4   有关进度例会的其他要求：</w:t>
      </w:r>
    </w:p>
    <w:p>
      <w:pPr>
        <w:spacing w:line="400" w:lineRule="exact"/>
        <w:ind w:left="945" w:hanging="945" w:hangingChars="450"/>
        <w:rPr>
          <w:rFonts w:ascii="宋体" w:hAnsi="宋体"/>
          <w:color w:val="000000"/>
          <w:szCs w:val="21"/>
        </w:rPr>
      </w:pPr>
      <w:permStart w:id="572" w:edGrp="everyone"/>
      <w:r>
        <w:rPr>
          <w:rFonts w:hint="eastAsia" w:ascii="宋体" w:hAnsi="宋体"/>
          <w:color w:val="000000"/>
          <w:szCs w:val="21"/>
        </w:rPr>
        <w:t xml:space="preserve">                                                                             </w:t>
      </w:r>
      <w:permEnd w:id="572"/>
    </w:p>
    <w:p>
      <w:pPr>
        <w:spacing w:before="120" w:beforeLines="50" w:after="120" w:afterLines="50" w:line="406" w:lineRule="exact"/>
        <w:ind w:left="1260" w:hanging="1260" w:hangingChars="450"/>
        <w:jc w:val="left"/>
        <w:outlineLvl w:val="3"/>
        <w:rPr>
          <w:rFonts w:ascii="黑体" w:hAnsi="宋体" w:eastAsia="黑体"/>
          <w:color w:val="000000"/>
          <w:sz w:val="28"/>
          <w:szCs w:val="28"/>
        </w:rPr>
      </w:pPr>
      <w:bookmarkStart w:id="1334" w:name="_Toc295812297"/>
      <w:bookmarkStart w:id="1335" w:name="_Toc114222866"/>
      <w:r>
        <w:rPr>
          <w:rFonts w:hint="eastAsia" w:ascii="黑体" w:hAnsi="宋体" w:eastAsia="黑体"/>
          <w:color w:val="000000"/>
          <w:sz w:val="28"/>
          <w:szCs w:val="28"/>
        </w:rPr>
        <w:t>12.试验和检验</w:t>
      </w:r>
      <w:bookmarkEnd w:id="1334"/>
      <w:bookmarkEnd w:id="1335"/>
    </w:p>
    <w:p>
      <w:pPr>
        <w:spacing w:line="406" w:lineRule="exact"/>
        <w:ind w:left="945" w:hanging="945" w:hangingChars="450"/>
        <w:jc w:val="left"/>
        <w:rPr>
          <w:rFonts w:ascii="宋体" w:hAnsi="宋体"/>
          <w:color w:val="000000"/>
          <w:szCs w:val="21"/>
        </w:rPr>
      </w:pPr>
      <w:r>
        <w:rPr>
          <w:rFonts w:hint="eastAsia" w:ascii="宋体" w:hAnsi="宋体"/>
          <w:color w:val="000000"/>
          <w:szCs w:val="21"/>
        </w:rPr>
        <w:t>12.1     承包人应当按照工程施工验收规范和标准的规定和通用合同条款第14条的约定，对用于永久工程的主要材料、半成品、成品、建筑构配件、工程设备等进行试验和检验。</w:t>
      </w:r>
    </w:p>
    <w:p>
      <w:pPr>
        <w:spacing w:line="400" w:lineRule="exact"/>
        <w:rPr>
          <w:rFonts w:ascii="宋体" w:hAnsi="宋体"/>
          <w:color w:val="000000"/>
          <w:szCs w:val="21"/>
        </w:rPr>
      </w:pPr>
      <w:r>
        <w:rPr>
          <w:rFonts w:hint="eastAsia" w:ascii="宋体" w:hAnsi="宋体"/>
          <w:color w:val="000000"/>
          <w:szCs w:val="21"/>
        </w:rPr>
        <w:t>12.2     本工程需要承包人进行试验和检验的材料、工程设备和工艺如下：</w:t>
      </w:r>
    </w:p>
    <w:p>
      <w:pPr>
        <w:spacing w:line="400" w:lineRule="exact"/>
        <w:rPr>
          <w:rFonts w:ascii="宋体" w:hAnsi="宋体"/>
          <w:color w:val="000000"/>
          <w:szCs w:val="21"/>
        </w:rPr>
      </w:pPr>
      <w:permStart w:id="573" w:edGrp="everyone"/>
      <w:r>
        <w:rPr>
          <w:rFonts w:hint="eastAsia" w:ascii="宋体" w:hAnsi="宋体"/>
          <w:color w:val="000000"/>
          <w:szCs w:val="21"/>
        </w:rPr>
        <w:t xml:space="preserve">                                                                         </w:t>
      </w:r>
    </w:p>
    <w:permEnd w:id="573"/>
    <w:p>
      <w:pPr>
        <w:spacing w:line="400" w:lineRule="exact"/>
        <w:ind w:left="945" w:hanging="945" w:hangingChars="450"/>
        <w:jc w:val="left"/>
        <w:rPr>
          <w:rFonts w:ascii="宋体" w:hAnsi="宋体"/>
          <w:color w:val="000000"/>
          <w:szCs w:val="21"/>
        </w:rPr>
      </w:pPr>
      <w:r>
        <w:rPr>
          <w:rFonts w:hint="eastAsia" w:ascii="宋体" w:hAnsi="宋体"/>
          <w:color w:val="000000"/>
          <w:szCs w:val="21"/>
        </w:rPr>
        <w:t>监理人可以根据工程需要，指示承包人进行其他现场材料和工艺的试验和检验。</w:t>
      </w:r>
    </w:p>
    <w:p>
      <w:pPr>
        <w:spacing w:line="406" w:lineRule="exact"/>
        <w:ind w:left="945" w:hanging="945" w:hangingChars="450"/>
        <w:jc w:val="left"/>
        <w:rPr>
          <w:rFonts w:ascii="宋体" w:hAnsi="宋体"/>
          <w:color w:val="000000"/>
          <w:spacing w:val="4"/>
          <w:szCs w:val="21"/>
        </w:rPr>
      </w:pPr>
      <w:r>
        <w:rPr>
          <w:rFonts w:hint="eastAsia" w:ascii="宋体" w:hAnsi="宋体"/>
          <w:color w:val="000000"/>
          <w:szCs w:val="21"/>
        </w:rPr>
        <w:t xml:space="preserve">12.3     </w:t>
      </w:r>
      <w:r>
        <w:rPr>
          <w:rFonts w:hint="eastAsia" w:ascii="宋体" w:hAnsi="宋体"/>
          <w:color w:val="000000"/>
          <w:spacing w:val="4"/>
          <w:szCs w:val="21"/>
        </w:rPr>
        <w:t>本工程需要由监理人和承包人共同进行试验和检验的材料、工程设备和工艺如下：</w:t>
      </w:r>
    </w:p>
    <w:p>
      <w:pPr>
        <w:spacing w:line="400" w:lineRule="exact"/>
        <w:ind w:left="945" w:hanging="945" w:hangingChars="450"/>
        <w:rPr>
          <w:rFonts w:ascii="宋体" w:hAnsi="宋体"/>
          <w:color w:val="000000"/>
          <w:szCs w:val="21"/>
        </w:rPr>
      </w:pPr>
      <w:permStart w:id="574" w:edGrp="everyone"/>
      <w:r>
        <w:rPr>
          <w:rFonts w:hint="eastAsia" w:ascii="宋体" w:hAnsi="宋体"/>
          <w:color w:val="000000"/>
          <w:szCs w:val="21"/>
        </w:rPr>
        <w:t xml:space="preserve">                                                                                     </w:t>
      </w:r>
      <w:permEnd w:id="574"/>
    </w:p>
    <w:p>
      <w:pPr>
        <w:spacing w:line="406" w:lineRule="exact"/>
        <w:ind w:left="945" w:hanging="945" w:hangingChars="450"/>
        <w:jc w:val="left"/>
        <w:rPr>
          <w:rFonts w:ascii="宋体" w:hAnsi="宋体"/>
          <w:color w:val="000000"/>
          <w:szCs w:val="21"/>
        </w:rPr>
      </w:pPr>
      <w:r>
        <w:rPr>
          <w:rFonts w:hint="eastAsia" w:ascii="宋体" w:hAnsi="宋体"/>
          <w:color w:val="000000"/>
          <w:szCs w:val="21"/>
        </w:rPr>
        <w:t>12.4     本条上述约定需要进行检验的材料、工程设备和工艺在经过检验并获得监理人批准以前，不得用于任何永久工程。</w:t>
      </w:r>
    </w:p>
    <w:p>
      <w:pPr>
        <w:spacing w:line="406" w:lineRule="exact"/>
        <w:ind w:left="945" w:hanging="945" w:hangingChars="450"/>
        <w:jc w:val="left"/>
        <w:rPr>
          <w:rFonts w:ascii="宋体" w:hAnsi="宋体"/>
          <w:color w:val="000000"/>
          <w:szCs w:val="21"/>
        </w:rPr>
      </w:pPr>
      <w:r>
        <w:rPr>
          <w:rFonts w:hint="eastAsia" w:ascii="宋体" w:hAnsi="宋体"/>
          <w:color w:val="000000"/>
          <w:szCs w:val="21"/>
        </w:rPr>
        <w:t>12.5     承包人应为任何材料、工程设备和工艺的检查、检测和检验提供劳务、电力、燃料、备用品、设备和仪器以及必要的协助。监理人及其任何授权人员应能够在任何时候进入现场及正在为工程制造、装配、准备材料和</w:t>
      </w:r>
      <w:r>
        <w:rPr>
          <w:rFonts w:hint="eastAsia" w:ascii="宋体" w:hAnsi="宋体"/>
          <w:color w:val="000000"/>
          <w:szCs w:val="21"/>
          <w:lang w:eastAsia="zh-CN"/>
        </w:rPr>
        <w:t>（</w:t>
      </w:r>
      <w:r>
        <w:rPr>
          <w:rFonts w:hint="eastAsia" w:ascii="宋体" w:hAnsi="宋体"/>
          <w:color w:val="000000"/>
          <w:szCs w:val="21"/>
        </w:rPr>
        <w:t>或</w:t>
      </w:r>
      <w:r>
        <w:rPr>
          <w:rFonts w:hint="eastAsia" w:ascii="宋体" w:hAnsi="宋体"/>
          <w:color w:val="000000"/>
          <w:szCs w:val="21"/>
          <w:lang w:eastAsia="zh-CN"/>
        </w:rPr>
        <w:t>）</w:t>
      </w:r>
      <w:r>
        <w:rPr>
          <w:rFonts w:hint="eastAsia" w:ascii="宋体" w:hAnsi="宋体"/>
          <w:color w:val="000000"/>
          <w:szCs w:val="21"/>
        </w:rPr>
        <w:t>工程设备的车间和场所进行任何必要的检查。无论这些车间和场所是否属于承包人，承包人都应提供一切便利，并协助其取得相应的权力和</w:t>
      </w:r>
      <w:r>
        <w:rPr>
          <w:rFonts w:hint="eastAsia" w:ascii="宋体" w:hAnsi="宋体"/>
          <w:color w:val="000000"/>
          <w:szCs w:val="21"/>
          <w:lang w:eastAsia="zh-CN"/>
        </w:rPr>
        <w:t>（</w:t>
      </w:r>
      <w:r>
        <w:rPr>
          <w:rFonts w:hint="eastAsia" w:ascii="宋体" w:hAnsi="宋体"/>
          <w:color w:val="000000"/>
          <w:szCs w:val="21"/>
        </w:rPr>
        <w:t>或</w:t>
      </w:r>
      <w:r>
        <w:rPr>
          <w:rFonts w:hint="eastAsia" w:ascii="宋体" w:hAnsi="宋体"/>
          <w:color w:val="000000"/>
          <w:szCs w:val="21"/>
          <w:lang w:eastAsia="zh-CN"/>
        </w:rPr>
        <w:t>）</w:t>
      </w:r>
      <w:r>
        <w:rPr>
          <w:rFonts w:hint="eastAsia" w:ascii="宋体" w:hAnsi="宋体"/>
          <w:color w:val="000000"/>
          <w:szCs w:val="21"/>
        </w:rPr>
        <w:t>许可。</w:t>
      </w:r>
    </w:p>
    <w:p>
      <w:pPr>
        <w:spacing w:line="406" w:lineRule="exact"/>
        <w:ind w:left="945" w:hanging="945" w:hangingChars="450"/>
        <w:jc w:val="left"/>
        <w:rPr>
          <w:rFonts w:ascii="宋体" w:hAnsi="宋体"/>
          <w:color w:val="000000"/>
          <w:szCs w:val="21"/>
        </w:rPr>
      </w:pPr>
      <w:r>
        <w:rPr>
          <w:rFonts w:hint="eastAsia" w:ascii="宋体" w:hAnsi="宋体"/>
          <w:color w:val="000000"/>
          <w:szCs w:val="21"/>
        </w:rPr>
        <w:t>12.6     如果检查、检测、检验或试验的结果表明，材料、工程设备和工艺有缺陷或不符合合同约定，监理人和发包人可拒收此类材料、工程设备和工艺，并应立即通知承包人同时说明理由。承包人应立即修复上述缺陷并保证其符合合同约定。若监理人或发包人要求对此类工程设备、材料、设计或工艺重新进行检验，则此类检验应按相同条款和条件重新进行。如果此类拒收和重新检验致使发包人产生了额外费用，则此类费用应由承包人支付给发包人，或从发包人应支付给承包人的款项中扣除。</w:t>
      </w:r>
    </w:p>
    <w:p>
      <w:pPr>
        <w:spacing w:line="406" w:lineRule="exact"/>
        <w:ind w:left="945" w:hanging="945" w:hangingChars="450"/>
        <w:jc w:val="left"/>
        <w:rPr>
          <w:rFonts w:ascii="宋体" w:hAnsi="宋体"/>
          <w:color w:val="000000"/>
          <w:szCs w:val="21"/>
        </w:rPr>
      </w:pPr>
      <w:r>
        <w:rPr>
          <w:rFonts w:hint="eastAsia" w:ascii="宋体" w:hAnsi="宋体"/>
          <w:color w:val="000000"/>
          <w:szCs w:val="21"/>
        </w:rPr>
        <w:t>12.7     承包人应在监理人的监督下，对涉及结构安全的试块、试件以及有关材料进行现场取样，并送</w:t>
      </w:r>
      <w:permStart w:id="575" w:edGrp="everyone"/>
      <w:permEnd w:id="575"/>
      <w:r>
        <w:rPr>
          <w:rFonts w:hint="eastAsia" w:ascii="宋体" w:hAnsi="宋体"/>
          <w:color w:val="000000"/>
          <w:szCs w:val="21"/>
        </w:rPr>
        <w:t>质量检测单位进行检测。</w:t>
      </w:r>
    </w:p>
    <w:p>
      <w:pPr>
        <w:spacing w:line="406" w:lineRule="exact"/>
        <w:ind w:left="945" w:hanging="945" w:hangingChars="450"/>
        <w:jc w:val="left"/>
        <w:rPr>
          <w:rFonts w:ascii="宋体" w:hAnsi="宋体"/>
          <w:color w:val="000000"/>
          <w:szCs w:val="21"/>
        </w:rPr>
      </w:pPr>
      <w:r>
        <w:rPr>
          <w:rFonts w:hint="eastAsia" w:ascii="宋体" w:hAnsi="宋体"/>
          <w:color w:val="000000"/>
          <w:szCs w:val="21"/>
        </w:rPr>
        <w:t>12.8     除合同另有约定外，承包人应负担本合同项下的所有材料、工程设备和工艺检验的费用。</w:t>
      </w:r>
    </w:p>
    <w:p>
      <w:pPr>
        <w:spacing w:before="120" w:beforeLines="50" w:after="120" w:afterLines="50" w:line="406" w:lineRule="exact"/>
        <w:ind w:left="1260" w:hanging="1260" w:hangingChars="450"/>
        <w:jc w:val="left"/>
        <w:outlineLvl w:val="3"/>
        <w:rPr>
          <w:rFonts w:ascii="黑体" w:hAnsi="宋体" w:eastAsia="黑体"/>
          <w:color w:val="000000"/>
          <w:sz w:val="28"/>
          <w:szCs w:val="28"/>
        </w:rPr>
      </w:pPr>
      <w:bookmarkStart w:id="1336" w:name="_Toc295812298"/>
      <w:bookmarkStart w:id="1337" w:name="_Toc114222867"/>
      <w:r>
        <w:rPr>
          <w:rFonts w:hint="eastAsia" w:ascii="黑体" w:hAnsi="宋体" w:eastAsia="黑体"/>
          <w:color w:val="000000"/>
          <w:sz w:val="28"/>
          <w:szCs w:val="28"/>
        </w:rPr>
        <w:t>13.计日工</w:t>
      </w:r>
      <w:bookmarkEnd w:id="1336"/>
      <w:bookmarkEnd w:id="1337"/>
    </w:p>
    <w:p>
      <w:pPr>
        <w:spacing w:line="406" w:lineRule="exact"/>
        <w:ind w:left="945" w:hanging="945" w:hangingChars="450"/>
        <w:jc w:val="left"/>
        <w:rPr>
          <w:rFonts w:ascii="宋体" w:hAnsi="宋体"/>
          <w:color w:val="000000"/>
          <w:szCs w:val="21"/>
        </w:rPr>
      </w:pPr>
      <w:r>
        <w:rPr>
          <w:rFonts w:hint="eastAsia" w:ascii="宋体" w:hAnsi="宋体"/>
          <w:color w:val="000000"/>
          <w:szCs w:val="21"/>
        </w:rPr>
        <w:t>13.1     通用合同条款第15.7款约定的计日工，一般适用于合同约定之外的或者因变更而产生的、工程量清单中没有设立相应子目或者即便有相应子目但因工作条件发生变化而无法适用的额外工作，尤其是那些时间不允许事先商定价格的额外工作。计日工在发包人认为必要时，由监理人按通用合同条款第15.7.1项约定通知承包人实施。</w:t>
      </w:r>
    </w:p>
    <w:p>
      <w:pPr>
        <w:spacing w:line="406" w:lineRule="exact"/>
        <w:ind w:left="945" w:hanging="945" w:hangingChars="450"/>
        <w:jc w:val="left"/>
        <w:rPr>
          <w:rFonts w:ascii="宋体" w:hAnsi="宋体"/>
          <w:color w:val="000000"/>
          <w:szCs w:val="21"/>
        </w:rPr>
      </w:pPr>
      <w:r>
        <w:rPr>
          <w:rFonts w:hint="eastAsia" w:ascii="宋体" w:hAnsi="宋体"/>
          <w:color w:val="000000"/>
          <w:szCs w:val="21"/>
        </w:rPr>
        <w:t>13.2     在工程实际开工后14天内，承包人应当按通用合同条款第15.7.2项约定的计日工报表内容，准备一份计日工日报表的格式，报送监理人审批，监理人应当在收到之日后7天内给予批复或提出修改意见。</w:t>
      </w:r>
    </w:p>
    <w:p>
      <w:pPr>
        <w:spacing w:line="406" w:lineRule="exact"/>
        <w:ind w:left="945" w:hanging="945" w:hangingChars="450"/>
        <w:jc w:val="left"/>
        <w:rPr>
          <w:rFonts w:ascii="宋体" w:hAnsi="宋体"/>
          <w:color w:val="000000"/>
          <w:szCs w:val="21"/>
        </w:rPr>
      </w:pPr>
      <w:r>
        <w:rPr>
          <w:rFonts w:hint="eastAsia" w:ascii="宋体" w:hAnsi="宋体"/>
          <w:color w:val="000000"/>
          <w:szCs w:val="21"/>
        </w:rPr>
        <w:t>13.3     按计日工实施相关变更的过程中，承包人应当按经监理人批准的计日工日报表格式，每天提交计日工报表和有关凭证，报送监理人审批，监理人应当在收到相关报表和凭证后24小时内给予批复。</w:t>
      </w:r>
    </w:p>
    <w:p>
      <w:pPr>
        <w:spacing w:line="402" w:lineRule="exact"/>
        <w:ind w:left="945" w:hanging="945" w:hangingChars="450"/>
        <w:jc w:val="left"/>
        <w:rPr>
          <w:rFonts w:ascii="宋体" w:hAnsi="宋体"/>
          <w:color w:val="000000"/>
          <w:szCs w:val="21"/>
        </w:rPr>
      </w:pPr>
      <w:r>
        <w:rPr>
          <w:rFonts w:hint="eastAsia" w:ascii="宋体" w:hAnsi="宋体"/>
          <w:color w:val="000000"/>
          <w:szCs w:val="21"/>
        </w:rPr>
        <w:t>13.4     计日工劳务按工日</w:t>
      </w:r>
      <w:r>
        <w:rPr>
          <w:rFonts w:hint="eastAsia" w:ascii="宋体" w:hAnsi="宋体"/>
          <w:color w:val="000000"/>
          <w:szCs w:val="21"/>
          <w:lang w:eastAsia="zh-CN"/>
        </w:rPr>
        <w:t>（</w:t>
      </w:r>
      <w:r>
        <w:rPr>
          <w:rFonts w:hint="eastAsia" w:ascii="宋体" w:hAnsi="宋体"/>
          <w:color w:val="000000"/>
          <w:szCs w:val="21"/>
        </w:rPr>
        <w:t>8小时</w:t>
      </w:r>
      <w:r>
        <w:rPr>
          <w:rFonts w:hint="eastAsia" w:ascii="宋体" w:hAnsi="宋体"/>
          <w:color w:val="000000"/>
          <w:szCs w:val="21"/>
          <w:lang w:eastAsia="zh-CN"/>
        </w:rPr>
        <w:t>）</w:t>
      </w:r>
      <w:r>
        <w:rPr>
          <w:rFonts w:hint="eastAsia" w:ascii="宋体" w:hAnsi="宋体"/>
          <w:color w:val="000000"/>
          <w:szCs w:val="21"/>
        </w:rPr>
        <w:t>计量，单次4小时以内按0.5个工日，单次4小时至8小时按1个工日，加班时间按照国家劳动法律法规的规定办理。实施计日工的劳务人员仅应包括直接从事计日工工作的工人和班组长</w:t>
      </w:r>
      <w:r>
        <w:rPr>
          <w:rFonts w:hint="eastAsia" w:ascii="宋体" w:hAnsi="宋体"/>
          <w:color w:val="000000"/>
          <w:szCs w:val="21"/>
          <w:lang w:eastAsia="zh-CN"/>
        </w:rPr>
        <w:t>（</w:t>
      </w:r>
      <w:r>
        <w:rPr>
          <w:rFonts w:hint="eastAsia" w:ascii="宋体" w:hAnsi="宋体"/>
          <w:color w:val="000000"/>
          <w:szCs w:val="21"/>
        </w:rPr>
        <w:t>如果有</w:t>
      </w:r>
      <w:r>
        <w:rPr>
          <w:rFonts w:hint="eastAsia" w:ascii="宋体" w:hAnsi="宋体"/>
          <w:color w:val="000000"/>
          <w:szCs w:val="21"/>
          <w:lang w:eastAsia="zh-CN"/>
        </w:rPr>
        <w:t>）</w:t>
      </w:r>
      <w:r>
        <w:rPr>
          <w:rFonts w:hint="eastAsia" w:ascii="宋体" w:hAnsi="宋体"/>
          <w:color w:val="000000"/>
          <w:szCs w:val="21"/>
        </w:rPr>
        <w:t>，不应包括工长及其以上管理人员。</w:t>
      </w:r>
    </w:p>
    <w:p>
      <w:pPr>
        <w:spacing w:line="402" w:lineRule="exact"/>
        <w:ind w:left="945" w:hanging="945" w:hangingChars="450"/>
        <w:jc w:val="left"/>
        <w:rPr>
          <w:rFonts w:ascii="宋体" w:hAnsi="宋体"/>
          <w:color w:val="000000"/>
          <w:szCs w:val="21"/>
        </w:rPr>
      </w:pPr>
      <w:r>
        <w:rPr>
          <w:rFonts w:hint="eastAsia" w:ascii="宋体" w:hAnsi="宋体"/>
          <w:color w:val="000000"/>
          <w:szCs w:val="21"/>
        </w:rPr>
        <w:t>13.5     已标价工程量清单计日工材料表中未列出的材料，实际发生于计日工时，其价格按照经监理人事先审批的材料运到现场的价格和有关材料采购的发票票面价格</w:t>
      </w:r>
      <w:r>
        <w:rPr>
          <w:rFonts w:hint="eastAsia" w:ascii="宋体" w:hAnsi="宋体"/>
          <w:color w:val="000000"/>
          <w:szCs w:val="21"/>
          <w:lang w:eastAsia="zh-CN"/>
        </w:rPr>
        <w:t>（</w:t>
      </w:r>
      <w:r>
        <w:rPr>
          <w:rFonts w:hint="eastAsia" w:ascii="宋体" w:hAnsi="宋体"/>
          <w:color w:val="000000"/>
          <w:szCs w:val="21"/>
        </w:rPr>
        <w:t>运到现场价</w:t>
      </w:r>
      <w:r>
        <w:rPr>
          <w:rFonts w:hint="eastAsia" w:ascii="宋体" w:hAnsi="宋体"/>
          <w:color w:val="000000"/>
          <w:szCs w:val="21"/>
          <w:lang w:eastAsia="zh-CN"/>
        </w:rPr>
        <w:t>）</w:t>
      </w:r>
      <w:r>
        <w:rPr>
          <w:rFonts w:hint="eastAsia" w:ascii="宋体" w:hAnsi="宋体"/>
          <w:color w:val="000000"/>
          <w:szCs w:val="21"/>
        </w:rPr>
        <w:t>中的较低者结算，另计一个在计日工材料表中填写的包括承包人企业管理费、利润在内的一个固定百分比，规费和税金另计。</w:t>
      </w:r>
    </w:p>
    <w:p>
      <w:pPr>
        <w:spacing w:line="402" w:lineRule="exact"/>
        <w:ind w:left="945" w:hanging="945" w:hangingChars="450"/>
        <w:jc w:val="left"/>
        <w:rPr>
          <w:rFonts w:ascii="宋体" w:hAnsi="宋体"/>
          <w:color w:val="000000"/>
          <w:szCs w:val="21"/>
        </w:rPr>
      </w:pPr>
      <w:r>
        <w:rPr>
          <w:rFonts w:hint="eastAsia" w:ascii="宋体" w:hAnsi="宋体"/>
          <w:color w:val="000000"/>
          <w:szCs w:val="21"/>
        </w:rPr>
        <w:t>13.6     施工机械按台班计量</w:t>
      </w:r>
      <w:r>
        <w:rPr>
          <w:rFonts w:hint="eastAsia" w:ascii="宋体" w:hAnsi="宋体"/>
          <w:color w:val="000000"/>
          <w:szCs w:val="21"/>
          <w:lang w:eastAsia="zh-CN"/>
        </w:rPr>
        <w:t>（</w:t>
      </w:r>
      <w:r>
        <w:rPr>
          <w:rFonts w:hint="eastAsia" w:ascii="宋体" w:hAnsi="宋体"/>
          <w:color w:val="000000"/>
          <w:szCs w:val="21"/>
        </w:rPr>
        <w:t>8小时</w:t>
      </w:r>
      <w:r>
        <w:rPr>
          <w:rFonts w:hint="eastAsia" w:ascii="宋体" w:hAnsi="宋体"/>
          <w:color w:val="000000"/>
          <w:szCs w:val="21"/>
          <w:lang w:eastAsia="zh-CN"/>
        </w:rPr>
        <w:t>）</w:t>
      </w:r>
      <w:r>
        <w:rPr>
          <w:rFonts w:hint="eastAsia" w:ascii="宋体" w:hAnsi="宋体"/>
          <w:color w:val="000000"/>
          <w:szCs w:val="21"/>
        </w:rPr>
        <w:t>，单次4小时以内按0.5个台班，单次4小时至8小时按1个台班，操作人员加班时间按照国家劳动法律法规的规定办理。计日工如果需要使用场外施工机械，台班费用和进出场费用按市场平均价格，由承包人事后报监理人审批。</w:t>
      </w:r>
    </w:p>
    <w:p>
      <w:pPr>
        <w:spacing w:line="402" w:lineRule="exact"/>
        <w:ind w:left="945" w:hanging="945" w:hangingChars="450"/>
        <w:jc w:val="left"/>
        <w:rPr>
          <w:rFonts w:ascii="宋体" w:hAnsi="宋体"/>
          <w:color w:val="000000"/>
          <w:szCs w:val="21"/>
        </w:rPr>
      </w:pPr>
      <w:r>
        <w:rPr>
          <w:rFonts w:hint="eastAsia" w:ascii="宋体" w:hAnsi="宋体"/>
          <w:color w:val="000000"/>
          <w:szCs w:val="21"/>
        </w:rPr>
        <w:t>13.7     关于计日工的其他约定：</w:t>
      </w:r>
    </w:p>
    <w:p>
      <w:pPr>
        <w:spacing w:line="402" w:lineRule="exact"/>
        <w:ind w:left="945" w:hanging="945" w:hangingChars="450"/>
        <w:jc w:val="left"/>
        <w:rPr>
          <w:rFonts w:ascii="宋体" w:hAnsi="宋体"/>
          <w:color w:val="000000"/>
          <w:szCs w:val="21"/>
        </w:rPr>
      </w:pPr>
    </w:p>
    <w:p>
      <w:pPr>
        <w:spacing w:before="192" w:beforeLines="80" w:after="192" w:afterLines="80" w:line="406" w:lineRule="exact"/>
        <w:ind w:left="1260" w:hanging="1260" w:hangingChars="450"/>
        <w:jc w:val="left"/>
        <w:outlineLvl w:val="3"/>
        <w:rPr>
          <w:rFonts w:ascii="黑体" w:hAnsi="宋体" w:eastAsia="黑体"/>
          <w:color w:val="000000"/>
          <w:sz w:val="28"/>
          <w:szCs w:val="28"/>
        </w:rPr>
      </w:pPr>
      <w:bookmarkStart w:id="1338" w:name="_Toc114222868"/>
      <w:bookmarkStart w:id="1339" w:name="_Toc295812299"/>
      <w:r>
        <w:rPr>
          <w:rFonts w:hint="eastAsia" w:ascii="黑体" w:hAnsi="宋体" w:eastAsia="黑体"/>
          <w:color w:val="000000"/>
          <w:sz w:val="28"/>
          <w:szCs w:val="28"/>
        </w:rPr>
        <w:t>14.计量与支付</w:t>
      </w:r>
      <w:bookmarkEnd w:id="1338"/>
      <w:bookmarkEnd w:id="1339"/>
    </w:p>
    <w:p>
      <w:pPr>
        <w:rPr>
          <w:rFonts w:ascii="黑体" w:eastAsia="黑体"/>
          <w:color w:val="000000"/>
          <w:sz w:val="24"/>
        </w:rPr>
      </w:pPr>
      <w:r>
        <w:rPr>
          <w:rFonts w:hint="eastAsia" w:ascii="黑体" w:eastAsia="黑体"/>
          <w:color w:val="000000"/>
          <w:sz w:val="24"/>
        </w:rPr>
        <w:t>14.1付款申请单</w:t>
      </w:r>
    </w:p>
    <w:p>
      <w:pPr>
        <w:spacing w:line="402" w:lineRule="exact"/>
        <w:ind w:left="945" w:hanging="945" w:hangingChars="450"/>
        <w:jc w:val="left"/>
        <w:rPr>
          <w:rFonts w:ascii="宋体" w:hAnsi="宋体"/>
          <w:color w:val="000000"/>
          <w:szCs w:val="21"/>
        </w:rPr>
      </w:pPr>
      <w:r>
        <w:rPr>
          <w:rFonts w:hint="eastAsia" w:ascii="宋体" w:hAnsi="宋体"/>
          <w:color w:val="000000"/>
          <w:szCs w:val="21"/>
        </w:rPr>
        <w:t>14.1.1   在工程实际开工后14天内，承包人应当按照合同条款第17条的约定，准备一份已完工程量报表、进度付款申请单和计量文件的格式等报送监理人，监理人应当在收到承包人报送的格式后7天内给予批复或者提出修改意见。</w:t>
      </w:r>
    </w:p>
    <w:p>
      <w:pPr>
        <w:spacing w:line="402" w:lineRule="exact"/>
        <w:ind w:left="945" w:hanging="945" w:hangingChars="450"/>
        <w:jc w:val="left"/>
        <w:rPr>
          <w:rFonts w:ascii="宋体" w:hAnsi="宋体"/>
          <w:color w:val="000000"/>
          <w:szCs w:val="21"/>
        </w:rPr>
      </w:pPr>
      <w:r>
        <w:rPr>
          <w:rFonts w:hint="eastAsia" w:ascii="宋体" w:hAnsi="宋体"/>
          <w:color w:val="000000"/>
          <w:szCs w:val="21"/>
        </w:rPr>
        <w:t>14.1.2   根据合同条款第17.1款和第17.3款，  承包人应当在合同约定的每个付款周期末，对当期完成的各项工程量进行计量和计价，并按照第17.3.2项的约定，对当期应增加和扣减的各类款项进行梳理和汇总，按经监理人批准的格式和专用合同条款约定的份数和内容准备并向监理人递交进度付款申请单，并将进度付款申请单连同已完工程量报表、有关计量资料以及能够证明其进度付款申请单中所索要款项符合合同约定的各个支持性文件同时报送监理人审批。</w:t>
      </w:r>
    </w:p>
    <w:p>
      <w:pPr>
        <w:spacing w:line="402" w:lineRule="exact"/>
        <w:ind w:left="945" w:hanging="945" w:hangingChars="450"/>
        <w:jc w:val="left"/>
        <w:rPr>
          <w:rFonts w:ascii="宋体" w:hAnsi="宋体"/>
          <w:color w:val="000000"/>
          <w:szCs w:val="21"/>
        </w:rPr>
      </w:pPr>
      <w:r>
        <w:rPr>
          <w:rFonts w:hint="eastAsia" w:ascii="宋体" w:hAnsi="宋体"/>
          <w:color w:val="000000"/>
          <w:szCs w:val="21"/>
        </w:rPr>
        <w:t>14.1.3   竣工付款申诅单的内容按专用合同条款第17.5.1(1</w:t>
      </w:r>
      <w:r>
        <w:rPr>
          <w:rFonts w:hint="eastAsia" w:ascii="宋体" w:hAnsi="宋体"/>
          <w:color w:val="000000"/>
          <w:szCs w:val="21"/>
          <w:lang w:eastAsia="zh-CN"/>
        </w:rPr>
        <w:t>）</w:t>
      </w:r>
      <w:r>
        <w:rPr>
          <w:rFonts w:hint="eastAsia" w:ascii="宋体" w:hAnsi="宋体"/>
          <w:color w:val="000000"/>
          <w:szCs w:val="21"/>
        </w:rPr>
        <w:t>目的约定。采用单价合同形式的，竣工付款申请单应当附上按通用合同条款第17.1.4(5</w:t>
      </w:r>
      <w:r>
        <w:rPr>
          <w:rFonts w:hint="eastAsia" w:ascii="宋体" w:hAnsi="宋体"/>
          <w:color w:val="000000"/>
          <w:szCs w:val="21"/>
          <w:lang w:eastAsia="zh-CN"/>
        </w:rPr>
        <w:t>）</w:t>
      </w:r>
      <w:r>
        <w:rPr>
          <w:rFonts w:hint="eastAsia" w:ascii="宋体" w:hAnsi="宋体"/>
          <w:color w:val="000000"/>
          <w:szCs w:val="21"/>
        </w:rPr>
        <w:t>目确定的结算工程量和最近</w:t>
      </w:r>
      <w:r>
        <w:rPr>
          <w:rFonts w:hint="eastAsia" w:ascii="宋体" w:hAnsi="宋体"/>
          <w:color w:val="000000"/>
          <w:szCs w:val="21"/>
          <w:lang w:eastAsia="zh-CN"/>
        </w:rPr>
        <w:t>一次</w:t>
      </w:r>
      <w:r>
        <w:rPr>
          <w:rFonts w:hint="eastAsia" w:ascii="宋体" w:hAnsi="宋体"/>
          <w:color w:val="000000"/>
          <w:szCs w:val="21"/>
        </w:rPr>
        <w:t>进度付款和竣工付款之间完成的各子目的工程量计量文件。采用总价合同形式的，签约合同价所基于的工程量就是相应的竣工结算工程量，但是，变更应按合同约定进行计量和计价。</w:t>
      </w:r>
    </w:p>
    <w:p>
      <w:pPr>
        <w:spacing w:line="402" w:lineRule="exact"/>
        <w:ind w:left="945" w:hanging="945" w:hangingChars="450"/>
        <w:jc w:val="left"/>
        <w:rPr>
          <w:rFonts w:ascii="宋体" w:hAnsi="宋体"/>
          <w:color w:val="000000"/>
          <w:szCs w:val="21"/>
        </w:rPr>
      </w:pPr>
      <w:r>
        <w:rPr>
          <w:rFonts w:hint="eastAsia" w:ascii="宋体" w:hAnsi="宋体"/>
          <w:color w:val="000000"/>
          <w:szCs w:val="21"/>
        </w:rPr>
        <w:t>14.1.4   竣工结算总价</w:t>
      </w:r>
      <w:r>
        <w:rPr>
          <w:rFonts w:hint="eastAsia" w:ascii="宋体" w:hAnsi="宋体"/>
          <w:color w:val="000000"/>
          <w:szCs w:val="21"/>
          <w:lang w:eastAsia="zh-CN"/>
        </w:rPr>
        <w:t>（</w:t>
      </w:r>
      <w:r>
        <w:rPr>
          <w:rFonts w:hint="eastAsia" w:ascii="宋体" w:hAnsi="宋体"/>
          <w:color w:val="000000"/>
          <w:szCs w:val="21"/>
        </w:rPr>
        <w:t>合同价格</w:t>
      </w:r>
      <w:r>
        <w:rPr>
          <w:rFonts w:hint="eastAsia" w:ascii="宋体" w:hAnsi="宋体"/>
          <w:color w:val="000000"/>
          <w:szCs w:val="21"/>
          <w:lang w:eastAsia="zh-CN"/>
        </w:rPr>
        <w:t>）</w:t>
      </w:r>
      <w:r>
        <w:rPr>
          <w:rFonts w:hint="eastAsia" w:ascii="宋体" w:hAnsi="宋体"/>
          <w:color w:val="000000"/>
          <w:szCs w:val="21"/>
        </w:rPr>
        <w:t>应当按以下内容梳理：</w:t>
      </w:r>
    </w:p>
    <w:p>
      <w:pPr>
        <w:spacing w:line="402" w:lineRule="exact"/>
        <w:ind w:left="945" w:leftChars="450"/>
        <w:jc w:val="left"/>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1</w:t>
      </w:r>
      <w:r>
        <w:rPr>
          <w:rFonts w:hint="eastAsia" w:ascii="宋体" w:hAnsi="宋体"/>
          <w:color w:val="000000"/>
          <w:szCs w:val="21"/>
          <w:lang w:eastAsia="zh-CN"/>
        </w:rPr>
        <w:t>）</w:t>
      </w:r>
      <w:r>
        <w:rPr>
          <w:rFonts w:hint="eastAsia" w:ascii="宋体" w:hAnsi="宋体"/>
          <w:color w:val="000000"/>
          <w:szCs w:val="21"/>
        </w:rPr>
        <w:t>签约合同价；</w:t>
      </w:r>
    </w:p>
    <w:p>
      <w:pPr>
        <w:spacing w:line="402" w:lineRule="exact"/>
        <w:ind w:left="945" w:leftChars="450"/>
        <w:jc w:val="left"/>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2</w:t>
      </w:r>
      <w:r>
        <w:rPr>
          <w:rFonts w:hint="eastAsia" w:ascii="宋体" w:hAnsi="宋体"/>
          <w:color w:val="000000"/>
          <w:szCs w:val="21"/>
          <w:lang w:eastAsia="zh-CN"/>
        </w:rPr>
        <w:t>）</w:t>
      </w:r>
      <w:r>
        <w:rPr>
          <w:rFonts w:hint="eastAsia" w:ascii="宋体" w:hAnsi="宋体"/>
          <w:color w:val="000000"/>
          <w:szCs w:val="21"/>
        </w:rPr>
        <w:t>应当扣减的项目；</w:t>
      </w:r>
    </w:p>
    <w:p>
      <w:pPr>
        <w:spacing w:line="402" w:lineRule="exact"/>
        <w:ind w:firstLine="1260" w:firstLineChars="600"/>
        <w:jc w:val="left"/>
        <w:rPr>
          <w:rFonts w:ascii="宋体" w:hAnsi="宋体"/>
          <w:color w:val="000000"/>
          <w:szCs w:val="21"/>
        </w:rPr>
      </w:pPr>
      <w:r>
        <w:rPr>
          <w:rFonts w:hint="eastAsia" w:ascii="宋体" w:hAnsi="宋体"/>
          <w:color w:val="000000"/>
          <w:szCs w:val="21"/>
        </w:rPr>
        <w:t>1</w:t>
      </w:r>
      <w:r>
        <w:rPr>
          <w:rFonts w:hint="eastAsia" w:ascii="宋体" w:hAnsi="宋体"/>
          <w:color w:val="000000"/>
          <w:szCs w:val="21"/>
          <w:lang w:eastAsia="zh-CN"/>
        </w:rPr>
        <w:t>）</w:t>
      </w:r>
      <w:r>
        <w:rPr>
          <w:rFonts w:hint="eastAsia" w:ascii="宋体" w:hAnsi="宋体"/>
          <w:color w:val="000000"/>
          <w:szCs w:val="21"/>
        </w:rPr>
        <w:t>所有暂列金额；</w:t>
      </w:r>
    </w:p>
    <w:p>
      <w:pPr>
        <w:spacing w:line="402" w:lineRule="exact"/>
        <w:ind w:firstLine="1260" w:firstLineChars="600"/>
        <w:jc w:val="left"/>
        <w:rPr>
          <w:rFonts w:ascii="宋体" w:hAnsi="宋体"/>
          <w:color w:val="000000"/>
          <w:szCs w:val="21"/>
        </w:rPr>
      </w:pPr>
      <w:r>
        <w:rPr>
          <w:rFonts w:hint="eastAsia" w:ascii="宋体" w:hAnsi="宋体"/>
          <w:color w:val="000000"/>
          <w:szCs w:val="21"/>
        </w:rPr>
        <w:t>2</w:t>
      </w:r>
      <w:r>
        <w:rPr>
          <w:rFonts w:hint="eastAsia" w:ascii="宋体" w:hAnsi="宋体"/>
          <w:color w:val="000000"/>
          <w:szCs w:val="21"/>
          <w:lang w:eastAsia="zh-CN"/>
        </w:rPr>
        <w:t>）</w:t>
      </w:r>
      <w:r>
        <w:rPr>
          <w:rFonts w:hint="eastAsia" w:ascii="宋体" w:hAnsi="宋体"/>
          <w:color w:val="000000"/>
          <w:szCs w:val="21"/>
        </w:rPr>
        <w:t>所有暂估价；</w:t>
      </w:r>
    </w:p>
    <w:p>
      <w:pPr>
        <w:spacing w:line="460" w:lineRule="exact"/>
        <w:ind w:firstLine="1260" w:firstLineChars="600"/>
        <w:jc w:val="left"/>
        <w:rPr>
          <w:rFonts w:ascii="宋体" w:hAnsi="宋体"/>
          <w:color w:val="000000"/>
          <w:szCs w:val="21"/>
        </w:rPr>
      </w:pPr>
      <w:r>
        <w:rPr>
          <w:rFonts w:hint="eastAsia" w:ascii="宋体" w:hAnsi="宋体"/>
          <w:color w:val="000000"/>
          <w:szCs w:val="21"/>
        </w:rPr>
        <w:t>3</w:t>
      </w:r>
      <w:r>
        <w:rPr>
          <w:rFonts w:hint="eastAsia" w:ascii="宋体" w:hAnsi="宋体"/>
          <w:color w:val="000000"/>
          <w:szCs w:val="21"/>
          <w:lang w:eastAsia="zh-CN"/>
        </w:rPr>
        <w:t>）</w:t>
      </w:r>
      <w:r>
        <w:rPr>
          <w:rFonts w:hint="eastAsia" w:ascii="宋体" w:hAnsi="宋体"/>
          <w:color w:val="000000"/>
          <w:szCs w:val="21"/>
        </w:rPr>
        <w:t>根据合同条款第15条应扣减的变更金额；</w:t>
      </w:r>
    </w:p>
    <w:p>
      <w:pPr>
        <w:spacing w:line="460" w:lineRule="exact"/>
        <w:ind w:firstLine="1260" w:firstLineChars="600"/>
        <w:jc w:val="left"/>
        <w:rPr>
          <w:rFonts w:ascii="宋体" w:hAnsi="宋体"/>
          <w:color w:val="000000"/>
          <w:szCs w:val="21"/>
        </w:rPr>
      </w:pPr>
      <w:r>
        <w:rPr>
          <w:rFonts w:hint="eastAsia" w:ascii="宋体" w:hAnsi="宋体"/>
          <w:color w:val="000000"/>
          <w:szCs w:val="21"/>
        </w:rPr>
        <w:t>4</w:t>
      </w:r>
      <w:r>
        <w:rPr>
          <w:rFonts w:hint="eastAsia" w:ascii="宋体" w:hAnsi="宋体"/>
          <w:color w:val="000000"/>
          <w:szCs w:val="21"/>
          <w:lang w:eastAsia="zh-CN"/>
        </w:rPr>
        <w:t>）</w:t>
      </w:r>
      <w:r>
        <w:rPr>
          <w:rFonts w:hint="eastAsia" w:ascii="宋体" w:hAnsi="宋体"/>
          <w:color w:val="000000"/>
          <w:szCs w:val="21"/>
        </w:rPr>
        <w:t>根据合同条款第16条应扣减的价格调整</w:t>
      </w:r>
      <w:r>
        <w:rPr>
          <w:rFonts w:hint="eastAsia" w:ascii="宋体" w:hAnsi="宋体"/>
          <w:color w:val="000000"/>
          <w:szCs w:val="21"/>
          <w:lang w:eastAsia="zh-CN"/>
        </w:rPr>
        <w:t>（</w:t>
      </w:r>
      <w:r>
        <w:rPr>
          <w:rFonts w:hint="eastAsia" w:ascii="宋体" w:hAnsi="宋体"/>
          <w:color w:val="000000"/>
          <w:szCs w:val="21"/>
        </w:rPr>
        <w:t>下调部分</w:t>
      </w:r>
      <w:r>
        <w:rPr>
          <w:rFonts w:hint="eastAsia" w:ascii="宋体" w:hAnsi="宋体"/>
          <w:color w:val="000000"/>
          <w:szCs w:val="21"/>
          <w:lang w:eastAsia="zh-CN"/>
        </w:rPr>
        <w:t>）</w:t>
      </w:r>
      <w:r>
        <w:rPr>
          <w:rFonts w:hint="eastAsia" w:ascii="宋体" w:hAnsi="宋体"/>
          <w:color w:val="000000"/>
          <w:szCs w:val="21"/>
        </w:rPr>
        <w:t>；</w:t>
      </w:r>
    </w:p>
    <w:p>
      <w:pPr>
        <w:spacing w:line="460" w:lineRule="exact"/>
        <w:ind w:firstLine="1260" w:firstLineChars="600"/>
        <w:jc w:val="left"/>
        <w:rPr>
          <w:rFonts w:ascii="宋体" w:hAnsi="宋体"/>
          <w:color w:val="000000"/>
          <w:szCs w:val="21"/>
        </w:rPr>
      </w:pPr>
      <w:r>
        <w:rPr>
          <w:rFonts w:hint="eastAsia" w:ascii="宋体" w:hAnsi="宋体"/>
          <w:color w:val="000000"/>
          <w:szCs w:val="21"/>
        </w:rPr>
        <w:t>5</w:t>
      </w:r>
      <w:r>
        <w:rPr>
          <w:rFonts w:hint="eastAsia" w:ascii="宋体" w:hAnsi="宋体"/>
          <w:color w:val="000000"/>
          <w:szCs w:val="21"/>
          <w:lang w:eastAsia="zh-CN"/>
        </w:rPr>
        <w:t>）</w:t>
      </w:r>
      <w:r>
        <w:rPr>
          <w:rFonts w:hint="eastAsia" w:ascii="宋体" w:hAnsi="宋体"/>
          <w:color w:val="000000"/>
          <w:szCs w:val="21"/>
        </w:rPr>
        <w:t>根据合同条款第23.4款应扣减的发包人索赔金额；</w:t>
      </w:r>
    </w:p>
    <w:p>
      <w:pPr>
        <w:spacing w:line="460" w:lineRule="exact"/>
        <w:ind w:firstLine="1260" w:firstLineChars="600"/>
        <w:jc w:val="left"/>
        <w:rPr>
          <w:rFonts w:ascii="宋体" w:hAnsi="宋体"/>
          <w:color w:val="000000"/>
          <w:szCs w:val="21"/>
        </w:rPr>
      </w:pPr>
      <w:r>
        <w:rPr>
          <w:rFonts w:hint="eastAsia" w:ascii="宋体" w:hAnsi="宋体"/>
          <w:color w:val="000000"/>
          <w:szCs w:val="21"/>
        </w:rPr>
        <w:t>6</w:t>
      </w:r>
      <w:r>
        <w:rPr>
          <w:rFonts w:hint="eastAsia" w:ascii="宋体" w:hAnsi="宋体"/>
          <w:color w:val="000000"/>
          <w:szCs w:val="21"/>
          <w:lang w:eastAsia="zh-CN"/>
        </w:rPr>
        <w:t>）</w:t>
      </w:r>
      <w:r>
        <w:rPr>
          <w:rFonts w:hint="eastAsia" w:ascii="宋体" w:hAnsi="宋体"/>
          <w:color w:val="000000"/>
          <w:szCs w:val="21"/>
        </w:rPr>
        <w:t>甩项工程的合同价值</w:t>
      </w:r>
      <w:r>
        <w:rPr>
          <w:rFonts w:hint="eastAsia" w:ascii="宋体" w:hAnsi="宋体"/>
          <w:color w:val="000000"/>
          <w:szCs w:val="21"/>
          <w:lang w:eastAsia="zh-CN"/>
        </w:rPr>
        <w:t>（</w:t>
      </w:r>
      <w:r>
        <w:rPr>
          <w:rFonts w:hint="eastAsia" w:ascii="宋体" w:hAnsi="宋体"/>
          <w:color w:val="000000"/>
          <w:szCs w:val="21"/>
        </w:rPr>
        <w:t>如果有</w:t>
      </w:r>
      <w:r>
        <w:rPr>
          <w:rFonts w:hint="eastAsia" w:ascii="宋体" w:hAnsi="宋体"/>
          <w:color w:val="000000"/>
          <w:szCs w:val="21"/>
          <w:lang w:eastAsia="zh-CN"/>
        </w:rPr>
        <w:t>）</w:t>
      </w:r>
      <w:r>
        <w:rPr>
          <w:rFonts w:hint="eastAsia" w:ascii="宋体" w:hAnsi="宋体"/>
          <w:color w:val="000000"/>
          <w:szCs w:val="21"/>
        </w:rPr>
        <w:t>；</w:t>
      </w:r>
    </w:p>
    <w:p>
      <w:pPr>
        <w:spacing w:line="460" w:lineRule="exact"/>
        <w:ind w:firstLine="1260" w:firstLineChars="600"/>
        <w:jc w:val="left"/>
        <w:rPr>
          <w:rFonts w:ascii="宋体" w:hAnsi="宋体"/>
          <w:color w:val="000000"/>
          <w:szCs w:val="21"/>
        </w:rPr>
      </w:pPr>
      <w:r>
        <w:rPr>
          <w:rFonts w:hint="eastAsia" w:ascii="宋体" w:hAnsi="宋体"/>
          <w:color w:val="000000"/>
          <w:szCs w:val="21"/>
        </w:rPr>
        <w:t>7</w:t>
      </w:r>
      <w:r>
        <w:rPr>
          <w:rFonts w:hint="eastAsia" w:ascii="宋体" w:hAnsi="宋体"/>
          <w:color w:val="000000"/>
          <w:szCs w:val="21"/>
          <w:lang w:eastAsia="zh-CN"/>
        </w:rPr>
        <w:t>）</w:t>
      </w:r>
      <w:r>
        <w:rPr>
          <w:rFonts w:hint="eastAsia" w:ascii="宋体" w:hAnsi="宋体"/>
          <w:color w:val="000000"/>
          <w:szCs w:val="21"/>
        </w:rPr>
        <w:t>根据合同约定发包人应扣减的其他金额。</w:t>
      </w:r>
    </w:p>
    <w:p>
      <w:pPr>
        <w:spacing w:line="460" w:lineRule="exact"/>
        <w:ind w:firstLine="945" w:firstLineChars="450"/>
        <w:jc w:val="left"/>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3</w:t>
      </w:r>
      <w:r>
        <w:rPr>
          <w:rFonts w:hint="eastAsia" w:ascii="宋体" w:hAnsi="宋体"/>
          <w:color w:val="000000"/>
          <w:szCs w:val="21"/>
          <w:lang w:eastAsia="zh-CN"/>
        </w:rPr>
        <w:t>）</w:t>
      </w:r>
      <w:r>
        <w:rPr>
          <w:rFonts w:hint="eastAsia" w:ascii="宋体" w:hAnsi="宋体"/>
          <w:color w:val="000000"/>
          <w:szCs w:val="21"/>
        </w:rPr>
        <w:t>应当增加的项目；</w:t>
      </w:r>
    </w:p>
    <w:p>
      <w:pPr>
        <w:spacing w:line="460" w:lineRule="exact"/>
        <w:ind w:firstLine="1260" w:firstLineChars="600"/>
        <w:jc w:val="left"/>
        <w:rPr>
          <w:rFonts w:ascii="宋体" w:hAnsi="宋体"/>
          <w:color w:val="000000"/>
          <w:szCs w:val="21"/>
        </w:rPr>
      </w:pPr>
      <w:r>
        <w:rPr>
          <w:rFonts w:hint="eastAsia" w:ascii="宋体" w:hAnsi="宋体"/>
          <w:color w:val="000000"/>
          <w:szCs w:val="21"/>
        </w:rPr>
        <w:t>1</w:t>
      </w:r>
      <w:r>
        <w:rPr>
          <w:rFonts w:hint="eastAsia" w:ascii="宋体" w:hAnsi="宋体"/>
          <w:color w:val="000000"/>
          <w:szCs w:val="21"/>
          <w:lang w:eastAsia="zh-CN"/>
        </w:rPr>
        <w:t>）</w:t>
      </w:r>
      <w:r>
        <w:rPr>
          <w:rFonts w:hint="eastAsia" w:ascii="宋体" w:hAnsi="宋体"/>
          <w:color w:val="000000"/>
          <w:szCs w:val="21"/>
        </w:rPr>
        <w:t>实际发生的暂列金额</w:t>
      </w:r>
      <w:r>
        <w:rPr>
          <w:rFonts w:hint="eastAsia" w:ascii="宋体" w:hAnsi="宋体"/>
          <w:color w:val="000000"/>
          <w:szCs w:val="21"/>
          <w:lang w:eastAsia="zh-CN"/>
        </w:rPr>
        <w:t>（</w:t>
      </w:r>
      <w:r>
        <w:rPr>
          <w:rFonts w:hint="eastAsia" w:ascii="宋体" w:hAnsi="宋体"/>
          <w:color w:val="000000"/>
          <w:szCs w:val="21"/>
        </w:rPr>
        <w:t>包括计日工</w:t>
      </w:r>
      <w:r>
        <w:rPr>
          <w:rFonts w:hint="eastAsia" w:ascii="宋体" w:hAnsi="宋体"/>
          <w:color w:val="000000"/>
          <w:szCs w:val="21"/>
          <w:lang w:eastAsia="zh-CN"/>
        </w:rPr>
        <w:t>）</w:t>
      </w:r>
      <w:r>
        <w:rPr>
          <w:rFonts w:hint="eastAsia" w:ascii="宋体" w:hAnsi="宋体"/>
          <w:color w:val="000000"/>
          <w:szCs w:val="21"/>
        </w:rPr>
        <w:t>；</w:t>
      </w:r>
    </w:p>
    <w:p>
      <w:pPr>
        <w:spacing w:line="460" w:lineRule="exact"/>
        <w:ind w:firstLine="1260" w:firstLineChars="600"/>
        <w:jc w:val="left"/>
        <w:rPr>
          <w:rFonts w:ascii="宋体" w:hAnsi="宋体"/>
          <w:color w:val="000000"/>
          <w:szCs w:val="21"/>
        </w:rPr>
      </w:pPr>
      <w:r>
        <w:rPr>
          <w:rFonts w:hint="eastAsia" w:ascii="宋体" w:hAnsi="宋体"/>
          <w:color w:val="000000"/>
          <w:szCs w:val="21"/>
        </w:rPr>
        <w:t>2</w:t>
      </w:r>
      <w:r>
        <w:rPr>
          <w:rFonts w:hint="eastAsia" w:ascii="宋体" w:hAnsi="宋体"/>
          <w:color w:val="000000"/>
          <w:szCs w:val="21"/>
          <w:lang w:eastAsia="zh-CN"/>
        </w:rPr>
        <w:t>）</w:t>
      </w:r>
      <w:r>
        <w:rPr>
          <w:rFonts w:hint="eastAsia" w:ascii="宋体" w:hAnsi="宋体"/>
          <w:color w:val="000000"/>
          <w:szCs w:val="21"/>
        </w:rPr>
        <w:t>实际发生的暂估价；</w:t>
      </w:r>
    </w:p>
    <w:p>
      <w:pPr>
        <w:spacing w:line="460" w:lineRule="exact"/>
        <w:ind w:firstLine="1260" w:firstLineChars="600"/>
        <w:jc w:val="left"/>
        <w:rPr>
          <w:rFonts w:ascii="宋体" w:hAnsi="宋体"/>
          <w:color w:val="000000"/>
          <w:szCs w:val="21"/>
        </w:rPr>
      </w:pPr>
      <w:r>
        <w:rPr>
          <w:rFonts w:hint="eastAsia" w:ascii="宋体" w:hAnsi="宋体"/>
          <w:color w:val="000000"/>
          <w:szCs w:val="21"/>
        </w:rPr>
        <w:t>3</w:t>
      </w:r>
      <w:r>
        <w:rPr>
          <w:rFonts w:hint="eastAsia" w:ascii="宋体" w:hAnsi="宋体"/>
          <w:color w:val="000000"/>
          <w:szCs w:val="21"/>
          <w:lang w:eastAsia="zh-CN"/>
        </w:rPr>
        <w:t>）</w:t>
      </w:r>
      <w:r>
        <w:rPr>
          <w:rFonts w:hint="eastAsia" w:ascii="宋体" w:hAnsi="宋体"/>
          <w:color w:val="000000"/>
          <w:szCs w:val="21"/>
        </w:rPr>
        <w:t>根据合同条款第15条应增加的变更金额；</w:t>
      </w:r>
    </w:p>
    <w:p>
      <w:pPr>
        <w:spacing w:line="460" w:lineRule="exact"/>
        <w:ind w:firstLine="1260" w:firstLineChars="600"/>
        <w:jc w:val="left"/>
        <w:rPr>
          <w:rFonts w:ascii="宋体" w:hAnsi="宋体"/>
          <w:color w:val="000000"/>
          <w:szCs w:val="21"/>
        </w:rPr>
      </w:pPr>
      <w:r>
        <w:rPr>
          <w:rFonts w:hint="eastAsia" w:ascii="宋体" w:hAnsi="宋体"/>
          <w:color w:val="000000"/>
          <w:szCs w:val="21"/>
        </w:rPr>
        <w:t>4</w:t>
      </w:r>
      <w:r>
        <w:rPr>
          <w:rFonts w:hint="eastAsia" w:ascii="宋体" w:hAnsi="宋体"/>
          <w:color w:val="000000"/>
          <w:szCs w:val="21"/>
          <w:lang w:eastAsia="zh-CN"/>
        </w:rPr>
        <w:t>）</w:t>
      </w:r>
      <w:r>
        <w:rPr>
          <w:rFonts w:hint="eastAsia" w:ascii="宋体" w:hAnsi="宋体"/>
          <w:color w:val="000000"/>
          <w:szCs w:val="21"/>
        </w:rPr>
        <w:t>根据合同条款第16条应增加的价格调整</w:t>
      </w:r>
      <w:r>
        <w:rPr>
          <w:rFonts w:hint="eastAsia" w:ascii="宋体" w:hAnsi="宋体"/>
          <w:color w:val="000000"/>
          <w:szCs w:val="21"/>
          <w:lang w:eastAsia="zh-CN"/>
        </w:rPr>
        <w:t>（</w:t>
      </w:r>
      <w:r>
        <w:rPr>
          <w:rFonts w:hint="eastAsia" w:ascii="宋体" w:hAnsi="宋体"/>
          <w:color w:val="000000"/>
          <w:szCs w:val="21"/>
        </w:rPr>
        <w:t>上调部分</w:t>
      </w:r>
      <w:r>
        <w:rPr>
          <w:rFonts w:hint="eastAsia" w:ascii="宋体" w:hAnsi="宋体"/>
          <w:color w:val="000000"/>
          <w:szCs w:val="21"/>
          <w:lang w:eastAsia="zh-CN"/>
        </w:rPr>
        <w:t>）</w:t>
      </w:r>
      <w:r>
        <w:rPr>
          <w:rFonts w:hint="eastAsia" w:ascii="宋体" w:hAnsi="宋体"/>
          <w:color w:val="000000"/>
          <w:szCs w:val="21"/>
        </w:rPr>
        <w:t>；</w:t>
      </w:r>
    </w:p>
    <w:p>
      <w:pPr>
        <w:spacing w:line="460" w:lineRule="exact"/>
        <w:ind w:firstLine="1260" w:firstLineChars="600"/>
        <w:jc w:val="left"/>
        <w:rPr>
          <w:rFonts w:ascii="宋体" w:hAnsi="宋体"/>
          <w:color w:val="000000"/>
          <w:szCs w:val="21"/>
        </w:rPr>
      </w:pPr>
      <w:r>
        <w:rPr>
          <w:rFonts w:hint="eastAsia" w:ascii="宋体" w:hAnsi="宋体"/>
          <w:color w:val="000000"/>
          <w:szCs w:val="21"/>
        </w:rPr>
        <w:t>5</w:t>
      </w:r>
      <w:r>
        <w:rPr>
          <w:rFonts w:hint="eastAsia" w:ascii="宋体" w:hAnsi="宋体"/>
          <w:color w:val="000000"/>
          <w:szCs w:val="21"/>
          <w:lang w:eastAsia="zh-CN"/>
        </w:rPr>
        <w:t>）</w:t>
      </w:r>
      <w:r>
        <w:rPr>
          <w:rFonts w:hint="eastAsia" w:ascii="宋体" w:hAnsi="宋体"/>
          <w:color w:val="000000"/>
          <w:szCs w:val="21"/>
        </w:rPr>
        <w:t>根据合同条款第23.2款应增加的承包人索赔金额；</w:t>
      </w:r>
    </w:p>
    <w:p>
      <w:pPr>
        <w:spacing w:line="460" w:lineRule="exact"/>
        <w:ind w:firstLine="1260" w:firstLineChars="600"/>
        <w:jc w:val="left"/>
        <w:rPr>
          <w:rFonts w:ascii="宋体" w:hAnsi="宋体"/>
          <w:color w:val="000000"/>
          <w:szCs w:val="21"/>
        </w:rPr>
      </w:pPr>
      <w:r>
        <w:rPr>
          <w:rFonts w:hint="eastAsia" w:ascii="宋体" w:hAnsi="宋体"/>
          <w:color w:val="000000"/>
          <w:szCs w:val="21"/>
        </w:rPr>
        <w:t>6</w:t>
      </w:r>
      <w:r>
        <w:rPr>
          <w:rFonts w:hint="eastAsia" w:ascii="宋体" w:hAnsi="宋体"/>
          <w:color w:val="000000"/>
          <w:szCs w:val="21"/>
          <w:lang w:eastAsia="zh-CN"/>
        </w:rPr>
        <w:t>）</w:t>
      </w:r>
      <w:r>
        <w:rPr>
          <w:rFonts w:hint="eastAsia" w:ascii="宋体" w:hAnsi="宋体"/>
          <w:color w:val="000000"/>
          <w:szCs w:val="21"/>
        </w:rPr>
        <w:t>根据合同约定承包人应当得到的其他金额。</w:t>
      </w:r>
    </w:p>
    <w:p>
      <w:pPr>
        <w:spacing w:line="460" w:lineRule="exact"/>
        <w:ind w:firstLine="945" w:firstLineChars="450"/>
        <w:jc w:val="left"/>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4</w:t>
      </w:r>
      <w:r>
        <w:rPr>
          <w:rFonts w:hint="eastAsia" w:ascii="宋体" w:hAnsi="宋体"/>
          <w:color w:val="000000"/>
          <w:szCs w:val="21"/>
          <w:lang w:eastAsia="zh-CN"/>
        </w:rPr>
        <w:t>）</w:t>
      </w:r>
      <w:r>
        <w:rPr>
          <w:rFonts w:hint="eastAsia" w:ascii="宋体" w:hAnsi="宋体"/>
          <w:color w:val="000000"/>
          <w:szCs w:val="21"/>
        </w:rPr>
        <w:t>规费和税金差额部分。</w:t>
      </w:r>
    </w:p>
    <w:p>
      <w:pPr>
        <w:spacing w:line="460" w:lineRule="exact"/>
        <w:jc w:val="left"/>
        <w:rPr>
          <w:rFonts w:ascii="宋体" w:hAnsi="宋体"/>
          <w:color w:val="000000"/>
          <w:szCs w:val="21"/>
        </w:rPr>
      </w:pPr>
      <w:r>
        <w:rPr>
          <w:rFonts w:hint="eastAsia" w:ascii="宋体" w:hAnsi="宋体"/>
          <w:color w:val="000000"/>
          <w:szCs w:val="21"/>
        </w:rPr>
        <w:t>14.1.5   最终结清申请单的应付金额应当按下列内容梳理：</w:t>
      </w:r>
    </w:p>
    <w:p>
      <w:pPr>
        <w:spacing w:line="460" w:lineRule="exact"/>
        <w:ind w:firstLine="840" w:firstLineChars="400"/>
        <w:jc w:val="left"/>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1</w:t>
      </w:r>
      <w:r>
        <w:rPr>
          <w:rFonts w:hint="eastAsia" w:ascii="宋体" w:hAnsi="宋体"/>
          <w:color w:val="000000"/>
          <w:szCs w:val="21"/>
          <w:lang w:eastAsia="zh-CN"/>
        </w:rPr>
        <w:t>）</w:t>
      </w:r>
      <w:r>
        <w:rPr>
          <w:rFonts w:hint="eastAsia" w:ascii="宋体" w:hAnsi="宋体"/>
          <w:color w:val="000000"/>
          <w:szCs w:val="21"/>
        </w:rPr>
        <w:t>按合同约定扣留的质量保证金；</w:t>
      </w:r>
    </w:p>
    <w:p>
      <w:pPr>
        <w:spacing w:line="460" w:lineRule="exact"/>
        <w:ind w:firstLine="840" w:firstLineChars="400"/>
        <w:jc w:val="left"/>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2</w:t>
      </w:r>
      <w:r>
        <w:rPr>
          <w:rFonts w:hint="eastAsia" w:ascii="宋体" w:hAnsi="宋体"/>
          <w:color w:val="000000"/>
          <w:szCs w:val="21"/>
          <w:lang w:eastAsia="zh-CN"/>
        </w:rPr>
        <w:t>）</w:t>
      </w:r>
      <w:r>
        <w:rPr>
          <w:rFonts w:hint="eastAsia" w:ascii="宋体" w:hAnsi="宋体"/>
          <w:color w:val="000000"/>
          <w:szCs w:val="21"/>
        </w:rPr>
        <w:t>应当扣除的金额：</w:t>
      </w:r>
    </w:p>
    <w:p>
      <w:pPr>
        <w:spacing w:line="460" w:lineRule="exact"/>
        <w:ind w:firstLine="1155" w:firstLineChars="550"/>
        <w:jc w:val="left"/>
        <w:rPr>
          <w:rFonts w:ascii="宋体" w:hAnsi="宋体"/>
          <w:color w:val="000000"/>
          <w:szCs w:val="21"/>
        </w:rPr>
      </w:pPr>
      <w:r>
        <w:rPr>
          <w:rFonts w:hint="eastAsia" w:ascii="宋体" w:hAnsi="宋体"/>
          <w:color w:val="000000"/>
          <w:szCs w:val="21"/>
        </w:rPr>
        <w:t>1</w:t>
      </w:r>
      <w:r>
        <w:rPr>
          <w:rFonts w:hint="eastAsia" w:ascii="宋体" w:hAnsi="宋体"/>
          <w:color w:val="000000"/>
          <w:szCs w:val="21"/>
          <w:lang w:eastAsia="zh-CN"/>
        </w:rPr>
        <w:t>）</w:t>
      </w:r>
      <w:r>
        <w:rPr>
          <w:rFonts w:hint="eastAsia" w:ascii="宋体" w:hAnsi="宋体"/>
          <w:color w:val="000000"/>
          <w:szCs w:val="21"/>
        </w:rPr>
        <w:t>按通用合同条款17.4.3项约定扣留的质量保证金；</w:t>
      </w:r>
    </w:p>
    <w:p>
      <w:pPr>
        <w:spacing w:line="460" w:lineRule="exact"/>
        <w:ind w:firstLine="1155" w:firstLineChars="550"/>
        <w:jc w:val="left"/>
        <w:rPr>
          <w:rFonts w:ascii="宋体" w:hAnsi="宋体"/>
          <w:color w:val="000000"/>
          <w:szCs w:val="21"/>
        </w:rPr>
      </w:pPr>
      <w:r>
        <w:rPr>
          <w:rFonts w:hint="eastAsia" w:ascii="宋体" w:hAnsi="宋体"/>
          <w:color w:val="000000"/>
          <w:szCs w:val="21"/>
        </w:rPr>
        <w:t>2</w:t>
      </w:r>
      <w:r>
        <w:rPr>
          <w:rFonts w:hint="eastAsia" w:ascii="宋体" w:hAnsi="宋体"/>
          <w:color w:val="000000"/>
          <w:szCs w:val="21"/>
          <w:lang w:eastAsia="zh-CN"/>
        </w:rPr>
        <w:t>）</w:t>
      </w:r>
      <w:r>
        <w:rPr>
          <w:rFonts w:hint="eastAsia" w:ascii="宋体" w:hAnsi="宋体"/>
          <w:color w:val="000000"/>
          <w:szCs w:val="21"/>
        </w:rPr>
        <w:t>按通用合同条款19.2.4项约定扣除的质量保证金；</w:t>
      </w:r>
    </w:p>
    <w:p>
      <w:pPr>
        <w:spacing w:line="460" w:lineRule="exact"/>
        <w:ind w:firstLine="1155" w:firstLineChars="550"/>
        <w:jc w:val="left"/>
        <w:rPr>
          <w:rFonts w:ascii="宋体" w:hAnsi="宋体"/>
          <w:color w:val="000000"/>
          <w:szCs w:val="21"/>
        </w:rPr>
      </w:pPr>
      <w:r>
        <w:rPr>
          <w:rFonts w:hint="eastAsia" w:ascii="宋体" w:hAnsi="宋体"/>
          <w:color w:val="000000"/>
          <w:szCs w:val="21"/>
        </w:rPr>
        <w:t>3</w:t>
      </w:r>
      <w:r>
        <w:rPr>
          <w:rFonts w:hint="eastAsia" w:ascii="宋体" w:hAnsi="宋体"/>
          <w:color w:val="000000"/>
          <w:szCs w:val="21"/>
          <w:lang w:eastAsia="zh-CN"/>
        </w:rPr>
        <w:t>）</w:t>
      </w:r>
      <w:r>
        <w:rPr>
          <w:rFonts w:hint="eastAsia" w:ascii="宋体" w:hAnsi="宋体"/>
          <w:color w:val="000000"/>
          <w:szCs w:val="21"/>
        </w:rPr>
        <w:t>根据合同条款第23.4款应扣减的缺陷责任期内发生的发包人索赔金额；</w:t>
      </w:r>
    </w:p>
    <w:p>
      <w:pPr>
        <w:spacing w:line="460" w:lineRule="exact"/>
        <w:ind w:firstLine="1155" w:firstLineChars="550"/>
        <w:jc w:val="left"/>
        <w:rPr>
          <w:rFonts w:ascii="宋体" w:hAnsi="宋体"/>
          <w:color w:val="000000"/>
          <w:szCs w:val="21"/>
        </w:rPr>
      </w:pPr>
      <w:r>
        <w:rPr>
          <w:rFonts w:hint="eastAsia" w:ascii="宋体" w:hAnsi="宋体"/>
          <w:color w:val="000000"/>
          <w:szCs w:val="21"/>
        </w:rPr>
        <w:t>4</w:t>
      </w:r>
      <w:r>
        <w:rPr>
          <w:rFonts w:hint="eastAsia" w:ascii="宋体" w:hAnsi="宋体"/>
          <w:color w:val="000000"/>
          <w:szCs w:val="21"/>
          <w:lang w:eastAsia="zh-CN"/>
        </w:rPr>
        <w:t>）</w:t>
      </w:r>
      <w:r>
        <w:rPr>
          <w:rFonts w:hint="eastAsia" w:ascii="宋体" w:hAnsi="宋体"/>
          <w:color w:val="000000"/>
          <w:szCs w:val="21"/>
        </w:rPr>
        <w:t>根据合同约定应扣减的其他金额。</w:t>
      </w:r>
    </w:p>
    <w:p>
      <w:pPr>
        <w:spacing w:line="460" w:lineRule="exact"/>
        <w:ind w:firstLine="840" w:firstLineChars="400"/>
        <w:jc w:val="left"/>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3</w:t>
      </w:r>
      <w:r>
        <w:rPr>
          <w:rFonts w:hint="eastAsia" w:ascii="宋体" w:hAnsi="宋体"/>
          <w:color w:val="000000"/>
          <w:szCs w:val="21"/>
          <w:lang w:eastAsia="zh-CN"/>
        </w:rPr>
        <w:t>）</w:t>
      </w:r>
      <w:r>
        <w:rPr>
          <w:rFonts w:hint="eastAsia" w:ascii="宋体" w:hAnsi="宋体"/>
          <w:color w:val="000000"/>
          <w:szCs w:val="21"/>
        </w:rPr>
        <w:t>应当增加的金额：</w:t>
      </w:r>
    </w:p>
    <w:p>
      <w:pPr>
        <w:spacing w:line="460" w:lineRule="exact"/>
        <w:ind w:firstLine="1155" w:firstLineChars="550"/>
        <w:jc w:val="left"/>
        <w:rPr>
          <w:rFonts w:ascii="宋体" w:hAnsi="宋体"/>
          <w:color w:val="000000"/>
          <w:szCs w:val="21"/>
        </w:rPr>
      </w:pPr>
      <w:r>
        <w:rPr>
          <w:rFonts w:hint="eastAsia" w:ascii="宋体" w:hAnsi="宋体"/>
          <w:color w:val="000000"/>
          <w:szCs w:val="21"/>
        </w:rPr>
        <w:t>1</w:t>
      </w:r>
      <w:r>
        <w:rPr>
          <w:rFonts w:hint="eastAsia" w:ascii="宋体" w:hAnsi="宋体"/>
          <w:color w:val="000000"/>
          <w:szCs w:val="21"/>
          <w:lang w:eastAsia="zh-CN"/>
        </w:rPr>
        <w:t>）</w:t>
      </w:r>
      <w:r>
        <w:rPr>
          <w:rFonts w:hint="eastAsia" w:ascii="宋体" w:hAnsi="宋体"/>
          <w:color w:val="000000"/>
          <w:szCs w:val="21"/>
        </w:rPr>
        <w:t>已完且符合合同约定的甩项工程的价值；</w:t>
      </w:r>
    </w:p>
    <w:p>
      <w:pPr>
        <w:spacing w:line="460" w:lineRule="exact"/>
        <w:ind w:firstLine="1155" w:firstLineChars="550"/>
        <w:jc w:val="left"/>
        <w:rPr>
          <w:rFonts w:ascii="宋体" w:hAnsi="宋体"/>
          <w:color w:val="000000"/>
          <w:szCs w:val="21"/>
        </w:rPr>
      </w:pPr>
      <w:r>
        <w:rPr>
          <w:rFonts w:hint="eastAsia" w:ascii="宋体" w:hAnsi="宋体"/>
          <w:color w:val="000000"/>
          <w:szCs w:val="21"/>
        </w:rPr>
        <w:t>2</w:t>
      </w:r>
      <w:r>
        <w:rPr>
          <w:rFonts w:hint="eastAsia" w:ascii="宋体" w:hAnsi="宋体"/>
          <w:color w:val="000000"/>
          <w:szCs w:val="21"/>
          <w:lang w:eastAsia="zh-CN"/>
        </w:rPr>
        <w:t>）</w:t>
      </w:r>
      <w:r>
        <w:rPr>
          <w:rFonts w:hint="eastAsia" w:ascii="宋体" w:hAnsi="宋体"/>
          <w:color w:val="000000"/>
          <w:szCs w:val="21"/>
        </w:rPr>
        <w:t>按通用合同条款19.2.3项约定由承包人修复的发包人原因造成的缺陷的价值；</w:t>
      </w:r>
    </w:p>
    <w:p>
      <w:pPr>
        <w:spacing w:line="460" w:lineRule="exact"/>
        <w:ind w:firstLine="1155" w:firstLineChars="550"/>
        <w:jc w:val="left"/>
        <w:rPr>
          <w:rFonts w:ascii="宋体" w:hAnsi="宋体"/>
          <w:color w:val="000000"/>
          <w:szCs w:val="21"/>
        </w:rPr>
      </w:pPr>
      <w:r>
        <w:rPr>
          <w:rFonts w:hint="eastAsia" w:ascii="宋体" w:hAnsi="宋体"/>
          <w:color w:val="000000"/>
          <w:szCs w:val="21"/>
        </w:rPr>
        <w:t>3</w:t>
      </w:r>
      <w:r>
        <w:rPr>
          <w:rFonts w:hint="eastAsia" w:ascii="宋体" w:hAnsi="宋体"/>
          <w:color w:val="000000"/>
          <w:szCs w:val="21"/>
          <w:lang w:eastAsia="zh-CN"/>
        </w:rPr>
        <w:t>）</w:t>
      </w:r>
      <w:r>
        <w:rPr>
          <w:rFonts w:hint="eastAsia" w:ascii="宋体" w:hAnsi="宋体"/>
          <w:color w:val="000000"/>
          <w:szCs w:val="21"/>
        </w:rPr>
        <w:t>根据合同条款第23.2款应增加的缺陷责任期内发生的承包人索赔金额；</w:t>
      </w:r>
    </w:p>
    <w:p>
      <w:pPr>
        <w:spacing w:line="460" w:lineRule="exact"/>
        <w:ind w:firstLine="1155" w:firstLineChars="550"/>
        <w:jc w:val="left"/>
        <w:rPr>
          <w:rFonts w:ascii="宋体" w:hAnsi="宋体"/>
          <w:color w:val="000000"/>
          <w:szCs w:val="21"/>
        </w:rPr>
      </w:pPr>
      <w:r>
        <w:rPr>
          <w:rFonts w:hint="eastAsia" w:ascii="宋体" w:hAnsi="宋体"/>
          <w:color w:val="000000"/>
          <w:szCs w:val="21"/>
        </w:rPr>
        <w:t>4</w:t>
      </w:r>
      <w:r>
        <w:rPr>
          <w:rFonts w:hint="eastAsia" w:ascii="宋体" w:hAnsi="宋体"/>
          <w:color w:val="000000"/>
          <w:szCs w:val="21"/>
          <w:lang w:eastAsia="zh-CN"/>
        </w:rPr>
        <w:t>）</w:t>
      </w:r>
      <w:r>
        <w:rPr>
          <w:rFonts w:hint="eastAsia" w:ascii="宋体" w:hAnsi="宋体"/>
          <w:color w:val="000000"/>
          <w:szCs w:val="21"/>
        </w:rPr>
        <w:t>根据合同约定承包人应当得到的其他金额。</w:t>
      </w:r>
    </w:p>
    <w:p>
      <w:pPr>
        <w:spacing w:line="460" w:lineRule="exact"/>
        <w:ind w:firstLine="945" w:firstLineChars="450"/>
        <w:jc w:val="left"/>
        <w:rPr>
          <w:rFonts w:ascii="宋体" w:hAnsi="宋体"/>
          <w:color w:val="000000"/>
          <w:szCs w:val="21"/>
        </w:rPr>
      </w:pPr>
      <w:r>
        <w:rPr>
          <w:rFonts w:hint="eastAsia" w:ascii="宋体" w:hAnsi="宋体"/>
          <w:color w:val="000000"/>
          <w:szCs w:val="21"/>
        </w:rPr>
        <w:t>最终结清应当由发包人和承包人按照“多退少补”的原则办理。</w:t>
      </w:r>
    </w:p>
    <w:p>
      <w:pPr>
        <w:spacing w:line="460" w:lineRule="exact"/>
        <w:ind w:left="945" w:hanging="945" w:hangingChars="450"/>
        <w:jc w:val="left"/>
        <w:rPr>
          <w:rFonts w:ascii="宋体" w:hAnsi="宋体"/>
          <w:color w:val="000000"/>
          <w:szCs w:val="21"/>
        </w:rPr>
      </w:pPr>
      <w:r>
        <w:rPr>
          <w:rFonts w:hint="eastAsia" w:ascii="宋体" w:hAnsi="宋体"/>
          <w:color w:val="000000"/>
          <w:szCs w:val="21"/>
        </w:rPr>
        <w:t>14.1.6   竣工付款申请单和最终结清申请单应当比照进度付款申请单的格式准备，并提供相关证明材料。</w:t>
      </w:r>
    </w:p>
    <w:p>
      <w:pPr>
        <w:rPr>
          <w:rFonts w:ascii="黑体" w:eastAsia="黑体"/>
          <w:color w:val="000000"/>
          <w:sz w:val="24"/>
        </w:rPr>
      </w:pPr>
      <w:r>
        <w:rPr>
          <w:rFonts w:hint="eastAsia" w:ascii="黑体" w:eastAsia="黑体"/>
          <w:color w:val="000000"/>
          <w:sz w:val="24"/>
        </w:rPr>
        <w:t>14.2其他约定</w:t>
      </w:r>
    </w:p>
    <w:p>
      <w:pPr>
        <w:spacing w:line="450" w:lineRule="exact"/>
        <w:ind w:firstLine="945" w:firstLineChars="450"/>
        <w:jc w:val="left"/>
        <w:rPr>
          <w:rFonts w:ascii="宋体" w:hAnsi="宋体"/>
          <w:color w:val="000000"/>
          <w:szCs w:val="21"/>
        </w:rPr>
      </w:pPr>
      <w:r>
        <w:rPr>
          <w:rFonts w:hint="eastAsia" w:ascii="宋体" w:hAnsi="宋体"/>
          <w:color w:val="000000"/>
          <w:szCs w:val="21"/>
        </w:rPr>
        <w:t>其他约定内容：</w:t>
      </w:r>
    </w:p>
    <w:p>
      <w:pPr>
        <w:spacing w:line="450" w:lineRule="exact"/>
        <w:jc w:val="left"/>
        <w:rPr>
          <w:rFonts w:ascii="宋体" w:hAnsi="宋体"/>
          <w:color w:val="000000"/>
          <w:szCs w:val="21"/>
        </w:rPr>
      </w:pPr>
      <w:permStart w:id="576" w:edGrp="everyone"/>
      <w:r>
        <w:rPr>
          <w:rFonts w:hint="eastAsia" w:ascii="宋体" w:hAnsi="宋体"/>
          <w:color w:val="000000"/>
          <w:szCs w:val="21"/>
        </w:rPr>
        <w:t xml:space="preserve">                                                                                   </w:t>
      </w:r>
      <w:permEnd w:id="576"/>
    </w:p>
    <w:p>
      <w:pPr>
        <w:spacing w:before="240" w:beforeLines="100" w:after="240" w:afterLines="100" w:line="450" w:lineRule="exact"/>
        <w:jc w:val="left"/>
        <w:outlineLvl w:val="3"/>
        <w:rPr>
          <w:rFonts w:ascii="黑体" w:hAnsi="宋体" w:eastAsia="黑体"/>
          <w:color w:val="000000"/>
          <w:sz w:val="28"/>
          <w:szCs w:val="28"/>
        </w:rPr>
      </w:pPr>
      <w:bookmarkStart w:id="1340" w:name="_Toc295812300"/>
      <w:bookmarkStart w:id="1341" w:name="_Toc114222869"/>
      <w:r>
        <w:rPr>
          <w:rFonts w:hint="eastAsia" w:ascii="黑体" w:hAnsi="宋体" w:eastAsia="黑体"/>
          <w:color w:val="000000"/>
          <w:sz w:val="28"/>
          <w:szCs w:val="28"/>
        </w:rPr>
        <w:t>15.竣工验收和工程移交</w:t>
      </w:r>
      <w:bookmarkEnd w:id="1340"/>
      <w:bookmarkEnd w:id="1341"/>
    </w:p>
    <w:p>
      <w:pPr>
        <w:rPr>
          <w:rFonts w:ascii="黑体" w:eastAsia="黑体"/>
          <w:color w:val="000000"/>
          <w:sz w:val="24"/>
        </w:rPr>
      </w:pPr>
      <w:r>
        <w:rPr>
          <w:rFonts w:hint="eastAsia" w:ascii="黑体" w:eastAsia="黑体"/>
          <w:color w:val="000000"/>
          <w:sz w:val="24"/>
        </w:rPr>
        <w:t>15.1竣工验收前的清理</w:t>
      </w:r>
    </w:p>
    <w:p>
      <w:pPr>
        <w:spacing w:line="420" w:lineRule="exact"/>
        <w:ind w:left="945" w:hanging="945" w:hangingChars="450"/>
        <w:jc w:val="left"/>
        <w:rPr>
          <w:rFonts w:ascii="宋体" w:hAnsi="宋体"/>
          <w:color w:val="000000"/>
          <w:szCs w:val="21"/>
        </w:rPr>
      </w:pPr>
      <w:r>
        <w:rPr>
          <w:rFonts w:hint="eastAsia" w:ascii="宋体" w:hAnsi="宋体"/>
          <w:color w:val="000000"/>
          <w:szCs w:val="21"/>
        </w:rPr>
        <w:t>15.1.1   在向监理人提交竣工验收申请报告前，承包人应当完成竣工验收前的清理工作，包括但不限于：</w:t>
      </w:r>
    </w:p>
    <w:p>
      <w:pPr>
        <w:spacing w:line="420" w:lineRule="exact"/>
        <w:ind w:left="945" w:leftChars="450"/>
        <w:jc w:val="left"/>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1</w:t>
      </w:r>
      <w:r>
        <w:rPr>
          <w:rFonts w:hint="eastAsia" w:ascii="宋体" w:hAnsi="宋体"/>
          <w:color w:val="000000"/>
          <w:szCs w:val="21"/>
          <w:lang w:eastAsia="zh-CN"/>
        </w:rPr>
        <w:t>）</w:t>
      </w:r>
      <w:r>
        <w:rPr>
          <w:rFonts w:hint="eastAsia" w:ascii="宋体" w:hAnsi="宋体"/>
          <w:color w:val="000000"/>
          <w:szCs w:val="21"/>
        </w:rPr>
        <w:t>从永久工程内清除所有剩余材料、杂物、垃圾等等；</w:t>
      </w:r>
    </w:p>
    <w:p>
      <w:pPr>
        <w:spacing w:line="420" w:lineRule="exact"/>
        <w:ind w:left="945" w:leftChars="450"/>
        <w:jc w:val="left"/>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2</w:t>
      </w:r>
      <w:r>
        <w:rPr>
          <w:rFonts w:hint="eastAsia" w:ascii="宋体" w:hAnsi="宋体"/>
          <w:color w:val="000000"/>
          <w:szCs w:val="21"/>
          <w:lang w:eastAsia="zh-CN"/>
        </w:rPr>
        <w:t>）</w:t>
      </w:r>
      <w:r>
        <w:rPr>
          <w:rFonts w:hint="eastAsia" w:ascii="宋体" w:hAnsi="宋体"/>
          <w:color w:val="000000"/>
          <w:szCs w:val="21"/>
        </w:rPr>
        <w:t>清洗工程的所有地面、墙面、楼面、路面等表面；</w:t>
      </w:r>
    </w:p>
    <w:p>
      <w:pPr>
        <w:spacing w:line="420" w:lineRule="exact"/>
        <w:ind w:left="945" w:leftChars="450"/>
        <w:jc w:val="left"/>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3</w:t>
      </w:r>
      <w:r>
        <w:rPr>
          <w:rFonts w:hint="eastAsia" w:ascii="宋体" w:hAnsi="宋体"/>
          <w:color w:val="000000"/>
          <w:szCs w:val="21"/>
          <w:lang w:eastAsia="zh-CN"/>
        </w:rPr>
        <w:t>）</w:t>
      </w:r>
      <w:r>
        <w:rPr>
          <w:rFonts w:hint="eastAsia" w:ascii="宋体" w:hAnsi="宋体"/>
          <w:color w:val="000000"/>
          <w:szCs w:val="21"/>
        </w:rPr>
        <w:t>清洗和擦洗所有玻璃、</w:t>
      </w:r>
      <w:r>
        <w:rPr>
          <w:rFonts w:hint="eastAsia" w:ascii="宋体" w:hAnsi="宋体"/>
          <w:color w:val="000000"/>
          <w:szCs w:val="21"/>
          <w:lang w:eastAsia="zh-CN"/>
        </w:rPr>
        <w:t>瓷砖</w:t>
      </w:r>
      <w:r>
        <w:rPr>
          <w:rFonts w:hint="eastAsia" w:ascii="宋体" w:hAnsi="宋体"/>
          <w:color w:val="000000"/>
          <w:szCs w:val="21"/>
        </w:rPr>
        <w:t>、石材和所有金属面；</w:t>
      </w:r>
    </w:p>
    <w:p>
      <w:pPr>
        <w:spacing w:line="420" w:lineRule="exact"/>
        <w:ind w:left="945" w:leftChars="450"/>
        <w:jc w:val="left"/>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4</w:t>
      </w:r>
      <w:r>
        <w:rPr>
          <w:rFonts w:hint="eastAsia" w:ascii="宋体" w:hAnsi="宋体"/>
          <w:color w:val="000000"/>
          <w:szCs w:val="21"/>
          <w:lang w:eastAsia="zh-CN"/>
        </w:rPr>
        <w:t>）</w:t>
      </w:r>
      <w:r>
        <w:rPr>
          <w:rFonts w:hint="eastAsia" w:ascii="宋体" w:hAnsi="宋体"/>
          <w:color w:val="000000"/>
          <w:szCs w:val="21"/>
        </w:rPr>
        <w:t>修缮所有损坏、清除所有污迹、替换所有需更换的材料；</w:t>
      </w:r>
    </w:p>
    <w:p>
      <w:pPr>
        <w:spacing w:line="420" w:lineRule="exact"/>
        <w:ind w:left="945" w:leftChars="450"/>
        <w:jc w:val="left"/>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5</w:t>
      </w:r>
      <w:r>
        <w:rPr>
          <w:rFonts w:hint="eastAsia" w:ascii="宋体" w:hAnsi="宋体"/>
          <w:color w:val="000000"/>
          <w:szCs w:val="21"/>
          <w:lang w:eastAsia="zh-CN"/>
        </w:rPr>
        <w:t>）</w:t>
      </w:r>
      <w:r>
        <w:rPr>
          <w:rFonts w:hint="eastAsia" w:ascii="宋体" w:hAnsi="宋体"/>
          <w:color w:val="000000"/>
          <w:szCs w:val="21"/>
        </w:rPr>
        <w:t>所有表面完成约定的装修和装饰；</w:t>
      </w:r>
    </w:p>
    <w:p>
      <w:pPr>
        <w:spacing w:line="420" w:lineRule="exact"/>
        <w:ind w:left="945" w:leftChars="450"/>
        <w:jc w:val="left"/>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6</w:t>
      </w:r>
      <w:r>
        <w:rPr>
          <w:rFonts w:hint="eastAsia" w:ascii="宋体" w:hAnsi="宋体"/>
          <w:color w:val="000000"/>
          <w:szCs w:val="21"/>
          <w:lang w:eastAsia="zh-CN"/>
        </w:rPr>
        <w:t>）</w:t>
      </w:r>
      <w:r>
        <w:rPr>
          <w:rFonts w:hint="eastAsia" w:ascii="宋体" w:hAnsi="宋体"/>
          <w:color w:val="000000"/>
          <w:szCs w:val="21"/>
        </w:rPr>
        <w:t>检查和调试所有的门、窗、抽屉等以确保他们开启的顺畅；</w:t>
      </w:r>
    </w:p>
    <w:p>
      <w:pPr>
        <w:spacing w:line="420" w:lineRule="exact"/>
        <w:ind w:left="945" w:leftChars="450"/>
        <w:jc w:val="left"/>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7</w:t>
      </w:r>
      <w:r>
        <w:rPr>
          <w:rFonts w:hint="eastAsia" w:ascii="宋体" w:hAnsi="宋体"/>
          <w:color w:val="000000"/>
          <w:szCs w:val="21"/>
          <w:lang w:eastAsia="zh-CN"/>
        </w:rPr>
        <w:t>）</w:t>
      </w:r>
      <w:r>
        <w:rPr>
          <w:rFonts w:hint="eastAsia" w:ascii="宋体" w:hAnsi="宋体"/>
          <w:color w:val="000000"/>
          <w:szCs w:val="21"/>
        </w:rPr>
        <w:t>检查和调试所有的五金件并上油；</w:t>
      </w:r>
    </w:p>
    <w:p>
      <w:pPr>
        <w:spacing w:line="420" w:lineRule="exact"/>
        <w:ind w:left="945" w:leftChars="450"/>
        <w:jc w:val="left"/>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8</w:t>
      </w:r>
      <w:r>
        <w:rPr>
          <w:rFonts w:hint="eastAsia" w:ascii="宋体" w:hAnsi="宋体"/>
          <w:color w:val="000000"/>
          <w:szCs w:val="21"/>
          <w:lang w:eastAsia="zh-CN"/>
        </w:rPr>
        <w:t>）</w:t>
      </w:r>
      <w:r>
        <w:rPr>
          <w:rFonts w:hint="eastAsia" w:ascii="宋体" w:hAnsi="宋体"/>
          <w:color w:val="000000"/>
          <w:szCs w:val="21"/>
        </w:rPr>
        <w:t>检查、测试和确保所有服务系统、设施和设备达到良好的运行状态和效果；</w:t>
      </w:r>
    </w:p>
    <w:p>
      <w:pPr>
        <w:spacing w:line="420" w:lineRule="exact"/>
        <w:ind w:left="945" w:leftChars="450"/>
        <w:jc w:val="left"/>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9</w:t>
      </w:r>
      <w:r>
        <w:rPr>
          <w:rFonts w:hint="eastAsia" w:ascii="宋体" w:hAnsi="宋体"/>
          <w:color w:val="000000"/>
          <w:szCs w:val="21"/>
          <w:lang w:eastAsia="zh-CN"/>
        </w:rPr>
        <w:t>）</w:t>
      </w:r>
      <w:r>
        <w:rPr>
          <w:rFonts w:hint="eastAsia" w:ascii="宋体" w:hAnsi="宋体"/>
          <w:color w:val="000000"/>
          <w:szCs w:val="21"/>
        </w:rPr>
        <w:t>所有钥匙</w:t>
      </w:r>
      <w:r>
        <w:rPr>
          <w:rFonts w:hint="eastAsia" w:ascii="宋体" w:hAnsi="宋体"/>
          <w:color w:val="000000"/>
          <w:szCs w:val="21"/>
          <w:lang w:eastAsia="zh-CN"/>
        </w:rPr>
        <w:t>（</w:t>
      </w:r>
      <w:r>
        <w:rPr>
          <w:rFonts w:hint="eastAsia" w:ascii="宋体" w:hAnsi="宋体"/>
          <w:color w:val="000000"/>
          <w:szCs w:val="21"/>
        </w:rPr>
        <w:t>如果有</w:t>
      </w:r>
      <w:r>
        <w:rPr>
          <w:rFonts w:hint="eastAsia" w:ascii="宋体" w:hAnsi="宋体"/>
          <w:color w:val="000000"/>
          <w:szCs w:val="21"/>
          <w:lang w:eastAsia="zh-CN"/>
        </w:rPr>
        <w:t>）</w:t>
      </w:r>
      <w:r>
        <w:rPr>
          <w:rFonts w:hint="eastAsia" w:ascii="宋体" w:hAnsi="宋体"/>
          <w:color w:val="000000"/>
          <w:szCs w:val="21"/>
        </w:rPr>
        <w:t>贴上标签并固定到钥匙</w:t>
      </w:r>
      <w:r>
        <w:rPr>
          <w:rFonts w:hint="eastAsia" w:ascii="宋体" w:hAnsi="宋体"/>
          <w:color w:val="000000"/>
          <w:szCs w:val="21"/>
          <w:lang w:eastAsia="zh-CN"/>
        </w:rPr>
        <w:t>牌</w:t>
      </w:r>
      <w:r>
        <w:rPr>
          <w:rFonts w:hint="eastAsia" w:ascii="宋体" w:hAnsi="宋体"/>
          <w:color w:val="000000"/>
          <w:szCs w:val="21"/>
        </w:rPr>
        <w:t>上随时可以交给监理人。</w:t>
      </w:r>
    </w:p>
    <w:p>
      <w:pPr>
        <w:spacing w:line="420" w:lineRule="exact"/>
        <w:jc w:val="left"/>
        <w:rPr>
          <w:rFonts w:ascii="宋体" w:hAnsi="宋体"/>
          <w:color w:val="000000"/>
          <w:szCs w:val="21"/>
        </w:rPr>
      </w:pPr>
      <w:r>
        <w:rPr>
          <w:rFonts w:hint="eastAsia" w:ascii="宋体" w:hAnsi="宋体"/>
          <w:color w:val="000000"/>
          <w:szCs w:val="21"/>
        </w:rPr>
        <w:t>15.1.2   清理工作所需费用由承包人承担。</w:t>
      </w:r>
    </w:p>
    <w:p>
      <w:pPr>
        <w:rPr>
          <w:rFonts w:ascii="黑体" w:eastAsia="黑体"/>
          <w:color w:val="000000"/>
          <w:sz w:val="24"/>
        </w:rPr>
      </w:pPr>
      <w:r>
        <w:rPr>
          <w:rFonts w:hint="eastAsia" w:ascii="黑体" w:eastAsia="黑体"/>
          <w:color w:val="000000"/>
          <w:sz w:val="24"/>
        </w:rPr>
        <w:t>15.2竣工验收申请报告</w:t>
      </w:r>
    </w:p>
    <w:p>
      <w:pPr>
        <w:spacing w:line="420" w:lineRule="exact"/>
        <w:ind w:left="945" w:hanging="945" w:hangingChars="450"/>
        <w:jc w:val="left"/>
        <w:rPr>
          <w:rFonts w:ascii="宋体" w:hAnsi="宋体"/>
          <w:color w:val="000000"/>
          <w:szCs w:val="21"/>
        </w:rPr>
      </w:pPr>
      <w:r>
        <w:rPr>
          <w:rFonts w:hint="eastAsia" w:ascii="宋体" w:hAnsi="宋体"/>
          <w:color w:val="000000"/>
          <w:szCs w:val="21"/>
        </w:rPr>
        <w:t>15.2.1   竣工验收申请报告，也称竣工验收报告，是承包人完成合同约定的工作内容后，按照国家有关施工质量验收标准的规定，经其自行检查，证明已经完成合同工作内容并符合合同约定，达到竣工验收标准，而向监理人或发包人提交的请求发包人组织进行合同工程竣工验收的一份书面申请函，合同约定的竣工验收资料和其他文件一般作为竣工验收申请报告的附件，是竣工验收申请报告的组成部分。</w:t>
      </w:r>
    </w:p>
    <w:p>
      <w:pPr>
        <w:spacing w:line="420" w:lineRule="exact"/>
        <w:ind w:left="945" w:hanging="945" w:hangingChars="450"/>
        <w:jc w:val="left"/>
        <w:rPr>
          <w:rFonts w:ascii="宋体" w:hAnsi="宋体"/>
          <w:color w:val="000000"/>
          <w:szCs w:val="21"/>
        </w:rPr>
      </w:pPr>
      <w:r>
        <w:rPr>
          <w:rFonts w:hint="eastAsia" w:ascii="宋体" w:hAnsi="宋体"/>
          <w:color w:val="000000"/>
          <w:szCs w:val="21"/>
        </w:rPr>
        <w:t>15.2.2   竣工验收申请报告一般应当包括工程概况说明，承包范围，分包工程情况，主要材料、设备供应情况，采用的主要施工方法，新材料、新技术和新工艺采用情况，自检质量情况等的说明。竣工验收申请报告的格式和应当包括的内容应事先经过监理人的审批。</w:t>
      </w:r>
    </w:p>
    <w:p>
      <w:pPr>
        <w:spacing w:line="420" w:lineRule="exact"/>
        <w:ind w:left="945" w:hanging="945" w:hangingChars="450"/>
        <w:jc w:val="left"/>
        <w:rPr>
          <w:rFonts w:ascii="宋体" w:hAnsi="宋体"/>
          <w:color w:val="000000"/>
          <w:szCs w:val="21"/>
        </w:rPr>
      </w:pPr>
      <w:r>
        <w:rPr>
          <w:rFonts w:hint="eastAsia" w:ascii="宋体" w:hAnsi="宋体"/>
          <w:color w:val="000000"/>
          <w:szCs w:val="21"/>
        </w:rPr>
        <w:t>15.2.3   竣工验收申请报告应当按通用合同条款第18.2款附上下列内容：</w:t>
      </w:r>
    </w:p>
    <w:p>
      <w:pPr>
        <w:spacing w:line="420" w:lineRule="exact"/>
        <w:ind w:left="1290" w:leftChars="450" w:hanging="345" w:hangingChars="150"/>
        <w:jc w:val="left"/>
        <w:rPr>
          <w:rFonts w:ascii="宋体" w:hAnsi="宋体"/>
          <w:color w:val="000000"/>
          <w:spacing w:val="10"/>
          <w:szCs w:val="21"/>
        </w:rPr>
      </w:pPr>
      <w:r>
        <w:rPr>
          <w:rFonts w:hint="eastAsia" w:ascii="宋体" w:hAnsi="宋体"/>
          <w:color w:val="000000"/>
          <w:spacing w:val="10"/>
          <w:szCs w:val="21"/>
          <w:lang w:eastAsia="zh-CN"/>
        </w:rPr>
        <w:t>（</w:t>
      </w:r>
      <w:r>
        <w:rPr>
          <w:rFonts w:hint="eastAsia" w:ascii="宋体" w:hAnsi="宋体"/>
          <w:color w:val="000000"/>
          <w:spacing w:val="10"/>
          <w:szCs w:val="21"/>
        </w:rPr>
        <w:t>1</w:t>
      </w:r>
      <w:r>
        <w:rPr>
          <w:rFonts w:hint="eastAsia" w:ascii="宋体" w:hAnsi="宋体"/>
          <w:color w:val="000000"/>
          <w:spacing w:val="10"/>
          <w:szCs w:val="21"/>
          <w:lang w:eastAsia="zh-CN"/>
        </w:rPr>
        <w:t>）</w:t>
      </w:r>
      <w:r>
        <w:rPr>
          <w:rFonts w:hint="eastAsia" w:ascii="宋体" w:hAnsi="宋体"/>
          <w:color w:val="000000"/>
          <w:spacing w:val="10"/>
          <w:szCs w:val="21"/>
        </w:rPr>
        <w:t>承包人的自行检查和评定记录文件，即除监理人同意列入缺陷责任期内完成的尾工</w:t>
      </w:r>
      <w:r>
        <w:rPr>
          <w:rFonts w:hint="eastAsia" w:ascii="宋体" w:hAnsi="宋体"/>
          <w:color w:val="000000"/>
          <w:spacing w:val="10"/>
          <w:szCs w:val="21"/>
          <w:lang w:eastAsia="zh-CN"/>
        </w:rPr>
        <w:t>（</w:t>
      </w:r>
      <w:r>
        <w:rPr>
          <w:rFonts w:hint="eastAsia" w:ascii="宋体" w:hAnsi="宋体"/>
          <w:color w:val="000000"/>
          <w:spacing w:val="10"/>
          <w:szCs w:val="21"/>
        </w:rPr>
        <w:t>甩项</w:t>
      </w:r>
      <w:r>
        <w:rPr>
          <w:rFonts w:hint="eastAsia" w:ascii="宋体" w:hAnsi="宋体"/>
          <w:color w:val="000000"/>
          <w:spacing w:val="10"/>
          <w:szCs w:val="21"/>
          <w:lang w:eastAsia="zh-CN"/>
        </w:rPr>
        <w:t>）</w:t>
      </w:r>
      <w:r>
        <w:rPr>
          <w:rFonts w:hint="eastAsia" w:ascii="宋体" w:hAnsi="宋体"/>
          <w:color w:val="000000"/>
          <w:spacing w:val="10"/>
          <w:szCs w:val="21"/>
        </w:rPr>
        <w:t>工程和缺陷修补工作外，合同范围内的全部单位工程以及有关工作，包括合同要求的试验、试运行以及检验和验收均已完成，并符合合同要求；</w:t>
      </w:r>
    </w:p>
    <w:p>
      <w:pPr>
        <w:spacing w:line="436" w:lineRule="exact"/>
        <w:ind w:left="945" w:leftChars="450"/>
        <w:jc w:val="left"/>
        <w:rPr>
          <w:rFonts w:ascii="宋体" w:hAnsi="宋体"/>
          <w:color w:val="000000"/>
          <w:szCs w:val="21"/>
        </w:rPr>
      </w:pPr>
      <w:r>
        <w:rPr>
          <w:rFonts w:hint="eastAsia" w:ascii="宋体" w:hAnsi="宋体"/>
          <w:color w:val="000000"/>
          <w:szCs w:val="21"/>
        </w:rPr>
        <w:t>（2）按专用合同条款第18.2(2</w:t>
      </w:r>
      <w:r>
        <w:rPr>
          <w:rFonts w:hint="eastAsia" w:ascii="宋体" w:hAnsi="宋体"/>
          <w:color w:val="000000"/>
          <w:szCs w:val="21"/>
          <w:lang w:eastAsia="zh-CN"/>
        </w:rPr>
        <w:t>）</w:t>
      </w:r>
      <w:r>
        <w:rPr>
          <w:rFonts w:hint="eastAsia" w:ascii="宋体" w:hAnsi="宋体"/>
          <w:color w:val="000000"/>
          <w:szCs w:val="21"/>
        </w:rPr>
        <w:t>目约定的内容和份数整理的符合要求的竣工资料；</w:t>
      </w:r>
    </w:p>
    <w:p>
      <w:pPr>
        <w:spacing w:line="436" w:lineRule="exact"/>
        <w:ind w:left="1470" w:leftChars="450" w:hanging="525" w:hangingChars="250"/>
        <w:jc w:val="left"/>
        <w:rPr>
          <w:rFonts w:ascii="宋体" w:hAnsi="宋体"/>
          <w:color w:val="000000"/>
          <w:szCs w:val="21"/>
        </w:rPr>
      </w:pPr>
      <w:r>
        <w:rPr>
          <w:rFonts w:hint="eastAsia" w:ascii="宋体" w:hAnsi="宋体"/>
          <w:color w:val="000000"/>
          <w:szCs w:val="21"/>
        </w:rPr>
        <w:t>（3）按监理人的要求编制了在缺陷责任期内完成的尾工</w:t>
      </w:r>
      <w:r>
        <w:rPr>
          <w:rFonts w:hint="eastAsia" w:ascii="宋体" w:hAnsi="宋体"/>
          <w:color w:val="000000"/>
          <w:szCs w:val="21"/>
          <w:lang w:eastAsia="zh-CN"/>
        </w:rPr>
        <w:t>（</w:t>
      </w:r>
      <w:r>
        <w:rPr>
          <w:rFonts w:hint="eastAsia" w:ascii="宋体" w:hAnsi="宋体"/>
          <w:color w:val="000000"/>
          <w:szCs w:val="21"/>
        </w:rPr>
        <w:t>甩项</w:t>
      </w:r>
      <w:r>
        <w:rPr>
          <w:rFonts w:hint="eastAsia" w:ascii="宋体" w:hAnsi="宋体"/>
          <w:color w:val="000000"/>
          <w:szCs w:val="21"/>
          <w:lang w:eastAsia="zh-CN"/>
        </w:rPr>
        <w:t>）</w:t>
      </w:r>
      <w:r>
        <w:rPr>
          <w:rFonts w:hint="eastAsia" w:ascii="宋体" w:hAnsi="宋体"/>
          <w:color w:val="000000"/>
          <w:szCs w:val="21"/>
        </w:rPr>
        <w:t>工程和缺陷修补工作清单以及相应施工计划；</w:t>
      </w:r>
    </w:p>
    <w:p>
      <w:pPr>
        <w:spacing w:line="436" w:lineRule="exact"/>
        <w:ind w:left="1470" w:leftChars="450" w:hanging="525" w:hangingChars="250"/>
        <w:jc w:val="left"/>
        <w:rPr>
          <w:rFonts w:ascii="宋体" w:hAnsi="宋体"/>
          <w:color w:val="000000"/>
          <w:szCs w:val="21"/>
        </w:rPr>
      </w:pPr>
      <w:r>
        <w:rPr>
          <w:rFonts w:hint="eastAsia" w:ascii="宋体" w:hAnsi="宋体"/>
          <w:color w:val="000000"/>
          <w:szCs w:val="21"/>
        </w:rPr>
        <w:t>（4）监理人要求在竣工验收前应完成的其他工作的证明材料；</w:t>
      </w:r>
    </w:p>
    <w:p>
      <w:pPr>
        <w:spacing w:line="436" w:lineRule="exact"/>
        <w:ind w:left="1470" w:leftChars="450" w:hanging="525" w:hangingChars="250"/>
        <w:jc w:val="left"/>
        <w:rPr>
          <w:rFonts w:ascii="宋体" w:hAnsi="宋体"/>
          <w:color w:val="000000"/>
          <w:szCs w:val="21"/>
        </w:rPr>
      </w:pPr>
      <w:r>
        <w:rPr>
          <w:rFonts w:hint="eastAsia" w:ascii="宋体" w:hAnsi="宋体"/>
          <w:color w:val="000000"/>
          <w:szCs w:val="21"/>
        </w:rPr>
        <w:t>（5）监理人要求提交的竣工验收资料清单；</w:t>
      </w:r>
    </w:p>
    <w:p>
      <w:pPr>
        <w:spacing w:line="436" w:lineRule="exact"/>
        <w:ind w:left="945" w:leftChars="450"/>
        <w:jc w:val="left"/>
        <w:rPr>
          <w:rFonts w:ascii="宋体" w:hAnsi="宋体"/>
          <w:color w:val="000000"/>
          <w:szCs w:val="21"/>
        </w:rPr>
      </w:pPr>
      <w:r>
        <w:rPr>
          <w:rFonts w:hint="eastAsia" w:ascii="宋体" w:hAnsi="宋体"/>
          <w:color w:val="000000"/>
          <w:szCs w:val="21"/>
        </w:rPr>
        <w:t>（6）通用合同条款第18.4.1项约定的单位工程竣工验收成果和结论文件</w:t>
      </w:r>
      <w:r>
        <w:rPr>
          <w:rFonts w:hint="eastAsia" w:ascii="宋体" w:hAnsi="宋体"/>
          <w:color w:val="000000"/>
          <w:szCs w:val="21"/>
          <w:lang w:eastAsia="zh-CN"/>
        </w:rPr>
        <w:t>（</w:t>
      </w:r>
      <w:r>
        <w:rPr>
          <w:rFonts w:hint="eastAsia" w:ascii="宋体" w:hAnsi="宋体"/>
          <w:color w:val="000000"/>
          <w:szCs w:val="21"/>
        </w:rPr>
        <w:t>如果有</w:t>
      </w:r>
      <w:r>
        <w:rPr>
          <w:rFonts w:hint="eastAsia" w:ascii="宋体" w:hAnsi="宋体"/>
          <w:color w:val="000000"/>
          <w:szCs w:val="21"/>
          <w:lang w:eastAsia="zh-CN"/>
        </w:rPr>
        <w:t>）</w:t>
      </w:r>
      <w:r>
        <w:rPr>
          <w:rFonts w:hint="eastAsia" w:ascii="宋体" w:hAnsi="宋体"/>
          <w:color w:val="000000"/>
          <w:szCs w:val="21"/>
        </w:rPr>
        <w:t>；</w:t>
      </w:r>
    </w:p>
    <w:p>
      <w:pPr>
        <w:spacing w:line="436" w:lineRule="exact"/>
        <w:ind w:left="945" w:leftChars="450"/>
        <w:jc w:val="left"/>
        <w:rPr>
          <w:rFonts w:ascii="宋体" w:hAnsi="宋体"/>
          <w:color w:val="000000"/>
          <w:szCs w:val="21"/>
        </w:rPr>
      </w:pPr>
      <w:r>
        <w:rPr>
          <w:rFonts w:hint="eastAsia" w:ascii="宋体" w:hAnsi="宋体"/>
          <w:color w:val="000000"/>
          <w:szCs w:val="21"/>
        </w:rPr>
        <w:t>（7）专用合同条款第19.7款约定的质量保修书</w:t>
      </w:r>
      <w:r>
        <w:rPr>
          <w:rFonts w:hint="eastAsia" w:ascii="宋体" w:hAnsi="宋体"/>
          <w:color w:val="000000"/>
          <w:szCs w:val="21"/>
          <w:lang w:eastAsia="zh-CN"/>
        </w:rPr>
        <w:t>（</w:t>
      </w:r>
      <w:r>
        <w:rPr>
          <w:rFonts w:hint="eastAsia" w:ascii="宋体" w:hAnsi="宋体"/>
          <w:color w:val="000000"/>
          <w:szCs w:val="21"/>
        </w:rPr>
        <w:t>此前已经提交的不再提交</w:t>
      </w:r>
      <w:r>
        <w:rPr>
          <w:rFonts w:hint="eastAsia" w:ascii="宋体" w:hAnsi="宋体"/>
          <w:color w:val="000000"/>
          <w:szCs w:val="21"/>
          <w:lang w:eastAsia="zh-CN"/>
        </w:rPr>
        <w:t>）</w:t>
      </w:r>
      <w:r>
        <w:rPr>
          <w:rFonts w:hint="eastAsia" w:ascii="宋体" w:hAnsi="宋体"/>
          <w:color w:val="000000"/>
          <w:szCs w:val="21"/>
        </w:rPr>
        <w:t>；</w:t>
      </w:r>
    </w:p>
    <w:p>
      <w:pPr>
        <w:spacing w:line="436" w:lineRule="exact"/>
        <w:ind w:left="945" w:leftChars="450"/>
        <w:jc w:val="left"/>
        <w:rPr>
          <w:rFonts w:ascii="宋体" w:hAnsi="宋体"/>
          <w:color w:val="000000"/>
          <w:szCs w:val="21"/>
        </w:rPr>
      </w:pPr>
      <w:r>
        <w:rPr>
          <w:rFonts w:hint="eastAsia" w:ascii="宋体" w:hAnsi="宋体"/>
          <w:color w:val="000000"/>
          <w:szCs w:val="21"/>
        </w:rPr>
        <w:t>（8）其他</w:t>
      </w:r>
      <w:r>
        <w:rPr>
          <w:rFonts w:hint="eastAsia" w:ascii="宋体" w:hAnsi="宋体"/>
          <w:color w:val="000000"/>
          <w:szCs w:val="21"/>
          <w:lang w:eastAsia="zh-CN"/>
        </w:rPr>
        <w:t>：</w:t>
      </w:r>
    </w:p>
    <w:p>
      <w:pPr>
        <w:rPr>
          <w:rFonts w:ascii="黑体" w:eastAsia="黑体"/>
          <w:color w:val="000000"/>
          <w:sz w:val="24"/>
        </w:rPr>
      </w:pPr>
      <w:r>
        <w:rPr>
          <w:rFonts w:hint="eastAsia" w:ascii="黑体" w:eastAsia="黑体"/>
          <w:color w:val="000000"/>
          <w:sz w:val="24"/>
        </w:rPr>
        <w:t>15.3竣工清场</w:t>
      </w:r>
    </w:p>
    <w:p>
      <w:pPr>
        <w:spacing w:line="436" w:lineRule="exact"/>
        <w:ind w:left="945" w:hanging="945" w:hangingChars="450"/>
        <w:jc w:val="left"/>
        <w:rPr>
          <w:rFonts w:ascii="宋体" w:hAnsi="宋体"/>
          <w:color w:val="000000"/>
          <w:szCs w:val="21"/>
        </w:rPr>
      </w:pPr>
      <w:r>
        <w:rPr>
          <w:rFonts w:hint="eastAsia" w:ascii="宋体" w:hAnsi="宋体"/>
          <w:color w:val="000000"/>
          <w:szCs w:val="21"/>
        </w:rPr>
        <w:t>15.3.1   监理人颁发</w:t>
      </w:r>
      <w:r>
        <w:rPr>
          <w:rFonts w:hint="eastAsia" w:ascii="宋体" w:hAnsi="宋体"/>
          <w:color w:val="000000"/>
          <w:szCs w:val="21"/>
          <w:lang w:eastAsia="zh-CN"/>
        </w:rPr>
        <w:t>（</w:t>
      </w:r>
      <w:r>
        <w:rPr>
          <w:rFonts w:hint="eastAsia" w:ascii="宋体" w:hAnsi="宋体"/>
          <w:color w:val="000000"/>
          <w:szCs w:val="21"/>
        </w:rPr>
        <w:t>出具</w:t>
      </w:r>
      <w:r>
        <w:rPr>
          <w:rFonts w:hint="eastAsia" w:ascii="宋体" w:hAnsi="宋体"/>
          <w:color w:val="000000"/>
          <w:szCs w:val="21"/>
          <w:lang w:eastAsia="zh-CN"/>
        </w:rPr>
        <w:t>）</w:t>
      </w:r>
      <w:r>
        <w:rPr>
          <w:rFonts w:hint="eastAsia" w:ascii="宋体" w:hAnsi="宋体"/>
          <w:color w:val="000000"/>
          <w:szCs w:val="21"/>
        </w:rPr>
        <w:t>工程接收证书后，承包人应在56天内按以下要求对施工场地</w:t>
      </w:r>
      <w:r>
        <w:rPr>
          <w:rFonts w:hint="eastAsia" w:ascii="宋体" w:hAnsi="宋体"/>
          <w:color w:val="000000"/>
          <w:szCs w:val="21"/>
          <w:lang w:eastAsia="zh-CN"/>
        </w:rPr>
        <w:t>（</w:t>
      </w:r>
      <w:r>
        <w:rPr>
          <w:rFonts w:hint="eastAsia" w:ascii="宋体" w:hAnsi="宋体"/>
          <w:color w:val="000000"/>
          <w:szCs w:val="21"/>
        </w:rPr>
        <w:t>现场</w:t>
      </w:r>
      <w:r>
        <w:rPr>
          <w:rFonts w:hint="eastAsia" w:ascii="宋体" w:hAnsi="宋体"/>
          <w:color w:val="000000"/>
          <w:szCs w:val="21"/>
          <w:lang w:eastAsia="zh-CN"/>
        </w:rPr>
        <w:t>）</w:t>
      </w:r>
      <w:r>
        <w:rPr>
          <w:rFonts w:hint="eastAsia" w:ascii="宋体" w:hAnsi="宋体"/>
          <w:color w:val="000000"/>
          <w:szCs w:val="21"/>
        </w:rPr>
        <w:t>进行清理：</w:t>
      </w:r>
    </w:p>
    <w:p>
      <w:pPr>
        <w:spacing w:line="436" w:lineRule="exact"/>
        <w:ind w:firstLine="945" w:firstLineChars="450"/>
        <w:jc w:val="left"/>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1</w:t>
      </w:r>
      <w:r>
        <w:rPr>
          <w:rFonts w:hint="eastAsia" w:ascii="宋体" w:hAnsi="宋体"/>
          <w:color w:val="000000"/>
          <w:szCs w:val="21"/>
          <w:lang w:eastAsia="zh-CN"/>
        </w:rPr>
        <w:t>）</w:t>
      </w:r>
      <w:r>
        <w:rPr>
          <w:rFonts w:hint="eastAsia" w:ascii="宋体" w:hAnsi="宋体"/>
          <w:color w:val="000000"/>
          <w:szCs w:val="21"/>
        </w:rPr>
        <w:t>从施工场地</w:t>
      </w:r>
      <w:r>
        <w:rPr>
          <w:rFonts w:hint="eastAsia" w:ascii="宋体" w:hAnsi="宋体"/>
          <w:color w:val="000000"/>
          <w:szCs w:val="21"/>
          <w:lang w:eastAsia="zh-CN"/>
        </w:rPr>
        <w:t>（</w:t>
      </w:r>
      <w:r>
        <w:rPr>
          <w:rFonts w:hint="eastAsia" w:ascii="宋体" w:hAnsi="宋体"/>
          <w:color w:val="000000"/>
          <w:szCs w:val="21"/>
        </w:rPr>
        <w:t>现场</w:t>
      </w:r>
      <w:r>
        <w:rPr>
          <w:rFonts w:hint="eastAsia" w:ascii="宋体" w:hAnsi="宋体"/>
          <w:color w:val="000000"/>
          <w:szCs w:val="21"/>
          <w:lang w:eastAsia="zh-CN"/>
        </w:rPr>
        <w:t>）</w:t>
      </w:r>
      <w:r>
        <w:rPr>
          <w:rFonts w:hint="eastAsia" w:ascii="宋体" w:hAnsi="宋体"/>
          <w:color w:val="000000"/>
          <w:szCs w:val="21"/>
        </w:rPr>
        <w:t>清除所有杂物和垃圾等等；</w:t>
      </w:r>
    </w:p>
    <w:p>
      <w:pPr>
        <w:spacing w:line="436" w:lineRule="exact"/>
        <w:ind w:left="1260" w:leftChars="450" w:hanging="315" w:hangingChars="150"/>
        <w:jc w:val="left"/>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2</w:t>
      </w:r>
      <w:r>
        <w:rPr>
          <w:rFonts w:hint="eastAsia" w:ascii="宋体" w:hAnsi="宋体"/>
          <w:color w:val="000000"/>
          <w:szCs w:val="21"/>
          <w:lang w:eastAsia="zh-CN"/>
        </w:rPr>
        <w:t>）</w:t>
      </w:r>
      <w:r>
        <w:rPr>
          <w:rFonts w:hint="eastAsia" w:ascii="宋体" w:hAnsi="宋体"/>
          <w:color w:val="000000"/>
          <w:szCs w:val="21"/>
        </w:rPr>
        <w:t>从施工场地现场拆除所有的临时工程和临时设施并恢复地面原状，但经监理人批准的护坡桩、锚杆、塔吊基础和无法拆除的埋入式模板等无法拆除的临时设施除外；</w:t>
      </w:r>
    </w:p>
    <w:p>
      <w:pPr>
        <w:spacing w:line="436" w:lineRule="exact"/>
        <w:ind w:left="1395" w:leftChars="450" w:hanging="450"/>
        <w:jc w:val="left"/>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3</w:t>
      </w:r>
      <w:r>
        <w:rPr>
          <w:rFonts w:hint="eastAsia" w:ascii="宋体" w:hAnsi="宋体"/>
          <w:color w:val="000000"/>
          <w:szCs w:val="21"/>
          <w:lang w:eastAsia="zh-CN"/>
        </w:rPr>
        <w:t>）</w:t>
      </w:r>
      <w:r>
        <w:rPr>
          <w:rFonts w:hint="eastAsia" w:ascii="宋体" w:hAnsi="宋体"/>
          <w:color w:val="000000"/>
          <w:szCs w:val="21"/>
        </w:rPr>
        <w:t>撤离所有承包人施工设备和剩余材料</w:t>
      </w:r>
      <w:r>
        <w:rPr>
          <w:rFonts w:hint="eastAsia" w:ascii="宋体" w:hAnsi="宋体"/>
          <w:color w:val="000000"/>
          <w:szCs w:val="21"/>
          <w:lang w:eastAsia="zh-CN"/>
        </w:rPr>
        <w:t>（</w:t>
      </w:r>
      <w:r>
        <w:rPr>
          <w:rFonts w:hint="eastAsia" w:ascii="宋体" w:hAnsi="宋体"/>
          <w:color w:val="000000"/>
          <w:szCs w:val="21"/>
        </w:rPr>
        <w:t>经监理人同意需在缺陷责任期内继续使用的除外</w:t>
      </w:r>
      <w:r>
        <w:rPr>
          <w:rFonts w:hint="eastAsia" w:ascii="宋体" w:hAnsi="宋体"/>
          <w:color w:val="000000"/>
          <w:szCs w:val="21"/>
          <w:lang w:eastAsia="zh-CN"/>
        </w:rPr>
        <w:t>）</w:t>
      </w:r>
      <w:r>
        <w:rPr>
          <w:rFonts w:hint="eastAsia" w:ascii="宋体" w:hAnsi="宋体"/>
          <w:color w:val="000000"/>
          <w:szCs w:val="21"/>
        </w:rPr>
        <w:t>；</w:t>
      </w:r>
    </w:p>
    <w:p>
      <w:pPr>
        <w:spacing w:line="436" w:lineRule="exact"/>
        <w:ind w:left="1395" w:leftChars="450" w:hanging="450"/>
        <w:jc w:val="left"/>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4</w:t>
      </w:r>
      <w:r>
        <w:rPr>
          <w:rFonts w:hint="eastAsia" w:ascii="宋体" w:hAnsi="宋体"/>
          <w:color w:val="000000"/>
          <w:szCs w:val="21"/>
          <w:lang w:eastAsia="zh-CN"/>
        </w:rPr>
        <w:t>）</w:t>
      </w:r>
      <w:r>
        <w:rPr>
          <w:rFonts w:hint="eastAsia" w:ascii="宋体" w:hAnsi="宋体"/>
          <w:color w:val="000000"/>
          <w:szCs w:val="21"/>
        </w:rPr>
        <w:t>监理人指示的其他清场工作。</w:t>
      </w:r>
    </w:p>
    <w:p>
      <w:pPr>
        <w:spacing w:before="240" w:beforeLines="100" w:after="240" w:afterLines="100" w:line="436" w:lineRule="exact"/>
        <w:jc w:val="left"/>
        <w:outlineLvl w:val="3"/>
        <w:rPr>
          <w:rFonts w:ascii="黑体" w:hAnsi="宋体" w:eastAsia="黑体"/>
          <w:color w:val="000000"/>
          <w:sz w:val="28"/>
          <w:szCs w:val="28"/>
        </w:rPr>
      </w:pPr>
      <w:bookmarkStart w:id="1342" w:name="_Toc114222870"/>
      <w:r>
        <w:rPr>
          <w:rFonts w:ascii="黑体" w:hAnsi="宋体" w:eastAsia="黑体"/>
          <w:color w:val="000000"/>
          <w:sz w:val="28"/>
          <w:szCs w:val="28"/>
        </w:rPr>
        <w:t>16</w:t>
      </w:r>
      <w:r>
        <w:rPr>
          <w:rFonts w:hint="eastAsia" w:ascii="黑体" w:hAnsi="宋体" w:eastAsia="黑体"/>
          <w:color w:val="000000"/>
          <w:sz w:val="28"/>
          <w:szCs w:val="28"/>
        </w:rPr>
        <w:t>.BIM技术工作要求（如有）</w:t>
      </w:r>
      <w:bookmarkEnd w:id="1342"/>
    </w:p>
    <w:p>
      <w:pPr>
        <w:pStyle w:val="14"/>
      </w:pPr>
      <w:r>
        <w:rPr>
          <w:rFonts w:hint="eastAsia"/>
        </w:rPr>
        <w:t>16.1招标人根据项目情况，在一定区域创建bim模型，BIM模型精度满足LOD 要求，供投标人编制BIM投标文件</w:t>
      </w:r>
    </w:p>
    <w:p>
      <w:pPr>
        <w:pStyle w:val="14"/>
        <w:rPr>
          <w:rFonts w:ascii="黑体" w:hAnsi="宋体" w:eastAsia="黑体"/>
          <w:color w:val="000000"/>
          <w:sz w:val="28"/>
          <w:szCs w:val="28"/>
        </w:rPr>
      </w:pPr>
      <w:r>
        <w:rPr>
          <w:rFonts w:hint="eastAsia"/>
        </w:rPr>
        <w:t>16.2投标人需按照招标人提供的bim模型按照招标文件评标办法编制投标文件参与投标。</w:t>
      </w:r>
      <w:r>
        <w:rPr>
          <w:rFonts w:hint="eastAsia" w:ascii="黑体" w:hAnsi="宋体" w:eastAsia="黑体"/>
          <w:color w:val="000000"/>
          <w:sz w:val="28"/>
          <w:szCs w:val="28"/>
        </w:rPr>
        <w:br w:type="page"/>
      </w:r>
      <w:bookmarkStart w:id="1343" w:name="_Toc295812302"/>
      <w:r>
        <w:rPr>
          <w:rFonts w:hint="eastAsia" w:ascii="黑体" w:hAnsi="宋体" w:eastAsia="黑体"/>
          <w:color w:val="000000"/>
          <w:sz w:val="28"/>
          <w:szCs w:val="28"/>
        </w:rPr>
        <w:t>第二节  特殊技术标准和要求</w:t>
      </w:r>
      <w:bookmarkEnd w:id="1343"/>
    </w:p>
    <w:p>
      <w:pPr>
        <w:spacing w:before="240" w:beforeLines="100" w:after="240" w:afterLines="100" w:line="500" w:lineRule="exact"/>
        <w:jc w:val="left"/>
        <w:outlineLvl w:val="3"/>
        <w:rPr>
          <w:rFonts w:ascii="黑体" w:hAnsi="宋体" w:eastAsia="黑体"/>
          <w:color w:val="000000"/>
          <w:sz w:val="24"/>
        </w:rPr>
      </w:pPr>
      <w:bookmarkStart w:id="1344" w:name="_Toc114222871"/>
      <w:bookmarkStart w:id="1345" w:name="_Toc295812303"/>
      <w:r>
        <w:rPr>
          <w:rFonts w:hint="eastAsia" w:ascii="黑体" w:hAnsi="宋体" w:eastAsia="黑体"/>
          <w:color w:val="000000"/>
          <w:sz w:val="24"/>
        </w:rPr>
        <w:t>1．材料和工程设备技术要求</w:t>
      </w:r>
      <w:bookmarkEnd w:id="1344"/>
      <w:bookmarkEnd w:id="1345"/>
    </w:p>
    <w:p>
      <w:pPr>
        <w:spacing w:line="500" w:lineRule="exact"/>
        <w:jc w:val="left"/>
        <w:rPr>
          <w:rFonts w:ascii="宋体" w:hAnsi="宋体"/>
          <w:color w:val="000000"/>
          <w:szCs w:val="21"/>
        </w:rPr>
      </w:pPr>
      <w:r>
        <w:rPr>
          <w:rFonts w:hint="eastAsia" w:ascii="宋体" w:hAnsi="宋体"/>
          <w:color w:val="000000"/>
          <w:szCs w:val="21"/>
        </w:rPr>
        <w:t>1.1      承包人自行施工范围内的部分材料和工程设备技术要求如下：</w:t>
      </w:r>
    </w:p>
    <w:p>
      <w:pPr>
        <w:spacing w:line="500" w:lineRule="exact"/>
        <w:jc w:val="left"/>
        <w:rPr>
          <w:rFonts w:ascii="宋体" w:hAnsi="宋体"/>
          <w:color w:val="000000"/>
          <w:szCs w:val="21"/>
          <w:u w:val="single"/>
        </w:rPr>
      </w:pPr>
      <w:permStart w:id="577" w:edGrp="everyone"/>
      <w:r>
        <w:rPr>
          <w:rFonts w:hint="eastAsia" w:ascii="宋体" w:hAnsi="宋体"/>
          <w:color w:val="000000"/>
          <w:szCs w:val="21"/>
          <w:u w:val="single"/>
        </w:rPr>
        <w:t xml:space="preserve"> </w:t>
      </w:r>
      <w:r>
        <w:rPr>
          <w:rFonts w:ascii="宋体" w:hAnsi="宋体"/>
          <w:color w:val="000000"/>
          <w:szCs w:val="21"/>
          <w:u w:val="single"/>
        </w:rPr>
        <w:t xml:space="preserve"> </w:t>
      </w:r>
      <w:permEnd w:id="577"/>
    </w:p>
    <w:p>
      <w:pPr>
        <w:spacing w:line="500" w:lineRule="exact"/>
        <w:jc w:val="left"/>
        <w:rPr>
          <w:rFonts w:ascii="宋体" w:hAnsi="宋体"/>
          <w:color w:val="000000"/>
          <w:szCs w:val="21"/>
          <w:u w:val="single"/>
        </w:rPr>
      </w:pPr>
      <w:permStart w:id="578" w:edGrp="everyone"/>
      <w:r>
        <w:rPr>
          <w:rFonts w:hint="eastAsia" w:ascii="宋体" w:hAnsi="宋体"/>
          <w:color w:val="000000"/>
          <w:szCs w:val="21"/>
          <w:u w:val="single"/>
        </w:rPr>
        <w:t xml:space="preserve"> </w:t>
      </w:r>
      <w:r>
        <w:rPr>
          <w:rFonts w:ascii="宋体" w:hAnsi="宋体"/>
          <w:color w:val="000000"/>
          <w:szCs w:val="21"/>
          <w:u w:val="single"/>
        </w:rPr>
        <w:t xml:space="preserve"> </w:t>
      </w:r>
      <w:permEnd w:id="578"/>
    </w:p>
    <w:p>
      <w:pPr>
        <w:spacing w:line="500" w:lineRule="exact"/>
        <w:jc w:val="left"/>
        <w:rPr>
          <w:rFonts w:ascii="宋体" w:hAnsi="宋体"/>
          <w:color w:val="000000"/>
          <w:szCs w:val="21"/>
          <w:u w:val="single"/>
        </w:rPr>
      </w:pPr>
      <w:permStart w:id="579" w:edGrp="everyone"/>
      <w:r>
        <w:rPr>
          <w:rFonts w:hint="eastAsia" w:ascii="宋体" w:hAnsi="宋体"/>
          <w:color w:val="000000"/>
          <w:szCs w:val="21"/>
          <w:u w:val="single"/>
        </w:rPr>
        <w:t xml:space="preserve"> </w:t>
      </w:r>
      <w:r>
        <w:rPr>
          <w:rFonts w:ascii="宋体" w:hAnsi="宋体"/>
          <w:color w:val="000000"/>
          <w:szCs w:val="21"/>
          <w:u w:val="single"/>
        </w:rPr>
        <w:t xml:space="preserve"> </w:t>
      </w:r>
      <w:permEnd w:id="579"/>
    </w:p>
    <w:p>
      <w:pPr>
        <w:spacing w:line="500" w:lineRule="exact"/>
        <w:jc w:val="left"/>
        <w:rPr>
          <w:rFonts w:ascii="宋体" w:hAnsi="宋体"/>
          <w:color w:val="000000"/>
          <w:szCs w:val="21"/>
          <w:u w:val="single"/>
        </w:rPr>
      </w:pPr>
      <w:permStart w:id="580" w:edGrp="everyone"/>
      <w:r>
        <w:rPr>
          <w:rFonts w:hint="eastAsia" w:ascii="宋体" w:hAnsi="宋体"/>
          <w:color w:val="000000"/>
          <w:szCs w:val="21"/>
          <w:u w:val="single"/>
        </w:rPr>
        <w:t xml:space="preserve"> </w:t>
      </w:r>
      <w:r>
        <w:rPr>
          <w:rFonts w:ascii="宋体" w:hAnsi="宋体"/>
          <w:color w:val="000000"/>
          <w:szCs w:val="21"/>
          <w:u w:val="single"/>
        </w:rPr>
        <w:t xml:space="preserve"> </w:t>
      </w:r>
      <w:permEnd w:id="580"/>
    </w:p>
    <w:p>
      <w:pPr>
        <w:spacing w:line="500" w:lineRule="exact"/>
        <w:jc w:val="left"/>
        <w:rPr>
          <w:rFonts w:ascii="宋体" w:hAnsi="宋体"/>
          <w:color w:val="000000"/>
          <w:szCs w:val="21"/>
          <w:u w:val="single"/>
        </w:rPr>
      </w:pPr>
      <w:permStart w:id="581" w:edGrp="everyone"/>
      <w:r>
        <w:rPr>
          <w:rFonts w:hint="eastAsia" w:ascii="宋体" w:hAnsi="宋体"/>
          <w:color w:val="000000"/>
          <w:szCs w:val="21"/>
          <w:u w:val="single"/>
        </w:rPr>
        <w:t xml:space="preserve"> </w:t>
      </w:r>
      <w:r>
        <w:rPr>
          <w:rFonts w:ascii="宋体" w:hAnsi="宋体"/>
          <w:color w:val="000000"/>
          <w:szCs w:val="21"/>
          <w:u w:val="single"/>
        </w:rPr>
        <w:t xml:space="preserve"> </w:t>
      </w:r>
      <w:permEnd w:id="581"/>
    </w:p>
    <w:p>
      <w:pPr>
        <w:spacing w:line="500" w:lineRule="exact"/>
        <w:jc w:val="left"/>
        <w:rPr>
          <w:rFonts w:ascii="宋体" w:hAnsi="宋体"/>
          <w:color w:val="000000"/>
          <w:szCs w:val="21"/>
          <w:u w:val="single"/>
        </w:rPr>
      </w:pPr>
      <w:permStart w:id="582" w:edGrp="everyone"/>
    </w:p>
    <w:permEnd w:id="582"/>
    <w:p>
      <w:pPr>
        <w:spacing w:line="500" w:lineRule="exact"/>
        <w:jc w:val="left"/>
        <w:rPr>
          <w:rFonts w:ascii="宋体" w:hAnsi="宋体"/>
          <w:color w:val="000000"/>
          <w:szCs w:val="21"/>
        </w:rPr>
      </w:pPr>
    </w:p>
    <w:p>
      <w:pPr>
        <w:spacing w:line="500" w:lineRule="exact"/>
        <w:ind w:left="945" w:leftChars="450"/>
        <w:jc w:val="left"/>
        <w:rPr>
          <w:rFonts w:ascii="宋体" w:hAnsi="宋体"/>
          <w:color w:val="000000"/>
          <w:szCs w:val="21"/>
        </w:rPr>
      </w:pPr>
      <w:r>
        <w:rPr>
          <w:rFonts w:hint="eastAsia" w:ascii="宋体" w:hAnsi="宋体"/>
          <w:color w:val="000000"/>
          <w:szCs w:val="21"/>
        </w:rPr>
        <w:t>上述材料和工程设备技术要求中如果出现了参考品牌或规格型号，其目的是为了方便承包人直观和准确地把握相应材料和工程设备的技术标准，不具指定或唯一的意思表示，承包人应当参考所列品牌的材料和工程设备，采购相当于或高于所列品牌技术标准的材料和工程设备。</w:t>
      </w:r>
    </w:p>
    <w:p>
      <w:pPr>
        <w:spacing w:line="500" w:lineRule="exact"/>
        <w:jc w:val="left"/>
        <w:rPr>
          <w:rFonts w:ascii="宋体" w:hAnsi="宋体"/>
          <w:color w:val="000000"/>
          <w:szCs w:val="21"/>
        </w:rPr>
      </w:pPr>
      <w:r>
        <w:rPr>
          <w:rFonts w:hint="eastAsia" w:ascii="宋体" w:hAnsi="宋体"/>
          <w:color w:val="000000"/>
          <w:szCs w:val="21"/>
        </w:rPr>
        <w:t>1.2      承包人自行施工范围内的材料和工程设备选型允许的偏离如下：</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8"/>
        <w:gridCol w:w="2120"/>
        <w:gridCol w:w="1744"/>
        <w:gridCol w:w="1744"/>
        <w:gridCol w:w="1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1" w:hRule="atLeast"/>
        </w:trPr>
        <w:tc>
          <w:tcPr>
            <w:tcW w:w="1368" w:type="dxa"/>
            <w:vAlign w:val="center"/>
          </w:tcPr>
          <w:p>
            <w:pPr>
              <w:jc w:val="center"/>
              <w:rPr>
                <w:rFonts w:ascii="宋体" w:hAnsi="宋体"/>
                <w:color w:val="000000"/>
                <w:szCs w:val="21"/>
              </w:rPr>
            </w:pPr>
            <w:permStart w:id="583" w:edGrp="everyone" w:colFirst="0" w:colLast="0"/>
            <w:permStart w:id="584" w:edGrp="everyone" w:colFirst="1" w:colLast="1"/>
            <w:permStart w:id="585" w:edGrp="everyone" w:colFirst="2" w:colLast="2"/>
            <w:permStart w:id="586" w:edGrp="everyone" w:colFirst="3" w:colLast="3"/>
            <w:permStart w:id="587" w:edGrp="everyone" w:colFirst="4" w:colLast="4"/>
            <w:r>
              <w:rPr>
                <w:rFonts w:hint="eastAsia" w:ascii="宋体" w:hAnsi="宋体"/>
                <w:color w:val="000000"/>
                <w:szCs w:val="21"/>
              </w:rPr>
              <w:t>序号</w:t>
            </w:r>
          </w:p>
        </w:tc>
        <w:tc>
          <w:tcPr>
            <w:tcW w:w="2120" w:type="dxa"/>
            <w:vAlign w:val="center"/>
          </w:tcPr>
          <w:p>
            <w:pPr>
              <w:jc w:val="center"/>
              <w:rPr>
                <w:rFonts w:ascii="宋体" w:hAnsi="宋体"/>
                <w:color w:val="000000"/>
                <w:szCs w:val="21"/>
              </w:rPr>
            </w:pPr>
            <w:r>
              <w:rPr>
                <w:rFonts w:hint="eastAsia" w:ascii="宋体" w:hAnsi="宋体"/>
                <w:color w:val="000000"/>
                <w:szCs w:val="21"/>
              </w:rPr>
              <w:t>材料和工程设备</w:t>
            </w:r>
          </w:p>
          <w:p>
            <w:pPr>
              <w:jc w:val="center"/>
              <w:rPr>
                <w:rFonts w:ascii="宋体" w:hAnsi="宋体"/>
                <w:color w:val="000000"/>
                <w:szCs w:val="21"/>
              </w:rPr>
            </w:pPr>
            <w:r>
              <w:rPr>
                <w:rFonts w:hint="eastAsia" w:ascii="宋体" w:hAnsi="宋体"/>
                <w:color w:val="000000"/>
                <w:szCs w:val="21"/>
              </w:rPr>
              <w:t>名称</w:t>
            </w:r>
          </w:p>
        </w:tc>
        <w:tc>
          <w:tcPr>
            <w:tcW w:w="1744" w:type="dxa"/>
            <w:vAlign w:val="center"/>
          </w:tcPr>
          <w:p>
            <w:pPr>
              <w:jc w:val="center"/>
              <w:rPr>
                <w:rFonts w:ascii="宋体" w:hAnsi="宋体"/>
                <w:color w:val="000000"/>
                <w:szCs w:val="21"/>
              </w:rPr>
            </w:pPr>
            <w:r>
              <w:rPr>
                <w:rFonts w:hint="eastAsia" w:ascii="宋体" w:hAnsi="宋体"/>
                <w:color w:val="000000"/>
                <w:szCs w:val="21"/>
              </w:rPr>
              <w:t>技术指标</w:t>
            </w:r>
          </w:p>
        </w:tc>
        <w:tc>
          <w:tcPr>
            <w:tcW w:w="1744" w:type="dxa"/>
            <w:vAlign w:val="center"/>
          </w:tcPr>
          <w:p>
            <w:pPr>
              <w:jc w:val="center"/>
              <w:rPr>
                <w:rFonts w:ascii="宋体" w:hAnsi="宋体"/>
                <w:color w:val="000000"/>
                <w:szCs w:val="21"/>
              </w:rPr>
            </w:pPr>
            <w:r>
              <w:rPr>
                <w:rFonts w:hint="eastAsia" w:ascii="宋体" w:hAnsi="宋体"/>
                <w:color w:val="000000"/>
                <w:szCs w:val="21"/>
              </w:rPr>
              <w:t>允许偏离范围</w:t>
            </w:r>
          </w:p>
        </w:tc>
        <w:tc>
          <w:tcPr>
            <w:tcW w:w="1744" w:type="dxa"/>
            <w:vAlign w:val="center"/>
          </w:tcPr>
          <w:p>
            <w:pPr>
              <w:jc w:val="center"/>
              <w:rPr>
                <w:rFonts w:ascii="宋体" w:hAnsi="宋体"/>
                <w:color w:val="000000"/>
                <w:szCs w:val="21"/>
              </w:rPr>
            </w:pPr>
            <w:r>
              <w:rPr>
                <w:rFonts w:hint="eastAsia" w:ascii="宋体" w:hAnsi="宋体"/>
                <w:color w:val="000000"/>
                <w:szCs w:val="21"/>
              </w:rPr>
              <w:t>备    注</w:t>
            </w:r>
          </w:p>
        </w:tc>
      </w:tr>
      <w:permEnd w:id="583"/>
      <w:permEnd w:id="584"/>
      <w:permEnd w:id="585"/>
      <w:permEnd w:id="586"/>
      <w:permEnd w:id="58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368" w:type="dxa"/>
            <w:vAlign w:val="center"/>
          </w:tcPr>
          <w:p>
            <w:pPr>
              <w:jc w:val="center"/>
              <w:rPr>
                <w:rFonts w:ascii="宋体" w:hAnsi="宋体"/>
                <w:color w:val="000000"/>
                <w:szCs w:val="21"/>
              </w:rPr>
            </w:pPr>
            <w:permStart w:id="588" w:edGrp="everyone" w:colFirst="0" w:colLast="0"/>
            <w:permStart w:id="589" w:edGrp="everyone" w:colFirst="1" w:colLast="1"/>
            <w:permStart w:id="590" w:edGrp="everyone" w:colFirst="2" w:colLast="2"/>
            <w:permStart w:id="591" w:edGrp="everyone" w:colFirst="3" w:colLast="3"/>
            <w:permStart w:id="592" w:edGrp="everyone" w:colFirst="4" w:colLast="4"/>
            <w:r>
              <w:rPr>
                <w:rFonts w:hint="eastAsia" w:ascii="宋体" w:hAnsi="宋体"/>
                <w:color w:val="000000"/>
                <w:szCs w:val="21"/>
              </w:rPr>
              <w:t>1</w:t>
            </w:r>
          </w:p>
        </w:tc>
        <w:tc>
          <w:tcPr>
            <w:tcW w:w="2120" w:type="dxa"/>
            <w:vAlign w:val="center"/>
          </w:tcPr>
          <w:p>
            <w:pPr>
              <w:jc w:val="center"/>
              <w:rPr>
                <w:rFonts w:ascii="宋体" w:hAnsi="宋体"/>
                <w:color w:val="000000"/>
                <w:szCs w:val="21"/>
              </w:rPr>
            </w:pPr>
          </w:p>
        </w:tc>
        <w:tc>
          <w:tcPr>
            <w:tcW w:w="1744" w:type="dxa"/>
            <w:vAlign w:val="center"/>
          </w:tcPr>
          <w:p>
            <w:pPr>
              <w:jc w:val="center"/>
              <w:rPr>
                <w:rFonts w:ascii="宋体" w:hAnsi="宋体"/>
                <w:color w:val="000000"/>
                <w:szCs w:val="21"/>
              </w:rPr>
            </w:pPr>
          </w:p>
        </w:tc>
        <w:tc>
          <w:tcPr>
            <w:tcW w:w="1744" w:type="dxa"/>
            <w:vAlign w:val="center"/>
          </w:tcPr>
          <w:p>
            <w:pPr>
              <w:jc w:val="center"/>
              <w:rPr>
                <w:rFonts w:ascii="宋体" w:hAnsi="宋体"/>
                <w:color w:val="000000"/>
                <w:szCs w:val="21"/>
              </w:rPr>
            </w:pPr>
          </w:p>
        </w:tc>
        <w:tc>
          <w:tcPr>
            <w:tcW w:w="1744" w:type="dxa"/>
            <w:vAlign w:val="center"/>
          </w:tcPr>
          <w:p>
            <w:pPr>
              <w:jc w:val="center"/>
              <w:rPr>
                <w:rFonts w:ascii="宋体" w:hAnsi="宋体"/>
                <w:color w:val="000000"/>
                <w:szCs w:val="21"/>
              </w:rPr>
            </w:pPr>
          </w:p>
        </w:tc>
      </w:tr>
      <w:permEnd w:id="588"/>
      <w:permEnd w:id="589"/>
      <w:permEnd w:id="590"/>
      <w:permEnd w:id="591"/>
      <w:permEnd w:id="59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368" w:type="dxa"/>
            <w:vAlign w:val="center"/>
          </w:tcPr>
          <w:p>
            <w:pPr>
              <w:jc w:val="center"/>
              <w:rPr>
                <w:rFonts w:ascii="宋体" w:hAnsi="宋体"/>
                <w:color w:val="000000"/>
                <w:szCs w:val="21"/>
              </w:rPr>
            </w:pPr>
            <w:permStart w:id="593" w:edGrp="everyone" w:colFirst="0" w:colLast="0"/>
            <w:permStart w:id="594" w:edGrp="everyone" w:colFirst="1" w:colLast="1"/>
            <w:permStart w:id="595" w:edGrp="everyone" w:colFirst="2" w:colLast="2"/>
            <w:permStart w:id="596" w:edGrp="everyone" w:colFirst="3" w:colLast="3"/>
            <w:permStart w:id="597" w:edGrp="everyone" w:colFirst="4" w:colLast="4"/>
            <w:permStart w:id="598" w:edGrp="everyone" w:colFirst="5" w:colLast="5"/>
            <w:r>
              <w:rPr>
                <w:rFonts w:hint="eastAsia" w:ascii="宋体" w:hAnsi="宋体"/>
                <w:color w:val="000000"/>
                <w:szCs w:val="21"/>
              </w:rPr>
              <w:t>2</w:t>
            </w:r>
          </w:p>
        </w:tc>
        <w:tc>
          <w:tcPr>
            <w:tcW w:w="2120" w:type="dxa"/>
            <w:vAlign w:val="center"/>
          </w:tcPr>
          <w:p>
            <w:pPr>
              <w:jc w:val="center"/>
              <w:rPr>
                <w:rFonts w:ascii="宋体" w:hAnsi="宋体"/>
                <w:color w:val="000000"/>
                <w:szCs w:val="21"/>
              </w:rPr>
            </w:pPr>
          </w:p>
        </w:tc>
        <w:tc>
          <w:tcPr>
            <w:tcW w:w="1744" w:type="dxa"/>
            <w:vAlign w:val="center"/>
          </w:tcPr>
          <w:p>
            <w:pPr>
              <w:jc w:val="center"/>
              <w:rPr>
                <w:rFonts w:ascii="宋体" w:hAnsi="宋体"/>
                <w:color w:val="000000"/>
                <w:szCs w:val="21"/>
              </w:rPr>
            </w:pPr>
          </w:p>
        </w:tc>
        <w:tc>
          <w:tcPr>
            <w:tcW w:w="1744" w:type="dxa"/>
            <w:vAlign w:val="center"/>
          </w:tcPr>
          <w:p>
            <w:pPr>
              <w:jc w:val="center"/>
              <w:rPr>
                <w:rFonts w:ascii="宋体" w:hAnsi="宋体"/>
                <w:color w:val="000000"/>
                <w:szCs w:val="21"/>
              </w:rPr>
            </w:pPr>
          </w:p>
        </w:tc>
        <w:tc>
          <w:tcPr>
            <w:tcW w:w="1744" w:type="dxa"/>
            <w:vAlign w:val="center"/>
          </w:tcPr>
          <w:p>
            <w:pPr>
              <w:jc w:val="center"/>
              <w:rPr>
                <w:rFonts w:ascii="宋体" w:hAnsi="宋体"/>
                <w:color w:val="000000"/>
                <w:szCs w:val="21"/>
              </w:rPr>
            </w:pPr>
          </w:p>
        </w:tc>
      </w:tr>
      <w:permEnd w:id="593"/>
      <w:permEnd w:id="594"/>
      <w:permEnd w:id="595"/>
      <w:permEnd w:id="596"/>
      <w:permEnd w:id="597"/>
      <w:permEnd w:id="59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368" w:type="dxa"/>
            <w:vAlign w:val="center"/>
          </w:tcPr>
          <w:p>
            <w:pPr>
              <w:jc w:val="center"/>
              <w:rPr>
                <w:rFonts w:ascii="宋体" w:hAnsi="宋体"/>
                <w:color w:val="000000"/>
                <w:szCs w:val="21"/>
              </w:rPr>
            </w:pPr>
            <w:permStart w:id="599" w:edGrp="everyone" w:colFirst="0" w:colLast="0"/>
            <w:permStart w:id="600" w:edGrp="everyone" w:colFirst="1" w:colLast="1"/>
            <w:permStart w:id="601" w:edGrp="everyone" w:colFirst="2" w:colLast="2"/>
            <w:permStart w:id="602" w:edGrp="everyone" w:colFirst="3" w:colLast="3"/>
            <w:permStart w:id="603" w:edGrp="everyone" w:colFirst="4" w:colLast="4"/>
            <w:permStart w:id="604" w:edGrp="everyone" w:colFirst="5" w:colLast="5"/>
            <w:r>
              <w:rPr>
                <w:rFonts w:hint="eastAsia" w:ascii="宋体" w:hAnsi="宋体"/>
                <w:color w:val="000000"/>
                <w:szCs w:val="21"/>
              </w:rPr>
              <w:t>3</w:t>
            </w:r>
          </w:p>
        </w:tc>
        <w:tc>
          <w:tcPr>
            <w:tcW w:w="2120" w:type="dxa"/>
            <w:vAlign w:val="center"/>
          </w:tcPr>
          <w:p>
            <w:pPr>
              <w:jc w:val="center"/>
              <w:rPr>
                <w:rFonts w:ascii="宋体" w:hAnsi="宋体"/>
                <w:color w:val="000000"/>
                <w:szCs w:val="21"/>
              </w:rPr>
            </w:pPr>
          </w:p>
        </w:tc>
        <w:tc>
          <w:tcPr>
            <w:tcW w:w="1744" w:type="dxa"/>
            <w:vAlign w:val="center"/>
          </w:tcPr>
          <w:p>
            <w:pPr>
              <w:jc w:val="center"/>
              <w:rPr>
                <w:rFonts w:ascii="宋体" w:hAnsi="宋体"/>
                <w:color w:val="000000"/>
                <w:szCs w:val="21"/>
              </w:rPr>
            </w:pPr>
          </w:p>
        </w:tc>
        <w:tc>
          <w:tcPr>
            <w:tcW w:w="1744" w:type="dxa"/>
            <w:vAlign w:val="center"/>
          </w:tcPr>
          <w:p>
            <w:pPr>
              <w:jc w:val="center"/>
              <w:rPr>
                <w:rFonts w:ascii="宋体" w:hAnsi="宋体"/>
                <w:color w:val="000000"/>
                <w:szCs w:val="21"/>
              </w:rPr>
            </w:pPr>
          </w:p>
        </w:tc>
        <w:tc>
          <w:tcPr>
            <w:tcW w:w="1744" w:type="dxa"/>
            <w:vAlign w:val="center"/>
          </w:tcPr>
          <w:p>
            <w:pPr>
              <w:jc w:val="center"/>
              <w:rPr>
                <w:rFonts w:ascii="宋体" w:hAnsi="宋体"/>
                <w:color w:val="000000"/>
                <w:szCs w:val="21"/>
              </w:rPr>
            </w:pPr>
          </w:p>
        </w:tc>
      </w:tr>
      <w:permEnd w:id="599"/>
      <w:permEnd w:id="600"/>
      <w:permEnd w:id="601"/>
      <w:permEnd w:id="602"/>
      <w:permEnd w:id="603"/>
      <w:permEnd w:id="60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368" w:type="dxa"/>
            <w:vAlign w:val="center"/>
          </w:tcPr>
          <w:p>
            <w:pPr>
              <w:jc w:val="center"/>
              <w:rPr>
                <w:rFonts w:ascii="宋体" w:hAnsi="宋体"/>
                <w:color w:val="000000"/>
                <w:szCs w:val="21"/>
              </w:rPr>
            </w:pPr>
            <w:permStart w:id="605" w:edGrp="everyone" w:colFirst="0" w:colLast="0"/>
            <w:permStart w:id="606" w:edGrp="everyone" w:colFirst="1" w:colLast="1"/>
            <w:permStart w:id="607" w:edGrp="everyone" w:colFirst="2" w:colLast="2"/>
            <w:permStart w:id="608" w:edGrp="everyone" w:colFirst="3" w:colLast="3"/>
            <w:permStart w:id="609" w:edGrp="everyone" w:colFirst="4" w:colLast="4"/>
            <w:permStart w:id="610" w:edGrp="everyone" w:colFirst="5" w:colLast="5"/>
            <w:r>
              <w:rPr>
                <w:rFonts w:hint="eastAsia" w:ascii="宋体" w:hAnsi="宋体"/>
                <w:color w:val="000000"/>
                <w:szCs w:val="21"/>
              </w:rPr>
              <w:t>……</w:t>
            </w:r>
          </w:p>
        </w:tc>
        <w:tc>
          <w:tcPr>
            <w:tcW w:w="2120" w:type="dxa"/>
            <w:vAlign w:val="center"/>
          </w:tcPr>
          <w:p>
            <w:pPr>
              <w:jc w:val="center"/>
              <w:rPr>
                <w:rFonts w:ascii="宋体" w:hAnsi="宋体"/>
                <w:color w:val="000000"/>
                <w:szCs w:val="21"/>
              </w:rPr>
            </w:pPr>
          </w:p>
        </w:tc>
        <w:tc>
          <w:tcPr>
            <w:tcW w:w="1744" w:type="dxa"/>
            <w:vAlign w:val="center"/>
          </w:tcPr>
          <w:p>
            <w:pPr>
              <w:jc w:val="center"/>
              <w:rPr>
                <w:rFonts w:ascii="宋体" w:hAnsi="宋体"/>
                <w:color w:val="000000"/>
                <w:szCs w:val="21"/>
              </w:rPr>
            </w:pPr>
          </w:p>
        </w:tc>
        <w:tc>
          <w:tcPr>
            <w:tcW w:w="1744" w:type="dxa"/>
            <w:vAlign w:val="center"/>
          </w:tcPr>
          <w:p>
            <w:pPr>
              <w:jc w:val="center"/>
              <w:rPr>
                <w:rFonts w:ascii="宋体" w:hAnsi="宋体"/>
                <w:color w:val="000000"/>
                <w:szCs w:val="21"/>
              </w:rPr>
            </w:pPr>
          </w:p>
        </w:tc>
        <w:tc>
          <w:tcPr>
            <w:tcW w:w="1744" w:type="dxa"/>
            <w:vAlign w:val="center"/>
          </w:tcPr>
          <w:p>
            <w:pPr>
              <w:jc w:val="center"/>
              <w:rPr>
                <w:rFonts w:ascii="宋体" w:hAnsi="宋体"/>
                <w:color w:val="000000"/>
                <w:szCs w:val="21"/>
              </w:rPr>
            </w:pPr>
          </w:p>
        </w:tc>
      </w:tr>
      <w:permEnd w:id="605"/>
      <w:permEnd w:id="606"/>
      <w:permEnd w:id="607"/>
      <w:permEnd w:id="608"/>
      <w:permEnd w:id="609"/>
      <w:permEnd w:id="610"/>
    </w:tbl>
    <w:p>
      <w:pPr>
        <w:spacing w:line="500" w:lineRule="exact"/>
        <w:jc w:val="left"/>
        <w:rPr>
          <w:rFonts w:ascii="宋体" w:hAnsi="宋体"/>
          <w:color w:val="000000"/>
          <w:szCs w:val="21"/>
        </w:rPr>
      </w:pPr>
      <w:r>
        <w:rPr>
          <w:rFonts w:hint="eastAsia" w:ascii="宋体" w:hAnsi="宋体"/>
          <w:color w:val="000000"/>
          <w:szCs w:val="21"/>
        </w:rPr>
        <w:t>1.3      本工程施工现场所用混凝土或砂浆的供应方式为</w:t>
      </w:r>
      <w:permStart w:id="611" w:edGrp="everyone"/>
      <w:r>
        <w:rPr>
          <w:rFonts w:hint="eastAsia" w:ascii="宋体" w:hAnsi="宋体"/>
          <w:color w:val="000000"/>
          <w:szCs w:val="21"/>
        </w:rPr>
        <w:t xml:space="preserve">  </w:t>
      </w:r>
      <w:permEnd w:id="611"/>
      <w:r>
        <w:rPr>
          <w:rFonts w:hint="eastAsia" w:ascii="宋体" w:hAnsi="宋体"/>
          <w:color w:val="000000"/>
          <w:szCs w:val="21"/>
        </w:rPr>
        <w:t>。</w:t>
      </w:r>
    </w:p>
    <w:p>
      <w:pPr>
        <w:spacing w:before="240" w:beforeLines="100" w:after="240" w:afterLines="100" w:line="500" w:lineRule="exact"/>
        <w:jc w:val="left"/>
        <w:outlineLvl w:val="3"/>
        <w:rPr>
          <w:rFonts w:ascii="黑体" w:hAnsi="宋体" w:eastAsia="黑体"/>
          <w:color w:val="000000"/>
          <w:sz w:val="24"/>
        </w:rPr>
      </w:pPr>
      <w:bookmarkStart w:id="1346" w:name="_Toc295812304"/>
      <w:bookmarkStart w:id="1347" w:name="_Toc114222872"/>
      <w:r>
        <w:rPr>
          <w:rFonts w:hint="eastAsia" w:ascii="黑体" w:hAnsi="宋体" w:eastAsia="黑体"/>
          <w:color w:val="000000"/>
          <w:sz w:val="24"/>
        </w:rPr>
        <w:t>2.特殊技术要求</w:t>
      </w:r>
      <w:bookmarkEnd w:id="1346"/>
      <w:bookmarkEnd w:id="1347"/>
    </w:p>
    <w:p>
      <w:pPr>
        <w:spacing w:line="500" w:lineRule="exact"/>
        <w:jc w:val="left"/>
        <w:rPr>
          <w:rFonts w:ascii="宋体" w:hAnsi="宋体"/>
          <w:color w:val="000000"/>
          <w:szCs w:val="21"/>
        </w:rPr>
      </w:pPr>
      <w:r>
        <w:rPr>
          <w:rFonts w:hint="eastAsia" w:ascii="宋体" w:hAnsi="宋体"/>
          <w:color w:val="000000"/>
          <w:szCs w:val="21"/>
        </w:rPr>
        <w:t>2.1       除合同约定的技术要求外，本工程的特殊技术要求如下：</w:t>
      </w:r>
    </w:p>
    <w:p>
      <w:pPr>
        <w:spacing w:line="500" w:lineRule="exact"/>
        <w:jc w:val="left"/>
        <w:rPr>
          <w:rFonts w:ascii="宋体" w:hAnsi="宋体"/>
          <w:color w:val="000000"/>
          <w:szCs w:val="21"/>
        </w:rPr>
      </w:pPr>
    </w:p>
    <w:p>
      <w:pPr>
        <w:spacing w:before="240" w:beforeLines="100" w:after="240" w:afterLines="100" w:line="500" w:lineRule="exact"/>
        <w:jc w:val="left"/>
        <w:outlineLvl w:val="3"/>
        <w:rPr>
          <w:rFonts w:ascii="黑体" w:hAnsi="宋体" w:eastAsia="黑体"/>
          <w:color w:val="000000"/>
          <w:sz w:val="28"/>
          <w:szCs w:val="28"/>
        </w:rPr>
      </w:pPr>
      <w:bookmarkStart w:id="1348" w:name="_Toc114222873"/>
      <w:bookmarkStart w:id="1349" w:name="_Toc295812305"/>
      <w:r>
        <w:rPr>
          <w:rFonts w:hint="eastAsia" w:ascii="黑体" w:hAnsi="宋体" w:eastAsia="黑体"/>
          <w:color w:val="000000"/>
          <w:sz w:val="28"/>
          <w:szCs w:val="28"/>
        </w:rPr>
        <w:t>3．新技术、新工艺和新材料</w:t>
      </w:r>
      <w:bookmarkEnd w:id="1348"/>
      <w:bookmarkEnd w:id="1349"/>
    </w:p>
    <w:p>
      <w:pPr>
        <w:spacing w:line="500" w:lineRule="exact"/>
        <w:jc w:val="left"/>
        <w:rPr>
          <w:rFonts w:ascii="黑体" w:hAnsi="宋体" w:eastAsia="黑体"/>
          <w:color w:val="000000"/>
          <w:sz w:val="24"/>
        </w:rPr>
      </w:pPr>
      <w:r>
        <w:rPr>
          <w:rFonts w:hint="eastAsia" w:ascii="黑体" w:hAnsi="宋体" w:eastAsia="黑体"/>
          <w:color w:val="000000"/>
          <w:sz w:val="24"/>
        </w:rPr>
        <w:t>3.1      本工程涉及的新技术、新工艺和新材料及相应使用和操作说明如下：</w:t>
      </w:r>
    </w:p>
    <w:p>
      <w:pPr>
        <w:spacing w:line="500" w:lineRule="exact"/>
        <w:jc w:val="left"/>
        <w:rPr>
          <w:rFonts w:ascii="宋体" w:hAnsi="宋体"/>
          <w:color w:val="000000"/>
          <w:szCs w:val="21"/>
          <w:u w:val="single"/>
        </w:rPr>
      </w:pPr>
      <w:permStart w:id="612" w:edGrp="everyone"/>
      <w:r>
        <w:rPr>
          <w:rFonts w:hint="eastAsia" w:ascii="宋体" w:hAnsi="宋体"/>
          <w:color w:val="000000"/>
          <w:szCs w:val="21"/>
          <w:u w:val="single"/>
        </w:rPr>
        <w:t xml:space="preserve">  </w:t>
      </w:r>
      <w:permEnd w:id="612"/>
    </w:p>
    <w:p>
      <w:pPr>
        <w:spacing w:line="500" w:lineRule="exact"/>
        <w:jc w:val="left"/>
        <w:outlineLvl w:val="3"/>
        <w:rPr>
          <w:rFonts w:ascii="黑体" w:hAnsi="宋体" w:eastAsia="黑体"/>
          <w:color w:val="000000"/>
          <w:sz w:val="28"/>
          <w:szCs w:val="28"/>
        </w:rPr>
      </w:pPr>
      <w:bookmarkStart w:id="1350" w:name="_Toc114222874"/>
      <w:bookmarkStart w:id="1351" w:name="_Toc295812306"/>
      <w:r>
        <w:rPr>
          <w:rFonts w:hint="eastAsia" w:ascii="黑体" w:hAnsi="宋体" w:eastAsia="黑体"/>
          <w:color w:val="000000"/>
          <w:sz w:val="28"/>
          <w:szCs w:val="28"/>
        </w:rPr>
        <w:t>4．其他特殊技术标准和要求</w:t>
      </w:r>
      <w:bookmarkEnd w:id="1350"/>
      <w:bookmarkEnd w:id="1351"/>
    </w:p>
    <w:p>
      <w:pPr>
        <w:spacing w:line="500" w:lineRule="exact"/>
        <w:jc w:val="left"/>
        <w:rPr>
          <w:rFonts w:ascii="宋体" w:hAnsi="宋体"/>
          <w:color w:val="000000"/>
          <w:szCs w:val="21"/>
          <w:u w:val="single"/>
        </w:rPr>
      </w:pPr>
      <w:permStart w:id="613" w:edGrp="everyone"/>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permEnd w:id="613"/>
    </w:p>
    <w:p>
      <w:pPr>
        <w:spacing w:after="480" w:afterLines="200" w:line="500" w:lineRule="exact"/>
        <w:jc w:val="left"/>
        <w:outlineLvl w:val="2"/>
        <w:rPr>
          <w:rFonts w:ascii="黑体" w:hAnsi="宋体" w:eastAsia="黑体"/>
          <w:color w:val="000000"/>
          <w:sz w:val="24"/>
        </w:rPr>
      </w:pPr>
      <w:r>
        <w:rPr>
          <w:rFonts w:hint="eastAsia" w:ascii="黑体" w:hAnsi="宋体" w:eastAsia="黑体"/>
          <w:color w:val="000000"/>
          <w:sz w:val="24"/>
        </w:rPr>
        <w:br w:type="page"/>
      </w:r>
      <w:bookmarkStart w:id="1352" w:name="_Toc295812307"/>
      <w:bookmarkStart w:id="1353" w:name="_Toc114222875"/>
      <w:r>
        <w:rPr>
          <w:rFonts w:hint="eastAsia" w:ascii="黑体" w:hAnsi="宋体" w:eastAsia="黑体"/>
          <w:color w:val="000000"/>
          <w:sz w:val="24"/>
        </w:rPr>
        <w:t>第三节  适用的国家、行业以及地方规范、标准和规程</w:t>
      </w:r>
      <w:bookmarkEnd w:id="1352"/>
      <w:bookmarkEnd w:id="1353"/>
    </w:p>
    <w:p>
      <w:pPr>
        <w:spacing w:after="480" w:afterLines="200" w:line="500" w:lineRule="exact"/>
        <w:jc w:val="left"/>
        <w:rPr>
          <w:rFonts w:ascii="黑体" w:hAnsi="宋体" w:eastAsia="黑体"/>
          <w:color w:val="000000"/>
          <w:sz w:val="24"/>
        </w:rPr>
      </w:pPr>
      <w:permStart w:id="614" w:edGrp="everyone"/>
    </w:p>
    <w:permEnd w:id="614"/>
    <w:p>
      <w:pPr>
        <w:spacing w:line="500" w:lineRule="exact"/>
        <w:jc w:val="left"/>
        <w:rPr>
          <w:rFonts w:ascii="宋体" w:hAnsi="宋体"/>
          <w:color w:val="000000"/>
          <w:szCs w:val="21"/>
        </w:rPr>
      </w:pPr>
      <w:r>
        <w:rPr>
          <w:rFonts w:hint="eastAsia" w:ascii="黑体" w:hAnsi="宋体" w:eastAsia="黑体"/>
          <w:b/>
          <w:color w:val="000000"/>
          <w:szCs w:val="21"/>
        </w:rPr>
        <w:t>说明：</w:t>
      </w:r>
      <w:r>
        <w:rPr>
          <w:rFonts w:hint="eastAsia" w:ascii="宋体" w:hAnsi="宋体"/>
          <w:color w:val="000000"/>
          <w:szCs w:val="21"/>
        </w:rPr>
        <w:t>本节内容只需列出规范、标准、规程等的名称、编号等内容。本节由招标人根据国家、</w:t>
      </w:r>
    </w:p>
    <w:p>
      <w:pPr>
        <w:spacing w:line="500" w:lineRule="exact"/>
        <w:jc w:val="left"/>
        <w:rPr>
          <w:rFonts w:ascii="宋体" w:hAnsi="宋体"/>
          <w:color w:val="000000"/>
          <w:szCs w:val="21"/>
        </w:rPr>
      </w:pPr>
      <w:r>
        <w:rPr>
          <w:rFonts w:hint="eastAsia" w:ascii="宋体" w:hAnsi="宋体"/>
          <w:color w:val="000000"/>
          <w:szCs w:val="21"/>
        </w:rPr>
        <w:t>行业和地方现行标准、规范和规程等，以及项目具体情况摘录。</w:t>
      </w:r>
    </w:p>
    <w:p>
      <w:pPr>
        <w:spacing w:after="480" w:afterLines="200" w:line="500" w:lineRule="exact"/>
        <w:jc w:val="left"/>
        <w:rPr>
          <w:rFonts w:ascii="黑体" w:hAnsi="宋体" w:eastAsia="黑体"/>
          <w:b/>
          <w:color w:val="000000"/>
          <w:sz w:val="24"/>
        </w:rPr>
      </w:pPr>
    </w:p>
    <w:p>
      <w:pPr>
        <w:jc w:val="left"/>
        <w:rPr>
          <w:rFonts w:ascii="黑体" w:hAnsi="宋体" w:eastAsia="黑体"/>
          <w:b/>
          <w:color w:val="000000"/>
          <w:sz w:val="24"/>
        </w:rPr>
      </w:pPr>
    </w:p>
    <w:p>
      <w:pPr>
        <w:jc w:val="left"/>
        <w:rPr>
          <w:rFonts w:ascii="黑体" w:hAnsi="宋体" w:eastAsia="黑体"/>
          <w:b/>
          <w:color w:val="000000"/>
          <w:sz w:val="24"/>
        </w:rPr>
      </w:pPr>
    </w:p>
    <w:p>
      <w:pPr>
        <w:jc w:val="left"/>
        <w:rPr>
          <w:rFonts w:ascii="黑体" w:hAnsi="宋体" w:eastAsia="黑体"/>
          <w:b/>
          <w:color w:val="000000"/>
          <w:sz w:val="24"/>
        </w:rPr>
      </w:pPr>
    </w:p>
    <w:p>
      <w:pPr>
        <w:jc w:val="left"/>
        <w:rPr>
          <w:rFonts w:ascii="黑体" w:hAnsi="宋体" w:eastAsia="黑体"/>
          <w:b/>
          <w:color w:val="000000"/>
          <w:sz w:val="24"/>
        </w:rPr>
      </w:pPr>
    </w:p>
    <w:p>
      <w:pPr>
        <w:jc w:val="left"/>
        <w:rPr>
          <w:rFonts w:ascii="黑体" w:hAnsi="宋体" w:eastAsia="黑体"/>
          <w:b/>
          <w:color w:val="000000"/>
          <w:sz w:val="24"/>
        </w:rPr>
      </w:pPr>
    </w:p>
    <w:p>
      <w:pPr>
        <w:jc w:val="left"/>
        <w:rPr>
          <w:rFonts w:ascii="黑体" w:hAnsi="宋体" w:eastAsia="黑体"/>
          <w:b/>
          <w:color w:val="000000"/>
          <w:sz w:val="24"/>
        </w:rPr>
      </w:pPr>
    </w:p>
    <w:p>
      <w:pPr>
        <w:jc w:val="left"/>
        <w:rPr>
          <w:rFonts w:ascii="黑体" w:hAnsi="宋体" w:eastAsia="黑体"/>
          <w:b/>
          <w:color w:val="000000"/>
          <w:sz w:val="24"/>
        </w:rPr>
      </w:pPr>
    </w:p>
    <w:p>
      <w:pPr>
        <w:jc w:val="left"/>
        <w:rPr>
          <w:rFonts w:ascii="黑体" w:hAnsi="宋体" w:eastAsia="黑体"/>
          <w:b/>
          <w:color w:val="000000"/>
          <w:sz w:val="24"/>
        </w:rPr>
      </w:pPr>
    </w:p>
    <w:p>
      <w:pPr>
        <w:jc w:val="left"/>
        <w:rPr>
          <w:rFonts w:ascii="黑体" w:hAnsi="宋体" w:eastAsia="黑体"/>
          <w:b/>
          <w:color w:val="000000"/>
          <w:sz w:val="24"/>
        </w:rPr>
      </w:pPr>
    </w:p>
    <w:p>
      <w:pPr>
        <w:jc w:val="left"/>
        <w:rPr>
          <w:rFonts w:ascii="黑体" w:hAnsi="宋体" w:eastAsia="黑体"/>
          <w:b/>
          <w:color w:val="000000"/>
          <w:sz w:val="24"/>
        </w:rPr>
      </w:pPr>
    </w:p>
    <w:p>
      <w:pPr>
        <w:jc w:val="left"/>
        <w:rPr>
          <w:rFonts w:ascii="黑体" w:hAnsi="宋体" w:eastAsia="黑体"/>
          <w:b/>
          <w:color w:val="000000"/>
          <w:sz w:val="24"/>
        </w:rPr>
      </w:pPr>
    </w:p>
    <w:p>
      <w:pPr>
        <w:jc w:val="left"/>
        <w:rPr>
          <w:rFonts w:ascii="黑体" w:hAnsi="宋体" w:eastAsia="黑体"/>
          <w:b/>
          <w:color w:val="000000"/>
          <w:sz w:val="24"/>
        </w:rPr>
      </w:pPr>
    </w:p>
    <w:p>
      <w:pPr>
        <w:jc w:val="left"/>
        <w:rPr>
          <w:rFonts w:ascii="黑体" w:hAnsi="宋体" w:eastAsia="黑体"/>
          <w:b/>
          <w:color w:val="000000"/>
          <w:sz w:val="24"/>
        </w:rPr>
      </w:pPr>
    </w:p>
    <w:p>
      <w:pPr>
        <w:jc w:val="left"/>
        <w:rPr>
          <w:rFonts w:ascii="黑体" w:hAnsi="宋体" w:eastAsia="黑体"/>
          <w:b/>
          <w:color w:val="000000"/>
          <w:sz w:val="24"/>
        </w:rPr>
      </w:pPr>
    </w:p>
    <w:p>
      <w:pPr>
        <w:jc w:val="left"/>
        <w:rPr>
          <w:rFonts w:ascii="黑体" w:hAnsi="宋体" w:eastAsia="黑体"/>
          <w:color w:val="000000"/>
          <w:sz w:val="24"/>
        </w:rPr>
      </w:pPr>
      <w:r>
        <w:rPr>
          <w:rFonts w:hint="eastAsia" w:ascii="黑体" w:hAnsi="宋体" w:eastAsia="黑体"/>
          <w:b/>
          <w:color w:val="000000"/>
          <w:sz w:val="24"/>
        </w:rPr>
        <w:br w:type="page"/>
      </w:r>
      <w:bookmarkStart w:id="1354" w:name="_Toc295812308"/>
      <w:r>
        <w:rPr>
          <w:rFonts w:hint="eastAsia" w:ascii="黑体" w:hAnsi="宋体" w:eastAsia="黑体"/>
          <w:color w:val="000000"/>
          <w:sz w:val="24"/>
        </w:rPr>
        <w:t>附件A：施工现场现状平面图</w:t>
      </w:r>
      <w:bookmarkEnd w:id="1354"/>
    </w:p>
    <w:p>
      <w:pPr>
        <w:spacing w:after="480" w:afterLines="200" w:line="500" w:lineRule="exact"/>
        <w:jc w:val="left"/>
        <w:rPr>
          <w:rFonts w:ascii="黑体" w:hAnsi="宋体" w:eastAsia="黑体"/>
          <w:color w:val="000000"/>
          <w:sz w:val="24"/>
        </w:rPr>
      </w:pPr>
      <w:permStart w:id="615" w:edGrp="everyone"/>
    </w:p>
    <w:permEnd w:id="615"/>
    <w:p>
      <w:pPr>
        <w:spacing w:line="500" w:lineRule="exact"/>
        <w:jc w:val="left"/>
        <w:rPr>
          <w:rFonts w:ascii="宋体" w:hAnsi="宋体"/>
          <w:color w:val="000000"/>
          <w:szCs w:val="21"/>
        </w:rPr>
      </w:pPr>
      <w:r>
        <w:rPr>
          <w:rFonts w:hint="eastAsia" w:ascii="黑体" w:hAnsi="宋体" w:eastAsia="黑体"/>
          <w:color w:val="000000"/>
          <w:szCs w:val="21"/>
        </w:rPr>
        <w:t>说明：</w:t>
      </w:r>
      <w:r>
        <w:rPr>
          <w:rFonts w:hint="eastAsia" w:ascii="宋体" w:hAnsi="宋体"/>
          <w:color w:val="000000"/>
          <w:szCs w:val="21"/>
        </w:rPr>
        <w:t>该图由招标人准备，并作为招标文件本章的组成内容提供给投标人。图中应当标示本</w:t>
      </w:r>
    </w:p>
    <w:p>
      <w:pPr>
        <w:spacing w:line="500" w:lineRule="exact"/>
        <w:jc w:val="left"/>
        <w:rPr>
          <w:rFonts w:ascii="宋体" w:hAnsi="宋体"/>
          <w:color w:val="000000"/>
          <w:szCs w:val="21"/>
        </w:rPr>
      </w:pPr>
      <w:r>
        <w:rPr>
          <w:rFonts w:hint="eastAsia" w:ascii="宋体" w:hAnsi="宋体"/>
          <w:color w:val="000000"/>
          <w:szCs w:val="21"/>
        </w:rPr>
        <w:t>章第一节第1.2.1项规定的内容，并做必要的文字说明。</w:t>
      </w:r>
    </w:p>
    <w:p>
      <w:pPr>
        <w:rPr>
          <w:color w:val="000000"/>
          <w:szCs w:val="21"/>
        </w:rPr>
      </w:pPr>
      <w:r>
        <w:rPr>
          <w:rFonts w:ascii="宋体" w:hAnsi="宋体"/>
          <w:color w:val="000000"/>
          <w:szCs w:val="21"/>
        </w:rPr>
        <w:br w:type="page"/>
      </w:r>
    </w:p>
    <w:p>
      <w:pPr>
        <w:rPr>
          <w:color w:val="000000"/>
          <w:szCs w:val="21"/>
        </w:rPr>
      </w:pPr>
    </w:p>
    <w:p>
      <w:pPr>
        <w:rPr>
          <w:color w:val="000000"/>
          <w:szCs w:val="21"/>
        </w:rPr>
      </w:pPr>
    </w:p>
    <w:p>
      <w:pPr>
        <w:rPr>
          <w:color w:val="000000"/>
          <w:szCs w:val="21"/>
        </w:rPr>
      </w:pPr>
    </w:p>
    <w:p>
      <w:pPr>
        <w:rPr>
          <w:color w:val="000000"/>
          <w:szCs w:val="21"/>
        </w:rPr>
      </w:pPr>
    </w:p>
    <w:p>
      <w:pPr>
        <w:rPr>
          <w:color w:val="000000"/>
          <w:szCs w:val="21"/>
        </w:rPr>
      </w:pPr>
    </w:p>
    <w:p>
      <w:pPr>
        <w:rPr>
          <w:color w:val="000000"/>
          <w:szCs w:val="21"/>
        </w:rPr>
      </w:pPr>
    </w:p>
    <w:p>
      <w:pPr>
        <w:rPr>
          <w:color w:val="000000"/>
          <w:szCs w:val="21"/>
        </w:rPr>
      </w:pPr>
    </w:p>
    <w:p>
      <w:pPr>
        <w:rPr>
          <w:color w:val="000000"/>
          <w:szCs w:val="21"/>
        </w:rPr>
      </w:pPr>
    </w:p>
    <w:p>
      <w:pPr>
        <w:rPr>
          <w:color w:val="000000"/>
          <w:szCs w:val="21"/>
        </w:rPr>
      </w:pPr>
    </w:p>
    <w:p>
      <w:pPr>
        <w:jc w:val="center"/>
        <w:outlineLvl w:val="0"/>
        <w:rPr>
          <w:rFonts w:ascii="黑体" w:eastAsia="黑体"/>
          <w:color w:val="000000"/>
          <w:sz w:val="32"/>
          <w:szCs w:val="32"/>
        </w:rPr>
      </w:pPr>
      <w:bookmarkStart w:id="1355" w:name="_Toc114222876"/>
      <w:bookmarkStart w:id="1356" w:name="_Toc295812309"/>
      <w:r>
        <w:rPr>
          <w:rFonts w:hint="eastAsia" w:ascii="黑体" w:eastAsia="黑体"/>
          <w:color w:val="000000"/>
          <w:sz w:val="32"/>
          <w:szCs w:val="32"/>
        </w:rPr>
        <w:t>第四卷</w:t>
      </w:r>
      <w:bookmarkEnd w:id="1355"/>
      <w:bookmarkEnd w:id="1356"/>
    </w:p>
    <w:p>
      <w:pPr>
        <w:spacing w:line="420" w:lineRule="exact"/>
        <w:jc w:val="center"/>
        <w:rPr>
          <w:rFonts w:ascii="楷体_GB2312" w:eastAsia="楷体_GB2312"/>
          <w:color w:val="000000"/>
        </w:rPr>
      </w:pPr>
      <w:r>
        <w:rPr>
          <w:rFonts w:ascii="黑体" w:eastAsia="黑体"/>
          <w:color w:val="000000"/>
          <w:sz w:val="36"/>
          <w:szCs w:val="36"/>
        </w:rPr>
        <w:br w:type="page"/>
      </w:r>
    </w:p>
    <w:p>
      <w:pPr>
        <w:spacing w:line="420" w:lineRule="exact"/>
        <w:jc w:val="center"/>
        <w:rPr>
          <w:rFonts w:ascii="楷体_GB2312" w:eastAsia="楷体_GB2312"/>
          <w:color w:val="000000"/>
        </w:rPr>
      </w:pPr>
    </w:p>
    <w:p>
      <w:pPr>
        <w:spacing w:line="420" w:lineRule="exact"/>
        <w:jc w:val="center"/>
        <w:rPr>
          <w:rFonts w:ascii="楷体_GB2312" w:eastAsia="楷体_GB2312"/>
          <w:color w:val="000000"/>
        </w:rPr>
      </w:pPr>
    </w:p>
    <w:p>
      <w:pPr>
        <w:spacing w:line="420" w:lineRule="exact"/>
        <w:jc w:val="center"/>
        <w:rPr>
          <w:rFonts w:ascii="楷体_GB2312" w:eastAsia="楷体_GB2312"/>
          <w:color w:val="000000"/>
        </w:rPr>
      </w:pPr>
    </w:p>
    <w:p>
      <w:pPr>
        <w:spacing w:line="420" w:lineRule="exact"/>
        <w:jc w:val="center"/>
        <w:rPr>
          <w:rFonts w:ascii="楷体_GB2312" w:eastAsia="楷体_GB2312"/>
          <w:color w:val="000000"/>
        </w:rPr>
      </w:pPr>
    </w:p>
    <w:p>
      <w:pPr>
        <w:jc w:val="center"/>
        <w:outlineLvl w:val="1"/>
        <w:rPr>
          <w:rFonts w:ascii="黑体" w:eastAsia="黑体"/>
          <w:color w:val="000000"/>
          <w:sz w:val="32"/>
          <w:szCs w:val="32"/>
        </w:rPr>
      </w:pPr>
      <w:bookmarkStart w:id="1357" w:name="_Toc295812310"/>
      <w:bookmarkStart w:id="1358" w:name="_Toc114222877"/>
      <w:r>
        <w:rPr>
          <w:rFonts w:hint="eastAsia" w:ascii="黑体" w:eastAsia="黑体"/>
          <w:color w:val="000000"/>
          <w:sz w:val="32"/>
          <w:szCs w:val="32"/>
        </w:rPr>
        <w:t>第八章  投标文件格式</w:t>
      </w:r>
      <w:bookmarkEnd w:id="1357"/>
      <w:bookmarkEnd w:id="1358"/>
    </w:p>
    <w:p>
      <w:pPr>
        <w:jc w:val="left"/>
        <w:rPr>
          <w:rFonts w:ascii="黑体" w:eastAsia="黑体"/>
          <w:color w:val="000000"/>
          <w:sz w:val="32"/>
          <w:szCs w:val="32"/>
        </w:rPr>
      </w:pPr>
      <w:r>
        <w:rPr>
          <w:color w:val="000000"/>
        </w:rPr>
        <w:br w:type="page"/>
      </w:r>
    </w:p>
    <w:p>
      <w:pPr>
        <w:rPr>
          <w:rFonts w:ascii="黑体" w:eastAsia="黑体"/>
          <w:color w:val="000000"/>
          <w:sz w:val="32"/>
          <w:szCs w:val="32"/>
        </w:rPr>
      </w:pPr>
    </w:p>
    <w:p>
      <w:pPr>
        <w:jc w:val="center"/>
        <w:rPr>
          <w:rFonts w:ascii="黑体" w:eastAsia="黑体"/>
          <w:color w:val="000000"/>
          <w:sz w:val="32"/>
          <w:szCs w:val="32"/>
        </w:rPr>
      </w:pPr>
    </w:p>
    <w:p>
      <w:pPr>
        <w:jc w:val="center"/>
        <w:rPr>
          <w:rFonts w:ascii="黑体" w:eastAsia="黑体"/>
          <w:color w:val="000000"/>
          <w:sz w:val="28"/>
          <w:szCs w:val="28"/>
        </w:rPr>
      </w:pPr>
      <w:r>
        <w:rPr>
          <w:rFonts w:hint="eastAsia" w:ascii="宋体" w:hAnsi="宋体"/>
          <w:color w:val="000000"/>
          <w:sz w:val="28"/>
          <w:szCs w:val="28"/>
        </w:rPr>
        <w:t>（项目名称）</w:t>
      </w:r>
      <w:r>
        <w:rPr>
          <w:rFonts w:hint="eastAsia" w:ascii="黑体" w:eastAsia="黑体"/>
          <w:color w:val="000000"/>
          <w:sz w:val="28"/>
          <w:szCs w:val="28"/>
        </w:rPr>
        <w:t>标段施工招标</w:t>
      </w:r>
    </w:p>
    <w:p>
      <w:pPr>
        <w:spacing w:before="240" w:beforeLines="100"/>
        <w:jc w:val="center"/>
        <w:rPr>
          <w:rFonts w:ascii="黑体" w:eastAsia="黑体"/>
          <w:color w:val="000000"/>
          <w:sz w:val="44"/>
          <w:szCs w:val="44"/>
        </w:rPr>
      </w:pPr>
      <w:r>
        <w:rPr>
          <w:rFonts w:hint="eastAsia" w:ascii="黑体" w:eastAsia="黑体"/>
          <w:color w:val="000000"/>
          <w:sz w:val="44"/>
          <w:szCs w:val="44"/>
        </w:rPr>
        <w:t>投  标  文  件</w:t>
      </w:r>
    </w:p>
    <w:p>
      <w:pPr>
        <w:jc w:val="center"/>
        <w:rPr>
          <w:rFonts w:ascii="黑体" w:eastAsia="黑体"/>
          <w:color w:val="000000"/>
          <w:sz w:val="32"/>
          <w:szCs w:val="32"/>
        </w:rPr>
      </w:pPr>
    </w:p>
    <w:p>
      <w:pPr>
        <w:jc w:val="center"/>
        <w:rPr>
          <w:rFonts w:ascii="黑体" w:eastAsia="黑体"/>
          <w:color w:val="000000"/>
          <w:sz w:val="32"/>
          <w:szCs w:val="32"/>
        </w:rPr>
      </w:pPr>
    </w:p>
    <w:p>
      <w:pPr>
        <w:jc w:val="center"/>
        <w:rPr>
          <w:rFonts w:ascii="黑体" w:eastAsia="黑体"/>
          <w:color w:val="000000"/>
          <w:sz w:val="32"/>
          <w:szCs w:val="32"/>
        </w:rPr>
      </w:pPr>
    </w:p>
    <w:p>
      <w:pPr>
        <w:jc w:val="center"/>
        <w:rPr>
          <w:rFonts w:ascii="黑体" w:eastAsia="黑体"/>
          <w:color w:val="000000"/>
          <w:sz w:val="32"/>
          <w:szCs w:val="32"/>
        </w:rPr>
      </w:pPr>
    </w:p>
    <w:p>
      <w:pPr>
        <w:jc w:val="center"/>
        <w:rPr>
          <w:rFonts w:ascii="黑体" w:eastAsia="黑体"/>
          <w:color w:val="000000"/>
          <w:sz w:val="32"/>
          <w:szCs w:val="32"/>
        </w:rPr>
      </w:pPr>
    </w:p>
    <w:p>
      <w:pPr>
        <w:jc w:val="center"/>
        <w:rPr>
          <w:rFonts w:ascii="黑体" w:eastAsia="黑体"/>
          <w:color w:val="000000"/>
          <w:sz w:val="32"/>
          <w:szCs w:val="32"/>
        </w:rPr>
      </w:pPr>
    </w:p>
    <w:p>
      <w:pPr>
        <w:jc w:val="center"/>
        <w:rPr>
          <w:rFonts w:ascii="黑体" w:eastAsia="黑体"/>
          <w:color w:val="000000"/>
          <w:sz w:val="32"/>
          <w:szCs w:val="32"/>
        </w:rPr>
      </w:pPr>
    </w:p>
    <w:p>
      <w:pPr>
        <w:jc w:val="center"/>
        <w:rPr>
          <w:rFonts w:ascii="黑体" w:eastAsia="黑体"/>
          <w:color w:val="000000"/>
          <w:sz w:val="32"/>
          <w:szCs w:val="32"/>
        </w:rPr>
      </w:pPr>
    </w:p>
    <w:p>
      <w:pPr>
        <w:jc w:val="center"/>
        <w:rPr>
          <w:rFonts w:ascii="黑体" w:eastAsia="黑体"/>
          <w:color w:val="000000"/>
          <w:sz w:val="32"/>
          <w:szCs w:val="32"/>
        </w:rPr>
      </w:pPr>
    </w:p>
    <w:p>
      <w:pPr>
        <w:jc w:val="center"/>
        <w:rPr>
          <w:rFonts w:ascii="黑体" w:eastAsia="黑体"/>
          <w:color w:val="000000"/>
          <w:sz w:val="32"/>
          <w:szCs w:val="32"/>
        </w:rPr>
      </w:pPr>
    </w:p>
    <w:p>
      <w:pPr>
        <w:jc w:val="center"/>
        <w:rPr>
          <w:rFonts w:ascii="黑体" w:eastAsia="黑体"/>
          <w:color w:val="000000"/>
          <w:sz w:val="32"/>
          <w:szCs w:val="32"/>
        </w:rPr>
      </w:pPr>
    </w:p>
    <w:p>
      <w:pPr>
        <w:spacing w:line="360" w:lineRule="auto"/>
        <w:jc w:val="center"/>
        <w:rPr>
          <w:rFonts w:ascii="黑体" w:eastAsia="黑体"/>
          <w:color w:val="000000"/>
          <w:sz w:val="28"/>
          <w:szCs w:val="28"/>
        </w:rPr>
      </w:pPr>
      <w:r>
        <w:rPr>
          <w:rFonts w:hint="eastAsia" w:ascii="黑体" w:eastAsia="黑体"/>
          <w:color w:val="000000"/>
          <w:sz w:val="28"/>
          <w:szCs w:val="28"/>
        </w:rPr>
        <w:t xml:space="preserve">投标人： </w:t>
      </w:r>
      <w:r>
        <w:rPr>
          <w:rFonts w:hint="eastAsia" w:ascii="黑体" w:eastAsia="黑体"/>
          <w:color w:val="000000"/>
          <w:sz w:val="28"/>
          <w:szCs w:val="28"/>
          <w:u w:val="single"/>
        </w:rPr>
        <w:t>（盖单位章）</w:t>
      </w:r>
    </w:p>
    <w:p>
      <w:pPr>
        <w:spacing w:line="360" w:lineRule="auto"/>
        <w:jc w:val="center"/>
        <w:rPr>
          <w:rFonts w:ascii="黑体" w:eastAsia="黑体"/>
          <w:color w:val="000000"/>
          <w:sz w:val="28"/>
          <w:szCs w:val="28"/>
        </w:rPr>
      </w:pPr>
      <w:r>
        <w:rPr>
          <w:rFonts w:hint="eastAsia" w:ascii="黑体" w:eastAsia="黑体"/>
          <w:color w:val="000000"/>
          <w:sz w:val="28"/>
          <w:szCs w:val="28"/>
        </w:rPr>
        <w:t>法定代表人或其委托代理人：</w:t>
      </w:r>
      <w:r>
        <w:rPr>
          <w:rFonts w:hint="eastAsia" w:ascii="黑体" w:eastAsia="黑体"/>
          <w:color w:val="000000"/>
          <w:sz w:val="28"/>
          <w:szCs w:val="28"/>
          <w:u w:val="single"/>
        </w:rPr>
        <w:t xml:space="preserve">       </w:t>
      </w:r>
      <w:r>
        <w:rPr>
          <w:rFonts w:hint="eastAsia" w:ascii="黑体" w:eastAsia="黑体"/>
          <w:color w:val="000000"/>
          <w:sz w:val="28"/>
          <w:szCs w:val="28"/>
        </w:rPr>
        <w:t>（签字或盖章）</w:t>
      </w:r>
    </w:p>
    <w:p>
      <w:pPr>
        <w:jc w:val="center"/>
        <w:rPr>
          <w:rFonts w:ascii="黑体" w:eastAsia="黑体"/>
          <w:color w:val="000000"/>
          <w:sz w:val="28"/>
          <w:szCs w:val="28"/>
        </w:rPr>
      </w:pPr>
      <w:r>
        <w:rPr>
          <w:rFonts w:hint="eastAsia" w:ascii="黑体" w:eastAsia="黑体"/>
          <w:color w:val="000000"/>
          <w:sz w:val="28"/>
          <w:szCs w:val="28"/>
        </w:rPr>
        <w:t>造价师：</w:t>
      </w:r>
      <w:r>
        <w:rPr>
          <w:rFonts w:hint="eastAsia" w:ascii="黑体" w:eastAsia="黑体"/>
          <w:color w:val="000000"/>
          <w:sz w:val="28"/>
          <w:szCs w:val="28"/>
          <w:u w:val="single"/>
        </w:rPr>
        <w:t xml:space="preserve">        </w:t>
      </w:r>
      <w:r>
        <w:rPr>
          <w:rFonts w:hint="eastAsia" w:ascii="黑体" w:eastAsia="黑体"/>
          <w:color w:val="000000"/>
          <w:sz w:val="28"/>
          <w:szCs w:val="28"/>
        </w:rPr>
        <w:t>（签章）</w:t>
      </w:r>
    </w:p>
    <w:p>
      <w:pPr>
        <w:jc w:val="center"/>
        <w:rPr>
          <w:rFonts w:ascii="黑体" w:eastAsia="黑体"/>
          <w:color w:val="000000"/>
          <w:sz w:val="28"/>
          <w:szCs w:val="28"/>
        </w:rPr>
      </w:pPr>
    </w:p>
    <w:p>
      <w:pPr>
        <w:jc w:val="center"/>
        <w:rPr>
          <w:rFonts w:ascii="黑体" w:eastAsia="黑体"/>
          <w:color w:val="000000"/>
          <w:sz w:val="28"/>
          <w:szCs w:val="28"/>
        </w:rPr>
      </w:pPr>
      <w:r>
        <w:rPr>
          <w:rFonts w:hint="eastAsia" w:ascii="黑体" w:eastAsia="黑体"/>
          <w:color w:val="000000"/>
          <w:sz w:val="28"/>
          <w:szCs w:val="28"/>
        </w:rPr>
        <w:t xml:space="preserve">  年   月   日</w:t>
      </w:r>
    </w:p>
    <w:p>
      <w:pPr>
        <w:spacing w:before="240" w:beforeLines="100" w:after="240" w:afterLines="100"/>
        <w:jc w:val="center"/>
        <w:rPr>
          <w:rFonts w:ascii="黑体" w:eastAsia="黑体"/>
          <w:color w:val="000000"/>
          <w:sz w:val="28"/>
          <w:szCs w:val="28"/>
        </w:rPr>
      </w:pPr>
      <w:r>
        <w:rPr>
          <w:rFonts w:ascii="黑体" w:eastAsia="黑体"/>
          <w:color w:val="000000"/>
          <w:sz w:val="28"/>
          <w:szCs w:val="28"/>
        </w:rPr>
        <w:br w:type="page"/>
      </w:r>
      <w:r>
        <w:rPr>
          <w:rFonts w:hint="eastAsia" w:ascii="黑体" w:eastAsia="黑体"/>
          <w:color w:val="000000"/>
          <w:sz w:val="28"/>
          <w:szCs w:val="28"/>
        </w:rPr>
        <w:t>目    录</w:t>
      </w:r>
    </w:p>
    <w:p>
      <w:pPr>
        <w:spacing w:line="600" w:lineRule="exact"/>
        <w:rPr>
          <w:rFonts w:ascii="宋体" w:hAnsi="宋体"/>
          <w:color w:val="000000"/>
          <w:szCs w:val="21"/>
        </w:rPr>
      </w:pPr>
      <w:r>
        <w:rPr>
          <w:rFonts w:hint="eastAsia" w:ascii="宋体" w:hAnsi="宋体"/>
          <w:color w:val="000000"/>
          <w:szCs w:val="21"/>
        </w:rPr>
        <w:t>一、投标函及投标函附录</w:t>
      </w:r>
    </w:p>
    <w:p>
      <w:pPr>
        <w:spacing w:line="600" w:lineRule="exact"/>
        <w:rPr>
          <w:rFonts w:ascii="宋体" w:hAnsi="宋体"/>
          <w:color w:val="000000"/>
          <w:szCs w:val="21"/>
        </w:rPr>
      </w:pPr>
      <w:permStart w:id="616" w:edGrp="everyone"/>
      <w:r>
        <w:rPr>
          <w:rFonts w:hint="eastAsia" w:ascii="宋体" w:hAnsi="宋体"/>
          <w:color w:val="000000"/>
          <w:szCs w:val="21"/>
        </w:rPr>
        <w:t>二、法定代表人身份证明</w:t>
      </w:r>
    </w:p>
    <w:p>
      <w:pPr>
        <w:spacing w:line="600" w:lineRule="exact"/>
        <w:rPr>
          <w:rFonts w:ascii="宋体" w:hAnsi="宋体"/>
          <w:color w:val="000000"/>
          <w:szCs w:val="21"/>
        </w:rPr>
      </w:pPr>
      <w:r>
        <w:rPr>
          <w:rFonts w:hint="eastAsia" w:ascii="宋体" w:hAnsi="宋体"/>
          <w:color w:val="000000"/>
          <w:szCs w:val="21"/>
        </w:rPr>
        <w:t>三、授权委托书</w:t>
      </w:r>
    </w:p>
    <w:p>
      <w:pPr>
        <w:spacing w:line="600" w:lineRule="exact"/>
        <w:rPr>
          <w:rFonts w:ascii="宋体" w:hAnsi="宋体"/>
          <w:color w:val="000000"/>
          <w:szCs w:val="21"/>
        </w:rPr>
      </w:pPr>
      <w:r>
        <w:rPr>
          <w:rFonts w:hint="eastAsia" w:ascii="宋体" w:hAnsi="宋体"/>
          <w:color w:val="000000"/>
          <w:szCs w:val="21"/>
        </w:rPr>
        <w:t>四、联合体协议书</w:t>
      </w:r>
    </w:p>
    <w:p>
      <w:pPr>
        <w:spacing w:line="600" w:lineRule="exact"/>
        <w:rPr>
          <w:rFonts w:ascii="宋体" w:hAnsi="宋体"/>
          <w:color w:val="000000"/>
          <w:szCs w:val="21"/>
        </w:rPr>
      </w:pPr>
      <w:r>
        <w:rPr>
          <w:rFonts w:hint="eastAsia" w:ascii="宋体" w:hAnsi="宋体"/>
          <w:color w:val="000000"/>
          <w:szCs w:val="21"/>
        </w:rPr>
        <w:t>五、投标保证金</w:t>
      </w:r>
    </w:p>
    <w:p>
      <w:pPr>
        <w:spacing w:line="600" w:lineRule="exact"/>
        <w:rPr>
          <w:rFonts w:ascii="宋体" w:hAnsi="宋体"/>
          <w:color w:val="000000"/>
          <w:szCs w:val="21"/>
        </w:rPr>
      </w:pPr>
      <w:r>
        <w:rPr>
          <w:rFonts w:hint="eastAsia" w:ascii="宋体" w:hAnsi="宋体"/>
          <w:color w:val="000000"/>
          <w:szCs w:val="21"/>
        </w:rPr>
        <w:t>六、已标价工程量清单</w:t>
      </w:r>
    </w:p>
    <w:p>
      <w:pPr>
        <w:spacing w:line="600" w:lineRule="exact"/>
        <w:rPr>
          <w:rFonts w:ascii="宋体" w:hAnsi="宋体"/>
          <w:color w:val="000000"/>
          <w:szCs w:val="21"/>
        </w:rPr>
      </w:pPr>
      <w:r>
        <w:rPr>
          <w:rFonts w:hint="eastAsia" w:ascii="宋体" w:hAnsi="宋体"/>
          <w:color w:val="000000"/>
          <w:szCs w:val="21"/>
        </w:rPr>
        <w:t>七、项目管理机构</w:t>
      </w:r>
    </w:p>
    <w:p>
      <w:pPr>
        <w:spacing w:line="600" w:lineRule="exact"/>
        <w:rPr>
          <w:rFonts w:ascii="宋体" w:hAnsi="宋体"/>
          <w:color w:val="000000"/>
          <w:szCs w:val="21"/>
        </w:rPr>
      </w:pPr>
      <w:r>
        <w:rPr>
          <w:rFonts w:hint="eastAsia" w:ascii="宋体" w:hAnsi="宋体"/>
          <w:color w:val="000000"/>
          <w:szCs w:val="21"/>
        </w:rPr>
        <w:t>八、拟分包计划表</w:t>
      </w:r>
    </w:p>
    <w:p>
      <w:pPr>
        <w:spacing w:line="600" w:lineRule="exact"/>
        <w:rPr>
          <w:rFonts w:ascii="宋体" w:hAnsi="宋体"/>
          <w:color w:val="000000"/>
          <w:szCs w:val="21"/>
        </w:rPr>
      </w:pPr>
      <w:r>
        <w:rPr>
          <w:rFonts w:hint="eastAsia" w:ascii="宋体" w:hAnsi="宋体"/>
          <w:color w:val="000000"/>
          <w:szCs w:val="21"/>
        </w:rPr>
        <w:t>九、资格审查资料</w:t>
      </w:r>
    </w:p>
    <w:p>
      <w:pPr>
        <w:spacing w:line="600" w:lineRule="exact"/>
        <w:rPr>
          <w:rFonts w:ascii="宋体" w:hAnsi="宋体"/>
          <w:color w:val="000000"/>
          <w:szCs w:val="21"/>
        </w:rPr>
      </w:pPr>
      <w:r>
        <w:rPr>
          <w:rFonts w:hint="eastAsia" w:ascii="宋体" w:hAnsi="宋体"/>
          <w:color w:val="000000"/>
          <w:szCs w:val="21"/>
        </w:rPr>
        <w:t>十、其他材料</w:t>
      </w:r>
    </w:p>
    <w:permEnd w:id="616"/>
    <w:p>
      <w:pPr>
        <w:spacing w:before="240" w:beforeLines="100" w:line="510" w:lineRule="exact"/>
        <w:jc w:val="center"/>
        <w:outlineLvl w:val="2"/>
        <w:rPr>
          <w:rFonts w:ascii="黑体" w:hAnsi="宋体" w:eastAsia="黑体"/>
          <w:color w:val="000000"/>
          <w:sz w:val="28"/>
          <w:szCs w:val="28"/>
        </w:rPr>
      </w:pPr>
      <w:r>
        <w:rPr>
          <w:rFonts w:ascii="宋体" w:hAnsi="宋体"/>
          <w:color w:val="000000"/>
          <w:szCs w:val="21"/>
        </w:rPr>
        <w:br w:type="page"/>
      </w:r>
      <w:bookmarkStart w:id="1359" w:name="_Toc114222878"/>
      <w:bookmarkStart w:id="1360" w:name="_Toc295812311"/>
      <w:bookmarkStart w:id="1361" w:name="_Toc290990828"/>
      <w:r>
        <w:rPr>
          <w:rFonts w:hint="eastAsia" w:ascii="黑体" w:hAnsi="宋体" w:eastAsia="黑体"/>
          <w:color w:val="000000"/>
          <w:sz w:val="28"/>
          <w:szCs w:val="28"/>
        </w:rPr>
        <w:t>一、投标函及投标函附录</w:t>
      </w:r>
      <w:bookmarkEnd w:id="1359"/>
      <w:bookmarkEnd w:id="1360"/>
      <w:bookmarkEnd w:id="1361"/>
    </w:p>
    <w:p>
      <w:pPr>
        <w:jc w:val="center"/>
        <w:rPr>
          <w:rFonts w:ascii="黑体" w:eastAsia="黑体"/>
          <w:color w:val="000000"/>
          <w:sz w:val="24"/>
        </w:rPr>
      </w:pPr>
      <w:r>
        <w:rPr>
          <w:rFonts w:hint="eastAsia" w:ascii="黑体" w:eastAsia="黑体"/>
          <w:color w:val="000000"/>
          <w:sz w:val="24"/>
        </w:rPr>
        <w:t>（一）投标函</w:t>
      </w:r>
    </w:p>
    <w:p>
      <w:pPr>
        <w:spacing w:line="480" w:lineRule="exact"/>
        <w:rPr>
          <w:rFonts w:ascii="宋体" w:hAnsi="宋体"/>
          <w:color w:val="000000"/>
          <w:szCs w:val="21"/>
        </w:rPr>
      </w:pPr>
      <w:r>
        <w:rPr>
          <w:rFonts w:hint="eastAsia" w:ascii="宋体" w:hAnsi="宋体"/>
          <w:color w:val="000000"/>
          <w:szCs w:val="21"/>
        </w:rPr>
        <w:t>致：</w:t>
      </w:r>
      <w:permStart w:id="617" w:edGrp="everyone"/>
      <w:r>
        <w:rPr>
          <w:rFonts w:hint="eastAsia" w:ascii="宋体" w:hAnsi="宋体"/>
          <w:color w:val="000000"/>
          <w:szCs w:val="21"/>
          <w:u w:val="single"/>
        </w:rPr>
        <w:t>（招标人名称）</w:t>
      </w:r>
      <w:permEnd w:id="617"/>
    </w:p>
    <w:p>
      <w:pPr>
        <w:spacing w:line="480" w:lineRule="exact"/>
        <w:ind w:firstLine="420" w:firstLineChars="200"/>
        <w:rPr>
          <w:rFonts w:ascii="宋体" w:hAnsi="宋体"/>
          <w:color w:val="000000"/>
          <w:szCs w:val="21"/>
        </w:rPr>
      </w:pPr>
      <w:r>
        <w:rPr>
          <w:rFonts w:hint="eastAsia" w:ascii="宋体" w:hAnsi="宋体"/>
          <w:color w:val="000000"/>
          <w:szCs w:val="21"/>
        </w:rPr>
        <w:t>在考察现场并充分研究</w:t>
      </w:r>
      <w:permStart w:id="618" w:edGrp="everyone"/>
      <w:r>
        <w:rPr>
          <w:rFonts w:hint="eastAsia" w:ascii="宋体" w:hAnsi="宋体"/>
          <w:color w:val="000000"/>
          <w:szCs w:val="21"/>
          <w:u w:val="single"/>
        </w:rPr>
        <w:t>（项目名称）</w:t>
      </w:r>
      <w:permEnd w:id="618"/>
      <w:r>
        <w:rPr>
          <w:rFonts w:hint="eastAsia" w:ascii="宋体" w:hAnsi="宋体"/>
          <w:color w:val="000000"/>
          <w:szCs w:val="21"/>
        </w:rPr>
        <w:t>（以下简称“本工程”）施工招标文件的全部内容后，我方兹以：</w:t>
      </w:r>
    </w:p>
    <w:p>
      <w:pPr>
        <w:spacing w:line="480" w:lineRule="exact"/>
        <w:ind w:firstLine="1050" w:firstLineChars="500"/>
        <w:rPr>
          <w:rFonts w:ascii="宋体" w:hAnsi="宋体"/>
          <w:color w:val="000000"/>
          <w:szCs w:val="21"/>
        </w:rPr>
      </w:pPr>
      <w:r>
        <w:rPr>
          <w:rFonts w:hint="eastAsia" w:ascii="宋体" w:hAnsi="宋体"/>
          <w:color w:val="000000"/>
          <w:szCs w:val="21"/>
        </w:rPr>
        <w:t>人民币（大写）：</w:t>
      </w:r>
      <w:permStart w:id="619" w:edGrp="everyone"/>
      <w:r>
        <w:rPr>
          <w:rFonts w:ascii="宋体" w:hAnsi="宋体"/>
          <w:color w:val="000000"/>
          <w:szCs w:val="21"/>
          <w:u w:val="single"/>
        </w:rPr>
        <w:t xml:space="preserve">                           </w:t>
      </w:r>
      <w:permEnd w:id="619"/>
    </w:p>
    <w:p>
      <w:pPr>
        <w:spacing w:line="480" w:lineRule="exact"/>
        <w:ind w:firstLine="1050" w:firstLineChars="500"/>
        <w:rPr>
          <w:rFonts w:ascii="宋体" w:hAnsi="宋体"/>
          <w:color w:val="000000"/>
          <w:szCs w:val="21"/>
        </w:rPr>
      </w:pPr>
      <w:r>
        <w:rPr>
          <w:rFonts w:hint="eastAsia" w:ascii="宋体" w:hAnsi="宋体"/>
          <w:color w:val="000000"/>
          <w:szCs w:val="21"/>
        </w:rPr>
        <w:t>RMB￥：</w:t>
      </w:r>
      <w:permStart w:id="620" w:edGrp="everyone"/>
      <w:r>
        <w:rPr>
          <w:rFonts w:ascii="宋体" w:hAnsi="宋体"/>
          <w:color w:val="000000"/>
          <w:szCs w:val="21"/>
          <w:u w:val="single"/>
        </w:rPr>
        <w:t xml:space="preserve">     </w:t>
      </w:r>
      <w:r>
        <w:rPr>
          <w:rFonts w:hint="eastAsia" w:ascii="宋体" w:hAnsi="宋体"/>
          <w:color w:val="FF0000"/>
          <w:szCs w:val="21"/>
          <w:u w:val="single"/>
        </w:rPr>
        <w:t>必填</w:t>
      </w:r>
      <w:r>
        <w:rPr>
          <w:rFonts w:ascii="宋体" w:hAnsi="宋体"/>
          <w:color w:val="FF0000"/>
          <w:szCs w:val="21"/>
          <w:u w:val="single"/>
        </w:rPr>
        <w:t>，投标清单中读取“</w:t>
      </w:r>
      <w:r>
        <w:rPr>
          <w:rFonts w:hint="eastAsia" w:ascii="宋体" w:hAnsi="宋体"/>
          <w:color w:val="FF0000"/>
          <w:szCs w:val="21"/>
          <w:u w:val="single"/>
        </w:rPr>
        <w:t>投标</w:t>
      </w:r>
      <w:r>
        <w:rPr>
          <w:rFonts w:ascii="宋体" w:hAnsi="宋体"/>
          <w:color w:val="FF0000"/>
          <w:szCs w:val="21"/>
          <w:u w:val="single"/>
        </w:rPr>
        <w:t>总价”</w:t>
      </w:r>
      <w:r>
        <w:rPr>
          <w:rFonts w:ascii="宋体" w:hAnsi="宋体"/>
          <w:color w:val="000000"/>
          <w:szCs w:val="21"/>
          <w:u w:val="single"/>
        </w:rPr>
        <w:t xml:space="preserve">         </w:t>
      </w:r>
      <w:permEnd w:id="620"/>
      <w:r>
        <w:rPr>
          <w:rFonts w:hint="eastAsia" w:ascii="宋体" w:hAnsi="宋体"/>
          <w:color w:val="000000"/>
          <w:szCs w:val="21"/>
        </w:rPr>
        <w:t>元</w:t>
      </w:r>
    </w:p>
    <w:p>
      <w:pPr>
        <w:spacing w:line="480" w:lineRule="exact"/>
        <w:rPr>
          <w:rFonts w:ascii="宋体" w:hAnsi="宋体"/>
          <w:color w:val="000000"/>
          <w:szCs w:val="21"/>
        </w:rPr>
      </w:pPr>
      <w:r>
        <w:rPr>
          <w:rFonts w:hint="eastAsia" w:ascii="宋体" w:hAnsi="宋体"/>
          <w:color w:val="000000"/>
          <w:szCs w:val="21"/>
        </w:rPr>
        <w:t>的投标价格和按合同约定有权得到的其它金额，并严格按照合同约定，施工、竣工和交付本</w:t>
      </w:r>
    </w:p>
    <w:p>
      <w:pPr>
        <w:spacing w:line="480" w:lineRule="exact"/>
        <w:rPr>
          <w:rFonts w:ascii="宋体" w:hAnsi="宋体"/>
          <w:color w:val="000000"/>
          <w:szCs w:val="21"/>
        </w:rPr>
      </w:pPr>
      <w:r>
        <w:rPr>
          <w:rFonts w:hint="eastAsia" w:ascii="宋体" w:hAnsi="宋体"/>
          <w:color w:val="000000"/>
          <w:szCs w:val="21"/>
        </w:rPr>
        <w:t>工程并维修其中的任何缺陷。</w:t>
      </w:r>
    </w:p>
    <w:p>
      <w:pPr>
        <w:spacing w:line="480" w:lineRule="exact"/>
        <w:ind w:firstLine="420" w:firstLineChars="200"/>
        <w:rPr>
          <w:rFonts w:ascii="宋体" w:hAnsi="宋体"/>
          <w:color w:val="000000"/>
          <w:szCs w:val="21"/>
        </w:rPr>
      </w:pPr>
      <w:r>
        <w:rPr>
          <w:rFonts w:hint="eastAsia" w:ascii="宋体" w:hAnsi="宋体"/>
          <w:color w:val="000000"/>
          <w:szCs w:val="21"/>
        </w:rPr>
        <w:t>在我方的上述投标报价包括：</w:t>
      </w:r>
    </w:p>
    <w:p>
      <w:pPr>
        <w:spacing w:line="480" w:lineRule="exact"/>
        <w:ind w:firstLine="1050" w:firstLineChars="500"/>
        <w:rPr>
          <w:rFonts w:ascii="宋体" w:hAnsi="宋体"/>
          <w:color w:val="000000"/>
          <w:szCs w:val="21"/>
        </w:rPr>
      </w:pPr>
      <w:r>
        <w:rPr>
          <w:rFonts w:hint="eastAsia" w:ascii="宋体" w:hAnsi="宋体"/>
          <w:color w:val="000000"/>
          <w:szCs w:val="21"/>
        </w:rPr>
        <w:t>安全文明施工费RMB￥：</w:t>
      </w:r>
      <w:permStart w:id="621" w:edGrp="everyone"/>
      <w:r>
        <w:rPr>
          <w:rFonts w:ascii="宋体" w:hAnsi="宋体"/>
          <w:color w:val="000000"/>
          <w:szCs w:val="21"/>
          <w:u w:val="single"/>
        </w:rPr>
        <w:t xml:space="preserve">  </w:t>
      </w:r>
      <w:r>
        <w:rPr>
          <w:rFonts w:hint="eastAsia" w:ascii="宋体" w:hAnsi="宋体"/>
          <w:color w:val="FF0000"/>
          <w:szCs w:val="21"/>
          <w:u w:val="single"/>
        </w:rPr>
        <w:t>必填</w:t>
      </w:r>
      <w:r>
        <w:rPr>
          <w:rFonts w:ascii="宋体" w:hAnsi="宋体"/>
          <w:color w:val="FF0000"/>
          <w:szCs w:val="21"/>
          <w:u w:val="single"/>
        </w:rPr>
        <w:t>，投标清单中读取</w:t>
      </w:r>
      <w:r>
        <w:rPr>
          <w:rFonts w:hint="eastAsia" w:ascii="宋体" w:hAnsi="宋体"/>
          <w:color w:val="FF0000"/>
          <w:szCs w:val="21"/>
          <w:u w:val="single"/>
        </w:rPr>
        <w:t>投标信息</w:t>
      </w:r>
      <w:r>
        <w:rPr>
          <w:rFonts w:hint="eastAsia" w:ascii="宋体" w:hAnsi="宋体"/>
          <w:color w:val="FF0000"/>
          <w:szCs w:val="21"/>
          <w:u w:val="single"/>
          <w:lang w:eastAsia="zh-CN"/>
        </w:rPr>
        <w:t>－</w:t>
      </w:r>
      <w:r>
        <w:rPr>
          <w:rFonts w:ascii="宋体" w:hAnsi="宋体"/>
          <w:color w:val="FF0000"/>
          <w:szCs w:val="21"/>
          <w:u w:val="single"/>
        </w:rPr>
        <w:t xml:space="preserve">安全文明施工费 </w:t>
      </w:r>
      <w:r>
        <w:rPr>
          <w:rFonts w:ascii="宋体" w:hAnsi="宋体"/>
          <w:color w:val="000000"/>
          <w:szCs w:val="21"/>
          <w:u w:val="single"/>
        </w:rPr>
        <w:t xml:space="preserve">  </w:t>
      </w:r>
      <w:permEnd w:id="621"/>
      <w:r>
        <w:rPr>
          <w:rFonts w:hint="eastAsia" w:ascii="宋体" w:hAnsi="宋体"/>
          <w:color w:val="000000"/>
          <w:szCs w:val="21"/>
        </w:rPr>
        <w:t>元</w:t>
      </w:r>
    </w:p>
    <w:p>
      <w:pPr>
        <w:spacing w:line="480" w:lineRule="exact"/>
        <w:ind w:firstLine="1050" w:firstLineChars="500"/>
        <w:rPr>
          <w:rFonts w:ascii="宋体" w:hAnsi="宋体"/>
          <w:color w:val="000000"/>
          <w:szCs w:val="21"/>
        </w:rPr>
      </w:pPr>
      <w:r>
        <w:rPr>
          <w:rFonts w:hint="eastAsia" w:ascii="宋体" w:hAnsi="宋体"/>
          <w:color w:val="000000"/>
          <w:szCs w:val="21"/>
        </w:rPr>
        <w:t>暂列金额（不包括计日工部分）RMB￥：</w:t>
      </w:r>
      <w:permStart w:id="622" w:edGrp="everyone"/>
      <w:r>
        <w:rPr>
          <w:rFonts w:ascii="宋体" w:hAnsi="宋体"/>
          <w:color w:val="000000"/>
          <w:szCs w:val="21"/>
          <w:u w:val="single"/>
        </w:rPr>
        <w:t xml:space="preserve"> </w:t>
      </w:r>
      <w:r>
        <w:rPr>
          <w:rFonts w:hint="eastAsia" w:ascii="宋体" w:hAnsi="宋体"/>
          <w:color w:val="FF0000"/>
          <w:szCs w:val="21"/>
          <w:u w:val="single"/>
        </w:rPr>
        <w:t>必填</w:t>
      </w:r>
      <w:r>
        <w:rPr>
          <w:rFonts w:ascii="宋体" w:hAnsi="宋体"/>
          <w:color w:val="FF0000"/>
          <w:szCs w:val="21"/>
          <w:u w:val="single"/>
        </w:rPr>
        <w:t>，</w:t>
      </w:r>
      <w:r>
        <w:rPr>
          <w:rFonts w:hint="eastAsia" w:ascii="宋体" w:hAnsi="宋体"/>
          <w:color w:val="FF0000"/>
          <w:szCs w:val="21"/>
          <w:u w:val="single"/>
        </w:rPr>
        <w:t>计算</w:t>
      </w:r>
      <w:r>
        <w:rPr>
          <w:rFonts w:ascii="宋体" w:hAnsi="宋体"/>
          <w:color w:val="FF0000"/>
          <w:szCs w:val="21"/>
          <w:u w:val="single"/>
        </w:rPr>
        <w:t>各单位工程其他项目中费用类</w:t>
      </w:r>
      <w:r>
        <w:rPr>
          <w:rFonts w:hint="eastAsia" w:ascii="宋体" w:hAnsi="宋体"/>
          <w:color w:val="FF0000"/>
          <w:szCs w:val="21"/>
          <w:u w:val="single"/>
        </w:rPr>
        <w:t>型</w:t>
      </w:r>
      <w:r>
        <w:rPr>
          <w:rFonts w:ascii="宋体" w:hAnsi="宋体"/>
          <w:color w:val="FF0000"/>
          <w:szCs w:val="21"/>
          <w:u w:val="single"/>
        </w:rPr>
        <w:t>为暂列金额的金额合计</w:t>
      </w:r>
      <w:r>
        <w:rPr>
          <w:rFonts w:ascii="宋体" w:hAnsi="宋体"/>
          <w:color w:val="000000"/>
          <w:szCs w:val="21"/>
          <w:u w:val="single"/>
        </w:rPr>
        <w:t xml:space="preserve">       </w:t>
      </w:r>
      <w:permEnd w:id="622"/>
      <w:r>
        <w:rPr>
          <w:rFonts w:hint="eastAsia" w:ascii="宋体" w:hAnsi="宋体"/>
          <w:color w:val="000000"/>
          <w:szCs w:val="21"/>
        </w:rPr>
        <w:t xml:space="preserve"> 元</w:t>
      </w:r>
    </w:p>
    <w:p>
      <w:pPr>
        <w:spacing w:line="480" w:lineRule="exact"/>
        <w:ind w:firstLine="1050" w:firstLineChars="500"/>
        <w:rPr>
          <w:rFonts w:ascii="宋体" w:hAnsi="宋体"/>
          <w:color w:val="000000"/>
          <w:szCs w:val="21"/>
        </w:rPr>
      </w:pPr>
      <w:r>
        <w:rPr>
          <w:rFonts w:hint="eastAsia" w:ascii="宋体" w:hAnsi="宋体"/>
          <w:color w:val="000000"/>
          <w:szCs w:val="21"/>
        </w:rPr>
        <w:t>专业工程暂估价RMB￥：</w:t>
      </w:r>
      <w:permStart w:id="623" w:edGrp="everyone"/>
      <w:r>
        <w:rPr>
          <w:rFonts w:ascii="宋体" w:hAnsi="宋体"/>
          <w:color w:val="000000"/>
          <w:szCs w:val="21"/>
          <w:u w:val="single"/>
        </w:rPr>
        <w:t xml:space="preserve">  </w:t>
      </w:r>
      <w:r>
        <w:rPr>
          <w:rFonts w:hint="eastAsia" w:ascii="宋体" w:hAnsi="宋体"/>
          <w:color w:val="FF0000"/>
          <w:szCs w:val="21"/>
          <w:u w:val="single"/>
        </w:rPr>
        <w:t>必填</w:t>
      </w:r>
      <w:r>
        <w:rPr>
          <w:rFonts w:ascii="宋体" w:hAnsi="宋体"/>
          <w:color w:val="FF0000"/>
          <w:szCs w:val="21"/>
          <w:u w:val="single"/>
        </w:rPr>
        <w:t>，</w:t>
      </w:r>
      <w:r>
        <w:rPr>
          <w:rFonts w:hint="eastAsia" w:ascii="宋体" w:hAnsi="宋体"/>
          <w:color w:val="FF0000"/>
          <w:szCs w:val="21"/>
          <w:u w:val="single"/>
        </w:rPr>
        <w:t>计算</w:t>
      </w:r>
      <w:r>
        <w:rPr>
          <w:rFonts w:ascii="宋体" w:hAnsi="宋体"/>
          <w:color w:val="FF0000"/>
          <w:szCs w:val="21"/>
          <w:u w:val="single"/>
        </w:rPr>
        <w:t>各单位工程其他项目中费用类</w:t>
      </w:r>
      <w:r>
        <w:rPr>
          <w:rFonts w:hint="eastAsia" w:ascii="宋体" w:hAnsi="宋体"/>
          <w:color w:val="FF0000"/>
          <w:szCs w:val="21"/>
          <w:u w:val="single"/>
        </w:rPr>
        <w:t>型</w:t>
      </w:r>
      <w:r>
        <w:rPr>
          <w:rFonts w:ascii="宋体" w:hAnsi="宋体"/>
          <w:color w:val="FF0000"/>
          <w:szCs w:val="21"/>
          <w:u w:val="single"/>
        </w:rPr>
        <w:t>为</w:t>
      </w:r>
      <w:r>
        <w:rPr>
          <w:rFonts w:hint="eastAsia" w:ascii="宋体" w:hAnsi="宋体"/>
          <w:color w:val="FF0000"/>
          <w:szCs w:val="21"/>
          <w:u w:val="single"/>
        </w:rPr>
        <w:t>专业</w:t>
      </w:r>
      <w:r>
        <w:rPr>
          <w:rFonts w:ascii="宋体" w:hAnsi="宋体"/>
          <w:color w:val="FF0000"/>
          <w:szCs w:val="21"/>
          <w:u w:val="single"/>
        </w:rPr>
        <w:t>工程暂估价的金额合计</w:t>
      </w:r>
      <w:r>
        <w:rPr>
          <w:rFonts w:ascii="宋体" w:hAnsi="宋体"/>
          <w:color w:val="000000"/>
          <w:szCs w:val="21"/>
          <w:u w:val="single"/>
        </w:rPr>
        <w:t xml:space="preserve">      </w:t>
      </w:r>
      <w:permEnd w:id="623"/>
      <w:r>
        <w:rPr>
          <w:rFonts w:hint="eastAsia" w:ascii="宋体" w:hAnsi="宋体"/>
          <w:color w:val="000000"/>
          <w:szCs w:val="21"/>
        </w:rPr>
        <w:t xml:space="preserve"> 元</w:t>
      </w:r>
    </w:p>
    <w:p>
      <w:pPr>
        <w:spacing w:line="480" w:lineRule="exact"/>
        <w:ind w:firstLine="420" w:firstLineChars="200"/>
        <w:jc w:val="right"/>
        <w:rPr>
          <w:rFonts w:hint="eastAsia" w:ascii="宋体" w:hAnsi="宋体"/>
          <w:color w:val="000000"/>
          <w:szCs w:val="21"/>
        </w:rPr>
      </w:pPr>
      <w:r>
        <w:rPr>
          <w:rFonts w:hint="eastAsia" w:ascii="宋体" w:hAnsi="宋体"/>
          <w:color w:val="000000"/>
          <w:szCs w:val="21"/>
        </w:rPr>
        <w:t>如果我方中标，我方同意本投标函在招标文件规定的提交投标文件截止时间后，在招标 文件规定的投标有效期期满前对我方具有约束力， 且随时准备接受你方发出的中标通知书。</w:t>
      </w:r>
    </w:p>
    <w:p>
      <w:pPr>
        <w:spacing w:line="480" w:lineRule="exact"/>
        <w:ind w:firstLine="420" w:firstLineChars="200"/>
        <w:jc w:val="left"/>
        <w:rPr>
          <w:rFonts w:hint="eastAsia" w:ascii="宋体" w:hAnsi="宋体"/>
          <w:color w:val="000000"/>
          <w:szCs w:val="21"/>
        </w:rPr>
      </w:pPr>
      <w:r>
        <w:rPr>
          <w:rFonts w:hint="eastAsia" w:ascii="宋体" w:hAnsi="宋体"/>
          <w:color w:val="000000"/>
          <w:szCs w:val="21"/>
        </w:rPr>
        <w:t>我方承诺：</w:t>
      </w:r>
    </w:p>
    <w:p>
      <w:pPr>
        <w:spacing w:line="480" w:lineRule="exact"/>
        <w:ind w:firstLine="420" w:firstLineChars="200"/>
        <w:jc w:val="right"/>
        <w:rPr>
          <w:rFonts w:hint="eastAsia" w:ascii="宋体" w:hAnsi="宋体"/>
          <w:color w:val="000000"/>
          <w:szCs w:val="21"/>
        </w:rPr>
      </w:pPr>
      <w:r>
        <w:rPr>
          <w:rFonts w:hint="eastAsia" w:ascii="宋体" w:hAnsi="宋体"/>
          <w:color w:val="000000"/>
          <w:szCs w:val="21"/>
        </w:rPr>
        <w:t>1.保证在</w:t>
      </w:r>
      <w:r>
        <w:rPr>
          <w:rFonts w:hint="eastAsia" w:ascii="宋体" w:hAnsi="宋体"/>
          <w:color w:val="000000"/>
          <w:szCs w:val="21"/>
          <w:lang w:val="en-US" w:eastAsia="zh-CN"/>
        </w:rPr>
        <w:t>___</w:t>
      </w:r>
      <w:r>
        <w:rPr>
          <w:rFonts w:hint="eastAsia" w:ascii="宋体" w:hAnsi="宋体"/>
          <w:color w:val="000000"/>
          <w:szCs w:val="21"/>
        </w:rPr>
        <w:t>年</w:t>
      </w:r>
      <w:r>
        <w:rPr>
          <w:rFonts w:hint="eastAsia" w:ascii="宋体" w:hAnsi="宋体"/>
          <w:color w:val="000000"/>
          <w:szCs w:val="21"/>
          <w:lang w:val="en-US" w:eastAsia="zh-CN"/>
        </w:rPr>
        <w:t>___</w:t>
      </w:r>
      <w:r>
        <w:rPr>
          <w:rFonts w:hint="eastAsia" w:ascii="宋体" w:hAnsi="宋体"/>
          <w:color w:val="000000"/>
          <w:szCs w:val="21"/>
        </w:rPr>
        <w:t>月</w:t>
      </w:r>
      <w:r>
        <w:rPr>
          <w:rFonts w:hint="eastAsia" w:ascii="宋体" w:hAnsi="宋体"/>
          <w:color w:val="000000"/>
          <w:szCs w:val="21"/>
          <w:lang w:val="en-US" w:eastAsia="zh-CN"/>
        </w:rPr>
        <w:t>___</w:t>
      </w:r>
      <w:r>
        <w:rPr>
          <w:rFonts w:hint="eastAsia" w:ascii="宋体" w:hAnsi="宋体"/>
          <w:color w:val="000000"/>
          <w:szCs w:val="21"/>
        </w:rPr>
        <w:t>日 或按照合同约定的开工日期开始本工程的施工，</w:t>
      </w:r>
      <w:r>
        <w:rPr>
          <w:rFonts w:hint="eastAsia" w:ascii="宋体" w:hAnsi="宋体"/>
          <w:color w:val="000000"/>
          <w:szCs w:val="21"/>
          <w:lang w:val="en-US" w:eastAsia="zh-CN"/>
        </w:rPr>
        <w:t>___</w:t>
      </w:r>
      <w:r>
        <w:rPr>
          <w:rFonts w:hint="eastAsia" w:ascii="宋体" w:hAnsi="宋体"/>
          <w:color w:val="000000"/>
          <w:szCs w:val="21"/>
        </w:rPr>
        <w:t>天（日</w:t>
      </w:r>
    </w:p>
    <w:p>
      <w:pPr>
        <w:spacing w:line="480" w:lineRule="exact"/>
        <w:ind w:firstLine="420" w:firstLineChars="200"/>
        <w:jc w:val="both"/>
        <w:rPr>
          <w:rFonts w:hint="eastAsia" w:ascii="宋体" w:hAnsi="宋体"/>
          <w:color w:val="000000"/>
          <w:szCs w:val="21"/>
        </w:rPr>
      </w:pPr>
      <w:r>
        <w:rPr>
          <w:rFonts w:hint="eastAsia" w:ascii="宋体" w:hAnsi="宋体"/>
          <w:color w:val="000000"/>
          <w:szCs w:val="21"/>
        </w:rPr>
        <w:t>历天） 内竣工， 并确保工程质量达到</w:t>
      </w:r>
      <w:r>
        <w:rPr>
          <w:rFonts w:hint="eastAsia" w:ascii="宋体" w:hAnsi="宋体"/>
          <w:color w:val="000000"/>
          <w:szCs w:val="21"/>
          <w:lang w:val="en-US" w:eastAsia="zh-CN"/>
        </w:rPr>
        <w:t>___</w:t>
      </w:r>
      <w:r>
        <w:rPr>
          <w:rFonts w:hint="eastAsia" w:ascii="宋体" w:hAnsi="宋体"/>
          <w:color w:val="000000"/>
          <w:szCs w:val="21"/>
        </w:rPr>
        <w:t>标准；</w:t>
      </w:r>
    </w:p>
    <w:p>
      <w:pPr>
        <w:spacing w:line="480" w:lineRule="exact"/>
        <w:ind w:firstLine="420" w:firstLineChars="200"/>
        <w:jc w:val="right"/>
        <w:rPr>
          <w:rFonts w:hint="eastAsia" w:ascii="宋体" w:hAnsi="宋体"/>
          <w:color w:val="000000"/>
          <w:szCs w:val="21"/>
        </w:rPr>
      </w:pPr>
      <w:r>
        <w:rPr>
          <w:rFonts w:hint="eastAsia" w:ascii="宋体" w:hAnsi="宋体"/>
          <w:color w:val="000000"/>
          <w:szCs w:val="21"/>
        </w:rPr>
        <w:t>2.建筑垃圾按照《海南省建筑垃圾资源化利用技术标准》要求进行资源化利用，利用率</w:t>
      </w:r>
    </w:p>
    <w:p>
      <w:pPr>
        <w:spacing w:line="480" w:lineRule="exact"/>
        <w:ind w:firstLine="420" w:firstLineChars="200"/>
        <w:jc w:val="both"/>
        <w:rPr>
          <w:rFonts w:hint="eastAsia" w:ascii="宋体" w:hAnsi="宋体"/>
          <w:color w:val="000000"/>
          <w:szCs w:val="21"/>
        </w:rPr>
      </w:pPr>
      <w:r>
        <w:rPr>
          <w:rFonts w:hint="eastAsia" w:ascii="宋体" w:hAnsi="宋体"/>
          <w:color w:val="000000"/>
          <w:szCs w:val="21"/>
        </w:rPr>
        <w:t>达到</w:t>
      </w:r>
      <w:r>
        <w:rPr>
          <w:rFonts w:hint="eastAsia" w:ascii="宋体" w:hAnsi="宋体"/>
          <w:color w:val="000000"/>
          <w:szCs w:val="21"/>
          <w:lang w:val="en-US" w:eastAsia="zh-CN"/>
        </w:rPr>
        <w:t>___</w:t>
      </w:r>
      <w:r>
        <w:rPr>
          <w:rFonts w:hint="eastAsia" w:ascii="宋体" w:hAnsi="宋体"/>
          <w:color w:val="000000"/>
          <w:szCs w:val="21"/>
        </w:rPr>
        <w:t>%（80~100%）；</w:t>
      </w:r>
    </w:p>
    <w:p>
      <w:pPr>
        <w:spacing w:line="480" w:lineRule="exact"/>
        <w:ind w:firstLine="420" w:firstLineChars="200"/>
        <w:jc w:val="both"/>
        <w:rPr>
          <w:rFonts w:hint="eastAsia" w:ascii="宋体" w:hAnsi="宋体"/>
          <w:color w:val="000000"/>
          <w:szCs w:val="21"/>
        </w:rPr>
      </w:pPr>
      <w:r>
        <w:rPr>
          <w:rFonts w:hint="eastAsia" w:ascii="宋体" w:hAnsi="宋体"/>
          <w:color w:val="000000"/>
          <w:szCs w:val="21"/>
        </w:rPr>
        <w:t>3.按照疫情防控政策，做好疫情防控工作；</w:t>
      </w:r>
    </w:p>
    <w:p>
      <w:pPr>
        <w:spacing w:line="480" w:lineRule="exact"/>
        <w:ind w:firstLine="420" w:firstLineChars="200"/>
        <w:jc w:val="both"/>
        <w:rPr>
          <w:rFonts w:hint="eastAsia" w:ascii="宋体" w:hAnsi="宋体"/>
          <w:color w:val="000000"/>
          <w:szCs w:val="21"/>
        </w:rPr>
      </w:pPr>
      <w:r>
        <w:rPr>
          <w:rFonts w:hint="eastAsia" w:ascii="宋体" w:hAnsi="宋体"/>
          <w:color w:val="000000"/>
          <w:szCs w:val="21"/>
        </w:rPr>
        <w:t>4. 确保农民工工资按时正常发放。</w:t>
      </w:r>
    </w:p>
    <w:p>
      <w:pPr>
        <w:spacing w:line="480" w:lineRule="exact"/>
        <w:ind w:firstLine="420" w:firstLineChars="200"/>
        <w:jc w:val="both"/>
        <w:rPr>
          <w:rFonts w:hint="eastAsia" w:ascii="宋体" w:hAnsi="宋体"/>
          <w:color w:val="000000"/>
          <w:szCs w:val="21"/>
        </w:rPr>
      </w:pPr>
      <w:r>
        <w:rPr>
          <w:rFonts w:hint="eastAsia" w:ascii="宋体" w:hAnsi="宋体"/>
          <w:color w:val="000000"/>
          <w:szCs w:val="21"/>
        </w:rPr>
        <w:t>5、保证投标文件中的企业、人员诚信评价等级与诚信评价排名， 与递交投标文件当天</w:t>
      </w:r>
    </w:p>
    <w:p>
      <w:pPr>
        <w:spacing w:line="480" w:lineRule="exact"/>
        <w:ind w:firstLine="420" w:firstLineChars="200"/>
        <w:jc w:val="both"/>
        <w:rPr>
          <w:rFonts w:hint="eastAsia" w:ascii="宋体" w:hAnsi="宋体"/>
          <w:color w:val="000000"/>
          <w:szCs w:val="21"/>
        </w:rPr>
      </w:pPr>
      <w:r>
        <w:rPr>
          <w:rFonts w:hint="eastAsia" w:ascii="宋体" w:hAnsi="宋体"/>
          <w:color w:val="000000"/>
          <w:szCs w:val="21"/>
        </w:rPr>
        <w:t>海南省住房城乡建设厅公布的相关信息一致。随本投标函递交的投标函附录是本投标函的组成部分，对我方构成约束力。</w:t>
      </w:r>
    </w:p>
    <w:p>
      <w:pPr>
        <w:spacing w:line="480" w:lineRule="exact"/>
        <w:ind w:firstLine="420" w:firstLineChars="200"/>
        <w:jc w:val="right"/>
        <w:rPr>
          <w:rFonts w:hint="eastAsia" w:ascii="宋体" w:hAnsi="宋体"/>
          <w:color w:val="000000"/>
          <w:szCs w:val="21"/>
        </w:rPr>
      </w:pPr>
      <w:r>
        <w:rPr>
          <w:rFonts w:hint="eastAsia" w:ascii="宋体" w:hAnsi="宋体"/>
          <w:color w:val="000000"/>
          <w:szCs w:val="21"/>
        </w:rPr>
        <w:t>随同本投标函递交投标保证金一份，金额为人民币（大写）：        (￥：        元）。</w:t>
      </w:r>
    </w:p>
    <w:p>
      <w:pPr>
        <w:spacing w:line="480" w:lineRule="exact"/>
        <w:ind w:firstLine="420" w:firstLineChars="200"/>
        <w:jc w:val="center"/>
        <w:rPr>
          <w:rFonts w:hint="eastAsia" w:ascii="宋体" w:hAnsi="宋体"/>
          <w:color w:val="000000"/>
          <w:szCs w:val="21"/>
        </w:rPr>
      </w:pPr>
      <w:r>
        <w:rPr>
          <w:rFonts w:hint="eastAsia" w:ascii="宋体" w:hAnsi="宋体"/>
          <w:color w:val="000000"/>
          <w:szCs w:val="21"/>
        </w:rPr>
        <w:t>在签署协议书之前， 你方的中标通知书连同本投标函， 包括投标函附录，对双方具约</w:t>
      </w:r>
    </w:p>
    <w:p>
      <w:pPr>
        <w:spacing w:line="480" w:lineRule="exact"/>
        <w:ind w:firstLine="420" w:firstLineChars="200"/>
        <w:jc w:val="both"/>
        <w:rPr>
          <w:rFonts w:hint="eastAsia" w:ascii="宋体" w:hAnsi="宋体"/>
          <w:color w:val="000000"/>
          <w:szCs w:val="21"/>
        </w:rPr>
      </w:pPr>
      <w:r>
        <w:rPr>
          <w:rFonts w:hint="eastAsia" w:ascii="宋体" w:hAnsi="宋体"/>
          <w:color w:val="000000"/>
          <w:szCs w:val="21"/>
        </w:rPr>
        <w:t>束力。</w:t>
      </w:r>
    </w:p>
    <w:p>
      <w:pPr>
        <w:spacing w:line="480" w:lineRule="exact"/>
        <w:ind w:firstLine="420" w:firstLineChars="200"/>
        <w:jc w:val="right"/>
        <w:rPr>
          <w:rFonts w:hint="eastAsia" w:ascii="宋体" w:hAnsi="宋体"/>
          <w:color w:val="000000"/>
          <w:szCs w:val="21"/>
        </w:rPr>
      </w:pPr>
    </w:p>
    <w:p>
      <w:pPr>
        <w:spacing w:line="480" w:lineRule="exact"/>
        <w:ind w:firstLine="420" w:firstLineChars="200"/>
        <w:jc w:val="right"/>
        <w:rPr>
          <w:rFonts w:hint="eastAsia" w:ascii="宋体" w:hAnsi="宋体"/>
          <w:color w:val="000000"/>
          <w:szCs w:val="21"/>
        </w:rPr>
      </w:pPr>
    </w:p>
    <w:p>
      <w:pPr>
        <w:spacing w:line="480" w:lineRule="exact"/>
        <w:ind w:firstLine="420" w:firstLineChars="200"/>
        <w:jc w:val="right"/>
        <w:rPr>
          <w:rFonts w:hint="eastAsia" w:ascii="宋体" w:hAnsi="宋体"/>
          <w:color w:val="000000"/>
          <w:szCs w:val="21"/>
        </w:rPr>
      </w:pPr>
    </w:p>
    <w:p>
      <w:pPr>
        <w:spacing w:line="480" w:lineRule="exact"/>
        <w:ind w:firstLine="420" w:firstLineChars="200"/>
        <w:jc w:val="right"/>
        <w:rPr>
          <w:rFonts w:hint="eastAsia" w:ascii="宋体" w:hAnsi="宋体"/>
          <w:color w:val="000000"/>
          <w:szCs w:val="21"/>
        </w:rPr>
      </w:pPr>
    </w:p>
    <w:p>
      <w:pPr>
        <w:spacing w:line="480" w:lineRule="exact"/>
        <w:ind w:firstLine="420" w:firstLineChars="200"/>
        <w:jc w:val="right"/>
        <w:rPr>
          <w:rFonts w:hint="eastAsia" w:ascii="宋体" w:hAnsi="宋体"/>
          <w:color w:val="000000"/>
          <w:szCs w:val="21"/>
        </w:rPr>
      </w:pPr>
    </w:p>
    <w:p>
      <w:pPr>
        <w:spacing w:line="480" w:lineRule="exact"/>
        <w:ind w:firstLine="420" w:firstLineChars="200"/>
        <w:jc w:val="right"/>
        <w:rPr>
          <w:rFonts w:ascii="宋体" w:hAnsi="宋体"/>
          <w:color w:val="000000"/>
          <w:szCs w:val="21"/>
        </w:rPr>
      </w:pPr>
      <w:r>
        <w:rPr>
          <w:rFonts w:hint="eastAsia" w:ascii="宋体" w:hAnsi="宋体"/>
          <w:color w:val="000000"/>
          <w:szCs w:val="21"/>
        </w:rPr>
        <w:t xml:space="preserve">投标人（电子盖章）： </w:t>
      </w:r>
    </w:p>
    <w:p>
      <w:pPr>
        <w:spacing w:line="480" w:lineRule="exact"/>
        <w:ind w:firstLine="420" w:firstLineChars="200"/>
        <w:jc w:val="right"/>
        <w:rPr>
          <w:rFonts w:ascii="宋体" w:hAnsi="宋体"/>
          <w:color w:val="000000"/>
          <w:szCs w:val="21"/>
        </w:rPr>
      </w:pPr>
      <w:r>
        <w:rPr>
          <w:rFonts w:hint="eastAsia" w:ascii="宋体" w:hAnsi="宋体"/>
          <w:color w:val="000000"/>
          <w:szCs w:val="21"/>
        </w:rPr>
        <w:t>法人代表或委托代理人（电子签字或盖章）：</w:t>
      </w:r>
    </w:p>
    <w:p>
      <w:pPr>
        <w:spacing w:line="480" w:lineRule="exact"/>
        <w:ind w:firstLine="420" w:firstLineChars="200"/>
        <w:jc w:val="right"/>
        <w:rPr>
          <w:rFonts w:ascii="宋体" w:hAnsi="宋体"/>
          <w:color w:val="000000"/>
          <w:szCs w:val="21"/>
        </w:rPr>
      </w:pPr>
      <w:r>
        <w:rPr>
          <w:rFonts w:hint="eastAsia" w:ascii="宋体" w:hAnsi="宋体"/>
          <w:color w:val="000000"/>
          <w:szCs w:val="21"/>
        </w:rPr>
        <w:t>日期：   年   月     日</w:t>
      </w:r>
    </w:p>
    <w:p>
      <w:pPr>
        <w:spacing w:line="480" w:lineRule="exact"/>
        <w:rPr>
          <w:rFonts w:ascii="宋体" w:hAnsi="宋体"/>
          <w:color w:val="000000"/>
          <w:szCs w:val="21"/>
        </w:rPr>
      </w:pPr>
    </w:p>
    <w:p>
      <w:pPr>
        <w:widowControl/>
        <w:jc w:val="left"/>
        <w:rPr>
          <w:rFonts w:ascii="宋体" w:hAnsi="宋体"/>
          <w:color w:val="000000"/>
          <w:szCs w:val="21"/>
        </w:rPr>
      </w:pPr>
      <w:r>
        <w:rPr>
          <w:rFonts w:ascii="宋体" w:hAnsi="宋体"/>
          <w:color w:val="000000"/>
          <w:szCs w:val="21"/>
        </w:rPr>
        <w:br w:type="page"/>
      </w:r>
    </w:p>
    <w:p>
      <w:pPr>
        <w:jc w:val="center"/>
        <w:rPr>
          <w:rFonts w:ascii="黑体" w:eastAsia="黑体"/>
          <w:color w:val="000000"/>
          <w:sz w:val="24"/>
        </w:rPr>
      </w:pPr>
      <w:r>
        <w:rPr>
          <w:rFonts w:hint="eastAsia" w:ascii="黑体" w:eastAsia="黑体"/>
          <w:color w:val="000000"/>
          <w:sz w:val="24"/>
        </w:rPr>
        <w:t>（二）投标函附录</w:t>
      </w:r>
    </w:p>
    <w:p>
      <w:pPr>
        <w:rPr>
          <w:rFonts w:ascii="宋体" w:hAnsi="宋体"/>
          <w:color w:val="000000"/>
          <w:szCs w:val="21"/>
        </w:rPr>
      </w:pPr>
      <w:r>
        <w:rPr>
          <w:rFonts w:hint="eastAsia" w:ascii="宋体" w:hAnsi="宋体"/>
          <w:b/>
          <w:color w:val="000000"/>
          <w:szCs w:val="21"/>
        </w:rPr>
        <w:t>工程名称：</w:t>
      </w:r>
      <w:permStart w:id="624" w:edGrp="everyone"/>
      <w:r>
        <w:rPr>
          <w:rFonts w:hint="eastAsia" w:ascii="宋体" w:hAnsi="宋体"/>
          <w:color w:val="000000"/>
          <w:szCs w:val="21"/>
        </w:rPr>
        <w:t>（项目名称）标段</w:t>
      </w:r>
    </w:p>
    <w:permEnd w:id="624"/>
    <w:tbl>
      <w:tblPr>
        <w:tblStyle w:val="3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2646"/>
        <w:gridCol w:w="1409"/>
        <w:gridCol w:w="2377"/>
        <w:gridCol w:w="1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845" w:type="dxa"/>
            <w:vAlign w:val="center"/>
          </w:tcPr>
          <w:p>
            <w:pPr>
              <w:jc w:val="center"/>
              <w:rPr>
                <w:rFonts w:ascii="宋体" w:hAnsi="宋体"/>
                <w:color w:val="000000"/>
                <w:szCs w:val="21"/>
              </w:rPr>
            </w:pPr>
            <w:r>
              <w:rPr>
                <w:rFonts w:hint="eastAsia" w:ascii="宋体" w:hAnsi="宋体"/>
                <w:color w:val="000000"/>
                <w:szCs w:val="21"/>
              </w:rPr>
              <w:t>序 号</w:t>
            </w:r>
          </w:p>
        </w:tc>
        <w:tc>
          <w:tcPr>
            <w:tcW w:w="2646" w:type="dxa"/>
            <w:vAlign w:val="center"/>
          </w:tcPr>
          <w:p>
            <w:pPr>
              <w:jc w:val="center"/>
              <w:rPr>
                <w:rFonts w:ascii="宋体" w:hAnsi="宋体"/>
                <w:color w:val="000000"/>
                <w:szCs w:val="21"/>
              </w:rPr>
            </w:pPr>
            <w:r>
              <w:rPr>
                <w:rFonts w:hint="eastAsia" w:ascii="宋体" w:hAnsi="宋体"/>
                <w:color w:val="000000"/>
                <w:szCs w:val="21"/>
              </w:rPr>
              <w:t>条款内容</w:t>
            </w:r>
          </w:p>
        </w:tc>
        <w:tc>
          <w:tcPr>
            <w:tcW w:w="1409" w:type="dxa"/>
            <w:vAlign w:val="center"/>
          </w:tcPr>
          <w:p>
            <w:pPr>
              <w:jc w:val="center"/>
              <w:rPr>
                <w:rFonts w:ascii="宋体" w:hAnsi="宋体"/>
                <w:color w:val="000000"/>
                <w:szCs w:val="21"/>
              </w:rPr>
            </w:pPr>
            <w:r>
              <w:rPr>
                <w:rFonts w:hint="eastAsia" w:ascii="宋体" w:hAnsi="宋体"/>
                <w:color w:val="000000"/>
                <w:szCs w:val="21"/>
              </w:rPr>
              <w:t>合同条款号</w:t>
            </w:r>
          </w:p>
        </w:tc>
        <w:tc>
          <w:tcPr>
            <w:tcW w:w="2377" w:type="dxa"/>
            <w:vAlign w:val="center"/>
          </w:tcPr>
          <w:p>
            <w:pPr>
              <w:jc w:val="center"/>
              <w:rPr>
                <w:rFonts w:ascii="宋体" w:hAnsi="宋体"/>
                <w:color w:val="000000"/>
                <w:szCs w:val="21"/>
              </w:rPr>
            </w:pPr>
            <w:r>
              <w:rPr>
                <w:rFonts w:hint="eastAsia" w:ascii="宋体" w:hAnsi="宋体"/>
                <w:color w:val="000000"/>
                <w:szCs w:val="21"/>
              </w:rPr>
              <w:t>约定内容</w:t>
            </w:r>
          </w:p>
        </w:tc>
        <w:tc>
          <w:tcPr>
            <w:tcW w:w="1109" w:type="dxa"/>
            <w:vAlign w:val="center"/>
          </w:tcPr>
          <w:p>
            <w:pPr>
              <w:jc w:val="center"/>
              <w:rPr>
                <w:rFonts w:ascii="宋体" w:hAnsi="宋体"/>
                <w:color w:val="000000"/>
                <w:szCs w:val="21"/>
              </w:rPr>
            </w:pPr>
            <w:r>
              <w:rPr>
                <w:rFonts w:hint="eastAsia" w:ascii="宋体" w:hAnsi="宋体"/>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845" w:type="dxa"/>
            <w:vAlign w:val="center"/>
          </w:tcPr>
          <w:p>
            <w:pPr>
              <w:jc w:val="center"/>
              <w:rPr>
                <w:rFonts w:ascii="黑体" w:hAnsi="宋体" w:eastAsia="黑体"/>
                <w:color w:val="000000"/>
                <w:szCs w:val="21"/>
              </w:rPr>
            </w:pPr>
            <w:permStart w:id="625" w:edGrp="everyone" w:colFirst="3" w:colLast="3"/>
            <w:permStart w:id="626" w:edGrp="everyone" w:colFirst="4" w:colLast="4"/>
            <w:r>
              <w:rPr>
                <w:rFonts w:hint="eastAsia" w:ascii="黑体" w:hAnsi="宋体" w:eastAsia="黑体"/>
                <w:color w:val="000000"/>
                <w:szCs w:val="21"/>
              </w:rPr>
              <w:t>1</w:t>
            </w:r>
          </w:p>
        </w:tc>
        <w:tc>
          <w:tcPr>
            <w:tcW w:w="2646" w:type="dxa"/>
            <w:vAlign w:val="center"/>
          </w:tcPr>
          <w:p>
            <w:pPr>
              <w:rPr>
                <w:rFonts w:ascii="宋体" w:hAnsi="宋体"/>
                <w:color w:val="000000"/>
                <w:szCs w:val="21"/>
              </w:rPr>
            </w:pPr>
            <w:r>
              <w:rPr>
                <w:rFonts w:hint="eastAsia" w:ascii="宋体" w:hAnsi="宋体"/>
                <w:color w:val="000000"/>
                <w:szCs w:val="21"/>
              </w:rPr>
              <w:t>项目负责人</w:t>
            </w:r>
            <w:r>
              <w:rPr>
                <w:rFonts w:hint="eastAsia"/>
                <w:color w:val="000000"/>
              </w:rPr>
              <w:t>（项目经理）</w:t>
            </w:r>
          </w:p>
        </w:tc>
        <w:tc>
          <w:tcPr>
            <w:tcW w:w="1409" w:type="dxa"/>
            <w:tcMar>
              <w:left w:w="170" w:type="dxa"/>
            </w:tcMar>
            <w:vAlign w:val="center"/>
          </w:tcPr>
          <w:p>
            <w:pPr>
              <w:rPr>
                <w:rFonts w:ascii="黑体" w:hAnsi="宋体" w:eastAsia="黑体"/>
                <w:color w:val="000000"/>
                <w:szCs w:val="21"/>
              </w:rPr>
            </w:pPr>
            <w:r>
              <w:rPr>
                <w:rFonts w:hint="eastAsia" w:ascii="黑体" w:hAnsi="宋体" w:eastAsia="黑体"/>
                <w:color w:val="000000"/>
                <w:szCs w:val="21"/>
              </w:rPr>
              <w:t>1.1.2.4</w:t>
            </w:r>
          </w:p>
        </w:tc>
        <w:tc>
          <w:tcPr>
            <w:tcW w:w="2377" w:type="dxa"/>
            <w:vAlign w:val="center"/>
          </w:tcPr>
          <w:p>
            <w:pPr>
              <w:rPr>
                <w:rFonts w:ascii="宋体" w:hAnsi="宋体"/>
                <w:color w:val="000000"/>
                <w:szCs w:val="21"/>
              </w:rPr>
            </w:pPr>
            <w:r>
              <w:rPr>
                <w:rFonts w:hint="eastAsia" w:ascii="宋体" w:hAnsi="宋体"/>
                <w:color w:val="000000"/>
                <w:szCs w:val="21"/>
              </w:rPr>
              <w:t>姓名：</w:t>
            </w:r>
            <w:r>
              <w:rPr>
                <w:rFonts w:hint="eastAsia" w:ascii="宋体" w:hAnsi="宋体"/>
                <w:color w:val="FF0000"/>
                <w:szCs w:val="21"/>
                <w:u w:val="single"/>
              </w:rPr>
              <w:t>必填</w:t>
            </w:r>
          </w:p>
        </w:tc>
        <w:tc>
          <w:tcPr>
            <w:tcW w:w="1109" w:type="dxa"/>
            <w:vAlign w:val="center"/>
          </w:tcPr>
          <w:p>
            <w:pPr>
              <w:jc w:val="center"/>
              <w:rPr>
                <w:rFonts w:ascii="宋体" w:hAnsi="宋体"/>
                <w:color w:val="000000"/>
                <w:szCs w:val="21"/>
              </w:rPr>
            </w:pPr>
            <w:r>
              <w:rPr>
                <w:rFonts w:hint="eastAsia" w:ascii="宋体" w:hAnsi="宋体"/>
                <w:color w:val="000000"/>
                <w:szCs w:val="21"/>
              </w:rPr>
              <w:t xml:space="preserve"> </w:t>
            </w:r>
          </w:p>
        </w:tc>
      </w:tr>
      <w:permEnd w:id="625"/>
      <w:permEnd w:id="62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845" w:type="dxa"/>
            <w:vAlign w:val="center"/>
          </w:tcPr>
          <w:p>
            <w:pPr>
              <w:jc w:val="center"/>
              <w:rPr>
                <w:rFonts w:ascii="黑体" w:hAnsi="宋体" w:eastAsia="黑体"/>
                <w:color w:val="000000"/>
                <w:szCs w:val="21"/>
              </w:rPr>
            </w:pPr>
            <w:r>
              <w:rPr>
                <w:rFonts w:hint="eastAsia" w:ascii="黑体" w:hAnsi="宋体" w:eastAsia="黑体"/>
                <w:color w:val="000000"/>
                <w:szCs w:val="21"/>
              </w:rPr>
              <w:t>1.1</w:t>
            </w:r>
          </w:p>
        </w:tc>
        <w:tc>
          <w:tcPr>
            <w:tcW w:w="2646" w:type="dxa"/>
            <w:vAlign w:val="center"/>
          </w:tcPr>
          <w:p>
            <w:pPr>
              <w:rPr>
                <w:color w:val="000000"/>
              </w:rPr>
            </w:pPr>
            <w:r>
              <w:rPr>
                <w:rFonts w:hint="eastAsia" w:ascii="宋体" w:hAnsi="宋体"/>
                <w:color w:val="000000"/>
                <w:szCs w:val="21"/>
              </w:rPr>
              <w:t>项目负责人</w:t>
            </w:r>
            <w:r>
              <w:rPr>
                <w:rFonts w:hint="eastAsia"/>
                <w:color w:val="000000"/>
              </w:rPr>
              <w:t>（项目经理）</w:t>
            </w:r>
          </w:p>
          <w:p>
            <w:pPr>
              <w:rPr>
                <w:rFonts w:ascii="宋体" w:hAnsi="宋体"/>
                <w:color w:val="000000"/>
                <w:szCs w:val="21"/>
              </w:rPr>
            </w:pPr>
            <w:r>
              <w:rPr>
                <w:rFonts w:hint="eastAsia" w:ascii="宋体" w:hAnsi="宋体"/>
                <w:color w:val="000000"/>
                <w:szCs w:val="21"/>
              </w:rPr>
              <w:t>注册证号</w:t>
            </w:r>
          </w:p>
        </w:tc>
        <w:tc>
          <w:tcPr>
            <w:tcW w:w="1409" w:type="dxa"/>
            <w:tcMar>
              <w:left w:w="170" w:type="dxa"/>
            </w:tcMar>
            <w:vAlign w:val="center"/>
          </w:tcPr>
          <w:p>
            <w:pPr>
              <w:rPr>
                <w:rFonts w:ascii="黑体" w:hAnsi="宋体" w:eastAsia="黑体"/>
                <w:color w:val="000000"/>
                <w:szCs w:val="21"/>
              </w:rPr>
            </w:pPr>
          </w:p>
        </w:tc>
        <w:tc>
          <w:tcPr>
            <w:tcW w:w="2377" w:type="dxa"/>
            <w:vAlign w:val="center"/>
          </w:tcPr>
          <w:p>
            <w:pPr>
              <w:ind w:firstLine="105" w:firstLineChars="50"/>
              <w:rPr>
                <w:rFonts w:ascii="宋体" w:hAnsi="宋体"/>
                <w:color w:val="000000"/>
                <w:szCs w:val="21"/>
              </w:rPr>
            </w:pPr>
            <w:permStart w:id="627" w:edGrp="everyone"/>
            <w:r>
              <w:rPr>
                <w:rFonts w:hint="eastAsia" w:ascii="宋体" w:hAnsi="宋体"/>
                <w:color w:val="FF0000"/>
                <w:szCs w:val="21"/>
                <w:u w:val="single"/>
              </w:rPr>
              <w:t>必填</w:t>
            </w:r>
            <w:permEnd w:id="627"/>
          </w:p>
        </w:tc>
        <w:tc>
          <w:tcPr>
            <w:tcW w:w="1109" w:type="dxa"/>
            <w:vAlign w:val="center"/>
          </w:tcPr>
          <w:p>
            <w:pPr>
              <w:jc w:val="center"/>
              <w:rPr>
                <w:rFonts w:ascii="宋体" w:hAnsi="宋体"/>
                <w:color w:val="000000"/>
                <w:szCs w:val="21"/>
              </w:rPr>
            </w:pPr>
            <w:permStart w:id="628" w:edGrp="everyone"/>
            <w:permEnd w:id="62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845" w:type="dxa"/>
            <w:vAlign w:val="center"/>
          </w:tcPr>
          <w:p>
            <w:pPr>
              <w:jc w:val="center"/>
              <w:rPr>
                <w:rFonts w:hint="default" w:ascii="黑体" w:hAnsi="宋体" w:eastAsia="黑体"/>
                <w:color w:val="000000"/>
                <w:szCs w:val="21"/>
                <w:lang w:val="en-US" w:eastAsia="zh-CN"/>
              </w:rPr>
            </w:pPr>
            <w:r>
              <w:rPr>
                <w:rFonts w:hint="eastAsia" w:ascii="黑体" w:hAnsi="宋体" w:eastAsia="黑体"/>
                <w:color w:val="000000"/>
                <w:szCs w:val="21"/>
                <w:lang w:val="en-US" w:eastAsia="zh-CN"/>
              </w:rPr>
              <w:t>1.2</w:t>
            </w:r>
          </w:p>
        </w:tc>
        <w:tc>
          <w:tcPr>
            <w:tcW w:w="2646" w:type="dxa"/>
            <w:vAlign w:val="center"/>
          </w:tcPr>
          <w:p>
            <w:pPr>
              <w:rPr>
                <w:rFonts w:hint="eastAsia" w:ascii="宋体" w:hAnsi="宋体"/>
                <w:color w:val="000000"/>
                <w:szCs w:val="21"/>
              </w:rPr>
            </w:pPr>
            <w:r>
              <w:rPr>
                <w:spacing w:val="-2"/>
                <w:sz w:val="21"/>
                <w:szCs w:val="21"/>
              </w:rPr>
              <w:t>项目负责人（项目经理）</w:t>
            </w:r>
            <w:r>
              <w:rPr>
                <w:sz w:val="21"/>
                <w:szCs w:val="21"/>
              </w:rPr>
              <w:t xml:space="preserve"> </w:t>
            </w:r>
            <w:r>
              <w:rPr>
                <w:spacing w:val="-3"/>
                <w:sz w:val="21"/>
                <w:szCs w:val="21"/>
              </w:rPr>
              <w:t>身份证号码</w:t>
            </w:r>
          </w:p>
        </w:tc>
        <w:tc>
          <w:tcPr>
            <w:tcW w:w="1409" w:type="dxa"/>
            <w:tcMar>
              <w:left w:w="170" w:type="dxa"/>
            </w:tcMar>
            <w:vAlign w:val="center"/>
          </w:tcPr>
          <w:p>
            <w:pPr>
              <w:rPr>
                <w:rFonts w:ascii="黑体" w:hAnsi="宋体" w:eastAsia="黑体"/>
                <w:color w:val="000000"/>
                <w:szCs w:val="21"/>
              </w:rPr>
            </w:pPr>
          </w:p>
        </w:tc>
        <w:tc>
          <w:tcPr>
            <w:tcW w:w="2377" w:type="dxa"/>
            <w:vAlign w:val="center"/>
          </w:tcPr>
          <w:p>
            <w:pPr>
              <w:ind w:firstLine="105" w:firstLineChars="50"/>
              <w:rPr>
                <w:rFonts w:hint="eastAsia" w:ascii="宋体" w:hAnsi="宋体"/>
                <w:color w:val="FF0000"/>
                <w:szCs w:val="21"/>
                <w:u w:val="single"/>
              </w:rPr>
            </w:pPr>
          </w:p>
        </w:tc>
        <w:tc>
          <w:tcPr>
            <w:tcW w:w="1109"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845" w:type="dxa"/>
            <w:vAlign w:val="center"/>
          </w:tcPr>
          <w:p>
            <w:pPr>
              <w:jc w:val="center"/>
              <w:rPr>
                <w:rFonts w:hint="eastAsia" w:ascii="黑体" w:hAnsi="宋体" w:eastAsia="黑体"/>
                <w:color w:val="000000"/>
                <w:szCs w:val="21"/>
                <w:lang w:val="en-US" w:eastAsia="zh-CN"/>
              </w:rPr>
            </w:pPr>
            <w:r>
              <w:rPr>
                <w:rFonts w:hint="eastAsia" w:ascii="黑体" w:hAnsi="宋体" w:eastAsia="黑体"/>
                <w:color w:val="000000"/>
                <w:szCs w:val="21"/>
              </w:rPr>
              <w:t>1.</w:t>
            </w:r>
            <w:r>
              <w:rPr>
                <w:rFonts w:hint="eastAsia" w:ascii="黑体" w:hAnsi="宋体" w:eastAsia="黑体"/>
                <w:color w:val="000000"/>
                <w:szCs w:val="21"/>
                <w:lang w:val="en-US" w:eastAsia="zh-CN"/>
              </w:rPr>
              <w:t>3</w:t>
            </w:r>
          </w:p>
        </w:tc>
        <w:tc>
          <w:tcPr>
            <w:tcW w:w="2646" w:type="dxa"/>
            <w:vAlign w:val="top"/>
          </w:tcPr>
          <w:p>
            <w:pPr>
              <w:pStyle w:val="95"/>
              <w:spacing w:before="51" w:line="247" w:lineRule="auto"/>
              <w:ind w:left="110" w:leftChars="0" w:right="158" w:rightChars="0" w:firstLine="4" w:firstLineChars="0"/>
              <w:rPr>
                <w:rFonts w:ascii="宋体" w:hAnsi="宋体" w:eastAsia="宋体" w:cs="宋体"/>
                <w:kern w:val="2"/>
                <w:sz w:val="21"/>
                <w:szCs w:val="21"/>
                <w:lang w:val="en-US" w:eastAsia="en-US" w:bidi="ar-SA"/>
              </w:rPr>
            </w:pPr>
            <w:r>
              <w:rPr>
                <w:spacing w:val="-2"/>
                <w:sz w:val="21"/>
                <w:szCs w:val="21"/>
              </w:rPr>
              <w:t>项目负责人（项目经理）</w:t>
            </w:r>
            <w:r>
              <w:rPr>
                <w:sz w:val="21"/>
                <w:szCs w:val="21"/>
              </w:rPr>
              <w:t xml:space="preserve"> </w:t>
            </w:r>
            <w:r>
              <w:rPr>
                <w:spacing w:val="-1"/>
                <w:sz w:val="21"/>
                <w:szCs w:val="21"/>
              </w:rPr>
              <w:t>诚信评价等级</w:t>
            </w:r>
          </w:p>
        </w:tc>
        <w:tc>
          <w:tcPr>
            <w:tcW w:w="1409" w:type="dxa"/>
            <w:tcMar>
              <w:left w:w="170" w:type="dxa"/>
            </w:tcMar>
            <w:vAlign w:val="center"/>
          </w:tcPr>
          <w:p>
            <w:pPr>
              <w:rPr>
                <w:rFonts w:ascii="黑体" w:hAnsi="宋体" w:eastAsia="黑体"/>
                <w:color w:val="000000"/>
                <w:szCs w:val="21"/>
              </w:rPr>
            </w:pPr>
          </w:p>
        </w:tc>
        <w:tc>
          <w:tcPr>
            <w:tcW w:w="2377" w:type="dxa"/>
            <w:vAlign w:val="center"/>
          </w:tcPr>
          <w:p>
            <w:pPr>
              <w:rPr>
                <w:rFonts w:ascii="宋体" w:hAnsi="宋体"/>
                <w:color w:val="000000"/>
                <w:szCs w:val="21"/>
              </w:rPr>
            </w:pPr>
            <w:permStart w:id="629" w:edGrp="everyone"/>
            <w:r>
              <w:rPr>
                <w:rFonts w:hint="eastAsia" w:ascii="宋体" w:hAnsi="宋体"/>
                <w:color w:val="000000"/>
                <w:szCs w:val="21"/>
              </w:rPr>
              <w:t xml:space="preserve">  </w:t>
            </w:r>
            <w:r>
              <w:rPr>
                <w:rFonts w:hint="eastAsia" w:ascii="宋体" w:hAnsi="宋体"/>
                <w:color w:val="FF0000"/>
                <w:szCs w:val="21"/>
                <w:u w:val="single"/>
              </w:rPr>
              <w:t>必填</w:t>
            </w:r>
            <w:r>
              <w:rPr>
                <w:rFonts w:ascii="宋体" w:hAnsi="宋体"/>
                <w:color w:val="000000"/>
                <w:szCs w:val="21"/>
              </w:rPr>
              <w:t xml:space="preserve">  </w:t>
            </w:r>
            <w:permEnd w:id="629"/>
          </w:p>
        </w:tc>
        <w:tc>
          <w:tcPr>
            <w:tcW w:w="1109" w:type="dxa"/>
            <w:vAlign w:val="center"/>
          </w:tcPr>
          <w:p>
            <w:pPr>
              <w:jc w:val="center"/>
              <w:rPr>
                <w:rFonts w:ascii="宋体" w:hAnsi="宋体"/>
                <w:color w:val="000000"/>
                <w:szCs w:val="21"/>
              </w:rPr>
            </w:pPr>
            <w:permStart w:id="630" w:edGrp="everyone"/>
            <w:permEnd w:id="63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845" w:type="dxa"/>
            <w:vAlign w:val="center"/>
          </w:tcPr>
          <w:p>
            <w:pPr>
              <w:jc w:val="center"/>
              <w:rPr>
                <w:rFonts w:hint="default" w:ascii="黑体" w:hAnsi="宋体" w:eastAsia="黑体"/>
                <w:color w:val="000000"/>
                <w:szCs w:val="21"/>
                <w:lang w:val="en-US" w:eastAsia="zh-CN"/>
              </w:rPr>
            </w:pPr>
            <w:r>
              <w:rPr>
                <w:rFonts w:hint="eastAsia" w:ascii="黑体" w:hAnsi="宋体" w:eastAsia="黑体"/>
                <w:color w:val="000000"/>
                <w:szCs w:val="21"/>
                <w:lang w:val="en-US" w:eastAsia="zh-CN"/>
              </w:rPr>
              <w:t>1.4</w:t>
            </w:r>
          </w:p>
        </w:tc>
        <w:tc>
          <w:tcPr>
            <w:tcW w:w="2646" w:type="dxa"/>
            <w:vAlign w:val="top"/>
          </w:tcPr>
          <w:p>
            <w:pPr>
              <w:pStyle w:val="95"/>
              <w:spacing w:before="53" w:line="247" w:lineRule="auto"/>
              <w:ind w:left="110" w:leftChars="0" w:right="158" w:rightChars="0" w:firstLine="4" w:firstLineChars="0"/>
              <w:rPr>
                <w:rFonts w:hint="eastAsia" w:ascii="宋体" w:hAnsi="宋体" w:eastAsia="宋体" w:cs="宋体"/>
                <w:kern w:val="2"/>
                <w:sz w:val="21"/>
                <w:szCs w:val="21"/>
                <w:lang w:val="en-US" w:eastAsia="en-US" w:bidi="ar-SA"/>
              </w:rPr>
            </w:pPr>
            <w:r>
              <w:rPr>
                <w:spacing w:val="-2"/>
                <w:sz w:val="21"/>
                <w:szCs w:val="21"/>
              </w:rPr>
              <w:t>项目负责人（项目经理）</w:t>
            </w:r>
            <w:r>
              <w:rPr>
                <w:sz w:val="21"/>
                <w:szCs w:val="21"/>
              </w:rPr>
              <w:t xml:space="preserve"> </w:t>
            </w:r>
            <w:r>
              <w:rPr>
                <w:spacing w:val="-1"/>
                <w:sz w:val="21"/>
                <w:szCs w:val="21"/>
              </w:rPr>
              <w:t>诚信评价排名</w:t>
            </w:r>
          </w:p>
        </w:tc>
        <w:tc>
          <w:tcPr>
            <w:tcW w:w="1409" w:type="dxa"/>
            <w:tcMar>
              <w:left w:w="170" w:type="dxa"/>
            </w:tcMar>
            <w:vAlign w:val="center"/>
          </w:tcPr>
          <w:p>
            <w:pPr>
              <w:rPr>
                <w:rFonts w:ascii="黑体" w:hAnsi="宋体" w:eastAsia="黑体"/>
                <w:color w:val="000000"/>
                <w:szCs w:val="21"/>
              </w:rPr>
            </w:pPr>
          </w:p>
        </w:tc>
        <w:tc>
          <w:tcPr>
            <w:tcW w:w="2377" w:type="dxa"/>
            <w:vAlign w:val="center"/>
          </w:tcPr>
          <w:p>
            <w:pPr>
              <w:rPr>
                <w:rFonts w:hint="eastAsia" w:ascii="宋体" w:hAnsi="宋体"/>
                <w:color w:val="000000"/>
                <w:szCs w:val="21"/>
              </w:rPr>
            </w:pPr>
          </w:p>
        </w:tc>
        <w:tc>
          <w:tcPr>
            <w:tcW w:w="1109"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845" w:type="dxa"/>
            <w:vAlign w:val="center"/>
          </w:tcPr>
          <w:p>
            <w:pPr>
              <w:jc w:val="center"/>
              <w:rPr>
                <w:rFonts w:ascii="黑体" w:hAnsi="宋体" w:eastAsia="黑体"/>
                <w:color w:val="000000"/>
                <w:szCs w:val="21"/>
              </w:rPr>
            </w:pPr>
            <w:permStart w:id="631" w:edGrp="everyone" w:colFirst="3" w:colLast="3"/>
            <w:permStart w:id="632" w:edGrp="everyone" w:colFirst="4" w:colLast="4"/>
            <w:r>
              <w:rPr>
                <w:rFonts w:hint="eastAsia" w:ascii="黑体" w:hAnsi="宋体" w:eastAsia="黑体"/>
                <w:color w:val="000000"/>
                <w:szCs w:val="21"/>
              </w:rPr>
              <w:t>2</w:t>
            </w:r>
          </w:p>
        </w:tc>
        <w:tc>
          <w:tcPr>
            <w:tcW w:w="2646" w:type="dxa"/>
            <w:vAlign w:val="center"/>
          </w:tcPr>
          <w:p>
            <w:pPr>
              <w:rPr>
                <w:rFonts w:ascii="宋体" w:hAnsi="宋体"/>
                <w:color w:val="000000"/>
                <w:szCs w:val="21"/>
              </w:rPr>
            </w:pPr>
            <w:r>
              <w:rPr>
                <w:rFonts w:hint="eastAsia" w:ascii="宋体" w:hAnsi="宋体"/>
                <w:color w:val="000000"/>
                <w:szCs w:val="21"/>
              </w:rPr>
              <w:t>工期</w:t>
            </w:r>
          </w:p>
        </w:tc>
        <w:tc>
          <w:tcPr>
            <w:tcW w:w="1409" w:type="dxa"/>
            <w:tcMar>
              <w:left w:w="170" w:type="dxa"/>
            </w:tcMar>
            <w:vAlign w:val="center"/>
          </w:tcPr>
          <w:p>
            <w:pPr>
              <w:rPr>
                <w:rFonts w:ascii="黑体" w:hAnsi="宋体" w:eastAsia="黑体"/>
                <w:color w:val="000000"/>
                <w:szCs w:val="21"/>
              </w:rPr>
            </w:pPr>
            <w:r>
              <w:rPr>
                <w:rFonts w:hint="eastAsia" w:ascii="黑体" w:hAnsi="宋体" w:eastAsia="黑体"/>
                <w:color w:val="000000"/>
                <w:szCs w:val="21"/>
              </w:rPr>
              <w:t>1.1.4.3</w:t>
            </w:r>
          </w:p>
        </w:tc>
        <w:tc>
          <w:tcPr>
            <w:tcW w:w="2377" w:type="dxa"/>
            <w:vAlign w:val="center"/>
          </w:tcPr>
          <w:p>
            <w:pPr>
              <w:jc w:val="center"/>
              <w:rPr>
                <w:rFonts w:ascii="宋体" w:hAnsi="宋体"/>
                <w:color w:val="000000"/>
                <w:szCs w:val="21"/>
              </w:rPr>
            </w:pPr>
            <w:r>
              <w:rPr>
                <w:rFonts w:hint="eastAsia" w:ascii="宋体" w:hAnsi="宋体"/>
                <w:color w:val="000000"/>
                <w:szCs w:val="21"/>
              </w:rPr>
              <w:t>日历天</w:t>
            </w:r>
          </w:p>
        </w:tc>
        <w:tc>
          <w:tcPr>
            <w:tcW w:w="1109" w:type="dxa"/>
            <w:vAlign w:val="center"/>
          </w:tcPr>
          <w:p>
            <w:pPr>
              <w:jc w:val="center"/>
              <w:rPr>
                <w:rFonts w:ascii="宋体" w:hAnsi="宋体"/>
                <w:color w:val="000000"/>
                <w:szCs w:val="21"/>
              </w:rPr>
            </w:pPr>
          </w:p>
        </w:tc>
      </w:tr>
      <w:permEnd w:id="631"/>
      <w:permEnd w:id="63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845" w:type="dxa"/>
            <w:vAlign w:val="center"/>
          </w:tcPr>
          <w:p>
            <w:pPr>
              <w:jc w:val="center"/>
              <w:rPr>
                <w:rFonts w:ascii="黑体" w:hAnsi="宋体" w:eastAsia="黑体"/>
                <w:color w:val="000000"/>
                <w:szCs w:val="21"/>
              </w:rPr>
            </w:pPr>
            <w:permStart w:id="633" w:edGrp="everyone" w:colFirst="3" w:colLast="3"/>
            <w:permStart w:id="634" w:edGrp="everyone" w:colFirst="4" w:colLast="4"/>
            <w:r>
              <w:rPr>
                <w:rFonts w:hint="eastAsia" w:ascii="黑体" w:hAnsi="宋体" w:eastAsia="黑体"/>
                <w:color w:val="000000"/>
                <w:szCs w:val="21"/>
              </w:rPr>
              <w:t>3</w:t>
            </w:r>
          </w:p>
        </w:tc>
        <w:tc>
          <w:tcPr>
            <w:tcW w:w="2646" w:type="dxa"/>
            <w:vAlign w:val="center"/>
          </w:tcPr>
          <w:p>
            <w:pPr>
              <w:rPr>
                <w:rFonts w:ascii="宋体" w:hAnsi="宋体"/>
                <w:color w:val="000000"/>
                <w:szCs w:val="21"/>
              </w:rPr>
            </w:pPr>
            <w:r>
              <w:rPr>
                <w:rFonts w:hint="eastAsia" w:ascii="宋体" w:hAnsi="宋体"/>
                <w:color w:val="000000"/>
                <w:szCs w:val="21"/>
              </w:rPr>
              <w:t>缺陷责任期</w:t>
            </w:r>
          </w:p>
        </w:tc>
        <w:tc>
          <w:tcPr>
            <w:tcW w:w="1409" w:type="dxa"/>
            <w:tcMar>
              <w:left w:w="170" w:type="dxa"/>
            </w:tcMar>
            <w:vAlign w:val="center"/>
          </w:tcPr>
          <w:p>
            <w:pPr>
              <w:rPr>
                <w:rFonts w:ascii="黑体" w:hAnsi="宋体" w:eastAsia="黑体"/>
                <w:color w:val="000000"/>
                <w:szCs w:val="21"/>
              </w:rPr>
            </w:pPr>
            <w:r>
              <w:rPr>
                <w:rFonts w:hint="eastAsia" w:ascii="黑体" w:hAnsi="宋体" w:eastAsia="黑体"/>
                <w:color w:val="000000"/>
                <w:szCs w:val="21"/>
              </w:rPr>
              <w:t>1.1.4.5</w:t>
            </w:r>
          </w:p>
        </w:tc>
        <w:tc>
          <w:tcPr>
            <w:tcW w:w="2377" w:type="dxa"/>
            <w:vAlign w:val="center"/>
          </w:tcPr>
          <w:p>
            <w:pPr>
              <w:jc w:val="center"/>
              <w:rPr>
                <w:rFonts w:ascii="宋体" w:hAnsi="宋体"/>
                <w:color w:val="000000"/>
                <w:szCs w:val="21"/>
              </w:rPr>
            </w:pPr>
            <w:r>
              <w:rPr>
                <w:rFonts w:hint="eastAsia" w:ascii="宋体" w:hAnsi="宋体"/>
                <w:color w:val="000000"/>
                <w:szCs w:val="21"/>
              </w:rPr>
              <w:t>……</w:t>
            </w:r>
          </w:p>
        </w:tc>
        <w:tc>
          <w:tcPr>
            <w:tcW w:w="1109" w:type="dxa"/>
            <w:vAlign w:val="center"/>
          </w:tcPr>
          <w:p>
            <w:pPr>
              <w:jc w:val="center"/>
              <w:rPr>
                <w:rFonts w:ascii="宋体" w:hAnsi="宋体"/>
                <w:color w:val="000000"/>
                <w:szCs w:val="21"/>
              </w:rPr>
            </w:pPr>
          </w:p>
        </w:tc>
      </w:tr>
      <w:permEnd w:id="633"/>
      <w:permEnd w:id="63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845" w:type="dxa"/>
            <w:vAlign w:val="center"/>
          </w:tcPr>
          <w:p>
            <w:pPr>
              <w:jc w:val="center"/>
              <w:rPr>
                <w:rFonts w:ascii="黑体" w:hAnsi="宋体" w:eastAsia="黑体"/>
                <w:color w:val="000000"/>
                <w:szCs w:val="21"/>
              </w:rPr>
            </w:pPr>
            <w:permStart w:id="635" w:edGrp="everyone" w:colFirst="3" w:colLast="3"/>
            <w:permStart w:id="636" w:edGrp="everyone" w:colFirst="4" w:colLast="4"/>
            <w:r>
              <w:rPr>
                <w:rFonts w:hint="eastAsia" w:ascii="黑体" w:hAnsi="宋体" w:eastAsia="黑体"/>
                <w:color w:val="000000"/>
                <w:szCs w:val="21"/>
              </w:rPr>
              <w:t>4</w:t>
            </w:r>
          </w:p>
        </w:tc>
        <w:tc>
          <w:tcPr>
            <w:tcW w:w="2646" w:type="dxa"/>
            <w:vAlign w:val="center"/>
          </w:tcPr>
          <w:p>
            <w:pPr>
              <w:rPr>
                <w:rFonts w:ascii="宋体" w:hAnsi="宋体"/>
                <w:color w:val="000000"/>
                <w:szCs w:val="21"/>
              </w:rPr>
            </w:pPr>
            <w:r>
              <w:rPr>
                <w:rFonts w:hint="eastAsia" w:ascii="宋体" w:hAnsi="宋体"/>
                <w:color w:val="000000"/>
                <w:szCs w:val="21"/>
              </w:rPr>
              <w:t>承包人履约担保金额</w:t>
            </w:r>
          </w:p>
        </w:tc>
        <w:tc>
          <w:tcPr>
            <w:tcW w:w="1409" w:type="dxa"/>
            <w:tcMar>
              <w:left w:w="170" w:type="dxa"/>
            </w:tcMar>
            <w:vAlign w:val="center"/>
          </w:tcPr>
          <w:p>
            <w:pPr>
              <w:rPr>
                <w:rFonts w:ascii="黑体" w:hAnsi="宋体" w:eastAsia="黑体"/>
                <w:color w:val="000000"/>
                <w:szCs w:val="21"/>
              </w:rPr>
            </w:pPr>
            <w:r>
              <w:rPr>
                <w:rFonts w:hint="eastAsia" w:ascii="黑体" w:hAnsi="宋体" w:eastAsia="黑体"/>
                <w:color w:val="000000"/>
                <w:szCs w:val="21"/>
              </w:rPr>
              <w:t>4.2</w:t>
            </w:r>
          </w:p>
        </w:tc>
        <w:tc>
          <w:tcPr>
            <w:tcW w:w="2377" w:type="dxa"/>
            <w:vAlign w:val="center"/>
          </w:tcPr>
          <w:p>
            <w:pPr>
              <w:jc w:val="center"/>
              <w:rPr>
                <w:rFonts w:ascii="宋体" w:hAnsi="宋体"/>
                <w:color w:val="000000"/>
                <w:szCs w:val="21"/>
              </w:rPr>
            </w:pPr>
            <w:r>
              <w:rPr>
                <w:rFonts w:hint="eastAsia" w:ascii="宋体" w:hAnsi="宋体"/>
                <w:color w:val="000000"/>
                <w:szCs w:val="21"/>
              </w:rPr>
              <w:t>……</w:t>
            </w:r>
          </w:p>
        </w:tc>
        <w:tc>
          <w:tcPr>
            <w:tcW w:w="1109" w:type="dxa"/>
            <w:vAlign w:val="center"/>
          </w:tcPr>
          <w:p>
            <w:pPr>
              <w:jc w:val="center"/>
              <w:rPr>
                <w:rFonts w:ascii="宋体" w:hAnsi="宋体"/>
                <w:color w:val="000000"/>
                <w:szCs w:val="21"/>
              </w:rPr>
            </w:pPr>
          </w:p>
        </w:tc>
      </w:tr>
      <w:permEnd w:id="635"/>
      <w:permEnd w:id="63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845" w:type="dxa"/>
            <w:vAlign w:val="center"/>
          </w:tcPr>
          <w:p>
            <w:pPr>
              <w:jc w:val="center"/>
              <w:rPr>
                <w:rFonts w:ascii="黑体" w:hAnsi="宋体" w:eastAsia="黑体"/>
                <w:color w:val="000000"/>
                <w:szCs w:val="21"/>
              </w:rPr>
            </w:pPr>
            <w:permStart w:id="637" w:edGrp="everyone" w:colFirst="3" w:colLast="3"/>
            <w:permStart w:id="638" w:edGrp="everyone" w:colFirst="4" w:colLast="4"/>
            <w:r>
              <w:rPr>
                <w:rFonts w:hint="eastAsia" w:ascii="黑体" w:hAnsi="宋体" w:eastAsia="黑体"/>
                <w:color w:val="000000"/>
                <w:szCs w:val="21"/>
              </w:rPr>
              <w:t>5</w:t>
            </w:r>
          </w:p>
        </w:tc>
        <w:tc>
          <w:tcPr>
            <w:tcW w:w="2646" w:type="dxa"/>
            <w:vAlign w:val="center"/>
          </w:tcPr>
          <w:p>
            <w:pPr>
              <w:rPr>
                <w:rFonts w:ascii="宋体" w:hAnsi="宋体"/>
                <w:color w:val="000000"/>
                <w:szCs w:val="21"/>
              </w:rPr>
            </w:pPr>
            <w:r>
              <w:rPr>
                <w:rFonts w:hint="eastAsia" w:ascii="宋体" w:hAnsi="宋体"/>
                <w:color w:val="000000"/>
                <w:szCs w:val="21"/>
              </w:rPr>
              <w:t>分包</w:t>
            </w:r>
          </w:p>
        </w:tc>
        <w:tc>
          <w:tcPr>
            <w:tcW w:w="1409" w:type="dxa"/>
            <w:tcMar>
              <w:left w:w="170" w:type="dxa"/>
            </w:tcMar>
            <w:vAlign w:val="center"/>
          </w:tcPr>
          <w:p>
            <w:pPr>
              <w:rPr>
                <w:rFonts w:ascii="黑体" w:hAnsi="宋体" w:eastAsia="黑体"/>
                <w:color w:val="000000"/>
                <w:szCs w:val="21"/>
              </w:rPr>
            </w:pPr>
            <w:r>
              <w:rPr>
                <w:rFonts w:hint="eastAsia" w:ascii="黑体" w:hAnsi="宋体" w:eastAsia="黑体"/>
                <w:color w:val="000000"/>
                <w:szCs w:val="21"/>
              </w:rPr>
              <w:t>4.3.4</w:t>
            </w:r>
          </w:p>
        </w:tc>
        <w:tc>
          <w:tcPr>
            <w:tcW w:w="2377" w:type="dxa"/>
            <w:vAlign w:val="center"/>
          </w:tcPr>
          <w:p>
            <w:pPr>
              <w:jc w:val="center"/>
              <w:rPr>
                <w:rFonts w:ascii="宋体" w:hAnsi="宋体"/>
                <w:color w:val="000000"/>
                <w:szCs w:val="21"/>
              </w:rPr>
            </w:pPr>
            <w:r>
              <w:rPr>
                <w:rFonts w:hint="eastAsia" w:ascii="宋体" w:hAnsi="宋体"/>
                <w:color w:val="000000"/>
                <w:szCs w:val="21"/>
              </w:rPr>
              <w:t>见分包项目情况表</w:t>
            </w:r>
          </w:p>
        </w:tc>
        <w:tc>
          <w:tcPr>
            <w:tcW w:w="1109" w:type="dxa"/>
            <w:vAlign w:val="center"/>
          </w:tcPr>
          <w:p>
            <w:pPr>
              <w:jc w:val="center"/>
              <w:rPr>
                <w:rFonts w:ascii="宋体" w:hAnsi="宋体"/>
                <w:color w:val="000000"/>
                <w:szCs w:val="21"/>
              </w:rPr>
            </w:pPr>
          </w:p>
        </w:tc>
      </w:tr>
      <w:permEnd w:id="637"/>
      <w:permEnd w:id="63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845" w:type="dxa"/>
            <w:vAlign w:val="center"/>
          </w:tcPr>
          <w:p>
            <w:pPr>
              <w:jc w:val="center"/>
              <w:rPr>
                <w:rFonts w:ascii="黑体" w:hAnsi="宋体" w:eastAsia="黑体"/>
                <w:color w:val="000000"/>
                <w:szCs w:val="21"/>
              </w:rPr>
            </w:pPr>
            <w:permStart w:id="639" w:edGrp="everyone" w:colFirst="3" w:colLast="3"/>
            <w:permStart w:id="640" w:edGrp="everyone" w:colFirst="4" w:colLast="4"/>
            <w:r>
              <w:rPr>
                <w:rFonts w:hint="eastAsia" w:ascii="黑体" w:hAnsi="宋体" w:eastAsia="黑体"/>
                <w:color w:val="000000"/>
                <w:szCs w:val="21"/>
              </w:rPr>
              <w:t>6</w:t>
            </w:r>
          </w:p>
        </w:tc>
        <w:tc>
          <w:tcPr>
            <w:tcW w:w="2646" w:type="dxa"/>
            <w:vAlign w:val="center"/>
          </w:tcPr>
          <w:p>
            <w:pPr>
              <w:rPr>
                <w:rFonts w:ascii="宋体" w:hAnsi="宋体"/>
                <w:color w:val="000000"/>
                <w:szCs w:val="21"/>
              </w:rPr>
            </w:pPr>
            <w:r>
              <w:rPr>
                <w:rFonts w:hint="eastAsia" w:ascii="宋体" w:hAnsi="宋体"/>
                <w:color w:val="000000"/>
                <w:szCs w:val="21"/>
              </w:rPr>
              <w:t>逾期竣工违约金</w:t>
            </w:r>
          </w:p>
        </w:tc>
        <w:tc>
          <w:tcPr>
            <w:tcW w:w="1409" w:type="dxa"/>
            <w:tcMar>
              <w:left w:w="170" w:type="dxa"/>
            </w:tcMar>
            <w:vAlign w:val="center"/>
          </w:tcPr>
          <w:p>
            <w:pPr>
              <w:rPr>
                <w:rFonts w:ascii="黑体" w:hAnsi="宋体" w:eastAsia="黑体"/>
                <w:color w:val="000000"/>
                <w:szCs w:val="21"/>
              </w:rPr>
            </w:pPr>
            <w:r>
              <w:rPr>
                <w:rFonts w:hint="eastAsia" w:ascii="黑体" w:hAnsi="宋体" w:eastAsia="黑体"/>
                <w:color w:val="000000"/>
                <w:szCs w:val="21"/>
              </w:rPr>
              <w:t>11.5</w:t>
            </w:r>
          </w:p>
        </w:tc>
        <w:tc>
          <w:tcPr>
            <w:tcW w:w="2377" w:type="dxa"/>
            <w:vAlign w:val="center"/>
          </w:tcPr>
          <w:p>
            <w:pPr>
              <w:jc w:val="center"/>
              <w:rPr>
                <w:rFonts w:ascii="宋体" w:hAnsi="宋体"/>
                <w:color w:val="000000"/>
                <w:szCs w:val="21"/>
              </w:rPr>
            </w:pPr>
            <w:r>
              <w:rPr>
                <w:rFonts w:hint="eastAsia" w:ascii="宋体" w:hAnsi="宋体"/>
                <w:color w:val="000000"/>
                <w:szCs w:val="21"/>
              </w:rPr>
              <w:t>元/天</w:t>
            </w:r>
          </w:p>
        </w:tc>
        <w:tc>
          <w:tcPr>
            <w:tcW w:w="1109" w:type="dxa"/>
            <w:vAlign w:val="center"/>
          </w:tcPr>
          <w:p>
            <w:pPr>
              <w:jc w:val="center"/>
              <w:rPr>
                <w:rFonts w:ascii="宋体" w:hAnsi="宋体"/>
                <w:color w:val="000000"/>
                <w:szCs w:val="21"/>
              </w:rPr>
            </w:pPr>
          </w:p>
        </w:tc>
      </w:tr>
      <w:permEnd w:id="639"/>
      <w:permEnd w:id="64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845" w:type="dxa"/>
            <w:vAlign w:val="center"/>
          </w:tcPr>
          <w:p>
            <w:pPr>
              <w:jc w:val="center"/>
              <w:rPr>
                <w:rFonts w:ascii="黑体" w:hAnsi="宋体" w:eastAsia="黑体"/>
                <w:color w:val="000000"/>
                <w:szCs w:val="21"/>
              </w:rPr>
            </w:pPr>
            <w:permStart w:id="641" w:edGrp="everyone" w:colFirst="3" w:colLast="3"/>
            <w:permStart w:id="642" w:edGrp="everyone" w:colFirst="4" w:colLast="4"/>
            <w:r>
              <w:rPr>
                <w:rFonts w:hint="eastAsia" w:ascii="黑体" w:hAnsi="宋体" w:eastAsia="黑体"/>
                <w:color w:val="000000"/>
                <w:szCs w:val="21"/>
              </w:rPr>
              <w:t>7</w:t>
            </w:r>
          </w:p>
        </w:tc>
        <w:tc>
          <w:tcPr>
            <w:tcW w:w="2646" w:type="dxa"/>
            <w:vAlign w:val="center"/>
          </w:tcPr>
          <w:p>
            <w:pPr>
              <w:rPr>
                <w:rFonts w:ascii="宋体" w:hAnsi="宋体"/>
                <w:color w:val="000000"/>
                <w:szCs w:val="21"/>
              </w:rPr>
            </w:pPr>
            <w:r>
              <w:rPr>
                <w:rFonts w:hint="eastAsia" w:ascii="宋体" w:hAnsi="宋体"/>
                <w:color w:val="000000"/>
                <w:szCs w:val="21"/>
              </w:rPr>
              <w:t>逾期竣工违约金最高限额</w:t>
            </w:r>
          </w:p>
        </w:tc>
        <w:tc>
          <w:tcPr>
            <w:tcW w:w="1409" w:type="dxa"/>
            <w:tcMar>
              <w:left w:w="170" w:type="dxa"/>
            </w:tcMar>
            <w:vAlign w:val="center"/>
          </w:tcPr>
          <w:p>
            <w:pPr>
              <w:rPr>
                <w:rFonts w:ascii="黑体" w:hAnsi="宋体" w:eastAsia="黑体"/>
                <w:color w:val="000000"/>
                <w:szCs w:val="21"/>
              </w:rPr>
            </w:pPr>
            <w:r>
              <w:rPr>
                <w:rFonts w:hint="eastAsia" w:ascii="黑体" w:hAnsi="宋体" w:eastAsia="黑体"/>
                <w:color w:val="000000"/>
                <w:szCs w:val="21"/>
              </w:rPr>
              <w:t>11.5</w:t>
            </w:r>
          </w:p>
        </w:tc>
        <w:tc>
          <w:tcPr>
            <w:tcW w:w="2377" w:type="dxa"/>
            <w:vAlign w:val="center"/>
          </w:tcPr>
          <w:p>
            <w:pPr>
              <w:rPr>
                <w:rFonts w:ascii="宋体" w:hAnsi="宋体"/>
                <w:color w:val="000000"/>
                <w:szCs w:val="21"/>
              </w:rPr>
            </w:pPr>
            <w:r>
              <w:rPr>
                <w:rFonts w:hint="eastAsia" w:ascii="宋体" w:hAnsi="宋体"/>
                <w:color w:val="000000"/>
                <w:szCs w:val="21"/>
              </w:rPr>
              <w:t xml:space="preserve"> </w:t>
            </w:r>
          </w:p>
        </w:tc>
        <w:tc>
          <w:tcPr>
            <w:tcW w:w="1109" w:type="dxa"/>
            <w:vAlign w:val="center"/>
          </w:tcPr>
          <w:p>
            <w:pPr>
              <w:jc w:val="center"/>
              <w:rPr>
                <w:rFonts w:ascii="宋体" w:hAnsi="宋体"/>
                <w:color w:val="000000"/>
                <w:szCs w:val="21"/>
              </w:rPr>
            </w:pPr>
          </w:p>
        </w:tc>
      </w:tr>
      <w:permEnd w:id="641"/>
      <w:permEnd w:id="64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845" w:type="dxa"/>
            <w:vAlign w:val="center"/>
          </w:tcPr>
          <w:p>
            <w:pPr>
              <w:jc w:val="center"/>
              <w:rPr>
                <w:rFonts w:ascii="黑体" w:hAnsi="宋体" w:eastAsia="黑体"/>
                <w:color w:val="000000"/>
                <w:szCs w:val="21"/>
              </w:rPr>
            </w:pPr>
            <w:permStart w:id="643" w:edGrp="everyone" w:colFirst="3" w:colLast="3"/>
            <w:permStart w:id="644" w:edGrp="everyone" w:colFirst="4" w:colLast="4"/>
            <w:r>
              <w:rPr>
                <w:rFonts w:hint="eastAsia" w:ascii="黑体" w:hAnsi="宋体" w:eastAsia="黑体"/>
                <w:color w:val="000000"/>
                <w:szCs w:val="21"/>
              </w:rPr>
              <w:t>8</w:t>
            </w:r>
          </w:p>
        </w:tc>
        <w:tc>
          <w:tcPr>
            <w:tcW w:w="2646" w:type="dxa"/>
            <w:vAlign w:val="center"/>
          </w:tcPr>
          <w:p>
            <w:pPr>
              <w:rPr>
                <w:rFonts w:ascii="宋体" w:hAnsi="宋体"/>
                <w:color w:val="000000"/>
                <w:szCs w:val="21"/>
              </w:rPr>
            </w:pPr>
            <w:r>
              <w:rPr>
                <w:rFonts w:hint="eastAsia" w:ascii="宋体" w:hAnsi="宋体"/>
                <w:color w:val="000000"/>
                <w:szCs w:val="21"/>
              </w:rPr>
              <w:t>质量标准</w:t>
            </w:r>
          </w:p>
        </w:tc>
        <w:tc>
          <w:tcPr>
            <w:tcW w:w="1409" w:type="dxa"/>
            <w:tcMar>
              <w:left w:w="170" w:type="dxa"/>
            </w:tcMar>
            <w:vAlign w:val="center"/>
          </w:tcPr>
          <w:p>
            <w:pPr>
              <w:rPr>
                <w:rFonts w:ascii="黑体" w:hAnsi="宋体" w:eastAsia="黑体"/>
                <w:color w:val="000000"/>
                <w:szCs w:val="21"/>
              </w:rPr>
            </w:pPr>
            <w:r>
              <w:rPr>
                <w:rFonts w:hint="eastAsia" w:ascii="黑体" w:hAnsi="宋体" w:eastAsia="黑体"/>
                <w:color w:val="000000"/>
                <w:szCs w:val="21"/>
              </w:rPr>
              <w:t>13.1</w:t>
            </w:r>
          </w:p>
        </w:tc>
        <w:tc>
          <w:tcPr>
            <w:tcW w:w="2377" w:type="dxa"/>
            <w:vAlign w:val="center"/>
          </w:tcPr>
          <w:p>
            <w:pPr>
              <w:jc w:val="center"/>
              <w:rPr>
                <w:rFonts w:ascii="宋体" w:hAnsi="宋体"/>
                <w:color w:val="000000"/>
                <w:szCs w:val="21"/>
              </w:rPr>
            </w:pPr>
            <w:r>
              <w:rPr>
                <w:rFonts w:hint="eastAsia" w:ascii="宋体" w:hAnsi="宋体"/>
                <w:color w:val="000000"/>
                <w:szCs w:val="21"/>
              </w:rPr>
              <w:t>……</w:t>
            </w:r>
          </w:p>
        </w:tc>
        <w:tc>
          <w:tcPr>
            <w:tcW w:w="1109" w:type="dxa"/>
            <w:vAlign w:val="center"/>
          </w:tcPr>
          <w:p>
            <w:pPr>
              <w:jc w:val="center"/>
              <w:rPr>
                <w:rFonts w:ascii="宋体" w:hAnsi="宋体"/>
                <w:color w:val="000000"/>
                <w:szCs w:val="21"/>
              </w:rPr>
            </w:pPr>
          </w:p>
        </w:tc>
      </w:tr>
      <w:permEnd w:id="643"/>
      <w:permEnd w:id="64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845" w:type="dxa"/>
            <w:vAlign w:val="center"/>
          </w:tcPr>
          <w:p>
            <w:pPr>
              <w:jc w:val="center"/>
              <w:rPr>
                <w:rFonts w:ascii="黑体" w:hAnsi="宋体" w:eastAsia="黑体"/>
                <w:color w:val="000000"/>
                <w:szCs w:val="21"/>
              </w:rPr>
            </w:pPr>
            <w:permStart w:id="645" w:edGrp="everyone" w:colFirst="3" w:colLast="3"/>
            <w:permStart w:id="646" w:edGrp="everyone" w:colFirst="4" w:colLast="4"/>
            <w:r>
              <w:rPr>
                <w:rFonts w:hint="eastAsia" w:ascii="黑体" w:hAnsi="宋体" w:eastAsia="黑体"/>
                <w:color w:val="000000"/>
                <w:szCs w:val="21"/>
              </w:rPr>
              <w:t>9</w:t>
            </w:r>
          </w:p>
        </w:tc>
        <w:tc>
          <w:tcPr>
            <w:tcW w:w="2646" w:type="dxa"/>
            <w:vAlign w:val="center"/>
          </w:tcPr>
          <w:p>
            <w:pPr>
              <w:rPr>
                <w:rFonts w:ascii="宋体" w:hAnsi="宋体"/>
                <w:color w:val="000000"/>
                <w:szCs w:val="21"/>
              </w:rPr>
            </w:pPr>
            <w:r>
              <w:rPr>
                <w:rFonts w:hint="eastAsia" w:ascii="宋体" w:hAnsi="宋体"/>
                <w:color w:val="000000"/>
                <w:szCs w:val="21"/>
              </w:rPr>
              <w:t>价格调整的差额计算</w:t>
            </w:r>
          </w:p>
        </w:tc>
        <w:tc>
          <w:tcPr>
            <w:tcW w:w="1409" w:type="dxa"/>
            <w:tcMar>
              <w:left w:w="170" w:type="dxa"/>
            </w:tcMar>
            <w:vAlign w:val="center"/>
          </w:tcPr>
          <w:p>
            <w:pPr>
              <w:rPr>
                <w:rFonts w:ascii="黑体" w:hAnsi="宋体" w:eastAsia="黑体"/>
                <w:color w:val="000000"/>
                <w:szCs w:val="21"/>
              </w:rPr>
            </w:pPr>
            <w:r>
              <w:rPr>
                <w:rFonts w:hint="eastAsia" w:ascii="黑体" w:hAnsi="宋体" w:eastAsia="黑体"/>
                <w:color w:val="000000"/>
                <w:szCs w:val="21"/>
              </w:rPr>
              <w:t>16.1.1</w:t>
            </w:r>
          </w:p>
        </w:tc>
        <w:tc>
          <w:tcPr>
            <w:tcW w:w="2377" w:type="dxa"/>
            <w:vAlign w:val="center"/>
          </w:tcPr>
          <w:p>
            <w:pPr>
              <w:jc w:val="center"/>
              <w:rPr>
                <w:rFonts w:ascii="宋体" w:hAnsi="宋体"/>
                <w:color w:val="000000"/>
                <w:szCs w:val="21"/>
              </w:rPr>
            </w:pPr>
            <w:r>
              <w:rPr>
                <w:rFonts w:hint="eastAsia" w:ascii="宋体" w:hAnsi="宋体"/>
                <w:color w:val="000000"/>
                <w:szCs w:val="21"/>
              </w:rPr>
              <w:t>见价格指数权重表</w:t>
            </w:r>
          </w:p>
        </w:tc>
        <w:tc>
          <w:tcPr>
            <w:tcW w:w="1109" w:type="dxa"/>
            <w:vAlign w:val="center"/>
          </w:tcPr>
          <w:p>
            <w:pPr>
              <w:jc w:val="center"/>
              <w:rPr>
                <w:rFonts w:ascii="宋体" w:hAnsi="宋体"/>
                <w:color w:val="000000"/>
                <w:szCs w:val="21"/>
              </w:rPr>
            </w:pPr>
          </w:p>
        </w:tc>
      </w:tr>
      <w:permEnd w:id="645"/>
      <w:permEnd w:id="64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845" w:type="dxa"/>
            <w:vAlign w:val="center"/>
          </w:tcPr>
          <w:p>
            <w:pPr>
              <w:jc w:val="center"/>
              <w:rPr>
                <w:rFonts w:ascii="黑体" w:hAnsi="宋体" w:eastAsia="黑体"/>
                <w:color w:val="000000"/>
                <w:szCs w:val="21"/>
              </w:rPr>
            </w:pPr>
            <w:permStart w:id="647" w:edGrp="everyone" w:colFirst="3" w:colLast="3"/>
            <w:permStart w:id="648" w:edGrp="everyone" w:colFirst="4" w:colLast="4"/>
            <w:r>
              <w:rPr>
                <w:rFonts w:hint="eastAsia" w:ascii="黑体" w:hAnsi="宋体" w:eastAsia="黑体"/>
                <w:color w:val="000000"/>
                <w:szCs w:val="21"/>
              </w:rPr>
              <w:t>10</w:t>
            </w:r>
          </w:p>
        </w:tc>
        <w:tc>
          <w:tcPr>
            <w:tcW w:w="2646" w:type="dxa"/>
            <w:vAlign w:val="center"/>
          </w:tcPr>
          <w:p>
            <w:pPr>
              <w:rPr>
                <w:rFonts w:ascii="宋体" w:hAnsi="宋体"/>
                <w:color w:val="000000"/>
                <w:szCs w:val="21"/>
              </w:rPr>
            </w:pPr>
            <w:r>
              <w:rPr>
                <w:rFonts w:hint="eastAsia" w:ascii="宋体" w:hAnsi="宋体"/>
                <w:color w:val="000000"/>
                <w:szCs w:val="21"/>
              </w:rPr>
              <w:t>预付款额度</w:t>
            </w:r>
          </w:p>
        </w:tc>
        <w:tc>
          <w:tcPr>
            <w:tcW w:w="1409" w:type="dxa"/>
            <w:tcMar>
              <w:left w:w="170" w:type="dxa"/>
            </w:tcMar>
            <w:vAlign w:val="center"/>
          </w:tcPr>
          <w:p>
            <w:pPr>
              <w:rPr>
                <w:rFonts w:ascii="黑体" w:hAnsi="宋体" w:eastAsia="黑体"/>
                <w:color w:val="000000"/>
                <w:szCs w:val="21"/>
              </w:rPr>
            </w:pPr>
            <w:r>
              <w:rPr>
                <w:rFonts w:hint="eastAsia" w:ascii="黑体" w:hAnsi="宋体" w:eastAsia="黑体"/>
                <w:color w:val="000000"/>
                <w:szCs w:val="21"/>
              </w:rPr>
              <w:t>17.2.1</w:t>
            </w:r>
          </w:p>
        </w:tc>
        <w:tc>
          <w:tcPr>
            <w:tcW w:w="2377" w:type="dxa"/>
            <w:vAlign w:val="center"/>
          </w:tcPr>
          <w:p>
            <w:pPr>
              <w:jc w:val="center"/>
              <w:rPr>
                <w:color w:val="000000"/>
              </w:rPr>
            </w:pPr>
            <w:r>
              <w:rPr>
                <w:rFonts w:hint="eastAsia" w:ascii="宋体" w:hAnsi="宋体"/>
                <w:color w:val="000000"/>
                <w:szCs w:val="21"/>
              </w:rPr>
              <w:t>……</w:t>
            </w:r>
          </w:p>
        </w:tc>
        <w:tc>
          <w:tcPr>
            <w:tcW w:w="1109" w:type="dxa"/>
            <w:vAlign w:val="center"/>
          </w:tcPr>
          <w:p>
            <w:pPr>
              <w:jc w:val="center"/>
              <w:rPr>
                <w:rFonts w:ascii="宋体" w:hAnsi="宋体"/>
                <w:color w:val="000000"/>
                <w:szCs w:val="21"/>
              </w:rPr>
            </w:pPr>
          </w:p>
        </w:tc>
      </w:tr>
      <w:permEnd w:id="647"/>
      <w:permEnd w:id="64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845" w:type="dxa"/>
            <w:vAlign w:val="center"/>
          </w:tcPr>
          <w:p>
            <w:pPr>
              <w:jc w:val="center"/>
              <w:rPr>
                <w:rFonts w:ascii="黑体" w:hAnsi="宋体" w:eastAsia="黑体"/>
                <w:color w:val="000000"/>
                <w:szCs w:val="21"/>
              </w:rPr>
            </w:pPr>
            <w:permStart w:id="649" w:edGrp="everyone" w:colFirst="3" w:colLast="3"/>
            <w:permStart w:id="650" w:edGrp="everyone" w:colFirst="4" w:colLast="4"/>
            <w:r>
              <w:rPr>
                <w:rFonts w:hint="eastAsia" w:ascii="黑体" w:hAnsi="宋体" w:eastAsia="黑体"/>
                <w:color w:val="000000"/>
                <w:szCs w:val="21"/>
              </w:rPr>
              <w:t>11</w:t>
            </w:r>
          </w:p>
        </w:tc>
        <w:tc>
          <w:tcPr>
            <w:tcW w:w="2646" w:type="dxa"/>
            <w:vAlign w:val="center"/>
          </w:tcPr>
          <w:p>
            <w:pPr>
              <w:rPr>
                <w:rFonts w:ascii="宋体" w:hAnsi="宋体"/>
                <w:color w:val="000000"/>
                <w:szCs w:val="21"/>
              </w:rPr>
            </w:pPr>
            <w:r>
              <w:rPr>
                <w:rFonts w:hint="eastAsia" w:ascii="宋体" w:hAnsi="宋体"/>
                <w:color w:val="000000"/>
                <w:szCs w:val="21"/>
              </w:rPr>
              <w:t>预付款保函金额</w:t>
            </w:r>
          </w:p>
        </w:tc>
        <w:tc>
          <w:tcPr>
            <w:tcW w:w="1409" w:type="dxa"/>
            <w:tcMar>
              <w:left w:w="170" w:type="dxa"/>
            </w:tcMar>
            <w:vAlign w:val="center"/>
          </w:tcPr>
          <w:p>
            <w:pPr>
              <w:rPr>
                <w:rFonts w:ascii="黑体" w:hAnsi="宋体" w:eastAsia="黑体"/>
                <w:color w:val="000000"/>
                <w:szCs w:val="21"/>
              </w:rPr>
            </w:pPr>
            <w:r>
              <w:rPr>
                <w:rFonts w:hint="eastAsia" w:ascii="黑体" w:hAnsi="宋体" w:eastAsia="黑体"/>
                <w:color w:val="000000"/>
                <w:szCs w:val="21"/>
              </w:rPr>
              <w:t>17.2.2</w:t>
            </w:r>
          </w:p>
        </w:tc>
        <w:tc>
          <w:tcPr>
            <w:tcW w:w="2377" w:type="dxa"/>
            <w:vAlign w:val="center"/>
          </w:tcPr>
          <w:p>
            <w:pPr>
              <w:jc w:val="center"/>
              <w:rPr>
                <w:color w:val="000000"/>
              </w:rPr>
            </w:pPr>
            <w:r>
              <w:rPr>
                <w:rFonts w:hint="eastAsia" w:ascii="宋体" w:hAnsi="宋体"/>
                <w:color w:val="000000"/>
                <w:szCs w:val="21"/>
              </w:rPr>
              <w:t>……</w:t>
            </w:r>
          </w:p>
        </w:tc>
        <w:tc>
          <w:tcPr>
            <w:tcW w:w="1109" w:type="dxa"/>
            <w:vAlign w:val="center"/>
          </w:tcPr>
          <w:p>
            <w:pPr>
              <w:jc w:val="center"/>
              <w:rPr>
                <w:rFonts w:ascii="宋体" w:hAnsi="宋体"/>
                <w:color w:val="000000"/>
                <w:szCs w:val="21"/>
              </w:rPr>
            </w:pPr>
          </w:p>
        </w:tc>
      </w:tr>
      <w:permEnd w:id="649"/>
      <w:permEnd w:id="65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845" w:type="dxa"/>
            <w:vAlign w:val="center"/>
          </w:tcPr>
          <w:p>
            <w:pPr>
              <w:jc w:val="center"/>
              <w:rPr>
                <w:rFonts w:ascii="黑体" w:hAnsi="宋体" w:eastAsia="黑体"/>
                <w:color w:val="000000"/>
                <w:szCs w:val="21"/>
              </w:rPr>
            </w:pPr>
            <w:permStart w:id="651" w:edGrp="everyone" w:colFirst="3" w:colLast="3"/>
            <w:permStart w:id="652" w:edGrp="everyone" w:colFirst="4" w:colLast="4"/>
            <w:r>
              <w:rPr>
                <w:rFonts w:hint="eastAsia" w:ascii="黑体" w:hAnsi="宋体" w:eastAsia="黑体"/>
                <w:color w:val="000000"/>
                <w:szCs w:val="21"/>
              </w:rPr>
              <w:t>12</w:t>
            </w:r>
          </w:p>
        </w:tc>
        <w:tc>
          <w:tcPr>
            <w:tcW w:w="2646" w:type="dxa"/>
            <w:vAlign w:val="center"/>
          </w:tcPr>
          <w:p>
            <w:pPr>
              <w:rPr>
                <w:rFonts w:ascii="宋体" w:hAnsi="宋体"/>
                <w:color w:val="000000"/>
                <w:szCs w:val="21"/>
              </w:rPr>
            </w:pPr>
            <w:r>
              <w:rPr>
                <w:rFonts w:hint="eastAsia" w:ascii="宋体" w:hAnsi="宋体"/>
                <w:color w:val="000000"/>
                <w:szCs w:val="21"/>
              </w:rPr>
              <w:t>质量保证金扣留百分比</w:t>
            </w:r>
          </w:p>
        </w:tc>
        <w:tc>
          <w:tcPr>
            <w:tcW w:w="1409" w:type="dxa"/>
            <w:tcMar>
              <w:left w:w="170" w:type="dxa"/>
            </w:tcMar>
            <w:vAlign w:val="center"/>
          </w:tcPr>
          <w:p>
            <w:pPr>
              <w:rPr>
                <w:rFonts w:ascii="黑体" w:hAnsi="宋体" w:eastAsia="黑体"/>
                <w:color w:val="000000"/>
                <w:szCs w:val="21"/>
              </w:rPr>
            </w:pPr>
            <w:r>
              <w:rPr>
                <w:rFonts w:hint="eastAsia" w:ascii="黑体" w:hAnsi="宋体" w:eastAsia="黑体"/>
                <w:color w:val="000000"/>
                <w:szCs w:val="21"/>
              </w:rPr>
              <w:t>17.4.1</w:t>
            </w:r>
          </w:p>
        </w:tc>
        <w:tc>
          <w:tcPr>
            <w:tcW w:w="2377" w:type="dxa"/>
            <w:vAlign w:val="center"/>
          </w:tcPr>
          <w:p>
            <w:pPr>
              <w:jc w:val="center"/>
              <w:rPr>
                <w:color w:val="000000"/>
              </w:rPr>
            </w:pPr>
            <w:r>
              <w:rPr>
                <w:rFonts w:hint="eastAsia" w:ascii="宋体" w:hAnsi="宋体"/>
                <w:color w:val="000000"/>
                <w:szCs w:val="21"/>
              </w:rPr>
              <w:t>……</w:t>
            </w:r>
          </w:p>
        </w:tc>
        <w:tc>
          <w:tcPr>
            <w:tcW w:w="1109" w:type="dxa"/>
            <w:vAlign w:val="center"/>
          </w:tcPr>
          <w:p>
            <w:pPr>
              <w:jc w:val="center"/>
              <w:rPr>
                <w:rFonts w:ascii="宋体" w:hAnsi="宋体"/>
                <w:color w:val="000000"/>
                <w:szCs w:val="21"/>
              </w:rPr>
            </w:pPr>
          </w:p>
        </w:tc>
      </w:tr>
      <w:permEnd w:id="651"/>
      <w:permEnd w:id="65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845" w:type="dxa"/>
            <w:vAlign w:val="center"/>
          </w:tcPr>
          <w:p>
            <w:pPr>
              <w:jc w:val="center"/>
              <w:rPr>
                <w:rFonts w:ascii="宋体" w:hAnsi="宋体"/>
                <w:color w:val="000000"/>
                <w:szCs w:val="21"/>
              </w:rPr>
            </w:pPr>
            <w:permStart w:id="653" w:edGrp="everyone" w:colFirst="3" w:colLast="3"/>
            <w:permStart w:id="654" w:edGrp="everyone" w:colFirst="4" w:colLast="4"/>
            <w:r>
              <w:rPr>
                <w:rFonts w:hint="eastAsia" w:ascii="宋体" w:hAnsi="宋体"/>
                <w:color w:val="000000"/>
                <w:szCs w:val="21"/>
              </w:rPr>
              <w:t>13</w:t>
            </w:r>
          </w:p>
        </w:tc>
        <w:tc>
          <w:tcPr>
            <w:tcW w:w="2646" w:type="dxa"/>
            <w:vAlign w:val="center"/>
          </w:tcPr>
          <w:p>
            <w:pPr>
              <w:rPr>
                <w:rFonts w:ascii="宋体" w:hAnsi="宋体"/>
                <w:color w:val="000000"/>
                <w:szCs w:val="21"/>
              </w:rPr>
            </w:pPr>
            <w:r>
              <w:rPr>
                <w:rFonts w:hint="eastAsia" w:ascii="宋体" w:hAnsi="宋体"/>
                <w:color w:val="000000"/>
                <w:szCs w:val="21"/>
              </w:rPr>
              <w:t>质量保证金额度</w:t>
            </w:r>
          </w:p>
        </w:tc>
        <w:tc>
          <w:tcPr>
            <w:tcW w:w="1409" w:type="dxa"/>
            <w:tcMar>
              <w:left w:w="170" w:type="dxa"/>
            </w:tcMar>
            <w:vAlign w:val="center"/>
          </w:tcPr>
          <w:p>
            <w:pPr>
              <w:rPr>
                <w:rFonts w:ascii="黑体" w:hAnsi="宋体" w:eastAsia="黑体"/>
                <w:color w:val="000000"/>
                <w:szCs w:val="21"/>
              </w:rPr>
            </w:pPr>
            <w:r>
              <w:rPr>
                <w:rFonts w:hint="eastAsia" w:ascii="黑体" w:hAnsi="宋体" w:eastAsia="黑体"/>
                <w:color w:val="000000"/>
                <w:szCs w:val="21"/>
              </w:rPr>
              <w:t>17.4.1</w:t>
            </w:r>
          </w:p>
        </w:tc>
        <w:tc>
          <w:tcPr>
            <w:tcW w:w="2377" w:type="dxa"/>
            <w:vAlign w:val="center"/>
          </w:tcPr>
          <w:p>
            <w:pPr>
              <w:jc w:val="center"/>
              <w:rPr>
                <w:color w:val="000000"/>
              </w:rPr>
            </w:pPr>
            <w:r>
              <w:rPr>
                <w:rFonts w:hint="eastAsia" w:ascii="宋体" w:hAnsi="宋体"/>
                <w:color w:val="000000"/>
                <w:szCs w:val="21"/>
              </w:rPr>
              <w:t>……</w:t>
            </w:r>
          </w:p>
        </w:tc>
        <w:tc>
          <w:tcPr>
            <w:tcW w:w="1109" w:type="dxa"/>
            <w:vAlign w:val="center"/>
          </w:tcPr>
          <w:p>
            <w:pPr>
              <w:jc w:val="center"/>
              <w:rPr>
                <w:rFonts w:ascii="宋体" w:hAnsi="宋体"/>
                <w:color w:val="000000"/>
                <w:szCs w:val="21"/>
              </w:rPr>
            </w:pPr>
          </w:p>
        </w:tc>
      </w:tr>
      <w:permEnd w:id="653"/>
      <w:permEnd w:id="65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845" w:type="dxa"/>
            <w:vAlign w:val="center"/>
          </w:tcPr>
          <w:p>
            <w:pPr>
              <w:jc w:val="center"/>
              <w:rPr>
                <w:rFonts w:ascii="宋体" w:hAnsi="宋体"/>
                <w:color w:val="000000"/>
                <w:szCs w:val="21"/>
              </w:rPr>
            </w:pPr>
            <w:r>
              <w:rPr>
                <w:rFonts w:hint="eastAsia" w:ascii="宋体" w:hAnsi="宋体"/>
                <w:color w:val="000000"/>
                <w:szCs w:val="21"/>
              </w:rPr>
              <w:t>14</w:t>
            </w:r>
          </w:p>
        </w:tc>
        <w:tc>
          <w:tcPr>
            <w:tcW w:w="2646" w:type="dxa"/>
            <w:vAlign w:val="center"/>
          </w:tcPr>
          <w:p>
            <w:pPr>
              <w:rPr>
                <w:rFonts w:ascii="宋体" w:hAnsi="宋体"/>
                <w:color w:val="000000"/>
                <w:szCs w:val="21"/>
              </w:rPr>
            </w:pPr>
            <w:r>
              <w:rPr>
                <w:rFonts w:hint="eastAsia" w:ascii="宋体" w:hAnsi="宋体"/>
                <w:color w:val="000000"/>
                <w:szCs w:val="21"/>
              </w:rPr>
              <w:t>投标有效期</w:t>
            </w:r>
          </w:p>
        </w:tc>
        <w:tc>
          <w:tcPr>
            <w:tcW w:w="1409" w:type="dxa"/>
            <w:tcMar>
              <w:left w:w="170" w:type="dxa"/>
            </w:tcMar>
            <w:vAlign w:val="center"/>
          </w:tcPr>
          <w:p>
            <w:pPr>
              <w:rPr>
                <w:rFonts w:ascii="黑体" w:hAnsi="宋体" w:eastAsia="黑体"/>
                <w:color w:val="000000"/>
                <w:szCs w:val="21"/>
              </w:rPr>
            </w:pPr>
          </w:p>
        </w:tc>
        <w:tc>
          <w:tcPr>
            <w:tcW w:w="2377" w:type="dxa"/>
            <w:vAlign w:val="center"/>
          </w:tcPr>
          <w:p>
            <w:pPr>
              <w:rPr>
                <w:rFonts w:ascii="宋体" w:hAnsi="宋体"/>
                <w:color w:val="000000"/>
                <w:szCs w:val="21"/>
              </w:rPr>
            </w:pPr>
            <w:r>
              <w:rPr>
                <w:rFonts w:hint="eastAsia" w:ascii="宋体" w:hAnsi="宋体"/>
                <w:color w:val="000000"/>
                <w:szCs w:val="21"/>
              </w:rPr>
              <w:t>自投标截止日起</w:t>
            </w:r>
            <w:permStart w:id="655" w:edGrp="everyone"/>
            <w:permEnd w:id="655"/>
            <w:r>
              <w:rPr>
                <w:rFonts w:hint="eastAsia" w:ascii="宋体" w:hAnsi="宋体"/>
                <w:color w:val="000000"/>
                <w:szCs w:val="21"/>
              </w:rPr>
              <w:t xml:space="preserve"> 日      </w:t>
            </w:r>
          </w:p>
        </w:tc>
        <w:tc>
          <w:tcPr>
            <w:tcW w:w="1109" w:type="dxa"/>
            <w:vAlign w:val="center"/>
          </w:tcPr>
          <w:p>
            <w:pPr>
              <w:jc w:val="center"/>
              <w:rPr>
                <w:rFonts w:ascii="宋体" w:hAnsi="宋体"/>
                <w:color w:val="000000"/>
                <w:szCs w:val="21"/>
              </w:rPr>
            </w:pPr>
            <w:permStart w:id="656" w:edGrp="everyone"/>
            <w:permEnd w:id="65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845" w:type="dxa"/>
            <w:vAlign w:val="top"/>
          </w:tcPr>
          <w:p>
            <w:pPr>
              <w:pStyle w:val="95"/>
              <w:spacing w:before="218" w:line="183" w:lineRule="auto"/>
              <w:ind w:left="335" w:leftChars="0"/>
              <w:rPr>
                <w:rFonts w:hint="eastAsia" w:ascii="宋体" w:hAnsi="宋体" w:eastAsia="宋体" w:cs="宋体"/>
                <w:kern w:val="2"/>
                <w:sz w:val="21"/>
                <w:szCs w:val="21"/>
                <w:lang w:val="en-US" w:eastAsia="en-US" w:bidi="ar-SA"/>
              </w:rPr>
            </w:pPr>
            <w:permStart w:id="657" w:edGrp="everyone"/>
            <w:r>
              <w:rPr>
                <w:spacing w:val="-12"/>
                <w:sz w:val="21"/>
                <w:szCs w:val="21"/>
              </w:rPr>
              <w:t>15</w:t>
            </w:r>
          </w:p>
        </w:tc>
        <w:tc>
          <w:tcPr>
            <w:tcW w:w="2646" w:type="dxa"/>
            <w:vAlign w:val="top"/>
          </w:tcPr>
          <w:p>
            <w:pPr>
              <w:pStyle w:val="95"/>
              <w:spacing w:before="184" w:line="219" w:lineRule="auto"/>
              <w:ind w:left="114" w:leftChars="0"/>
              <w:rPr>
                <w:rFonts w:hint="eastAsia" w:ascii="宋体" w:hAnsi="宋体" w:eastAsia="宋体" w:cs="宋体"/>
                <w:kern w:val="2"/>
                <w:sz w:val="21"/>
                <w:szCs w:val="21"/>
                <w:lang w:val="en-US" w:eastAsia="en-US" w:bidi="ar-SA"/>
              </w:rPr>
            </w:pPr>
            <w:r>
              <w:rPr>
                <w:spacing w:val="-1"/>
                <w:sz w:val="21"/>
                <w:szCs w:val="21"/>
              </w:rPr>
              <w:t>企业诚信评价等级</w:t>
            </w:r>
          </w:p>
        </w:tc>
        <w:tc>
          <w:tcPr>
            <w:tcW w:w="1409" w:type="dxa"/>
            <w:tcMar>
              <w:left w:w="170" w:type="dxa"/>
            </w:tcMar>
            <w:vAlign w:val="center"/>
          </w:tcPr>
          <w:p>
            <w:pPr>
              <w:rPr>
                <w:rFonts w:ascii="黑体" w:hAnsi="宋体" w:eastAsia="黑体"/>
                <w:color w:val="000000"/>
                <w:szCs w:val="21"/>
              </w:rPr>
            </w:pPr>
          </w:p>
        </w:tc>
        <w:tc>
          <w:tcPr>
            <w:tcW w:w="2377" w:type="dxa"/>
            <w:vAlign w:val="center"/>
          </w:tcPr>
          <w:p>
            <w:pPr>
              <w:rPr>
                <w:rFonts w:hint="eastAsia" w:ascii="宋体" w:hAnsi="宋体"/>
                <w:color w:val="000000"/>
                <w:szCs w:val="21"/>
              </w:rPr>
            </w:pPr>
          </w:p>
        </w:tc>
        <w:tc>
          <w:tcPr>
            <w:tcW w:w="1109"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845" w:type="dxa"/>
            <w:vAlign w:val="top"/>
          </w:tcPr>
          <w:p>
            <w:pPr>
              <w:pStyle w:val="95"/>
              <w:spacing w:before="220" w:line="183" w:lineRule="auto"/>
              <w:ind w:left="335" w:leftChars="0"/>
              <w:rPr>
                <w:rFonts w:hint="eastAsia" w:ascii="宋体" w:hAnsi="宋体" w:eastAsia="宋体" w:cs="宋体"/>
                <w:kern w:val="2"/>
                <w:sz w:val="21"/>
                <w:szCs w:val="21"/>
                <w:lang w:val="en-US" w:eastAsia="en-US" w:bidi="ar-SA"/>
              </w:rPr>
            </w:pPr>
            <w:r>
              <w:rPr>
                <w:spacing w:val="-12"/>
                <w:sz w:val="21"/>
                <w:szCs w:val="21"/>
              </w:rPr>
              <w:t>16</w:t>
            </w:r>
          </w:p>
        </w:tc>
        <w:tc>
          <w:tcPr>
            <w:tcW w:w="2646" w:type="dxa"/>
            <w:vAlign w:val="top"/>
          </w:tcPr>
          <w:p>
            <w:pPr>
              <w:pStyle w:val="95"/>
              <w:spacing w:before="186" w:line="219" w:lineRule="auto"/>
              <w:ind w:left="114" w:leftChars="0"/>
              <w:rPr>
                <w:rFonts w:hint="eastAsia" w:ascii="宋体" w:hAnsi="宋体" w:eastAsia="宋体" w:cs="宋体"/>
                <w:kern w:val="2"/>
                <w:sz w:val="21"/>
                <w:szCs w:val="21"/>
                <w:lang w:val="en-US" w:eastAsia="en-US" w:bidi="ar-SA"/>
              </w:rPr>
            </w:pPr>
            <w:r>
              <w:rPr>
                <w:spacing w:val="-1"/>
                <w:sz w:val="21"/>
                <w:szCs w:val="21"/>
              </w:rPr>
              <w:t>企业诚信评价等级排名</w:t>
            </w:r>
          </w:p>
        </w:tc>
        <w:tc>
          <w:tcPr>
            <w:tcW w:w="1409" w:type="dxa"/>
            <w:tcMar>
              <w:left w:w="170" w:type="dxa"/>
            </w:tcMar>
            <w:vAlign w:val="center"/>
          </w:tcPr>
          <w:p>
            <w:pPr>
              <w:rPr>
                <w:rFonts w:ascii="黑体" w:hAnsi="宋体" w:eastAsia="黑体"/>
                <w:color w:val="000000"/>
                <w:szCs w:val="21"/>
              </w:rPr>
            </w:pPr>
          </w:p>
        </w:tc>
        <w:tc>
          <w:tcPr>
            <w:tcW w:w="2377" w:type="dxa"/>
            <w:vAlign w:val="center"/>
          </w:tcPr>
          <w:p>
            <w:pPr>
              <w:rPr>
                <w:rFonts w:hint="eastAsia" w:ascii="宋体" w:hAnsi="宋体"/>
                <w:color w:val="000000"/>
                <w:szCs w:val="21"/>
              </w:rPr>
            </w:pPr>
          </w:p>
        </w:tc>
        <w:tc>
          <w:tcPr>
            <w:tcW w:w="1109"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845" w:type="dxa"/>
            <w:vAlign w:val="center"/>
          </w:tcPr>
          <w:p>
            <w:pPr>
              <w:jc w:val="center"/>
              <w:rPr>
                <w:rFonts w:ascii="宋体" w:hAnsi="宋体"/>
                <w:color w:val="000000"/>
                <w:szCs w:val="21"/>
              </w:rPr>
            </w:pPr>
            <w:r>
              <w:rPr>
                <w:rFonts w:hint="eastAsia" w:ascii="宋体" w:hAnsi="宋体"/>
                <w:color w:val="000000"/>
                <w:szCs w:val="21"/>
              </w:rPr>
              <w:t>……</w:t>
            </w:r>
          </w:p>
        </w:tc>
        <w:tc>
          <w:tcPr>
            <w:tcW w:w="2646" w:type="dxa"/>
            <w:vAlign w:val="center"/>
          </w:tcPr>
          <w:p>
            <w:pPr>
              <w:jc w:val="center"/>
              <w:rPr>
                <w:rFonts w:ascii="宋体" w:hAnsi="宋体"/>
                <w:color w:val="000000"/>
                <w:szCs w:val="21"/>
              </w:rPr>
            </w:pPr>
            <w:r>
              <w:rPr>
                <w:rFonts w:hint="eastAsia" w:ascii="宋体" w:hAnsi="宋体"/>
                <w:color w:val="000000"/>
                <w:szCs w:val="21"/>
              </w:rPr>
              <w:t>……</w:t>
            </w:r>
          </w:p>
        </w:tc>
        <w:tc>
          <w:tcPr>
            <w:tcW w:w="1409" w:type="dxa"/>
            <w:vAlign w:val="center"/>
          </w:tcPr>
          <w:p>
            <w:pPr>
              <w:jc w:val="center"/>
              <w:rPr>
                <w:rFonts w:ascii="宋体" w:hAnsi="宋体"/>
                <w:color w:val="000000"/>
                <w:szCs w:val="21"/>
              </w:rPr>
            </w:pPr>
          </w:p>
        </w:tc>
        <w:tc>
          <w:tcPr>
            <w:tcW w:w="2377" w:type="dxa"/>
            <w:vAlign w:val="center"/>
          </w:tcPr>
          <w:p>
            <w:pPr>
              <w:jc w:val="center"/>
              <w:rPr>
                <w:color w:val="000000"/>
              </w:rPr>
            </w:pPr>
          </w:p>
        </w:tc>
        <w:tc>
          <w:tcPr>
            <w:tcW w:w="1109" w:type="dxa"/>
            <w:vAlign w:val="center"/>
          </w:tcPr>
          <w:p>
            <w:pPr>
              <w:jc w:val="center"/>
              <w:rPr>
                <w:rFonts w:ascii="宋体" w:hAnsi="宋体"/>
                <w:color w:val="000000"/>
                <w:szCs w:val="21"/>
              </w:rPr>
            </w:pPr>
          </w:p>
        </w:tc>
      </w:tr>
      <w:permEnd w:id="65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8386" w:type="dxa"/>
            <w:gridSpan w:val="5"/>
            <w:vAlign w:val="center"/>
          </w:tcPr>
          <w:p>
            <w:pPr>
              <w:rPr>
                <w:rFonts w:ascii="宋体" w:hAnsi="宋体"/>
                <w:color w:val="000000"/>
                <w:szCs w:val="21"/>
              </w:rPr>
            </w:pPr>
            <w:r>
              <w:rPr>
                <w:rFonts w:hint="eastAsia" w:ascii="黑体" w:hAnsi="宋体" w:eastAsia="黑体"/>
                <w:color w:val="000000"/>
                <w:szCs w:val="21"/>
              </w:rPr>
              <w:t>备注：</w:t>
            </w:r>
            <w:r>
              <w:rPr>
                <w:rFonts w:hint="eastAsia" w:ascii="宋体" w:hAnsi="宋体"/>
                <w:color w:val="000000"/>
                <w:szCs w:val="21"/>
              </w:rPr>
              <w:t>投标人在响应招标文件中规定的实质性要求和条件的基础上，可做出其他有利于招标人的承诺。此类承诺可在本表中予以补充填写。</w:t>
            </w:r>
          </w:p>
        </w:tc>
      </w:tr>
    </w:tbl>
    <w:p>
      <w:pPr>
        <w:spacing w:line="480" w:lineRule="exact"/>
        <w:ind w:right="1273" w:rightChars="606" w:firstLine="420" w:firstLineChars="200"/>
        <w:jc w:val="right"/>
        <w:rPr>
          <w:rFonts w:ascii="宋体" w:hAnsi="宋体"/>
          <w:color w:val="000000"/>
          <w:szCs w:val="21"/>
        </w:rPr>
      </w:pPr>
      <w:r>
        <w:rPr>
          <w:rFonts w:hint="eastAsia" w:ascii="宋体" w:hAnsi="宋体"/>
          <w:b/>
          <w:color w:val="000000"/>
          <w:szCs w:val="21"/>
        </w:rPr>
        <w:t>投标人</w:t>
      </w:r>
      <w:r>
        <w:rPr>
          <w:rFonts w:hint="eastAsia" w:ascii="宋体" w:hAnsi="宋体"/>
          <w:color w:val="000000"/>
          <w:szCs w:val="21"/>
        </w:rPr>
        <w:t>（电子盖章）：</w:t>
      </w:r>
    </w:p>
    <w:p>
      <w:pPr>
        <w:spacing w:line="480" w:lineRule="exact"/>
        <w:ind w:right="1273" w:rightChars="606" w:firstLine="420" w:firstLineChars="200"/>
        <w:jc w:val="right"/>
        <w:rPr>
          <w:rFonts w:ascii="宋体" w:hAnsi="宋体"/>
          <w:color w:val="000000"/>
          <w:szCs w:val="21"/>
        </w:rPr>
      </w:pPr>
      <w:r>
        <w:rPr>
          <w:rFonts w:hint="eastAsia" w:ascii="宋体" w:hAnsi="宋体"/>
          <w:b/>
          <w:color w:val="000000"/>
          <w:szCs w:val="21"/>
        </w:rPr>
        <w:t>法人代表或委托代理人</w:t>
      </w:r>
      <w:r>
        <w:rPr>
          <w:rFonts w:hint="eastAsia" w:ascii="宋体" w:hAnsi="宋体"/>
          <w:color w:val="000000"/>
          <w:szCs w:val="21"/>
        </w:rPr>
        <w:t>（电子签字或盖章）：</w:t>
      </w:r>
    </w:p>
    <w:p>
      <w:pPr>
        <w:spacing w:line="480" w:lineRule="exact"/>
        <w:ind w:right="1273" w:rightChars="606" w:firstLine="420" w:firstLineChars="200"/>
        <w:jc w:val="right"/>
        <w:rPr>
          <w:rFonts w:ascii="宋体" w:hAnsi="宋体"/>
          <w:b/>
          <w:color w:val="000000"/>
          <w:szCs w:val="21"/>
        </w:rPr>
      </w:pPr>
      <w:r>
        <w:rPr>
          <w:rFonts w:hint="eastAsia" w:ascii="宋体" w:hAnsi="宋体"/>
          <w:b/>
          <w:color w:val="000000"/>
          <w:szCs w:val="21"/>
        </w:rPr>
        <w:t>日期：   年   月   日</w:t>
      </w:r>
    </w:p>
    <w:p>
      <w:pPr>
        <w:spacing w:line="560" w:lineRule="exact"/>
        <w:ind w:firstLine="600"/>
        <w:jc w:val="center"/>
        <w:rPr>
          <w:rFonts w:ascii="黑体" w:hAnsi="宋体" w:eastAsia="黑体"/>
          <w:color w:val="000000"/>
          <w:sz w:val="24"/>
        </w:rPr>
      </w:pPr>
      <w:r>
        <w:rPr>
          <w:rFonts w:ascii="宋体" w:hAnsi="宋体"/>
          <w:b/>
          <w:color w:val="000000"/>
          <w:szCs w:val="21"/>
        </w:rPr>
        <w:br w:type="page"/>
      </w:r>
      <w:permStart w:id="658" w:edGrp="everyone"/>
      <w:r>
        <w:rPr>
          <w:rFonts w:hint="eastAsia" w:ascii="宋体" w:hAnsi="宋体"/>
          <w:b/>
          <w:color w:val="000000"/>
          <w:szCs w:val="21"/>
        </w:rPr>
        <w:t>（三）</w:t>
      </w:r>
      <w:r>
        <w:rPr>
          <w:rFonts w:hint="eastAsia" w:ascii="黑体" w:hAnsi="宋体" w:eastAsia="黑体"/>
          <w:color w:val="000000"/>
          <w:sz w:val="24"/>
        </w:rPr>
        <w:t>价格指数权重表</w:t>
      </w:r>
    </w:p>
    <w:tbl>
      <w:tblPr>
        <w:tblStyle w:val="3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89"/>
        <w:gridCol w:w="707"/>
        <w:gridCol w:w="989"/>
        <w:gridCol w:w="707"/>
        <w:gridCol w:w="1271"/>
        <w:gridCol w:w="1695"/>
        <w:gridCol w:w="1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8" w:hRule="atLeast"/>
        </w:trPr>
        <w:tc>
          <w:tcPr>
            <w:tcW w:w="1413" w:type="dxa"/>
            <w:gridSpan w:val="2"/>
            <w:vMerge w:val="restart"/>
            <w:vAlign w:val="center"/>
          </w:tcPr>
          <w:p>
            <w:pPr>
              <w:jc w:val="center"/>
              <w:rPr>
                <w:rFonts w:ascii="宋体" w:hAnsi="宋体"/>
                <w:color w:val="000000"/>
                <w:szCs w:val="21"/>
              </w:rPr>
            </w:pPr>
            <w:r>
              <w:rPr>
                <w:rFonts w:hint="eastAsia" w:ascii="宋体" w:hAnsi="宋体"/>
                <w:color w:val="000000"/>
                <w:szCs w:val="21"/>
              </w:rPr>
              <w:t>名 称</w:t>
            </w:r>
          </w:p>
        </w:tc>
        <w:tc>
          <w:tcPr>
            <w:tcW w:w="1695" w:type="dxa"/>
            <w:gridSpan w:val="2"/>
            <w:vAlign w:val="center"/>
          </w:tcPr>
          <w:p>
            <w:pPr>
              <w:jc w:val="center"/>
              <w:rPr>
                <w:rFonts w:ascii="宋体" w:hAnsi="宋体"/>
                <w:color w:val="000000"/>
                <w:szCs w:val="21"/>
              </w:rPr>
            </w:pPr>
            <w:r>
              <w:rPr>
                <w:rFonts w:hint="eastAsia" w:ascii="宋体" w:hAnsi="宋体"/>
                <w:color w:val="000000"/>
                <w:szCs w:val="21"/>
              </w:rPr>
              <w:t>基本价格指数</w:t>
            </w:r>
          </w:p>
        </w:tc>
        <w:tc>
          <w:tcPr>
            <w:tcW w:w="3673" w:type="dxa"/>
            <w:gridSpan w:val="3"/>
            <w:vAlign w:val="center"/>
          </w:tcPr>
          <w:p>
            <w:pPr>
              <w:jc w:val="center"/>
              <w:rPr>
                <w:rFonts w:ascii="宋体" w:hAnsi="宋体"/>
                <w:color w:val="000000"/>
                <w:szCs w:val="21"/>
              </w:rPr>
            </w:pPr>
            <w:r>
              <w:rPr>
                <w:rFonts w:hint="eastAsia" w:ascii="宋体" w:hAnsi="宋体"/>
                <w:color w:val="000000"/>
                <w:szCs w:val="21"/>
              </w:rPr>
              <w:t>权     重</w:t>
            </w:r>
          </w:p>
        </w:tc>
        <w:tc>
          <w:tcPr>
            <w:tcW w:w="1695" w:type="dxa"/>
            <w:vMerge w:val="restart"/>
            <w:vAlign w:val="center"/>
          </w:tcPr>
          <w:p>
            <w:pPr>
              <w:jc w:val="center"/>
              <w:rPr>
                <w:rFonts w:ascii="宋体" w:hAnsi="宋体"/>
                <w:color w:val="000000"/>
                <w:szCs w:val="21"/>
              </w:rPr>
            </w:pPr>
            <w:r>
              <w:rPr>
                <w:rFonts w:hint="eastAsia" w:ascii="宋体" w:hAnsi="宋体"/>
                <w:color w:val="000000"/>
                <w:szCs w:val="21"/>
              </w:rPr>
              <w:t>价格指数来源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8" w:hRule="atLeast"/>
        </w:trPr>
        <w:tc>
          <w:tcPr>
            <w:tcW w:w="1413" w:type="dxa"/>
            <w:gridSpan w:val="2"/>
            <w:vMerge w:val="continue"/>
            <w:vAlign w:val="center"/>
          </w:tcPr>
          <w:p>
            <w:pPr>
              <w:jc w:val="center"/>
              <w:rPr>
                <w:rFonts w:ascii="宋体" w:hAnsi="宋体"/>
                <w:color w:val="000000"/>
                <w:szCs w:val="21"/>
              </w:rPr>
            </w:pPr>
          </w:p>
        </w:tc>
        <w:tc>
          <w:tcPr>
            <w:tcW w:w="707" w:type="dxa"/>
            <w:vAlign w:val="center"/>
          </w:tcPr>
          <w:p>
            <w:pPr>
              <w:jc w:val="center"/>
              <w:rPr>
                <w:rFonts w:ascii="宋体" w:hAnsi="宋体"/>
                <w:color w:val="000000"/>
                <w:szCs w:val="21"/>
              </w:rPr>
            </w:pPr>
            <w:r>
              <w:rPr>
                <w:rFonts w:hint="eastAsia" w:ascii="宋体" w:hAnsi="宋体"/>
                <w:color w:val="000000"/>
                <w:szCs w:val="21"/>
              </w:rPr>
              <w:t>代号</w:t>
            </w:r>
          </w:p>
        </w:tc>
        <w:tc>
          <w:tcPr>
            <w:tcW w:w="989" w:type="dxa"/>
            <w:vAlign w:val="center"/>
          </w:tcPr>
          <w:p>
            <w:pPr>
              <w:jc w:val="center"/>
              <w:rPr>
                <w:rFonts w:ascii="宋体" w:hAnsi="宋体"/>
                <w:color w:val="000000"/>
                <w:szCs w:val="21"/>
              </w:rPr>
            </w:pPr>
            <w:r>
              <w:rPr>
                <w:rFonts w:hint="eastAsia" w:ascii="宋体" w:hAnsi="宋体"/>
                <w:color w:val="000000"/>
                <w:szCs w:val="21"/>
              </w:rPr>
              <w:t>指数值</w:t>
            </w:r>
          </w:p>
        </w:tc>
        <w:tc>
          <w:tcPr>
            <w:tcW w:w="707" w:type="dxa"/>
            <w:vAlign w:val="center"/>
          </w:tcPr>
          <w:p>
            <w:pPr>
              <w:jc w:val="center"/>
              <w:rPr>
                <w:rFonts w:ascii="宋体" w:hAnsi="宋体"/>
                <w:color w:val="000000"/>
                <w:szCs w:val="21"/>
              </w:rPr>
            </w:pPr>
            <w:r>
              <w:rPr>
                <w:rFonts w:hint="eastAsia" w:ascii="宋体" w:hAnsi="宋体"/>
                <w:color w:val="000000"/>
                <w:szCs w:val="21"/>
              </w:rPr>
              <w:t>代号</w:t>
            </w:r>
          </w:p>
        </w:tc>
        <w:tc>
          <w:tcPr>
            <w:tcW w:w="1271" w:type="dxa"/>
            <w:vAlign w:val="center"/>
          </w:tcPr>
          <w:p>
            <w:pPr>
              <w:jc w:val="center"/>
              <w:rPr>
                <w:rFonts w:ascii="宋体" w:hAnsi="宋体"/>
                <w:color w:val="000000"/>
                <w:szCs w:val="21"/>
              </w:rPr>
            </w:pPr>
            <w:r>
              <w:rPr>
                <w:rFonts w:hint="eastAsia" w:ascii="宋体" w:hAnsi="宋体"/>
                <w:color w:val="000000"/>
                <w:szCs w:val="21"/>
              </w:rPr>
              <w:t>允许范围</w:t>
            </w:r>
          </w:p>
        </w:tc>
        <w:tc>
          <w:tcPr>
            <w:tcW w:w="1695" w:type="dxa"/>
            <w:vAlign w:val="center"/>
          </w:tcPr>
          <w:p>
            <w:pPr>
              <w:jc w:val="center"/>
              <w:rPr>
                <w:rFonts w:ascii="宋体" w:hAnsi="宋体"/>
                <w:color w:val="000000"/>
                <w:szCs w:val="21"/>
              </w:rPr>
            </w:pPr>
            <w:r>
              <w:rPr>
                <w:rFonts w:hint="eastAsia" w:ascii="宋体" w:hAnsi="宋体"/>
                <w:color w:val="000000"/>
                <w:szCs w:val="21"/>
              </w:rPr>
              <w:t>投标人建议值</w:t>
            </w:r>
          </w:p>
        </w:tc>
        <w:tc>
          <w:tcPr>
            <w:tcW w:w="1695" w:type="dxa"/>
            <w:vMerge w:val="continue"/>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1" w:hRule="atLeast"/>
        </w:trPr>
        <w:tc>
          <w:tcPr>
            <w:tcW w:w="1413" w:type="dxa"/>
            <w:gridSpan w:val="2"/>
            <w:vAlign w:val="center"/>
          </w:tcPr>
          <w:p>
            <w:pPr>
              <w:jc w:val="center"/>
              <w:rPr>
                <w:rFonts w:ascii="宋体" w:hAnsi="宋体"/>
                <w:color w:val="000000"/>
                <w:szCs w:val="21"/>
              </w:rPr>
            </w:pPr>
            <w:r>
              <w:rPr>
                <w:rFonts w:hint="eastAsia" w:ascii="宋体" w:hAnsi="宋体"/>
                <w:color w:val="000000"/>
                <w:szCs w:val="21"/>
              </w:rPr>
              <w:t>定值部分</w:t>
            </w:r>
          </w:p>
        </w:tc>
        <w:tc>
          <w:tcPr>
            <w:tcW w:w="707" w:type="dxa"/>
            <w:vAlign w:val="center"/>
          </w:tcPr>
          <w:p>
            <w:pPr>
              <w:jc w:val="center"/>
              <w:rPr>
                <w:rFonts w:ascii="宋体" w:hAnsi="宋体"/>
                <w:color w:val="000000"/>
                <w:szCs w:val="21"/>
              </w:rPr>
            </w:pPr>
          </w:p>
        </w:tc>
        <w:tc>
          <w:tcPr>
            <w:tcW w:w="989" w:type="dxa"/>
            <w:vAlign w:val="center"/>
          </w:tcPr>
          <w:p>
            <w:pPr>
              <w:jc w:val="center"/>
              <w:rPr>
                <w:rFonts w:ascii="宋体" w:hAnsi="宋体"/>
                <w:color w:val="000000"/>
                <w:szCs w:val="21"/>
              </w:rPr>
            </w:pPr>
          </w:p>
        </w:tc>
        <w:tc>
          <w:tcPr>
            <w:tcW w:w="707" w:type="dxa"/>
            <w:vAlign w:val="center"/>
          </w:tcPr>
          <w:p>
            <w:pPr>
              <w:jc w:val="center"/>
              <w:rPr>
                <w:rFonts w:ascii="宋体" w:hAnsi="宋体"/>
                <w:color w:val="000000"/>
                <w:szCs w:val="21"/>
              </w:rPr>
            </w:pPr>
            <w:r>
              <w:rPr>
                <w:rFonts w:hint="eastAsia" w:ascii="宋体" w:hAnsi="宋体"/>
                <w:color w:val="000000"/>
                <w:szCs w:val="21"/>
              </w:rPr>
              <w:t>A</w:t>
            </w:r>
          </w:p>
        </w:tc>
        <w:tc>
          <w:tcPr>
            <w:tcW w:w="1271" w:type="dxa"/>
            <w:vAlign w:val="center"/>
          </w:tcPr>
          <w:p>
            <w:pPr>
              <w:jc w:val="center"/>
              <w:rPr>
                <w:rFonts w:ascii="宋体" w:hAnsi="宋体"/>
                <w:color w:val="000000"/>
                <w:szCs w:val="21"/>
              </w:rPr>
            </w:pPr>
          </w:p>
        </w:tc>
        <w:tc>
          <w:tcPr>
            <w:tcW w:w="1695" w:type="dxa"/>
            <w:vAlign w:val="center"/>
          </w:tcPr>
          <w:p>
            <w:pPr>
              <w:jc w:val="center"/>
              <w:rPr>
                <w:rFonts w:ascii="宋体" w:hAnsi="宋体"/>
                <w:color w:val="000000"/>
                <w:szCs w:val="21"/>
              </w:rPr>
            </w:pPr>
          </w:p>
        </w:tc>
        <w:tc>
          <w:tcPr>
            <w:tcW w:w="1695"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8" w:hRule="atLeast"/>
        </w:trPr>
        <w:tc>
          <w:tcPr>
            <w:tcW w:w="425" w:type="dxa"/>
            <w:vMerge w:val="restart"/>
            <w:vAlign w:val="center"/>
          </w:tcPr>
          <w:p>
            <w:pPr>
              <w:jc w:val="center"/>
              <w:rPr>
                <w:rFonts w:ascii="宋体" w:hAnsi="宋体"/>
                <w:color w:val="000000"/>
                <w:szCs w:val="21"/>
              </w:rPr>
            </w:pPr>
            <w:r>
              <w:rPr>
                <w:rFonts w:hint="eastAsia" w:ascii="宋体" w:hAnsi="宋体"/>
                <w:color w:val="000000"/>
                <w:szCs w:val="21"/>
              </w:rPr>
              <w:t>变</w:t>
            </w:r>
          </w:p>
          <w:p>
            <w:pPr>
              <w:jc w:val="center"/>
              <w:rPr>
                <w:rFonts w:ascii="宋体" w:hAnsi="宋体"/>
                <w:color w:val="000000"/>
                <w:szCs w:val="21"/>
              </w:rPr>
            </w:pPr>
            <w:r>
              <w:rPr>
                <w:rFonts w:hint="eastAsia" w:ascii="宋体" w:hAnsi="宋体"/>
                <w:color w:val="000000"/>
                <w:szCs w:val="21"/>
              </w:rPr>
              <w:t>值</w:t>
            </w:r>
          </w:p>
          <w:p>
            <w:pPr>
              <w:jc w:val="center"/>
              <w:rPr>
                <w:rFonts w:ascii="宋体" w:hAnsi="宋体"/>
                <w:color w:val="000000"/>
                <w:szCs w:val="21"/>
              </w:rPr>
            </w:pPr>
            <w:r>
              <w:rPr>
                <w:rFonts w:hint="eastAsia" w:ascii="宋体" w:hAnsi="宋体"/>
                <w:color w:val="000000"/>
                <w:szCs w:val="21"/>
              </w:rPr>
              <w:t>部</w:t>
            </w:r>
          </w:p>
          <w:p>
            <w:pPr>
              <w:jc w:val="center"/>
              <w:rPr>
                <w:rFonts w:ascii="宋体" w:hAnsi="宋体"/>
                <w:color w:val="000000"/>
                <w:szCs w:val="21"/>
              </w:rPr>
            </w:pPr>
            <w:r>
              <w:rPr>
                <w:rFonts w:hint="eastAsia" w:ascii="宋体" w:hAnsi="宋体"/>
                <w:color w:val="000000"/>
                <w:szCs w:val="21"/>
              </w:rPr>
              <w:t>分</w:t>
            </w:r>
          </w:p>
        </w:tc>
        <w:tc>
          <w:tcPr>
            <w:tcW w:w="989" w:type="dxa"/>
            <w:vAlign w:val="center"/>
          </w:tcPr>
          <w:p>
            <w:pPr>
              <w:jc w:val="center"/>
              <w:rPr>
                <w:rFonts w:ascii="宋体" w:hAnsi="宋体"/>
                <w:color w:val="000000"/>
                <w:szCs w:val="21"/>
              </w:rPr>
            </w:pPr>
            <w:r>
              <w:rPr>
                <w:rFonts w:hint="eastAsia" w:ascii="宋体" w:hAnsi="宋体"/>
                <w:color w:val="000000"/>
                <w:szCs w:val="21"/>
              </w:rPr>
              <w:t>人工费</w:t>
            </w:r>
          </w:p>
        </w:tc>
        <w:tc>
          <w:tcPr>
            <w:tcW w:w="707" w:type="dxa"/>
            <w:vAlign w:val="center"/>
          </w:tcPr>
          <w:p>
            <w:pPr>
              <w:jc w:val="center"/>
              <w:rPr>
                <w:rFonts w:ascii="宋体" w:hAnsi="宋体"/>
                <w:color w:val="000000"/>
                <w:szCs w:val="21"/>
              </w:rPr>
            </w:pPr>
            <w:r>
              <w:rPr>
                <w:rFonts w:hint="eastAsia" w:ascii="宋体" w:hAnsi="宋体"/>
                <w:color w:val="000000"/>
                <w:szCs w:val="21"/>
              </w:rPr>
              <w:t>F</w:t>
            </w:r>
            <w:r>
              <w:rPr>
                <w:rFonts w:hint="eastAsia" w:ascii="宋体" w:hAnsi="宋体"/>
                <w:color w:val="000000"/>
                <w:szCs w:val="21"/>
                <w:vertAlign w:val="subscript"/>
              </w:rPr>
              <w:t>01</w:t>
            </w:r>
          </w:p>
        </w:tc>
        <w:tc>
          <w:tcPr>
            <w:tcW w:w="989" w:type="dxa"/>
            <w:vAlign w:val="center"/>
          </w:tcPr>
          <w:p>
            <w:pPr>
              <w:jc w:val="center"/>
              <w:rPr>
                <w:rFonts w:ascii="宋体" w:hAnsi="宋体"/>
                <w:color w:val="000000"/>
                <w:szCs w:val="21"/>
              </w:rPr>
            </w:pPr>
          </w:p>
        </w:tc>
        <w:tc>
          <w:tcPr>
            <w:tcW w:w="707" w:type="dxa"/>
            <w:vAlign w:val="center"/>
          </w:tcPr>
          <w:p>
            <w:pPr>
              <w:jc w:val="center"/>
              <w:rPr>
                <w:rFonts w:ascii="宋体" w:hAnsi="宋体"/>
                <w:color w:val="000000"/>
                <w:szCs w:val="21"/>
              </w:rPr>
            </w:pPr>
            <w:r>
              <w:rPr>
                <w:rFonts w:hint="eastAsia" w:ascii="宋体" w:hAnsi="宋体"/>
                <w:color w:val="000000"/>
                <w:szCs w:val="21"/>
              </w:rPr>
              <w:t>B</w:t>
            </w:r>
            <w:r>
              <w:rPr>
                <w:rFonts w:hint="eastAsia" w:ascii="宋体" w:hAnsi="宋体"/>
                <w:color w:val="000000"/>
                <w:szCs w:val="21"/>
                <w:vertAlign w:val="subscript"/>
              </w:rPr>
              <w:t>1</w:t>
            </w:r>
          </w:p>
        </w:tc>
        <w:tc>
          <w:tcPr>
            <w:tcW w:w="1271" w:type="dxa"/>
            <w:vAlign w:val="center"/>
          </w:tcPr>
          <w:p>
            <w:pPr>
              <w:ind w:firstLine="105" w:firstLineChars="50"/>
              <w:rPr>
                <w:rFonts w:ascii="宋体" w:hAnsi="宋体"/>
                <w:color w:val="000000"/>
                <w:szCs w:val="21"/>
              </w:rPr>
            </w:pPr>
            <w:r>
              <w:rPr>
                <w:rFonts w:hint="eastAsia" w:ascii="宋体" w:hAnsi="宋体"/>
                <w:color w:val="000000"/>
                <w:szCs w:val="21"/>
              </w:rPr>
              <w:t>至</w:t>
            </w:r>
          </w:p>
        </w:tc>
        <w:tc>
          <w:tcPr>
            <w:tcW w:w="1695" w:type="dxa"/>
            <w:vAlign w:val="center"/>
          </w:tcPr>
          <w:p>
            <w:pPr>
              <w:jc w:val="center"/>
              <w:rPr>
                <w:rFonts w:ascii="宋体" w:hAnsi="宋体"/>
                <w:color w:val="000000"/>
                <w:szCs w:val="21"/>
              </w:rPr>
            </w:pPr>
          </w:p>
        </w:tc>
        <w:tc>
          <w:tcPr>
            <w:tcW w:w="1695"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3" w:hRule="atLeast"/>
        </w:trPr>
        <w:tc>
          <w:tcPr>
            <w:tcW w:w="425" w:type="dxa"/>
            <w:vMerge w:val="continue"/>
            <w:vAlign w:val="center"/>
          </w:tcPr>
          <w:p>
            <w:pPr>
              <w:jc w:val="center"/>
              <w:rPr>
                <w:rFonts w:ascii="宋体" w:hAnsi="宋体"/>
                <w:color w:val="000000"/>
                <w:szCs w:val="21"/>
              </w:rPr>
            </w:pPr>
          </w:p>
        </w:tc>
        <w:tc>
          <w:tcPr>
            <w:tcW w:w="989" w:type="dxa"/>
            <w:vAlign w:val="center"/>
          </w:tcPr>
          <w:p>
            <w:pPr>
              <w:jc w:val="center"/>
              <w:rPr>
                <w:rFonts w:ascii="宋体" w:hAnsi="宋体"/>
                <w:color w:val="000000"/>
                <w:szCs w:val="21"/>
              </w:rPr>
            </w:pPr>
            <w:r>
              <w:rPr>
                <w:rFonts w:hint="eastAsia" w:ascii="宋体" w:hAnsi="宋体"/>
                <w:color w:val="000000"/>
                <w:szCs w:val="21"/>
              </w:rPr>
              <w:t>钢材</w:t>
            </w:r>
          </w:p>
        </w:tc>
        <w:tc>
          <w:tcPr>
            <w:tcW w:w="707" w:type="dxa"/>
            <w:vAlign w:val="center"/>
          </w:tcPr>
          <w:p>
            <w:pPr>
              <w:jc w:val="center"/>
              <w:rPr>
                <w:rFonts w:ascii="宋体" w:hAnsi="宋体"/>
                <w:color w:val="000000"/>
                <w:szCs w:val="21"/>
              </w:rPr>
            </w:pPr>
            <w:r>
              <w:rPr>
                <w:rFonts w:hint="eastAsia" w:ascii="宋体" w:hAnsi="宋体"/>
                <w:color w:val="000000"/>
                <w:szCs w:val="21"/>
              </w:rPr>
              <w:t>F</w:t>
            </w:r>
            <w:r>
              <w:rPr>
                <w:rFonts w:hint="eastAsia" w:ascii="宋体" w:hAnsi="宋体"/>
                <w:color w:val="000000"/>
                <w:szCs w:val="21"/>
                <w:vertAlign w:val="subscript"/>
              </w:rPr>
              <w:t>02</w:t>
            </w:r>
          </w:p>
        </w:tc>
        <w:tc>
          <w:tcPr>
            <w:tcW w:w="989" w:type="dxa"/>
            <w:vAlign w:val="center"/>
          </w:tcPr>
          <w:p>
            <w:pPr>
              <w:jc w:val="center"/>
              <w:rPr>
                <w:rFonts w:ascii="宋体" w:hAnsi="宋体"/>
                <w:color w:val="000000"/>
                <w:szCs w:val="21"/>
              </w:rPr>
            </w:pPr>
          </w:p>
        </w:tc>
        <w:tc>
          <w:tcPr>
            <w:tcW w:w="707" w:type="dxa"/>
            <w:vAlign w:val="center"/>
          </w:tcPr>
          <w:p>
            <w:pPr>
              <w:jc w:val="center"/>
              <w:rPr>
                <w:rFonts w:ascii="宋体" w:hAnsi="宋体"/>
                <w:color w:val="000000"/>
                <w:szCs w:val="21"/>
              </w:rPr>
            </w:pPr>
            <w:r>
              <w:rPr>
                <w:rFonts w:hint="eastAsia" w:ascii="宋体" w:hAnsi="宋体"/>
                <w:color w:val="000000"/>
                <w:szCs w:val="21"/>
              </w:rPr>
              <w:t>B</w:t>
            </w:r>
            <w:r>
              <w:rPr>
                <w:rFonts w:hint="eastAsia" w:ascii="宋体" w:hAnsi="宋体"/>
                <w:color w:val="000000"/>
                <w:szCs w:val="21"/>
                <w:vertAlign w:val="subscript"/>
              </w:rPr>
              <w:t>2</w:t>
            </w:r>
          </w:p>
        </w:tc>
        <w:tc>
          <w:tcPr>
            <w:tcW w:w="1271" w:type="dxa"/>
            <w:vAlign w:val="center"/>
          </w:tcPr>
          <w:p>
            <w:pPr>
              <w:ind w:firstLine="105" w:firstLineChars="50"/>
              <w:rPr>
                <w:rFonts w:ascii="宋体" w:hAnsi="宋体"/>
                <w:color w:val="000000"/>
                <w:szCs w:val="21"/>
              </w:rPr>
            </w:pPr>
            <w:r>
              <w:rPr>
                <w:rFonts w:hint="eastAsia" w:ascii="宋体" w:hAnsi="宋体"/>
                <w:color w:val="000000"/>
                <w:szCs w:val="21"/>
              </w:rPr>
              <w:t>至</w:t>
            </w:r>
          </w:p>
        </w:tc>
        <w:tc>
          <w:tcPr>
            <w:tcW w:w="1695" w:type="dxa"/>
            <w:vAlign w:val="center"/>
          </w:tcPr>
          <w:p>
            <w:pPr>
              <w:jc w:val="center"/>
              <w:rPr>
                <w:rFonts w:ascii="宋体" w:hAnsi="宋体"/>
                <w:color w:val="000000"/>
                <w:szCs w:val="21"/>
              </w:rPr>
            </w:pPr>
          </w:p>
        </w:tc>
        <w:tc>
          <w:tcPr>
            <w:tcW w:w="1695"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3" w:hRule="atLeast"/>
        </w:trPr>
        <w:tc>
          <w:tcPr>
            <w:tcW w:w="425" w:type="dxa"/>
            <w:vMerge w:val="continue"/>
            <w:vAlign w:val="center"/>
          </w:tcPr>
          <w:p>
            <w:pPr>
              <w:jc w:val="center"/>
              <w:rPr>
                <w:rFonts w:ascii="宋体" w:hAnsi="宋体"/>
                <w:color w:val="000000"/>
                <w:szCs w:val="21"/>
              </w:rPr>
            </w:pPr>
          </w:p>
        </w:tc>
        <w:tc>
          <w:tcPr>
            <w:tcW w:w="989" w:type="dxa"/>
            <w:vAlign w:val="center"/>
          </w:tcPr>
          <w:p>
            <w:pPr>
              <w:jc w:val="center"/>
              <w:rPr>
                <w:rFonts w:ascii="宋体" w:hAnsi="宋体"/>
                <w:color w:val="000000"/>
                <w:szCs w:val="21"/>
              </w:rPr>
            </w:pPr>
            <w:r>
              <w:rPr>
                <w:rFonts w:hint="eastAsia" w:ascii="宋体" w:hAnsi="宋体"/>
                <w:color w:val="000000"/>
                <w:szCs w:val="21"/>
              </w:rPr>
              <w:t>水泥</w:t>
            </w:r>
          </w:p>
        </w:tc>
        <w:tc>
          <w:tcPr>
            <w:tcW w:w="707" w:type="dxa"/>
            <w:vAlign w:val="center"/>
          </w:tcPr>
          <w:p>
            <w:pPr>
              <w:jc w:val="center"/>
              <w:rPr>
                <w:rFonts w:ascii="宋体" w:hAnsi="宋体"/>
                <w:color w:val="000000"/>
                <w:szCs w:val="21"/>
              </w:rPr>
            </w:pPr>
            <w:r>
              <w:rPr>
                <w:rFonts w:hint="eastAsia" w:ascii="宋体" w:hAnsi="宋体"/>
                <w:color w:val="000000"/>
                <w:szCs w:val="21"/>
              </w:rPr>
              <w:t>F</w:t>
            </w:r>
            <w:r>
              <w:rPr>
                <w:rFonts w:hint="eastAsia" w:ascii="宋体" w:hAnsi="宋体"/>
                <w:color w:val="000000"/>
                <w:szCs w:val="21"/>
                <w:vertAlign w:val="subscript"/>
              </w:rPr>
              <w:t>03</w:t>
            </w:r>
          </w:p>
        </w:tc>
        <w:tc>
          <w:tcPr>
            <w:tcW w:w="989" w:type="dxa"/>
            <w:vAlign w:val="center"/>
          </w:tcPr>
          <w:p>
            <w:pPr>
              <w:jc w:val="center"/>
              <w:rPr>
                <w:rFonts w:ascii="宋体" w:hAnsi="宋体"/>
                <w:color w:val="000000"/>
                <w:szCs w:val="21"/>
              </w:rPr>
            </w:pPr>
          </w:p>
        </w:tc>
        <w:tc>
          <w:tcPr>
            <w:tcW w:w="707" w:type="dxa"/>
            <w:vAlign w:val="center"/>
          </w:tcPr>
          <w:p>
            <w:pPr>
              <w:jc w:val="center"/>
              <w:rPr>
                <w:rFonts w:ascii="宋体" w:hAnsi="宋体"/>
                <w:color w:val="000000"/>
                <w:szCs w:val="21"/>
              </w:rPr>
            </w:pPr>
            <w:r>
              <w:rPr>
                <w:rFonts w:hint="eastAsia" w:ascii="宋体" w:hAnsi="宋体"/>
                <w:color w:val="000000"/>
                <w:szCs w:val="21"/>
              </w:rPr>
              <w:t>B</w:t>
            </w:r>
            <w:r>
              <w:rPr>
                <w:rFonts w:hint="eastAsia" w:ascii="宋体" w:hAnsi="宋体"/>
                <w:color w:val="000000"/>
                <w:szCs w:val="21"/>
                <w:vertAlign w:val="subscript"/>
              </w:rPr>
              <w:t>3</w:t>
            </w:r>
          </w:p>
        </w:tc>
        <w:tc>
          <w:tcPr>
            <w:tcW w:w="1271" w:type="dxa"/>
            <w:vAlign w:val="center"/>
          </w:tcPr>
          <w:p>
            <w:pPr>
              <w:ind w:firstLine="105" w:firstLineChars="50"/>
              <w:rPr>
                <w:rFonts w:ascii="宋体" w:hAnsi="宋体"/>
                <w:color w:val="000000"/>
                <w:szCs w:val="21"/>
              </w:rPr>
            </w:pPr>
            <w:r>
              <w:rPr>
                <w:rFonts w:hint="eastAsia" w:ascii="宋体" w:hAnsi="宋体"/>
                <w:color w:val="000000"/>
                <w:szCs w:val="21"/>
              </w:rPr>
              <w:t>至</w:t>
            </w:r>
          </w:p>
        </w:tc>
        <w:tc>
          <w:tcPr>
            <w:tcW w:w="1695" w:type="dxa"/>
            <w:vAlign w:val="center"/>
          </w:tcPr>
          <w:p>
            <w:pPr>
              <w:jc w:val="center"/>
              <w:rPr>
                <w:rFonts w:ascii="宋体" w:hAnsi="宋体"/>
                <w:color w:val="000000"/>
                <w:szCs w:val="21"/>
              </w:rPr>
            </w:pPr>
          </w:p>
        </w:tc>
        <w:tc>
          <w:tcPr>
            <w:tcW w:w="1695"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3" w:hRule="atLeast"/>
        </w:trPr>
        <w:tc>
          <w:tcPr>
            <w:tcW w:w="425" w:type="dxa"/>
            <w:vMerge w:val="continue"/>
            <w:vAlign w:val="center"/>
          </w:tcPr>
          <w:p>
            <w:pPr>
              <w:jc w:val="center"/>
              <w:rPr>
                <w:rFonts w:ascii="宋体" w:hAnsi="宋体"/>
                <w:color w:val="000000"/>
                <w:szCs w:val="21"/>
              </w:rPr>
            </w:pPr>
          </w:p>
        </w:tc>
        <w:tc>
          <w:tcPr>
            <w:tcW w:w="989" w:type="dxa"/>
            <w:vAlign w:val="center"/>
          </w:tcPr>
          <w:p>
            <w:pPr>
              <w:jc w:val="center"/>
              <w:rPr>
                <w:rFonts w:ascii="宋体" w:hAnsi="宋体"/>
                <w:color w:val="000000"/>
                <w:szCs w:val="21"/>
              </w:rPr>
            </w:pPr>
            <w:r>
              <w:rPr>
                <w:rFonts w:hint="eastAsia" w:ascii="宋体" w:hAnsi="宋体"/>
                <w:color w:val="000000"/>
                <w:szCs w:val="21"/>
              </w:rPr>
              <w:t>……</w:t>
            </w:r>
          </w:p>
        </w:tc>
        <w:tc>
          <w:tcPr>
            <w:tcW w:w="707" w:type="dxa"/>
            <w:vAlign w:val="center"/>
          </w:tcPr>
          <w:p>
            <w:pPr>
              <w:jc w:val="center"/>
              <w:rPr>
                <w:rFonts w:ascii="宋体" w:hAnsi="宋体"/>
                <w:color w:val="000000"/>
                <w:szCs w:val="21"/>
              </w:rPr>
            </w:pPr>
            <w:r>
              <w:rPr>
                <w:rFonts w:hint="eastAsia" w:ascii="宋体" w:hAnsi="宋体"/>
                <w:color w:val="000000"/>
                <w:szCs w:val="21"/>
              </w:rPr>
              <w:t>……</w:t>
            </w:r>
          </w:p>
        </w:tc>
        <w:tc>
          <w:tcPr>
            <w:tcW w:w="989" w:type="dxa"/>
            <w:vAlign w:val="center"/>
          </w:tcPr>
          <w:p>
            <w:pPr>
              <w:jc w:val="center"/>
              <w:rPr>
                <w:rFonts w:ascii="宋体" w:hAnsi="宋体"/>
                <w:color w:val="000000"/>
                <w:szCs w:val="21"/>
              </w:rPr>
            </w:pPr>
          </w:p>
        </w:tc>
        <w:tc>
          <w:tcPr>
            <w:tcW w:w="707" w:type="dxa"/>
            <w:vAlign w:val="center"/>
          </w:tcPr>
          <w:p>
            <w:pPr>
              <w:jc w:val="center"/>
              <w:rPr>
                <w:rFonts w:ascii="宋体" w:hAnsi="宋体"/>
                <w:color w:val="000000"/>
                <w:szCs w:val="21"/>
              </w:rPr>
            </w:pPr>
            <w:r>
              <w:rPr>
                <w:rFonts w:hint="eastAsia" w:ascii="宋体" w:hAnsi="宋体"/>
                <w:color w:val="000000"/>
                <w:szCs w:val="21"/>
              </w:rPr>
              <w:t>……</w:t>
            </w:r>
          </w:p>
        </w:tc>
        <w:tc>
          <w:tcPr>
            <w:tcW w:w="1271" w:type="dxa"/>
            <w:vAlign w:val="center"/>
          </w:tcPr>
          <w:p>
            <w:pPr>
              <w:jc w:val="center"/>
              <w:rPr>
                <w:rFonts w:ascii="宋体" w:hAnsi="宋体"/>
                <w:color w:val="000000"/>
                <w:szCs w:val="21"/>
              </w:rPr>
            </w:pPr>
            <w:r>
              <w:rPr>
                <w:rFonts w:hint="eastAsia" w:ascii="宋体" w:hAnsi="宋体"/>
                <w:color w:val="000000"/>
                <w:szCs w:val="21"/>
              </w:rPr>
              <w:t>……</w:t>
            </w:r>
          </w:p>
        </w:tc>
        <w:tc>
          <w:tcPr>
            <w:tcW w:w="1695" w:type="dxa"/>
            <w:vAlign w:val="center"/>
          </w:tcPr>
          <w:p>
            <w:pPr>
              <w:jc w:val="center"/>
              <w:rPr>
                <w:rFonts w:ascii="宋体" w:hAnsi="宋体"/>
                <w:color w:val="000000"/>
                <w:szCs w:val="21"/>
              </w:rPr>
            </w:pPr>
          </w:p>
        </w:tc>
        <w:tc>
          <w:tcPr>
            <w:tcW w:w="1695"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8" w:hRule="atLeast"/>
        </w:trPr>
        <w:tc>
          <w:tcPr>
            <w:tcW w:w="425" w:type="dxa"/>
            <w:vMerge w:val="continue"/>
            <w:vAlign w:val="center"/>
          </w:tcPr>
          <w:p>
            <w:pPr>
              <w:jc w:val="center"/>
              <w:rPr>
                <w:rFonts w:ascii="宋体" w:hAnsi="宋体"/>
                <w:color w:val="000000"/>
                <w:szCs w:val="21"/>
              </w:rPr>
            </w:pPr>
          </w:p>
        </w:tc>
        <w:tc>
          <w:tcPr>
            <w:tcW w:w="989" w:type="dxa"/>
            <w:vAlign w:val="center"/>
          </w:tcPr>
          <w:p>
            <w:pPr>
              <w:jc w:val="center"/>
              <w:rPr>
                <w:rFonts w:ascii="宋体" w:hAnsi="宋体"/>
                <w:color w:val="000000"/>
                <w:szCs w:val="21"/>
              </w:rPr>
            </w:pPr>
          </w:p>
        </w:tc>
        <w:tc>
          <w:tcPr>
            <w:tcW w:w="707" w:type="dxa"/>
            <w:vAlign w:val="center"/>
          </w:tcPr>
          <w:p>
            <w:pPr>
              <w:jc w:val="center"/>
              <w:rPr>
                <w:rFonts w:ascii="宋体" w:hAnsi="宋体"/>
                <w:color w:val="000000"/>
                <w:szCs w:val="21"/>
              </w:rPr>
            </w:pPr>
          </w:p>
        </w:tc>
        <w:tc>
          <w:tcPr>
            <w:tcW w:w="989" w:type="dxa"/>
            <w:vAlign w:val="center"/>
          </w:tcPr>
          <w:p>
            <w:pPr>
              <w:jc w:val="center"/>
              <w:rPr>
                <w:rFonts w:ascii="宋体" w:hAnsi="宋体"/>
                <w:color w:val="000000"/>
                <w:szCs w:val="21"/>
              </w:rPr>
            </w:pPr>
          </w:p>
        </w:tc>
        <w:tc>
          <w:tcPr>
            <w:tcW w:w="707" w:type="dxa"/>
            <w:vAlign w:val="center"/>
          </w:tcPr>
          <w:p>
            <w:pPr>
              <w:jc w:val="center"/>
              <w:rPr>
                <w:rFonts w:ascii="宋体" w:hAnsi="宋体"/>
                <w:color w:val="000000"/>
                <w:szCs w:val="21"/>
              </w:rPr>
            </w:pPr>
          </w:p>
        </w:tc>
        <w:tc>
          <w:tcPr>
            <w:tcW w:w="1271" w:type="dxa"/>
            <w:vAlign w:val="center"/>
          </w:tcPr>
          <w:p>
            <w:pPr>
              <w:jc w:val="center"/>
              <w:rPr>
                <w:rFonts w:ascii="宋体" w:hAnsi="宋体"/>
                <w:color w:val="000000"/>
                <w:szCs w:val="21"/>
              </w:rPr>
            </w:pPr>
          </w:p>
        </w:tc>
        <w:tc>
          <w:tcPr>
            <w:tcW w:w="1695" w:type="dxa"/>
            <w:vAlign w:val="center"/>
          </w:tcPr>
          <w:p>
            <w:pPr>
              <w:jc w:val="center"/>
              <w:rPr>
                <w:rFonts w:ascii="宋体" w:hAnsi="宋体"/>
                <w:color w:val="000000"/>
                <w:szCs w:val="21"/>
              </w:rPr>
            </w:pPr>
          </w:p>
        </w:tc>
        <w:tc>
          <w:tcPr>
            <w:tcW w:w="1695"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3" w:hRule="atLeast"/>
        </w:trPr>
        <w:tc>
          <w:tcPr>
            <w:tcW w:w="425" w:type="dxa"/>
            <w:vMerge w:val="continue"/>
            <w:vAlign w:val="center"/>
          </w:tcPr>
          <w:p>
            <w:pPr>
              <w:jc w:val="center"/>
              <w:rPr>
                <w:rFonts w:ascii="宋体" w:hAnsi="宋体"/>
                <w:color w:val="000000"/>
                <w:szCs w:val="21"/>
              </w:rPr>
            </w:pPr>
          </w:p>
        </w:tc>
        <w:tc>
          <w:tcPr>
            <w:tcW w:w="989" w:type="dxa"/>
            <w:vAlign w:val="center"/>
          </w:tcPr>
          <w:p>
            <w:pPr>
              <w:jc w:val="center"/>
              <w:rPr>
                <w:rFonts w:ascii="宋体" w:hAnsi="宋体"/>
                <w:color w:val="000000"/>
                <w:szCs w:val="21"/>
              </w:rPr>
            </w:pPr>
          </w:p>
        </w:tc>
        <w:tc>
          <w:tcPr>
            <w:tcW w:w="707" w:type="dxa"/>
            <w:vAlign w:val="center"/>
          </w:tcPr>
          <w:p>
            <w:pPr>
              <w:jc w:val="center"/>
              <w:rPr>
                <w:rFonts w:ascii="宋体" w:hAnsi="宋体"/>
                <w:color w:val="000000"/>
                <w:szCs w:val="21"/>
              </w:rPr>
            </w:pPr>
          </w:p>
        </w:tc>
        <w:tc>
          <w:tcPr>
            <w:tcW w:w="989" w:type="dxa"/>
            <w:vAlign w:val="center"/>
          </w:tcPr>
          <w:p>
            <w:pPr>
              <w:jc w:val="center"/>
              <w:rPr>
                <w:rFonts w:ascii="宋体" w:hAnsi="宋体"/>
                <w:color w:val="000000"/>
                <w:szCs w:val="21"/>
              </w:rPr>
            </w:pPr>
          </w:p>
        </w:tc>
        <w:tc>
          <w:tcPr>
            <w:tcW w:w="707" w:type="dxa"/>
            <w:vAlign w:val="center"/>
          </w:tcPr>
          <w:p>
            <w:pPr>
              <w:jc w:val="center"/>
              <w:rPr>
                <w:rFonts w:ascii="宋体" w:hAnsi="宋体"/>
                <w:color w:val="000000"/>
                <w:szCs w:val="21"/>
              </w:rPr>
            </w:pPr>
          </w:p>
        </w:tc>
        <w:tc>
          <w:tcPr>
            <w:tcW w:w="1271" w:type="dxa"/>
            <w:vAlign w:val="center"/>
          </w:tcPr>
          <w:p>
            <w:pPr>
              <w:jc w:val="center"/>
              <w:rPr>
                <w:rFonts w:ascii="宋体" w:hAnsi="宋体"/>
                <w:color w:val="000000"/>
                <w:szCs w:val="21"/>
              </w:rPr>
            </w:pPr>
          </w:p>
        </w:tc>
        <w:tc>
          <w:tcPr>
            <w:tcW w:w="1695" w:type="dxa"/>
            <w:vAlign w:val="center"/>
          </w:tcPr>
          <w:p>
            <w:pPr>
              <w:jc w:val="center"/>
              <w:rPr>
                <w:rFonts w:ascii="宋体" w:hAnsi="宋体"/>
                <w:color w:val="000000"/>
                <w:szCs w:val="21"/>
              </w:rPr>
            </w:pPr>
          </w:p>
        </w:tc>
        <w:tc>
          <w:tcPr>
            <w:tcW w:w="1695"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3" w:hRule="atLeast"/>
        </w:trPr>
        <w:tc>
          <w:tcPr>
            <w:tcW w:w="5086" w:type="dxa"/>
            <w:gridSpan w:val="6"/>
            <w:vAlign w:val="center"/>
          </w:tcPr>
          <w:p>
            <w:pPr>
              <w:jc w:val="center"/>
              <w:rPr>
                <w:rFonts w:ascii="宋体" w:hAnsi="宋体"/>
                <w:color w:val="000000"/>
                <w:szCs w:val="21"/>
              </w:rPr>
            </w:pPr>
            <w:r>
              <w:rPr>
                <w:rFonts w:hint="eastAsia" w:ascii="宋体" w:hAnsi="宋体"/>
                <w:color w:val="000000"/>
                <w:szCs w:val="21"/>
              </w:rPr>
              <w:t>合             计</w:t>
            </w:r>
          </w:p>
        </w:tc>
        <w:tc>
          <w:tcPr>
            <w:tcW w:w="1695" w:type="dxa"/>
            <w:vAlign w:val="center"/>
          </w:tcPr>
          <w:p>
            <w:pPr>
              <w:jc w:val="center"/>
              <w:rPr>
                <w:rFonts w:ascii="宋体" w:hAnsi="宋体"/>
                <w:color w:val="000000"/>
                <w:szCs w:val="21"/>
              </w:rPr>
            </w:pPr>
            <w:r>
              <w:rPr>
                <w:rFonts w:hint="eastAsia" w:ascii="宋体" w:hAnsi="宋体"/>
                <w:color w:val="000000"/>
                <w:szCs w:val="21"/>
              </w:rPr>
              <w:t>1.00</w:t>
            </w:r>
          </w:p>
        </w:tc>
        <w:tc>
          <w:tcPr>
            <w:tcW w:w="1695" w:type="dxa"/>
            <w:vAlign w:val="center"/>
          </w:tcPr>
          <w:p>
            <w:pPr>
              <w:jc w:val="center"/>
              <w:rPr>
                <w:rFonts w:ascii="宋体" w:hAnsi="宋体"/>
                <w:color w:val="000000"/>
                <w:szCs w:val="21"/>
              </w:rPr>
            </w:pPr>
          </w:p>
        </w:tc>
      </w:tr>
    </w:tbl>
    <w:p>
      <w:pPr>
        <w:spacing w:before="120" w:beforeLines="50"/>
        <w:rPr>
          <w:rFonts w:ascii="宋体" w:hAnsi="宋体"/>
          <w:color w:val="000000"/>
          <w:szCs w:val="21"/>
        </w:rPr>
      </w:pPr>
      <w:r>
        <w:rPr>
          <w:rFonts w:hint="eastAsia" w:ascii="黑体" w:hAnsi="宋体" w:eastAsia="黑体"/>
          <w:color w:val="000000"/>
          <w:szCs w:val="21"/>
        </w:rPr>
        <w:t>备注：</w:t>
      </w:r>
      <w:r>
        <w:rPr>
          <w:rFonts w:hint="eastAsia" w:ascii="宋体" w:hAnsi="宋体"/>
          <w:color w:val="000000"/>
          <w:szCs w:val="21"/>
        </w:rPr>
        <w:t>在专用合同条款</w:t>
      </w:r>
      <w:r>
        <w:rPr>
          <w:rFonts w:hint="eastAsia" w:ascii="黑体" w:hAnsi="宋体" w:eastAsia="黑体"/>
          <w:color w:val="000000"/>
          <w:szCs w:val="21"/>
        </w:rPr>
        <w:t>16.1</w:t>
      </w:r>
      <w:r>
        <w:rPr>
          <w:rFonts w:hint="eastAsia" w:ascii="宋体" w:hAnsi="宋体"/>
          <w:color w:val="000000"/>
          <w:szCs w:val="21"/>
        </w:rPr>
        <w:t>款约定采用价格指数法进行价格调整时适用本表。表中除“投标人建议值”由投标人结合其投标报价情况选择填写外，其余均由招标人在招标文件发出前填写。</w:t>
      </w:r>
    </w:p>
    <w:p>
      <w:r>
        <w:t xml:space="preserve"> </w:t>
      </w:r>
      <w:permEnd w:id="658"/>
    </w:p>
    <w:p>
      <w:pPr>
        <w:spacing w:line="480" w:lineRule="exact"/>
        <w:ind w:firstLine="600" w:firstLineChars="200"/>
        <w:rPr>
          <w:rFonts w:ascii="宋体" w:hAnsi="宋体"/>
          <w:bCs/>
          <w:color w:val="000000"/>
          <w:sz w:val="30"/>
          <w:szCs w:val="30"/>
        </w:rPr>
      </w:pPr>
    </w:p>
    <w:p>
      <w:pPr>
        <w:spacing w:before="240" w:beforeLines="100" w:after="120" w:afterLines="50"/>
        <w:jc w:val="center"/>
        <w:outlineLvl w:val="2"/>
        <w:rPr>
          <w:rFonts w:ascii="黑体" w:hAnsi="宋体" w:eastAsia="黑体"/>
          <w:color w:val="000000"/>
          <w:sz w:val="28"/>
          <w:szCs w:val="28"/>
        </w:rPr>
      </w:pPr>
      <w:permStart w:id="659" w:edGrp="everyone"/>
      <w:r>
        <w:rPr>
          <w:rFonts w:ascii="宋体" w:hAnsi="宋体"/>
          <w:color w:val="000000"/>
          <w:szCs w:val="21"/>
        </w:rPr>
        <w:br w:type="page"/>
      </w:r>
      <w:bookmarkStart w:id="1362" w:name="_Toc114222879"/>
      <w:bookmarkStart w:id="1363" w:name="_Toc290990829"/>
      <w:bookmarkStart w:id="1364" w:name="_Toc295812312"/>
      <w:r>
        <w:rPr>
          <w:rFonts w:hint="eastAsia" w:ascii="黑体" w:hAnsi="宋体" w:eastAsia="黑体"/>
          <w:color w:val="000000"/>
          <w:sz w:val="28"/>
          <w:szCs w:val="28"/>
        </w:rPr>
        <w:t>二、法定代表人身份证明</w:t>
      </w:r>
      <w:bookmarkEnd w:id="1362"/>
      <w:bookmarkEnd w:id="1363"/>
      <w:bookmarkEnd w:id="1364"/>
    </w:p>
    <w:p>
      <w:pPr>
        <w:spacing w:line="500" w:lineRule="exact"/>
        <w:rPr>
          <w:rFonts w:ascii="黑体" w:hAnsi="宋体" w:eastAsia="黑体"/>
          <w:color w:val="000000"/>
          <w:szCs w:val="21"/>
        </w:rPr>
      </w:pPr>
      <w:r>
        <w:rPr>
          <w:rFonts w:hint="eastAsia" w:ascii="黑体" w:hAnsi="宋体" w:eastAsia="黑体"/>
          <w:color w:val="000000"/>
          <w:szCs w:val="21"/>
        </w:rPr>
        <w:t>投 标 人：</w:t>
      </w:r>
    </w:p>
    <w:p>
      <w:pPr>
        <w:spacing w:line="500" w:lineRule="exact"/>
        <w:rPr>
          <w:rFonts w:ascii="黑体" w:hAnsi="宋体" w:eastAsia="黑体"/>
          <w:color w:val="000000"/>
          <w:szCs w:val="21"/>
        </w:rPr>
      </w:pPr>
      <w:r>
        <w:rPr>
          <w:rFonts w:hint="eastAsia" w:ascii="黑体" w:hAnsi="宋体" w:eastAsia="黑体"/>
          <w:color w:val="000000"/>
          <w:szCs w:val="21"/>
        </w:rPr>
        <w:t>单位性质：</w:t>
      </w:r>
    </w:p>
    <w:p>
      <w:pPr>
        <w:spacing w:line="500" w:lineRule="exact"/>
        <w:rPr>
          <w:rFonts w:ascii="黑体" w:hAnsi="宋体" w:eastAsia="黑体"/>
          <w:color w:val="000000"/>
          <w:szCs w:val="21"/>
        </w:rPr>
      </w:pPr>
      <w:r>
        <w:rPr>
          <w:rFonts w:hint="eastAsia" w:ascii="黑体" w:hAnsi="宋体" w:eastAsia="黑体"/>
          <w:color w:val="000000"/>
          <w:szCs w:val="21"/>
        </w:rPr>
        <w:t>地    址：</w:t>
      </w:r>
    </w:p>
    <w:p>
      <w:pPr>
        <w:spacing w:line="500" w:lineRule="exact"/>
        <w:rPr>
          <w:rFonts w:ascii="宋体" w:hAnsi="宋体"/>
          <w:color w:val="000000"/>
          <w:szCs w:val="21"/>
        </w:rPr>
      </w:pPr>
      <w:r>
        <w:rPr>
          <w:rFonts w:hint="eastAsia" w:ascii="黑体" w:hAnsi="宋体" w:eastAsia="黑体"/>
          <w:color w:val="000000"/>
          <w:szCs w:val="21"/>
        </w:rPr>
        <w:t xml:space="preserve">成立时间：    </w:t>
      </w:r>
      <w:r>
        <w:rPr>
          <w:rFonts w:hint="eastAsia" w:ascii="宋体" w:hAnsi="宋体"/>
          <w:color w:val="000000"/>
          <w:szCs w:val="21"/>
        </w:rPr>
        <w:t>年    月    日</w:t>
      </w:r>
    </w:p>
    <w:p>
      <w:pPr>
        <w:spacing w:line="500" w:lineRule="exact"/>
        <w:rPr>
          <w:rFonts w:ascii="黑体" w:hAnsi="宋体" w:eastAsia="黑体"/>
          <w:color w:val="000000"/>
          <w:szCs w:val="21"/>
        </w:rPr>
      </w:pPr>
      <w:r>
        <w:rPr>
          <w:rFonts w:hint="eastAsia" w:ascii="黑体" w:hAnsi="宋体" w:eastAsia="黑体"/>
          <w:color w:val="000000"/>
          <w:szCs w:val="21"/>
        </w:rPr>
        <w:t>经营期限：</w:t>
      </w:r>
    </w:p>
    <w:p>
      <w:pPr>
        <w:spacing w:line="500" w:lineRule="exact"/>
        <w:rPr>
          <w:rFonts w:ascii="黑体" w:hAnsi="宋体" w:eastAsia="黑体"/>
          <w:color w:val="000000"/>
          <w:szCs w:val="21"/>
        </w:rPr>
      </w:pPr>
      <w:r>
        <w:rPr>
          <w:rFonts w:hint="eastAsia" w:ascii="黑体" w:hAnsi="宋体" w:eastAsia="黑体"/>
          <w:color w:val="000000"/>
          <w:szCs w:val="21"/>
        </w:rPr>
        <w:t>姓    名：                   性        别：</w:t>
      </w:r>
    </w:p>
    <w:p>
      <w:pPr>
        <w:spacing w:line="500" w:lineRule="exact"/>
        <w:rPr>
          <w:rFonts w:ascii="黑体" w:hAnsi="宋体" w:eastAsia="黑体"/>
          <w:color w:val="000000"/>
          <w:szCs w:val="21"/>
        </w:rPr>
      </w:pPr>
      <w:r>
        <w:rPr>
          <w:rFonts w:hint="eastAsia" w:ascii="黑体" w:hAnsi="宋体" w:eastAsia="黑体"/>
          <w:color w:val="000000"/>
          <w:szCs w:val="21"/>
        </w:rPr>
        <w:t>年    龄：                   职        务：</w:t>
      </w:r>
    </w:p>
    <w:p>
      <w:pPr>
        <w:spacing w:line="500" w:lineRule="exact"/>
        <w:rPr>
          <w:rFonts w:ascii="宋体" w:hAnsi="宋体"/>
          <w:color w:val="000000"/>
          <w:szCs w:val="21"/>
        </w:rPr>
      </w:pPr>
      <w:r>
        <w:rPr>
          <w:rFonts w:hint="eastAsia" w:ascii="宋体" w:hAnsi="宋体"/>
          <w:color w:val="000000"/>
          <w:szCs w:val="21"/>
        </w:rPr>
        <w:t>系（投标人名称）的法定代表人。</w:t>
      </w:r>
    </w:p>
    <w:p>
      <w:pPr>
        <w:spacing w:line="500" w:lineRule="exact"/>
        <w:rPr>
          <w:rFonts w:ascii="宋体" w:hAnsi="宋体"/>
          <w:color w:val="000000"/>
          <w:szCs w:val="21"/>
        </w:rPr>
      </w:pPr>
      <w:r>
        <w:rPr>
          <w:rFonts w:hint="eastAsia" w:ascii="宋体" w:hAnsi="宋体"/>
          <w:color w:val="000000"/>
          <w:szCs w:val="21"/>
        </w:rPr>
        <w:t>特此证明。</w:t>
      </w:r>
    </w:p>
    <w:p>
      <w:pPr>
        <w:spacing w:line="500" w:lineRule="exact"/>
        <w:rPr>
          <w:rFonts w:ascii="宋体" w:hAnsi="宋体"/>
          <w:color w:val="000000"/>
          <w:szCs w:val="21"/>
        </w:rPr>
      </w:pPr>
    </w:p>
    <w:p>
      <w:pPr>
        <w:spacing w:line="500" w:lineRule="exact"/>
        <w:rPr>
          <w:rFonts w:ascii="宋体" w:hAnsi="宋体"/>
          <w:color w:val="000000"/>
          <w:szCs w:val="21"/>
        </w:rPr>
      </w:pPr>
    </w:p>
    <w:p>
      <w:pPr>
        <w:wordWrap w:val="0"/>
        <w:spacing w:line="500" w:lineRule="exact"/>
        <w:jc w:val="right"/>
        <w:rPr>
          <w:rFonts w:ascii="宋体" w:hAnsi="宋体"/>
          <w:color w:val="000000"/>
          <w:szCs w:val="21"/>
        </w:rPr>
      </w:pPr>
      <w:r>
        <w:rPr>
          <w:rFonts w:hint="eastAsia" w:ascii="黑体" w:hAnsi="宋体" w:eastAsia="黑体"/>
          <w:color w:val="000000"/>
          <w:szCs w:val="21"/>
        </w:rPr>
        <w:t>投标人：</w:t>
      </w:r>
      <w:r>
        <w:rPr>
          <w:rFonts w:hint="eastAsia" w:ascii="宋体" w:hAnsi="宋体"/>
          <w:color w:val="000000"/>
          <w:szCs w:val="21"/>
        </w:rPr>
        <w:t>（电子盖单位章）</w:t>
      </w:r>
    </w:p>
    <w:p>
      <w:pPr>
        <w:wordWrap w:val="0"/>
        <w:spacing w:line="500" w:lineRule="exact"/>
        <w:jc w:val="right"/>
        <w:rPr>
          <w:rFonts w:ascii="宋体" w:hAnsi="宋体"/>
          <w:color w:val="000000"/>
          <w:szCs w:val="21"/>
        </w:rPr>
      </w:pPr>
      <w:r>
        <w:rPr>
          <w:rFonts w:hint="eastAsia" w:ascii="宋体" w:hAnsi="宋体"/>
          <w:color w:val="000000"/>
          <w:szCs w:val="21"/>
        </w:rPr>
        <w:t xml:space="preserve">  年  月  日          </w:t>
      </w:r>
    </w:p>
    <w:p>
      <w:pPr>
        <w:spacing w:before="240" w:beforeLines="100" w:after="120" w:afterLines="50"/>
        <w:jc w:val="center"/>
        <w:outlineLvl w:val="2"/>
        <w:rPr>
          <w:rFonts w:ascii="黑体" w:hAnsi="宋体" w:eastAsia="黑体"/>
          <w:color w:val="000000"/>
          <w:sz w:val="28"/>
          <w:szCs w:val="28"/>
        </w:rPr>
      </w:pPr>
      <w:r>
        <w:rPr>
          <w:rFonts w:ascii="宋体" w:hAnsi="宋体"/>
          <w:color w:val="000000"/>
          <w:szCs w:val="21"/>
        </w:rPr>
        <w:br w:type="page"/>
      </w:r>
      <w:bookmarkStart w:id="1365" w:name="_Toc295812313"/>
      <w:bookmarkStart w:id="1366" w:name="_Toc114222880"/>
      <w:bookmarkStart w:id="1367" w:name="_Toc290990830"/>
      <w:r>
        <w:rPr>
          <w:rFonts w:hint="eastAsia" w:ascii="黑体" w:hAnsi="宋体" w:eastAsia="黑体"/>
          <w:color w:val="000000"/>
          <w:sz w:val="28"/>
          <w:szCs w:val="28"/>
        </w:rPr>
        <w:t>三、授权委托书</w:t>
      </w:r>
      <w:bookmarkEnd w:id="1365"/>
      <w:bookmarkEnd w:id="1366"/>
      <w:bookmarkEnd w:id="1367"/>
    </w:p>
    <w:p>
      <w:pPr>
        <w:spacing w:line="500" w:lineRule="exact"/>
        <w:ind w:firstLine="420" w:firstLineChars="200"/>
        <w:rPr>
          <w:rFonts w:ascii="宋体" w:hAnsi="宋体"/>
          <w:color w:val="000000"/>
          <w:szCs w:val="21"/>
        </w:rPr>
      </w:pPr>
      <w:r>
        <w:rPr>
          <w:rFonts w:hint="eastAsia" w:ascii="宋体" w:hAnsi="宋体"/>
          <w:color w:val="000000"/>
          <w:szCs w:val="21"/>
        </w:rPr>
        <w:t>本人</w:t>
      </w:r>
      <w:r>
        <w:rPr>
          <w:rFonts w:hint="eastAsia" w:ascii="宋体" w:hAnsi="宋体"/>
          <w:color w:val="000000"/>
          <w:szCs w:val="21"/>
          <w:u w:val="single"/>
        </w:rPr>
        <w:t>（姓名）</w:t>
      </w:r>
      <w:r>
        <w:rPr>
          <w:rFonts w:hint="eastAsia" w:ascii="宋体" w:hAnsi="宋体"/>
          <w:color w:val="000000"/>
          <w:szCs w:val="21"/>
        </w:rPr>
        <w:t>系（投标人名称）的法定代表人，现委托</w:t>
      </w:r>
      <w:r>
        <w:rPr>
          <w:rFonts w:hint="eastAsia" w:ascii="宋体" w:hAnsi="宋体"/>
          <w:color w:val="000000"/>
          <w:szCs w:val="21"/>
          <w:u w:val="single"/>
        </w:rPr>
        <w:t>（姓名）</w:t>
      </w:r>
      <w:r>
        <w:rPr>
          <w:rFonts w:hint="eastAsia" w:ascii="宋体" w:hAnsi="宋体"/>
          <w:color w:val="000000"/>
          <w:szCs w:val="21"/>
        </w:rPr>
        <w:t>为我方代理人。代理人根据授权，以我方名义签署、澄清、说明、补正、递交、撤回、修改</w:t>
      </w:r>
      <w:r>
        <w:rPr>
          <w:rFonts w:hint="eastAsia" w:ascii="宋体" w:hAnsi="宋体"/>
          <w:color w:val="000000"/>
          <w:szCs w:val="21"/>
          <w:u w:val="single"/>
        </w:rPr>
        <w:t>（项目名称）</w:t>
      </w:r>
      <w:r>
        <w:rPr>
          <w:rFonts w:hint="eastAsia" w:ascii="宋体" w:hAnsi="宋体"/>
          <w:color w:val="000000"/>
          <w:szCs w:val="21"/>
        </w:rPr>
        <w:t>标段施工投标文件、签订合同和处理有关事宜，其法律后果由我方承担。</w:t>
      </w:r>
    </w:p>
    <w:p>
      <w:pPr>
        <w:spacing w:before="120" w:beforeLines="50" w:line="500" w:lineRule="exact"/>
        <w:ind w:firstLine="420" w:firstLineChars="200"/>
        <w:rPr>
          <w:rFonts w:ascii="宋体" w:hAnsi="宋体"/>
          <w:color w:val="000000"/>
          <w:szCs w:val="21"/>
        </w:rPr>
      </w:pPr>
      <w:r>
        <w:rPr>
          <w:rFonts w:hint="eastAsia" w:ascii="宋体" w:hAnsi="宋体"/>
          <w:color w:val="000000"/>
          <w:szCs w:val="21"/>
        </w:rPr>
        <w:t>委托期限：</w:t>
      </w:r>
      <w:r>
        <w:rPr>
          <w:rFonts w:hint="eastAsia" w:ascii="宋体" w:hAnsi="宋体"/>
          <w:color w:val="000000"/>
          <w:szCs w:val="21"/>
          <w:u w:val="single"/>
        </w:rPr>
        <w:t xml:space="preserve">                                             </w:t>
      </w:r>
    </w:p>
    <w:p>
      <w:pPr>
        <w:spacing w:line="500" w:lineRule="exact"/>
        <w:ind w:firstLine="1417" w:firstLineChars="675"/>
        <w:rPr>
          <w:rFonts w:ascii="宋体" w:hAnsi="宋体"/>
          <w:color w:val="000000"/>
          <w:szCs w:val="21"/>
        </w:rPr>
      </w:pPr>
      <w:r>
        <w:rPr>
          <w:rFonts w:hint="eastAsia" w:ascii="宋体" w:hAnsi="宋体"/>
          <w:color w:val="000000"/>
          <w:szCs w:val="21"/>
          <w:u w:val="single"/>
        </w:rPr>
        <w:t xml:space="preserve">                                             </w:t>
      </w:r>
    </w:p>
    <w:p>
      <w:pPr>
        <w:spacing w:before="240" w:beforeLines="100" w:after="240" w:afterLines="100" w:line="500" w:lineRule="exact"/>
        <w:ind w:firstLine="420" w:firstLineChars="200"/>
        <w:rPr>
          <w:rFonts w:ascii="宋体" w:hAnsi="宋体"/>
          <w:color w:val="000000"/>
          <w:szCs w:val="21"/>
        </w:rPr>
      </w:pPr>
      <w:r>
        <w:rPr>
          <w:rFonts w:hint="eastAsia" w:ascii="宋体" w:hAnsi="宋体"/>
          <w:color w:val="000000"/>
          <w:szCs w:val="21"/>
        </w:rPr>
        <w:t>代理人无转委托权。</w:t>
      </w:r>
    </w:p>
    <w:p>
      <w:pPr>
        <w:spacing w:after="240" w:afterLines="100" w:line="500" w:lineRule="exact"/>
        <w:ind w:firstLine="420" w:firstLineChars="200"/>
        <w:rPr>
          <w:rFonts w:ascii="宋体" w:hAnsi="宋体"/>
          <w:color w:val="000000"/>
          <w:szCs w:val="21"/>
        </w:rPr>
      </w:pPr>
      <w:r>
        <w:rPr>
          <w:rFonts w:hint="eastAsia" w:ascii="宋体" w:hAnsi="宋体"/>
          <w:color w:val="000000"/>
          <w:szCs w:val="21"/>
        </w:rPr>
        <w:t>附：法定代表人身份证明</w:t>
      </w:r>
    </w:p>
    <w:p>
      <w:pPr>
        <w:spacing w:line="500" w:lineRule="exact"/>
        <w:rPr>
          <w:rFonts w:ascii="宋体" w:hAnsi="宋体"/>
          <w:color w:val="000000"/>
          <w:szCs w:val="21"/>
        </w:rPr>
      </w:pPr>
    </w:p>
    <w:p>
      <w:pPr>
        <w:spacing w:line="400" w:lineRule="exact"/>
        <w:ind w:firstLine="2940" w:firstLineChars="1400"/>
        <w:rPr>
          <w:rFonts w:ascii="宋体" w:hAnsi="宋体"/>
          <w:color w:val="000000"/>
          <w:szCs w:val="21"/>
        </w:rPr>
      </w:pPr>
      <w:r>
        <w:rPr>
          <w:rFonts w:hint="eastAsia" w:ascii="黑体" w:hAnsi="宋体" w:eastAsia="黑体"/>
          <w:color w:val="000000"/>
          <w:szCs w:val="21"/>
        </w:rPr>
        <w:t>投  标  人：</w:t>
      </w:r>
      <w:r>
        <w:rPr>
          <w:rFonts w:hint="eastAsia" w:ascii="宋体" w:hAnsi="宋体"/>
          <w:color w:val="000000"/>
          <w:szCs w:val="21"/>
        </w:rPr>
        <w:t>（电子盖单位章）</w:t>
      </w:r>
    </w:p>
    <w:p>
      <w:pPr>
        <w:spacing w:line="400" w:lineRule="exact"/>
        <w:ind w:firstLine="3570" w:firstLineChars="1700"/>
        <w:rPr>
          <w:rFonts w:ascii="宋体" w:hAnsi="宋体"/>
          <w:color w:val="000000"/>
          <w:szCs w:val="21"/>
        </w:rPr>
      </w:pPr>
    </w:p>
    <w:p>
      <w:pPr>
        <w:spacing w:line="400" w:lineRule="exact"/>
        <w:ind w:firstLine="2940" w:firstLineChars="1400"/>
        <w:rPr>
          <w:rFonts w:ascii="宋体" w:hAnsi="宋体"/>
          <w:color w:val="000000"/>
          <w:szCs w:val="21"/>
        </w:rPr>
      </w:pPr>
      <w:r>
        <w:rPr>
          <w:rFonts w:hint="eastAsia" w:ascii="黑体" w:hAnsi="宋体" w:eastAsia="黑体"/>
          <w:color w:val="000000"/>
          <w:szCs w:val="21"/>
        </w:rPr>
        <w:t>法定代表人：</w:t>
      </w:r>
      <w:r>
        <w:rPr>
          <w:rFonts w:hint="eastAsia" w:ascii="宋体" w:hAnsi="宋体"/>
          <w:color w:val="000000"/>
          <w:szCs w:val="21"/>
        </w:rPr>
        <w:t>（电子签字或盖章）</w:t>
      </w:r>
    </w:p>
    <w:p>
      <w:pPr>
        <w:spacing w:line="400" w:lineRule="exact"/>
        <w:ind w:firstLine="3570" w:firstLineChars="1700"/>
        <w:rPr>
          <w:rFonts w:ascii="宋体" w:hAnsi="宋体"/>
          <w:color w:val="000000"/>
          <w:szCs w:val="21"/>
        </w:rPr>
      </w:pPr>
    </w:p>
    <w:p>
      <w:pPr>
        <w:spacing w:line="400" w:lineRule="exact"/>
        <w:ind w:firstLine="2940" w:firstLineChars="1400"/>
        <w:rPr>
          <w:rFonts w:ascii="黑体" w:hAnsi="宋体" w:eastAsia="黑体"/>
          <w:color w:val="000000"/>
          <w:szCs w:val="21"/>
          <w:u w:val="single"/>
        </w:rPr>
      </w:pPr>
      <w:r>
        <w:rPr>
          <w:rFonts w:hint="eastAsia" w:ascii="黑体" w:hAnsi="宋体" w:eastAsia="黑体"/>
          <w:color w:val="000000"/>
          <w:szCs w:val="21"/>
        </w:rPr>
        <w:t>身份证号码：</w:t>
      </w:r>
    </w:p>
    <w:p>
      <w:pPr>
        <w:spacing w:line="400" w:lineRule="exact"/>
        <w:ind w:firstLine="3570" w:firstLineChars="1700"/>
        <w:rPr>
          <w:rFonts w:ascii="黑体" w:hAnsi="宋体" w:eastAsia="黑体"/>
          <w:color w:val="000000"/>
          <w:szCs w:val="21"/>
          <w:u w:val="single"/>
        </w:rPr>
      </w:pPr>
    </w:p>
    <w:p>
      <w:pPr>
        <w:spacing w:line="400" w:lineRule="exact"/>
        <w:ind w:firstLine="2940" w:firstLineChars="1400"/>
        <w:rPr>
          <w:rFonts w:ascii="宋体" w:hAnsi="宋体"/>
          <w:color w:val="000000"/>
          <w:szCs w:val="21"/>
        </w:rPr>
      </w:pPr>
      <w:r>
        <w:rPr>
          <w:rFonts w:hint="eastAsia" w:ascii="黑体" w:hAnsi="宋体" w:eastAsia="黑体"/>
          <w:color w:val="000000"/>
          <w:szCs w:val="21"/>
        </w:rPr>
        <w:t>委托代理人：</w:t>
      </w:r>
      <w:r>
        <w:rPr>
          <w:rFonts w:hint="eastAsia" w:ascii="宋体" w:hAnsi="宋体"/>
          <w:color w:val="000000"/>
          <w:szCs w:val="21"/>
        </w:rPr>
        <w:t>（电子签字或盖章）</w:t>
      </w:r>
    </w:p>
    <w:p>
      <w:pPr>
        <w:spacing w:line="400" w:lineRule="exact"/>
        <w:ind w:firstLine="3570" w:firstLineChars="1700"/>
        <w:rPr>
          <w:rFonts w:ascii="宋体" w:hAnsi="宋体"/>
          <w:color w:val="000000"/>
          <w:szCs w:val="21"/>
        </w:rPr>
      </w:pPr>
    </w:p>
    <w:p>
      <w:pPr>
        <w:spacing w:line="400" w:lineRule="exact"/>
        <w:ind w:firstLine="2940" w:firstLineChars="1400"/>
        <w:rPr>
          <w:rFonts w:ascii="黑体" w:hAnsi="宋体" w:eastAsia="黑体"/>
          <w:color w:val="000000"/>
          <w:szCs w:val="21"/>
          <w:u w:val="single"/>
        </w:rPr>
      </w:pPr>
      <w:r>
        <w:rPr>
          <w:rFonts w:hint="eastAsia" w:ascii="黑体" w:hAnsi="宋体" w:eastAsia="黑体"/>
          <w:color w:val="000000"/>
          <w:szCs w:val="21"/>
        </w:rPr>
        <w:t>身份证号码：</w:t>
      </w:r>
    </w:p>
    <w:p>
      <w:pPr>
        <w:spacing w:line="400" w:lineRule="exact"/>
        <w:ind w:firstLine="3570" w:firstLineChars="1700"/>
        <w:rPr>
          <w:rFonts w:ascii="黑体" w:hAnsi="宋体" w:eastAsia="黑体"/>
          <w:color w:val="000000"/>
          <w:szCs w:val="21"/>
        </w:rPr>
      </w:pPr>
    </w:p>
    <w:p>
      <w:pPr>
        <w:spacing w:line="400" w:lineRule="exact"/>
        <w:ind w:firstLine="4830" w:firstLineChars="2300"/>
        <w:rPr>
          <w:rFonts w:ascii="宋体" w:hAnsi="宋体"/>
          <w:color w:val="000000"/>
          <w:szCs w:val="21"/>
        </w:rPr>
      </w:pPr>
      <w:r>
        <w:rPr>
          <w:rFonts w:hint="eastAsia" w:ascii="宋体" w:hAnsi="宋体"/>
          <w:color w:val="000000"/>
          <w:szCs w:val="21"/>
        </w:rPr>
        <w:t>年月日</w:t>
      </w:r>
    </w:p>
    <w:p>
      <w:pPr>
        <w:spacing w:before="240" w:beforeLines="100" w:after="120" w:afterLines="50"/>
        <w:jc w:val="center"/>
        <w:outlineLvl w:val="2"/>
        <w:rPr>
          <w:rFonts w:ascii="黑体" w:hAnsi="宋体" w:eastAsia="黑体"/>
          <w:color w:val="000000"/>
          <w:sz w:val="28"/>
          <w:szCs w:val="28"/>
        </w:rPr>
      </w:pPr>
      <w:r>
        <w:rPr>
          <w:rFonts w:ascii="宋体" w:hAnsi="宋体"/>
          <w:color w:val="000000"/>
          <w:szCs w:val="21"/>
        </w:rPr>
        <w:br w:type="page"/>
      </w:r>
      <w:bookmarkStart w:id="1368" w:name="_Toc114222881"/>
      <w:bookmarkStart w:id="1369" w:name="_Toc295812314"/>
      <w:bookmarkStart w:id="1370" w:name="_Toc290990831"/>
      <w:r>
        <w:rPr>
          <w:rFonts w:hint="eastAsia" w:ascii="黑体" w:hAnsi="宋体" w:eastAsia="黑体"/>
          <w:color w:val="000000"/>
          <w:sz w:val="28"/>
          <w:szCs w:val="28"/>
        </w:rPr>
        <w:t>四、联合体协议书</w:t>
      </w:r>
      <w:bookmarkEnd w:id="1368"/>
      <w:bookmarkEnd w:id="1369"/>
      <w:bookmarkEnd w:id="1370"/>
    </w:p>
    <w:p>
      <w:pPr>
        <w:spacing w:line="394" w:lineRule="exact"/>
        <w:rPr>
          <w:rFonts w:ascii="宋体" w:hAnsi="宋体"/>
          <w:color w:val="000000"/>
          <w:szCs w:val="21"/>
        </w:rPr>
      </w:pPr>
      <w:r>
        <w:rPr>
          <w:rFonts w:hint="eastAsia" w:ascii="宋体" w:hAnsi="宋体"/>
          <w:color w:val="000000"/>
          <w:szCs w:val="21"/>
        </w:rPr>
        <w:t xml:space="preserve">牵头人名称： </w:t>
      </w:r>
      <w:r>
        <w:rPr>
          <w:rFonts w:hint="eastAsia" w:ascii="宋体" w:hAnsi="宋体"/>
          <w:color w:val="000000"/>
          <w:szCs w:val="21"/>
          <w:u w:val="single"/>
        </w:rPr>
        <w:t xml:space="preserve">                                                     </w:t>
      </w:r>
    </w:p>
    <w:p>
      <w:pPr>
        <w:spacing w:line="394" w:lineRule="exact"/>
        <w:rPr>
          <w:rFonts w:ascii="宋体" w:hAnsi="宋体"/>
          <w:color w:val="000000"/>
          <w:szCs w:val="21"/>
        </w:rPr>
      </w:pPr>
      <w:r>
        <w:rPr>
          <w:rFonts w:hint="eastAsia" w:ascii="宋体" w:hAnsi="宋体"/>
          <w:color w:val="000000"/>
          <w:szCs w:val="21"/>
        </w:rPr>
        <w:t xml:space="preserve">法定代表人： </w:t>
      </w:r>
      <w:r>
        <w:rPr>
          <w:rFonts w:hint="eastAsia" w:ascii="宋体" w:hAnsi="宋体"/>
          <w:color w:val="000000"/>
          <w:szCs w:val="21"/>
          <w:u w:val="single"/>
        </w:rPr>
        <w:t xml:space="preserve">                                                     </w:t>
      </w:r>
    </w:p>
    <w:p>
      <w:pPr>
        <w:spacing w:line="394" w:lineRule="exact"/>
        <w:rPr>
          <w:rFonts w:ascii="宋体" w:hAnsi="宋体"/>
          <w:color w:val="000000"/>
          <w:szCs w:val="21"/>
        </w:rPr>
      </w:pPr>
      <w:r>
        <w:rPr>
          <w:rFonts w:hint="eastAsia" w:ascii="宋体" w:hAnsi="宋体"/>
          <w:color w:val="000000"/>
          <w:szCs w:val="21"/>
        </w:rPr>
        <w:t xml:space="preserve">法定住所：  </w:t>
      </w:r>
      <w:r>
        <w:rPr>
          <w:rFonts w:ascii="宋体" w:hAnsi="宋体"/>
          <w:color w:val="000000"/>
          <w:szCs w:val="21"/>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p>
    <w:p>
      <w:pPr>
        <w:spacing w:line="394" w:lineRule="exact"/>
        <w:rPr>
          <w:rFonts w:ascii="宋体" w:hAnsi="宋体"/>
          <w:color w:val="000000"/>
          <w:szCs w:val="21"/>
        </w:rPr>
      </w:pPr>
      <w:r>
        <w:rPr>
          <w:rFonts w:hint="eastAsia" w:ascii="宋体" w:hAnsi="宋体"/>
          <w:color w:val="000000"/>
          <w:szCs w:val="21"/>
        </w:rPr>
        <w:t xml:space="preserve">成员二名称： </w:t>
      </w:r>
      <w:r>
        <w:rPr>
          <w:rFonts w:hint="eastAsia" w:ascii="宋体" w:hAnsi="宋体"/>
          <w:color w:val="000000"/>
          <w:szCs w:val="21"/>
          <w:u w:val="single"/>
        </w:rPr>
        <w:t xml:space="preserve">                                                     </w:t>
      </w:r>
    </w:p>
    <w:p>
      <w:pPr>
        <w:spacing w:line="394" w:lineRule="exact"/>
        <w:rPr>
          <w:rFonts w:ascii="宋体" w:hAnsi="宋体"/>
          <w:color w:val="000000"/>
          <w:szCs w:val="21"/>
        </w:rPr>
      </w:pPr>
      <w:r>
        <w:rPr>
          <w:rFonts w:hint="eastAsia" w:ascii="宋体" w:hAnsi="宋体"/>
          <w:color w:val="000000"/>
          <w:szCs w:val="21"/>
        </w:rPr>
        <w:t xml:space="preserve">法定代表人： </w:t>
      </w:r>
      <w:r>
        <w:rPr>
          <w:rFonts w:hint="eastAsia" w:ascii="宋体" w:hAnsi="宋体"/>
          <w:color w:val="000000"/>
          <w:szCs w:val="21"/>
          <w:u w:val="single"/>
        </w:rPr>
        <w:t xml:space="preserve">                                                     </w:t>
      </w:r>
    </w:p>
    <w:p>
      <w:pPr>
        <w:spacing w:line="394" w:lineRule="exact"/>
        <w:rPr>
          <w:rFonts w:ascii="宋体" w:hAnsi="宋体"/>
          <w:color w:val="000000"/>
          <w:szCs w:val="21"/>
          <w:u w:val="single"/>
        </w:rPr>
      </w:pPr>
      <w:r>
        <w:rPr>
          <w:rFonts w:hint="eastAsia" w:ascii="宋体" w:hAnsi="宋体"/>
          <w:color w:val="000000"/>
          <w:szCs w:val="21"/>
        </w:rPr>
        <w:t xml:space="preserve">法定住所： </w:t>
      </w:r>
      <w:r>
        <w:rPr>
          <w:rFonts w:ascii="宋体" w:hAnsi="宋体"/>
          <w:color w:val="000000"/>
          <w:szCs w:val="21"/>
        </w:rPr>
        <w:t xml:space="preserve">  </w:t>
      </w:r>
      <w:r>
        <w:rPr>
          <w:rFonts w:hint="eastAsia" w:ascii="宋体" w:hAnsi="宋体"/>
          <w:color w:val="000000"/>
          <w:szCs w:val="21"/>
          <w:u w:val="single"/>
        </w:rPr>
        <w:t xml:space="preserve">                                                     </w:t>
      </w:r>
    </w:p>
    <w:p>
      <w:pPr>
        <w:spacing w:line="394" w:lineRule="exact"/>
        <w:ind w:firstLine="420" w:firstLineChars="200"/>
        <w:rPr>
          <w:rFonts w:ascii="宋体" w:hAnsi="宋体"/>
          <w:color w:val="000000"/>
          <w:szCs w:val="21"/>
        </w:rPr>
      </w:pPr>
      <w:r>
        <w:rPr>
          <w:rFonts w:hint="eastAsia" w:ascii="宋体" w:hAnsi="宋体"/>
          <w:color w:val="000000"/>
          <w:szCs w:val="21"/>
        </w:rPr>
        <w:t>鉴于上述各成员单位经过友好协商，自愿组成</w:t>
      </w:r>
      <w:r>
        <w:rPr>
          <w:rFonts w:hint="eastAsia" w:ascii="宋体" w:hAnsi="宋体"/>
          <w:color w:val="000000"/>
          <w:szCs w:val="21"/>
          <w:u w:val="single"/>
        </w:rPr>
        <w:t>（联合体名称）</w:t>
      </w:r>
      <w:r>
        <w:rPr>
          <w:rFonts w:hint="eastAsia" w:ascii="宋体" w:hAnsi="宋体"/>
          <w:color w:val="000000"/>
          <w:szCs w:val="21"/>
        </w:rPr>
        <w:t>联合体，共同参加</w:t>
      </w:r>
    </w:p>
    <w:p>
      <w:pPr>
        <w:spacing w:line="394" w:lineRule="exact"/>
        <w:rPr>
          <w:rFonts w:ascii="宋体" w:hAnsi="宋体"/>
          <w:color w:val="000000"/>
          <w:szCs w:val="21"/>
        </w:rPr>
      </w:pPr>
      <w:r>
        <w:rPr>
          <w:rFonts w:hint="eastAsia" w:ascii="宋体" w:hAnsi="宋体"/>
          <w:color w:val="000000"/>
          <w:szCs w:val="21"/>
          <w:u w:val="single"/>
        </w:rPr>
        <w:t>（招标人名称）</w:t>
      </w:r>
      <w:r>
        <w:rPr>
          <w:rFonts w:hint="eastAsia" w:ascii="宋体" w:hAnsi="宋体"/>
          <w:color w:val="000000"/>
          <w:szCs w:val="21"/>
        </w:rPr>
        <w:t>（以下简称招标人）</w:t>
      </w:r>
      <w:r>
        <w:rPr>
          <w:rFonts w:hint="eastAsia" w:ascii="宋体" w:hAnsi="宋体"/>
          <w:color w:val="000000"/>
          <w:szCs w:val="21"/>
          <w:u w:val="single"/>
        </w:rPr>
        <w:t>（项目名称）</w:t>
      </w:r>
      <w:r>
        <w:rPr>
          <w:rFonts w:hint="eastAsia" w:ascii="宋体" w:hAnsi="宋体"/>
          <w:color w:val="000000"/>
          <w:szCs w:val="21"/>
        </w:rPr>
        <w:t>标段（以下简称本工程）的施工投标并争取赢得本工程施工承包合同（以下简称合同）。现就联合体投标事宜订立如下协议：</w:t>
      </w:r>
    </w:p>
    <w:p>
      <w:pPr>
        <w:spacing w:line="394" w:lineRule="exact"/>
        <w:ind w:firstLine="420" w:firstLineChars="200"/>
        <w:rPr>
          <w:rFonts w:ascii="宋体" w:hAnsi="宋体"/>
          <w:color w:val="000000"/>
          <w:szCs w:val="21"/>
        </w:rPr>
      </w:pPr>
      <w:r>
        <w:rPr>
          <w:rFonts w:hint="eastAsia" w:ascii="宋体" w:hAnsi="宋体"/>
          <w:color w:val="000000"/>
          <w:szCs w:val="21"/>
        </w:rPr>
        <w:t>1．</w:t>
      </w:r>
      <w:r>
        <w:rPr>
          <w:rFonts w:hint="eastAsia" w:ascii="宋体" w:hAnsi="宋体"/>
          <w:color w:val="000000"/>
          <w:szCs w:val="21"/>
          <w:u w:val="single"/>
        </w:rPr>
        <w:t>（某成员单位名称）</w:t>
      </w:r>
      <w:r>
        <w:rPr>
          <w:rFonts w:hint="eastAsia" w:ascii="宋体" w:hAnsi="宋体"/>
          <w:color w:val="000000"/>
          <w:szCs w:val="21"/>
        </w:rPr>
        <w:t>为</w:t>
      </w:r>
      <w:r>
        <w:rPr>
          <w:rFonts w:hint="eastAsia" w:ascii="宋体" w:hAnsi="宋体"/>
          <w:color w:val="000000"/>
          <w:szCs w:val="21"/>
          <w:u w:val="single"/>
        </w:rPr>
        <w:t>（联合体名称）</w:t>
      </w:r>
      <w:r>
        <w:rPr>
          <w:rFonts w:hint="eastAsia" w:ascii="宋体" w:hAnsi="宋体"/>
          <w:color w:val="000000"/>
          <w:szCs w:val="21"/>
        </w:rPr>
        <w:t>牵头人。</w:t>
      </w:r>
    </w:p>
    <w:p>
      <w:pPr>
        <w:spacing w:line="394" w:lineRule="exact"/>
        <w:ind w:firstLine="420" w:firstLineChars="200"/>
        <w:rPr>
          <w:rFonts w:ascii="宋体" w:hAnsi="宋体"/>
          <w:color w:val="000000"/>
          <w:szCs w:val="21"/>
        </w:rPr>
      </w:pPr>
      <w:r>
        <w:rPr>
          <w:rFonts w:hint="eastAsia" w:ascii="宋体" w:hAnsi="宋体"/>
          <w:color w:val="000000"/>
          <w:szCs w:val="21"/>
        </w:rPr>
        <w:t>2．在本工程投标阶段，联合体牵头人合法代表联合体各成员负责本工程投标文件编制活动，代表联合体提交和接收相关的资料、信息及指示，并处理与投标和中标有关的一切事务；联合体中标后，联合体牵头人负责合同订立和合同实施阶段的主办、组织和协调工作。</w:t>
      </w:r>
    </w:p>
    <w:p>
      <w:pPr>
        <w:spacing w:line="394" w:lineRule="exact"/>
        <w:ind w:firstLine="420" w:firstLineChars="200"/>
        <w:rPr>
          <w:rFonts w:ascii="宋体" w:hAnsi="宋体"/>
          <w:color w:val="000000"/>
          <w:szCs w:val="21"/>
        </w:rPr>
      </w:pPr>
      <w:r>
        <w:rPr>
          <w:rFonts w:hint="eastAsia" w:ascii="宋体" w:hAnsi="宋体"/>
          <w:color w:val="000000"/>
          <w:szCs w:val="21"/>
        </w:rPr>
        <w:t>3．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pPr>
        <w:spacing w:line="394" w:lineRule="exact"/>
        <w:ind w:firstLine="420" w:firstLineChars="200"/>
        <w:rPr>
          <w:rFonts w:ascii="宋体" w:hAnsi="宋体"/>
          <w:color w:val="000000"/>
          <w:szCs w:val="21"/>
        </w:rPr>
      </w:pPr>
      <w:r>
        <w:rPr>
          <w:rFonts w:hint="eastAsia" w:ascii="宋体" w:hAnsi="宋体"/>
          <w:color w:val="000000"/>
          <w:szCs w:val="21"/>
        </w:rPr>
        <w:t>4．联合体各成员单位内部的职责分工如下：</w:t>
      </w:r>
      <w:r>
        <w:rPr>
          <w:rFonts w:hint="eastAsia" w:ascii="宋体" w:hAnsi="宋体"/>
          <w:color w:val="000000"/>
          <w:szCs w:val="21"/>
          <w:u w:val="single"/>
        </w:rPr>
        <w:t xml:space="preserve">              </w:t>
      </w:r>
      <w:r>
        <w:rPr>
          <w:rFonts w:hint="eastAsia" w:ascii="宋体" w:hAnsi="宋体"/>
          <w:color w:val="000000"/>
          <w:szCs w:val="21"/>
        </w:rPr>
        <w:t>。按照本条上述分工，联合体成员单位各自所承担的合同工作量比例如下：</w:t>
      </w:r>
      <w:r>
        <w:rPr>
          <w:rFonts w:hint="eastAsia" w:ascii="宋体" w:hAnsi="宋体"/>
          <w:color w:val="000000"/>
          <w:szCs w:val="21"/>
          <w:u w:val="single"/>
        </w:rPr>
        <w:t xml:space="preserve">               </w:t>
      </w:r>
      <w:r>
        <w:rPr>
          <w:rFonts w:hint="eastAsia" w:ascii="宋体" w:hAnsi="宋体"/>
          <w:color w:val="000000"/>
          <w:szCs w:val="21"/>
        </w:rPr>
        <w:t>。</w:t>
      </w:r>
    </w:p>
    <w:p>
      <w:pPr>
        <w:spacing w:line="394" w:lineRule="exact"/>
        <w:ind w:firstLine="420" w:firstLineChars="200"/>
        <w:rPr>
          <w:rFonts w:ascii="宋体" w:hAnsi="宋体"/>
          <w:color w:val="000000"/>
          <w:szCs w:val="21"/>
        </w:rPr>
      </w:pPr>
      <w:r>
        <w:rPr>
          <w:rFonts w:hint="eastAsia" w:ascii="宋体" w:hAnsi="宋体"/>
          <w:color w:val="000000"/>
          <w:szCs w:val="21"/>
        </w:rPr>
        <w:t>5．投标工作和联合体在中标后工程实施过程中的有关费用按各自承担的工作量分摊。</w:t>
      </w:r>
    </w:p>
    <w:p>
      <w:pPr>
        <w:spacing w:line="394" w:lineRule="exact"/>
        <w:ind w:firstLine="420" w:firstLineChars="200"/>
        <w:rPr>
          <w:rFonts w:ascii="宋体" w:hAnsi="宋体"/>
          <w:color w:val="000000"/>
          <w:szCs w:val="21"/>
        </w:rPr>
      </w:pPr>
      <w:r>
        <w:rPr>
          <w:rFonts w:hint="eastAsia" w:ascii="宋体" w:hAnsi="宋体"/>
          <w:color w:val="000000"/>
          <w:szCs w:val="21"/>
        </w:rPr>
        <w:t>6．联合体中标后，本联合体协议是合同的附件，对联合体各成员单位有合同约束力。</w:t>
      </w:r>
    </w:p>
    <w:p>
      <w:pPr>
        <w:spacing w:line="394" w:lineRule="exact"/>
        <w:ind w:firstLine="420" w:firstLineChars="200"/>
        <w:rPr>
          <w:rFonts w:ascii="宋体" w:hAnsi="宋体"/>
          <w:color w:val="000000"/>
          <w:szCs w:val="21"/>
        </w:rPr>
      </w:pPr>
      <w:r>
        <w:rPr>
          <w:rFonts w:hint="eastAsia" w:ascii="宋体" w:hAnsi="宋体"/>
          <w:color w:val="000000"/>
          <w:szCs w:val="21"/>
        </w:rPr>
        <w:t>7．本协议书自签署之日起生效，联合体未中标或者中标时合同履行完毕后自动失效。</w:t>
      </w:r>
    </w:p>
    <w:p>
      <w:pPr>
        <w:spacing w:line="394" w:lineRule="exact"/>
        <w:ind w:firstLine="420" w:firstLineChars="200"/>
        <w:rPr>
          <w:rFonts w:ascii="宋体" w:hAnsi="宋体"/>
          <w:color w:val="000000"/>
          <w:szCs w:val="21"/>
        </w:rPr>
      </w:pPr>
      <w:r>
        <w:rPr>
          <w:rFonts w:hint="eastAsia" w:ascii="宋体" w:hAnsi="宋体"/>
          <w:color w:val="000000"/>
          <w:szCs w:val="21"/>
        </w:rPr>
        <w:t>8．本协议书一式份，联合体成员和招标人各执一份。</w:t>
      </w:r>
    </w:p>
    <w:p>
      <w:pPr>
        <w:spacing w:line="394" w:lineRule="exact"/>
        <w:ind w:firstLine="1680" w:firstLineChars="800"/>
        <w:rPr>
          <w:rFonts w:ascii="宋体" w:hAnsi="宋体"/>
          <w:color w:val="000000"/>
          <w:szCs w:val="21"/>
        </w:rPr>
      </w:pPr>
      <w:r>
        <w:rPr>
          <w:rFonts w:hint="eastAsia" w:ascii="宋体" w:hAnsi="宋体"/>
          <w:color w:val="000000"/>
          <w:szCs w:val="21"/>
        </w:rPr>
        <w:t>牵头人名称：（电子盖单位章）</w:t>
      </w:r>
    </w:p>
    <w:p>
      <w:pPr>
        <w:spacing w:line="394" w:lineRule="exact"/>
        <w:ind w:firstLine="1680" w:firstLineChars="800"/>
        <w:rPr>
          <w:rFonts w:ascii="宋体" w:hAnsi="宋体"/>
          <w:color w:val="000000"/>
          <w:szCs w:val="21"/>
        </w:rPr>
      </w:pPr>
      <w:r>
        <w:rPr>
          <w:rFonts w:hint="eastAsia" w:ascii="宋体" w:hAnsi="宋体"/>
          <w:color w:val="000000"/>
          <w:szCs w:val="21"/>
        </w:rPr>
        <w:t>法定代表人或其委托代理人：（电子签字或盖章）</w:t>
      </w:r>
    </w:p>
    <w:p>
      <w:pPr>
        <w:spacing w:line="394" w:lineRule="exact"/>
        <w:ind w:firstLine="1785" w:firstLineChars="850"/>
        <w:rPr>
          <w:rFonts w:ascii="宋体" w:hAnsi="宋体"/>
          <w:color w:val="000000"/>
          <w:szCs w:val="21"/>
        </w:rPr>
      </w:pPr>
    </w:p>
    <w:p>
      <w:pPr>
        <w:spacing w:line="394" w:lineRule="exact"/>
        <w:ind w:firstLine="1680" w:firstLineChars="800"/>
        <w:rPr>
          <w:rFonts w:ascii="宋体" w:hAnsi="宋体"/>
          <w:color w:val="000000"/>
          <w:szCs w:val="21"/>
        </w:rPr>
      </w:pPr>
      <w:r>
        <w:rPr>
          <w:rFonts w:hint="eastAsia" w:ascii="宋体" w:hAnsi="宋体"/>
          <w:color w:val="000000"/>
          <w:szCs w:val="21"/>
        </w:rPr>
        <w:t>成员二名称：（电子盖单位章）</w:t>
      </w:r>
    </w:p>
    <w:p>
      <w:pPr>
        <w:spacing w:line="394" w:lineRule="exact"/>
        <w:ind w:firstLine="1680" w:firstLineChars="800"/>
        <w:rPr>
          <w:rFonts w:ascii="宋体" w:hAnsi="宋体"/>
          <w:color w:val="000000"/>
          <w:szCs w:val="21"/>
        </w:rPr>
      </w:pPr>
      <w:r>
        <w:rPr>
          <w:rFonts w:hint="eastAsia" w:ascii="宋体" w:hAnsi="宋体"/>
          <w:color w:val="000000"/>
          <w:szCs w:val="21"/>
        </w:rPr>
        <w:t>法定代表人或其委托代理人：（电子签字或盖章）</w:t>
      </w:r>
    </w:p>
    <w:p>
      <w:pPr>
        <w:spacing w:line="394" w:lineRule="exact"/>
        <w:ind w:firstLine="2100" w:firstLineChars="1000"/>
        <w:rPr>
          <w:rFonts w:ascii="宋体" w:hAnsi="宋体"/>
          <w:color w:val="000000"/>
          <w:szCs w:val="21"/>
        </w:rPr>
      </w:pPr>
      <w:r>
        <w:rPr>
          <w:rFonts w:hint="eastAsia" w:ascii="宋体" w:hAnsi="宋体"/>
          <w:color w:val="000000"/>
          <w:szCs w:val="21"/>
        </w:rPr>
        <w:t>……</w:t>
      </w:r>
    </w:p>
    <w:p>
      <w:pPr>
        <w:wordWrap w:val="0"/>
        <w:spacing w:line="394" w:lineRule="exact"/>
        <w:jc w:val="right"/>
        <w:rPr>
          <w:rFonts w:ascii="宋体" w:hAnsi="宋体"/>
          <w:color w:val="000000"/>
          <w:szCs w:val="21"/>
        </w:rPr>
      </w:pPr>
      <w:r>
        <w:rPr>
          <w:rFonts w:hint="eastAsia" w:ascii="宋体" w:hAnsi="宋体"/>
          <w:color w:val="000000"/>
          <w:szCs w:val="21"/>
        </w:rPr>
        <w:t xml:space="preserve">年  月  日           </w:t>
      </w:r>
    </w:p>
    <w:p>
      <w:pPr>
        <w:spacing w:line="394" w:lineRule="exact"/>
        <w:rPr>
          <w:rFonts w:ascii="宋体" w:hAnsi="宋体"/>
          <w:color w:val="000000"/>
          <w:szCs w:val="21"/>
        </w:rPr>
      </w:pPr>
      <w:r>
        <w:rPr>
          <w:rFonts w:hint="eastAsia" w:ascii="黑体" w:hAnsi="宋体" w:eastAsia="黑体"/>
          <w:color w:val="000000"/>
          <w:szCs w:val="21"/>
        </w:rPr>
        <w:t>备注：</w:t>
      </w:r>
      <w:r>
        <w:rPr>
          <w:rFonts w:hint="eastAsia" w:ascii="宋体" w:hAnsi="宋体"/>
          <w:color w:val="000000"/>
          <w:szCs w:val="21"/>
        </w:rPr>
        <w:t>本协议书由委托代理人签字的，应附法定代表人签字的授权委托书。</w:t>
      </w:r>
    </w:p>
    <w:p>
      <w:pPr>
        <w:spacing w:before="240" w:beforeLines="100" w:after="120" w:afterLines="50"/>
        <w:jc w:val="center"/>
        <w:outlineLvl w:val="2"/>
        <w:rPr>
          <w:rFonts w:ascii="黑体" w:hAnsi="宋体" w:eastAsia="黑体"/>
          <w:color w:val="000000"/>
          <w:sz w:val="28"/>
          <w:szCs w:val="28"/>
          <w:highlight w:val="yellow"/>
        </w:rPr>
      </w:pPr>
      <w:r>
        <w:rPr>
          <w:rFonts w:ascii="黑体" w:hAnsi="宋体" w:eastAsia="黑体"/>
          <w:color w:val="000000"/>
          <w:sz w:val="28"/>
          <w:szCs w:val="28"/>
        </w:rPr>
        <w:br w:type="page"/>
      </w:r>
      <w:bookmarkStart w:id="1371" w:name="_Toc290990832"/>
      <w:bookmarkStart w:id="1372" w:name="_Toc295812315"/>
      <w:bookmarkStart w:id="1373" w:name="_Toc114222882"/>
      <w:r>
        <w:rPr>
          <w:rFonts w:hint="eastAsia" w:ascii="黑体" w:hAnsi="宋体" w:eastAsia="黑体"/>
          <w:color w:val="FF0000"/>
          <w:sz w:val="28"/>
          <w:szCs w:val="28"/>
          <w:highlight w:val="yellow"/>
        </w:rPr>
        <w:t>五、投标保证金</w:t>
      </w:r>
      <w:bookmarkEnd w:id="1371"/>
      <w:bookmarkEnd w:id="1372"/>
      <w:r>
        <w:rPr>
          <w:rFonts w:hint="eastAsia" w:ascii="黑体" w:hAnsi="宋体" w:eastAsia="黑体"/>
          <w:color w:val="FF0000"/>
          <w:sz w:val="28"/>
          <w:szCs w:val="28"/>
          <w:highlight w:val="yellow"/>
        </w:rPr>
        <w:t>（确认）</w:t>
      </w:r>
      <w:bookmarkEnd w:id="1373"/>
    </w:p>
    <w:p>
      <w:pPr>
        <w:spacing w:line="460" w:lineRule="exact"/>
        <w:ind w:firstLine="6300" w:firstLineChars="3000"/>
        <w:rPr>
          <w:rFonts w:ascii="宋体" w:hAnsi="宋体"/>
          <w:color w:val="000000"/>
          <w:szCs w:val="21"/>
          <w:highlight w:val="yellow"/>
        </w:rPr>
      </w:pPr>
      <w:r>
        <w:rPr>
          <w:rFonts w:hint="eastAsia" w:ascii="宋体" w:hAnsi="宋体"/>
          <w:color w:val="000000"/>
          <w:szCs w:val="21"/>
          <w:highlight w:val="yellow"/>
        </w:rPr>
        <w:t>保函编号：</w:t>
      </w:r>
      <w:r>
        <w:rPr>
          <w:rFonts w:hint="eastAsia" w:ascii="宋体" w:hAnsi="宋体"/>
          <w:color w:val="000000"/>
          <w:szCs w:val="21"/>
          <w:highlight w:val="yellow"/>
          <w:u w:val="single"/>
        </w:rPr>
        <w:t xml:space="preserve">          </w:t>
      </w:r>
    </w:p>
    <w:p>
      <w:pPr>
        <w:spacing w:line="460" w:lineRule="exact"/>
        <w:rPr>
          <w:rFonts w:ascii="宋体" w:hAnsi="宋体"/>
          <w:color w:val="000000"/>
          <w:szCs w:val="21"/>
          <w:highlight w:val="yellow"/>
        </w:rPr>
      </w:pPr>
      <w:r>
        <w:rPr>
          <w:rFonts w:hint="eastAsia" w:ascii="宋体" w:hAnsi="宋体"/>
          <w:color w:val="000000"/>
          <w:szCs w:val="21"/>
          <w:highlight w:val="yellow"/>
          <w:u w:val="single"/>
        </w:rPr>
        <w:t>（招标人名称）</w:t>
      </w:r>
      <w:r>
        <w:rPr>
          <w:rFonts w:hint="eastAsia" w:ascii="宋体" w:hAnsi="宋体"/>
          <w:color w:val="000000"/>
          <w:szCs w:val="21"/>
          <w:highlight w:val="yellow"/>
        </w:rPr>
        <w:t>：</w:t>
      </w:r>
    </w:p>
    <w:p>
      <w:pPr>
        <w:spacing w:line="460" w:lineRule="exact"/>
        <w:ind w:firstLine="420" w:firstLineChars="200"/>
        <w:rPr>
          <w:rFonts w:ascii="宋体" w:hAnsi="宋体"/>
          <w:color w:val="000000"/>
          <w:szCs w:val="21"/>
          <w:highlight w:val="yellow"/>
        </w:rPr>
      </w:pPr>
      <w:r>
        <w:rPr>
          <w:rFonts w:hint="eastAsia" w:ascii="宋体" w:hAnsi="宋体"/>
          <w:color w:val="000000"/>
          <w:szCs w:val="21"/>
          <w:highlight w:val="yellow"/>
        </w:rPr>
        <w:t>鉴于</w:t>
      </w:r>
      <w:r>
        <w:rPr>
          <w:rFonts w:hint="eastAsia" w:ascii="宋体" w:hAnsi="宋体"/>
          <w:color w:val="000000"/>
          <w:szCs w:val="21"/>
          <w:highlight w:val="yellow"/>
          <w:u w:val="single"/>
        </w:rPr>
        <w:t>（投标人名称）</w:t>
      </w:r>
      <w:r>
        <w:rPr>
          <w:rFonts w:hint="eastAsia" w:ascii="宋体" w:hAnsi="宋体"/>
          <w:color w:val="000000"/>
          <w:szCs w:val="21"/>
          <w:highlight w:val="yellow"/>
        </w:rPr>
        <w:t>（以下简称“投标人”）参加你方</w:t>
      </w:r>
      <w:r>
        <w:rPr>
          <w:rFonts w:hint="eastAsia" w:ascii="宋体" w:hAnsi="宋体"/>
          <w:color w:val="000000"/>
          <w:szCs w:val="21"/>
          <w:highlight w:val="yellow"/>
          <w:u w:val="single"/>
        </w:rPr>
        <w:t>（项目名称）</w:t>
      </w:r>
      <w:r>
        <w:rPr>
          <w:rFonts w:hint="eastAsia" w:ascii="宋体" w:hAnsi="宋体"/>
          <w:color w:val="000000"/>
          <w:szCs w:val="21"/>
          <w:highlight w:val="yellow"/>
        </w:rPr>
        <w:t>标段的施工投标，</w:t>
      </w:r>
      <w:r>
        <w:rPr>
          <w:rFonts w:hint="eastAsia" w:ascii="宋体" w:hAnsi="宋体"/>
          <w:color w:val="000000"/>
          <w:szCs w:val="21"/>
          <w:highlight w:val="yellow"/>
          <w:u w:val="single"/>
        </w:rPr>
        <w:t>（担保人名称）</w:t>
      </w:r>
      <w:r>
        <w:rPr>
          <w:rFonts w:hint="eastAsia" w:ascii="宋体" w:hAnsi="宋体"/>
          <w:color w:val="000000"/>
          <w:szCs w:val="21"/>
          <w:highlight w:val="yellow"/>
        </w:rPr>
        <w:t>（以下简称“我方”）受该投标人委托，在此无条件地、不可撤销地保证：一旦收到你方提出的下述任何一种事实的书面通知，在7日内无条件地向你方支付总额不超过</w:t>
      </w:r>
      <w:r>
        <w:rPr>
          <w:rFonts w:hint="eastAsia" w:ascii="宋体" w:hAnsi="宋体"/>
          <w:color w:val="000000"/>
          <w:szCs w:val="21"/>
          <w:highlight w:val="yellow"/>
          <w:u w:val="single"/>
        </w:rPr>
        <w:t>（投标保函额度）</w:t>
      </w:r>
      <w:r>
        <w:rPr>
          <w:rFonts w:hint="eastAsia" w:ascii="宋体" w:hAnsi="宋体"/>
          <w:color w:val="000000"/>
          <w:szCs w:val="21"/>
          <w:highlight w:val="yellow"/>
        </w:rPr>
        <w:t>的任何你方要求的金额：</w:t>
      </w:r>
    </w:p>
    <w:p>
      <w:pPr>
        <w:spacing w:line="460" w:lineRule="exact"/>
        <w:ind w:firstLine="420" w:firstLineChars="200"/>
        <w:rPr>
          <w:rFonts w:ascii="宋体" w:hAnsi="宋体"/>
          <w:color w:val="000000"/>
          <w:szCs w:val="21"/>
          <w:highlight w:val="yellow"/>
        </w:rPr>
      </w:pPr>
      <w:r>
        <w:rPr>
          <w:rFonts w:hint="eastAsia" w:ascii="宋体" w:hAnsi="宋体"/>
          <w:color w:val="000000"/>
          <w:szCs w:val="21"/>
          <w:highlight w:val="yellow"/>
        </w:rPr>
        <w:t>1．投标人在规定的投标有效期内撤销或者修改其投标文件。</w:t>
      </w:r>
    </w:p>
    <w:p>
      <w:pPr>
        <w:spacing w:line="460" w:lineRule="exact"/>
        <w:ind w:firstLine="420" w:firstLineChars="200"/>
        <w:rPr>
          <w:rFonts w:ascii="宋体" w:hAnsi="宋体"/>
          <w:color w:val="000000"/>
          <w:szCs w:val="21"/>
          <w:highlight w:val="yellow"/>
        </w:rPr>
      </w:pPr>
      <w:r>
        <w:rPr>
          <w:rFonts w:hint="eastAsia" w:ascii="宋体" w:hAnsi="宋体"/>
          <w:color w:val="000000"/>
          <w:szCs w:val="21"/>
          <w:highlight w:val="yellow"/>
        </w:rPr>
        <w:t>2．投标人在收到中标通知书后无正当理由而未在规定期限内与贵方签署合同。</w:t>
      </w:r>
    </w:p>
    <w:p>
      <w:pPr>
        <w:spacing w:line="460" w:lineRule="exact"/>
        <w:ind w:firstLine="420" w:firstLineChars="200"/>
        <w:rPr>
          <w:rFonts w:ascii="宋体" w:hAnsi="宋体"/>
          <w:color w:val="000000"/>
          <w:szCs w:val="21"/>
          <w:highlight w:val="yellow"/>
        </w:rPr>
      </w:pPr>
      <w:r>
        <w:rPr>
          <w:rFonts w:hint="eastAsia" w:ascii="宋体" w:hAnsi="宋体"/>
          <w:color w:val="000000"/>
          <w:szCs w:val="21"/>
          <w:highlight w:val="yellow"/>
        </w:rPr>
        <w:t>3．投标人在收到中标通知书后未能在招标文件规定期限内向贵方提交招标文件所要求的履约担保。</w:t>
      </w:r>
    </w:p>
    <w:p>
      <w:pPr>
        <w:spacing w:line="460" w:lineRule="exact"/>
        <w:ind w:firstLine="420" w:firstLineChars="200"/>
        <w:rPr>
          <w:rFonts w:ascii="宋体" w:hAnsi="宋体"/>
          <w:color w:val="000000"/>
          <w:szCs w:val="21"/>
          <w:highlight w:val="yellow"/>
        </w:rPr>
      </w:pPr>
      <w:r>
        <w:rPr>
          <w:rFonts w:hint="eastAsia" w:ascii="宋体" w:hAnsi="宋体"/>
          <w:color w:val="000000"/>
          <w:szCs w:val="21"/>
          <w:highlight w:val="yellow"/>
        </w:rPr>
        <w:t>本保函在投标有效期内保持有效，除非你方提前终止或解除本保函。要求我方承担保证责任的通知应在投标有效期内送达我方。保函失效后请将本保函交投标人退回我方注销。</w:t>
      </w:r>
    </w:p>
    <w:p>
      <w:pPr>
        <w:spacing w:line="460" w:lineRule="exact"/>
        <w:ind w:firstLine="420" w:firstLineChars="200"/>
        <w:rPr>
          <w:rFonts w:ascii="宋体" w:hAnsi="宋体"/>
          <w:color w:val="000000"/>
          <w:szCs w:val="21"/>
          <w:highlight w:val="yellow"/>
        </w:rPr>
      </w:pPr>
      <w:r>
        <w:rPr>
          <w:rFonts w:hint="eastAsia" w:ascii="宋体" w:hAnsi="宋体"/>
          <w:color w:val="000000"/>
          <w:szCs w:val="21"/>
          <w:highlight w:val="yellow"/>
        </w:rPr>
        <w:t>本保函项下所有权利和义务均受中华人民共和国法律管辖和制约。</w:t>
      </w:r>
    </w:p>
    <w:p>
      <w:pPr>
        <w:spacing w:line="460" w:lineRule="exact"/>
        <w:ind w:firstLine="2100" w:firstLineChars="1000"/>
        <w:rPr>
          <w:rFonts w:ascii="宋体" w:hAnsi="宋体"/>
          <w:color w:val="000000"/>
          <w:szCs w:val="21"/>
          <w:highlight w:val="yellow"/>
        </w:rPr>
      </w:pPr>
      <w:r>
        <w:rPr>
          <w:rFonts w:hint="eastAsia" w:ascii="宋体" w:hAnsi="宋体"/>
          <w:color w:val="000000"/>
          <w:szCs w:val="21"/>
          <w:highlight w:val="yellow"/>
        </w:rPr>
        <w:t>担保人名称：（盖单位章）</w:t>
      </w:r>
    </w:p>
    <w:p>
      <w:pPr>
        <w:spacing w:line="460" w:lineRule="exact"/>
        <w:ind w:firstLine="2100" w:firstLineChars="1000"/>
        <w:rPr>
          <w:rFonts w:ascii="宋体" w:hAnsi="宋体"/>
          <w:color w:val="000000"/>
          <w:szCs w:val="21"/>
          <w:highlight w:val="yellow"/>
        </w:rPr>
      </w:pPr>
      <w:r>
        <w:rPr>
          <w:rFonts w:hint="eastAsia" w:ascii="宋体" w:hAnsi="宋体"/>
          <w:color w:val="000000"/>
          <w:szCs w:val="21"/>
          <w:highlight w:val="yellow"/>
        </w:rPr>
        <w:t>法定代表人或其委托代理人：（签字或盖章）</w:t>
      </w:r>
    </w:p>
    <w:p>
      <w:pPr>
        <w:spacing w:line="460" w:lineRule="exact"/>
        <w:ind w:firstLine="2100" w:firstLineChars="1000"/>
        <w:rPr>
          <w:rFonts w:ascii="宋体" w:hAnsi="宋体"/>
          <w:color w:val="000000"/>
          <w:szCs w:val="21"/>
          <w:highlight w:val="yellow"/>
        </w:rPr>
      </w:pPr>
      <w:r>
        <w:rPr>
          <w:rFonts w:hint="eastAsia" w:ascii="宋体" w:hAnsi="宋体"/>
          <w:color w:val="000000"/>
          <w:szCs w:val="21"/>
          <w:highlight w:val="yellow"/>
        </w:rPr>
        <w:t>地    址：</w:t>
      </w:r>
    </w:p>
    <w:p>
      <w:pPr>
        <w:spacing w:line="460" w:lineRule="exact"/>
        <w:ind w:firstLine="2100" w:firstLineChars="1000"/>
        <w:rPr>
          <w:rFonts w:ascii="宋体" w:hAnsi="宋体"/>
          <w:color w:val="000000"/>
          <w:szCs w:val="21"/>
          <w:highlight w:val="yellow"/>
        </w:rPr>
      </w:pPr>
      <w:r>
        <w:rPr>
          <w:rFonts w:hint="eastAsia" w:ascii="宋体" w:hAnsi="宋体"/>
          <w:color w:val="000000"/>
          <w:szCs w:val="21"/>
          <w:highlight w:val="yellow"/>
        </w:rPr>
        <w:t>邮政编码：</w:t>
      </w:r>
    </w:p>
    <w:p>
      <w:pPr>
        <w:spacing w:line="460" w:lineRule="exact"/>
        <w:ind w:firstLine="2100" w:firstLineChars="1000"/>
        <w:rPr>
          <w:rFonts w:ascii="宋体" w:hAnsi="宋体"/>
          <w:color w:val="000000"/>
          <w:szCs w:val="21"/>
          <w:highlight w:val="yellow"/>
        </w:rPr>
      </w:pPr>
      <w:r>
        <w:rPr>
          <w:rFonts w:hint="eastAsia" w:ascii="宋体" w:hAnsi="宋体"/>
          <w:color w:val="000000"/>
          <w:szCs w:val="21"/>
          <w:highlight w:val="yellow"/>
        </w:rPr>
        <w:t>电    话：</w:t>
      </w:r>
    </w:p>
    <w:p>
      <w:pPr>
        <w:spacing w:line="460" w:lineRule="exact"/>
        <w:ind w:firstLine="2100" w:firstLineChars="1000"/>
        <w:rPr>
          <w:rFonts w:ascii="宋体" w:hAnsi="宋体"/>
          <w:color w:val="000000"/>
          <w:szCs w:val="21"/>
          <w:highlight w:val="yellow"/>
          <w:u w:val="single"/>
        </w:rPr>
      </w:pPr>
      <w:r>
        <w:rPr>
          <w:rFonts w:hint="eastAsia" w:ascii="宋体" w:hAnsi="宋体"/>
          <w:color w:val="000000"/>
          <w:szCs w:val="21"/>
          <w:highlight w:val="yellow"/>
        </w:rPr>
        <w:t>传    真：</w:t>
      </w:r>
    </w:p>
    <w:p>
      <w:pPr>
        <w:spacing w:line="460" w:lineRule="exact"/>
        <w:rPr>
          <w:rFonts w:ascii="宋体" w:hAnsi="宋体"/>
          <w:color w:val="000000"/>
          <w:szCs w:val="21"/>
          <w:highlight w:val="yellow"/>
        </w:rPr>
      </w:pPr>
    </w:p>
    <w:p>
      <w:pPr>
        <w:wordWrap w:val="0"/>
        <w:spacing w:line="460" w:lineRule="exact"/>
        <w:jc w:val="right"/>
        <w:rPr>
          <w:rFonts w:ascii="宋体" w:hAnsi="宋体"/>
          <w:color w:val="000000"/>
          <w:szCs w:val="21"/>
          <w:highlight w:val="yellow"/>
        </w:rPr>
      </w:pPr>
      <w:r>
        <w:rPr>
          <w:rFonts w:hint="eastAsia" w:ascii="宋体" w:hAnsi="宋体"/>
          <w:color w:val="000000"/>
          <w:szCs w:val="21"/>
          <w:highlight w:val="yellow"/>
        </w:rPr>
        <w:t xml:space="preserve">  年   月   日      </w:t>
      </w:r>
    </w:p>
    <w:p>
      <w:pPr>
        <w:spacing w:line="460" w:lineRule="exact"/>
        <w:rPr>
          <w:rFonts w:ascii="宋体" w:hAnsi="宋体"/>
          <w:color w:val="000000"/>
          <w:szCs w:val="21"/>
          <w:highlight w:val="yellow"/>
        </w:rPr>
      </w:pPr>
      <w:r>
        <w:rPr>
          <w:rFonts w:hint="eastAsia" w:ascii="黑体" w:hAnsi="宋体" w:eastAsia="黑体"/>
          <w:color w:val="000000"/>
          <w:szCs w:val="21"/>
          <w:highlight w:val="yellow"/>
        </w:rPr>
        <w:t>备注：</w:t>
      </w:r>
      <w:r>
        <w:rPr>
          <w:rFonts w:hint="eastAsia" w:ascii="宋体" w:hAnsi="宋体"/>
          <w:color w:val="000000"/>
          <w:szCs w:val="21"/>
          <w:highlight w:val="yellow"/>
        </w:rPr>
        <w:t>经过招标人事先的书面同意，投标人可采用招标人认可的投标保函格式，但相关内容</w:t>
      </w:r>
    </w:p>
    <w:p>
      <w:pPr>
        <w:spacing w:line="460" w:lineRule="exact"/>
        <w:rPr>
          <w:rFonts w:ascii="宋体" w:hAnsi="宋体"/>
          <w:color w:val="000000"/>
          <w:szCs w:val="21"/>
        </w:rPr>
      </w:pPr>
      <w:r>
        <w:rPr>
          <w:rFonts w:hint="eastAsia" w:ascii="宋体" w:hAnsi="宋体"/>
          <w:color w:val="000000"/>
          <w:szCs w:val="21"/>
          <w:highlight w:val="yellow"/>
        </w:rPr>
        <w:t>不得背离招标文件约定的实质性内容。</w:t>
      </w:r>
    </w:p>
    <w:p>
      <w:pPr>
        <w:spacing w:before="240" w:beforeLines="100" w:after="120" w:afterLines="50"/>
        <w:jc w:val="center"/>
        <w:outlineLvl w:val="2"/>
        <w:rPr>
          <w:rFonts w:ascii="黑体" w:hAnsi="宋体" w:eastAsia="黑体"/>
          <w:color w:val="000000"/>
          <w:sz w:val="28"/>
          <w:szCs w:val="28"/>
        </w:rPr>
      </w:pPr>
      <w:r>
        <w:rPr>
          <w:rFonts w:ascii="宋体" w:hAnsi="宋体"/>
          <w:color w:val="000000"/>
          <w:szCs w:val="21"/>
        </w:rPr>
        <w:br w:type="page"/>
      </w:r>
      <w:bookmarkStart w:id="1374" w:name="_Toc114222883"/>
      <w:bookmarkStart w:id="1375" w:name="_Toc290990833"/>
      <w:bookmarkStart w:id="1376" w:name="_Toc295812316"/>
      <w:r>
        <w:rPr>
          <w:rFonts w:hint="eastAsia" w:ascii="黑体" w:hAnsi="宋体" w:eastAsia="黑体"/>
          <w:color w:val="000000"/>
          <w:sz w:val="28"/>
          <w:szCs w:val="28"/>
        </w:rPr>
        <w:t>六、已标价工程量清单</w:t>
      </w:r>
      <w:bookmarkEnd w:id="1374"/>
      <w:bookmarkEnd w:id="1375"/>
      <w:bookmarkEnd w:id="1376"/>
    </w:p>
    <w:p>
      <w:pPr>
        <w:spacing w:line="460" w:lineRule="exact"/>
        <w:rPr>
          <w:rFonts w:ascii="宋体" w:hAnsi="宋体"/>
          <w:color w:val="000000"/>
          <w:szCs w:val="21"/>
        </w:rPr>
      </w:pPr>
      <w:r>
        <w:rPr>
          <w:rFonts w:hint="eastAsia" w:ascii="黑体" w:hAnsi="宋体" w:eastAsia="黑体"/>
          <w:color w:val="000000"/>
          <w:szCs w:val="21"/>
        </w:rPr>
        <w:t>说明：</w:t>
      </w:r>
      <w:r>
        <w:rPr>
          <w:rFonts w:hint="eastAsia" w:ascii="宋体" w:hAnsi="宋体"/>
          <w:color w:val="000000"/>
          <w:szCs w:val="21"/>
        </w:rPr>
        <w:t>已标价工程量清单按第五章“工程量清单”中的相关清单表格式填写。构成合同文件</w:t>
      </w:r>
    </w:p>
    <w:p>
      <w:pPr>
        <w:spacing w:line="460" w:lineRule="exact"/>
        <w:rPr>
          <w:rFonts w:ascii="宋体" w:hAnsi="宋体"/>
          <w:color w:val="000000"/>
          <w:szCs w:val="21"/>
        </w:rPr>
      </w:pPr>
      <w:r>
        <w:rPr>
          <w:rFonts w:hint="eastAsia" w:ascii="宋体" w:hAnsi="宋体"/>
          <w:color w:val="000000"/>
          <w:szCs w:val="21"/>
        </w:rPr>
        <w:t>的已标价工程量清单包括第五章“工程量清单”有关工程量清单、投标报价以及其他说明的</w:t>
      </w:r>
    </w:p>
    <w:p>
      <w:pPr>
        <w:spacing w:line="460" w:lineRule="exact"/>
        <w:rPr>
          <w:rFonts w:ascii="宋体" w:hAnsi="宋体"/>
          <w:color w:val="000000"/>
          <w:szCs w:val="21"/>
        </w:rPr>
      </w:pPr>
      <w:r>
        <w:rPr>
          <w:rFonts w:hint="eastAsia" w:ascii="宋体" w:hAnsi="宋体"/>
          <w:color w:val="000000"/>
          <w:szCs w:val="21"/>
        </w:rPr>
        <w:t>内容。</w:t>
      </w:r>
    </w:p>
    <w:p>
      <w:pPr>
        <w:spacing w:before="120" w:beforeLines="50" w:after="120" w:afterLines="50" w:line="420" w:lineRule="exact"/>
        <w:jc w:val="center"/>
        <w:outlineLvl w:val="2"/>
        <w:rPr>
          <w:rFonts w:ascii="黑体" w:hAnsi="宋体" w:eastAsia="黑体"/>
          <w:color w:val="000000"/>
          <w:sz w:val="28"/>
          <w:szCs w:val="28"/>
        </w:rPr>
        <w:sectPr>
          <w:headerReference r:id="rId28" w:type="first"/>
          <w:headerReference r:id="rId26" w:type="default"/>
          <w:footerReference r:id="rId29" w:type="default"/>
          <w:headerReference r:id="rId27" w:type="even"/>
          <w:footerReference r:id="rId30" w:type="even"/>
          <w:pgSz w:w="11906" w:h="16838"/>
          <w:pgMar w:top="1588" w:right="1701" w:bottom="1418" w:left="1701" w:header="851" w:footer="851" w:gutter="0"/>
          <w:cols w:space="425" w:num="1"/>
          <w:docGrid w:linePitch="312" w:charSpace="0"/>
        </w:sectPr>
      </w:pPr>
      <w:bookmarkStart w:id="1377" w:name="_Toc295812325"/>
      <w:bookmarkStart w:id="1378" w:name="_Toc290990842"/>
    </w:p>
    <w:p>
      <w:pPr>
        <w:spacing w:before="120" w:beforeLines="50" w:after="120" w:afterLines="50" w:line="420" w:lineRule="exact"/>
        <w:jc w:val="center"/>
        <w:outlineLvl w:val="2"/>
        <w:rPr>
          <w:rFonts w:ascii="黑体" w:hAnsi="宋体" w:eastAsia="黑体"/>
          <w:color w:val="000000"/>
          <w:sz w:val="28"/>
          <w:szCs w:val="28"/>
        </w:rPr>
      </w:pPr>
      <w:bookmarkStart w:id="1379" w:name="_Toc114222884"/>
      <w:r>
        <w:rPr>
          <w:rFonts w:hint="eastAsia" w:ascii="黑体" w:hAnsi="宋体" w:eastAsia="黑体"/>
          <w:color w:val="000000"/>
          <w:sz w:val="28"/>
          <w:szCs w:val="28"/>
        </w:rPr>
        <w:t>七、项目管理机构</w:t>
      </w:r>
      <w:bookmarkEnd w:id="1377"/>
      <w:bookmarkEnd w:id="1378"/>
      <w:bookmarkEnd w:id="1379"/>
    </w:p>
    <w:p>
      <w:pPr>
        <w:rPr>
          <w:rFonts w:ascii="黑体" w:eastAsia="黑体"/>
          <w:color w:val="000000"/>
          <w:sz w:val="24"/>
        </w:rPr>
      </w:pPr>
      <w:r>
        <w:rPr>
          <w:rFonts w:hint="eastAsia" w:ascii="黑体" w:eastAsia="黑体"/>
          <w:color w:val="000000"/>
          <w:sz w:val="24"/>
        </w:rPr>
        <w:t>（一）项目管理机构主要人员配备数量表</w:t>
      </w:r>
    </w:p>
    <w:tbl>
      <w:tblPr>
        <w:tblStyle w:val="36"/>
        <w:tblW w:w="100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2"/>
        <w:gridCol w:w="1701"/>
        <w:gridCol w:w="1451"/>
        <w:gridCol w:w="512"/>
        <w:gridCol w:w="665"/>
        <w:gridCol w:w="637"/>
        <w:gridCol w:w="679"/>
        <w:gridCol w:w="720"/>
        <w:gridCol w:w="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7" w:hRule="atLeast"/>
          <w:jc w:val="center"/>
        </w:trPr>
        <w:tc>
          <w:tcPr>
            <w:tcW w:w="2972" w:type="dxa"/>
            <w:vMerge w:val="restart"/>
            <w:tcBorders>
              <w:tl2br w:val="nil"/>
            </w:tcBorders>
            <w:vAlign w:val="center"/>
          </w:tcPr>
          <w:p>
            <w:pPr>
              <w:autoSpaceDE w:val="0"/>
              <w:autoSpaceDN w:val="0"/>
              <w:jc w:val="center"/>
              <w:rPr>
                <w:rFonts w:ascii="宋体" w:hAnsi="宋体"/>
                <w:color w:val="000000"/>
                <w:sz w:val="28"/>
                <w:szCs w:val="28"/>
              </w:rPr>
            </w:pPr>
            <w:r>
              <w:rPr>
                <w:rFonts w:hint="eastAsia" w:ascii="宋体" w:hAnsi="宋体"/>
                <w:color w:val="000000"/>
                <w:sz w:val="28"/>
                <w:szCs w:val="28"/>
              </w:rPr>
              <w:t>主要管理岗位</w:t>
            </w:r>
          </w:p>
        </w:tc>
        <w:tc>
          <w:tcPr>
            <w:tcW w:w="7102" w:type="dxa"/>
            <w:gridSpan w:val="8"/>
            <w:vAlign w:val="center"/>
          </w:tcPr>
          <w:p>
            <w:pPr>
              <w:autoSpaceDE w:val="0"/>
              <w:autoSpaceDN w:val="0"/>
              <w:jc w:val="center"/>
              <w:rPr>
                <w:rFonts w:ascii="宋体" w:hAnsi="宋体"/>
                <w:color w:val="000000"/>
                <w:sz w:val="24"/>
              </w:rPr>
            </w:pPr>
            <w:r>
              <w:rPr>
                <w:rFonts w:hint="eastAsia" w:ascii="宋体" w:hAnsi="宋体"/>
                <w:color w:val="000000"/>
                <w:sz w:val="24"/>
              </w:rPr>
              <w:t>主 要 管 理 岗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3" w:hRule="atLeast"/>
          <w:jc w:val="center"/>
        </w:trPr>
        <w:tc>
          <w:tcPr>
            <w:tcW w:w="2972" w:type="dxa"/>
            <w:vMerge w:val="continue"/>
            <w:tcBorders>
              <w:tl2br w:val="nil"/>
            </w:tcBorders>
          </w:tcPr>
          <w:p>
            <w:pPr>
              <w:autoSpaceDE w:val="0"/>
              <w:autoSpaceDN w:val="0"/>
              <w:rPr>
                <w:rFonts w:ascii="宋体" w:hAnsi="宋体"/>
                <w:color w:val="000000"/>
                <w:sz w:val="20"/>
              </w:rPr>
            </w:pPr>
          </w:p>
        </w:tc>
        <w:tc>
          <w:tcPr>
            <w:tcW w:w="1701" w:type="dxa"/>
          </w:tcPr>
          <w:p>
            <w:pPr>
              <w:autoSpaceDE w:val="0"/>
              <w:autoSpaceDN w:val="0"/>
              <w:spacing w:line="300" w:lineRule="exact"/>
              <w:jc w:val="center"/>
              <w:rPr>
                <w:rFonts w:ascii="宋体" w:hAnsi="宋体"/>
                <w:sz w:val="28"/>
                <w:szCs w:val="28"/>
              </w:rPr>
            </w:pPr>
            <w:r>
              <w:rPr>
                <w:rFonts w:hint="eastAsia" w:ascii="宋体" w:hAnsi="宋体"/>
                <w:sz w:val="28"/>
                <w:szCs w:val="28"/>
              </w:rPr>
              <w:t>项</w:t>
            </w:r>
          </w:p>
          <w:p>
            <w:pPr>
              <w:autoSpaceDE w:val="0"/>
              <w:autoSpaceDN w:val="0"/>
              <w:spacing w:line="300" w:lineRule="exact"/>
              <w:jc w:val="center"/>
              <w:rPr>
                <w:rFonts w:ascii="宋体" w:hAnsi="宋体"/>
                <w:sz w:val="28"/>
                <w:szCs w:val="28"/>
              </w:rPr>
            </w:pPr>
            <w:r>
              <w:rPr>
                <w:rFonts w:hint="eastAsia" w:ascii="宋体" w:hAnsi="宋体"/>
                <w:sz w:val="28"/>
                <w:szCs w:val="28"/>
              </w:rPr>
              <w:t>目</w:t>
            </w:r>
          </w:p>
          <w:p>
            <w:pPr>
              <w:autoSpaceDE w:val="0"/>
              <w:autoSpaceDN w:val="0"/>
              <w:spacing w:line="300" w:lineRule="exact"/>
              <w:jc w:val="center"/>
              <w:rPr>
                <w:rFonts w:ascii="宋体" w:hAnsi="宋体"/>
                <w:sz w:val="28"/>
                <w:szCs w:val="28"/>
              </w:rPr>
            </w:pPr>
            <w:r>
              <w:rPr>
                <w:rFonts w:hint="eastAsia" w:ascii="宋体" w:hAnsi="宋体"/>
                <w:sz w:val="28"/>
                <w:szCs w:val="28"/>
              </w:rPr>
              <w:t>负</w:t>
            </w:r>
          </w:p>
          <w:p>
            <w:pPr>
              <w:autoSpaceDE w:val="0"/>
              <w:autoSpaceDN w:val="0"/>
              <w:spacing w:line="300" w:lineRule="exact"/>
              <w:jc w:val="center"/>
              <w:rPr>
                <w:rFonts w:ascii="宋体" w:hAnsi="宋体"/>
                <w:sz w:val="28"/>
                <w:szCs w:val="28"/>
              </w:rPr>
            </w:pPr>
            <w:r>
              <w:rPr>
                <w:rFonts w:hint="eastAsia" w:ascii="宋体" w:hAnsi="宋体"/>
                <w:sz w:val="28"/>
                <w:szCs w:val="28"/>
              </w:rPr>
              <w:t>责</w:t>
            </w:r>
          </w:p>
          <w:p>
            <w:pPr>
              <w:autoSpaceDE w:val="0"/>
              <w:autoSpaceDN w:val="0"/>
              <w:spacing w:line="240" w:lineRule="exact"/>
              <w:jc w:val="center"/>
              <w:rPr>
                <w:rFonts w:ascii="宋体" w:hAnsi="宋体"/>
                <w:color w:val="000000"/>
                <w:sz w:val="24"/>
              </w:rPr>
            </w:pPr>
            <w:r>
              <w:rPr>
                <w:rFonts w:hint="eastAsia" w:ascii="宋体" w:hAnsi="宋体"/>
                <w:sz w:val="28"/>
                <w:szCs w:val="28"/>
              </w:rPr>
              <w:t>人</w:t>
            </w:r>
          </w:p>
        </w:tc>
        <w:tc>
          <w:tcPr>
            <w:tcW w:w="1451" w:type="dxa"/>
          </w:tcPr>
          <w:p>
            <w:pPr>
              <w:autoSpaceDE w:val="0"/>
              <w:autoSpaceDN w:val="0"/>
              <w:spacing w:line="300" w:lineRule="exact"/>
              <w:jc w:val="center"/>
              <w:rPr>
                <w:rFonts w:ascii="宋体" w:hAnsi="宋体"/>
                <w:sz w:val="28"/>
                <w:szCs w:val="28"/>
              </w:rPr>
            </w:pPr>
            <w:r>
              <w:rPr>
                <w:rFonts w:hint="eastAsia" w:ascii="宋体" w:hAnsi="宋体"/>
                <w:sz w:val="28"/>
                <w:szCs w:val="28"/>
              </w:rPr>
              <w:t>技</w:t>
            </w:r>
          </w:p>
          <w:p>
            <w:pPr>
              <w:autoSpaceDE w:val="0"/>
              <w:autoSpaceDN w:val="0"/>
              <w:spacing w:line="300" w:lineRule="exact"/>
              <w:jc w:val="center"/>
              <w:rPr>
                <w:rFonts w:ascii="宋体" w:hAnsi="宋体"/>
                <w:sz w:val="28"/>
                <w:szCs w:val="28"/>
              </w:rPr>
            </w:pPr>
            <w:r>
              <w:rPr>
                <w:rFonts w:hint="eastAsia" w:ascii="宋体" w:hAnsi="宋体"/>
                <w:sz w:val="28"/>
                <w:szCs w:val="28"/>
              </w:rPr>
              <w:t>术</w:t>
            </w:r>
          </w:p>
          <w:p>
            <w:pPr>
              <w:autoSpaceDE w:val="0"/>
              <w:autoSpaceDN w:val="0"/>
              <w:spacing w:line="300" w:lineRule="exact"/>
              <w:jc w:val="center"/>
              <w:rPr>
                <w:rFonts w:ascii="宋体" w:hAnsi="宋体"/>
                <w:sz w:val="28"/>
                <w:szCs w:val="28"/>
              </w:rPr>
            </w:pPr>
            <w:r>
              <w:rPr>
                <w:rFonts w:hint="eastAsia" w:ascii="宋体" w:hAnsi="宋体"/>
                <w:sz w:val="28"/>
                <w:szCs w:val="28"/>
              </w:rPr>
              <w:t>负</w:t>
            </w:r>
          </w:p>
          <w:p>
            <w:pPr>
              <w:autoSpaceDE w:val="0"/>
              <w:autoSpaceDN w:val="0"/>
              <w:spacing w:line="300" w:lineRule="exact"/>
              <w:jc w:val="center"/>
              <w:rPr>
                <w:rFonts w:ascii="宋体" w:hAnsi="宋体"/>
                <w:sz w:val="28"/>
                <w:szCs w:val="28"/>
              </w:rPr>
            </w:pPr>
            <w:r>
              <w:rPr>
                <w:rFonts w:hint="eastAsia" w:ascii="宋体" w:hAnsi="宋体"/>
                <w:sz w:val="28"/>
                <w:szCs w:val="28"/>
              </w:rPr>
              <w:t>责</w:t>
            </w:r>
          </w:p>
          <w:p>
            <w:pPr>
              <w:autoSpaceDE w:val="0"/>
              <w:autoSpaceDN w:val="0"/>
              <w:spacing w:line="300" w:lineRule="exact"/>
              <w:jc w:val="center"/>
              <w:rPr>
                <w:rFonts w:ascii="宋体" w:hAnsi="宋体"/>
                <w:color w:val="000000"/>
                <w:sz w:val="24"/>
              </w:rPr>
            </w:pPr>
            <w:r>
              <w:rPr>
                <w:rFonts w:hint="eastAsia" w:ascii="宋体" w:hAnsi="宋体"/>
                <w:sz w:val="28"/>
                <w:szCs w:val="28"/>
              </w:rPr>
              <w:t>人</w:t>
            </w:r>
          </w:p>
        </w:tc>
        <w:tc>
          <w:tcPr>
            <w:tcW w:w="512" w:type="dxa"/>
          </w:tcPr>
          <w:p>
            <w:pPr>
              <w:autoSpaceDE w:val="0"/>
              <w:autoSpaceDN w:val="0"/>
              <w:spacing w:line="300" w:lineRule="exact"/>
              <w:jc w:val="center"/>
              <w:rPr>
                <w:rFonts w:ascii="宋体" w:hAnsi="宋体"/>
                <w:sz w:val="28"/>
                <w:szCs w:val="28"/>
              </w:rPr>
            </w:pPr>
            <w:r>
              <w:rPr>
                <w:rFonts w:hint="eastAsia" w:ascii="宋体" w:hAnsi="宋体"/>
                <w:sz w:val="28"/>
                <w:szCs w:val="28"/>
              </w:rPr>
              <w:t>施</w:t>
            </w:r>
          </w:p>
          <w:p>
            <w:pPr>
              <w:autoSpaceDE w:val="0"/>
              <w:autoSpaceDN w:val="0"/>
              <w:spacing w:line="300" w:lineRule="exact"/>
              <w:jc w:val="center"/>
              <w:rPr>
                <w:rFonts w:ascii="宋体" w:hAnsi="宋体"/>
                <w:sz w:val="28"/>
                <w:szCs w:val="28"/>
              </w:rPr>
            </w:pPr>
            <w:r>
              <w:rPr>
                <w:rFonts w:hint="eastAsia" w:ascii="宋体" w:hAnsi="宋体"/>
                <w:sz w:val="28"/>
                <w:szCs w:val="28"/>
              </w:rPr>
              <w:t>工</w:t>
            </w:r>
          </w:p>
          <w:p>
            <w:pPr>
              <w:autoSpaceDE w:val="0"/>
              <w:autoSpaceDN w:val="0"/>
              <w:spacing w:line="300" w:lineRule="exact"/>
              <w:jc w:val="center"/>
              <w:rPr>
                <w:rFonts w:ascii="宋体" w:hAnsi="宋体"/>
                <w:sz w:val="28"/>
                <w:szCs w:val="28"/>
              </w:rPr>
            </w:pPr>
            <w:r>
              <w:rPr>
                <w:rFonts w:hint="eastAsia" w:ascii="宋体" w:hAnsi="宋体"/>
                <w:sz w:val="28"/>
                <w:szCs w:val="28"/>
              </w:rPr>
              <w:t>员</w:t>
            </w:r>
          </w:p>
          <w:p>
            <w:pPr>
              <w:autoSpaceDE w:val="0"/>
              <w:autoSpaceDN w:val="0"/>
              <w:spacing w:line="300" w:lineRule="exact"/>
              <w:jc w:val="center"/>
              <w:rPr>
                <w:rFonts w:ascii="宋体" w:hAnsi="宋体"/>
                <w:color w:val="000000"/>
                <w:sz w:val="24"/>
              </w:rPr>
            </w:pPr>
          </w:p>
        </w:tc>
        <w:tc>
          <w:tcPr>
            <w:tcW w:w="665" w:type="dxa"/>
          </w:tcPr>
          <w:p>
            <w:pPr>
              <w:autoSpaceDE w:val="0"/>
              <w:autoSpaceDN w:val="0"/>
              <w:spacing w:line="300" w:lineRule="exact"/>
              <w:jc w:val="center"/>
              <w:rPr>
                <w:rFonts w:ascii="宋体" w:hAnsi="宋体"/>
                <w:sz w:val="28"/>
                <w:szCs w:val="28"/>
              </w:rPr>
            </w:pPr>
            <w:r>
              <w:rPr>
                <w:rFonts w:hint="eastAsia" w:ascii="宋体" w:hAnsi="宋体"/>
                <w:sz w:val="28"/>
                <w:szCs w:val="28"/>
              </w:rPr>
              <w:t>安</w:t>
            </w:r>
          </w:p>
          <w:p>
            <w:pPr>
              <w:autoSpaceDE w:val="0"/>
              <w:autoSpaceDN w:val="0"/>
              <w:spacing w:line="300" w:lineRule="exact"/>
              <w:jc w:val="center"/>
              <w:rPr>
                <w:rFonts w:ascii="宋体" w:hAnsi="宋体"/>
                <w:sz w:val="28"/>
                <w:szCs w:val="28"/>
              </w:rPr>
            </w:pPr>
            <w:r>
              <w:rPr>
                <w:rFonts w:hint="eastAsia" w:ascii="宋体" w:hAnsi="宋体"/>
                <w:sz w:val="28"/>
                <w:szCs w:val="28"/>
              </w:rPr>
              <w:t>全</w:t>
            </w:r>
          </w:p>
          <w:p>
            <w:pPr>
              <w:autoSpaceDE w:val="0"/>
              <w:autoSpaceDN w:val="0"/>
              <w:spacing w:line="300" w:lineRule="exact"/>
              <w:jc w:val="center"/>
              <w:rPr>
                <w:rFonts w:ascii="宋体" w:hAnsi="宋体"/>
                <w:sz w:val="28"/>
                <w:szCs w:val="28"/>
              </w:rPr>
            </w:pPr>
            <w:r>
              <w:rPr>
                <w:rFonts w:hint="eastAsia" w:ascii="宋体" w:hAnsi="宋体"/>
                <w:sz w:val="28"/>
                <w:szCs w:val="28"/>
              </w:rPr>
              <w:t>员</w:t>
            </w:r>
          </w:p>
          <w:p>
            <w:pPr>
              <w:autoSpaceDE w:val="0"/>
              <w:autoSpaceDN w:val="0"/>
              <w:spacing w:line="300" w:lineRule="exact"/>
              <w:jc w:val="center"/>
              <w:rPr>
                <w:rFonts w:ascii="宋体" w:hAnsi="宋体"/>
                <w:color w:val="000000"/>
                <w:sz w:val="24"/>
              </w:rPr>
            </w:pPr>
          </w:p>
        </w:tc>
        <w:tc>
          <w:tcPr>
            <w:tcW w:w="637" w:type="dxa"/>
          </w:tcPr>
          <w:p>
            <w:pPr>
              <w:autoSpaceDE w:val="0"/>
              <w:autoSpaceDN w:val="0"/>
              <w:spacing w:line="300" w:lineRule="exact"/>
              <w:jc w:val="center"/>
              <w:rPr>
                <w:rFonts w:ascii="宋体" w:hAnsi="宋体"/>
                <w:sz w:val="28"/>
                <w:szCs w:val="28"/>
              </w:rPr>
            </w:pPr>
            <w:r>
              <w:rPr>
                <w:rFonts w:hint="eastAsia" w:ascii="宋体" w:hAnsi="宋体"/>
                <w:sz w:val="28"/>
                <w:szCs w:val="28"/>
              </w:rPr>
              <w:t>质</w:t>
            </w:r>
          </w:p>
          <w:p>
            <w:pPr>
              <w:autoSpaceDE w:val="0"/>
              <w:autoSpaceDN w:val="0"/>
              <w:spacing w:line="300" w:lineRule="exact"/>
              <w:jc w:val="center"/>
              <w:rPr>
                <w:rFonts w:ascii="宋体" w:hAnsi="宋体"/>
                <w:sz w:val="28"/>
                <w:szCs w:val="28"/>
              </w:rPr>
            </w:pPr>
            <w:r>
              <w:rPr>
                <w:rFonts w:hint="eastAsia" w:ascii="宋体" w:hAnsi="宋体"/>
                <w:sz w:val="28"/>
                <w:szCs w:val="28"/>
              </w:rPr>
              <w:t>量</w:t>
            </w:r>
          </w:p>
          <w:p>
            <w:pPr>
              <w:autoSpaceDE w:val="0"/>
              <w:autoSpaceDN w:val="0"/>
              <w:spacing w:line="300" w:lineRule="exact"/>
              <w:jc w:val="center"/>
              <w:rPr>
                <w:rFonts w:ascii="宋体" w:hAnsi="宋体"/>
                <w:sz w:val="28"/>
                <w:szCs w:val="28"/>
              </w:rPr>
            </w:pPr>
            <w:r>
              <w:rPr>
                <w:rFonts w:hint="eastAsia" w:ascii="宋体" w:hAnsi="宋体"/>
                <w:sz w:val="28"/>
                <w:szCs w:val="28"/>
              </w:rPr>
              <w:t>员</w:t>
            </w:r>
          </w:p>
          <w:p>
            <w:pPr>
              <w:autoSpaceDE w:val="0"/>
              <w:autoSpaceDN w:val="0"/>
              <w:spacing w:line="300" w:lineRule="exact"/>
              <w:jc w:val="center"/>
              <w:rPr>
                <w:rFonts w:ascii="宋体" w:hAnsi="宋体"/>
                <w:color w:val="000000"/>
                <w:sz w:val="24"/>
              </w:rPr>
            </w:pPr>
          </w:p>
        </w:tc>
        <w:tc>
          <w:tcPr>
            <w:tcW w:w="679" w:type="dxa"/>
          </w:tcPr>
          <w:p>
            <w:pPr>
              <w:autoSpaceDE w:val="0"/>
              <w:autoSpaceDN w:val="0"/>
              <w:spacing w:line="300" w:lineRule="exact"/>
              <w:jc w:val="center"/>
              <w:rPr>
                <w:rFonts w:ascii="宋体" w:hAnsi="宋体"/>
                <w:sz w:val="28"/>
                <w:szCs w:val="28"/>
              </w:rPr>
            </w:pPr>
            <w:r>
              <w:rPr>
                <w:rFonts w:hint="eastAsia" w:ascii="宋体" w:hAnsi="宋体"/>
                <w:sz w:val="28"/>
                <w:szCs w:val="28"/>
              </w:rPr>
              <w:t>资</w:t>
            </w:r>
          </w:p>
          <w:p>
            <w:pPr>
              <w:autoSpaceDE w:val="0"/>
              <w:autoSpaceDN w:val="0"/>
              <w:spacing w:line="300" w:lineRule="exact"/>
              <w:jc w:val="center"/>
              <w:rPr>
                <w:rFonts w:ascii="宋体" w:hAnsi="宋体"/>
                <w:sz w:val="28"/>
                <w:szCs w:val="28"/>
              </w:rPr>
            </w:pPr>
            <w:r>
              <w:rPr>
                <w:rFonts w:hint="eastAsia" w:ascii="宋体" w:hAnsi="宋体"/>
                <w:sz w:val="28"/>
                <w:szCs w:val="28"/>
              </w:rPr>
              <w:t>料</w:t>
            </w:r>
          </w:p>
          <w:p>
            <w:pPr>
              <w:autoSpaceDE w:val="0"/>
              <w:autoSpaceDN w:val="0"/>
              <w:spacing w:line="300" w:lineRule="exact"/>
              <w:jc w:val="center"/>
              <w:rPr>
                <w:rFonts w:ascii="宋体" w:hAnsi="宋体"/>
                <w:color w:val="000000"/>
                <w:sz w:val="24"/>
              </w:rPr>
            </w:pPr>
            <w:r>
              <w:rPr>
                <w:rFonts w:hint="eastAsia" w:ascii="宋体" w:hAnsi="宋体"/>
                <w:sz w:val="28"/>
                <w:szCs w:val="28"/>
              </w:rPr>
              <w:t>员</w:t>
            </w:r>
          </w:p>
        </w:tc>
        <w:tc>
          <w:tcPr>
            <w:tcW w:w="720" w:type="dxa"/>
          </w:tcPr>
          <w:p>
            <w:pPr>
              <w:autoSpaceDE w:val="0"/>
              <w:autoSpaceDN w:val="0"/>
              <w:spacing w:line="300" w:lineRule="exact"/>
              <w:jc w:val="center"/>
              <w:rPr>
                <w:rFonts w:ascii="宋体" w:hAnsi="宋体"/>
                <w:sz w:val="28"/>
                <w:szCs w:val="28"/>
              </w:rPr>
            </w:pPr>
            <w:r>
              <w:rPr>
                <w:rFonts w:hint="eastAsia" w:ascii="宋体" w:hAnsi="宋体"/>
                <w:sz w:val="28"/>
                <w:szCs w:val="28"/>
              </w:rPr>
              <w:t>机</w:t>
            </w:r>
          </w:p>
          <w:p>
            <w:pPr>
              <w:autoSpaceDE w:val="0"/>
              <w:autoSpaceDN w:val="0"/>
              <w:spacing w:line="300" w:lineRule="exact"/>
              <w:jc w:val="center"/>
              <w:rPr>
                <w:rFonts w:ascii="宋体" w:hAnsi="宋体"/>
                <w:sz w:val="28"/>
                <w:szCs w:val="28"/>
              </w:rPr>
            </w:pPr>
            <w:r>
              <w:rPr>
                <w:rFonts w:hint="eastAsia" w:ascii="宋体" w:hAnsi="宋体"/>
                <w:sz w:val="28"/>
                <w:szCs w:val="28"/>
              </w:rPr>
              <w:t>械</w:t>
            </w:r>
          </w:p>
          <w:p>
            <w:pPr>
              <w:autoSpaceDE w:val="0"/>
              <w:autoSpaceDN w:val="0"/>
              <w:spacing w:line="300" w:lineRule="exact"/>
              <w:jc w:val="center"/>
              <w:rPr>
                <w:rFonts w:ascii="宋体" w:hAnsi="宋体"/>
                <w:sz w:val="28"/>
                <w:szCs w:val="28"/>
              </w:rPr>
            </w:pPr>
            <w:r>
              <w:rPr>
                <w:rFonts w:hint="eastAsia" w:ascii="宋体" w:hAnsi="宋体"/>
                <w:sz w:val="28"/>
                <w:szCs w:val="28"/>
              </w:rPr>
              <w:t>管</w:t>
            </w:r>
          </w:p>
          <w:p>
            <w:pPr>
              <w:autoSpaceDE w:val="0"/>
              <w:autoSpaceDN w:val="0"/>
              <w:spacing w:line="300" w:lineRule="exact"/>
              <w:jc w:val="center"/>
              <w:rPr>
                <w:rFonts w:ascii="宋体" w:hAnsi="宋体"/>
                <w:sz w:val="28"/>
                <w:szCs w:val="28"/>
              </w:rPr>
            </w:pPr>
            <w:r>
              <w:rPr>
                <w:rFonts w:hint="eastAsia" w:ascii="宋体" w:hAnsi="宋体"/>
                <w:sz w:val="28"/>
                <w:szCs w:val="28"/>
              </w:rPr>
              <w:t>理</w:t>
            </w:r>
          </w:p>
          <w:p>
            <w:pPr>
              <w:autoSpaceDE w:val="0"/>
              <w:autoSpaceDN w:val="0"/>
              <w:spacing w:line="300" w:lineRule="exact"/>
              <w:jc w:val="center"/>
              <w:rPr>
                <w:rFonts w:ascii="宋体" w:hAnsi="宋体"/>
                <w:sz w:val="28"/>
                <w:szCs w:val="28"/>
              </w:rPr>
            </w:pPr>
            <w:r>
              <w:rPr>
                <w:rFonts w:hint="eastAsia" w:ascii="宋体" w:hAnsi="宋体"/>
                <w:sz w:val="28"/>
                <w:szCs w:val="28"/>
              </w:rPr>
              <w:t>人</w:t>
            </w:r>
          </w:p>
          <w:p>
            <w:pPr>
              <w:autoSpaceDE w:val="0"/>
              <w:autoSpaceDN w:val="0"/>
              <w:spacing w:line="300" w:lineRule="exact"/>
              <w:jc w:val="center"/>
              <w:rPr>
                <w:rFonts w:ascii="宋体" w:hAnsi="宋体"/>
                <w:color w:val="000000"/>
                <w:sz w:val="24"/>
              </w:rPr>
            </w:pPr>
            <w:r>
              <w:rPr>
                <w:rFonts w:hint="eastAsia" w:ascii="宋体" w:hAnsi="宋体"/>
                <w:sz w:val="28"/>
                <w:szCs w:val="28"/>
              </w:rPr>
              <w:t>员</w:t>
            </w:r>
          </w:p>
        </w:tc>
        <w:tc>
          <w:tcPr>
            <w:tcW w:w="737" w:type="dxa"/>
          </w:tcPr>
          <w:p>
            <w:pPr>
              <w:autoSpaceDE w:val="0"/>
              <w:autoSpaceDN w:val="0"/>
              <w:spacing w:line="300" w:lineRule="exact"/>
              <w:jc w:val="center"/>
              <w:rPr>
                <w:rFonts w:ascii="宋体" w:hAnsi="宋体"/>
                <w:sz w:val="28"/>
                <w:szCs w:val="28"/>
              </w:rPr>
            </w:pPr>
            <w:r>
              <w:rPr>
                <w:rFonts w:hint="eastAsia" w:ascii="宋体" w:hAnsi="宋体"/>
                <w:sz w:val="28"/>
                <w:szCs w:val="28"/>
              </w:rPr>
              <w:t>小</w:t>
            </w:r>
          </w:p>
          <w:p>
            <w:pPr>
              <w:autoSpaceDE w:val="0"/>
              <w:autoSpaceDN w:val="0"/>
              <w:spacing w:line="300" w:lineRule="exact"/>
              <w:jc w:val="center"/>
              <w:rPr>
                <w:rFonts w:ascii="宋体" w:hAnsi="宋体"/>
                <w:sz w:val="28"/>
                <w:szCs w:val="28"/>
              </w:rPr>
            </w:pPr>
            <w:r>
              <w:rPr>
                <w:rFonts w:hint="eastAsia" w:ascii="宋体" w:hAnsi="宋体"/>
                <w:sz w:val="28"/>
                <w:szCs w:val="28"/>
              </w:rPr>
              <w:t>计</w:t>
            </w:r>
          </w:p>
          <w:p>
            <w:pPr>
              <w:autoSpaceDE w:val="0"/>
              <w:autoSpaceDN w:val="0"/>
              <w:spacing w:line="300" w:lineRule="exact"/>
              <w:jc w:val="center"/>
              <w:rPr>
                <w:rFonts w:ascii="宋体"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4" w:hRule="atLeast"/>
          <w:jc w:val="center"/>
        </w:trPr>
        <w:tc>
          <w:tcPr>
            <w:tcW w:w="2972" w:type="dxa"/>
            <w:vAlign w:val="center"/>
          </w:tcPr>
          <w:p>
            <w:pPr>
              <w:autoSpaceDE w:val="0"/>
              <w:autoSpaceDN w:val="0"/>
              <w:spacing w:line="260" w:lineRule="exact"/>
              <w:jc w:val="center"/>
              <w:rPr>
                <w:rFonts w:ascii="宋体" w:hAnsi="宋体"/>
                <w:color w:val="000000"/>
                <w:sz w:val="24"/>
              </w:rPr>
            </w:pPr>
            <w:r>
              <w:rPr>
                <w:rFonts w:hint="eastAsia" w:ascii="宋体" w:hAnsi="宋体"/>
                <w:color w:val="000000"/>
                <w:sz w:val="24"/>
              </w:rPr>
              <w:t>配备数量</w:t>
            </w:r>
          </w:p>
        </w:tc>
        <w:tc>
          <w:tcPr>
            <w:tcW w:w="1701" w:type="dxa"/>
            <w:vAlign w:val="center"/>
          </w:tcPr>
          <w:p>
            <w:pPr>
              <w:autoSpaceDE w:val="0"/>
              <w:autoSpaceDN w:val="0"/>
              <w:jc w:val="center"/>
              <w:rPr>
                <w:rFonts w:ascii="宋体" w:hAnsi="宋体"/>
                <w:color w:val="000000"/>
                <w:sz w:val="20"/>
              </w:rPr>
            </w:pPr>
          </w:p>
        </w:tc>
        <w:tc>
          <w:tcPr>
            <w:tcW w:w="1451" w:type="dxa"/>
            <w:vAlign w:val="center"/>
          </w:tcPr>
          <w:p>
            <w:pPr>
              <w:autoSpaceDE w:val="0"/>
              <w:autoSpaceDN w:val="0"/>
              <w:jc w:val="center"/>
              <w:rPr>
                <w:rFonts w:ascii="宋体" w:hAnsi="宋体"/>
                <w:color w:val="000000"/>
                <w:sz w:val="20"/>
              </w:rPr>
            </w:pPr>
          </w:p>
        </w:tc>
        <w:tc>
          <w:tcPr>
            <w:tcW w:w="512" w:type="dxa"/>
            <w:vAlign w:val="center"/>
          </w:tcPr>
          <w:p>
            <w:pPr>
              <w:autoSpaceDE w:val="0"/>
              <w:autoSpaceDN w:val="0"/>
              <w:jc w:val="center"/>
              <w:rPr>
                <w:rFonts w:ascii="宋体" w:hAnsi="宋体"/>
                <w:color w:val="000000"/>
                <w:sz w:val="20"/>
              </w:rPr>
            </w:pPr>
          </w:p>
        </w:tc>
        <w:tc>
          <w:tcPr>
            <w:tcW w:w="665" w:type="dxa"/>
            <w:vAlign w:val="center"/>
          </w:tcPr>
          <w:p>
            <w:pPr>
              <w:autoSpaceDE w:val="0"/>
              <w:autoSpaceDN w:val="0"/>
              <w:jc w:val="center"/>
              <w:rPr>
                <w:rFonts w:ascii="宋体" w:hAnsi="宋体"/>
                <w:color w:val="000000"/>
                <w:sz w:val="20"/>
              </w:rPr>
            </w:pPr>
          </w:p>
        </w:tc>
        <w:tc>
          <w:tcPr>
            <w:tcW w:w="637" w:type="dxa"/>
            <w:vAlign w:val="center"/>
          </w:tcPr>
          <w:p>
            <w:pPr>
              <w:autoSpaceDE w:val="0"/>
              <w:autoSpaceDN w:val="0"/>
              <w:jc w:val="center"/>
              <w:rPr>
                <w:rFonts w:ascii="宋体" w:hAnsi="宋体"/>
                <w:color w:val="000000"/>
                <w:sz w:val="20"/>
              </w:rPr>
            </w:pPr>
          </w:p>
        </w:tc>
        <w:tc>
          <w:tcPr>
            <w:tcW w:w="679" w:type="dxa"/>
            <w:vAlign w:val="center"/>
          </w:tcPr>
          <w:p>
            <w:pPr>
              <w:autoSpaceDE w:val="0"/>
              <w:autoSpaceDN w:val="0"/>
              <w:jc w:val="center"/>
              <w:rPr>
                <w:rFonts w:ascii="宋体" w:hAnsi="宋体"/>
                <w:color w:val="000000"/>
                <w:sz w:val="20"/>
              </w:rPr>
            </w:pPr>
          </w:p>
        </w:tc>
        <w:tc>
          <w:tcPr>
            <w:tcW w:w="720" w:type="dxa"/>
            <w:vAlign w:val="center"/>
          </w:tcPr>
          <w:p>
            <w:pPr>
              <w:autoSpaceDE w:val="0"/>
              <w:autoSpaceDN w:val="0"/>
              <w:jc w:val="center"/>
              <w:rPr>
                <w:rFonts w:ascii="宋体" w:hAnsi="宋体"/>
                <w:color w:val="000000"/>
                <w:sz w:val="20"/>
              </w:rPr>
            </w:pPr>
          </w:p>
        </w:tc>
        <w:tc>
          <w:tcPr>
            <w:tcW w:w="737" w:type="dxa"/>
            <w:vAlign w:val="center"/>
          </w:tcPr>
          <w:p>
            <w:pPr>
              <w:autoSpaceDE w:val="0"/>
              <w:autoSpaceDN w:val="0"/>
              <w:jc w:val="center"/>
              <w:rPr>
                <w:rFonts w:ascii="宋体" w:hAnsi="宋体"/>
                <w:color w:val="000000"/>
                <w:sz w:val="20"/>
              </w:rPr>
            </w:pPr>
          </w:p>
        </w:tc>
      </w:tr>
    </w:tbl>
    <w:p>
      <w:pPr>
        <w:rPr>
          <w:rFonts w:ascii="黑体" w:eastAsia="黑体"/>
          <w:color w:val="000000"/>
          <w:sz w:val="24"/>
        </w:rPr>
        <w:sectPr>
          <w:headerReference r:id="rId33" w:type="first"/>
          <w:headerReference r:id="rId31" w:type="default"/>
          <w:footerReference r:id="rId34" w:type="default"/>
          <w:headerReference r:id="rId32" w:type="even"/>
          <w:footerReference r:id="rId35" w:type="even"/>
          <w:pgSz w:w="16838" w:h="11906" w:orient="landscape"/>
          <w:pgMar w:top="1701" w:right="1418" w:bottom="1701" w:left="1588" w:header="851" w:footer="851" w:gutter="0"/>
          <w:cols w:space="425" w:num="1"/>
          <w:docGrid w:linePitch="312" w:charSpace="0"/>
        </w:sectPr>
      </w:pPr>
    </w:p>
    <w:p>
      <w:pPr>
        <w:widowControl/>
        <w:jc w:val="left"/>
        <w:rPr>
          <w:rFonts w:ascii="黑体" w:eastAsia="黑体"/>
          <w:color w:val="000000"/>
          <w:sz w:val="24"/>
        </w:rPr>
      </w:pPr>
      <w:r>
        <w:rPr>
          <w:rFonts w:hint="eastAsia" w:ascii="黑体" w:eastAsia="黑体"/>
          <w:color w:val="000000"/>
          <w:sz w:val="24"/>
        </w:rPr>
        <w:t>（二）建筑工程承包单位现场关键岗位人员配备</w:t>
      </w:r>
      <w:r>
        <w:rPr>
          <w:rFonts w:ascii="黑体" w:hAnsi="黑体" w:eastAsia="黑体" w:cs="黑体"/>
          <w:spacing w:val="-6"/>
          <w:sz w:val="24"/>
          <w:szCs w:val="24"/>
        </w:rPr>
        <w:t>（注：仅需填写项目经理相</w:t>
      </w:r>
      <w:r>
        <w:rPr>
          <w:rFonts w:ascii="黑体" w:hAnsi="黑体" w:eastAsia="黑体" w:cs="黑体"/>
          <w:spacing w:val="-7"/>
          <w:sz w:val="24"/>
          <w:szCs w:val="24"/>
        </w:rPr>
        <w:t>关信息，</w:t>
      </w:r>
      <w:r>
        <w:rPr>
          <w:rFonts w:ascii="黑体" w:hAnsi="黑体" w:eastAsia="黑体" w:cs="黑体"/>
          <w:spacing w:val="67"/>
          <w:sz w:val="24"/>
          <w:szCs w:val="24"/>
        </w:rPr>
        <w:t xml:space="preserve"> </w:t>
      </w:r>
      <w:r>
        <w:rPr>
          <w:rFonts w:ascii="黑体" w:hAnsi="黑体" w:eastAsia="黑体" w:cs="黑体"/>
          <w:spacing w:val="-7"/>
          <w:sz w:val="24"/>
          <w:szCs w:val="24"/>
        </w:rPr>
        <w:t>其他项目</w:t>
      </w:r>
      <w:r>
        <w:rPr>
          <w:rFonts w:ascii="黑体" w:hAnsi="黑体" w:eastAsia="黑体" w:cs="黑体"/>
          <w:sz w:val="24"/>
          <w:szCs w:val="24"/>
        </w:rPr>
        <w:t xml:space="preserve"> </w:t>
      </w:r>
      <w:r>
        <w:rPr>
          <w:rFonts w:ascii="黑体" w:hAnsi="黑体" w:eastAsia="黑体" w:cs="黑体"/>
          <w:spacing w:val="-1"/>
          <w:sz w:val="24"/>
          <w:szCs w:val="24"/>
        </w:rPr>
        <w:t>部关键岗位人员相关信息中标后提供给招标人进行审查）</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417"/>
        <w:gridCol w:w="2835"/>
        <w:gridCol w:w="3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96" w:type="dxa"/>
            <w:gridSpan w:val="4"/>
          </w:tcPr>
          <w:p>
            <w:pPr>
              <w:jc w:val="center"/>
              <w:rPr>
                <w:rFonts w:ascii="仿宋" w:hAnsi="仿宋" w:eastAsia="仿宋"/>
                <w:b/>
                <w:sz w:val="24"/>
              </w:rPr>
            </w:pPr>
            <w:r>
              <w:rPr>
                <w:rFonts w:hint="eastAsia" w:ascii="仿宋" w:hAnsi="仿宋" w:eastAsia="仿宋"/>
                <w:b/>
                <w:sz w:val="24"/>
              </w:rPr>
              <w:t>建筑工程承包单位现场关键岗位人员配备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8" w:type="dxa"/>
          </w:tcPr>
          <w:p>
            <w:pPr>
              <w:rPr>
                <w:rFonts w:ascii="仿宋" w:hAnsi="仿宋" w:eastAsia="仿宋"/>
                <w:sz w:val="24"/>
              </w:rPr>
            </w:pPr>
            <w:r>
              <w:rPr>
                <w:rFonts w:hint="eastAsia" w:ascii="仿宋" w:hAnsi="仿宋" w:eastAsia="仿宋"/>
                <w:sz w:val="24"/>
              </w:rPr>
              <w:t>姓名</w:t>
            </w:r>
          </w:p>
        </w:tc>
        <w:tc>
          <w:tcPr>
            <w:tcW w:w="1417" w:type="dxa"/>
          </w:tcPr>
          <w:p>
            <w:pPr>
              <w:rPr>
                <w:rFonts w:ascii="仿宋" w:hAnsi="仿宋" w:eastAsia="仿宋"/>
                <w:sz w:val="24"/>
              </w:rPr>
            </w:pPr>
            <w:r>
              <w:rPr>
                <w:rFonts w:hint="eastAsia" w:ascii="仿宋" w:hAnsi="仿宋" w:eastAsia="仿宋"/>
                <w:sz w:val="24"/>
              </w:rPr>
              <w:t>项目部职务</w:t>
            </w:r>
          </w:p>
        </w:tc>
        <w:tc>
          <w:tcPr>
            <w:tcW w:w="2835" w:type="dxa"/>
          </w:tcPr>
          <w:p>
            <w:pPr>
              <w:jc w:val="center"/>
              <w:rPr>
                <w:rFonts w:ascii="仿宋" w:hAnsi="仿宋" w:eastAsia="仿宋"/>
                <w:sz w:val="24"/>
              </w:rPr>
            </w:pPr>
            <w:r>
              <w:rPr>
                <w:rFonts w:hint="eastAsia" w:ascii="仿宋" w:hAnsi="仿宋" w:eastAsia="仿宋"/>
                <w:sz w:val="24"/>
              </w:rPr>
              <w:t>资格/岗位证书证号</w:t>
            </w:r>
          </w:p>
        </w:tc>
        <w:tc>
          <w:tcPr>
            <w:tcW w:w="3056" w:type="dxa"/>
          </w:tcPr>
          <w:p>
            <w:pPr>
              <w:jc w:val="center"/>
              <w:rPr>
                <w:rFonts w:ascii="仿宋" w:hAnsi="仿宋" w:eastAsia="仿宋"/>
                <w:sz w:val="24"/>
              </w:rPr>
            </w:pPr>
            <w:r>
              <w:rPr>
                <w:rFonts w:hint="eastAsia" w:ascii="仿宋" w:hAnsi="仿宋" w:eastAsia="仿宋"/>
                <w:sz w:val="24"/>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8" w:type="dxa"/>
          </w:tcPr>
          <w:p>
            <w:pPr>
              <w:rPr>
                <w:rFonts w:ascii="仿宋" w:hAnsi="仿宋" w:eastAsia="仿宋"/>
                <w:sz w:val="24"/>
                <w:u w:val="single"/>
              </w:rPr>
            </w:pPr>
          </w:p>
        </w:tc>
        <w:tc>
          <w:tcPr>
            <w:tcW w:w="1417" w:type="dxa"/>
          </w:tcPr>
          <w:p>
            <w:pPr>
              <w:rPr>
                <w:rFonts w:ascii="仿宋" w:hAnsi="仿宋" w:eastAsia="仿宋"/>
                <w:sz w:val="24"/>
                <w:u w:val="single"/>
              </w:rPr>
            </w:pPr>
          </w:p>
        </w:tc>
        <w:tc>
          <w:tcPr>
            <w:tcW w:w="2835" w:type="dxa"/>
          </w:tcPr>
          <w:p>
            <w:pPr>
              <w:rPr>
                <w:rFonts w:ascii="仿宋" w:hAnsi="仿宋" w:eastAsia="仿宋"/>
                <w:sz w:val="24"/>
                <w:u w:val="single"/>
              </w:rPr>
            </w:pPr>
          </w:p>
        </w:tc>
        <w:tc>
          <w:tcPr>
            <w:tcW w:w="3056" w:type="dxa"/>
          </w:tcPr>
          <w:p>
            <w:pPr>
              <w:rPr>
                <w:rFonts w:ascii="仿宋" w:hAnsi="仿宋" w:eastAsia="仿宋"/>
                <w:sz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8" w:type="dxa"/>
          </w:tcPr>
          <w:p>
            <w:pPr>
              <w:rPr>
                <w:rFonts w:ascii="仿宋" w:hAnsi="仿宋" w:eastAsia="仿宋"/>
                <w:sz w:val="24"/>
                <w:u w:val="single"/>
              </w:rPr>
            </w:pPr>
          </w:p>
        </w:tc>
        <w:tc>
          <w:tcPr>
            <w:tcW w:w="1417" w:type="dxa"/>
          </w:tcPr>
          <w:p>
            <w:pPr>
              <w:rPr>
                <w:rFonts w:ascii="仿宋" w:hAnsi="仿宋" w:eastAsia="仿宋"/>
                <w:sz w:val="24"/>
                <w:u w:val="single"/>
              </w:rPr>
            </w:pPr>
          </w:p>
        </w:tc>
        <w:tc>
          <w:tcPr>
            <w:tcW w:w="2835" w:type="dxa"/>
          </w:tcPr>
          <w:p>
            <w:pPr>
              <w:rPr>
                <w:rFonts w:ascii="仿宋" w:hAnsi="仿宋" w:eastAsia="仿宋"/>
                <w:sz w:val="24"/>
                <w:u w:val="single"/>
              </w:rPr>
            </w:pPr>
          </w:p>
        </w:tc>
        <w:tc>
          <w:tcPr>
            <w:tcW w:w="3056" w:type="dxa"/>
          </w:tcPr>
          <w:p>
            <w:pPr>
              <w:rPr>
                <w:rFonts w:ascii="仿宋" w:hAnsi="仿宋" w:eastAsia="仿宋"/>
                <w:sz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8" w:type="dxa"/>
          </w:tcPr>
          <w:p>
            <w:pPr>
              <w:rPr>
                <w:rFonts w:ascii="仿宋" w:hAnsi="仿宋" w:eastAsia="仿宋"/>
                <w:sz w:val="24"/>
                <w:u w:val="single"/>
              </w:rPr>
            </w:pPr>
          </w:p>
        </w:tc>
        <w:tc>
          <w:tcPr>
            <w:tcW w:w="1417" w:type="dxa"/>
          </w:tcPr>
          <w:p>
            <w:pPr>
              <w:rPr>
                <w:rFonts w:ascii="仿宋" w:hAnsi="仿宋" w:eastAsia="仿宋"/>
                <w:sz w:val="24"/>
                <w:u w:val="single"/>
              </w:rPr>
            </w:pPr>
          </w:p>
        </w:tc>
        <w:tc>
          <w:tcPr>
            <w:tcW w:w="2835" w:type="dxa"/>
          </w:tcPr>
          <w:p>
            <w:pPr>
              <w:rPr>
                <w:rFonts w:ascii="仿宋" w:hAnsi="仿宋" w:eastAsia="仿宋"/>
                <w:sz w:val="24"/>
                <w:u w:val="single"/>
              </w:rPr>
            </w:pPr>
          </w:p>
        </w:tc>
        <w:tc>
          <w:tcPr>
            <w:tcW w:w="3056" w:type="dxa"/>
          </w:tcPr>
          <w:p>
            <w:pPr>
              <w:rPr>
                <w:rFonts w:ascii="仿宋" w:hAnsi="仿宋" w:eastAsia="仿宋"/>
                <w:sz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8" w:type="dxa"/>
          </w:tcPr>
          <w:p>
            <w:pPr>
              <w:rPr>
                <w:rFonts w:ascii="仿宋" w:hAnsi="仿宋" w:eastAsia="仿宋"/>
                <w:sz w:val="24"/>
                <w:u w:val="single"/>
              </w:rPr>
            </w:pPr>
          </w:p>
        </w:tc>
        <w:tc>
          <w:tcPr>
            <w:tcW w:w="1417" w:type="dxa"/>
          </w:tcPr>
          <w:p>
            <w:pPr>
              <w:rPr>
                <w:rFonts w:ascii="仿宋" w:hAnsi="仿宋" w:eastAsia="仿宋"/>
                <w:sz w:val="24"/>
                <w:u w:val="single"/>
              </w:rPr>
            </w:pPr>
          </w:p>
        </w:tc>
        <w:tc>
          <w:tcPr>
            <w:tcW w:w="2835" w:type="dxa"/>
          </w:tcPr>
          <w:p>
            <w:pPr>
              <w:rPr>
                <w:rFonts w:ascii="仿宋" w:hAnsi="仿宋" w:eastAsia="仿宋"/>
                <w:sz w:val="24"/>
                <w:u w:val="single"/>
              </w:rPr>
            </w:pPr>
          </w:p>
        </w:tc>
        <w:tc>
          <w:tcPr>
            <w:tcW w:w="3056" w:type="dxa"/>
          </w:tcPr>
          <w:p>
            <w:pPr>
              <w:rPr>
                <w:rFonts w:ascii="仿宋" w:hAnsi="仿宋" w:eastAsia="仿宋"/>
                <w:sz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8" w:type="dxa"/>
          </w:tcPr>
          <w:p>
            <w:pPr>
              <w:rPr>
                <w:rFonts w:ascii="仿宋" w:hAnsi="仿宋" w:eastAsia="仿宋"/>
                <w:sz w:val="24"/>
                <w:u w:val="single"/>
              </w:rPr>
            </w:pPr>
          </w:p>
        </w:tc>
        <w:tc>
          <w:tcPr>
            <w:tcW w:w="1417" w:type="dxa"/>
          </w:tcPr>
          <w:p>
            <w:pPr>
              <w:rPr>
                <w:rFonts w:ascii="仿宋" w:hAnsi="仿宋" w:eastAsia="仿宋"/>
                <w:sz w:val="24"/>
                <w:u w:val="single"/>
              </w:rPr>
            </w:pPr>
          </w:p>
        </w:tc>
        <w:tc>
          <w:tcPr>
            <w:tcW w:w="2835" w:type="dxa"/>
          </w:tcPr>
          <w:p>
            <w:pPr>
              <w:rPr>
                <w:rFonts w:ascii="仿宋" w:hAnsi="仿宋" w:eastAsia="仿宋"/>
                <w:sz w:val="24"/>
                <w:u w:val="single"/>
              </w:rPr>
            </w:pPr>
          </w:p>
        </w:tc>
        <w:tc>
          <w:tcPr>
            <w:tcW w:w="3056" w:type="dxa"/>
          </w:tcPr>
          <w:p>
            <w:pPr>
              <w:rPr>
                <w:rFonts w:ascii="仿宋" w:hAnsi="仿宋" w:eastAsia="仿宋"/>
                <w:sz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8" w:type="dxa"/>
          </w:tcPr>
          <w:p>
            <w:pPr>
              <w:rPr>
                <w:rFonts w:ascii="仿宋" w:hAnsi="仿宋" w:eastAsia="仿宋"/>
                <w:sz w:val="24"/>
                <w:u w:val="single"/>
              </w:rPr>
            </w:pPr>
          </w:p>
        </w:tc>
        <w:tc>
          <w:tcPr>
            <w:tcW w:w="1417" w:type="dxa"/>
          </w:tcPr>
          <w:p>
            <w:pPr>
              <w:rPr>
                <w:rFonts w:ascii="仿宋" w:hAnsi="仿宋" w:eastAsia="仿宋"/>
                <w:sz w:val="24"/>
                <w:u w:val="single"/>
              </w:rPr>
            </w:pPr>
          </w:p>
        </w:tc>
        <w:tc>
          <w:tcPr>
            <w:tcW w:w="2835" w:type="dxa"/>
          </w:tcPr>
          <w:p>
            <w:pPr>
              <w:rPr>
                <w:rFonts w:ascii="仿宋" w:hAnsi="仿宋" w:eastAsia="仿宋"/>
                <w:sz w:val="24"/>
                <w:u w:val="single"/>
              </w:rPr>
            </w:pPr>
          </w:p>
        </w:tc>
        <w:tc>
          <w:tcPr>
            <w:tcW w:w="3056" w:type="dxa"/>
          </w:tcPr>
          <w:p>
            <w:pPr>
              <w:rPr>
                <w:rFonts w:ascii="仿宋" w:hAnsi="仿宋" w:eastAsia="仿宋"/>
                <w:sz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8" w:type="dxa"/>
          </w:tcPr>
          <w:p>
            <w:pPr>
              <w:rPr>
                <w:rFonts w:ascii="仿宋" w:hAnsi="仿宋" w:eastAsia="仿宋"/>
                <w:sz w:val="24"/>
                <w:u w:val="single"/>
              </w:rPr>
            </w:pPr>
          </w:p>
        </w:tc>
        <w:tc>
          <w:tcPr>
            <w:tcW w:w="1417" w:type="dxa"/>
          </w:tcPr>
          <w:p>
            <w:pPr>
              <w:rPr>
                <w:rFonts w:ascii="仿宋" w:hAnsi="仿宋" w:eastAsia="仿宋"/>
                <w:sz w:val="24"/>
                <w:u w:val="single"/>
              </w:rPr>
            </w:pPr>
          </w:p>
        </w:tc>
        <w:tc>
          <w:tcPr>
            <w:tcW w:w="2835" w:type="dxa"/>
          </w:tcPr>
          <w:p>
            <w:pPr>
              <w:rPr>
                <w:rFonts w:ascii="仿宋" w:hAnsi="仿宋" w:eastAsia="仿宋"/>
                <w:sz w:val="24"/>
                <w:u w:val="single"/>
              </w:rPr>
            </w:pPr>
          </w:p>
        </w:tc>
        <w:tc>
          <w:tcPr>
            <w:tcW w:w="3056" w:type="dxa"/>
          </w:tcPr>
          <w:p>
            <w:pPr>
              <w:rPr>
                <w:rFonts w:ascii="仿宋" w:hAnsi="仿宋" w:eastAsia="仿宋"/>
                <w:sz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8" w:type="dxa"/>
          </w:tcPr>
          <w:p>
            <w:pPr>
              <w:rPr>
                <w:rFonts w:ascii="仿宋" w:hAnsi="仿宋" w:eastAsia="仿宋"/>
                <w:sz w:val="24"/>
                <w:u w:val="single"/>
              </w:rPr>
            </w:pPr>
          </w:p>
        </w:tc>
        <w:tc>
          <w:tcPr>
            <w:tcW w:w="1417" w:type="dxa"/>
          </w:tcPr>
          <w:p>
            <w:pPr>
              <w:rPr>
                <w:rFonts w:ascii="仿宋" w:hAnsi="仿宋" w:eastAsia="仿宋"/>
                <w:sz w:val="24"/>
                <w:u w:val="single"/>
              </w:rPr>
            </w:pPr>
          </w:p>
        </w:tc>
        <w:tc>
          <w:tcPr>
            <w:tcW w:w="2835" w:type="dxa"/>
          </w:tcPr>
          <w:p>
            <w:pPr>
              <w:rPr>
                <w:rFonts w:ascii="仿宋" w:hAnsi="仿宋" w:eastAsia="仿宋"/>
                <w:sz w:val="24"/>
                <w:u w:val="single"/>
              </w:rPr>
            </w:pPr>
          </w:p>
        </w:tc>
        <w:tc>
          <w:tcPr>
            <w:tcW w:w="3056" w:type="dxa"/>
          </w:tcPr>
          <w:p>
            <w:pPr>
              <w:rPr>
                <w:rFonts w:ascii="仿宋" w:hAnsi="仿宋" w:eastAsia="仿宋"/>
                <w:sz w:val="24"/>
                <w:u w:val="single"/>
              </w:rPr>
            </w:pPr>
          </w:p>
        </w:tc>
      </w:tr>
    </w:tbl>
    <w:p>
      <w:pPr>
        <w:widowControl/>
        <w:jc w:val="left"/>
        <w:rPr>
          <w:rFonts w:ascii="黑体" w:eastAsia="黑体"/>
          <w:color w:val="000000"/>
          <w:sz w:val="24"/>
        </w:rPr>
      </w:pPr>
    </w:p>
    <w:p>
      <w:pPr>
        <w:widowControl/>
        <w:jc w:val="left"/>
        <w:rPr>
          <w:rFonts w:ascii="黑体" w:eastAsia="黑体"/>
          <w:color w:val="000000"/>
          <w:sz w:val="24"/>
        </w:rPr>
      </w:pPr>
      <w:r>
        <w:rPr>
          <w:rFonts w:ascii="黑体" w:eastAsia="黑体"/>
          <w:color w:val="000000"/>
          <w:sz w:val="24"/>
        </w:rPr>
        <w:br w:type="page"/>
      </w:r>
    </w:p>
    <w:p>
      <w:pPr>
        <w:spacing w:before="78" w:line="210" w:lineRule="auto"/>
        <w:ind w:left="830"/>
        <w:outlineLvl w:val="3"/>
        <w:rPr>
          <w:rFonts w:ascii="黑体" w:eastAsia="黑体"/>
          <w:color w:val="000000"/>
          <w:sz w:val="24"/>
        </w:rPr>
      </w:pPr>
      <w:r>
        <w:rPr>
          <w:rFonts w:hint="eastAsia" w:ascii="黑体" w:eastAsia="黑体"/>
          <w:color w:val="000000"/>
          <w:sz w:val="24"/>
        </w:rPr>
        <w:t>（三）项目管理机构组成表</w:t>
      </w:r>
      <w:r>
        <w:rPr>
          <w:rFonts w:ascii="黑体" w:hAnsi="黑体" w:eastAsia="黑体" w:cs="黑体"/>
          <w:spacing w:val="-6"/>
          <w:sz w:val="24"/>
          <w:szCs w:val="24"/>
        </w:rPr>
        <w:t>（注：仅需填写项目经理相关信息，</w:t>
      </w:r>
      <w:r>
        <w:rPr>
          <w:rFonts w:ascii="黑体" w:hAnsi="黑体" w:eastAsia="黑体" w:cs="黑体"/>
          <w:spacing w:val="-7"/>
          <w:sz w:val="24"/>
          <w:szCs w:val="24"/>
        </w:rPr>
        <w:t>其他项目部关</w:t>
      </w:r>
      <w:r>
        <w:rPr>
          <w:rFonts w:ascii="黑体" w:hAnsi="黑体" w:eastAsia="黑体" w:cs="黑体"/>
          <w:spacing w:val="-1"/>
          <w:sz w:val="24"/>
          <w:szCs w:val="24"/>
        </w:rPr>
        <w:t>键岗位人员相关信息中标后提供给招标人进行审查）</w:t>
      </w:r>
    </w:p>
    <w:tbl>
      <w:tblPr>
        <w:tblStyle w:val="3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709"/>
        <w:gridCol w:w="709"/>
        <w:gridCol w:w="1134"/>
        <w:gridCol w:w="771"/>
        <w:gridCol w:w="788"/>
        <w:gridCol w:w="850"/>
        <w:gridCol w:w="2127"/>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709" w:type="dxa"/>
            <w:vMerge w:val="restart"/>
            <w:vAlign w:val="center"/>
          </w:tcPr>
          <w:p>
            <w:pPr>
              <w:jc w:val="center"/>
              <w:rPr>
                <w:rFonts w:ascii="宋体" w:hAnsi="宋体"/>
                <w:color w:val="000000"/>
                <w:szCs w:val="21"/>
              </w:rPr>
            </w:pPr>
            <w:r>
              <w:rPr>
                <w:rFonts w:hint="eastAsia" w:ascii="宋体" w:hAnsi="宋体"/>
                <w:color w:val="000000"/>
                <w:szCs w:val="21"/>
              </w:rPr>
              <w:t>职务</w:t>
            </w:r>
          </w:p>
        </w:tc>
        <w:tc>
          <w:tcPr>
            <w:tcW w:w="709" w:type="dxa"/>
            <w:vMerge w:val="restart"/>
            <w:vAlign w:val="center"/>
          </w:tcPr>
          <w:p>
            <w:pPr>
              <w:jc w:val="center"/>
              <w:rPr>
                <w:rFonts w:ascii="宋体" w:hAnsi="宋体"/>
                <w:color w:val="000000"/>
                <w:szCs w:val="21"/>
              </w:rPr>
            </w:pPr>
            <w:r>
              <w:rPr>
                <w:rFonts w:hint="eastAsia" w:ascii="宋体" w:hAnsi="宋体"/>
                <w:color w:val="000000"/>
                <w:szCs w:val="21"/>
              </w:rPr>
              <w:t>姓名</w:t>
            </w:r>
          </w:p>
        </w:tc>
        <w:tc>
          <w:tcPr>
            <w:tcW w:w="709" w:type="dxa"/>
            <w:vMerge w:val="restart"/>
            <w:vAlign w:val="center"/>
          </w:tcPr>
          <w:p>
            <w:pPr>
              <w:jc w:val="center"/>
              <w:rPr>
                <w:rFonts w:ascii="宋体" w:hAnsi="宋体"/>
                <w:color w:val="000000"/>
                <w:szCs w:val="21"/>
              </w:rPr>
            </w:pPr>
            <w:r>
              <w:rPr>
                <w:rFonts w:hint="eastAsia" w:ascii="宋体" w:hAnsi="宋体"/>
                <w:color w:val="000000"/>
                <w:szCs w:val="21"/>
              </w:rPr>
              <w:t>职称</w:t>
            </w:r>
          </w:p>
        </w:tc>
        <w:tc>
          <w:tcPr>
            <w:tcW w:w="5670" w:type="dxa"/>
            <w:gridSpan w:val="5"/>
            <w:vAlign w:val="center"/>
          </w:tcPr>
          <w:p>
            <w:pPr>
              <w:jc w:val="center"/>
              <w:rPr>
                <w:rFonts w:ascii="宋体" w:hAnsi="宋体"/>
                <w:color w:val="000000"/>
                <w:szCs w:val="21"/>
              </w:rPr>
            </w:pPr>
            <w:r>
              <w:rPr>
                <w:rFonts w:hint="eastAsia" w:ascii="宋体" w:hAnsi="宋体"/>
                <w:color w:val="000000"/>
                <w:szCs w:val="21"/>
              </w:rPr>
              <w:t>执业或职业资格证明</w:t>
            </w:r>
          </w:p>
        </w:tc>
        <w:tc>
          <w:tcPr>
            <w:tcW w:w="708" w:type="dxa"/>
            <w:vMerge w:val="restart"/>
            <w:vAlign w:val="center"/>
          </w:tcPr>
          <w:p>
            <w:pPr>
              <w:jc w:val="center"/>
              <w:rPr>
                <w:rFonts w:ascii="宋体" w:hAnsi="宋体"/>
                <w:color w:val="000000"/>
                <w:szCs w:val="21"/>
              </w:rPr>
            </w:pPr>
            <w:r>
              <w:rPr>
                <w:rFonts w:hint="eastAsia" w:ascii="宋体" w:hAnsi="宋体"/>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709" w:type="dxa"/>
            <w:vMerge w:val="continue"/>
            <w:vAlign w:val="center"/>
          </w:tcPr>
          <w:p>
            <w:pPr>
              <w:jc w:val="center"/>
              <w:rPr>
                <w:rFonts w:ascii="宋体" w:hAnsi="宋体"/>
                <w:color w:val="000000"/>
                <w:szCs w:val="21"/>
              </w:rPr>
            </w:pPr>
          </w:p>
        </w:tc>
        <w:tc>
          <w:tcPr>
            <w:tcW w:w="709" w:type="dxa"/>
            <w:vMerge w:val="continue"/>
            <w:vAlign w:val="center"/>
          </w:tcPr>
          <w:p>
            <w:pPr>
              <w:jc w:val="center"/>
              <w:rPr>
                <w:rFonts w:ascii="宋体" w:hAnsi="宋体"/>
                <w:color w:val="000000"/>
                <w:szCs w:val="21"/>
              </w:rPr>
            </w:pPr>
          </w:p>
        </w:tc>
        <w:tc>
          <w:tcPr>
            <w:tcW w:w="709" w:type="dxa"/>
            <w:vMerge w:val="continue"/>
            <w:vAlign w:val="center"/>
          </w:tcPr>
          <w:p>
            <w:pPr>
              <w:jc w:val="center"/>
              <w:rPr>
                <w:rFonts w:ascii="宋体" w:hAnsi="宋体"/>
                <w:color w:val="000000"/>
                <w:szCs w:val="21"/>
              </w:rPr>
            </w:pPr>
          </w:p>
        </w:tc>
        <w:tc>
          <w:tcPr>
            <w:tcW w:w="1134" w:type="dxa"/>
            <w:vAlign w:val="center"/>
          </w:tcPr>
          <w:p>
            <w:pPr>
              <w:jc w:val="center"/>
              <w:rPr>
                <w:rFonts w:ascii="宋体" w:hAnsi="宋体"/>
                <w:color w:val="000000"/>
                <w:szCs w:val="21"/>
              </w:rPr>
            </w:pPr>
            <w:r>
              <w:rPr>
                <w:rFonts w:hint="eastAsia" w:ascii="宋体" w:hAnsi="宋体"/>
                <w:color w:val="000000"/>
                <w:szCs w:val="21"/>
              </w:rPr>
              <w:t>证书名称</w:t>
            </w:r>
          </w:p>
        </w:tc>
        <w:tc>
          <w:tcPr>
            <w:tcW w:w="771" w:type="dxa"/>
            <w:vAlign w:val="center"/>
          </w:tcPr>
          <w:p>
            <w:pPr>
              <w:jc w:val="center"/>
              <w:rPr>
                <w:rFonts w:ascii="宋体" w:hAnsi="宋体"/>
                <w:color w:val="000000"/>
                <w:szCs w:val="21"/>
              </w:rPr>
            </w:pPr>
            <w:r>
              <w:rPr>
                <w:rFonts w:hint="eastAsia" w:ascii="宋体" w:hAnsi="宋体"/>
                <w:color w:val="000000"/>
                <w:szCs w:val="21"/>
              </w:rPr>
              <w:t>级别</w:t>
            </w:r>
          </w:p>
        </w:tc>
        <w:tc>
          <w:tcPr>
            <w:tcW w:w="788" w:type="dxa"/>
            <w:vAlign w:val="center"/>
          </w:tcPr>
          <w:p>
            <w:pPr>
              <w:jc w:val="center"/>
              <w:rPr>
                <w:rFonts w:ascii="宋体" w:hAnsi="宋体"/>
                <w:color w:val="000000"/>
                <w:szCs w:val="21"/>
              </w:rPr>
            </w:pPr>
            <w:r>
              <w:rPr>
                <w:rFonts w:hint="eastAsia" w:ascii="宋体" w:hAnsi="宋体"/>
                <w:color w:val="000000"/>
                <w:szCs w:val="21"/>
              </w:rPr>
              <w:t>证号</w:t>
            </w:r>
          </w:p>
        </w:tc>
        <w:tc>
          <w:tcPr>
            <w:tcW w:w="850" w:type="dxa"/>
            <w:vAlign w:val="center"/>
          </w:tcPr>
          <w:p>
            <w:pPr>
              <w:jc w:val="center"/>
              <w:rPr>
                <w:rFonts w:ascii="宋体" w:hAnsi="宋体"/>
                <w:color w:val="000000"/>
                <w:szCs w:val="21"/>
              </w:rPr>
            </w:pPr>
            <w:r>
              <w:rPr>
                <w:rFonts w:hint="eastAsia" w:ascii="宋体" w:hAnsi="宋体"/>
                <w:color w:val="000000"/>
                <w:szCs w:val="21"/>
              </w:rPr>
              <w:t>专业</w:t>
            </w:r>
          </w:p>
        </w:tc>
        <w:tc>
          <w:tcPr>
            <w:tcW w:w="2127" w:type="dxa"/>
            <w:vAlign w:val="center"/>
          </w:tcPr>
          <w:p>
            <w:pPr>
              <w:jc w:val="center"/>
              <w:rPr>
                <w:rFonts w:ascii="宋体" w:hAnsi="宋体"/>
                <w:color w:val="000000"/>
                <w:szCs w:val="21"/>
              </w:rPr>
            </w:pPr>
            <w:r>
              <w:rPr>
                <w:rFonts w:hint="eastAsia" w:ascii="宋体" w:hAnsi="宋体"/>
                <w:color w:val="000000"/>
                <w:szCs w:val="21"/>
              </w:rPr>
              <w:t>养老保险</w:t>
            </w:r>
          </w:p>
        </w:tc>
        <w:tc>
          <w:tcPr>
            <w:tcW w:w="708" w:type="dxa"/>
            <w:vMerge w:val="continue"/>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709" w:type="dxa"/>
            <w:vAlign w:val="center"/>
          </w:tcPr>
          <w:p>
            <w:pPr>
              <w:jc w:val="center"/>
              <w:rPr>
                <w:rFonts w:ascii="宋体" w:hAnsi="宋体"/>
                <w:color w:val="000000"/>
                <w:szCs w:val="21"/>
              </w:rPr>
            </w:pPr>
          </w:p>
        </w:tc>
        <w:tc>
          <w:tcPr>
            <w:tcW w:w="709" w:type="dxa"/>
            <w:vAlign w:val="center"/>
          </w:tcPr>
          <w:p>
            <w:pPr>
              <w:jc w:val="center"/>
              <w:rPr>
                <w:rFonts w:ascii="宋体" w:hAnsi="宋体"/>
                <w:color w:val="000000"/>
                <w:szCs w:val="21"/>
              </w:rPr>
            </w:pPr>
          </w:p>
        </w:tc>
        <w:tc>
          <w:tcPr>
            <w:tcW w:w="709" w:type="dxa"/>
            <w:vAlign w:val="center"/>
          </w:tcPr>
          <w:p>
            <w:pPr>
              <w:jc w:val="center"/>
              <w:rPr>
                <w:rFonts w:ascii="宋体" w:hAnsi="宋体"/>
                <w:color w:val="000000"/>
                <w:szCs w:val="21"/>
              </w:rPr>
            </w:pPr>
          </w:p>
        </w:tc>
        <w:tc>
          <w:tcPr>
            <w:tcW w:w="1134" w:type="dxa"/>
            <w:vAlign w:val="center"/>
          </w:tcPr>
          <w:p>
            <w:pPr>
              <w:jc w:val="center"/>
              <w:rPr>
                <w:rFonts w:ascii="宋体" w:hAnsi="宋体"/>
                <w:color w:val="000000"/>
                <w:szCs w:val="21"/>
              </w:rPr>
            </w:pPr>
          </w:p>
        </w:tc>
        <w:tc>
          <w:tcPr>
            <w:tcW w:w="771" w:type="dxa"/>
            <w:vAlign w:val="center"/>
          </w:tcPr>
          <w:p>
            <w:pPr>
              <w:jc w:val="center"/>
              <w:rPr>
                <w:rFonts w:ascii="宋体" w:hAnsi="宋体"/>
                <w:color w:val="000000"/>
                <w:szCs w:val="21"/>
              </w:rPr>
            </w:pPr>
          </w:p>
        </w:tc>
        <w:tc>
          <w:tcPr>
            <w:tcW w:w="788" w:type="dxa"/>
            <w:vAlign w:val="center"/>
          </w:tcPr>
          <w:p>
            <w:pPr>
              <w:jc w:val="center"/>
              <w:rPr>
                <w:rFonts w:ascii="宋体" w:hAnsi="宋体"/>
                <w:color w:val="000000"/>
                <w:szCs w:val="21"/>
              </w:rPr>
            </w:pPr>
          </w:p>
        </w:tc>
        <w:tc>
          <w:tcPr>
            <w:tcW w:w="850" w:type="dxa"/>
            <w:vAlign w:val="center"/>
          </w:tcPr>
          <w:p>
            <w:pPr>
              <w:jc w:val="center"/>
              <w:rPr>
                <w:rFonts w:ascii="宋体" w:hAnsi="宋体"/>
                <w:color w:val="000000"/>
                <w:szCs w:val="21"/>
              </w:rPr>
            </w:pPr>
          </w:p>
        </w:tc>
        <w:tc>
          <w:tcPr>
            <w:tcW w:w="2127" w:type="dxa"/>
            <w:vAlign w:val="center"/>
          </w:tcPr>
          <w:p>
            <w:pPr>
              <w:jc w:val="center"/>
              <w:rPr>
                <w:rFonts w:ascii="宋体" w:hAnsi="宋体"/>
                <w:color w:val="000000"/>
                <w:szCs w:val="21"/>
              </w:rPr>
            </w:pPr>
          </w:p>
        </w:tc>
        <w:tc>
          <w:tcPr>
            <w:tcW w:w="708"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709" w:type="dxa"/>
            <w:vAlign w:val="center"/>
          </w:tcPr>
          <w:p>
            <w:pPr>
              <w:jc w:val="center"/>
              <w:rPr>
                <w:rFonts w:ascii="宋体" w:hAnsi="宋体"/>
                <w:color w:val="000000"/>
                <w:szCs w:val="21"/>
              </w:rPr>
            </w:pPr>
          </w:p>
        </w:tc>
        <w:tc>
          <w:tcPr>
            <w:tcW w:w="709" w:type="dxa"/>
            <w:vAlign w:val="center"/>
          </w:tcPr>
          <w:p>
            <w:pPr>
              <w:jc w:val="center"/>
              <w:rPr>
                <w:rFonts w:ascii="宋体" w:hAnsi="宋体"/>
                <w:color w:val="000000"/>
                <w:szCs w:val="21"/>
              </w:rPr>
            </w:pPr>
          </w:p>
        </w:tc>
        <w:tc>
          <w:tcPr>
            <w:tcW w:w="709" w:type="dxa"/>
            <w:vAlign w:val="center"/>
          </w:tcPr>
          <w:p>
            <w:pPr>
              <w:jc w:val="center"/>
              <w:rPr>
                <w:rFonts w:ascii="宋体" w:hAnsi="宋体"/>
                <w:color w:val="000000"/>
                <w:szCs w:val="21"/>
              </w:rPr>
            </w:pPr>
          </w:p>
        </w:tc>
        <w:tc>
          <w:tcPr>
            <w:tcW w:w="1134" w:type="dxa"/>
            <w:vAlign w:val="center"/>
          </w:tcPr>
          <w:p>
            <w:pPr>
              <w:jc w:val="center"/>
              <w:rPr>
                <w:rFonts w:ascii="宋体" w:hAnsi="宋体"/>
                <w:color w:val="000000"/>
                <w:szCs w:val="21"/>
              </w:rPr>
            </w:pPr>
          </w:p>
        </w:tc>
        <w:tc>
          <w:tcPr>
            <w:tcW w:w="771" w:type="dxa"/>
            <w:vAlign w:val="center"/>
          </w:tcPr>
          <w:p>
            <w:pPr>
              <w:jc w:val="center"/>
              <w:rPr>
                <w:rFonts w:ascii="宋体" w:hAnsi="宋体"/>
                <w:color w:val="000000"/>
                <w:szCs w:val="21"/>
              </w:rPr>
            </w:pPr>
          </w:p>
        </w:tc>
        <w:tc>
          <w:tcPr>
            <w:tcW w:w="788" w:type="dxa"/>
            <w:vAlign w:val="center"/>
          </w:tcPr>
          <w:p>
            <w:pPr>
              <w:jc w:val="center"/>
              <w:rPr>
                <w:rFonts w:ascii="宋体" w:hAnsi="宋体"/>
                <w:color w:val="000000"/>
                <w:szCs w:val="21"/>
              </w:rPr>
            </w:pPr>
          </w:p>
        </w:tc>
        <w:tc>
          <w:tcPr>
            <w:tcW w:w="850" w:type="dxa"/>
            <w:vAlign w:val="center"/>
          </w:tcPr>
          <w:p>
            <w:pPr>
              <w:jc w:val="center"/>
              <w:rPr>
                <w:rFonts w:ascii="宋体" w:hAnsi="宋体"/>
                <w:color w:val="000000"/>
                <w:szCs w:val="21"/>
              </w:rPr>
            </w:pPr>
          </w:p>
        </w:tc>
        <w:tc>
          <w:tcPr>
            <w:tcW w:w="2127" w:type="dxa"/>
            <w:vAlign w:val="center"/>
          </w:tcPr>
          <w:p>
            <w:pPr>
              <w:jc w:val="center"/>
              <w:rPr>
                <w:rFonts w:ascii="宋体" w:hAnsi="宋体"/>
                <w:color w:val="000000"/>
                <w:szCs w:val="21"/>
              </w:rPr>
            </w:pPr>
          </w:p>
        </w:tc>
        <w:tc>
          <w:tcPr>
            <w:tcW w:w="708"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709" w:type="dxa"/>
            <w:vAlign w:val="center"/>
          </w:tcPr>
          <w:p>
            <w:pPr>
              <w:jc w:val="center"/>
              <w:rPr>
                <w:rFonts w:ascii="宋体" w:hAnsi="宋体"/>
                <w:color w:val="000000"/>
                <w:szCs w:val="21"/>
              </w:rPr>
            </w:pPr>
          </w:p>
        </w:tc>
        <w:tc>
          <w:tcPr>
            <w:tcW w:w="709" w:type="dxa"/>
            <w:vAlign w:val="center"/>
          </w:tcPr>
          <w:p>
            <w:pPr>
              <w:jc w:val="center"/>
              <w:rPr>
                <w:rFonts w:ascii="宋体" w:hAnsi="宋体"/>
                <w:color w:val="000000"/>
                <w:szCs w:val="21"/>
              </w:rPr>
            </w:pPr>
          </w:p>
        </w:tc>
        <w:tc>
          <w:tcPr>
            <w:tcW w:w="709" w:type="dxa"/>
            <w:vAlign w:val="center"/>
          </w:tcPr>
          <w:p>
            <w:pPr>
              <w:jc w:val="center"/>
              <w:rPr>
                <w:rFonts w:ascii="宋体" w:hAnsi="宋体"/>
                <w:color w:val="000000"/>
                <w:szCs w:val="21"/>
              </w:rPr>
            </w:pPr>
          </w:p>
        </w:tc>
        <w:tc>
          <w:tcPr>
            <w:tcW w:w="1134" w:type="dxa"/>
            <w:vAlign w:val="center"/>
          </w:tcPr>
          <w:p>
            <w:pPr>
              <w:jc w:val="center"/>
              <w:rPr>
                <w:rFonts w:ascii="宋体" w:hAnsi="宋体"/>
                <w:color w:val="000000"/>
                <w:szCs w:val="21"/>
              </w:rPr>
            </w:pPr>
          </w:p>
        </w:tc>
        <w:tc>
          <w:tcPr>
            <w:tcW w:w="771" w:type="dxa"/>
            <w:vAlign w:val="center"/>
          </w:tcPr>
          <w:p>
            <w:pPr>
              <w:jc w:val="center"/>
              <w:rPr>
                <w:rFonts w:ascii="宋体" w:hAnsi="宋体"/>
                <w:color w:val="000000"/>
                <w:szCs w:val="21"/>
              </w:rPr>
            </w:pPr>
          </w:p>
        </w:tc>
        <w:tc>
          <w:tcPr>
            <w:tcW w:w="788" w:type="dxa"/>
            <w:vAlign w:val="center"/>
          </w:tcPr>
          <w:p>
            <w:pPr>
              <w:jc w:val="center"/>
              <w:rPr>
                <w:rFonts w:ascii="宋体" w:hAnsi="宋体"/>
                <w:color w:val="000000"/>
                <w:szCs w:val="21"/>
              </w:rPr>
            </w:pPr>
          </w:p>
        </w:tc>
        <w:tc>
          <w:tcPr>
            <w:tcW w:w="850" w:type="dxa"/>
            <w:vAlign w:val="center"/>
          </w:tcPr>
          <w:p>
            <w:pPr>
              <w:jc w:val="center"/>
              <w:rPr>
                <w:rFonts w:ascii="宋体" w:hAnsi="宋体"/>
                <w:color w:val="000000"/>
                <w:szCs w:val="21"/>
              </w:rPr>
            </w:pPr>
          </w:p>
        </w:tc>
        <w:tc>
          <w:tcPr>
            <w:tcW w:w="2127" w:type="dxa"/>
            <w:vAlign w:val="center"/>
          </w:tcPr>
          <w:p>
            <w:pPr>
              <w:jc w:val="center"/>
              <w:rPr>
                <w:rFonts w:ascii="宋体" w:hAnsi="宋体"/>
                <w:color w:val="000000"/>
                <w:szCs w:val="21"/>
              </w:rPr>
            </w:pPr>
          </w:p>
        </w:tc>
        <w:tc>
          <w:tcPr>
            <w:tcW w:w="708"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709" w:type="dxa"/>
            <w:vAlign w:val="center"/>
          </w:tcPr>
          <w:p>
            <w:pPr>
              <w:jc w:val="center"/>
              <w:rPr>
                <w:rFonts w:ascii="宋体" w:hAnsi="宋体"/>
                <w:color w:val="000000"/>
                <w:szCs w:val="21"/>
              </w:rPr>
            </w:pPr>
          </w:p>
        </w:tc>
        <w:tc>
          <w:tcPr>
            <w:tcW w:w="709" w:type="dxa"/>
            <w:vAlign w:val="center"/>
          </w:tcPr>
          <w:p>
            <w:pPr>
              <w:jc w:val="center"/>
              <w:rPr>
                <w:rFonts w:ascii="宋体" w:hAnsi="宋体"/>
                <w:color w:val="000000"/>
                <w:szCs w:val="21"/>
              </w:rPr>
            </w:pPr>
          </w:p>
        </w:tc>
        <w:tc>
          <w:tcPr>
            <w:tcW w:w="709" w:type="dxa"/>
            <w:vAlign w:val="center"/>
          </w:tcPr>
          <w:p>
            <w:pPr>
              <w:jc w:val="center"/>
              <w:rPr>
                <w:rFonts w:ascii="宋体" w:hAnsi="宋体"/>
                <w:color w:val="000000"/>
                <w:szCs w:val="21"/>
              </w:rPr>
            </w:pPr>
          </w:p>
        </w:tc>
        <w:tc>
          <w:tcPr>
            <w:tcW w:w="1134" w:type="dxa"/>
            <w:vAlign w:val="center"/>
          </w:tcPr>
          <w:p>
            <w:pPr>
              <w:jc w:val="center"/>
              <w:rPr>
                <w:rFonts w:ascii="宋体" w:hAnsi="宋体"/>
                <w:color w:val="000000"/>
                <w:szCs w:val="21"/>
              </w:rPr>
            </w:pPr>
          </w:p>
        </w:tc>
        <w:tc>
          <w:tcPr>
            <w:tcW w:w="771" w:type="dxa"/>
            <w:vAlign w:val="center"/>
          </w:tcPr>
          <w:p>
            <w:pPr>
              <w:jc w:val="center"/>
              <w:rPr>
                <w:rFonts w:ascii="宋体" w:hAnsi="宋体"/>
                <w:color w:val="000000"/>
                <w:szCs w:val="21"/>
              </w:rPr>
            </w:pPr>
          </w:p>
        </w:tc>
        <w:tc>
          <w:tcPr>
            <w:tcW w:w="788" w:type="dxa"/>
            <w:vAlign w:val="center"/>
          </w:tcPr>
          <w:p>
            <w:pPr>
              <w:jc w:val="center"/>
              <w:rPr>
                <w:rFonts w:ascii="宋体" w:hAnsi="宋体"/>
                <w:color w:val="000000"/>
                <w:szCs w:val="21"/>
              </w:rPr>
            </w:pPr>
          </w:p>
        </w:tc>
        <w:tc>
          <w:tcPr>
            <w:tcW w:w="850" w:type="dxa"/>
            <w:vAlign w:val="center"/>
          </w:tcPr>
          <w:p>
            <w:pPr>
              <w:jc w:val="center"/>
              <w:rPr>
                <w:rFonts w:ascii="宋体" w:hAnsi="宋体"/>
                <w:color w:val="000000"/>
                <w:szCs w:val="21"/>
              </w:rPr>
            </w:pPr>
          </w:p>
        </w:tc>
        <w:tc>
          <w:tcPr>
            <w:tcW w:w="2127" w:type="dxa"/>
            <w:vAlign w:val="center"/>
          </w:tcPr>
          <w:p>
            <w:pPr>
              <w:jc w:val="center"/>
              <w:rPr>
                <w:rFonts w:ascii="宋体" w:hAnsi="宋体"/>
                <w:color w:val="000000"/>
                <w:szCs w:val="21"/>
              </w:rPr>
            </w:pPr>
          </w:p>
        </w:tc>
        <w:tc>
          <w:tcPr>
            <w:tcW w:w="708"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709" w:type="dxa"/>
            <w:vAlign w:val="center"/>
          </w:tcPr>
          <w:p>
            <w:pPr>
              <w:jc w:val="center"/>
              <w:rPr>
                <w:rFonts w:ascii="宋体" w:hAnsi="宋体"/>
                <w:color w:val="000000"/>
                <w:szCs w:val="21"/>
              </w:rPr>
            </w:pPr>
          </w:p>
        </w:tc>
        <w:tc>
          <w:tcPr>
            <w:tcW w:w="709" w:type="dxa"/>
            <w:vAlign w:val="center"/>
          </w:tcPr>
          <w:p>
            <w:pPr>
              <w:jc w:val="center"/>
              <w:rPr>
                <w:rFonts w:ascii="宋体" w:hAnsi="宋体"/>
                <w:color w:val="000000"/>
                <w:szCs w:val="21"/>
              </w:rPr>
            </w:pPr>
          </w:p>
        </w:tc>
        <w:tc>
          <w:tcPr>
            <w:tcW w:w="709" w:type="dxa"/>
            <w:vAlign w:val="center"/>
          </w:tcPr>
          <w:p>
            <w:pPr>
              <w:jc w:val="center"/>
              <w:rPr>
                <w:rFonts w:ascii="宋体" w:hAnsi="宋体"/>
                <w:color w:val="000000"/>
                <w:szCs w:val="21"/>
              </w:rPr>
            </w:pPr>
          </w:p>
        </w:tc>
        <w:tc>
          <w:tcPr>
            <w:tcW w:w="1134" w:type="dxa"/>
            <w:vAlign w:val="center"/>
          </w:tcPr>
          <w:p>
            <w:pPr>
              <w:jc w:val="center"/>
              <w:rPr>
                <w:rFonts w:ascii="宋体" w:hAnsi="宋体"/>
                <w:color w:val="000000"/>
                <w:szCs w:val="21"/>
              </w:rPr>
            </w:pPr>
          </w:p>
        </w:tc>
        <w:tc>
          <w:tcPr>
            <w:tcW w:w="771" w:type="dxa"/>
            <w:vAlign w:val="center"/>
          </w:tcPr>
          <w:p>
            <w:pPr>
              <w:jc w:val="center"/>
              <w:rPr>
                <w:rFonts w:ascii="宋体" w:hAnsi="宋体"/>
                <w:color w:val="000000"/>
                <w:szCs w:val="21"/>
              </w:rPr>
            </w:pPr>
          </w:p>
        </w:tc>
        <w:tc>
          <w:tcPr>
            <w:tcW w:w="788" w:type="dxa"/>
            <w:vAlign w:val="center"/>
          </w:tcPr>
          <w:p>
            <w:pPr>
              <w:jc w:val="center"/>
              <w:rPr>
                <w:rFonts w:ascii="宋体" w:hAnsi="宋体"/>
                <w:color w:val="000000"/>
                <w:szCs w:val="21"/>
              </w:rPr>
            </w:pPr>
          </w:p>
        </w:tc>
        <w:tc>
          <w:tcPr>
            <w:tcW w:w="850" w:type="dxa"/>
            <w:vAlign w:val="center"/>
          </w:tcPr>
          <w:p>
            <w:pPr>
              <w:jc w:val="center"/>
              <w:rPr>
                <w:rFonts w:ascii="宋体" w:hAnsi="宋体"/>
                <w:color w:val="000000"/>
                <w:szCs w:val="21"/>
              </w:rPr>
            </w:pPr>
          </w:p>
        </w:tc>
        <w:tc>
          <w:tcPr>
            <w:tcW w:w="2127" w:type="dxa"/>
            <w:vAlign w:val="center"/>
          </w:tcPr>
          <w:p>
            <w:pPr>
              <w:jc w:val="center"/>
              <w:rPr>
                <w:rFonts w:ascii="宋体" w:hAnsi="宋体"/>
                <w:color w:val="000000"/>
                <w:szCs w:val="21"/>
              </w:rPr>
            </w:pPr>
          </w:p>
        </w:tc>
        <w:tc>
          <w:tcPr>
            <w:tcW w:w="708"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709" w:type="dxa"/>
            <w:vAlign w:val="center"/>
          </w:tcPr>
          <w:p>
            <w:pPr>
              <w:jc w:val="center"/>
              <w:rPr>
                <w:rFonts w:ascii="宋体" w:hAnsi="宋体"/>
                <w:color w:val="000000"/>
                <w:szCs w:val="21"/>
              </w:rPr>
            </w:pPr>
          </w:p>
        </w:tc>
        <w:tc>
          <w:tcPr>
            <w:tcW w:w="709" w:type="dxa"/>
            <w:vAlign w:val="center"/>
          </w:tcPr>
          <w:p>
            <w:pPr>
              <w:jc w:val="center"/>
              <w:rPr>
                <w:rFonts w:ascii="宋体" w:hAnsi="宋体"/>
                <w:color w:val="000000"/>
                <w:szCs w:val="21"/>
              </w:rPr>
            </w:pPr>
          </w:p>
        </w:tc>
        <w:tc>
          <w:tcPr>
            <w:tcW w:w="709" w:type="dxa"/>
            <w:vAlign w:val="center"/>
          </w:tcPr>
          <w:p>
            <w:pPr>
              <w:jc w:val="center"/>
              <w:rPr>
                <w:rFonts w:ascii="宋体" w:hAnsi="宋体"/>
                <w:color w:val="000000"/>
                <w:szCs w:val="21"/>
              </w:rPr>
            </w:pPr>
          </w:p>
        </w:tc>
        <w:tc>
          <w:tcPr>
            <w:tcW w:w="1134" w:type="dxa"/>
            <w:vAlign w:val="center"/>
          </w:tcPr>
          <w:p>
            <w:pPr>
              <w:jc w:val="center"/>
              <w:rPr>
                <w:rFonts w:ascii="宋体" w:hAnsi="宋体"/>
                <w:color w:val="000000"/>
                <w:szCs w:val="21"/>
              </w:rPr>
            </w:pPr>
          </w:p>
        </w:tc>
        <w:tc>
          <w:tcPr>
            <w:tcW w:w="771" w:type="dxa"/>
            <w:vAlign w:val="center"/>
          </w:tcPr>
          <w:p>
            <w:pPr>
              <w:jc w:val="center"/>
              <w:rPr>
                <w:rFonts w:ascii="宋体" w:hAnsi="宋体"/>
                <w:color w:val="000000"/>
                <w:szCs w:val="21"/>
              </w:rPr>
            </w:pPr>
          </w:p>
        </w:tc>
        <w:tc>
          <w:tcPr>
            <w:tcW w:w="788" w:type="dxa"/>
            <w:vAlign w:val="center"/>
          </w:tcPr>
          <w:p>
            <w:pPr>
              <w:jc w:val="center"/>
              <w:rPr>
                <w:rFonts w:ascii="宋体" w:hAnsi="宋体"/>
                <w:color w:val="000000"/>
                <w:szCs w:val="21"/>
              </w:rPr>
            </w:pPr>
          </w:p>
        </w:tc>
        <w:tc>
          <w:tcPr>
            <w:tcW w:w="850" w:type="dxa"/>
            <w:vAlign w:val="center"/>
          </w:tcPr>
          <w:p>
            <w:pPr>
              <w:jc w:val="center"/>
              <w:rPr>
                <w:rFonts w:ascii="宋体" w:hAnsi="宋体"/>
                <w:color w:val="000000"/>
                <w:szCs w:val="21"/>
              </w:rPr>
            </w:pPr>
          </w:p>
        </w:tc>
        <w:tc>
          <w:tcPr>
            <w:tcW w:w="2127" w:type="dxa"/>
            <w:vAlign w:val="center"/>
          </w:tcPr>
          <w:p>
            <w:pPr>
              <w:jc w:val="center"/>
              <w:rPr>
                <w:rFonts w:ascii="宋体" w:hAnsi="宋体"/>
                <w:color w:val="000000"/>
                <w:szCs w:val="21"/>
              </w:rPr>
            </w:pPr>
          </w:p>
        </w:tc>
        <w:tc>
          <w:tcPr>
            <w:tcW w:w="708"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709" w:type="dxa"/>
            <w:vAlign w:val="center"/>
          </w:tcPr>
          <w:p>
            <w:pPr>
              <w:jc w:val="center"/>
              <w:rPr>
                <w:rFonts w:ascii="宋体" w:hAnsi="宋体"/>
                <w:color w:val="000000"/>
                <w:szCs w:val="21"/>
              </w:rPr>
            </w:pPr>
          </w:p>
        </w:tc>
        <w:tc>
          <w:tcPr>
            <w:tcW w:w="709" w:type="dxa"/>
            <w:vAlign w:val="center"/>
          </w:tcPr>
          <w:p>
            <w:pPr>
              <w:jc w:val="center"/>
              <w:rPr>
                <w:rFonts w:ascii="宋体" w:hAnsi="宋体"/>
                <w:color w:val="000000"/>
                <w:szCs w:val="21"/>
              </w:rPr>
            </w:pPr>
          </w:p>
        </w:tc>
        <w:tc>
          <w:tcPr>
            <w:tcW w:w="709" w:type="dxa"/>
            <w:vAlign w:val="center"/>
          </w:tcPr>
          <w:p>
            <w:pPr>
              <w:jc w:val="center"/>
              <w:rPr>
                <w:rFonts w:ascii="宋体" w:hAnsi="宋体"/>
                <w:color w:val="000000"/>
                <w:szCs w:val="21"/>
              </w:rPr>
            </w:pPr>
          </w:p>
        </w:tc>
        <w:tc>
          <w:tcPr>
            <w:tcW w:w="1134" w:type="dxa"/>
            <w:vAlign w:val="center"/>
          </w:tcPr>
          <w:p>
            <w:pPr>
              <w:jc w:val="center"/>
              <w:rPr>
                <w:rFonts w:ascii="宋体" w:hAnsi="宋体"/>
                <w:color w:val="000000"/>
                <w:szCs w:val="21"/>
              </w:rPr>
            </w:pPr>
          </w:p>
        </w:tc>
        <w:tc>
          <w:tcPr>
            <w:tcW w:w="771" w:type="dxa"/>
            <w:vAlign w:val="center"/>
          </w:tcPr>
          <w:p>
            <w:pPr>
              <w:jc w:val="center"/>
              <w:rPr>
                <w:rFonts w:ascii="宋体" w:hAnsi="宋体"/>
                <w:color w:val="000000"/>
                <w:szCs w:val="21"/>
              </w:rPr>
            </w:pPr>
          </w:p>
        </w:tc>
        <w:tc>
          <w:tcPr>
            <w:tcW w:w="788" w:type="dxa"/>
            <w:vAlign w:val="center"/>
          </w:tcPr>
          <w:p>
            <w:pPr>
              <w:jc w:val="center"/>
              <w:rPr>
                <w:rFonts w:ascii="宋体" w:hAnsi="宋体"/>
                <w:color w:val="000000"/>
                <w:szCs w:val="21"/>
              </w:rPr>
            </w:pPr>
          </w:p>
        </w:tc>
        <w:tc>
          <w:tcPr>
            <w:tcW w:w="850" w:type="dxa"/>
            <w:vAlign w:val="center"/>
          </w:tcPr>
          <w:p>
            <w:pPr>
              <w:jc w:val="center"/>
              <w:rPr>
                <w:rFonts w:ascii="宋体" w:hAnsi="宋体"/>
                <w:color w:val="000000"/>
                <w:szCs w:val="21"/>
              </w:rPr>
            </w:pPr>
          </w:p>
        </w:tc>
        <w:tc>
          <w:tcPr>
            <w:tcW w:w="2127" w:type="dxa"/>
            <w:vAlign w:val="center"/>
          </w:tcPr>
          <w:p>
            <w:pPr>
              <w:jc w:val="center"/>
              <w:rPr>
                <w:rFonts w:ascii="宋体" w:hAnsi="宋体"/>
                <w:color w:val="000000"/>
                <w:szCs w:val="21"/>
              </w:rPr>
            </w:pPr>
          </w:p>
        </w:tc>
        <w:tc>
          <w:tcPr>
            <w:tcW w:w="708"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709" w:type="dxa"/>
            <w:vAlign w:val="center"/>
          </w:tcPr>
          <w:p>
            <w:pPr>
              <w:jc w:val="center"/>
              <w:rPr>
                <w:rFonts w:ascii="宋体" w:hAnsi="宋体"/>
                <w:color w:val="000000"/>
                <w:szCs w:val="21"/>
              </w:rPr>
            </w:pPr>
          </w:p>
        </w:tc>
        <w:tc>
          <w:tcPr>
            <w:tcW w:w="709" w:type="dxa"/>
            <w:vAlign w:val="center"/>
          </w:tcPr>
          <w:p>
            <w:pPr>
              <w:jc w:val="center"/>
              <w:rPr>
                <w:rFonts w:ascii="宋体" w:hAnsi="宋体"/>
                <w:color w:val="000000"/>
                <w:szCs w:val="21"/>
              </w:rPr>
            </w:pPr>
          </w:p>
        </w:tc>
        <w:tc>
          <w:tcPr>
            <w:tcW w:w="709" w:type="dxa"/>
            <w:vAlign w:val="center"/>
          </w:tcPr>
          <w:p>
            <w:pPr>
              <w:jc w:val="center"/>
              <w:rPr>
                <w:rFonts w:ascii="宋体" w:hAnsi="宋体"/>
                <w:color w:val="000000"/>
                <w:szCs w:val="21"/>
              </w:rPr>
            </w:pPr>
          </w:p>
        </w:tc>
        <w:tc>
          <w:tcPr>
            <w:tcW w:w="1134" w:type="dxa"/>
            <w:vAlign w:val="center"/>
          </w:tcPr>
          <w:p>
            <w:pPr>
              <w:jc w:val="center"/>
              <w:rPr>
                <w:rFonts w:ascii="宋体" w:hAnsi="宋体"/>
                <w:color w:val="000000"/>
                <w:szCs w:val="21"/>
              </w:rPr>
            </w:pPr>
          </w:p>
        </w:tc>
        <w:tc>
          <w:tcPr>
            <w:tcW w:w="771" w:type="dxa"/>
            <w:vAlign w:val="center"/>
          </w:tcPr>
          <w:p>
            <w:pPr>
              <w:jc w:val="center"/>
              <w:rPr>
                <w:rFonts w:ascii="宋体" w:hAnsi="宋体"/>
                <w:color w:val="000000"/>
                <w:szCs w:val="21"/>
              </w:rPr>
            </w:pPr>
          </w:p>
        </w:tc>
        <w:tc>
          <w:tcPr>
            <w:tcW w:w="788" w:type="dxa"/>
            <w:vAlign w:val="center"/>
          </w:tcPr>
          <w:p>
            <w:pPr>
              <w:jc w:val="center"/>
              <w:rPr>
                <w:rFonts w:ascii="宋体" w:hAnsi="宋体"/>
                <w:color w:val="000000"/>
                <w:szCs w:val="21"/>
              </w:rPr>
            </w:pPr>
          </w:p>
        </w:tc>
        <w:tc>
          <w:tcPr>
            <w:tcW w:w="850" w:type="dxa"/>
            <w:vAlign w:val="center"/>
          </w:tcPr>
          <w:p>
            <w:pPr>
              <w:jc w:val="center"/>
              <w:rPr>
                <w:rFonts w:ascii="宋体" w:hAnsi="宋体"/>
                <w:color w:val="000000"/>
                <w:szCs w:val="21"/>
              </w:rPr>
            </w:pPr>
          </w:p>
        </w:tc>
        <w:tc>
          <w:tcPr>
            <w:tcW w:w="2127" w:type="dxa"/>
            <w:vAlign w:val="center"/>
          </w:tcPr>
          <w:p>
            <w:pPr>
              <w:jc w:val="center"/>
              <w:rPr>
                <w:rFonts w:ascii="宋体" w:hAnsi="宋体"/>
                <w:color w:val="000000"/>
                <w:szCs w:val="21"/>
              </w:rPr>
            </w:pPr>
          </w:p>
        </w:tc>
        <w:tc>
          <w:tcPr>
            <w:tcW w:w="708"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709" w:type="dxa"/>
            <w:vAlign w:val="center"/>
          </w:tcPr>
          <w:p>
            <w:pPr>
              <w:jc w:val="center"/>
              <w:rPr>
                <w:rFonts w:ascii="宋体" w:hAnsi="宋体"/>
                <w:color w:val="000000"/>
                <w:szCs w:val="21"/>
              </w:rPr>
            </w:pPr>
          </w:p>
        </w:tc>
        <w:tc>
          <w:tcPr>
            <w:tcW w:w="709" w:type="dxa"/>
            <w:vAlign w:val="center"/>
          </w:tcPr>
          <w:p>
            <w:pPr>
              <w:jc w:val="center"/>
              <w:rPr>
                <w:rFonts w:ascii="宋体" w:hAnsi="宋体"/>
                <w:color w:val="000000"/>
                <w:szCs w:val="21"/>
              </w:rPr>
            </w:pPr>
          </w:p>
        </w:tc>
        <w:tc>
          <w:tcPr>
            <w:tcW w:w="709" w:type="dxa"/>
            <w:vAlign w:val="center"/>
          </w:tcPr>
          <w:p>
            <w:pPr>
              <w:jc w:val="center"/>
              <w:rPr>
                <w:rFonts w:ascii="宋体" w:hAnsi="宋体"/>
                <w:color w:val="000000"/>
                <w:szCs w:val="21"/>
              </w:rPr>
            </w:pPr>
          </w:p>
        </w:tc>
        <w:tc>
          <w:tcPr>
            <w:tcW w:w="1134" w:type="dxa"/>
            <w:vAlign w:val="center"/>
          </w:tcPr>
          <w:p>
            <w:pPr>
              <w:jc w:val="center"/>
              <w:rPr>
                <w:rFonts w:ascii="宋体" w:hAnsi="宋体"/>
                <w:color w:val="000000"/>
                <w:szCs w:val="21"/>
              </w:rPr>
            </w:pPr>
          </w:p>
        </w:tc>
        <w:tc>
          <w:tcPr>
            <w:tcW w:w="771" w:type="dxa"/>
            <w:vAlign w:val="center"/>
          </w:tcPr>
          <w:p>
            <w:pPr>
              <w:jc w:val="center"/>
              <w:rPr>
                <w:rFonts w:ascii="宋体" w:hAnsi="宋体"/>
                <w:color w:val="000000"/>
                <w:szCs w:val="21"/>
              </w:rPr>
            </w:pPr>
          </w:p>
        </w:tc>
        <w:tc>
          <w:tcPr>
            <w:tcW w:w="788" w:type="dxa"/>
            <w:vAlign w:val="center"/>
          </w:tcPr>
          <w:p>
            <w:pPr>
              <w:jc w:val="center"/>
              <w:rPr>
                <w:rFonts w:ascii="宋体" w:hAnsi="宋体"/>
                <w:color w:val="000000"/>
                <w:szCs w:val="21"/>
              </w:rPr>
            </w:pPr>
          </w:p>
        </w:tc>
        <w:tc>
          <w:tcPr>
            <w:tcW w:w="850" w:type="dxa"/>
            <w:vAlign w:val="center"/>
          </w:tcPr>
          <w:p>
            <w:pPr>
              <w:jc w:val="center"/>
              <w:rPr>
                <w:rFonts w:ascii="宋体" w:hAnsi="宋体"/>
                <w:color w:val="000000"/>
                <w:szCs w:val="21"/>
              </w:rPr>
            </w:pPr>
          </w:p>
        </w:tc>
        <w:tc>
          <w:tcPr>
            <w:tcW w:w="2127" w:type="dxa"/>
            <w:vAlign w:val="center"/>
          </w:tcPr>
          <w:p>
            <w:pPr>
              <w:jc w:val="center"/>
              <w:rPr>
                <w:rFonts w:ascii="宋体" w:hAnsi="宋体"/>
                <w:color w:val="000000"/>
                <w:szCs w:val="21"/>
              </w:rPr>
            </w:pPr>
          </w:p>
        </w:tc>
        <w:tc>
          <w:tcPr>
            <w:tcW w:w="708"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709" w:type="dxa"/>
            <w:vAlign w:val="center"/>
          </w:tcPr>
          <w:p>
            <w:pPr>
              <w:jc w:val="center"/>
              <w:rPr>
                <w:rFonts w:ascii="宋体" w:hAnsi="宋体"/>
                <w:color w:val="000000"/>
                <w:szCs w:val="21"/>
              </w:rPr>
            </w:pPr>
          </w:p>
        </w:tc>
        <w:tc>
          <w:tcPr>
            <w:tcW w:w="709" w:type="dxa"/>
            <w:vAlign w:val="center"/>
          </w:tcPr>
          <w:p>
            <w:pPr>
              <w:jc w:val="center"/>
              <w:rPr>
                <w:rFonts w:ascii="宋体" w:hAnsi="宋体"/>
                <w:color w:val="000000"/>
                <w:szCs w:val="21"/>
              </w:rPr>
            </w:pPr>
          </w:p>
        </w:tc>
        <w:tc>
          <w:tcPr>
            <w:tcW w:w="709" w:type="dxa"/>
            <w:vAlign w:val="center"/>
          </w:tcPr>
          <w:p>
            <w:pPr>
              <w:jc w:val="center"/>
              <w:rPr>
                <w:rFonts w:ascii="宋体" w:hAnsi="宋体"/>
                <w:color w:val="000000"/>
                <w:szCs w:val="21"/>
              </w:rPr>
            </w:pPr>
          </w:p>
        </w:tc>
        <w:tc>
          <w:tcPr>
            <w:tcW w:w="1134" w:type="dxa"/>
            <w:vAlign w:val="center"/>
          </w:tcPr>
          <w:p>
            <w:pPr>
              <w:jc w:val="center"/>
              <w:rPr>
                <w:rFonts w:ascii="宋体" w:hAnsi="宋体"/>
                <w:color w:val="000000"/>
                <w:szCs w:val="21"/>
              </w:rPr>
            </w:pPr>
          </w:p>
        </w:tc>
        <w:tc>
          <w:tcPr>
            <w:tcW w:w="771" w:type="dxa"/>
            <w:vAlign w:val="center"/>
          </w:tcPr>
          <w:p>
            <w:pPr>
              <w:jc w:val="center"/>
              <w:rPr>
                <w:rFonts w:ascii="宋体" w:hAnsi="宋体"/>
                <w:color w:val="000000"/>
                <w:szCs w:val="21"/>
              </w:rPr>
            </w:pPr>
          </w:p>
        </w:tc>
        <w:tc>
          <w:tcPr>
            <w:tcW w:w="788" w:type="dxa"/>
            <w:vAlign w:val="center"/>
          </w:tcPr>
          <w:p>
            <w:pPr>
              <w:jc w:val="center"/>
              <w:rPr>
                <w:rFonts w:ascii="宋体" w:hAnsi="宋体"/>
                <w:color w:val="000000"/>
                <w:szCs w:val="21"/>
              </w:rPr>
            </w:pPr>
          </w:p>
        </w:tc>
        <w:tc>
          <w:tcPr>
            <w:tcW w:w="850" w:type="dxa"/>
            <w:vAlign w:val="center"/>
          </w:tcPr>
          <w:p>
            <w:pPr>
              <w:jc w:val="center"/>
              <w:rPr>
                <w:rFonts w:ascii="宋体" w:hAnsi="宋体"/>
                <w:color w:val="000000"/>
                <w:szCs w:val="21"/>
              </w:rPr>
            </w:pPr>
          </w:p>
        </w:tc>
        <w:tc>
          <w:tcPr>
            <w:tcW w:w="2127" w:type="dxa"/>
            <w:vAlign w:val="center"/>
          </w:tcPr>
          <w:p>
            <w:pPr>
              <w:jc w:val="center"/>
              <w:rPr>
                <w:rFonts w:ascii="宋体" w:hAnsi="宋体"/>
                <w:color w:val="000000"/>
                <w:szCs w:val="21"/>
              </w:rPr>
            </w:pPr>
          </w:p>
        </w:tc>
        <w:tc>
          <w:tcPr>
            <w:tcW w:w="708"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709" w:type="dxa"/>
            <w:vAlign w:val="center"/>
          </w:tcPr>
          <w:p>
            <w:pPr>
              <w:jc w:val="center"/>
              <w:rPr>
                <w:rFonts w:ascii="宋体" w:hAnsi="宋体"/>
                <w:color w:val="000000"/>
                <w:szCs w:val="21"/>
              </w:rPr>
            </w:pPr>
          </w:p>
        </w:tc>
        <w:tc>
          <w:tcPr>
            <w:tcW w:w="709" w:type="dxa"/>
            <w:vAlign w:val="center"/>
          </w:tcPr>
          <w:p>
            <w:pPr>
              <w:jc w:val="center"/>
              <w:rPr>
                <w:rFonts w:ascii="宋体" w:hAnsi="宋体"/>
                <w:color w:val="000000"/>
                <w:szCs w:val="21"/>
              </w:rPr>
            </w:pPr>
          </w:p>
        </w:tc>
        <w:tc>
          <w:tcPr>
            <w:tcW w:w="709" w:type="dxa"/>
            <w:vAlign w:val="center"/>
          </w:tcPr>
          <w:p>
            <w:pPr>
              <w:jc w:val="center"/>
              <w:rPr>
                <w:rFonts w:ascii="宋体" w:hAnsi="宋体"/>
                <w:color w:val="000000"/>
                <w:szCs w:val="21"/>
              </w:rPr>
            </w:pPr>
          </w:p>
        </w:tc>
        <w:tc>
          <w:tcPr>
            <w:tcW w:w="1134" w:type="dxa"/>
            <w:vAlign w:val="center"/>
          </w:tcPr>
          <w:p>
            <w:pPr>
              <w:jc w:val="center"/>
              <w:rPr>
                <w:rFonts w:ascii="宋体" w:hAnsi="宋体"/>
                <w:color w:val="000000"/>
                <w:szCs w:val="21"/>
              </w:rPr>
            </w:pPr>
          </w:p>
        </w:tc>
        <w:tc>
          <w:tcPr>
            <w:tcW w:w="771" w:type="dxa"/>
            <w:vAlign w:val="center"/>
          </w:tcPr>
          <w:p>
            <w:pPr>
              <w:jc w:val="center"/>
              <w:rPr>
                <w:rFonts w:ascii="宋体" w:hAnsi="宋体"/>
                <w:color w:val="000000"/>
                <w:szCs w:val="21"/>
              </w:rPr>
            </w:pPr>
          </w:p>
        </w:tc>
        <w:tc>
          <w:tcPr>
            <w:tcW w:w="788" w:type="dxa"/>
            <w:vAlign w:val="center"/>
          </w:tcPr>
          <w:p>
            <w:pPr>
              <w:jc w:val="center"/>
              <w:rPr>
                <w:rFonts w:ascii="宋体" w:hAnsi="宋体"/>
                <w:color w:val="000000"/>
                <w:szCs w:val="21"/>
              </w:rPr>
            </w:pPr>
          </w:p>
        </w:tc>
        <w:tc>
          <w:tcPr>
            <w:tcW w:w="850" w:type="dxa"/>
            <w:vAlign w:val="center"/>
          </w:tcPr>
          <w:p>
            <w:pPr>
              <w:jc w:val="center"/>
              <w:rPr>
                <w:rFonts w:ascii="宋体" w:hAnsi="宋体"/>
                <w:color w:val="000000"/>
                <w:szCs w:val="21"/>
              </w:rPr>
            </w:pPr>
          </w:p>
        </w:tc>
        <w:tc>
          <w:tcPr>
            <w:tcW w:w="2127" w:type="dxa"/>
            <w:vAlign w:val="center"/>
          </w:tcPr>
          <w:p>
            <w:pPr>
              <w:jc w:val="center"/>
              <w:rPr>
                <w:rFonts w:ascii="宋体" w:hAnsi="宋体"/>
                <w:color w:val="000000"/>
                <w:szCs w:val="21"/>
              </w:rPr>
            </w:pPr>
          </w:p>
        </w:tc>
        <w:tc>
          <w:tcPr>
            <w:tcW w:w="708"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709" w:type="dxa"/>
            <w:vAlign w:val="center"/>
          </w:tcPr>
          <w:p>
            <w:pPr>
              <w:jc w:val="center"/>
              <w:rPr>
                <w:rFonts w:ascii="宋体" w:hAnsi="宋体"/>
                <w:color w:val="000000"/>
                <w:szCs w:val="21"/>
              </w:rPr>
            </w:pPr>
          </w:p>
        </w:tc>
        <w:tc>
          <w:tcPr>
            <w:tcW w:w="709" w:type="dxa"/>
            <w:vAlign w:val="center"/>
          </w:tcPr>
          <w:p>
            <w:pPr>
              <w:jc w:val="center"/>
              <w:rPr>
                <w:rFonts w:ascii="宋体" w:hAnsi="宋体"/>
                <w:color w:val="000000"/>
                <w:szCs w:val="21"/>
              </w:rPr>
            </w:pPr>
          </w:p>
        </w:tc>
        <w:tc>
          <w:tcPr>
            <w:tcW w:w="709" w:type="dxa"/>
            <w:vAlign w:val="center"/>
          </w:tcPr>
          <w:p>
            <w:pPr>
              <w:jc w:val="center"/>
              <w:rPr>
                <w:rFonts w:ascii="宋体" w:hAnsi="宋体"/>
                <w:color w:val="000000"/>
                <w:szCs w:val="21"/>
              </w:rPr>
            </w:pPr>
          </w:p>
        </w:tc>
        <w:tc>
          <w:tcPr>
            <w:tcW w:w="1134" w:type="dxa"/>
            <w:vAlign w:val="center"/>
          </w:tcPr>
          <w:p>
            <w:pPr>
              <w:jc w:val="center"/>
              <w:rPr>
                <w:rFonts w:ascii="宋体" w:hAnsi="宋体"/>
                <w:color w:val="000000"/>
                <w:szCs w:val="21"/>
              </w:rPr>
            </w:pPr>
          </w:p>
        </w:tc>
        <w:tc>
          <w:tcPr>
            <w:tcW w:w="771" w:type="dxa"/>
            <w:vAlign w:val="center"/>
          </w:tcPr>
          <w:p>
            <w:pPr>
              <w:jc w:val="center"/>
              <w:rPr>
                <w:rFonts w:ascii="宋体" w:hAnsi="宋体"/>
                <w:color w:val="000000"/>
                <w:szCs w:val="21"/>
              </w:rPr>
            </w:pPr>
          </w:p>
        </w:tc>
        <w:tc>
          <w:tcPr>
            <w:tcW w:w="788" w:type="dxa"/>
            <w:vAlign w:val="center"/>
          </w:tcPr>
          <w:p>
            <w:pPr>
              <w:jc w:val="center"/>
              <w:rPr>
                <w:rFonts w:ascii="宋体" w:hAnsi="宋体"/>
                <w:color w:val="000000"/>
                <w:szCs w:val="21"/>
              </w:rPr>
            </w:pPr>
          </w:p>
        </w:tc>
        <w:tc>
          <w:tcPr>
            <w:tcW w:w="850" w:type="dxa"/>
            <w:vAlign w:val="center"/>
          </w:tcPr>
          <w:p>
            <w:pPr>
              <w:jc w:val="center"/>
              <w:rPr>
                <w:rFonts w:ascii="宋体" w:hAnsi="宋体"/>
                <w:color w:val="000000"/>
                <w:szCs w:val="21"/>
              </w:rPr>
            </w:pPr>
          </w:p>
        </w:tc>
        <w:tc>
          <w:tcPr>
            <w:tcW w:w="2127" w:type="dxa"/>
            <w:vAlign w:val="center"/>
          </w:tcPr>
          <w:p>
            <w:pPr>
              <w:jc w:val="center"/>
              <w:rPr>
                <w:rFonts w:ascii="宋体" w:hAnsi="宋体"/>
                <w:color w:val="000000"/>
                <w:szCs w:val="21"/>
              </w:rPr>
            </w:pPr>
          </w:p>
        </w:tc>
        <w:tc>
          <w:tcPr>
            <w:tcW w:w="708"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709" w:type="dxa"/>
            <w:vAlign w:val="center"/>
          </w:tcPr>
          <w:p>
            <w:pPr>
              <w:jc w:val="center"/>
              <w:rPr>
                <w:rFonts w:ascii="宋体" w:hAnsi="宋体"/>
                <w:color w:val="000000"/>
                <w:szCs w:val="21"/>
              </w:rPr>
            </w:pPr>
          </w:p>
        </w:tc>
        <w:tc>
          <w:tcPr>
            <w:tcW w:w="709" w:type="dxa"/>
            <w:vAlign w:val="center"/>
          </w:tcPr>
          <w:p>
            <w:pPr>
              <w:jc w:val="center"/>
              <w:rPr>
                <w:rFonts w:ascii="宋体" w:hAnsi="宋体"/>
                <w:color w:val="000000"/>
                <w:szCs w:val="21"/>
              </w:rPr>
            </w:pPr>
          </w:p>
        </w:tc>
        <w:tc>
          <w:tcPr>
            <w:tcW w:w="709" w:type="dxa"/>
            <w:vAlign w:val="center"/>
          </w:tcPr>
          <w:p>
            <w:pPr>
              <w:jc w:val="center"/>
              <w:rPr>
                <w:rFonts w:ascii="宋体" w:hAnsi="宋体"/>
                <w:color w:val="000000"/>
                <w:szCs w:val="21"/>
              </w:rPr>
            </w:pPr>
          </w:p>
        </w:tc>
        <w:tc>
          <w:tcPr>
            <w:tcW w:w="1134" w:type="dxa"/>
            <w:vAlign w:val="center"/>
          </w:tcPr>
          <w:p>
            <w:pPr>
              <w:jc w:val="center"/>
              <w:rPr>
                <w:rFonts w:ascii="宋体" w:hAnsi="宋体"/>
                <w:color w:val="000000"/>
                <w:szCs w:val="21"/>
              </w:rPr>
            </w:pPr>
          </w:p>
        </w:tc>
        <w:tc>
          <w:tcPr>
            <w:tcW w:w="771" w:type="dxa"/>
            <w:vAlign w:val="center"/>
          </w:tcPr>
          <w:p>
            <w:pPr>
              <w:jc w:val="center"/>
              <w:rPr>
                <w:rFonts w:ascii="宋体" w:hAnsi="宋体"/>
                <w:color w:val="000000"/>
                <w:szCs w:val="21"/>
              </w:rPr>
            </w:pPr>
          </w:p>
        </w:tc>
        <w:tc>
          <w:tcPr>
            <w:tcW w:w="788" w:type="dxa"/>
            <w:vAlign w:val="center"/>
          </w:tcPr>
          <w:p>
            <w:pPr>
              <w:jc w:val="center"/>
              <w:rPr>
                <w:rFonts w:ascii="宋体" w:hAnsi="宋体"/>
                <w:color w:val="000000"/>
                <w:szCs w:val="21"/>
              </w:rPr>
            </w:pPr>
          </w:p>
        </w:tc>
        <w:tc>
          <w:tcPr>
            <w:tcW w:w="850" w:type="dxa"/>
            <w:vAlign w:val="center"/>
          </w:tcPr>
          <w:p>
            <w:pPr>
              <w:jc w:val="center"/>
              <w:rPr>
                <w:rFonts w:ascii="宋体" w:hAnsi="宋体"/>
                <w:color w:val="000000"/>
                <w:szCs w:val="21"/>
              </w:rPr>
            </w:pPr>
          </w:p>
        </w:tc>
        <w:tc>
          <w:tcPr>
            <w:tcW w:w="2127" w:type="dxa"/>
            <w:vAlign w:val="center"/>
          </w:tcPr>
          <w:p>
            <w:pPr>
              <w:jc w:val="center"/>
              <w:rPr>
                <w:rFonts w:ascii="宋体" w:hAnsi="宋体"/>
                <w:color w:val="000000"/>
                <w:szCs w:val="21"/>
              </w:rPr>
            </w:pPr>
          </w:p>
        </w:tc>
        <w:tc>
          <w:tcPr>
            <w:tcW w:w="708"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709" w:type="dxa"/>
            <w:vAlign w:val="center"/>
          </w:tcPr>
          <w:p>
            <w:pPr>
              <w:jc w:val="center"/>
              <w:rPr>
                <w:rFonts w:ascii="宋体" w:hAnsi="宋体"/>
                <w:color w:val="000000"/>
                <w:szCs w:val="21"/>
              </w:rPr>
            </w:pPr>
          </w:p>
        </w:tc>
        <w:tc>
          <w:tcPr>
            <w:tcW w:w="709" w:type="dxa"/>
            <w:vAlign w:val="center"/>
          </w:tcPr>
          <w:p>
            <w:pPr>
              <w:jc w:val="center"/>
              <w:rPr>
                <w:rFonts w:ascii="宋体" w:hAnsi="宋体"/>
                <w:color w:val="000000"/>
                <w:szCs w:val="21"/>
              </w:rPr>
            </w:pPr>
          </w:p>
        </w:tc>
        <w:tc>
          <w:tcPr>
            <w:tcW w:w="709" w:type="dxa"/>
            <w:vAlign w:val="center"/>
          </w:tcPr>
          <w:p>
            <w:pPr>
              <w:jc w:val="center"/>
              <w:rPr>
                <w:rFonts w:ascii="宋体" w:hAnsi="宋体"/>
                <w:color w:val="000000"/>
                <w:szCs w:val="21"/>
              </w:rPr>
            </w:pPr>
          </w:p>
        </w:tc>
        <w:tc>
          <w:tcPr>
            <w:tcW w:w="1134" w:type="dxa"/>
            <w:vAlign w:val="center"/>
          </w:tcPr>
          <w:p>
            <w:pPr>
              <w:jc w:val="center"/>
              <w:rPr>
                <w:rFonts w:ascii="宋体" w:hAnsi="宋体"/>
                <w:color w:val="000000"/>
                <w:szCs w:val="21"/>
              </w:rPr>
            </w:pPr>
          </w:p>
        </w:tc>
        <w:tc>
          <w:tcPr>
            <w:tcW w:w="771" w:type="dxa"/>
            <w:vAlign w:val="center"/>
          </w:tcPr>
          <w:p>
            <w:pPr>
              <w:jc w:val="center"/>
              <w:rPr>
                <w:rFonts w:ascii="宋体" w:hAnsi="宋体"/>
                <w:color w:val="000000"/>
                <w:szCs w:val="21"/>
              </w:rPr>
            </w:pPr>
          </w:p>
        </w:tc>
        <w:tc>
          <w:tcPr>
            <w:tcW w:w="788" w:type="dxa"/>
            <w:vAlign w:val="center"/>
          </w:tcPr>
          <w:p>
            <w:pPr>
              <w:jc w:val="center"/>
              <w:rPr>
                <w:rFonts w:ascii="宋体" w:hAnsi="宋体"/>
                <w:color w:val="000000"/>
                <w:szCs w:val="21"/>
              </w:rPr>
            </w:pPr>
          </w:p>
        </w:tc>
        <w:tc>
          <w:tcPr>
            <w:tcW w:w="850" w:type="dxa"/>
            <w:vAlign w:val="center"/>
          </w:tcPr>
          <w:p>
            <w:pPr>
              <w:jc w:val="center"/>
              <w:rPr>
                <w:rFonts w:ascii="宋体" w:hAnsi="宋体"/>
                <w:color w:val="000000"/>
                <w:szCs w:val="21"/>
              </w:rPr>
            </w:pPr>
          </w:p>
        </w:tc>
        <w:tc>
          <w:tcPr>
            <w:tcW w:w="2127" w:type="dxa"/>
            <w:vAlign w:val="center"/>
          </w:tcPr>
          <w:p>
            <w:pPr>
              <w:jc w:val="center"/>
              <w:rPr>
                <w:rFonts w:ascii="宋体" w:hAnsi="宋体"/>
                <w:color w:val="000000"/>
                <w:szCs w:val="21"/>
              </w:rPr>
            </w:pPr>
          </w:p>
        </w:tc>
        <w:tc>
          <w:tcPr>
            <w:tcW w:w="708"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709" w:type="dxa"/>
            <w:vAlign w:val="center"/>
          </w:tcPr>
          <w:p>
            <w:pPr>
              <w:jc w:val="center"/>
              <w:rPr>
                <w:rFonts w:ascii="宋体" w:hAnsi="宋体"/>
                <w:color w:val="000000"/>
                <w:szCs w:val="21"/>
              </w:rPr>
            </w:pPr>
          </w:p>
        </w:tc>
        <w:tc>
          <w:tcPr>
            <w:tcW w:w="709" w:type="dxa"/>
            <w:vAlign w:val="center"/>
          </w:tcPr>
          <w:p>
            <w:pPr>
              <w:jc w:val="center"/>
              <w:rPr>
                <w:rFonts w:ascii="宋体" w:hAnsi="宋体"/>
                <w:color w:val="000000"/>
                <w:szCs w:val="21"/>
              </w:rPr>
            </w:pPr>
          </w:p>
        </w:tc>
        <w:tc>
          <w:tcPr>
            <w:tcW w:w="709" w:type="dxa"/>
            <w:vAlign w:val="center"/>
          </w:tcPr>
          <w:p>
            <w:pPr>
              <w:jc w:val="center"/>
              <w:rPr>
                <w:rFonts w:ascii="宋体" w:hAnsi="宋体"/>
                <w:color w:val="000000"/>
                <w:szCs w:val="21"/>
              </w:rPr>
            </w:pPr>
          </w:p>
        </w:tc>
        <w:tc>
          <w:tcPr>
            <w:tcW w:w="1134" w:type="dxa"/>
            <w:vAlign w:val="center"/>
          </w:tcPr>
          <w:p>
            <w:pPr>
              <w:jc w:val="center"/>
              <w:rPr>
                <w:rFonts w:ascii="宋体" w:hAnsi="宋体"/>
                <w:color w:val="000000"/>
                <w:szCs w:val="21"/>
              </w:rPr>
            </w:pPr>
          </w:p>
        </w:tc>
        <w:tc>
          <w:tcPr>
            <w:tcW w:w="771" w:type="dxa"/>
            <w:vAlign w:val="center"/>
          </w:tcPr>
          <w:p>
            <w:pPr>
              <w:jc w:val="center"/>
              <w:rPr>
                <w:rFonts w:ascii="宋体" w:hAnsi="宋体"/>
                <w:color w:val="000000"/>
                <w:szCs w:val="21"/>
              </w:rPr>
            </w:pPr>
          </w:p>
        </w:tc>
        <w:tc>
          <w:tcPr>
            <w:tcW w:w="788" w:type="dxa"/>
            <w:vAlign w:val="center"/>
          </w:tcPr>
          <w:p>
            <w:pPr>
              <w:jc w:val="center"/>
              <w:rPr>
                <w:rFonts w:ascii="宋体" w:hAnsi="宋体"/>
                <w:color w:val="000000"/>
                <w:szCs w:val="21"/>
              </w:rPr>
            </w:pPr>
          </w:p>
        </w:tc>
        <w:tc>
          <w:tcPr>
            <w:tcW w:w="850" w:type="dxa"/>
            <w:vAlign w:val="center"/>
          </w:tcPr>
          <w:p>
            <w:pPr>
              <w:jc w:val="center"/>
              <w:rPr>
                <w:rFonts w:ascii="宋体" w:hAnsi="宋体"/>
                <w:color w:val="000000"/>
                <w:szCs w:val="21"/>
              </w:rPr>
            </w:pPr>
          </w:p>
        </w:tc>
        <w:tc>
          <w:tcPr>
            <w:tcW w:w="2127" w:type="dxa"/>
            <w:vAlign w:val="center"/>
          </w:tcPr>
          <w:p>
            <w:pPr>
              <w:jc w:val="center"/>
              <w:rPr>
                <w:rFonts w:ascii="宋体" w:hAnsi="宋体"/>
                <w:color w:val="000000"/>
                <w:szCs w:val="21"/>
              </w:rPr>
            </w:pPr>
          </w:p>
        </w:tc>
        <w:tc>
          <w:tcPr>
            <w:tcW w:w="708"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709" w:type="dxa"/>
            <w:vAlign w:val="center"/>
          </w:tcPr>
          <w:p>
            <w:pPr>
              <w:jc w:val="center"/>
              <w:rPr>
                <w:rFonts w:ascii="宋体" w:hAnsi="宋体"/>
                <w:color w:val="000000"/>
                <w:szCs w:val="21"/>
              </w:rPr>
            </w:pPr>
          </w:p>
        </w:tc>
        <w:tc>
          <w:tcPr>
            <w:tcW w:w="709" w:type="dxa"/>
            <w:vAlign w:val="center"/>
          </w:tcPr>
          <w:p>
            <w:pPr>
              <w:jc w:val="center"/>
              <w:rPr>
                <w:rFonts w:ascii="宋体" w:hAnsi="宋体"/>
                <w:color w:val="000000"/>
                <w:szCs w:val="21"/>
              </w:rPr>
            </w:pPr>
          </w:p>
        </w:tc>
        <w:tc>
          <w:tcPr>
            <w:tcW w:w="709" w:type="dxa"/>
            <w:vAlign w:val="center"/>
          </w:tcPr>
          <w:p>
            <w:pPr>
              <w:jc w:val="center"/>
              <w:rPr>
                <w:rFonts w:ascii="宋体" w:hAnsi="宋体"/>
                <w:color w:val="000000"/>
                <w:szCs w:val="21"/>
              </w:rPr>
            </w:pPr>
          </w:p>
        </w:tc>
        <w:tc>
          <w:tcPr>
            <w:tcW w:w="1134" w:type="dxa"/>
            <w:vAlign w:val="center"/>
          </w:tcPr>
          <w:p>
            <w:pPr>
              <w:jc w:val="center"/>
              <w:rPr>
                <w:rFonts w:ascii="宋体" w:hAnsi="宋体"/>
                <w:color w:val="000000"/>
                <w:szCs w:val="21"/>
              </w:rPr>
            </w:pPr>
          </w:p>
        </w:tc>
        <w:tc>
          <w:tcPr>
            <w:tcW w:w="771" w:type="dxa"/>
            <w:vAlign w:val="center"/>
          </w:tcPr>
          <w:p>
            <w:pPr>
              <w:jc w:val="center"/>
              <w:rPr>
                <w:rFonts w:ascii="宋体" w:hAnsi="宋体"/>
                <w:color w:val="000000"/>
                <w:szCs w:val="21"/>
              </w:rPr>
            </w:pPr>
          </w:p>
        </w:tc>
        <w:tc>
          <w:tcPr>
            <w:tcW w:w="788" w:type="dxa"/>
            <w:vAlign w:val="center"/>
          </w:tcPr>
          <w:p>
            <w:pPr>
              <w:jc w:val="center"/>
              <w:rPr>
                <w:rFonts w:ascii="宋体" w:hAnsi="宋体"/>
                <w:color w:val="000000"/>
                <w:szCs w:val="21"/>
              </w:rPr>
            </w:pPr>
          </w:p>
        </w:tc>
        <w:tc>
          <w:tcPr>
            <w:tcW w:w="850" w:type="dxa"/>
            <w:vAlign w:val="center"/>
          </w:tcPr>
          <w:p>
            <w:pPr>
              <w:jc w:val="center"/>
              <w:rPr>
                <w:rFonts w:ascii="宋体" w:hAnsi="宋体"/>
                <w:color w:val="000000"/>
                <w:szCs w:val="21"/>
              </w:rPr>
            </w:pPr>
          </w:p>
        </w:tc>
        <w:tc>
          <w:tcPr>
            <w:tcW w:w="2127" w:type="dxa"/>
            <w:vAlign w:val="center"/>
          </w:tcPr>
          <w:p>
            <w:pPr>
              <w:jc w:val="center"/>
              <w:rPr>
                <w:rFonts w:ascii="宋体" w:hAnsi="宋体"/>
                <w:color w:val="000000"/>
                <w:szCs w:val="21"/>
              </w:rPr>
            </w:pPr>
          </w:p>
        </w:tc>
        <w:tc>
          <w:tcPr>
            <w:tcW w:w="708"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709" w:type="dxa"/>
            <w:vAlign w:val="center"/>
          </w:tcPr>
          <w:p>
            <w:pPr>
              <w:jc w:val="center"/>
              <w:rPr>
                <w:rFonts w:ascii="宋体" w:hAnsi="宋体"/>
                <w:color w:val="000000"/>
                <w:szCs w:val="21"/>
              </w:rPr>
            </w:pPr>
          </w:p>
        </w:tc>
        <w:tc>
          <w:tcPr>
            <w:tcW w:w="709" w:type="dxa"/>
            <w:vAlign w:val="center"/>
          </w:tcPr>
          <w:p>
            <w:pPr>
              <w:jc w:val="center"/>
              <w:rPr>
                <w:rFonts w:ascii="宋体" w:hAnsi="宋体"/>
                <w:color w:val="000000"/>
                <w:szCs w:val="21"/>
              </w:rPr>
            </w:pPr>
          </w:p>
        </w:tc>
        <w:tc>
          <w:tcPr>
            <w:tcW w:w="709" w:type="dxa"/>
            <w:vAlign w:val="center"/>
          </w:tcPr>
          <w:p>
            <w:pPr>
              <w:jc w:val="center"/>
              <w:rPr>
                <w:rFonts w:ascii="宋体" w:hAnsi="宋体"/>
                <w:color w:val="000000"/>
                <w:szCs w:val="21"/>
              </w:rPr>
            </w:pPr>
          </w:p>
        </w:tc>
        <w:tc>
          <w:tcPr>
            <w:tcW w:w="1134" w:type="dxa"/>
            <w:vAlign w:val="center"/>
          </w:tcPr>
          <w:p>
            <w:pPr>
              <w:jc w:val="center"/>
              <w:rPr>
                <w:rFonts w:ascii="宋体" w:hAnsi="宋体"/>
                <w:color w:val="000000"/>
                <w:szCs w:val="21"/>
              </w:rPr>
            </w:pPr>
          </w:p>
        </w:tc>
        <w:tc>
          <w:tcPr>
            <w:tcW w:w="771" w:type="dxa"/>
            <w:vAlign w:val="center"/>
          </w:tcPr>
          <w:p>
            <w:pPr>
              <w:jc w:val="center"/>
              <w:rPr>
                <w:rFonts w:ascii="宋体" w:hAnsi="宋体"/>
                <w:color w:val="000000"/>
                <w:szCs w:val="21"/>
              </w:rPr>
            </w:pPr>
          </w:p>
        </w:tc>
        <w:tc>
          <w:tcPr>
            <w:tcW w:w="788" w:type="dxa"/>
            <w:vAlign w:val="center"/>
          </w:tcPr>
          <w:p>
            <w:pPr>
              <w:jc w:val="center"/>
              <w:rPr>
                <w:rFonts w:ascii="宋体" w:hAnsi="宋体"/>
                <w:color w:val="000000"/>
                <w:szCs w:val="21"/>
              </w:rPr>
            </w:pPr>
          </w:p>
        </w:tc>
        <w:tc>
          <w:tcPr>
            <w:tcW w:w="850" w:type="dxa"/>
            <w:vAlign w:val="center"/>
          </w:tcPr>
          <w:p>
            <w:pPr>
              <w:jc w:val="center"/>
              <w:rPr>
                <w:rFonts w:ascii="宋体" w:hAnsi="宋体"/>
                <w:color w:val="000000"/>
                <w:szCs w:val="21"/>
              </w:rPr>
            </w:pPr>
          </w:p>
        </w:tc>
        <w:tc>
          <w:tcPr>
            <w:tcW w:w="2127" w:type="dxa"/>
            <w:vAlign w:val="center"/>
          </w:tcPr>
          <w:p>
            <w:pPr>
              <w:jc w:val="center"/>
              <w:rPr>
                <w:rFonts w:ascii="宋体" w:hAnsi="宋体"/>
                <w:color w:val="000000"/>
                <w:szCs w:val="21"/>
              </w:rPr>
            </w:pPr>
          </w:p>
        </w:tc>
        <w:tc>
          <w:tcPr>
            <w:tcW w:w="708"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709" w:type="dxa"/>
            <w:vAlign w:val="center"/>
          </w:tcPr>
          <w:p>
            <w:pPr>
              <w:jc w:val="center"/>
              <w:rPr>
                <w:rFonts w:ascii="宋体" w:hAnsi="宋体"/>
                <w:color w:val="000000"/>
                <w:szCs w:val="21"/>
              </w:rPr>
            </w:pPr>
          </w:p>
        </w:tc>
        <w:tc>
          <w:tcPr>
            <w:tcW w:w="709" w:type="dxa"/>
            <w:vAlign w:val="center"/>
          </w:tcPr>
          <w:p>
            <w:pPr>
              <w:jc w:val="center"/>
              <w:rPr>
                <w:rFonts w:ascii="宋体" w:hAnsi="宋体"/>
                <w:color w:val="000000"/>
                <w:szCs w:val="21"/>
              </w:rPr>
            </w:pPr>
          </w:p>
        </w:tc>
        <w:tc>
          <w:tcPr>
            <w:tcW w:w="709" w:type="dxa"/>
            <w:vAlign w:val="center"/>
          </w:tcPr>
          <w:p>
            <w:pPr>
              <w:jc w:val="center"/>
              <w:rPr>
                <w:rFonts w:ascii="宋体" w:hAnsi="宋体"/>
                <w:color w:val="000000"/>
                <w:szCs w:val="21"/>
              </w:rPr>
            </w:pPr>
          </w:p>
        </w:tc>
        <w:tc>
          <w:tcPr>
            <w:tcW w:w="1134" w:type="dxa"/>
            <w:vAlign w:val="center"/>
          </w:tcPr>
          <w:p>
            <w:pPr>
              <w:jc w:val="center"/>
              <w:rPr>
                <w:rFonts w:ascii="宋体" w:hAnsi="宋体"/>
                <w:color w:val="000000"/>
                <w:szCs w:val="21"/>
              </w:rPr>
            </w:pPr>
          </w:p>
        </w:tc>
        <w:tc>
          <w:tcPr>
            <w:tcW w:w="771" w:type="dxa"/>
            <w:vAlign w:val="center"/>
          </w:tcPr>
          <w:p>
            <w:pPr>
              <w:jc w:val="center"/>
              <w:rPr>
                <w:rFonts w:ascii="宋体" w:hAnsi="宋体"/>
                <w:color w:val="000000"/>
                <w:szCs w:val="21"/>
              </w:rPr>
            </w:pPr>
          </w:p>
        </w:tc>
        <w:tc>
          <w:tcPr>
            <w:tcW w:w="788" w:type="dxa"/>
            <w:vAlign w:val="center"/>
          </w:tcPr>
          <w:p>
            <w:pPr>
              <w:jc w:val="center"/>
              <w:rPr>
                <w:rFonts w:ascii="宋体" w:hAnsi="宋体"/>
                <w:color w:val="000000"/>
                <w:szCs w:val="21"/>
              </w:rPr>
            </w:pPr>
          </w:p>
        </w:tc>
        <w:tc>
          <w:tcPr>
            <w:tcW w:w="850" w:type="dxa"/>
            <w:vAlign w:val="center"/>
          </w:tcPr>
          <w:p>
            <w:pPr>
              <w:jc w:val="center"/>
              <w:rPr>
                <w:rFonts w:ascii="宋体" w:hAnsi="宋体"/>
                <w:color w:val="000000"/>
                <w:szCs w:val="21"/>
              </w:rPr>
            </w:pPr>
          </w:p>
        </w:tc>
        <w:tc>
          <w:tcPr>
            <w:tcW w:w="2127" w:type="dxa"/>
            <w:vAlign w:val="center"/>
          </w:tcPr>
          <w:p>
            <w:pPr>
              <w:jc w:val="center"/>
              <w:rPr>
                <w:rFonts w:ascii="宋体" w:hAnsi="宋体"/>
                <w:color w:val="000000"/>
                <w:szCs w:val="21"/>
              </w:rPr>
            </w:pPr>
          </w:p>
        </w:tc>
        <w:tc>
          <w:tcPr>
            <w:tcW w:w="708" w:type="dxa"/>
            <w:vAlign w:val="center"/>
          </w:tcPr>
          <w:p>
            <w:pPr>
              <w:jc w:val="center"/>
              <w:rPr>
                <w:rFonts w:ascii="宋体" w:hAnsi="宋体"/>
                <w:color w:val="000000"/>
                <w:szCs w:val="21"/>
              </w:rPr>
            </w:pPr>
          </w:p>
        </w:tc>
      </w:tr>
    </w:tbl>
    <w:p>
      <w:pPr>
        <w:spacing w:line="420" w:lineRule="exact"/>
        <w:rPr>
          <w:rFonts w:ascii="宋体" w:hAnsi="宋体"/>
          <w:color w:val="000000"/>
          <w:szCs w:val="21"/>
        </w:rPr>
      </w:pPr>
    </w:p>
    <w:p>
      <w:pPr>
        <w:spacing w:before="120" w:beforeLines="50" w:after="240" w:afterLines="100" w:line="420" w:lineRule="exact"/>
        <w:rPr>
          <w:rFonts w:ascii="黑体" w:hAnsi="宋体" w:eastAsia="黑体"/>
          <w:color w:val="000000"/>
          <w:sz w:val="24"/>
        </w:rPr>
      </w:pPr>
      <w:r>
        <w:rPr>
          <w:rFonts w:ascii="宋体" w:hAnsi="宋体"/>
          <w:color w:val="000000"/>
          <w:szCs w:val="21"/>
        </w:rPr>
        <w:br w:type="page"/>
      </w:r>
      <w:r>
        <w:rPr>
          <w:rFonts w:hint="eastAsia" w:ascii="黑体" w:hAnsi="宋体" w:eastAsia="黑体"/>
          <w:color w:val="000000"/>
          <w:sz w:val="24"/>
        </w:rPr>
        <w:t>（四）主要人员简历表</w:t>
      </w:r>
    </w:p>
    <w:p>
      <w:pPr>
        <w:spacing w:line="420" w:lineRule="exact"/>
        <w:rPr>
          <w:rFonts w:ascii="黑体" w:hAnsi="宋体" w:eastAsia="黑体"/>
          <w:color w:val="000000"/>
          <w:szCs w:val="21"/>
        </w:rPr>
      </w:pPr>
      <w:r>
        <w:rPr>
          <w:rFonts w:hint="eastAsia" w:ascii="黑体" w:hAnsi="宋体" w:eastAsia="黑体"/>
          <w:color w:val="000000"/>
          <w:szCs w:val="21"/>
        </w:rPr>
        <w:t>附1：项目负责人（项目经理）简历表</w:t>
      </w:r>
    </w:p>
    <w:p>
      <w:pPr>
        <w:spacing w:line="420" w:lineRule="exact"/>
        <w:rPr>
          <w:rFonts w:ascii="宋体" w:hAnsi="宋体"/>
          <w:color w:val="000000"/>
          <w:szCs w:val="21"/>
        </w:rPr>
      </w:pPr>
      <w:r>
        <w:rPr>
          <w:rFonts w:hint="eastAsia" w:ascii="宋体" w:hAnsi="宋体"/>
          <w:color w:val="000000"/>
          <w:szCs w:val="21"/>
        </w:rPr>
        <w:t>项目负责人（项目经理）应附建造师执业资格证书、注册证书、身份证、职称证、学历证、养老保险、劳动合同复印件及未担任其他在施建设工程项目项目经理的承诺书，管理过的项目业绩须附合同协议书和竣工验收备案登记表复印件。类似项目限于以项目经理身份参与的项目。</w:t>
      </w:r>
    </w:p>
    <w:tbl>
      <w:tblPr>
        <w:tblStyle w:val="3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8"/>
        <w:gridCol w:w="1019"/>
        <w:gridCol w:w="1120"/>
        <w:gridCol w:w="1258"/>
        <w:gridCol w:w="1815"/>
        <w:gridCol w:w="2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078" w:type="dxa"/>
            <w:vAlign w:val="center"/>
          </w:tcPr>
          <w:p>
            <w:pPr>
              <w:jc w:val="center"/>
              <w:rPr>
                <w:rFonts w:ascii="宋体" w:hAnsi="宋体"/>
                <w:color w:val="000000"/>
                <w:szCs w:val="21"/>
              </w:rPr>
            </w:pPr>
            <w:r>
              <w:rPr>
                <w:rFonts w:hint="eastAsia" w:ascii="宋体" w:hAnsi="宋体"/>
                <w:color w:val="000000"/>
                <w:szCs w:val="21"/>
              </w:rPr>
              <w:t>姓  名</w:t>
            </w:r>
          </w:p>
        </w:tc>
        <w:tc>
          <w:tcPr>
            <w:tcW w:w="1019" w:type="dxa"/>
            <w:vAlign w:val="center"/>
          </w:tcPr>
          <w:p>
            <w:pPr>
              <w:jc w:val="center"/>
              <w:rPr>
                <w:rFonts w:ascii="宋体" w:hAnsi="宋体"/>
                <w:color w:val="000000"/>
                <w:szCs w:val="21"/>
              </w:rPr>
            </w:pPr>
          </w:p>
        </w:tc>
        <w:tc>
          <w:tcPr>
            <w:tcW w:w="1120" w:type="dxa"/>
            <w:vAlign w:val="center"/>
          </w:tcPr>
          <w:p>
            <w:pPr>
              <w:jc w:val="center"/>
              <w:rPr>
                <w:rFonts w:ascii="宋体" w:hAnsi="宋体"/>
                <w:color w:val="000000"/>
                <w:szCs w:val="21"/>
              </w:rPr>
            </w:pPr>
            <w:r>
              <w:rPr>
                <w:rFonts w:hint="eastAsia" w:ascii="宋体" w:hAnsi="宋体"/>
                <w:color w:val="000000"/>
                <w:szCs w:val="21"/>
              </w:rPr>
              <w:t>年  龄</w:t>
            </w:r>
          </w:p>
        </w:tc>
        <w:tc>
          <w:tcPr>
            <w:tcW w:w="1258" w:type="dxa"/>
            <w:vAlign w:val="center"/>
          </w:tcPr>
          <w:p>
            <w:pPr>
              <w:jc w:val="center"/>
              <w:rPr>
                <w:rFonts w:ascii="宋体" w:hAnsi="宋体"/>
                <w:color w:val="000000"/>
                <w:szCs w:val="21"/>
              </w:rPr>
            </w:pPr>
          </w:p>
        </w:tc>
        <w:tc>
          <w:tcPr>
            <w:tcW w:w="1815" w:type="dxa"/>
            <w:vAlign w:val="center"/>
          </w:tcPr>
          <w:p>
            <w:pPr>
              <w:jc w:val="center"/>
              <w:rPr>
                <w:rFonts w:ascii="宋体" w:hAnsi="宋体"/>
                <w:color w:val="000000"/>
                <w:szCs w:val="21"/>
              </w:rPr>
            </w:pPr>
            <w:r>
              <w:rPr>
                <w:rFonts w:hint="eastAsia" w:ascii="宋体" w:hAnsi="宋体"/>
                <w:color w:val="000000"/>
                <w:szCs w:val="21"/>
              </w:rPr>
              <w:t>学历</w:t>
            </w:r>
          </w:p>
        </w:tc>
        <w:tc>
          <w:tcPr>
            <w:tcW w:w="2096"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078" w:type="dxa"/>
            <w:vAlign w:val="center"/>
          </w:tcPr>
          <w:p>
            <w:pPr>
              <w:jc w:val="center"/>
              <w:rPr>
                <w:rFonts w:ascii="宋体" w:hAnsi="宋体"/>
                <w:color w:val="000000"/>
                <w:szCs w:val="21"/>
              </w:rPr>
            </w:pPr>
            <w:r>
              <w:rPr>
                <w:rFonts w:hint="eastAsia" w:ascii="宋体" w:hAnsi="宋体"/>
                <w:color w:val="000000"/>
                <w:szCs w:val="21"/>
              </w:rPr>
              <w:t>职  称</w:t>
            </w:r>
          </w:p>
        </w:tc>
        <w:tc>
          <w:tcPr>
            <w:tcW w:w="1019" w:type="dxa"/>
            <w:vAlign w:val="center"/>
          </w:tcPr>
          <w:p>
            <w:pPr>
              <w:jc w:val="center"/>
              <w:rPr>
                <w:rFonts w:ascii="宋体" w:hAnsi="宋体"/>
                <w:color w:val="000000"/>
                <w:szCs w:val="21"/>
              </w:rPr>
            </w:pPr>
          </w:p>
        </w:tc>
        <w:tc>
          <w:tcPr>
            <w:tcW w:w="1120" w:type="dxa"/>
            <w:vAlign w:val="center"/>
          </w:tcPr>
          <w:p>
            <w:pPr>
              <w:jc w:val="center"/>
              <w:rPr>
                <w:rFonts w:ascii="宋体" w:hAnsi="宋体"/>
                <w:color w:val="000000"/>
                <w:szCs w:val="21"/>
              </w:rPr>
            </w:pPr>
            <w:r>
              <w:rPr>
                <w:rFonts w:hint="eastAsia" w:ascii="宋体" w:hAnsi="宋体"/>
                <w:color w:val="000000"/>
                <w:szCs w:val="21"/>
              </w:rPr>
              <w:t>职  务</w:t>
            </w:r>
          </w:p>
        </w:tc>
        <w:tc>
          <w:tcPr>
            <w:tcW w:w="1258" w:type="dxa"/>
            <w:vAlign w:val="center"/>
          </w:tcPr>
          <w:p>
            <w:pPr>
              <w:jc w:val="center"/>
              <w:rPr>
                <w:rFonts w:ascii="宋体" w:hAnsi="宋体"/>
                <w:color w:val="000000"/>
                <w:szCs w:val="21"/>
              </w:rPr>
            </w:pPr>
          </w:p>
        </w:tc>
        <w:tc>
          <w:tcPr>
            <w:tcW w:w="1815" w:type="dxa"/>
            <w:vAlign w:val="center"/>
          </w:tcPr>
          <w:p>
            <w:pPr>
              <w:jc w:val="center"/>
              <w:rPr>
                <w:rFonts w:ascii="宋体" w:hAnsi="宋体"/>
                <w:color w:val="000000"/>
                <w:szCs w:val="21"/>
              </w:rPr>
            </w:pPr>
            <w:r>
              <w:rPr>
                <w:rFonts w:hint="eastAsia" w:ascii="宋体" w:hAnsi="宋体"/>
                <w:color w:val="000000"/>
                <w:szCs w:val="21"/>
              </w:rPr>
              <w:t>拟在本工程任职</w:t>
            </w:r>
          </w:p>
        </w:tc>
        <w:tc>
          <w:tcPr>
            <w:tcW w:w="2096" w:type="dxa"/>
            <w:vAlign w:val="center"/>
          </w:tcPr>
          <w:p>
            <w:pPr>
              <w:jc w:val="center"/>
              <w:rPr>
                <w:rFonts w:ascii="宋体" w:hAnsi="宋体"/>
                <w:color w:val="000000"/>
                <w:szCs w:val="21"/>
              </w:rPr>
            </w:pPr>
            <w:r>
              <w:rPr>
                <w:rFonts w:hint="eastAsia" w:ascii="宋体" w:hAnsi="宋体"/>
                <w:color w:val="000000"/>
                <w:szCs w:val="21"/>
              </w:rPr>
              <w:t>项目负责人（项目经理）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217" w:type="dxa"/>
            <w:gridSpan w:val="3"/>
            <w:vAlign w:val="center"/>
          </w:tcPr>
          <w:p>
            <w:pPr>
              <w:jc w:val="center"/>
              <w:rPr>
                <w:rFonts w:ascii="宋体" w:hAnsi="宋体"/>
                <w:color w:val="000000"/>
                <w:szCs w:val="21"/>
              </w:rPr>
            </w:pPr>
            <w:r>
              <w:rPr>
                <w:rFonts w:hint="eastAsia" w:ascii="宋体" w:hAnsi="宋体"/>
                <w:color w:val="000000"/>
                <w:szCs w:val="21"/>
              </w:rPr>
              <w:t>注册建造师执业资格等级</w:t>
            </w:r>
          </w:p>
        </w:tc>
        <w:tc>
          <w:tcPr>
            <w:tcW w:w="1258" w:type="dxa"/>
            <w:vAlign w:val="center"/>
          </w:tcPr>
          <w:p>
            <w:pPr>
              <w:jc w:val="center"/>
              <w:rPr>
                <w:rFonts w:ascii="宋体" w:hAnsi="宋体"/>
                <w:color w:val="000000"/>
                <w:szCs w:val="21"/>
              </w:rPr>
            </w:pPr>
            <w:r>
              <w:rPr>
                <w:rFonts w:hint="eastAsia" w:ascii="宋体" w:hAnsi="宋体"/>
                <w:color w:val="000000"/>
                <w:szCs w:val="21"/>
              </w:rPr>
              <w:t xml:space="preserve">      级</w:t>
            </w:r>
          </w:p>
        </w:tc>
        <w:tc>
          <w:tcPr>
            <w:tcW w:w="1815" w:type="dxa"/>
            <w:vAlign w:val="center"/>
          </w:tcPr>
          <w:p>
            <w:pPr>
              <w:jc w:val="center"/>
              <w:rPr>
                <w:rFonts w:ascii="宋体" w:hAnsi="宋体"/>
                <w:color w:val="000000"/>
                <w:szCs w:val="21"/>
              </w:rPr>
            </w:pPr>
            <w:r>
              <w:rPr>
                <w:rFonts w:hint="eastAsia" w:ascii="宋体" w:hAnsi="宋体"/>
                <w:color w:val="000000"/>
                <w:szCs w:val="21"/>
              </w:rPr>
              <w:t>建造师专业</w:t>
            </w:r>
          </w:p>
        </w:tc>
        <w:tc>
          <w:tcPr>
            <w:tcW w:w="2096"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078" w:type="dxa"/>
            <w:vAlign w:val="center"/>
          </w:tcPr>
          <w:p>
            <w:pPr>
              <w:jc w:val="center"/>
              <w:rPr>
                <w:rFonts w:ascii="宋体" w:hAnsi="宋体"/>
                <w:color w:val="000000"/>
                <w:szCs w:val="21"/>
              </w:rPr>
            </w:pPr>
            <w:r>
              <w:rPr>
                <w:rFonts w:hint="eastAsia" w:ascii="宋体" w:hAnsi="宋体"/>
                <w:color w:val="000000"/>
                <w:szCs w:val="21"/>
              </w:rPr>
              <w:t>毕业学校</w:t>
            </w:r>
          </w:p>
        </w:tc>
        <w:tc>
          <w:tcPr>
            <w:tcW w:w="7308" w:type="dxa"/>
            <w:gridSpan w:val="5"/>
            <w:vAlign w:val="center"/>
          </w:tcPr>
          <w:p>
            <w:pPr>
              <w:ind w:firstLine="840" w:firstLineChars="400"/>
              <w:rPr>
                <w:rFonts w:ascii="宋体" w:hAnsi="宋体"/>
                <w:color w:val="000000"/>
                <w:szCs w:val="21"/>
              </w:rPr>
            </w:pPr>
            <w:r>
              <w:rPr>
                <w:rFonts w:hint="eastAsia" w:ascii="宋体" w:hAnsi="宋体"/>
                <w:color w:val="000000"/>
                <w:szCs w:val="21"/>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386" w:type="dxa"/>
            <w:gridSpan w:val="6"/>
            <w:vAlign w:val="center"/>
          </w:tcPr>
          <w:p>
            <w:pPr>
              <w:jc w:val="center"/>
              <w:rPr>
                <w:rFonts w:ascii="宋体" w:hAnsi="宋体"/>
                <w:color w:val="000000"/>
                <w:szCs w:val="21"/>
              </w:rPr>
            </w:pPr>
            <w:r>
              <w:rPr>
                <w:rFonts w:hint="eastAsia" w:ascii="宋体" w:hAnsi="宋体"/>
                <w:color w:val="000000"/>
                <w:szCs w:val="21"/>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078" w:type="dxa"/>
            <w:vAlign w:val="center"/>
          </w:tcPr>
          <w:p>
            <w:pPr>
              <w:jc w:val="center"/>
              <w:rPr>
                <w:rFonts w:ascii="宋体" w:hAnsi="宋体"/>
                <w:color w:val="000000"/>
                <w:szCs w:val="21"/>
              </w:rPr>
            </w:pPr>
            <w:r>
              <w:rPr>
                <w:rFonts w:hint="eastAsia" w:ascii="宋体" w:hAnsi="宋体"/>
                <w:color w:val="000000"/>
                <w:szCs w:val="21"/>
              </w:rPr>
              <w:t>时  间</w:t>
            </w:r>
          </w:p>
        </w:tc>
        <w:tc>
          <w:tcPr>
            <w:tcW w:w="3397" w:type="dxa"/>
            <w:gridSpan w:val="3"/>
            <w:vAlign w:val="center"/>
          </w:tcPr>
          <w:p>
            <w:pPr>
              <w:jc w:val="center"/>
              <w:rPr>
                <w:rFonts w:ascii="宋体" w:hAnsi="宋体"/>
                <w:color w:val="000000"/>
                <w:szCs w:val="21"/>
              </w:rPr>
            </w:pPr>
            <w:r>
              <w:rPr>
                <w:rFonts w:hint="eastAsia" w:ascii="宋体" w:hAnsi="宋体"/>
                <w:color w:val="000000"/>
                <w:szCs w:val="21"/>
              </w:rPr>
              <w:t>参加过的类似项目名称</w:t>
            </w:r>
          </w:p>
        </w:tc>
        <w:tc>
          <w:tcPr>
            <w:tcW w:w="1815" w:type="dxa"/>
            <w:vAlign w:val="center"/>
          </w:tcPr>
          <w:p>
            <w:pPr>
              <w:jc w:val="center"/>
              <w:rPr>
                <w:rFonts w:ascii="宋体" w:hAnsi="宋体"/>
                <w:color w:val="000000"/>
                <w:szCs w:val="21"/>
              </w:rPr>
            </w:pPr>
            <w:r>
              <w:rPr>
                <w:rFonts w:hint="eastAsia" w:ascii="宋体" w:hAnsi="宋体"/>
                <w:color w:val="000000"/>
                <w:szCs w:val="21"/>
              </w:rPr>
              <w:t>工程概况说明</w:t>
            </w:r>
          </w:p>
        </w:tc>
        <w:tc>
          <w:tcPr>
            <w:tcW w:w="2096" w:type="dxa"/>
            <w:vAlign w:val="center"/>
          </w:tcPr>
          <w:p>
            <w:pPr>
              <w:jc w:val="center"/>
              <w:rPr>
                <w:rFonts w:ascii="宋体" w:hAnsi="宋体"/>
                <w:color w:val="000000"/>
                <w:szCs w:val="21"/>
              </w:rPr>
            </w:pPr>
            <w:r>
              <w:rPr>
                <w:rFonts w:hint="eastAsia" w:ascii="宋体" w:hAnsi="宋体"/>
                <w:color w:val="000000"/>
                <w:szCs w:val="21"/>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trPr>
        <w:tc>
          <w:tcPr>
            <w:tcW w:w="1078" w:type="dxa"/>
            <w:vAlign w:val="center"/>
          </w:tcPr>
          <w:p>
            <w:pPr>
              <w:jc w:val="center"/>
              <w:rPr>
                <w:rFonts w:ascii="宋体" w:hAnsi="宋体"/>
                <w:color w:val="000000"/>
                <w:szCs w:val="21"/>
              </w:rPr>
            </w:pPr>
          </w:p>
        </w:tc>
        <w:tc>
          <w:tcPr>
            <w:tcW w:w="1019" w:type="dxa"/>
            <w:vAlign w:val="center"/>
          </w:tcPr>
          <w:p>
            <w:pPr>
              <w:jc w:val="center"/>
              <w:rPr>
                <w:rFonts w:ascii="宋体" w:hAnsi="宋体"/>
                <w:color w:val="000000"/>
                <w:szCs w:val="21"/>
              </w:rPr>
            </w:pPr>
          </w:p>
        </w:tc>
        <w:tc>
          <w:tcPr>
            <w:tcW w:w="1120" w:type="dxa"/>
            <w:vAlign w:val="center"/>
          </w:tcPr>
          <w:p>
            <w:pPr>
              <w:jc w:val="center"/>
              <w:rPr>
                <w:rFonts w:ascii="宋体" w:hAnsi="宋体"/>
                <w:color w:val="000000"/>
                <w:szCs w:val="21"/>
              </w:rPr>
            </w:pPr>
          </w:p>
        </w:tc>
        <w:tc>
          <w:tcPr>
            <w:tcW w:w="1258" w:type="dxa"/>
            <w:vAlign w:val="center"/>
          </w:tcPr>
          <w:p>
            <w:pPr>
              <w:jc w:val="center"/>
              <w:rPr>
                <w:rFonts w:ascii="宋体" w:hAnsi="宋体"/>
                <w:color w:val="000000"/>
                <w:szCs w:val="21"/>
              </w:rPr>
            </w:pPr>
          </w:p>
        </w:tc>
        <w:tc>
          <w:tcPr>
            <w:tcW w:w="1815" w:type="dxa"/>
            <w:vAlign w:val="center"/>
          </w:tcPr>
          <w:p>
            <w:pPr>
              <w:jc w:val="center"/>
              <w:rPr>
                <w:rFonts w:ascii="宋体" w:hAnsi="宋体"/>
                <w:color w:val="000000"/>
                <w:szCs w:val="21"/>
              </w:rPr>
            </w:pPr>
          </w:p>
        </w:tc>
        <w:tc>
          <w:tcPr>
            <w:tcW w:w="2096"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trPr>
        <w:tc>
          <w:tcPr>
            <w:tcW w:w="1078" w:type="dxa"/>
            <w:vAlign w:val="center"/>
          </w:tcPr>
          <w:p>
            <w:pPr>
              <w:jc w:val="center"/>
              <w:rPr>
                <w:rFonts w:ascii="宋体" w:hAnsi="宋体"/>
                <w:color w:val="000000"/>
                <w:szCs w:val="21"/>
              </w:rPr>
            </w:pPr>
          </w:p>
        </w:tc>
        <w:tc>
          <w:tcPr>
            <w:tcW w:w="1019" w:type="dxa"/>
            <w:vAlign w:val="center"/>
          </w:tcPr>
          <w:p>
            <w:pPr>
              <w:jc w:val="center"/>
              <w:rPr>
                <w:rFonts w:ascii="宋体" w:hAnsi="宋体"/>
                <w:color w:val="000000"/>
                <w:szCs w:val="21"/>
              </w:rPr>
            </w:pPr>
          </w:p>
        </w:tc>
        <w:tc>
          <w:tcPr>
            <w:tcW w:w="1120" w:type="dxa"/>
            <w:vAlign w:val="center"/>
          </w:tcPr>
          <w:p>
            <w:pPr>
              <w:jc w:val="center"/>
              <w:rPr>
                <w:rFonts w:ascii="宋体" w:hAnsi="宋体"/>
                <w:color w:val="000000"/>
                <w:szCs w:val="21"/>
              </w:rPr>
            </w:pPr>
          </w:p>
        </w:tc>
        <w:tc>
          <w:tcPr>
            <w:tcW w:w="1258" w:type="dxa"/>
            <w:vAlign w:val="center"/>
          </w:tcPr>
          <w:p>
            <w:pPr>
              <w:jc w:val="center"/>
              <w:rPr>
                <w:rFonts w:ascii="宋体" w:hAnsi="宋体"/>
                <w:color w:val="000000"/>
                <w:szCs w:val="21"/>
              </w:rPr>
            </w:pPr>
          </w:p>
        </w:tc>
        <w:tc>
          <w:tcPr>
            <w:tcW w:w="1815" w:type="dxa"/>
            <w:vAlign w:val="center"/>
          </w:tcPr>
          <w:p>
            <w:pPr>
              <w:jc w:val="center"/>
              <w:rPr>
                <w:rFonts w:ascii="宋体" w:hAnsi="宋体"/>
                <w:color w:val="000000"/>
                <w:szCs w:val="21"/>
              </w:rPr>
            </w:pPr>
          </w:p>
        </w:tc>
        <w:tc>
          <w:tcPr>
            <w:tcW w:w="2096"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trPr>
        <w:tc>
          <w:tcPr>
            <w:tcW w:w="1078" w:type="dxa"/>
            <w:vAlign w:val="center"/>
          </w:tcPr>
          <w:p>
            <w:pPr>
              <w:jc w:val="center"/>
              <w:rPr>
                <w:rFonts w:ascii="宋体" w:hAnsi="宋体"/>
                <w:color w:val="000000"/>
                <w:szCs w:val="21"/>
              </w:rPr>
            </w:pPr>
          </w:p>
        </w:tc>
        <w:tc>
          <w:tcPr>
            <w:tcW w:w="1019" w:type="dxa"/>
            <w:vAlign w:val="center"/>
          </w:tcPr>
          <w:p>
            <w:pPr>
              <w:jc w:val="center"/>
              <w:rPr>
                <w:rFonts w:ascii="宋体" w:hAnsi="宋体"/>
                <w:color w:val="000000"/>
                <w:szCs w:val="21"/>
              </w:rPr>
            </w:pPr>
          </w:p>
        </w:tc>
        <w:tc>
          <w:tcPr>
            <w:tcW w:w="1120" w:type="dxa"/>
            <w:vAlign w:val="center"/>
          </w:tcPr>
          <w:p>
            <w:pPr>
              <w:jc w:val="center"/>
              <w:rPr>
                <w:rFonts w:ascii="宋体" w:hAnsi="宋体"/>
                <w:color w:val="000000"/>
                <w:szCs w:val="21"/>
              </w:rPr>
            </w:pPr>
          </w:p>
        </w:tc>
        <w:tc>
          <w:tcPr>
            <w:tcW w:w="1258" w:type="dxa"/>
            <w:vAlign w:val="center"/>
          </w:tcPr>
          <w:p>
            <w:pPr>
              <w:jc w:val="center"/>
              <w:rPr>
                <w:rFonts w:ascii="宋体" w:hAnsi="宋体"/>
                <w:color w:val="000000"/>
                <w:szCs w:val="21"/>
              </w:rPr>
            </w:pPr>
          </w:p>
        </w:tc>
        <w:tc>
          <w:tcPr>
            <w:tcW w:w="1815" w:type="dxa"/>
            <w:vAlign w:val="center"/>
          </w:tcPr>
          <w:p>
            <w:pPr>
              <w:jc w:val="center"/>
              <w:rPr>
                <w:rFonts w:ascii="宋体" w:hAnsi="宋体"/>
                <w:color w:val="000000"/>
                <w:szCs w:val="21"/>
              </w:rPr>
            </w:pPr>
          </w:p>
        </w:tc>
        <w:tc>
          <w:tcPr>
            <w:tcW w:w="2096"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trPr>
        <w:tc>
          <w:tcPr>
            <w:tcW w:w="1078" w:type="dxa"/>
            <w:vAlign w:val="center"/>
          </w:tcPr>
          <w:p>
            <w:pPr>
              <w:jc w:val="center"/>
              <w:rPr>
                <w:rFonts w:ascii="宋体" w:hAnsi="宋体"/>
                <w:color w:val="000000"/>
                <w:szCs w:val="21"/>
              </w:rPr>
            </w:pPr>
          </w:p>
        </w:tc>
        <w:tc>
          <w:tcPr>
            <w:tcW w:w="1019" w:type="dxa"/>
            <w:vAlign w:val="center"/>
          </w:tcPr>
          <w:p>
            <w:pPr>
              <w:jc w:val="center"/>
              <w:rPr>
                <w:rFonts w:ascii="宋体" w:hAnsi="宋体"/>
                <w:color w:val="000000"/>
                <w:szCs w:val="21"/>
              </w:rPr>
            </w:pPr>
          </w:p>
        </w:tc>
        <w:tc>
          <w:tcPr>
            <w:tcW w:w="1120" w:type="dxa"/>
            <w:vAlign w:val="center"/>
          </w:tcPr>
          <w:p>
            <w:pPr>
              <w:jc w:val="center"/>
              <w:rPr>
                <w:rFonts w:ascii="宋体" w:hAnsi="宋体"/>
                <w:color w:val="000000"/>
                <w:szCs w:val="21"/>
              </w:rPr>
            </w:pPr>
          </w:p>
        </w:tc>
        <w:tc>
          <w:tcPr>
            <w:tcW w:w="1258" w:type="dxa"/>
            <w:vAlign w:val="center"/>
          </w:tcPr>
          <w:p>
            <w:pPr>
              <w:jc w:val="center"/>
              <w:rPr>
                <w:rFonts w:ascii="宋体" w:hAnsi="宋体"/>
                <w:color w:val="000000"/>
                <w:szCs w:val="21"/>
              </w:rPr>
            </w:pPr>
          </w:p>
        </w:tc>
        <w:tc>
          <w:tcPr>
            <w:tcW w:w="1815" w:type="dxa"/>
            <w:vAlign w:val="center"/>
          </w:tcPr>
          <w:p>
            <w:pPr>
              <w:jc w:val="center"/>
              <w:rPr>
                <w:rFonts w:ascii="宋体" w:hAnsi="宋体"/>
                <w:color w:val="000000"/>
                <w:szCs w:val="21"/>
              </w:rPr>
            </w:pPr>
          </w:p>
        </w:tc>
        <w:tc>
          <w:tcPr>
            <w:tcW w:w="2096"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trPr>
        <w:tc>
          <w:tcPr>
            <w:tcW w:w="1078" w:type="dxa"/>
            <w:vAlign w:val="center"/>
          </w:tcPr>
          <w:p>
            <w:pPr>
              <w:jc w:val="center"/>
              <w:rPr>
                <w:rFonts w:ascii="宋体" w:hAnsi="宋体"/>
                <w:color w:val="000000"/>
                <w:szCs w:val="21"/>
              </w:rPr>
            </w:pPr>
          </w:p>
        </w:tc>
        <w:tc>
          <w:tcPr>
            <w:tcW w:w="1019" w:type="dxa"/>
            <w:vAlign w:val="center"/>
          </w:tcPr>
          <w:p>
            <w:pPr>
              <w:jc w:val="center"/>
              <w:rPr>
                <w:rFonts w:ascii="宋体" w:hAnsi="宋体"/>
                <w:color w:val="000000"/>
                <w:szCs w:val="21"/>
              </w:rPr>
            </w:pPr>
          </w:p>
        </w:tc>
        <w:tc>
          <w:tcPr>
            <w:tcW w:w="1120" w:type="dxa"/>
            <w:vAlign w:val="center"/>
          </w:tcPr>
          <w:p>
            <w:pPr>
              <w:jc w:val="center"/>
              <w:rPr>
                <w:rFonts w:ascii="宋体" w:hAnsi="宋体"/>
                <w:color w:val="000000"/>
                <w:szCs w:val="21"/>
              </w:rPr>
            </w:pPr>
          </w:p>
        </w:tc>
        <w:tc>
          <w:tcPr>
            <w:tcW w:w="1258" w:type="dxa"/>
            <w:vAlign w:val="center"/>
          </w:tcPr>
          <w:p>
            <w:pPr>
              <w:jc w:val="center"/>
              <w:rPr>
                <w:rFonts w:ascii="宋体" w:hAnsi="宋体"/>
                <w:color w:val="000000"/>
                <w:szCs w:val="21"/>
              </w:rPr>
            </w:pPr>
          </w:p>
        </w:tc>
        <w:tc>
          <w:tcPr>
            <w:tcW w:w="1815" w:type="dxa"/>
            <w:vAlign w:val="center"/>
          </w:tcPr>
          <w:p>
            <w:pPr>
              <w:jc w:val="center"/>
              <w:rPr>
                <w:rFonts w:ascii="宋体" w:hAnsi="宋体"/>
                <w:color w:val="000000"/>
                <w:szCs w:val="21"/>
              </w:rPr>
            </w:pPr>
          </w:p>
        </w:tc>
        <w:tc>
          <w:tcPr>
            <w:tcW w:w="2096"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trPr>
        <w:tc>
          <w:tcPr>
            <w:tcW w:w="1078" w:type="dxa"/>
            <w:vAlign w:val="center"/>
          </w:tcPr>
          <w:p>
            <w:pPr>
              <w:jc w:val="center"/>
              <w:rPr>
                <w:rFonts w:ascii="宋体" w:hAnsi="宋体"/>
                <w:color w:val="000000"/>
                <w:szCs w:val="21"/>
              </w:rPr>
            </w:pPr>
          </w:p>
        </w:tc>
        <w:tc>
          <w:tcPr>
            <w:tcW w:w="1019" w:type="dxa"/>
            <w:vAlign w:val="center"/>
          </w:tcPr>
          <w:p>
            <w:pPr>
              <w:jc w:val="center"/>
              <w:rPr>
                <w:rFonts w:ascii="宋体" w:hAnsi="宋体"/>
                <w:color w:val="000000"/>
                <w:szCs w:val="21"/>
              </w:rPr>
            </w:pPr>
          </w:p>
        </w:tc>
        <w:tc>
          <w:tcPr>
            <w:tcW w:w="1120" w:type="dxa"/>
            <w:vAlign w:val="center"/>
          </w:tcPr>
          <w:p>
            <w:pPr>
              <w:jc w:val="center"/>
              <w:rPr>
                <w:rFonts w:ascii="宋体" w:hAnsi="宋体"/>
                <w:color w:val="000000"/>
                <w:szCs w:val="21"/>
              </w:rPr>
            </w:pPr>
          </w:p>
        </w:tc>
        <w:tc>
          <w:tcPr>
            <w:tcW w:w="1258" w:type="dxa"/>
            <w:vAlign w:val="center"/>
          </w:tcPr>
          <w:p>
            <w:pPr>
              <w:jc w:val="center"/>
              <w:rPr>
                <w:rFonts w:ascii="宋体" w:hAnsi="宋体"/>
                <w:color w:val="000000"/>
                <w:szCs w:val="21"/>
              </w:rPr>
            </w:pPr>
          </w:p>
        </w:tc>
        <w:tc>
          <w:tcPr>
            <w:tcW w:w="1815" w:type="dxa"/>
            <w:vAlign w:val="center"/>
          </w:tcPr>
          <w:p>
            <w:pPr>
              <w:jc w:val="center"/>
              <w:rPr>
                <w:rFonts w:ascii="宋体" w:hAnsi="宋体"/>
                <w:color w:val="000000"/>
                <w:szCs w:val="21"/>
              </w:rPr>
            </w:pPr>
          </w:p>
        </w:tc>
        <w:tc>
          <w:tcPr>
            <w:tcW w:w="2096"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trPr>
        <w:tc>
          <w:tcPr>
            <w:tcW w:w="1078" w:type="dxa"/>
            <w:vAlign w:val="center"/>
          </w:tcPr>
          <w:p>
            <w:pPr>
              <w:jc w:val="center"/>
              <w:rPr>
                <w:rFonts w:ascii="宋体" w:hAnsi="宋体"/>
                <w:color w:val="000000"/>
                <w:szCs w:val="21"/>
              </w:rPr>
            </w:pPr>
          </w:p>
        </w:tc>
        <w:tc>
          <w:tcPr>
            <w:tcW w:w="1019" w:type="dxa"/>
            <w:vAlign w:val="center"/>
          </w:tcPr>
          <w:p>
            <w:pPr>
              <w:jc w:val="center"/>
              <w:rPr>
                <w:rFonts w:ascii="宋体" w:hAnsi="宋体"/>
                <w:color w:val="000000"/>
                <w:szCs w:val="21"/>
              </w:rPr>
            </w:pPr>
          </w:p>
        </w:tc>
        <w:tc>
          <w:tcPr>
            <w:tcW w:w="1120" w:type="dxa"/>
            <w:vAlign w:val="center"/>
          </w:tcPr>
          <w:p>
            <w:pPr>
              <w:jc w:val="center"/>
              <w:rPr>
                <w:rFonts w:ascii="宋体" w:hAnsi="宋体"/>
                <w:color w:val="000000"/>
                <w:szCs w:val="21"/>
              </w:rPr>
            </w:pPr>
          </w:p>
        </w:tc>
        <w:tc>
          <w:tcPr>
            <w:tcW w:w="1258" w:type="dxa"/>
            <w:vAlign w:val="center"/>
          </w:tcPr>
          <w:p>
            <w:pPr>
              <w:jc w:val="center"/>
              <w:rPr>
                <w:rFonts w:ascii="宋体" w:hAnsi="宋体"/>
                <w:color w:val="000000"/>
                <w:szCs w:val="21"/>
              </w:rPr>
            </w:pPr>
          </w:p>
        </w:tc>
        <w:tc>
          <w:tcPr>
            <w:tcW w:w="1815" w:type="dxa"/>
            <w:vAlign w:val="center"/>
          </w:tcPr>
          <w:p>
            <w:pPr>
              <w:jc w:val="center"/>
              <w:rPr>
                <w:rFonts w:ascii="宋体" w:hAnsi="宋体"/>
                <w:color w:val="000000"/>
                <w:szCs w:val="21"/>
              </w:rPr>
            </w:pPr>
          </w:p>
        </w:tc>
        <w:tc>
          <w:tcPr>
            <w:tcW w:w="2096"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trPr>
        <w:tc>
          <w:tcPr>
            <w:tcW w:w="1078" w:type="dxa"/>
            <w:vAlign w:val="center"/>
          </w:tcPr>
          <w:p>
            <w:pPr>
              <w:jc w:val="center"/>
              <w:rPr>
                <w:rFonts w:ascii="宋体" w:hAnsi="宋体"/>
                <w:color w:val="000000"/>
                <w:szCs w:val="21"/>
              </w:rPr>
            </w:pPr>
          </w:p>
        </w:tc>
        <w:tc>
          <w:tcPr>
            <w:tcW w:w="1019" w:type="dxa"/>
            <w:vAlign w:val="center"/>
          </w:tcPr>
          <w:p>
            <w:pPr>
              <w:jc w:val="center"/>
              <w:rPr>
                <w:rFonts w:ascii="宋体" w:hAnsi="宋体"/>
                <w:color w:val="000000"/>
                <w:szCs w:val="21"/>
              </w:rPr>
            </w:pPr>
          </w:p>
        </w:tc>
        <w:tc>
          <w:tcPr>
            <w:tcW w:w="1120" w:type="dxa"/>
            <w:vAlign w:val="center"/>
          </w:tcPr>
          <w:p>
            <w:pPr>
              <w:jc w:val="center"/>
              <w:rPr>
                <w:rFonts w:ascii="宋体" w:hAnsi="宋体"/>
                <w:color w:val="000000"/>
                <w:szCs w:val="21"/>
              </w:rPr>
            </w:pPr>
          </w:p>
        </w:tc>
        <w:tc>
          <w:tcPr>
            <w:tcW w:w="1258" w:type="dxa"/>
            <w:vAlign w:val="center"/>
          </w:tcPr>
          <w:p>
            <w:pPr>
              <w:jc w:val="center"/>
              <w:rPr>
                <w:rFonts w:ascii="宋体" w:hAnsi="宋体"/>
                <w:color w:val="000000"/>
                <w:szCs w:val="21"/>
              </w:rPr>
            </w:pPr>
          </w:p>
        </w:tc>
        <w:tc>
          <w:tcPr>
            <w:tcW w:w="1815" w:type="dxa"/>
            <w:vAlign w:val="center"/>
          </w:tcPr>
          <w:p>
            <w:pPr>
              <w:jc w:val="center"/>
              <w:rPr>
                <w:rFonts w:ascii="宋体" w:hAnsi="宋体"/>
                <w:color w:val="000000"/>
                <w:szCs w:val="21"/>
              </w:rPr>
            </w:pPr>
          </w:p>
        </w:tc>
        <w:tc>
          <w:tcPr>
            <w:tcW w:w="2096" w:type="dxa"/>
            <w:vAlign w:val="center"/>
          </w:tcPr>
          <w:p>
            <w:pPr>
              <w:jc w:val="center"/>
              <w:rPr>
                <w:rFonts w:ascii="宋体" w:hAnsi="宋体"/>
                <w:color w:val="000000"/>
                <w:szCs w:val="21"/>
              </w:rPr>
            </w:pPr>
          </w:p>
        </w:tc>
      </w:tr>
    </w:tbl>
    <w:p>
      <w:pPr>
        <w:spacing w:line="420" w:lineRule="exact"/>
        <w:rPr>
          <w:rFonts w:ascii="宋体" w:hAnsi="宋体"/>
          <w:color w:val="000000"/>
          <w:szCs w:val="21"/>
        </w:rPr>
      </w:pPr>
    </w:p>
    <w:p>
      <w:pPr>
        <w:spacing w:line="420" w:lineRule="exact"/>
        <w:rPr>
          <w:rFonts w:ascii="黑体" w:hAnsi="宋体" w:eastAsia="黑体"/>
          <w:color w:val="000000"/>
          <w:szCs w:val="21"/>
        </w:rPr>
      </w:pPr>
      <w:r>
        <w:rPr>
          <w:rFonts w:ascii="宋体" w:hAnsi="宋体"/>
          <w:color w:val="000000"/>
          <w:szCs w:val="21"/>
        </w:rPr>
        <w:br w:type="page"/>
      </w:r>
      <w:r>
        <w:rPr>
          <w:rFonts w:hint="eastAsia" w:ascii="黑体" w:hAnsi="宋体" w:eastAsia="黑体"/>
          <w:color w:val="000000"/>
          <w:szCs w:val="21"/>
        </w:rPr>
        <w:t>附2：主要项目管理人员表</w:t>
      </w:r>
      <w:r>
        <w:rPr>
          <w:rFonts w:ascii="黑体" w:hAnsi="黑体" w:eastAsia="黑体" w:cs="黑体"/>
          <w:spacing w:val="-4"/>
          <w:sz w:val="21"/>
          <w:szCs w:val="21"/>
        </w:rPr>
        <w:t>（投标文件中可不填写，中标后提供给招标人进行审查）</w:t>
      </w:r>
    </w:p>
    <w:p>
      <w:pPr>
        <w:spacing w:line="420" w:lineRule="exact"/>
        <w:rPr>
          <w:rFonts w:ascii="宋体" w:hAnsi="宋体"/>
          <w:color w:val="000000"/>
          <w:szCs w:val="21"/>
        </w:rPr>
      </w:pPr>
      <w:r>
        <w:rPr>
          <w:rFonts w:hint="eastAsia" w:ascii="宋体" w:hAnsi="宋体"/>
          <w:color w:val="000000"/>
          <w:szCs w:val="21"/>
        </w:rPr>
        <w:t>主要项目管理人员指项目技术负责人、施工员、安全员、质量员、资料员、机械管理人员（如有）等岗位人员。应附岗位证、身份证、职称证、学历证、养老保险、劳动合同复印件，主要业绩须附合同协议书。</w:t>
      </w:r>
    </w:p>
    <w:tbl>
      <w:tblPr>
        <w:tblStyle w:val="36"/>
        <w:tblW w:w="0" w:type="auto"/>
        <w:tblInd w:w="0" w:type="dxa"/>
        <w:tblLayout w:type="autofit"/>
        <w:tblCellMar>
          <w:top w:w="0" w:type="dxa"/>
          <w:left w:w="0" w:type="dxa"/>
          <w:bottom w:w="0" w:type="dxa"/>
          <w:right w:w="0" w:type="dxa"/>
        </w:tblCellMar>
      </w:tblPr>
      <w:tblGrid>
        <w:gridCol w:w="2180"/>
        <w:gridCol w:w="2180"/>
        <w:gridCol w:w="1418"/>
        <w:gridCol w:w="2942"/>
      </w:tblGrid>
      <w:tr>
        <w:trPr>
          <w:trHeight w:val="454" w:hRule="atLeast"/>
        </w:trPr>
        <w:tc>
          <w:tcPr>
            <w:tcW w:w="2180"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jc w:val="left"/>
              <w:rPr>
                <w:kern w:val="0"/>
                <w:szCs w:val="21"/>
              </w:rPr>
            </w:pPr>
            <w:r>
              <w:rPr>
                <w:rFonts w:hint="eastAsia" w:ascii="宋体" w:hAnsi="宋体"/>
                <w:kern w:val="0"/>
                <w:szCs w:val="21"/>
              </w:rPr>
              <w:t xml:space="preserve">岗位名称 </w:t>
            </w:r>
          </w:p>
        </w:tc>
        <w:tc>
          <w:tcPr>
            <w:tcW w:w="6540" w:type="dxa"/>
            <w:gridSpan w:val="3"/>
            <w:tcBorders>
              <w:top w:val="single" w:color="000000" w:sz="8" w:space="0"/>
              <w:left w:val="nil"/>
              <w:bottom w:val="single" w:color="000000" w:sz="8" w:space="0"/>
              <w:right w:val="single" w:color="000000" w:sz="8" w:space="0"/>
            </w:tcBorders>
            <w:tcMar>
              <w:top w:w="0" w:type="dxa"/>
              <w:left w:w="108" w:type="dxa"/>
              <w:bottom w:w="0" w:type="dxa"/>
              <w:right w:w="108" w:type="dxa"/>
            </w:tcMar>
            <w:vAlign w:val="center"/>
          </w:tcPr>
          <w:p>
            <w:pPr>
              <w:widowControl/>
              <w:jc w:val="left"/>
              <w:rPr>
                <w:kern w:val="0"/>
                <w:szCs w:val="21"/>
              </w:rPr>
            </w:pPr>
            <w:r>
              <w:rPr>
                <w:rFonts w:hint="eastAsia" w:ascii="宋体" w:hAnsi="宋体"/>
                <w:kern w:val="0"/>
                <w:szCs w:val="21"/>
              </w:rPr>
              <w:t> </w:t>
            </w:r>
          </w:p>
        </w:tc>
      </w:tr>
      <w:tr>
        <w:trPr>
          <w:trHeight w:val="454" w:hRule="atLeast"/>
        </w:trPr>
        <w:tc>
          <w:tcPr>
            <w:tcW w:w="2180" w:type="dxa"/>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jc w:val="left"/>
              <w:rPr>
                <w:kern w:val="0"/>
                <w:szCs w:val="21"/>
              </w:rPr>
            </w:pPr>
            <w:r>
              <w:rPr>
                <w:rFonts w:hint="eastAsia" w:ascii="宋体" w:hAnsi="宋体"/>
                <w:kern w:val="0"/>
                <w:szCs w:val="21"/>
              </w:rPr>
              <w:t>姓    名</w:t>
            </w:r>
          </w:p>
        </w:tc>
        <w:tc>
          <w:tcPr>
            <w:tcW w:w="2180"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jc w:val="left"/>
              <w:rPr>
                <w:kern w:val="0"/>
                <w:szCs w:val="21"/>
              </w:rPr>
            </w:pPr>
            <w:r>
              <w:rPr>
                <w:rFonts w:hint="eastAsia" w:ascii="宋体" w:hAnsi="宋体"/>
                <w:kern w:val="0"/>
                <w:szCs w:val="21"/>
              </w:rPr>
              <w:t> </w:t>
            </w:r>
          </w:p>
        </w:tc>
        <w:tc>
          <w:tcPr>
            <w:tcW w:w="1418"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jc w:val="left"/>
              <w:rPr>
                <w:kern w:val="0"/>
                <w:szCs w:val="21"/>
              </w:rPr>
            </w:pPr>
            <w:r>
              <w:rPr>
                <w:rFonts w:hint="eastAsia" w:ascii="宋体" w:hAnsi="宋体"/>
                <w:kern w:val="0"/>
                <w:szCs w:val="21"/>
              </w:rPr>
              <w:t>年    龄</w:t>
            </w:r>
          </w:p>
        </w:tc>
        <w:tc>
          <w:tcPr>
            <w:tcW w:w="2942"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jc w:val="left"/>
              <w:rPr>
                <w:kern w:val="0"/>
                <w:szCs w:val="21"/>
              </w:rPr>
            </w:pPr>
            <w:r>
              <w:rPr>
                <w:rFonts w:hint="eastAsia" w:ascii="宋体" w:hAnsi="宋体"/>
                <w:kern w:val="0"/>
                <w:szCs w:val="21"/>
              </w:rPr>
              <w:t> </w:t>
            </w:r>
          </w:p>
        </w:tc>
      </w:tr>
      <w:tr>
        <w:trPr>
          <w:trHeight w:val="454" w:hRule="atLeast"/>
        </w:trPr>
        <w:tc>
          <w:tcPr>
            <w:tcW w:w="2180" w:type="dxa"/>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jc w:val="left"/>
              <w:rPr>
                <w:kern w:val="0"/>
                <w:szCs w:val="21"/>
              </w:rPr>
            </w:pPr>
            <w:r>
              <w:rPr>
                <w:rFonts w:hint="eastAsia" w:ascii="宋体" w:hAnsi="宋体"/>
                <w:kern w:val="0"/>
                <w:szCs w:val="21"/>
              </w:rPr>
              <w:t>性    别</w:t>
            </w:r>
          </w:p>
        </w:tc>
        <w:tc>
          <w:tcPr>
            <w:tcW w:w="2180"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jc w:val="left"/>
              <w:rPr>
                <w:kern w:val="0"/>
                <w:szCs w:val="21"/>
              </w:rPr>
            </w:pPr>
            <w:r>
              <w:rPr>
                <w:rFonts w:hint="eastAsia" w:ascii="宋体" w:hAnsi="宋体"/>
                <w:kern w:val="0"/>
                <w:szCs w:val="21"/>
              </w:rPr>
              <w:t> </w:t>
            </w:r>
          </w:p>
        </w:tc>
        <w:tc>
          <w:tcPr>
            <w:tcW w:w="1418"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jc w:val="left"/>
              <w:rPr>
                <w:kern w:val="0"/>
                <w:szCs w:val="21"/>
              </w:rPr>
            </w:pPr>
            <w:r>
              <w:rPr>
                <w:rFonts w:hint="eastAsia" w:ascii="宋体" w:hAnsi="宋体"/>
                <w:kern w:val="0"/>
                <w:szCs w:val="21"/>
              </w:rPr>
              <w:t>毕业学校</w:t>
            </w:r>
          </w:p>
        </w:tc>
        <w:tc>
          <w:tcPr>
            <w:tcW w:w="2942"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jc w:val="left"/>
              <w:rPr>
                <w:kern w:val="0"/>
                <w:szCs w:val="21"/>
              </w:rPr>
            </w:pPr>
            <w:r>
              <w:rPr>
                <w:rFonts w:hint="eastAsia" w:ascii="宋体" w:hAnsi="宋体"/>
                <w:kern w:val="0"/>
                <w:szCs w:val="21"/>
              </w:rPr>
              <w:t> </w:t>
            </w:r>
          </w:p>
        </w:tc>
      </w:tr>
      <w:tr>
        <w:trPr>
          <w:trHeight w:val="454" w:hRule="atLeast"/>
        </w:trPr>
        <w:tc>
          <w:tcPr>
            <w:tcW w:w="2180" w:type="dxa"/>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jc w:val="left"/>
              <w:rPr>
                <w:kern w:val="0"/>
                <w:szCs w:val="21"/>
              </w:rPr>
            </w:pPr>
            <w:r>
              <w:rPr>
                <w:rFonts w:hint="eastAsia" w:ascii="宋体" w:hAnsi="宋体"/>
                <w:kern w:val="0"/>
                <w:szCs w:val="21"/>
              </w:rPr>
              <w:t>学历和专业</w:t>
            </w:r>
          </w:p>
        </w:tc>
        <w:tc>
          <w:tcPr>
            <w:tcW w:w="2180"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jc w:val="left"/>
              <w:rPr>
                <w:kern w:val="0"/>
                <w:szCs w:val="21"/>
              </w:rPr>
            </w:pPr>
            <w:r>
              <w:rPr>
                <w:rFonts w:hint="eastAsia" w:ascii="宋体" w:hAnsi="宋体"/>
                <w:kern w:val="0"/>
                <w:szCs w:val="21"/>
              </w:rPr>
              <w:t> </w:t>
            </w:r>
          </w:p>
        </w:tc>
        <w:tc>
          <w:tcPr>
            <w:tcW w:w="1418"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jc w:val="left"/>
              <w:rPr>
                <w:kern w:val="0"/>
                <w:szCs w:val="21"/>
              </w:rPr>
            </w:pPr>
            <w:r>
              <w:rPr>
                <w:rFonts w:hint="eastAsia" w:ascii="宋体" w:hAnsi="宋体"/>
                <w:kern w:val="0"/>
                <w:szCs w:val="21"/>
              </w:rPr>
              <w:t>毕业时间</w:t>
            </w:r>
          </w:p>
        </w:tc>
        <w:tc>
          <w:tcPr>
            <w:tcW w:w="2942"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jc w:val="left"/>
              <w:rPr>
                <w:kern w:val="0"/>
                <w:szCs w:val="21"/>
              </w:rPr>
            </w:pPr>
            <w:r>
              <w:rPr>
                <w:rFonts w:hint="eastAsia" w:ascii="宋体" w:hAnsi="宋体"/>
                <w:kern w:val="0"/>
                <w:szCs w:val="21"/>
              </w:rPr>
              <w:t> </w:t>
            </w:r>
          </w:p>
        </w:tc>
      </w:tr>
      <w:tr>
        <w:trPr>
          <w:trHeight w:val="454" w:hRule="atLeast"/>
        </w:trPr>
        <w:tc>
          <w:tcPr>
            <w:tcW w:w="2180" w:type="dxa"/>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jc w:val="left"/>
              <w:rPr>
                <w:kern w:val="0"/>
                <w:szCs w:val="21"/>
              </w:rPr>
            </w:pPr>
            <w:r>
              <w:rPr>
                <w:rFonts w:hint="eastAsia" w:ascii="宋体" w:hAnsi="宋体"/>
                <w:kern w:val="0"/>
                <w:szCs w:val="21"/>
              </w:rPr>
              <w:t>拥有的执业资格</w:t>
            </w:r>
          </w:p>
        </w:tc>
        <w:tc>
          <w:tcPr>
            <w:tcW w:w="2180"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jc w:val="left"/>
              <w:rPr>
                <w:kern w:val="0"/>
                <w:szCs w:val="21"/>
              </w:rPr>
            </w:pPr>
            <w:r>
              <w:rPr>
                <w:rFonts w:hint="eastAsia" w:ascii="宋体" w:hAnsi="宋体"/>
                <w:kern w:val="0"/>
                <w:szCs w:val="21"/>
              </w:rPr>
              <w:t> </w:t>
            </w:r>
          </w:p>
        </w:tc>
        <w:tc>
          <w:tcPr>
            <w:tcW w:w="1418"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jc w:val="left"/>
              <w:rPr>
                <w:kern w:val="0"/>
                <w:szCs w:val="21"/>
              </w:rPr>
            </w:pPr>
            <w:r>
              <w:rPr>
                <w:rFonts w:hint="eastAsia" w:ascii="宋体" w:hAnsi="宋体"/>
                <w:kern w:val="0"/>
                <w:szCs w:val="21"/>
              </w:rPr>
              <w:t>专业职称</w:t>
            </w:r>
          </w:p>
        </w:tc>
        <w:tc>
          <w:tcPr>
            <w:tcW w:w="2942"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jc w:val="left"/>
              <w:rPr>
                <w:kern w:val="0"/>
                <w:szCs w:val="21"/>
              </w:rPr>
            </w:pPr>
            <w:r>
              <w:rPr>
                <w:rFonts w:hint="eastAsia" w:ascii="宋体" w:hAnsi="宋体"/>
                <w:kern w:val="0"/>
                <w:szCs w:val="21"/>
              </w:rPr>
              <w:t> </w:t>
            </w:r>
          </w:p>
        </w:tc>
      </w:tr>
      <w:tr>
        <w:trPr>
          <w:trHeight w:val="454" w:hRule="atLeast"/>
        </w:trPr>
        <w:tc>
          <w:tcPr>
            <w:tcW w:w="2180" w:type="dxa"/>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jc w:val="left"/>
              <w:rPr>
                <w:kern w:val="0"/>
                <w:szCs w:val="21"/>
              </w:rPr>
            </w:pPr>
            <w:r>
              <w:rPr>
                <w:rFonts w:hint="eastAsia" w:ascii="宋体" w:hAnsi="宋体"/>
                <w:kern w:val="0"/>
                <w:szCs w:val="21"/>
              </w:rPr>
              <w:t>执业资格证书编号</w:t>
            </w:r>
          </w:p>
        </w:tc>
        <w:tc>
          <w:tcPr>
            <w:tcW w:w="2180"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jc w:val="left"/>
              <w:rPr>
                <w:kern w:val="0"/>
                <w:szCs w:val="21"/>
              </w:rPr>
            </w:pPr>
            <w:r>
              <w:rPr>
                <w:rFonts w:hint="eastAsia" w:ascii="宋体" w:hAnsi="宋体"/>
                <w:kern w:val="0"/>
                <w:szCs w:val="21"/>
              </w:rPr>
              <w:t> </w:t>
            </w:r>
          </w:p>
        </w:tc>
        <w:tc>
          <w:tcPr>
            <w:tcW w:w="1418"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jc w:val="left"/>
              <w:rPr>
                <w:kern w:val="0"/>
                <w:szCs w:val="21"/>
              </w:rPr>
            </w:pPr>
            <w:r>
              <w:rPr>
                <w:rFonts w:hint="eastAsia" w:ascii="宋体" w:hAnsi="宋体"/>
                <w:kern w:val="0"/>
                <w:szCs w:val="21"/>
              </w:rPr>
              <w:t>工作年限</w:t>
            </w:r>
          </w:p>
        </w:tc>
        <w:tc>
          <w:tcPr>
            <w:tcW w:w="2942" w:type="dxa"/>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jc w:val="left"/>
              <w:rPr>
                <w:kern w:val="0"/>
                <w:szCs w:val="21"/>
              </w:rPr>
            </w:pPr>
            <w:r>
              <w:rPr>
                <w:rFonts w:hint="eastAsia" w:ascii="宋体" w:hAnsi="宋体"/>
                <w:kern w:val="0"/>
                <w:szCs w:val="21"/>
              </w:rPr>
              <w:t> </w:t>
            </w:r>
          </w:p>
        </w:tc>
      </w:tr>
      <w:tr>
        <w:trPr>
          <w:trHeight w:val="454" w:hRule="atLeast"/>
        </w:trPr>
        <w:tc>
          <w:tcPr>
            <w:tcW w:w="2180" w:type="dxa"/>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pPr>
              <w:ind w:firstLine="1050" w:firstLineChars="500"/>
              <w:rPr>
                <w:rFonts w:ascii="宋体" w:hAnsi="宋体"/>
                <w:color w:val="000000"/>
                <w:szCs w:val="21"/>
              </w:rPr>
            </w:pPr>
            <w:r>
              <w:rPr>
                <w:rFonts w:hint="eastAsia" w:ascii="宋体" w:hAnsi="宋体"/>
                <w:color w:val="000000"/>
                <w:szCs w:val="21"/>
              </w:rPr>
              <w:t>主</w:t>
            </w:r>
          </w:p>
          <w:p>
            <w:pPr>
              <w:ind w:firstLine="1050" w:firstLineChars="500"/>
              <w:rPr>
                <w:rFonts w:ascii="宋体" w:hAnsi="宋体"/>
                <w:color w:val="000000"/>
                <w:szCs w:val="21"/>
              </w:rPr>
            </w:pPr>
            <w:r>
              <w:rPr>
                <w:rFonts w:hint="eastAsia" w:ascii="宋体" w:hAnsi="宋体"/>
                <w:color w:val="000000"/>
                <w:szCs w:val="21"/>
              </w:rPr>
              <w:t>要</w:t>
            </w:r>
          </w:p>
          <w:p>
            <w:pPr>
              <w:ind w:firstLine="1050" w:firstLineChars="500"/>
              <w:rPr>
                <w:rFonts w:ascii="宋体" w:hAnsi="宋体"/>
                <w:color w:val="000000"/>
                <w:szCs w:val="21"/>
              </w:rPr>
            </w:pPr>
            <w:r>
              <w:rPr>
                <w:rFonts w:hint="eastAsia" w:ascii="宋体" w:hAnsi="宋体"/>
                <w:color w:val="000000"/>
                <w:szCs w:val="21"/>
              </w:rPr>
              <w:t>工</w:t>
            </w:r>
          </w:p>
          <w:p>
            <w:pPr>
              <w:ind w:firstLine="1050" w:firstLineChars="500"/>
              <w:rPr>
                <w:rFonts w:ascii="宋体" w:hAnsi="宋体"/>
                <w:color w:val="000000"/>
                <w:szCs w:val="21"/>
              </w:rPr>
            </w:pPr>
            <w:r>
              <w:rPr>
                <w:rFonts w:hint="eastAsia" w:ascii="宋体" w:hAnsi="宋体"/>
                <w:color w:val="000000"/>
                <w:szCs w:val="21"/>
              </w:rPr>
              <w:t>作</w:t>
            </w:r>
          </w:p>
          <w:p>
            <w:pPr>
              <w:ind w:firstLine="1050" w:firstLineChars="500"/>
              <w:rPr>
                <w:rFonts w:ascii="宋体" w:hAnsi="宋体"/>
                <w:color w:val="000000"/>
                <w:szCs w:val="21"/>
              </w:rPr>
            </w:pPr>
            <w:r>
              <w:rPr>
                <w:rFonts w:hint="eastAsia" w:ascii="宋体" w:hAnsi="宋体"/>
                <w:color w:val="000000"/>
                <w:szCs w:val="21"/>
              </w:rPr>
              <w:t>业</w:t>
            </w:r>
          </w:p>
          <w:p>
            <w:pPr>
              <w:ind w:firstLine="1050" w:firstLineChars="500"/>
              <w:rPr>
                <w:rFonts w:ascii="宋体" w:hAnsi="宋体"/>
                <w:color w:val="000000"/>
                <w:szCs w:val="21"/>
              </w:rPr>
            </w:pPr>
            <w:r>
              <w:rPr>
                <w:rFonts w:hint="eastAsia" w:ascii="宋体" w:hAnsi="宋体"/>
                <w:color w:val="000000"/>
                <w:szCs w:val="21"/>
              </w:rPr>
              <w:t>绩</w:t>
            </w:r>
          </w:p>
          <w:p>
            <w:pPr>
              <w:ind w:firstLine="1050" w:firstLineChars="500"/>
              <w:rPr>
                <w:rFonts w:ascii="宋体" w:hAnsi="宋体"/>
                <w:color w:val="000000"/>
                <w:szCs w:val="21"/>
              </w:rPr>
            </w:pPr>
            <w:r>
              <w:rPr>
                <w:rFonts w:hint="eastAsia" w:ascii="宋体" w:hAnsi="宋体"/>
                <w:color w:val="000000"/>
                <w:szCs w:val="21"/>
              </w:rPr>
              <w:t>及</w:t>
            </w:r>
          </w:p>
          <w:p>
            <w:pPr>
              <w:ind w:firstLine="1050" w:firstLineChars="500"/>
              <w:rPr>
                <w:rFonts w:ascii="宋体" w:hAnsi="宋体"/>
                <w:color w:val="000000"/>
                <w:szCs w:val="21"/>
              </w:rPr>
            </w:pPr>
            <w:r>
              <w:rPr>
                <w:rFonts w:hint="eastAsia" w:ascii="宋体" w:hAnsi="宋体"/>
                <w:color w:val="000000"/>
                <w:szCs w:val="21"/>
              </w:rPr>
              <w:t>担</w:t>
            </w:r>
          </w:p>
          <w:p>
            <w:pPr>
              <w:ind w:firstLine="1050" w:firstLineChars="500"/>
              <w:rPr>
                <w:rFonts w:ascii="宋体" w:hAnsi="宋体"/>
                <w:color w:val="000000"/>
                <w:szCs w:val="21"/>
              </w:rPr>
            </w:pPr>
            <w:r>
              <w:rPr>
                <w:rFonts w:hint="eastAsia" w:ascii="宋体" w:hAnsi="宋体"/>
                <w:color w:val="000000"/>
                <w:szCs w:val="21"/>
              </w:rPr>
              <w:t>任</w:t>
            </w:r>
          </w:p>
          <w:p>
            <w:pPr>
              <w:ind w:firstLine="1050" w:firstLineChars="500"/>
              <w:rPr>
                <w:rFonts w:ascii="宋体" w:hAnsi="宋体"/>
                <w:color w:val="000000"/>
                <w:szCs w:val="21"/>
              </w:rPr>
            </w:pPr>
            <w:r>
              <w:rPr>
                <w:rFonts w:hint="eastAsia" w:ascii="宋体" w:hAnsi="宋体"/>
                <w:color w:val="000000"/>
                <w:szCs w:val="21"/>
              </w:rPr>
              <w:t>的</w:t>
            </w:r>
          </w:p>
          <w:p>
            <w:pPr>
              <w:ind w:firstLine="1050" w:firstLineChars="500"/>
              <w:rPr>
                <w:rFonts w:ascii="宋体" w:hAnsi="宋体"/>
                <w:color w:val="000000"/>
                <w:szCs w:val="21"/>
              </w:rPr>
            </w:pPr>
            <w:r>
              <w:rPr>
                <w:rFonts w:hint="eastAsia" w:ascii="宋体" w:hAnsi="宋体"/>
                <w:color w:val="000000"/>
                <w:szCs w:val="21"/>
              </w:rPr>
              <w:t>主</w:t>
            </w:r>
          </w:p>
          <w:p>
            <w:pPr>
              <w:ind w:firstLine="1050" w:firstLineChars="500"/>
              <w:rPr>
                <w:rFonts w:ascii="宋体" w:hAnsi="宋体"/>
                <w:color w:val="000000"/>
                <w:szCs w:val="21"/>
              </w:rPr>
            </w:pPr>
            <w:r>
              <w:rPr>
                <w:rFonts w:hint="eastAsia" w:ascii="宋体" w:hAnsi="宋体"/>
                <w:color w:val="000000"/>
                <w:szCs w:val="21"/>
              </w:rPr>
              <w:t>要</w:t>
            </w:r>
          </w:p>
          <w:p>
            <w:pPr>
              <w:ind w:firstLine="1050" w:firstLineChars="500"/>
              <w:rPr>
                <w:rFonts w:ascii="宋体" w:hAnsi="宋体"/>
                <w:color w:val="000000"/>
                <w:szCs w:val="21"/>
              </w:rPr>
            </w:pPr>
            <w:r>
              <w:rPr>
                <w:rFonts w:hint="eastAsia" w:ascii="宋体" w:hAnsi="宋体"/>
                <w:color w:val="000000"/>
                <w:szCs w:val="21"/>
              </w:rPr>
              <w:t>工</w:t>
            </w:r>
          </w:p>
          <w:p>
            <w:pPr>
              <w:widowControl/>
              <w:jc w:val="left"/>
              <w:rPr>
                <w:kern w:val="0"/>
                <w:szCs w:val="21"/>
              </w:rPr>
            </w:pPr>
            <w:r>
              <w:rPr>
                <w:rFonts w:hint="eastAsia" w:ascii="宋体" w:hAnsi="宋体"/>
                <w:color w:val="000000"/>
                <w:szCs w:val="21"/>
              </w:rPr>
              <w:t xml:space="preserve">          作</w:t>
            </w:r>
          </w:p>
        </w:tc>
        <w:tc>
          <w:tcPr>
            <w:tcW w:w="6540" w:type="dxa"/>
            <w:gridSpan w:val="3"/>
            <w:tcBorders>
              <w:top w:val="nil"/>
              <w:left w:val="nil"/>
              <w:bottom w:val="single" w:color="000000" w:sz="8" w:space="0"/>
              <w:right w:val="single" w:color="000000" w:sz="8" w:space="0"/>
            </w:tcBorders>
            <w:tcMar>
              <w:top w:w="0" w:type="dxa"/>
              <w:left w:w="108" w:type="dxa"/>
              <w:bottom w:w="0" w:type="dxa"/>
              <w:right w:w="108" w:type="dxa"/>
            </w:tcMar>
            <w:vAlign w:val="center"/>
          </w:tcPr>
          <w:p>
            <w:pPr>
              <w:widowControl/>
              <w:jc w:val="left"/>
              <w:rPr>
                <w:kern w:val="0"/>
                <w:szCs w:val="21"/>
              </w:rPr>
            </w:pPr>
            <w:r>
              <w:rPr>
                <w:rFonts w:hint="eastAsia" w:ascii="宋体" w:hAnsi="宋体"/>
                <w:kern w:val="0"/>
                <w:szCs w:val="21"/>
              </w:rPr>
              <w:t> </w:t>
            </w:r>
          </w:p>
        </w:tc>
      </w:tr>
    </w:tbl>
    <w:p>
      <w:pPr>
        <w:rPr>
          <w:rFonts w:ascii="黑体" w:hAnsi="宋体" w:eastAsia="黑体"/>
          <w:color w:val="000000"/>
          <w:szCs w:val="21"/>
        </w:rPr>
      </w:pPr>
      <w:r>
        <w:rPr>
          <w:rFonts w:ascii="宋体" w:hAnsi="宋体"/>
          <w:color w:val="000000"/>
          <w:szCs w:val="21"/>
        </w:rPr>
        <w:br w:type="page"/>
      </w:r>
      <w:r>
        <w:rPr>
          <w:rFonts w:hint="eastAsia" w:ascii="黑体" w:hAnsi="宋体" w:eastAsia="黑体"/>
          <w:color w:val="000000"/>
          <w:szCs w:val="21"/>
        </w:rPr>
        <w:t>附3：承诺书</w:t>
      </w:r>
    </w:p>
    <w:p>
      <w:pPr>
        <w:spacing w:before="240" w:beforeLines="100" w:after="240" w:afterLines="100"/>
        <w:jc w:val="center"/>
        <w:rPr>
          <w:rFonts w:ascii="黑体" w:hAnsi="宋体" w:eastAsia="黑体"/>
          <w:color w:val="000000"/>
          <w:sz w:val="28"/>
          <w:szCs w:val="28"/>
        </w:rPr>
      </w:pPr>
      <w:r>
        <w:rPr>
          <w:rFonts w:hint="eastAsia" w:ascii="黑体" w:hAnsi="宋体" w:eastAsia="黑体"/>
          <w:color w:val="000000"/>
          <w:sz w:val="28"/>
          <w:szCs w:val="28"/>
        </w:rPr>
        <w:t>承诺书</w:t>
      </w:r>
    </w:p>
    <w:p>
      <w:pPr>
        <w:spacing w:after="240" w:afterLines="100" w:line="440" w:lineRule="exact"/>
        <w:rPr>
          <w:rFonts w:ascii="宋体" w:hAnsi="宋体"/>
          <w:color w:val="000000"/>
          <w:szCs w:val="21"/>
        </w:rPr>
      </w:pPr>
      <w:r>
        <w:rPr>
          <w:rFonts w:hint="eastAsia" w:ascii="宋体" w:hAnsi="宋体"/>
          <w:color w:val="000000"/>
          <w:position w:val="-7"/>
          <w:szCs w:val="21"/>
        </w:rPr>
        <w:t>————————</w:t>
      </w:r>
      <w:r>
        <w:rPr>
          <w:rFonts w:hint="eastAsia" w:ascii="宋体" w:hAnsi="宋体"/>
          <w:color w:val="000000"/>
          <w:szCs w:val="21"/>
        </w:rPr>
        <w:t>（招标人名称）：</w:t>
      </w:r>
    </w:p>
    <w:p>
      <w:pPr>
        <w:spacing w:line="440" w:lineRule="exact"/>
        <w:ind w:firstLine="420" w:firstLineChars="200"/>
        <w:rPr>
          <w:rFonts w:ascii="宋体" w:hAnsi="宋体"/>
          <w:color w:val="000000"/>
          <w:szCs w:val="21"/>
        </w:rPr>
      </w:pPr>
      <w:r>
        <w:rPr>
          <w:rFonts w:ascii="宋体" w:hAnsi="宋体"/>
          <w:color w:val="000000"/>
          <w:szCs w:val="21"/>
        </w:rPr>
        <w:t>我方在此声明， 我方拟派往（项目名称）标段（以下简称“本工程”）的项目负责人（项 目经理）   （姓名） 现阶段没有担任任何在施建设工程项目的项目负责人（项目经理），并</w:t>
      </w:r>
    </w:p>
    <w:p>
      <w:pPr>
        <w:spacing w:line="440" w:lineRule="exact"/>
        <w:ind w:firstLine="420" w:firstLineChars="200"/>
        <w:rPr>
          <w:rFonts w:ascii="宋体" w:hAnsi="宋体"/>
          <w:color w:val="000000"/>
          <w:szCs w:val="21"/>
        </w:rPr>
      </w:pPr>
      <w:r>
        <w:rPr>
          <w:rFonts w:ascii="宋体" w:hAnsi="宋体"/>
          <w:color w:val="000000"/>
          <w:szCs w:val="21"/>
        </w:rPr>
        <w:t>符合《海南省建筑工程施工现场关键岗位人员配备和在岗履职管理办法》的要求。</w:t>
      </w:r>
    </w:p>
    <w:p>
      <w:pPr>
        <w:spacing w:line="440" w:lineRule="exact"/>
        <w:ind w:firstLine="420" w:firstLineChars="200"/>
        <w:rPr>
          <w:rFonts w:ascii="宋体" w:hAnsi="宋体"/>
          <w:color w:val="000000"/>
          <w:szCs w:val="21"/>
        </w:rPr>
      </w:pPr>
      <w:r>
        <w:rPr>
          <w:rFonts w:ascii="宋体" w:hAnsi="宋体"/>
          <w:color w:val="000000"/>
          <w:szCs w:val="21"/>
        </w:rPr>
        <w:t>我 方 会 在 收 到 中 标 通 知 书 后 10 日内 通 过 海 南 省 住 房 和 城 乡 建 设 厅 网 站 （</w:t>
      </w:r>
      <w:r>
        <w:rPr>
          <w:rFonts w:ascii="宋体" w:hAnsi="宋体"/>
          <w:color w:val="000000"/>
          <w:szCs w:val="21"/>
        </w:rPr>
        <w:fldChar w:fldCharType="begin"/>
      </w:r>
      <w:r>
        <w:rPr>
          <w:rFonts w:ascii="宋体" w:hAnsi="宋体"/>
          <w:color w:val="000000"/>
          <w:szCs w:val="21"/>
        </w:rPr>
        <w:instrText xml:space="preserve"> HYPERLINK "http://zjt.hainan.gov.cn//" </w:instrText>
      </w:r>
      <w:r>
        <w:rPr>
          <w:rFonts w:ascii="宋体" w:hAnsi="宋体"/>
          <w:color w:val="000000"/>
          <w:szCs w:val="21"/>
        </w:rPr>
        <w:fldChar w:fldCharType="separate"/>
      </w:r>
      <w:r>
        <w:rPr>
          <w:rFonts w:ascii="宋体" w:hAnsi="宋体"/>
          <w:color w:val="000000"/>
          <w:szCs w:val="21"/>
        </w:rPr>
        <w:t>http://zjt.hainan.gov.cn//</w:t>
      </w:r>
      <w:r>
        <w:rPr>
          <w:rFonts w:ascii="宋体" w:hAnsi="宋体"/>
          <w:color w:val="000000"/>
          <w:szCs w:val="21"/>
        </w:rPr>
        <w:fldChar w:fldCharType="end"/>
      </w:r>
      <w:r>
        <w:rPr>
          <w:rFonts w:ascii="宋体" w:hAnsi="宋体"/>
          <w:color w:val="000000"/>
          <w:szCs w:val="21"/>
        </w:rPr>
        <w:t>）登录海南省建筑市场监管公共服务平台按照《海南省建筑 工程施工现场关键岗位人员配备和在岗履职管理办法》规定填报项目名称、项目地址、拟派 的施工现场关键岗位人员的配备情况，并将填报信息提交给招标人，同时按照招标文件“第 八章投标文件格式 ”中“八、项目管理机构”的格式向招标人提供拟配备的项目管理机构人 员信息。拟派的关键岗位人员符合《海南省建筑工程施工现场关键岗位人员配备和在岗履职</w:t>
      </w:r>
    </w:p>
    <w:p>
      <w:pPr>
        <w:spacing w:line="440" w:lineRule="exact"/>
        <w:ind w:firstLine="420" w:firstLineChars="200"/>
        <w:rPr>
          <w:rFonts w:ascii="宋体" w:hAnsi="宋体"/>
          <w:color w:val="000000"/>
          <w:szCs w:val="21"/>
        </w:rPr>
      </w:pPr>
      <w:r>
        <w:rPr>
          <w:rFonts w:ascii="宋体" w:hAnsi="宋体"/>
          <w:color w:val="000000"/>
          <w:szCs w:val="21"/>
        </w:rPr>
        <w:t>管理办法》的要求， 并会按规定到岗履职、考勤。</w:t>
      </w:r>
    </w:p>
    <w:p>
      <w:pPr>
        <w:spacing w:line="440" w:lineRule="exact"/>
        <w:ind w:firstLine="420" w:firstLineChars="200"/>
        <w:rPr>
          <w:rFonts w:ascii="宋体" w:hAnsi="宋体"/>
          <w:color w:val="000000"/>
          <w:szCs w:val="21"/>
        </w:rPr>
      </w:pPr>
      <w:r>
        <w:rPr>
          <w:rFonts w:ascii="宋体" w:hAnsi="宋体"/>
          <w:color w:val="000000"/>
          <w:szCs w:val="21"/>
        </w:rPr>
        <w:t>我方保证上述信息的真实和准确，并愿意承担因我方就此弄虚作假所引起的一切法律后</w:t>
      </w:r>
    </w:p>
    <w:p>
      <w:pPr>
        <w:spacing w:line="440" w:lineRule="exact"/>
        <w:ind w:firstLine="420" w:firstLineChars="200"/>
        <w:rPr>
          <w:rFonts w:ascii="宋体" w:hAnsi="宋体"/>
          <w:color w:val="000000"/>
          <w:szCs w:val="21"/>
        </w:rPr>
      </w:pPr>
      <w:r>
        <w:rPr>
          <w:rFonts w:ascii="宋体" w:hAnsi="宋体"/>
          <w:color w:val="000000"/>
          <w:szCs w:val="21"/>
        </w:rPr>
        <w:t>果。</w:t>
      </w:r>
    </w:p>
    <w:p>
      <w:pPr>
        <w:spacing w:line="440" w:lineRule="exact"/>
        <w:ind w:firstLine="420" w:firstLineChars="200"/>
        <w:rPr>
          <w:rFonts w:ascii="宋体" w:hAnsi="宋体"/>
          <w:color w:val="000000"/>
          <w:szCs w:val="21"/>
        </w:rPr>
      </w:pPr>
    </w:p>
    <w:p>
      <w:pPr>
        <w:spacing w:line="440" w:lineRule="exact"/>
        <w:ind w:firstLine="420" w:firstLineChars="200"/>
        <w:rPr>
          <w:rFonts w:ascii="宋体" w:hAnsi="宋体"/>
          <w:color w:val="000000"/>
          <w:szCs w:val="21"/>
        </w:rPr>
      </w:pPr>
    </w:p>
    <w:p>
      <w:pPr>
        <w:spacing w:line="440" w:lineRule="exact"/>
        <w:ind w:firstLine="420" w:firstLineChars="200"/>
        <w:rPr>
          <w:rFonts w:ascii="宋体" w:hAnsi="宋体"/>
          <w:color w:val="000000"/>
          <w:szCs w:val="21"/>
        </w:rPr>
      </w:pPr>
      <w:r>
        <w:rPr>
          <w:rFonts w:ascii="宋体" w:hAnsi="宋体"/>
          <w:color w:val="000000"/>
          <w:szCs w:val="21"/>
        </w:rPr>
        <w:t>特此承诺</w:t>
      </w:r>
    </w:p>
    <w:p>
      <w:pPr>
        <w:spacing w:line="440" w:lineRule="exact"/>
        <w:ind w:firstLine="420" w:firstLineChars="200"/>
        <w:rPr>
          <w:rFonts w:ascii="宋体" w:hAnsi="宋体"/>
          <w:color w:val="000000"/>
          <w:szCs w:val="21"/>
        </w:rPr>
      </w:pPr>
    </w:p>
    <w:p>
      <w:pPr>
        <w:spacing w:line="440" w:lineRule="exact"/>
        <w:rPr>
          <w:rFonts w:ascii="宋体" w:hAnsi="宋体"/>
          <w:color w:val="000000"/>
          <w:szCs w:val="21"/>
        </w:rPr>
      </w:pPr>
    </w:p>
    <w:p>
      <w:pPr>
        <w:spacing w:line="440" w:lineRule="exact"/>
        <w:ind w:firstLine="420" w:firstLineChars="200"/>
        <w:rPr>
          <w:rFonts w:ascii="宋体" w:hAnsi="宋体"/>
          <w:color w:val="000000"/>
          <w:szCs w:val="21"/>
        </w:rPr>
      </w:pPr>
    </w:p>
    <w:p>
      <w:pPr>
        <w:spacing w:line="440" w:lineRule="exact"/>
        <w:ind w:right="420"/>
        <w:jc w:val="left"/>
        <w:rPr>
          <w:rFonts w:ascii="宋体" w:hAnsi="宋体"/>
          <w:color w:val="000000"/>
          <w:szCs w:val="21"/>
        </w:rPr>
      </w:pPr>
      <w:r>
        <w:rPr>
          <w:rFonts w:hint="eastAsia" w:ascii="宋体" w:hAnsi="宋体"/>
          <w:color w:val="000000"/>
          <w:szCs w:val="21"/>
        </w:rPr>
        <w:t>投标人：（盖单位章）</w:t>
      </w:r>
    </w:p>
    <w:p>
      <w:pPr>
        <w:spacing w:line="440" w:lineRule="exact"/>
        <w:jc w:val="left"/>
        <w:rPr>
          <w:rFonts w:ascii="宋体" w:hAnsi="宋体"/>
          <w:color w:val="000000"/>
          <w:szCs w:val="21"/>
        </w:rPr>
      </w:pPr>
      <w:r>
        <w:rPr>
          <w:rFonts w:hint="eastAsia" w:ascii="宋体" w:hAnsi="宋体"/>
          <w:color w:val="000000"/>
          <w:szCs w:val="21"/>
        </w:rPr>
        <w:t>法定代表人或其委托代理人：（签字或盖章）</w:t>
      </w:r>
    </w:p>
    <w:p>
      <w:pPr>
        <w:spacing w:line="440" w:lineRule="exact"/>
        <w:jc w:val="left"/>
        <w:rPr>
          <w:rFonts w:ascii="宋体" w:hAnsi="宋体"/>
          <w:color w:val="FF0000"/>
          <w:szCs w:val="21"/>
        </w:rPr>
      </w:pPr>
      <w:r>
        <w:rPr>
          <w:rFonts w:hint="eastAsia" w:ascii="宋体" w:hAnsi="宋体"/>
          <w:color w:val="FF0000"/>
          <w:szCs w:val="21"/>
          <w:highlight w:val="yellow"/>
        </w:rPr>
        <w:t>项目经理：</w:t>
      </w:r>
      <w:r>
        <w:rPr>
          <w:rFonts w:hint="eastAsia" w:ascii="宋体" w:hAnsi="宋体"/>
          <w:color w:val="FF0000"/>
          <w:szCs w:val="21"/>
          <w:highlight w:val="yellow"/>
          <w:u w:val="single"/>
        </w:rPr>
        <w:t xml:space="preserve">      </w:t>
      </w:r>
      <w:r>
        <w:rPr>
          <w:rFonts w:hint="eastAsia" w:ascii="宋体" w:hAnsi="宋体"/>
          <w:color w:val="FF0000"/>
          <w:szCs w:val="21"/>
          <w:highlight w:val="yellow"/>
        </w:rPr>
        <w:t>（签章）</w:t>
      </w:r>
    </w:p>
    <w:p>
      <w:pPr>
        <w:spacing w:line="440" w:lineRule="exact"/>
        <w:jc w:val="right"/>
        <w:rPr>
          <w:rFonts w:ascii="宋体" w:hAnsi="宋体"/>
          <w:color w:val="000000"/>
          <w:szCs w:val="21"/>
        </w:rPr>
      </w:pPr>
    </w:p>
    <w:p>
      <w:pPr>
        <w:wordWrap w:val="0"/>
        <w:spacing w:line="440" w:lineRule="exact"/>
        <w:jc w:val="right"/>
        <w:rPr>
          <w:rFonts w:ascii="宋体" w:hAnsi="宋体"/>
          <w:color w:val="000000"/>
          <w:szCs w:val="21"/>
        </w:rPr>
      </w:pPr>
      <w:r>
        <w:rPr>
          <w:rFonts w:hint="eastAsia" w:ascii="宋体" w:hAnsi="宋体"/>
          <w:color w:val="000000"/>
          <w:szCs w:val="21"/>
        </w:rPr>
        <w:t>年  月  日</w:t>
      </w:r>
    </w:p>
    <w:p>
      <w:pPr>
        <w:spacing w:before="120" w:beforeLines="50" w:after="240" w:afterLines="100" w:line="440" w:lineRule="exact"/>
        <w:ind w:right="420"/>
        <w:jc w:val="center"/>
        <w:outlineLvl w:val="2"/>
        <w:rPr>
          <w:rFonts w:ascii="黑体" w:hAnsi="宋体" w:eastAsia="黑体"/>
          <w:color w:val="000000"/>
          <w:sz w:val="28"/>
          <w:szCs w:val="28"/>
        </w:rPr>
      </w:pPr>
      <w:r>
        <w:rPr>
          <w:rFonts w:ascii="宋体" w:hAnsi="宋体"/>
          <w:color w:val="000000"/>
          <w:szCs w:val="21"/>
        </w:rPr>
        <w:br w:type="page"/>
      </w:r>
      <w:bookmarkStart w:id="1380" w:name="_Toc295812326"/>
      <w:bookmarkStart w:id="1381" w:name="_Toc114222885"/>
      <w:bookmarkStart w:id="1382" w:name="_Toc290990843"/>
      <w:r>
        <w:rPr>
          <w:rFonts w:hint="eastAsia" w:ascii="黑体" w:hAnsi="宋体" w:eastAsia="黑体"/>
          <w:color w:val="000000"/>
          <w:sz w:val="28"/>
          <w:szCs w:val="28"/>
        </w:rPr>
        <w:t>八、拟分包计划表</w:t>
      </w:r>
      <w:bookmarkEnd w:id="1380"/>
      <w:bookmarkEnd w:id="1381"/>
      <w:bookmarkEnd w:id="1382"/>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1843"/>
        <w:gridCol w:w="751"/>
        <w:gridCol w:w="950"/>
        <w:gridCol w:w="1123"/>
        <w:gridCol w:w="1090"/>
        <w:gridCol w:w="1197"/>
        <w:gridCol w:w="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68" w:type="dxa"/>
            <w:vMerge w:val="restart"/>
            <w:tcMar>
              <w:left w:w="108" w:type="dxa"/>
              <w:right w:w="108" w:type="dxa"/>
            </w:tcMar>
            <w:vAlign w:val="center"/>
          </w:tcPr>
          <w:p>
            <w:pPr>
              <w:jc w:val="center"/>
              <w:rPr>
                <w:rFonts w:ascii="宋体" w:hAnsi="宋体"/>
                <w:color w:val="000000"/>
                <w:szCs w:val="21"/>
              </w:rPr>
            </w:pPr>
            <w:r>
              <w:rPr>
                <w:rFonts w:hint="eastAsia" w:ascii="宋体" w:hAnsi="宋体"/>
                <w:color w:val="000000"/>
                <w:szCs w:val="21"/>
              </w:rPr>
              <w:t>序</w:t>
            </w:r>
          </w:p>
          <w:p>
            <w:pPr>
              <w:jc w:val="center"/>
              <w:rPr>
                <w:rFonts w:ascii="宋体" w:hAnsi="宋体"/>
                <w:color w:val="000000"/>
                <w:szCs w:val="21"/>
              </w:rPr>
            </w:pPr>
            <w:r>
              <w:rPr>
                <w:rFonts w:hint="eastAsia" w:ascii="宋体" w:hAnsi="宋体"/>
                <w:color w:val="000000"/>
                <w:szCs w:val="21"/>
              </w:rPr>
              <w:t>号</w:t>
            </w:r>
          </w:p>
        </w:tc>
        <w:tc>
          <w:tcPr>
            <w:tcW w:w="1843" w:type="dxa"/>
            <w:vMerge w:val="restart"/>
            <w:vAlign w:val="center"/>
          </w:tcPr>
          <w:p>
            <w:pPr>
              <w:jc w:val="center"/>
              <w:rPr>
                <w:rFonts w:ascii="宋体" w:hAnsi="宋体"/>
                <w:color w:val="000000"/>
                <w:szCs w:val="21"/>
              </w:rPr>
            </w:pPr>
            <w:r>
              <w:rPr>
                <w:rFonts w:hint="eastAsia" w:ascii="宋体" w:hAnsi="宋体"/>
                <w:color w:val="000000"/>
                <w:szCs w:val="21"/>
              </w:rPr>
              <w:t>拟分包项目名称、范围及理由</w:t>
            </w:r>
          </w:p>
        </w:tc>
        <w:tc>
          <w:tcPr>
            <w:tcW w:w="5111" w:type="dxa"/>
            <w:gridSpan w:val="5"/>
            <w:vAlign w:val="center"/>
          </w:tcPr>
          <w:p>
            <w:pPr>
              <w:jc w:val="center"/>
              <w:rPr>
                <w:rFonts w:ascii="宋体" w:hAnsi="宋体"/>
                <w:color w:val="000000"/>
                <w:szCs w:val="21"/>
              </w:rPr>
            </w:pPr>
            <w:r>
              <w:rPr>
                <w:rFonts w:hint="eastAsia" w:ascii="宋体" w:hAnsi="宋体"/>
                <w:color w:val="000000"/>
                <w:szCs w:val="21"/>
              </w:rPr>
              <w:t>拟选分包人</w:t>
            </w:r>
          </w:p>
        </w:tc>
        <w:tc>
          <w:tcPr>
            <w:tcW w:w="983" w:type="dxa"/>
            <w:vMerge w:val="restart"/>
            <w:vAlign w:val="center"/>
          </w:tcPr>
          <w:p>
            <w:pPr>
              <w:jc w:val="center"/>
              <w:rPr>
                <w:rFonts w:ascii="宋体" w:hAnsi="宋体"/>
                <w:color w:val="000000"/>
                <w:szCs w:val="21"/>
              </w:rPr>
            </w:pPr>
            <w:r>
              <w:rPr>
                <w:rFonts w:hint="eastAsia" w:ascii="宋体" w:hAnsi="宋体"/>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68" w:type="dxa"/>
            <w:vMerge w:val="continue"/>
            <w:tcMar>
              <w:left w:w="108" w:type="dxa"/>
              <w:right w:w="108" w:type="dxa"/>
            </w:tcMar>
            <w:vAlign w:val="center"/>
          </w:tcPr>
          <w:p>
            <w:pPr>
              <w:jc w:val="center"/>
              <w:rPr>
                <w:rFonts w:ascii="宋体" w:hAnsi="宋体"/>
                <w:color w:val="000000"/>
                <w:szCs w:val="21"/>
              </w:rPr>
            </w:pPr>
          </w:p>
        </w:tc>
        <w:tc>
          <w:tcPr>
            <w:tcW w:w="1843" w:type="dxa"/>
            <w:vMerge w:val="continue"/>
            <w:vAlign w:val="center"/>
          </w:tcPr>
          <w:p>
            <w:pPr>
              <w:jc w:val="center"/>
              <w:rPr>
                <w:rFonts w:ascii="宋体" w:hAnsi="宋体"/>
                <w:color w:val="000000"/>
                <w:szCs w:val="21"/>
              </w:rPr>
            </w:pPr>
          </w:p>
        </w:tc>
        <w:tc>
          <w:tcPr>
            <w:tcW w:w="1701" w:type="dxa"/>
            <w:gridSpan w:val="2"/>
            <w:vAlign w:val="center"/>
          </w:tcPr>
          <w:p>
            <w:pPr>
              <w:jc w:val="center"/>
              <w:rPr>
                <w:rFonts w:ascii="宋体" w:hAnsi="宋体"/>
                <w:color w:val="000000"/>
                <w:szCs w:val="21"/>
              </w:rPr>
            </w:pPr>
            <w:r>
              <w:rPr>
                <w:rFonts w:hint="eastAsia" w:ascii="宋体" w:hAnsi="宋体"/>
                <w:color w:val="000000"/>
                <w:szCs w:val="21"/>
              </w:rPr>
              <w:t>拟选分包人名称</w:t>
            </w:r>
          </w:p>
        </w:tc>
        <w:tc>
          <w:tcPr>
            <w:tcW w:w="1123" w:type="dxa"/>
            <w:vAlign w:val="center"/>
          </w:tcPr>
          <w:p>
            <w:pPr>
              <w:jc w:val="center"/>
              <w:rPr>
                <w:rFonts w:ascii="宋体" w:hAnsi="宋体"/>
                <w:color w:val="000000"/>
                <w:szCs w:val="21"/>
              </w:rPr>
            </w:pPr>
            <w:r>
              <w:rPr>
                <w:rFonts w:hint="eastAsia" w:ascii="宋体" w:hAnsi="宋体"/>
                <w:color w:val="000000"/>
                <w:szCs w:val="21"/>
              </w:rPr>
              <w:t>注册地点</w:t>
            </w:r>
          </w:p>
        </w:tc>
        <w:tc>
          <w:tcPr>
            <w:tcW w:w="1090" w:type="dxa"/>
            <w:vAlign w:val="center"/>
          </w:tcPr>
          <w:p>
            <w:pPr>
              <w:jc w:val="center"/>
              <w:rPr>
                <w:rFonts w:ascii="宋体" w:hAnsi="宋体"/>
                <w:color w:val="000000"/>
                <w:szCs w:val="21"/>
              </w:rPr>
            </w:pPr>
            <w:r>
              <w:rPr>
                <w:rFonts w:hint="eastAsia" w:ascii="宋体" w:hAnsi="宋体"/>
                <w:color w:val="000000"/>
                <w:szCs w:val="21"/>
              </w:rPr>
              <w:t>企业资质</w:t>
            </w:r>
          </w:p>
        </w:tc>
        <w:tc>
          <w:tcPr>
            <w:tcW w:w="1197" w:type="dxa"/>
            <w:vAlign w:val="center"/>
          </w:tcPr>
          <w:p>
            <w:pPr>
              <w:jc w:val="center"/>
              <w:rPr>
                <w:rFonts w:ascii="宋体" w:hAnsi="宋体"/>
                <w:color w:val="000000"/>
                <w:szCs w:val="21"/>
              </w:rPr>
            </w:pPr>
            <w:r>
              <w:rPr>
                <w:rFonts w:hint="eastAsia" w:ascii="宋体" w:hAnsi="宋体"/>
                <w:color w:val="000000"/>
                <w:szCs w:val="21"/>
              </w:rPr>
              <w:t>有关业绩</w:t>
            </w:r>
          </w:p>
        </w:tc>
        <w:tc>
          <w:tcPr>
            <w:tcW w:w="983" w:type="dxa"/>
            <w:vMerge w:val="continue"/>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68" w:type="dxa"/>
            <w:vMerge w:val="restart"/>
            <w:tcMar>
              <w:left w:w="108" w:type="dxa"/>
              <w:right w:w="108" w:type="dxa"/>
            </w:tcMar>
            <w:vAlign w:val="center"/>
          </w:tcPr>
          <w:p>
            <w:pPr>
              <w:jc w:val="center"/>
              <w:rPr>
                <w:rFonts w:ascii="宋体" w:hAnsi="宋体"/>
                <w:color w:val="000000"/>
                <w:szCs w:val="21"/>
              </w:rPr>
            </w:pPr>
          </w:p>
        </w:tc>
        <w:tc>
          <w:tcPr>
            <w:tcW w:w="1843" w:type="dxa"/>
            <w:vMerge w:val="restart"/>
            <w:vAlign w:val="center"/>
          </w:tcPr>
          <w:p>
            <w:pPr>
              <w:jc w:val="center"/>
              <w:rPr>
                <w:rFonts w:ascii="宋体" w:hAnsi="宋体"/>
                <w:color w:val="000000"/>
                <w:szCs w:val="21"/>
              </w:rPr>
            </w:pPr>
          </w:p>
        </w:tc>
        <w:tc>
          <w:tcPr>
            <w:tcW w:w="751" w:type="dxa"/>
            <w:vAlign w:val="center"/>
          </w:tcPr>
          <w:p>
            <w:pPr>
              <w:jc w:val="center"/>
              <w:rPr>
                <w:rFonts w:ascii="黑体" w:hAnsi="宋体" w:eastAsia="黑体"/>
                <w:color w:val="000000"/>
                <w:szCs w:val="21"/>
              </w:rPr>
            </w:pPr>
            <w:r>
              <w:rPr>
                <w:rFonts w:hint="eastAsia" w:ascii="黑体" w:hAnsi="宋体" w:eastAsia="黑体"/>
                <w:color w:val="000000"/>
                <w:szCs w:val="21"/>
              </w:rPr>
              <w:t>1</w:t>
            </w:r>
          </w:p>
        </w:tc>
        <w:tc>
          <w:tcPr>
            <w:tcW w:w="950" w:type="dxa"/>
            <w:vAlign w:val="center"/>
          </w:tcPr>
          <w:p>
            <w:pPr>
              <w:jc w:val="center"/>
              <w:rPr>
                <w:rFonts w:ascii="宋体" w:hAnsi="宋体"/>
                <w:color w:val="000000"/>
                <w:szCs w:val="21"/>
              </w:rPr>
            </w:pPr>
          </w:p>
        </w:tc>
        <w:tc>
          <w:tcPr>
            <w:tcW w:w="1123" w:type="dxa"/>
            <w:vAlign w:val="center"/>
          </w:tcPr>
          <w:p>
            <w:pPr>
              <w:jc w:val="center"/>
              <w:rPr>
                <w:rFonts w:ascii="宋体" w:hAnsi="宋体"/>
                <w:color w:val="000000"/>
                <w:szCs w:val="21"/>
              </w:rPr>
            </w:pPr>
          </w:p>
        </w:tc>
        <w:tc>
          <w:tcPr>
            <w:tcW w:w="1090" w:type="dxa"/>
            <w:vAlign w:val="center"/>
          </w:tcPr>
          <w:p>
            <w:pPr>
              <w:jc w:val="center"/>
              <w:rPr>
                <w:rFonts w:ascii="宋体" w:hAnsi="宋体"/>
                <w:color w:val="000000"/>
                <w:szCs w:val="21"/>
              </w:rPr>
            </w:pPr>
          </w:p>
        </w:tc>
        <w:tc>
          <w:tcPr>
            <w:tcW w:w="1197" w:type="dxa"/>
            <w:vAlign w:val="center"/>
          </w:tcPr>
          <w:p>
            <w:pPr>
              <w:jc w:val="center"/>
              <w:rPr>
                <w:rFonts w:ascii="宋体" w:hAnsi="宋体"/>
                <w:color w:val="000000"/>
                <w:szCs w:val="21"/>
              </w:rPr>
            </w:pPr>
          </w:p>
        </w:tc>
        <w:tc>
          <w:tcPr>
            <w:tcW w:w="983"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68" w:type="dxa"/>
            <w:vMerge w:val="continue"/>
            <w:tcMar>
              <w:left w:w="108" w:type="dxa"/>
              <w:right w:w="108" w:type="dxa"/>
            </w:tcMar>
            <w:vAlign w:val="center"/>
          </w:tcPr>
          <w:p>
            <w:pPr>
              <w:jc w:val="center"/>
              <w:rPr>
                <w:rFonts w:ascii="宋体" w:hAnsi="宋体"/>
                <w:color w:val="000000"/>
                <w:szCs w:val="21"/>
              </w:rPr>
            </w:pPr>
          </w:p>
        </w:tc>
        <w:tc>
          <w:tcPr>
            <w:tcW w:w="1843" w:type="dxa"/>
            <w:vMerge w:val="continue"/>
            <w:vAlign w:val="center"/>
          </w:tcPr>
          <w:p>
            <w:pPr>
              <w:jc w:val="center"/>
              <w:rPr>
                <w:rFonts w:ascii="宋体" w:hAnsi="宋体"/>
                <w:color w:val="000000"/>
                <w:szCs w:val="21"/>
              </w:rPr>
            </w:pPr>
          </w:p>
        </w:tc>
        <w:tc>
          <w:tcPr>
            <w:tcW w:w="751" w:type="dxa"/>
            <w:vAlign w:val="center"/>
          </w:tcPr>
          <w:p>
            <w:pPr>
              <w:jc w:val="center"/>
              <w:rPr>
                <w:rFonts w:ascii="黑体" w:hAnsi="宋体" w:eastAsia="黑体"/>
                <w:color w:val="000000"/>
                <w:szCs w:val="21"/>
              </w:rPr>
            </w:pPr>
            <w:r>
              <w:rPr>
                <w:rFonts w:hint="eastAsia" w:ascii="黑体" w:hAnsi="宋体" w:eastAsia="黑体"/>
                <w:color w:val="000000"/>
                <w:szCs w:val="21"/>
              </w:rPr>
              <w:t>2</w:t>
            </w:r>
          </w:p>
        </w:tc>
        <w:tc>
          <w:tcPr>
            <w:tcW w:w="950" w:type="dxa"/>
            <w:vAlign w:val="center"/>
          </w:tcPr>
          <w:p>
            <w:pPr>
              <w:jc w:val="center"/>
              <w:rPr>
                <w:rFonts w:ascii="宋体" w:hAnsi="宋体"/>
                <w:color w:val="000000"/>
                <w:szCs w:val="21"/>
              </w:rPr>
            </w:pPr>
          </w:p>
        </w:tc>
        <w:tc>
          <w:tcPr>
            <w:tcW w:w="1123" w:type="dxa"/>
            <w:vAlign w:val="center"/>
          </w:tcPr>
          <w:p>
            <w:pPr>
              <w:jc w:val="center"/>
              <w:rPr>
                <w:rFonts w:ascii="宋体" w:hAnsi="宋体"/>
                <w:color w:val="000000"/>
                <w:szCs w:val="21"/>
              </w:rPr>
            </w:pPr>
          </w:p>
        </w:tc>
        <w:tc>
          <w:tcPr>
            <w:tcW w:w="1090" w:type="dxa"/>
            <w:vAlign w:val="center"/>
          </w:tcPr>
          <w:p>
            <w:pPr>
              <w:jc w:val="center"/>
              <w:rPr>
                <w:rFonts w:ascii="宋体" w:hAnsi="宋体"/>
                <w:color w:val="000000"/>
                <w:szCs w:val="21"/>
              </w:rPr>
            </w:pPr>
          </w:p>
        </w:tc>
        <w:tc>
          <w:tcPr>
            <w:tcW w:w="1197" w:type="dxa"/>
            <w:vAlign w:val="center"/>
          </w:tcPr>
          <w:p>
            <w:pPr>
              <w:jc w:val="center"/>
              <w:rPr>
                <w:rFonts w:ascii="宋体" w:hAnsi="宋体"/>
                <w:color w:val="000000"/>
                <w:szCs w:val="21"/>
              </w:rPr>
            </w:pPr>
          </w:p>
        </w:tc>
        <w:tc>
          <w:tcPr>
            <w:tcW w:w="983"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68" w:type="dxa"/>
            <w:vMerge w:val="continue"/>
            <w:tcMar>
              <w:left w:w="108" w:type="dxa"/>
              <w:right w:w="108" w:type="dxa"/>
            </w:tcMar>
            <w:vAlign w:val="center"/>
          </w:tcPr>
          <w:p>
            <w:pPr>
              <w:jc w:val="center"/>
              <w:rPr>
                <w:rFonts w:ascii="宋体" w:hAnsi="宋体"/>
                <w:color w:val="000000"/>
                <w:szCs w:val="21"/>
              </w:rPr>
            </w:pPr>
          </w:p>
        </w:tc>
        <w:tc>
          <w:tcPr>
            <w:tcW w:w="1843" w:type="dxa"/>
            <w:vMerge w:val="continue"/>
            <w:vAlign w:val="center"/>
          </w:tcPr>
          <w:p>
            <w:pPr>
              <w:jc w:val="center"/>
              <w:rPr>
                <w:rFonts w:ascii="宋体" w:hAnsi="宋体"/>
                <w:color w:val="000000"/>
                <w:szCs w:val="21"/>
              </w:rPr>
            </w:pPr>
          </w:p>
        </w:tc>
        <w:tc>
          <w:tcPr>
            <w:tcW w:w="751" w:type="dxa"/>
            <w:vAlign w:val="center"/>
          </w:tcPr>
          <w:p>
            <w:pPr>
              <w:jc w:val="center"/>
              <w:rPr>
                <w:rFonts w:ascii="黑体" w:hAnsi="宋体" w:eastAsia="黑体"/>
                <w:color w:val="000000"/>
                <w:szCs w:val="21"/>
              </w:rPr>
            </w:pPr>
            <w:r>
              <w:rPr>
                <w:rFonts w:hint="eastAsia" w:ascii="黑体" w:hAnsi="宋体" w:eastAsia="黑体"/>
                <w:color w:val="000000"/>
                <w:szCs w:val="21"/>
              </w:rPr>
              <w:t>3</w:t>
            </w:r>
          </w:p>
        </w:tc>
        <w:tc>
          <w:tcPr>
            <w:tcW w:w="950" w:type="dxa"/>
            <w:vAlign w:val="center"/>
          </w:tcPr>
          <w:p>
            <w:pPr>
              <w:jc w:val="center"/>
              <w:rPr>
                <w:rFonts w:ascii="宋体" w:hAnsi="宋体"/>
                <w:color w:val="000000"/>
                <w:szCs w:val="21"/>
              </w:rPr>
            </w:pPr>
          </w:p>
        </w:tc>
        <w:tc>
          <w:tcPr>
            <w:tcW w:w="1123" w:type="dxa"/>
            <w:vAlign w:val="center"/>
          </w:tcPr>
          <w:p>
            <w:pPr>
              <w:jc w:val="center"/>
              <w:rPr>
                <w:rFonts w:ascii="宋体" w:hAnsi="宋体"/>
                <w:color w:val="000000"/>
                <w:szCs w:val="21"/>
              </w:rPr>
            </w:pPr>
          </w:p>
        </w:tc>
        <w:tc>
          <w:tcPr>
            <w:tcW w:w="1090" w:type="dxa"/>
            <w:vAlign w:val="center"/>
          </w:tcPr>
          <w:p>
            <w:pPr>
              <w:jc w:val="center"/>
              <w:rPr>
                <w:rFonts w:ascii="宋体" w:hAnsi="宋体"/>
                <w:color w:val="000000"/>
                <w:szCs w:val="21"/>
              </w:rPr>
            </w:pPr>
          </w:p>
        </w:tc>
        <w:tc>
          <w:tcPr>
            <w:tcW w:w="1197" w:type="dxa"/>
            <w:vAlign w:val="center"/>
          </w:tcPr>
          <w:p>
            <w:pPr>
              <w:jc w:val="center"/>
              <w:rPr>
                <w:rFonts w:ascii="宋体" w:hAnsi="宋体"/>
                <w:color w:val="000000"/>
                <w:szCs w:val="21"/>
              </w:rPr>
            </w:pPr>
          </w:p>
        </w:tc>
        <w:tc>
          <w:tcPr>
            <w:tcW w:w="983"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68" w:type="dxa"/>
            <w:vMerge w:val="restart"/>
            <w:tcMar>
              <w:left w:w="108" w:type="dxa"/>
              <w:right w:w="108" w:type="dxa"/>
            </w:tcMar>
            <w:vAlign w:val="center"/>
          </w:tcPr>
          <w:p>
            <w:pPr>
              <w:jc w:val="center"/>
              <w:rPr>
                <w:rFonts w:ascii="宋体" w:hAnsi="宋体"/>
                <w:color w:val="000000"/>
                <w:szCs w:val="21"/>
              </w:rPr>
            </w:pPr>
          </w:p>
        </w:tc>
        <w:tc>
          <w:tcPr>
            <w:tcW w:w="1843" w:type="dxa"/>
            <w:vMerge w:val="restart"/>
            <w:vAlign w:val="center"/>
          </w:tcPr>
          <w:p>
            <w:pPr>
              <w:jc w:val="center"/>
              <w:rPr>
                <w:rFonts w:ascii="宋体" w:hAnsi="宋体"/>
                <w:color w:val="000000"/>
                <w:szCs w:val="21"/>
              </w:rPr>
            </w:pPr>
          </w:p>
        </w:tc>
        <w:tc>
          <w:tcPr>
            <w:tcW w:w="751" w:type="dxa"/>
            <w:vAlign w:val="center"/>
          </w:tcPr>
          <w:p>
            <w:pPr>
              <w:jc w:val="center"/>
              <w:rPr>
                <w:rFonts w:ascii="黑体" w:hAnsi="宋体" w:eastAsia="黑体"/>
                <w:color w:val="000000"/>
                <w:szCs w:val="21"/>
              </w:rPr>
            </w:pPr>
            <w:r>
              <w:rPr>
                <w:rFonts w:hint="eastAsia" w:ascii="黑体" w:hAnsi="宋体" w:eastAsia="黑体"/>
                <w:color w:val="000000"/>
                <w:szCs w:val="21"/>
              </w:rPr>
              <w:t>1</w:t>
            </w:r>
          </w:p>
        </w:tc>
        <w:tc>
          <w:tcPr>
            <w:tcW w:w="950" w:type="dxa"/>
            <w:vAlign w:val="center"/>
          </w:tcPr>
          <w:p>
            <w:pPr>
              <w:jc w:val="center"/>
              <w:rPr>
                <w:rFonts w:ascii="宋体" w:hAnsi="宋体"/>
                <w:color w:val="000000"/>
                <w:szCs w:val="21"/>
              </w:rPr>
            </w:pPr>
          </w:p>
        </w:tc>
        <w:tc>
          <w:tcPr>
            <w:tcW w:w="1123" w:type="dxa"/>
            <w:vAlign w:val="center"/>
          </w:tcPr>
          <w:p>
            <w:pPr>
              <w:jc w:val="center"/>
              <w:rPr>
                <w:rFonts w:ascii="宋体" w:hAnsi="宋体"/>
                <w:color w:val="000000"/>
                <w:szCs w:val="21"/>
              </w:rPr>
            </w:pPr>
          </w:p>
        </w:tc>
        <w:tc>
          <w:tcPr>
            <w:tcW w:w="1090" w:type="dxa"/>
            <w:vAlign w:val="center"/>
          </w:tcPr>
          <w:p>
            <w:pPr>
              <w:jc w:val="center"/>
              <w:rPr>
                <w:rFonts w:ascii="宋体" w:hAnsi="宋体"/>
                <w:color w:val="000000"/>
                <w:szCs w:val="21"/>
              </w:rPr>
            </w:pPr>
          </w:p>
        </w:tc>
        <w:tc>
          <w:tcPr>
            <w:tcW w:w="1197" w:type="dxa"/>
            <w:vAlign w:val="center"/>
          </w:tcPr>
          <w:p>
            <w:pPr>
              <w:jc w:val="center"/>
              <w:rPr>
                <w:rFonts w:ascii="宋体" w:hAnsi="宋体"/>
                <w:color w:val="000000"/>
                <w:szCs w:val="21"/>
              </w:rPr>
            </w:pPr>
          </w:p>
        </w:tc>
        <w:tc>
          <w:tcPr>
            <w:tcW w:w="983"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68" w:type="dxa"/>
            <w:vMerge w:val="continue"/>
            <w:tcMar>
              <w:left w:w="108" w:type="dxa"/>
              <w:right w:w="108" w:type="dxa"/>
            </w:tcMar>
            <w:vAlign w:val="center"/>
          </w:tcPr>
          <w:p>
            <w:pPr>
              <w:jc w:val="center"/>
              <w:rPr>
                <w:rFonts w:ascii="宋体" w:hAnsi="宋体"/>
                <w:color w:val="000000"/>
                <w:szCs w:val="21"/>
              </w:rPr>
            </w:pPr>
          </w:p>
        </w:tc>
        <w:tc>
          <w:tcPr>
            <w:tcW w:w="1843" w:type="dxa"/>
            <w:vMerge w:val="continue"/>
            <w:vAlign w:val="center"/>
          </w:tcPr>
          <w:p>
            <w:pPr>
              <w:jc w:val="center"/>
              <w:rPr>
                <w:rFonts w:ascii="宋体" w:hAnsi="宋体"/>
                <w:color w:val="000000"/>
                <w:szCs w:val="21"/>
              </w:rPr>
            </w:pPr>
          </w:p>
        </w:tc>
        <w:tc>
          <w:tcPr>
            <w:tcW w:w="751" w:type="dxa"/>
            <w:vAlign w:val="center"/>
          </w:tcPr>
          <w:p>
            <w:pPr>
              <w:jc w:val="center"/>
              <w:rPr>
                <w:rFonts w:ascii="黑体" w:hAnsi="宋体" w:eastAsia="黑体"/>
                <w:color w:val="000000"/>
                <w:szCs w:val="21"/>
              </w:rPr>
            </w:pPr>
            <w:r>
              <w:rPr>
                <w:rFonts w:hint="eastAsia" w:ascii="黑体" w:hAnsi="宋体" w:eastAsia="黑体"/>
                <w:color w:val="000000"/>
                <w:szCs w:val="21"/>
              </w:rPr>
              <w:t>2</w:t>
            </w:r>
          </w:p>
        </w:tc>
        <w:tc>
          <w:tcPr>
            <w:tcW w:w="950" w:type="dxa"/>
            <w:vAlign w:val="center"/>
          </w:tcPr>
          <w:p>
            <w:pPr>
              <w:jc w:val="center"/>
              <w:rPr>
                <w:rFonts w:ascii="宋体" w:hAnsi="宋体"/>
                <w:color w:val="000000"/>
                <w:szCs w:val="21"/>
              </w:rPr>
            </w:pPr>
          </w:p>
        </w:tc>
        <w:tc>
          <w:tcPr>
            <w:tcW w:w="1123" w:type="dxa"/>
            <w:vAlign w:val="center"/>
          </w:tcPr>
          <w:p>
            <w:pPr>
              <w:jc w:val="center"/>
              <w:rPr>
                <w:rFonts w:ascii="宋体" w:hAnsi="宋体"/>
                <w:color w:val="000000"/>
                <w:szCs w:val="21"/>
              </w:rPr>
            </w:pPr>
          </w:p>
        </w:tc>
        <w:tc>
          <w:tcPr>
            <w:tcW w:w="1090" w:type="dxa"/>
            <w:vAlign w:val="center"/>
          </w:tcPr>
          <w:p>
            <w:pPr>
              <w:jc w:val="center"/>
              <w:rPr>
                <w:rFonts w:ascii="宋体" w:hAnsi="宋体"/>
                <w:color w:val="000000"/>
                <w:szCs w:val="21"/>
              </w:rPr>
            </w:pPr>
          </w:p>
        </w:tc>
        <w:tc>
          <w:tcPr>
            <w:tcW w:w="1197" w:type="dxa"/>
            <w:vAlign w:val="center"/>
          </w:tcPr>
          <w:p>
            <w:pPr>
              <w:jc w:val="center"/>
              <w:rPr>
                <w:rFonts w:ascii="宋体" w:hAnsi="宋体"/>
                <w:color w:val="000000"/>
                <w:szCs w:val="21"/>
              </w:rPr>
            </w:pPr>
          </w:p>
        </w:tc>
        <w:tc>
          <w:tcPr>
            <w:tcW w:w="983"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68" w:type="dxa"/>
            <w:vMerge w:val="continue"/>
            <w:tcMar>
              <w:left w:w="108" w:type="dxa"/>
              <w:right w:w="108" w:type="dxa"/>
            </w:tcMar>
            <w:vAlign w:val="center"/>
          </w:tcPr>
          <w:p>
            <w:pPr>
              <w:jc w:val="center"/>
              <w:rPr>
                <w:rFonts w:ascii="宋体" w:hAnsi="宋体"/>
                <w:color w:val="000000"/>
                <w:szCs w:val="21"/>
              </w:rPr>
            </w:pPr>
          </w:p>
        </w:tc>
        <w:tc>
          <w:tcPr>
            <w:tcW w:w="1843" w:type="dxa"/>
            <w:vMerge w:val="continue"/>
            <w:vAlign w:val="center"/>
          </w:tcPr>
          <w:p>
            <w:pPr>
              <w:jc w:val="center"/>
              <w:rPr>
                <w:rFonts w:ascii="宋体" w:hAnsi="宋体"/>
                <w:color w:val="000000"/>
                <w:szCs w:val="21"/>
              </w:rPr>
            </w:pPr>
          </w:p>
        </w:tc>
        <w:tc>
          <w:tcPr>
            <w:tcW w:w="751" w:type="dxa"/>
            <w:vAlign w:val="center"/>
          </w:tcPr>
          <w:p>
            <w:pPr>
              <w:jc w:val="center"/>
              <w:rPr>
                <w:rFonts w:ascii="黑体" w:hAnsi="宋体" w:eastAsia="黑体"/>
                <w:color w:val="000000"/>
                <w:szCs w:val="21"/>
              </w:rPr>
            </w:pPr>
            <w:r>
              <w:rPr>
                <w:rFonts w:hint="eastAsia" w:ascii="黑体" w:hAnsi="宋体" w:eastAsia="黑体"/>
                <w:color w:val="000000"/>
                <w:szCs w:val="21"/>
              </w:rPr>
              <w:t>3</w:t>
            </w:r>
          </w:p>
        </w:tc>
        <w:tc>
          <w:tcPr>
            <w:tcW w:w="950" w:type="dxa"/>
            <w:vAlign w:val="center"/>
          </w:tcPr>
          <w:p>
            <w:pPr>
              <w:jc w:val="center"/>
              <w:rPr>
                <w:rFonts w:ascii="宋体" w:hAnsi="宋体"/>
                <w:color w:val="000000"/>
                <w:szCs w:val="21"/>
              </w:rPr>
            </w:pPr>
          </w:p>
        </w:tc>
        <w:tc>
          <w:tcPr>
            <w:tcW w:w="1123" w:type="dxa"/>
            <w:vAlign w:val="center"/>
          </w:tcPr>
          <w:p>
            <w:pPr>
              <w:jc w:val="center"/>
              <w:rPr>
                <w:rFonts w:ascii="宋体" w:hAnsi="宋体"/>
                <w:color w:val="000000"/>
                <w:szCs w:val="21"/>
              </w:rPr>
            </w:pPr>
          </w:p>
        </w:tc>
        <w:tc>
          <w:tcPr>
            <w:tcW w:w="1090" w:type="dxa"/>
            <w:vAlign w:val="center"/>
          </w:tcPr>
          <w:p>
            <w:pPr>
              <w:jc w:val="center"/>
              <w:rPr>
                <w:rFonts w:ascii="宋体" w:hAnsi="宋体"/>
                <w:color w:val="000000"/>
                <w:szCs w:val="21"/>
              </w:rPr>
            </w:pPr>
          </w:p>
        </w:tc>
        <w:tc>
          <w:tcPr>
            <w:tcW w:w="1197" w:type="dxa"/>
            <w:vAlign w:val="center"/>
          </w:tcPr>
          <w:p>
            <w:pPr>
              <w:jc w:val="center"/>
              <w:rPr>
                <w:rFonts w:ascii="宋体" w:hAnsi="宋体"/>
                <w:color w:val="000000"/>
                <w:szCs w:val="21"/>
              </w:rPr>
            </w:pPr>
          </w:p>
        </w:tc>
        <w:tc>
          <w:tcPr>
            <w:tcW w:w="983"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68" w:type="dxa"/>
            <w:vMerge w:val="restart"/>
            <w:tcMar>
              <w:left w:w="108" w:type="dxa"/>
              <w:right w:w="108" w:type="dxa"/>
            </w:tcMar>
            <w:vAlign w:val="center"/>
          </w:tcPr>
          <w:p>
            <w:pPr>
              <w:jc w:val="center"/>
              <w:rPr>
                <w:rFonts w:ascii="宋体" w:hAnsi="宋体"/>
                <w:color w:val="000000"/>
                <w:szCs w:val="21"/>
              </w:rPr>
            </w:pPr>
          </w:p>
        </w:tc>
        <w:tc>
          <w:tcPr>
            <w:tcW w:w="1843" w:type="dxa"/>
            <w:vMerge w:val="restart"/>
            <w:vAlign w:val="center"/>
          </w:tcPr>
          <w:p>
            <w:pPr>
              <w:jc w:val="center"/>
              <w:rPr>
                <w:rFonts w:ascii="宋体" w:hAnsi="宋体"/>
                <w:color w:val="000000"/>
                <w:szCs w:val="21"/>
              </w:rPr>
            </w:pPr>
          </w:p>
        </w:tc>
        <w:tc>
          <w:tcPr>
            <w:tcW w:w="751" w:type="dxa"/>
            <w:vAlign w:val="center"/>
          </w:tcPr>
          <w:p>
            <w:pPr>
              <w:jc w:val="center"/>
              <w:rPr>
                <w:rFonts w:ascii="黑体" w:hAnsi="宋体" w:eastAsia="黑体"/>
                <w:color w:val="000000"/>
                <w:szCs w:val="21"/>
              </w:rPr>
            </w:pPr>
            <w:r>
              <w:rPr>
                <w:rFonts w:hint="eastAsia" w:ascii="黑体" w:hAnsi="宋体" w:eastAsia="黑体"/>
                <w:color w:val="000000"/>
                <w:szCs w:val="21"/>
              </w:rPr>
              <w:t>1</w:t>
            </w:r>
          </w:p>
        </w:tc>
        <w:tc>
          <w:tcPr>
            <w:tcW w:w="950" w:type="dxa"/>
            <w:vAlign w:val="center"/>
          </w:tcPr>
          <w:p>
            <w:pPr>
              <w:jc w:val="center"/>
              <w:rPr>
                <w:rFonts w:ascii="宋体" w:hAnsi="宋体"/>
                <w:color w:val="000000"/>
                <w:szCs w:val="21"/>
              </w:rPr>
            </w:pPr>
          </w:p>
        </w:tc>
        <w:tc>
          <w:tcPr>
            <w:tcW w:w="1123" w:type="dxa"/>
            <w:vAlign w:val="center"/>
          </w:tcPr>
          <w:p>
            <w:pPr>
              <w:jc w:val="center"/>
              <w:rPr>
                <w:rFonts w:ascii="宋体" w:hAnsi="宋体"/>
                <w:color w:val="000000"/>
                <w:szCs w:val="21"/>
              </w:rPr>
            </w:pPr>
          </w:p>
        </w:tc>
        <w:tc>
          <w:tcPr>
            <w:tcW w:w="1090" w:type="dxa"/>
            <w:vAlign w:val="center"/>
          </w:tcPr>
          <w:p>
            <w:pPr>
              <w:jc w:val="center"/>
              <w:rPr>
                <w:rFonts w:ascii="宋体" w:hAnsi="宋体"/>
                <w:color w:val="000000"/>
                <w:szCs w:val="21"/>
              </w:rPr>
            </w:pPr>
          </w:p>
        </w:tc>
        <w:tc>
          <w:tcPr>
            <w:tcW w:w="1197" w:type="dxa"/>
            <w:vAlign w:val="center"/>
          </w:tcPr>
          <w:p>
            <w:pPr>
              <w:jc w:val="center"/>
              <w:rPr>
                <w:rFonts w:ascii="宋体" w:hAnsi="宋体"/>
                <w:color w:val="000000"/>
                <w:szCs w:val="21"/>
              </w:rPr>
            </w:pPr>
          </w:p>
        </w:tc>
        <w:tc>
          <w:tcPr>
            <w:tcW w:w="983"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68" w:type="dxa"/>
            <w:vMerge w:val="continue"/>
            <w:tcMar>
              <w:left w:w="108" w:type="dxa"/>
              <w:right w:w="108" w:type="dxa"/>
            </w:tcMar>
            <w:vAlign w:val="center"/>
          </w:tcPr>
          <w:p>
            <w:pPr>
              <w:jc w:val="center"/>
              <w:rPr>
                <w:rFonts w:ascii="宋体" w:hAnsi="宋体"/>
                <w:color w:val="000000"/>
                <w:szCs w:val="21"/>
              </w:rPr>
            </w:pPr>
          </w:p>
        </w:tc>
        <w:tc>
          <w:tcPr>
            <w:tcW w:w="1843" w:type="dxa"/>
            <w:vMerge w:val="continue"/>
            <w:vAlign w:val="center"/>
          </w:tcPr>
          <w:p>
            <w:pPr>
              <w:jc w:val="center"/>
              <w:rPr>
                <w:rFonts w:ascii="宋体" w:hAnsi="宋体"/>
                <w:color w:val="000000"/>
                <w:szCs w:val="21"/>
              </w:rPr>
            </w:pPr>
          </w:p>
        </w:tc>
        <w:tc>
          <w:tcPr>
            <w:tcW w:w="751" w:type="dxa"/>
            <w:vAlign w:val="center"/>
          </w:tcPr>
          <w:p>
            <w:pPr>
              <w:jc w:val="center"/>
              <w:rPr>
                <w:rFonts w:ascii="黑体" w:hAnsi="宋体" w:eastAsia="黑体"/>
                <w:color w:val="000000"/>
                <w:szCs w:val="21"/>
              </w:rPr>
            </w:pPr>
            <w:r>
              <w:rPr>
                <w:rFonts w:hint="eastAsia" w:ascii="黑体" w:hAnsi="宋体" w:eastAsia="黑体"/>
                <w:color w:val="000000"/>
                <w:szCs w:val="21"/>
              </w:rPr>
              <w:t>2</w:t>
            </w:r>
          </w:p>
        </w:tc>
        <w:tc>
          <w:tcPr>
            <w:tcW w:w="950" w:type="dxa"/>
            <w:vAlign w:val="center"/>
          </w:tcPr>
          <w:p>
            <w:pPr>
              <w:jc w:val="center"/>
              <w:rPr>
                <w:rFonts w:ascii="宋体" w:hAnsi="宋体"/>
                <w:color w:val="000000"/>
                <w:szCs w:val="21"/>
              </w:rPr>
            </w:pPr>
          </w:p>
        </w:tc>
        <w:tc>
          <w:tcPr>
            <w:tcW w:w="1123" w:type="dxa"/>
            <w:vAlign w:val="center"/>
          </w:tcPr>
          <w:p>
            <w:pPr>
              <w:jc w:val="center"/>
              <w:rPr>
                <w:rFonts w:ascii="宋体" w:hAnsi="宋体"/>
                <w:color w:val="000000"/>
                <w:szCs w:val="21"/>
              </w:rPr>
            </w:pPr>
          </w:p>
        </w:tc>
        <w:tc>
          <w:tcPr>
            <w:tcW w:w="1090" w:type="dxa"/>
            <w:vAlign w:val="center"/>
          </w:tcPr>
          <w:p>
            <w:pPr>
              <w:jc w:val="center"/>
              <w:rPr>
                <w:rFonts w:ascii="宋体" w:hAnsi="宋体"/>
                <w:color w:val="000000"/>
                <w:szCs w:val="21"/>
              </w:rPr>
            </w:pPr>
          </w:p>
        </w:tc>
        <w:tc>
          <w:tcPr>
            <w:tcW w:w="1197" w:type="dxa"/>
            <w:vAlign w:val="center"/>
          </w:tcPr>
          <w:p>
            <w:pPr>
              <w:jc w:val="center"/>
              <w:rPr>
                <w:rFonts w:ascii="宋体" w:hAnsi="宋体"/>
                <w:color w:val="000000"/>
                <w:szCs w:val="21"/>
              </w:rPr>
            </w:pPr>
          </w:p>
        </w:tc>
        <w:tc>
          <w:tcPr>
            <w:tcW w:w="983"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68" w:type="dxa"/>
            <w:vMerge w:val="continue"/>
            <w:tcMar>
              <w:left w:w="108" w:type="dxa"/>
              <w:right w:w="108" w:type="dxa"/>
            </w:tcMar>
            <w:vAlign w:val="center"/>
          </w:tcPr>
          <w:p>
            <w:pPr>
              <w:jc w:val="center"/>
              <w:rPr>
                <w:rFonts w:ascii="宋体" w:hAnsi="宋体"/>
                <w:color w:val="000000"/>
                <w:szCs w:val="21"/>
              </w:rPr>
            </w:pPr>
          </w:p>
        </w:tc>
        <w:tc>
          <w:tcPr>
            <w:tcW w:w="1843" w:type="dxa"/>
            <w:vMerge w:val="continue"/>
            <w:vAlign w:val="center"/>
          </w:tcPr>
          <w:p>
            <w:pPr>
              <w:jc w:val="center"/>
              <w:rPr>
                <w:rFonts w:ascii="宋体" w:hAnsi="宋体"/>
                <w:color w:val="000000"/>
                <w:szCs w:val="21"/>
              </w:rPr>
            </w:pPr>
          </w:p>
        </w:tc>
        <w:tc>
          <w:tcPr>
            <w:tcW w:w="751" w:type="dxa"/>
            <w:vAlign w:val="center"/>
          </w:tcPr>
          <w:p>
            <w:pPr>
              <w:jc w:val="center"/>
              <w:rPr>
                <w:rFonts w:ascii="黑体" w:hAnsi="宋体" w:eastAsia="黑体"/>
                <w:color w:val="000000"/>
                <w:szCs w:val="21"/>
              </w:rPr>
            </w:pPr>
            <w:r>
              <w:rPr>
                <w:rFonts w:hint="eastAsia" w:ascii="黑体" w:hAnsi="宋体" w:eastAsia="黑体"/>
                <w:color w:val="000000"/>
                <w:szCs w:val="21"/>
              </w:rPr>
              <w:t>3</w:t>
            </w:r>
          </w:p>
        </w:tc>
        <w:tc>
          <w:tcPr>
            <w:tcW w:w="950" w:type="dxa"/>
            <w:vAlign w:val="center"/>
          </w:tcPr>
          <w:p>
            <w:pPr>
              <w:jc w:val="center"/>
              <w:rPr>
                <w:rFonts w:ascii="宋体" w:hAnsi="宋体"/>
                <w:color w:val="000000"/>
                <w:szCs w:val="21"/>
              </w:rPr>
            </w:pPr>
          </w:p>
        </w:tc>
        <w:tc>
          <w:tcPr>
            <w:tcW w:w="1123" w:type="dxa"/>
            <w:vAlign w:val="center"/>
          </w:tcPr>
          <w:p>
            <w:pPr>
              <w:jc w:val="center"/>
              <w:rPr>
                <w:rFonts w:ascii="宋体" w:hAnsi="宋体"/>
                <w:color w:val="000000"/>
                <w:szCs w:val="21"/>
              </w:rPr>
            </w:pPr>
          </w:p>
        </w:tc>
        <w:tc>
          <w:tcPr>
            <w:tcW w:w="1090" w:type="dxa"/>
            <w:vAlign w:val="center"/>
          </w:tcPr>
          <w:p>
            <w:pPr>
              <w:jc w:val="center"/>
              <w:rPr>
                <w:rFonts w:ascii="宋体" w:hAnsi="宋体"/>
                <w:color w:val="000000"/>
                <w:szCs w:val="21"/>
              </w:rPr>
            </w:pPr>
          </w:p>
        </w:tc>
        <w:tc>
          <w:tcPr>
            <w:tcW w:w="1197" w:type="dxa"/>
            <w:vAlign w:val="center"/>
          </w:tcPr>
          <w:p>
            <w:pPr>
              <w:jc w:val="center"/>
              <w:rPr>
                <w:rFonts w:ascii="宋体" w:hAnsi="宋体"/>
                <w:color w:val="000000"/>
                <w:szCs w:val="21"/>
              </w:rPr>
            </w:pPr>
          </w:p>
        </w:tc>
        <w:tc>
          <w:tcPr>
            <w:tcW w:w="983"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68" w:type="dxa"/>
            <w:vMerge w:val="restart"/>
            <w:tcMar>
              <w:left w:w="108" w:type="dxa"/>
              <w:right w:w="108" w:type="dxa"/>
            </w:tcMar>
            <w:vAlign w:val="center"/>
          </w:tcPr>
          <w:p>
            <w:pPr>
              <w:jc w:val="center"/>
              <w:rPr>
                <w:rFonts w:ascii="宋体" w:hAnsi="宋体"/>
                <w:color w:val="000000"/>
                <w:szCs w:val="21"/>
              </w:rPr>
            </w:pPr>
          </w:p>
        </w:tc>
        <w:tc>
          <w:tcPr>
            <w:tcW w:w="1843" w:type="dxa"/>
            <w:vMerge w:val="restart"/>
            <w:vAlign w:val="center"/>
          </w:tcPr>
          <w:p>
            <w:pPr>
              <w:jc w:val="center"/>
              <w:rPr>
                <w:rFonts w:ascii="宋体" w:hAnsi="宋体"/>
                <w:color w:val="000000"/>
                <w:szCs w:val="21"/>
              </w:rPr>
            </w:pPr>
          </w:p>
        </w:tc>
        <w:tc>
          <w:tcPr>
            <w:tcW w:w="751" w:type="dxa"/>
            <w:vAlign w:val="center"/>
          </w:tcPr>
          <w:p>
            <w:pPr>
              <w:jc w:val="center"/>
              <w:rPr>
                <w:rFonts w:ascii="黑体" w:hAnsi="宋体" w:eastAsia="黑体"/>
                <w:color w:val="000000"/>
                <w:szCs w:val="21"/>
              </w:rPr>
            </w:pPr>
            <w:r>
              <w:rPr>
                <w:rFonts w:hint="eastAsia" w:ascii="黑体" w:hAnsi="宋体" w:eastAsia="黑体"/>
                <w:color w:val="000000"/>
                <w:szCs w:val="21"/>
              </w:rPr>
              <w:t>1</w:t>
            </w:r>
          </w:p>
        </w:tc>
        <w:tc>
          <w:tcPr>
            <w:tcW w:w="950" w:type="dxa"/>
            <w:vAlign w:val="center"/>
          </w:tcPr>
          <w:p>
            <w:pPr>
              <w:jc w:val="center"/>
              <w:rPr>
                <w:rFonts w:ascii="宋体" w:hAnsi="宋体"/>
                <w:color w:val="000000"/>
                <w:szCs w:val="21"/>
              </w:rPr>
            </w:pPr>
          </w:p>
        </w:tc>
        <w:tc>
          <w:tcPr>
            <w:tcW w:w="1123" w:type="dxa"/>
            <w:vAlign w:val="center"/>
          </w:tcPr>
          <w:p>
            <w:pPr>
              <w:jc w:val="center"/>
              <w:rPr>
                <w:rFonts w:ascii="宋体" w:hAnsi="宋体"/>
                <w:color w:val="000000"/>
                <w:szCs w:val="21"/>
              </w:rPr>
            </w:pPr>
          </w:p>
        </w:tc>
        <w:tc>
          <w:tcPr>
            <w:tcW w:w="1090" w:type="dxa"/>
            <w:vAlign w:val="center"/>
          </w:tcPr>
          <w:p>
            <w:pPr>
              <w:jc w:val="center"/>
              <w:rPr>
                <w:rFonts w:ascii="宋体" w:hAnsi="宋体"/>
                <w:color w:val="000000"/>
                <w:szCs w:val="21"/>
              </w:rPr>
            </w:pPr>
          </w:p>
        </w:tc>
        <w:tc>
          <w:tcPr>
            <w:tcW w:w="1197" w:type="dxa"/>
            <w:vAlign w:val="center"/>
          </w:tcPr>
          <w:p>
            <w:pPr>
              <w:jc w:val="center"/>
              <w:rPr>
                <w:rFonts w:ascii="宋体" w:hAnsi="宋体"/>
                <w:color w:val="000000"/>
                <w:szCs w:val="21"/>
              </w:rPr>
            </w:pPr>
          </w:p>
        </w:tc>
        <w:tc>
          <w:tcPr>
            <w:tcW w:w="983"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68" w:type="dxa"/>
            <w:vMerge w:val="continue"/>
            <w:tcMar>
              <w:left w:w="108" w:type="dxa"/>
              <w:right w:w="108" w:type="dxa"/>
            </w:tcMar>
            <w:vAlign w:val="center"/>
          </w:tcPr>
          <w:p>
            <w:pPr>
              <w:jc w:val="center"/>
              <w:rPr>
                <w:rFonts w:ascii="宋体" w:hAnsi="宋体"/>
                <w:color w:val="000000"/>
                <w:szCs w:val="21"/>
              </w:rPr>
            </w:pPr>
          </w:p>
        </w:tc>
        <w:tc>
          <w:tcPr>
            <w:tcW w:w="1843" w:type="dxa"/>
            <w:vMerge w:val="continue"/>
            <w:vAlign w:val="center"/>
          </w:tcPr>
          <w:p>
            <w:pPr>
              <w:jc w:val="center"/>
              <w:rPr>
                <w:rFonts w:ascii="宋体" w:hAnsi="宋体"/>
                <w:color w:val="000000"/>
                <w:szCs w:val="21"/>
              </w:rPr>
            </w:pPr>
          </w:p>
        </w:tc>
        <w:tc>
          <w:tcPr>
            <w:tcW w:w="751" w:type="dxa"/>
            <w:vAlign w:val="center"/>
          </w:tcPr>
          <w:p>
            <w:pPr>
              <w:jc w:val="center"/>
              <w:rPr>
                <w:rFonts w:ascii="黑体" w:hAnsi="宋体" w:eastAsia="黑体"/>
                <w:color w:val="000000"/>
                <w:szCs w:val="21"/>
              </w:rPr>
            </w:pPr>
            <w:r>
              <w:rPr>
                <w:rFonts w:hint="eastAsia" w:ascii="黑体" w:hAnsi="宋体" w:eastAsia="黑体"/>
                <w:color w:val="000000"/>
                <w:szCs w:val="21"/>
              </w:rPr>
              <w:t>2</w:t>
            </w:r>
          </w:p>
        </w:tc>
        <w:tc>
          <w:tcPr>
            <w:tcW w:w="950" w:type="dxa"/>
            <w:vAlign w:val="center"/>
          </w:tcPr>
          <w:p>
            <w:pPr>
              <w:jc w:val="center"/>
              <w:rPr>
                <w:rFonts w:ascii="宋体" w:hAnsi="宋体"/>
                <w:color w:val="000000"/>
                <w:szCs w:val="21"/>
              </w:rPr>
            </w:pPr>
          </w:p>
        </w:tc>
        <w:tc>
          <w:tcPr>
            <w:tcW w:w="1123" w:type="dxa"/>
            <w:vAlign w:val="center"/>
          </w:tcPr>
          <w:p>
            <w:pPr>
              <w:jc w:val="center"/>
              <w:rPr>
                <w:rFonts w:ascii="宋体" w:hAnsi="宋体"/>
                <w:color w:val="000000"/>
                <w:szCs w:val="21"/>
              </w:rPr>
            </w:pPr>
          </w:p>
        </w:tc>
        <w:tc>
          <w:tcPr>
            <w:tcW w:w="1090" w:type="dxa"/>
            <w:vAlign w:val="center"/>
          </w:tcPr>
          <w:p>
            <w:pPr>
              <w:jc w:val="center"/>
              <w:rPr>
                <w:rFonts w:ascii="宋体" w:hAnsi="宋体"/>
                <w:color w:val="000000"/>
                <w:szCs w:val="21"/>
              </w:rPr>
            </w:pPr>
          </w:p>
        </w:tc>
        <w:tc>
          <w:tcPr>
            <w:tcW w:w="1197" w:type="dxa"/>
            <w:vAlign w:val="center"/>
          </w:tcPr>
          <w:p>
            <w:pPr>
              <w:jc w:val="center"/>
              <w:rPr>
                <w:rFonts w:ascii="宋体" w:hAnsi="宋体"/>
                <w:color w:val="000000"/>
                <w:szCs w:val="21"/>
              </w:rPr>
            </w:pPr>
          </w:p>
        </w:tc>
        <w:tc>
          <w:tcPr>
            <w:tcW w:w="983"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568" w:type="dxa"/>
            <w:vMerge w:val="continue"/>
            <w:tcMar>
              <w:left w:w="108" w:type="dxa"/>
              <w:right w:w="108" w:type="dxa"/>
            </w:tcMar>
            <w:vAlign w:val="center"/>
          </w:tcPr>
          <w:p>
            <w:pPr>
              <w:jc w:val="center"/>
              <w:rPr>
                <w:rFonts w:ascii="宋体" w:hAnsi="宋体"/>
                <w:color w:val="000000"/>
                <w:szCs w:val="21"/>
              </w:rPr>
            </w:pPr>
          </w:p>
        </w:tc>
        <w:tc>
          <w:tcPr>
            <w:tcW w:w="1843" w:type="dxa"/>
            <w:vMerge w:val="continue"/>
            <w:vAlign w:val="center"/>
          </w:tcPr>
          <w:p>
            <w:pPr>
              <w:jc w:val="center"/>
              <w:rPr>
                <w:rFonts w:ascii="宋体" w:hAnsi="宋体"/>
                <w:color w:val="000000"/>
                <w:szCs w:val="21"/>
              </w:rPr>
            </w:pPr>
          </w:p>
        </w:tc>
        <w:tc>
          <w:tcPr>
            <w:tcW w:w="751" w:type="dxa"/>
            <w:vAlign w:val="center"/>
          </w:tcPr>
          <w:p>
            <w:pPr>
              <w:jc w:val="center"/>
              <w:rPr>
                <w:rFonts w:ascii="黑体" w:hAnsi="宋体" w:eastAsia="黑体"/>
                <w:color w:val="000000"/>
                <w:szCs w:val="21"/>
              </w:rPr>
            </w:pPr>
            <w:r>
              <w:rPr>
                <w:rFonts w:hint="eastAsia" w:ascii="黑体" w:hAnsi="宋体" w:eastAsia="黑体"/>
                <w:color w:val="000000"/>
                <w:szCs w:val="21"/>
              </w:rPr>
              <w:t>3</w:t>
            </w:r>
          </w:p>
        </w:tc>
        <w:tc>
          <w:tcPr>
            <w:tcW w:w="950" w:type="dxa"/>
            <w:vAlign w:val="center"/>
          </w:tcPr>
          <w:p>
            <w:pPr>
              <w:jc w:val="center"/>
              <w:rPr>
                <w:rFonts w:ascii="宋体" w:hAnsi="宋体"/>
                <w:color w:val="000000"/>
                <w:szCs w:val="21"/>
              </w:rPr>
            </w:pPr>
          </w:p>
        </w:tc>
        <w:tc>
          <w:tcPr>
            <w:tcW w:w="1123" w:type="dxa"/>
            <w:vAlign w:val="center"/>
          </w:tcPr>
          <w:p>
            <w:pPr>
              <w:jc w:val="center"/>
              <w:rPr>
                <w:rFonts w:ascii="宋体" w:hAnsi="宋体"/>
                <w:color w:val="000000"/>
                <w:szCs w:val="21"/>
              </w:rPr>
            </w:pPr>
          </w:p>
        </w:tc>
        <w:tc>
          <w:tcPr>
            <w:tcW w:w="1090" w:type="dxa"/>
            <w:vAlign w:val="center"/>
          </w:tcPr>
          <w:p>
            <w:pPr>
              <w:jc w:val="center"/>
              <w:rPr>
                <w:rFonts w:ascii="宋体" w:hAnsi="宋体"/>
                <w:color w:val="000000"/>
                <w:szCs w:val="21"/>
              </w:rPr>
            </w:pPr>
          </w:p>
        </w:tc>
        <w:tc>
          <w:tcPr>
            <w:tcW w:w="1197" w:type="dxa"/>
            <w:vAlign w:val="center"/>
          </w:tcPr>
          <w:p>
            <w:pPr>
              <w:jc w:val="center"/>
              <w:rPr>
                <w:rFonts w:ascii="宋体" w:hAnsi="宋体"/>
                <w:color w:val="000000"/>
                <w:szCs w:val="21"/>
              </w:rPr>
            </w:pPr>
          </w:p>
        </w:tc>
        <w:tc>
          <w:tcPr>
            <w:tcW w:w="983" w:type="dxa"/>
            <w:vAlign w:val="center"/>
          </w:tcPr>
          <w:p>
            <w:pPr>
              <w:jc w:val="center"/>
              <w:rPr>
                <w:rFonts w:ascii="宋体" w:hAnsi="宋体"/>
                <w:color w:val="000000"/>
                <w:szCs w:val="21"/>
              </w:rPr>
            </w:pPr>
          </w:p>
        </w:tc>
      </w:tr>
    </w:tbl>
    <w:p>
      <w:pPr>
        <w:spacing w:line="440" w:lineRule="exact"/>
        <w:ind w:right="420"/>
        <w:rPr>
          <w:rFonts w:ascii="宋体" w:hAnsi="宋体"/>
          <w:color w:val="000000"/>
          <w:szCs w:val="21"/>
        </w:rPr>
      </w:pPr>
      <w:r>
        <w:rPr>
          <w:rFonts w:hint="eastAsia" w:ascii="黑体" w:hAnsi="宋体" w:eastAsia="黑体"/>
          <w:color w:val="000000"/>
          <w:szCs w:val="21"/>
        </w:rPr>
        <w:t>备注：</w:t>
      </w:r>
      <w:r>
        <w:rPr>
          <w:rFonts w:hint="eastAsia" w:ascii="宋体" w:hAnsi="宋体"/>
          <w:color w:val="000000"/>
          <w:szCs w:val="21"/>
        </w:rPr>
        <w:t>本表所列分包仅限于承包人自行施工范围内的非主体、非关键工程。</w:t>
      </w:r>
    </w:p>
    <w:p>
      <w:pPr>
        <w:wordWrap w:val="0"/>
        <w:spacing w:line="440" w:lineRule="exact"/>
        <w:ind w:right="420"/>
        <w:jc w:val="right"/>
        <w:rPr>
          <w:rFonts w:ascii="宋体" w:hAnsi="宋体"/>
          <w:color w:val="000000"/>
          <w:szCs w:val="21"/>
        </w:rPr>
      </w:pPr>
      <w:r>
        <w:rPr>
          <w:rFonts w:hint="eastAsia" w:ascii="宋体" w:hAnsi="宋体"/>
          <w:color w:val="000000"/>
          <w:szCs w:val="21"/>
        </w:rPr>
        <w:t xml:space="preserve">日    期：       年     月     日  </w:t>
      </w:r>
    </w:p>
    <w:p>
      <w:pPr>
        <w:spacing w:before="240" w:beforeLines="100" w:after="120" w:afterLines="50" w:line="440" w:lineRule="exact"/>
        <w:jc w:val="center"/>
        <w:outlineLvl w:val="2"/>
        <w:rPr>
          <w:rFonts w:ascii="黑体" w:hAnsi="宋体" w:eastAsia="黑体"/>
          <w:color w:val="000000"/>
          <w:sz w:val="28"/>
          <w:szCs w:val="28"/>
        </w:rPr>
      </w:pPr>
      <w:r>
        <w:rPr>
          <w:rFonts w:ascii="宋体" w:hAnsi="宋体"/>
          <w:color w:val="000000"/>
          <w:szCs w:val="21"/>
        </w:rPr>
        <w:br w:type="page"/>
      </w:r>
      <w:bookmarkStart w:id="1383" w:name="_Toc290990844"/>
      <w:bookmarkStart w:id="1384" w:name="_Toc295812327"/>
      <w:bookmarkStart w:id="1385" w:name="_Toc114222886"/>
      <w:r>
        <w:rPr>
          <w:rFonts w:hint="eastAsia" w:ascii="黑体" w:hAnsi="宋体" w:eastAsia="黑体"/>
          <w:color w:val="000000"/>
          <w:sz w:val="28"/>
          <w:szCs w:val="28"/>
        </w:rPr>
        <w:t>九、资格审查资料</w:t>
      </w:r>
      <w:bookmarkEnd w:id="1383"/>
      <w:bookmarkEnd w:id="1384"/>
      <w:bookmarkEnd w:id="1385"/>
    </w:p>
    <w:p>
      <w:pPr>
        <w:spacing w:before="120" w:beforeLines="50" w:after="240" w:afterLines="100" w:line="440" w:lineRule="exact"/>
        <w:rPr>
          <w:rFonts w:ascii="黑体" w:hAnsi="宋体" w:eastAsia="黑体"/>
          <w:color w:val="000000"/>
          <w:sz w:val="24"/>
        </w:rPr>
      </w:pPr>
      <w:r>
        <w:rPr>
          <w:rFonts w:hint="eastAsia" w:ascii="黑体" w:hAnsi="宋体" w:eastAsia="黑体"/>
          <w:color w:val="000000"/>
          <w:sz w:val="24"/>
        </w:rPr>
        <w:t>（一）投标人基本情况表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5"/>
        <w:gridCol w:w="897"/>
        <w:gridCol w:w="1021"/>
        <w:gridCol w:w="993"/>
        <w:gridCol w:w="283"/>
        <w:gridCol w:w="195"/>
        <w:gridCol w:w="1246"/>
        <w:gridCol w:w="260"/>
        <w:gridCol w:w="709"/>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485" w:type="dxa"/>
            <w:vAlign w:val="center"/>
          </w:tcPr>
          <w:p>
            <w:pPr>
              <w:jc w:val="center"/>
              <w:rPr>
                <w:rFonts w:ascii="宋体" w:hAnsi="宋体"/>
                <w:color w:val="000000"/>
                <w:szCs w:val="21"/>
              </w:rPr>
            </w:pPr>
            <w:r>
              <w:rPr>
                <w:rFonts w:hint="eastAsia" w:ascii="宋体" w:hAnsi="宋体"/>
                <w:color w:val="000000"/>
                <w:szCs w:val="21"/>
              </w:rPr>
              <w:t>投标人名称</w:t>
            </w:r>
          </w:p>
        </w:tc>
        <w:tc>
          <w:tcPr>
            <w:tcW w:w="7020" w:type="dxa"/>
            <w:gridSpan w:val="9"/>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485" w:type="dxa"/>
            <w:vAlign w:val="center"/>
          </w:tcPr>
          <w:p>
            <w:pPr>
              <w:jc w:val="center"/>
              <w:rPr>
                <w:rFonts w:ascii="宋体" w:hAnsi="宋体"/>
                <w:color w:val="000000"/>
                <w:szCs w:val="21"/>
              </w:rPr>
            </w:pPr>
            <w:r>
              <w:rPr>
                <w:rFonts w:hint="eastAsia" w:ascii="宋体" w:hAnsi="宋体"/>
                <w:color w:val="000000"/>
                <w:szCs w:val="21"/>
              </w:rPr>
              <w:t>注册地址</w:t>
            </w:r>
          </w:p>
        </w:tc>
        <w:tc>
          <w:tcPr>
            <w:tcW w:w="3389" w:type="dxa"/>
            <w:gridSpan w:val="5"/>
            <w:vAlign w:val="center"/>
          </w:tcPr>
          <w:p>
            <w:pPr>
              <w:jc w:val="center"/>
              <w:rPr>
                <w:rFonts w:ascii="宋体" w:hAnsi="宋体"/>
                <w:color w:val="000000"/>
                <w:szCs w:val="21"/>
              </w:rPr>
            </w:pPr>
          </w:p>
        </w:tc>
        <w:tc>
          <w:tcPr>
            <w:tcW w:w="1246" w:type="dxa"/>
            <w:vAlign w:val="center"/>
          </w:tcPr>
          <w:p>
            <w:pPr>
              <w:jc w:val="center"/>
              <w:rPr>
                <w:rFonts w:ascii="宋体" w:hAnsi="宋体"/>
                <w:color w:val="000000"/>
                <w:szCs w:val="21"/>
              </w:rPr>
            </w:pPr>
            <w:r>
              <w:rPr>
                <w:rFonts w:hint="eastAsia" w:ascii="宋体" w:hAnsi="宋体"/>
                <w:color w:val="000000"/>
                <w:szCs w:val="21"/>
              </w:rPr>
              <w:t>邮政编码</w:t>
            </w:r>
          </w:p>
        </w:tc>
        <w:tc>
          <w:tcPr>
            <w:tcW w:w="2385" w:type="dxa"/>
            <w:gridSpan w:val="3"/>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485" w:type="dxa"/>
            <w:vMerge w:val="restart"/>
            <w:vAlign w:val="center"/>
          </w:tcPr>
          <w:p>
            <w:pPr>
              <w:jc w:val="center"/>
              <w:rPr>
                <w:rFonts w:ascii="宋体" w:hAnsi="宋体"/>
                <w:color w:val="000000"/>
                <w:szCs w:val="21"/>
              </w:rPr>
            </w:pPr>
            <w:r>
              <w:rPr>
                <w:rFonts w:hint="eastAsia" w:ascii="宋体" w:hAnsi="宋体"/>
                <w:color w:val="000000"/>
                <w:szCs w:val="21"/>
              </w:rPr>
              <w:t>联系方式</w:t>
            </w:r>
          </w:p>
        </w:tc>
        <w:tc>
          <w:tcPr>
            <w:tcW w:w="897" w:type="dxa"/>
            <w:vAlign w:val="center"/>
          </w:tcPr>
          <w:p>
            <w:pPr>
              <w:jc w:val="center"/>
              <w:rPr>
                <w:rFonts w:ascii="宋体" w:hAnsi="宋体"/>
                <w:color w:val="000000"/>
                <w:szCs w:val="21"/>
              </w:rPr>
            </w:pPr>
            <w:r>
              <w:rPr>
                <w:rFonts w:hint="eastAsia" w:ascii="宋体" w:hAnsi="宋体"/>
                <w:color w:val="000000"/>
                <w:szCs w:val="21"/>
              </w:rPr>
              <w:t>联系人</w:t>
            </w:r>
          </w:p>
        </w:tc>
        <w:tc>
          <w:tcPr>
            <w:tcW w:w="2492" w:type="dxa"/>
            <w:gridSpan w:val="4"/>
            <w:vAlign w:val="center"/>
          </w:tcPr>
          <w:p>
            <w:pPr>
              <w:jc w:val="center"/>
              <w:rPr>
                <w:rFonts w:ascii="宋体" w:hAnsi="宋体"/>
                <w:color w:val="000000"/>
                <w:szCs w:val="21"/>
              </w:rPr>
            </w:pPr>
          </w:p>
        </w:tc>
        <w:tc>
          <w:tcPr>
            <w:tcW w:w="1246" w:type="dxa"/>
            <w:vAlign w:val="center"/>
          </w:tcPr>
          <w:p>
            <w:pPr>
              <w:jc w:val="center"/>
              <w:rPr>
                <w:rFonts w:ascii="宋体" w:hAnsi="宋体"/>
                <w:color w:val="000000"/>
                <w:szCs w:val="21"/>
              </w:rPr>
            </w:pPr>
            <w:r>
              <w:rPr>
                <w:rFonts w:hint="eastAsia" w:ascii="宋体" w:hAnsi="宋体"/>
                <w:color w:val="000000"/>
                <w:szCs w:val="21"/>
              </w:rPr>
              <w:t>电  话</w:t>
            </w:r>
          </w:p>
        </w:tc>
        <w:tc>
          <w:tcPr>
            <w:tcW w:w="2385" w:type="dxa"/>
            <w:gridSpan w:val="3"/>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485" w:type="dxa"/>
            <w:vMerge w:val="continue"/>
            <w:vAlign w:val="center"/>
          </w:tcPr>
          <w:p>
            <w:pPr>
              <w:jc w:val="center"/>
              <w:rPr>
                <w:rFonts w:ascii="宋体" w:hAnsi="宋体"/>
                <w:color w:val="000000"/>
                <w:szCs w:val="21"/>
              </w:rPr>
            </w:pPr>
          </w:p>
        </w:tc>
        <w:tc>
          <w:tcPr>
            <w:tcW w:w="897" w:type="dxa"/>
            <w:vAlign w:val="center"/>
          </w:tcPr>
          <w:p>
            <w:pPr>
              <w:jc w:val="center"/>
              <w:rPr>
                <w:rFonts w:ascii="宋体" w:hAnsi="宋体"/>
                <w:color w:val="000000"/>
                <w:szCs w:val="21"/>
              </w:rPr>
            </w:pPr>
            <w:r>
              <w:rPr>
                <w:rFonts w:hint="eastAsia" w:ascii="宋体" w:hAnsi="宋体"/>
                <w:color w:val="000000"/>
                <w:szCs w:val="21"/>
              </w:rPr>
              <w:t>传  真</w:t>
            </w:r>
          </w:p>
        </w:tc>
        <w:tc>
          <w:tcPr>
            <w:tcW w:w="2492" w:type="dxa"/>
            <w:gridSpan w:val="4"/>
            <w:vAlign w:val="center"/>
          </w:tcPr>
          <w:p>
            <w:pPr>
              <w:jc w:val="center"/>
              <w:rPr>
                <w:rFonts w:ascii="宋体" w:hAnsi="宋体"/>
                <w:color w:val="000000"/>
                <w:szCs w:val="21"/>
              </w:rPr>
            </w:pPr>
          </w:p>
        </w:tc>
        <w:tc>
          <w:tcPr>
            <w:tcW w:w="1246" w:type="dxa"/>
            <w:vAlign w:val="center"/>
          </w:tcPr>
          <w:p>
            <w:pPr>
              <w:jc w:val="center"/>
              <w:rPr>
                <w:rFonts w:ascii="宋体" w:hAnsi="宋体"/>
                <w:color w:val="000000"/>
                <w:szCs w:val="21"/>
              </w:rPr>
            </w:pPr>
            <w:r>
              <w:rPr>
                <w:rFonts w:hint="eastAsia" w:ascii="宋体" w:hAnsi="宋体"/>
                <w:color w:val="000000"/>
                <w:szCs w:val="21"/>
              </w:rPr>
              <w:t>网  址</w:t>
            </w:r>
          </w:p>
        </w:tc>
        <w:tc>
          <w:tcPr>
            <w:tcW w:w="2385" w:type="dxa"/>
            <w:gridSpan w:val="3"/>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485" w:type="dxa"/>
            <w:vAlign w:val="center"/>
          </w:tcPr>
          <w:p>
            <w:pPr>
              <w:jc w:val="center"/>
              <w:rPr>
                <w:rFonts w:ascii="宋体" w:hAnsi="宋体"/>
                <w:color w:val="000000"/>
                <w:szCs w:val="21"/>
              </w:rPr>
            </w:pPr>
            <w:r>
              <w:rPr>
                <w:rFonts w:hint="eastAsia" w:ascii="宋体" w:hAnsi="宋体"/>
                <w:color w:val="000000"/>
                <w:szCs w:val="21"/>
              </w:rPr>
              <w:t>组织结构</w:t>
            </w:r>
          </w:p>
        </w:tc>
        <w:tc>
          <w:tcPr>
            <w:tcW w:w="7020" w:type="dxa"/>
            <w:gridSpan w:val="9"/>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485" w:type="dxa"/>
            <w:vAlign w:val="center"/>
          </w:tcPr>
          <w:p>
            <w:pPr>
              <w:jc w:val="center"/>
              <w:rPr>
                <w:rFonts w:ascii="宋体" w:hAnsi="宋体"/>
                <w:color w:val="000000"/>
                <w:szCs w:val="21"/>
              </w:rPr>
            </w:pPr>
            <w:r>
              <w:rPr>
                <w:rFonts w:hint="eastAsia" w:ascii="宋体" w:hAnsi="宋体"/>
                <w:color w:val="000000"/>
                <w:szCs w:val="21"/>
              </w:rPr>
              <w:t>法定代表人</w:t>
            </w:r>
          </w:p>
        </w:tc>
        <w:tc>
          <w:tcPr>
            <w:tcW w:w="897" w:type="dxa"/>
            <w:vAlign w:val="center"/>
          </w:tcPr>
          <w:p>
            <w:pPr>
              <w:jc w:val="center"/>
              <w:rPr>
                <w:rFonts w:ascii="宋体" w:hAnsi="宋体"/>
                <w:color w:val="000000"/>
                <w:szCs w:val="21"/>
              </w:rPr>
            </w:pPr>
            <w:r>
              <w:rPr>
                <w:rFonts w:hint="eastAsia" w:ascii="宋体" w:hAnsi="宋体"/>
                <w:color w:val="000000"/>
                <w:szCs w:val="21"/>
              </w:rPr>
              <w:t>姓名</w:t>
            </w:r>
          </w:p>
        </w:tc>
        <w:tc>
          <w:tcPr>
            <w:tcW w:w="1021" w:type="dxa"/>
            <w:vAlign w:val="center"/>
          </w:tcPr>
          <w:p>
            <w:pPr>
              <w:jc w:val="center"/>
              <w:rPr>
                <w:rFonts w:ascii="宋体" w:hAnsi="宋体"/>
                <w:color w:val="000000"/>
                <w:szCs w:val="21"/>
              </w:rPr>
            </w:pPr>
          </w:p>
        </w:tc>
        <w:tc>
          <w:tcPr>
            <w:tcW w:w="1276" w:type="dxa"/>
            <w:gridSpan w:val="2"/>
            <w:vAlign w:val="center"/>
          </w:tcPr>
          <w:p>
            <w:pPr>
              <w:jc w:val="center"/>
              <w:rPr>
                <w:rFonts w:ascii="宋体" w:hAnsi="宋体"/>
                <w:color w:val="000000"/>
                <w:szCs w:val="21"/>
              </w:rPr>
            </w:pPr>
            <w:r>
              <w:rPr>
                <w:rFonts w:hint="eastAsia" w:ascii="宋体" w:hAnsi="宋体"/>
                <w:color w:val="000000"/>
                <w:szCs w:val="21"/>
              </w:rPr>
              <w:t>技术职称</w:t>
            </w:r>
          </w:p>
        </w:tc>
        <w:tc>
          <w:tcPr>
            <w:tcW w:w="1701" w:type="dxa"/>
            <w:gridSpan w:val="3"/>
            <w:vAlign w:val="center"/>
          </w:tcPr>
          <w:p>
            <w:pPr>
              <w:jc w:val="center"/>
              <w:rPr>
                <w:rFonts w:ascii="宋体" w:hAnsi="宋体"/>
                <w:color w:val="000000"/>
                <w:szCs w:val="21"/>
              </w:rPr>
            </w:pPr>
          </w:p>
        </w:tc>
        <w:tc>
          <w:tcPr>
            <w:tcW w:w="709" w:type="dxa"/>
            <w:vAlign w:val="center"/>
          </w:tcPr>
          <w:p>
            <w:pPr>
              <w:jc w:val="center"/>
              <w:rPr>
                <w:rFonts w:ascii="宋体" w:hAnsi="宋体"/>
                <w:color w:val="000000"/>
                <w:szCs w:val="21"/>
              </w:rPr>
            </w:pPr>
            <w:r>
              <w:rPr>
                <w:rFonts w:hint="eastAsia" w:ascii="宋体" w:hAnsi="宋体"/>
                <w:color w:val="000000"/>
                <w:szCs w:val="21"/>
              </w:rPr>
              <w:t>电话</w:t>
            </w:r>
          </w:p>
        </w:tc>
        <w:tc>
          <w:tcPr>
            <w:tcW w:w="1416"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485" w:type="dxa"/>
            <w:vAlign w:val="center"/>
          </w:tcPr>
          <w:p>
            <w:pPr>
              <w:jc w:val="center"/>
              <w:rPr>
                <w:rFonts w:ascii="宋体" w:hAnsi="宋体"/>
                <w:color w:val="000000"/>
                <w:szCs w:val="21"/>
              </w:rPr>
            </w:pPr>
            <w:r>
              <w:rPr>
                <w:rFonts w:hint="eastAsia" w:ascii="宋体" w:hAnsi="宋体"/>
                <w:color w:val="000000"/>
                <w:szCs w:val="21"/>
              </w:rPr>
              <w:t>企业负责人</w:t>
            </w:r>
          </w:p>
        </w:tc>
        <w:tc>
          <w:tcPr>
            <w:tcW w:w="897" w:type="dxa"/>
            <w:vAlign w:val="center"/>
          </w:tcPr>
          <w:p>
            <w:pPr>
              <w:jc w:val="center"/>
              <w:rPr>
                <w:rFonts w:ascii="宋体" w:hAnsi="宋体"/>
                <w:color w:val="000000"/>
                <w:szCs w:val="21"/>
              </w:rPr>
            </w:pPr>
            <w:r>
              <w:rPr>
                <w:rFonts w:hint="eastAsia" w:ascii="宋体" w:hAnsi="宋体"/>
                <w:color w:val="000000"/>
                <w:szCs w:val="21"/>
              </w:rPr>
              <w:t>姓名</w:t>
            </w:r>
          </w:p>
        </w:tc>
        <w:tc>
          <w:tcPr>
            <w:tcW w:w="1021" w:type="dxa"/>
            <w:vAlign w:val="center"/>
          </w:tcPr>
          <w:p>
            <w:pPr>
              <w:jc w:val="center"/>
              <w:rPr>
                <w:rFonts w:ascii="宋体" w:hAnsi="宋体"/>
                <w:color w:val="000000"/>
                <w:szCs w:val="21"/>
              </w:rPr>
            </w:pPr>
          </w:p>
        </w:tc>
        <w:tc>
          <w:tcPr>
            <w:tcW w:w="1276" w:type="dxa"/>
            <w:gridSpan w:val="2"/>
            <w:vAlign w:val="center"/>
          </w:tcPr>
          <w:p>
            <w:pPr>
              <w:jc w:val="center"/>
              <w:rPr>
                <w:rFonts w:ascii="宋体" w:hAnsi="宋体"/>
                <w:color w:val="000000"/>
                <w:szCs w:val="21"/>
              </w:rPr>
            </w:pPr>
            <w:r>
              <w:rPr>
                <w:rFonts w:hint="eastAsia" w:ascii="宋体" w:hAnsi="宋体"/>
                <w:color w:val="000000"/>
                <w:szCs w:val="21"/>
              </w:rPr>
              <w:t>技术职称</w:t>
            </w:r>
          </w:p>
        </w:tc>
        <w:tc>
          <w:tcPr>
            <w:tcW w:w="1701" w:type="dxa"/>
            <w:gridSpan w:val="3"/>
            <w:vAlign w:val="center"/>
          </w:tcPr>
          <w:p>
            <w:pPr>
              <w:jc w:val="center"/>
              <w:rPr>
                <w:rFonts w:ascii="宋体" w:hAnsi="宋体"/>
                <w:color w:val="000000"/>
                <w:szCs w:val="21"/>
              </w:rPr>
            </w:pPr>
          </w:p>
        </w:tc>
        <w:tc>
          <w:tcPr>
            <w:tcW w:w="709" w:type="dxa"/>
            <w:vAlign w:val="center"/>
          </w:tcPr>
          <w:p>
            <w:pPr>
              <w:jc w:val="center"/>
              <w:rPr>
                <w:rFonts w:ascii="宋体" w:hAnsi="宋体"/>
                <w:color w:val="000000"/>
                <w:szCs w:val="21"/>
              </w:rPr>
            </w:pPr>
            <w:r>
              <w:rPr>
                <w:rFonts w:hint="eastAsia" w:ascii="宋体" w:hAnsi="宋体"/>
                <w:color w:val="000000"/>
                <w:szCs w:val="21"/>
              </w:rPr>
              <w:t>电话</w:t>
            </w:r>
          </w:p>
        </w:tc>
        <w:tc>
          <w:tcPr>
            <w:tcW w:w="1416"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485" w:type="dxa"/>
            <w:vAlign w:val="center"/>
          </w:tcPr>
          <w:p>
            <w:pPr>
              <w:jc w:val="center"/>
              <w:rPr>
                <w:rFonts w:ascii="宋体" w:hAnsi="宋体"/>
                <w:color w:val="000000"/>
                <w:szCs w:val="21"/>
              </w:rPr>
            </w:pPr>
            <w:r>
              <w:rPr>
                <w:rFonts w:hint="eastAsia" w:ascii="宋体" w:hAnsi="宋体"/>
                <w:color w:val="000000"/>
                <w:szCs w:val="21"/>
              </w:rPr>
              <w:t>企业技术负责人</w:t>
            </w:r>
          </w:p>
        </w:tc>
        <w:tc>
          <w:tcPr>
            <w:tcW w:w="897" w:type="dxa"/>
            <w:vAlign w:val="center"/>
          </w:tcPr>
          <w:p>
            <w:pPr>
              <w:jc w:val="center"/>
              <w:rPr>
                <w:rFonts w:ascii="宋体" w:hAnsi="宋体"/>
                <w:color w:val="000000"/>
                <w:szCs w:val="21"/>
              </w:rPr>
            </w:pPr>
            <w:r>
              <w:rPr>
                <w:rFonts w:hint="eastAsia" w:ascii="宋体" w:hAnsi="宋体"/>
                <w:color w:val="000000"/>
                <w:szCs w:val="21"/>
              </w:rPr>
              <w:t>姓名</w:t>
            </w:r>
          </w:p>
        </w:tc>
        <w:tc>
          <w:tcPr>
            <w:tcW w:w="1021" w:type="dxa"/>
            <w:vAlign w:val="center"/>
          </w:tcPr>
          <w:p>
            <w:pPr>
              <w:jc w:val="center"/>
              <w:rPr>
                <w:rFonts w:ascii="宋体" w:hAnsi="宋体"/>
                <w:color w:val="000000"/>
                <w:szCs w:val="21"/>
              </w:rPr>
            </w:pPr>
          </w:p>
        </w:tc>
        <w:tc>
          <w:tcPr>
            <w:tcW w:w="1276" w:type="dxa"/>
            <w:gridSpan w:val="2"/>
            <w:vAlign w:val="center"/>
          </w:tcPr>
          <w:p>
            <w:pPr>
              <w:jc w:val="center"/>
              <w:rPr>
                <w:rFonts w:ascii="宋体" w:hAnsi="宋体"/>
                <w:color w:val="000000"/>
                <w:szCs w:val="21"/>
              </w:rPr>
            </w:pPr>
            <w:r>
              <w:rPr>
                <w:rFonts w:hint="eastAsia" w:ascii="宋体" w:hAnsi="宋体"/>
                <w:color w:val="000000"/>
                <w:szCs w:val="21"/>
              </w:rPr>
              <w:t>技术职称</w:t>
            </w:r>
          </w:p>
        </w:tc>
        <w:tc>
          <w:tcPr>
            <w:tcW w:w="1701" w:type="dxa"/>
            <w:gridSpan w:val="3"/>
            <w:vAlign w:val="center"/>
          </w:tcPr>
          <w:p>
            <w:pPr>
              <w:jc w:val="center"/>
              <w:rPr>
                <w:rFonts w:ascii="宋体" w:hAnsi="宋体"/>
                <w:color w:val="000000"/>
                <w:szCs w:val="21"/>
              </w:rPr>
            </w:pPr>
          </w:p>
        </w:tc>
        <w:tc>
          <w:tcPr>
            <w:tcW w:w="709" w:type="dxa"/>
            <w:vAlign w:val="center"/>
          </w:tcPr>
          <w:p>
            <w:pPr>
              <w:jc w:val="center"/>
              <w:rPr>
                <w:rFonts w:ascii="宋体" w:hAnsi="宋体"/>
                <w:color w:val="000000"/>
                <w:szCs w:val="21"/>
              </w:rPr>
            </w:pPr>
            <w:r>
              <w:rPr>
                <w:rFonts w:hint="eastAsia" w:ascii="宋体" w:hAnsi="宋体"/>
                <w:color w:val="000000"/>
                <w:szCs w:val="21"/>
              </w:rPr>
              <w:t>电话</w:t>
            </w:r>
          </w:p>
        </w:tc>
        <w:tc>
          <w:tcPr>
            <w:tcW w:w="1416"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485" w:type="dxa"/>
            <w:vAlign w:val="center"/>
          </w:tcPr>
          <w:p>
            <w:pPr>
              <w:jc w:val="center"/>
              <w:rPr>
                <w:rFonts w:ascii="宋体" w:hAnsi="宋体"/>
                <w:color w:val="000000"/>
                <w:szCs w:val="21"/>
              </w:rPr>
            </w:pPr>
            <w:r>
              <w:rPr>
                <w:rFonts w:hint="eastAsia" w:ascii="宋体" w:hAnsi="宋体"/>
                <w:color w:val="000000"/>
                <w:szCs w:val="21"/>
              </w:rPr>
              <w:t>成立时间</w:t>
            </w:r>
          </w:p>
        </w:tc>
        <w:tc>
          <w:tcPr>
            <w:tcW w:w="1918" w:type="dxa"/>
            <w:gridSpan w:val="2"/>
            <w:vAlign w:val="center"/>
          </w:tcPr>
          <w:p>
            <w:pPr>
              <w:jc w:val="center"/>
              <w:rPr>
                <w:rFonts w:ascii="宋体" w:hAnsi="宋体"/>
                <w:color w:val="000000"/>
                <w:szCs w:val="21"/>
              </w:rPr>
            </w:pPr>
          </w:p>
        </w:tc>
        <w:tc>
          <w:tcPr>
            <w:tcW w:w="5102" w:type="dxa"/>
            <w:gridSpan w:val="7"/>
            <w:vAlign w:val="center"/>
          </w:tcPr>
          <w:p>
            <w:pPr>
              <w:jc w:val="center"/>
              <w:rPr>
                <w:rFonts w:ascii="宋体" w:hAnsi="宋体"/>
                <w:color w:val="000000"/>
                <w:szCs w:val="21"/>
              </w:rPr>
            </w:pPr>
            <w:r>
              <w:rPr>
                <w:rFonts w:hint="eastAsia" w:ascii="宋体" w:hAnsi="宋体"/>
                <w:color w:val="000000"/>
                <w:szCs w:val="21"/>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485" w:type="dxa"/>
            <w:vAlign w:val="center"/>
          </w:tcPr>
          <w:p>
            <w:pPr>
              <w:jc w:val="center"/>
              <w:rPr>
                <w:rFonts w:ascii="宋体" w:hAnsi="宋体"/>
                <w:color w:val="000000"/>
                <w:szCs w:val="21"/>
              </w:rPr>
            </w:pPr>
            <w:r>
              <w:rPr>
                <w:rFonts w:hint="eastAsia" w:ascii="宋体" w:hAnsi="宋体"/>
                <w:color w:val="000000"/>
                <w:szCs w:val="21"/>
              </w:rPr>
              <w:t>企业资质等级</w:t>
            </w:r>
          </w:p>
        </w:tc>
        <w:tc>
          <w:tcPr>
            <w:tcW w:w="897" w:type="dxa"/>
            <w:vAlign w:val="center"/>
          </w:tcPr>
          <w:p>
            <w:pPr>
              <w:jc w:val="center"/>
              <w:rPr>
                <w:rFonts w:ascii="宋体" w:hAnsi="宋体"/>
                <w:color w:val="000000"/>
                <w:szCs w:val="21"/>
              </w:rPr>
            </w:pPr>
          </w:p>
        </w:tc>
        <w:tc>
          <w:tcPr>
            <w:tcW w:w="1021" w:type="dxa"/>
            <w:vAlign w:val="center"/>
          </w:tcPr>
          <w:p>
            <w:pPr>
              <w:jc w:val="center"/>
              <w:rPr>
                <w:rFonts w:ascii="宋体" w:hAnsi="宋体"/>
                <w:color w:val="000000"/>
                <w:szCs w:val="21"/>
              </w:rPr>
            </w:pPr>
          </w:p>
        </w:tc>
        <w:tc>
          <w:tcPr>
            <w:tcW w:w="993" w:type="dxa"/>
            <w:vMerge w:val="restart"/>
            <w:vAlign w:val="center"/>
          </w:tcPr>
          <w:p>
            <w:pPr>
              <w:jc w:val="center"/>
              <w:rPr>
                <w:rFonts w:ascii="宋体" w:hAnsi="宋体"/>
                <w:color w:val="000000"/>
                <w:szCs w:val="21"/>
              </w:rPr>
            </w:pPr>
            <w:r>
              <w:rPr>
                <w:rFonts w:hint="eastAsia" w:ascii="宋体" w:hAnsi="宋体"/>
                <w:color w:val="000000"/>
                <w:szCs w:val="21"/>
              </w:rPr>
              <w:t>其中</w:t>
            </w:r>
          </w:p>
        </w:tc>
        <w:tc>
          <w:tcPr>
            <w:tcW w:w="1984" w:type="dxa"/>
            <w:gridSpan w:val="4"/>
            <w:vAlign w:val="center"/>
          </w:tcPr>
          <w:p>
            <w:pPr>
              <w:jc w:val="center"/>
              <w:rPr>
                <w:rFonts w:ascii="宋体" w:hAnsi="宋体"/>
                <w:color w:val="000000"/>
                <w:szCs w:val="21"/>
              </w:rPr>
            </w:pPr>
            <w:r>
              <w:rPr>
                <w:rFonts w:hint="eastAsia" w:ascii="宋体" w:hAnsi="宋体"/>
                <w:color w:val="000000"/>
                <w:szCs w:val="21"/>
              </w:rPr>
              <w:t>项目负责人</w:t>
            </w:r>
          </w:p>
          <w:p>
            <w:pPr>
              <w:jc w:val="center"/>
              <w:rPr>
                <w:rFonts w:ascii="宋体" w:hAnsi="宋体"/>
                <w:color w:val="000000"/>
                <w:szCs w:val="21"/>
              </w:rPr>
            </w:pPr>
            <w:r>
              <w:rPr>
                <w:rFonts w:hint="eastAsia" w:ascii="宋体" w:hAnsi="宋体"/>
                <w:color w:val="000000"/>
                <w:szCs w:val="21"/>
              </w:rPr>
              <w:t>（项目经理）</w:t>
            </w:r>
          </w:p>
        </w:tc>
        <w:tc>
          <w:tcPr>
            <w:tcW w:w="2125" w:type="dxa"/>
            <w:gridSpan w:val="2"/>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485" w:type="dxa"/>
            <w:vAlign w:val="center"/>
          </w:tcPr>
          <w:p>
            <w:pPr>
              <w:jc w:val="center"/>
              <w:rPr>
                <w:rFonts w:ascii="宋体" w:hAnsi="宋体"/>
                <w:color w:val="000000"/>
                <w:szCs w:val="21"/>
              </w:rPr>
            </w:pPr>
            <w:r>
              <w:rPr>
                <w:rFonts w:hint="eastAsia" w:ascii="宋体" w:hAnsi="宋体"/>
                <w:color w:val="000000"/>
                <w:szCs w:val="21"/>
              </w:rPr>
              <w:t>营业执照号</w:t>
            </w:r>
          </w:p>
        </w:tc>
        <w:tc>
          <w:tcPr>
            <w:tcW w:w="897" w:type="dxa"/>
            <w:vAlign w:val="center"/>
          </w:tcPr>
          <w:p>
            <w:pPr>
              <w:jc w:val="center"/>
              <w:rPr>
                <w:rFonts w:ascii="宋体" w:hAnsi="宋体"/>
                <w:color w:val="000000"/>
                <w:szCs w:val="21"/>
              </w:rPr>
            </w:pPr>
          </w:p>
        </w:tc>
        <w:tc>
          <w:tcPr>
            <w:tcW w:w="1021" w:type="dxa"/>
            <w:vAlign w:val="center"/>
          </w:tcPr>
          <w:p>
            <w:pPr>
              <w:jc w:val="center"/>
              <w:rPr>
                <w:rFonts w:ascii="宋体" w:hAnsi="宋体"/>
                <w:color w:val="000000"/>
                <w:szCs w:val="21"/>
              </w:rPr>
            </w:pPr>
          </w:p>
        </w:tc>
        <w:tc>
          <w:tcPr>
            <w:tcW w:w="993" w:type="dxa"/>
            <w:vMerge w:val="continue"/>
            <w:vAlign w:val="center"/>
          </w:tcPr>
          <w:p>
            <w:pPr>
              <w:jc w:val="center"/>
              <w:rPr>
                <w:rFonts w:ascii="宋体" w:hAnsi="宋体"/>
                <w:color w:val="000000"/>
                <w:szCs w:val="21"/>
              </w:rPr>
            </w:pPr>
          </w:p>
        </w:tc>
        <w:tc>
          <w:tcPr>
            <w:tcW w:w="1984" w:type="dxa"/>
            <w:gridSpan w:val="4"/>
            <w:vAlign w:val="center"/>
          </w:tcPr>
          <w:p>
            <w:pPr>
              <w:jc w:val="center"/>
              <w:rPr>
                <w:rFonts w:ascii="宋体" w:hAnsi="宋体"/>
                <w:color w:val="000000"/>
                <w:szCs w:val="21"/>
              </w:rPr>
            </w:pPr>
            <w:r>
              <w:rPr>
                <w:rFonts w:hint="eastAsia" w:ascii="宋体" w:hAnsi="宋体"/>
                <w:color w:val="000000"/>
                <w:szCs w:val="21"/>
              </w:rPr>
              <w:t>高级职称人员</w:t>
            </w:r>
          </w:p>
        </w:tc>
        <w:tc>
          <w:tcPr>
            <w:tcW w:w="2125" w:type="dxa"/>
            <w:gridSpan w:val="2"/>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485" w:type="dxa"/>
            <w:vAlign w:val="center"/>
          </w:tcPr>
          <w:p>
            <w:pPr>
              <w:jc w:val="center"/>
              <w:rPr>
                <w:rFonts w:ascii="宋体" w:hAnsi="宋体"/>
                <w:color w:val="000000"/>
                <w:szCs w:val="21"/>
              </w:rPr>
            </w:pPr>
            <w:r>
              <w:rPr>
                <w:rFonts w:hint="eastAsia" w:ascii="宋体" w:hAnsi="宋体"/>
                <w:color w:val="000000"/>
                <w:szCs w:val="21"/>
              </w:rPr>
              <w:t>注册资金</w:t>
            </w:r>
          </w:p>
        </w:tc>
        <w:tc>
          <w:tcPr>
            <w:tcW w:w="897" w:type="dxa"/>
            <w:vAlign w:val="center"/>
          </w:tcPr>
          <w:p>
            <w:pPr>
              <w:jc w:val="center"/>
              <w:rPr>
                <w:rFonts w:ascii="宋体" w:hAnsi="宋体"/>
                <w:color w:val="000000"/>
                <w:szCs w:val="21"/>
              </w:rPr>
            </w:pPr>
          </w:p>
        </w:tc>
        <w:tc>
          <w:tcPr>
            <w:tcW w:w="1021" w:type="dxa"/>
            <w:vAlign w:val="center"/>
          </w:tcPr>
          <w:p>
            <w:pPr>
              <w:jc w:val="center"/>
              <w:rPr>
                <w:rFonts w:ascii="宋体" w:hAnsi="宋体"/>
                <w:color w:val="000000"/>
                <w:szCs w:val="21"/>
              </w:rPr>
            </w:pPr>
          </w:p>
        </w:tc>
        <w:tc>
          <w:tcPr>
            <w:tcW w:w="993" w:type="dxa"/>
            <w:vMerge w:val="continue"/>
            <w:vAlign w:val="center"/>
          </w:tcPr>
          <w:p>
            <w:pPr>
              <w:jc w:val="center"/>
              <w:rPr>
                <w:rFonts w:ascii="宋体" w:hAnsi="宋体"/>
                <w:color w:val="000000"/>
                <w:szCs w:val="21"/>
              </w:rPr>
            </w:pPr>
          </w:p>
        </w:tc>
        <w:tc>
          <w:tcPr>
            <w:tcW w:w="1984" w:type="dxa"/>
            <w:gridSpan w:val="4"/>
            <w:vAlign w:val="center"/>
          </w:tcPr>
          <w:p>
            <w:pPr>
              <w:jc w:val="center"/>
              <w:rPr>
                <w:rFonts w:ascii="宋体" w:hAnsi="宋体"/>
                <w:color w:val="000000"/>
                <w:szCs w:val="21"/>
              </w:rPr>
            </w:pPr>
            <w:r>
              <w:rPr>
                <w:rFonts w:hint="eastAsia" w:ascii="宋体" w:hAnsi="宋体"/>
                <w:color w:val="000000"/>
                <w:szCs w:val="21"/>
              </w:rPr>
              <w:t>中级职称人员</w:t>
            </w:r>
          </w:p>
        </w:tc>
        <w:tc>
          <w:tcPr>
            <w:tcW w:w="2125" w:type="dxa"/>
            <w:gridSpan w:val="2"/>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485" w:type="dxa"/>
            <w:vAlign w:val="center"/>
          </w:tcPr>
          <w:p>
            <w:pPr>
              <w:jc w:val="center"/>
              <w:rPr>
                <w:rFonts w:ascii="宋体" w:hAnsi="宋体"/>
                <w:color w:val="000000"/>
                <w:szCs w:val="21"/>
              </w:rPr>
            </w:pPr>
            <w:r>
              <w:rPr>
                <w:rFonts w:hint="eastAsia" w:ascii="宋体" w:hAnsi="宋体"/>
                <w:color w:val="000000"/>
                <w:szCs w:val="21"/>
              </w:rPr>
              <w:t>开户银行</w:t>
            </w:r>
          </w:p>
        </w:tc>
        <w:tc>
          <w:tcPr>
            <w:tcW w:w="897" w:type="dxa"/>
            <w:vAlign w:val="center"/>
          </w:tcPr>
          <w:p>
            <w:pPr>
              <w:jc w:val="center"/>
              <w:rPr>
                <w:rFonts w:ascii="宋体" w:hAnsi="宋体"/>
                <w:color w:val="000000"/>
                <w:szCs w:val="21"/>
              </w:rPr>
            </w:pPr>
          </w:p>
        </w:tc>
        <w:tc>
          <w:tcPr>
            <w:tcW w:w="1021" w:type="dxa"/>
            <w:vAlign w:val="center"/>
          </w:tcPr>
          <w:p>
            <w:pPr>
              <w:jc w:val="center"/>
              <w:rPr>
                <w:rFonts w:ascii="宋体" w:hAnsi="宋体"/>
                <w:color w:val="000000"/>
                <w:szCs w:val="21"/>
              </w:rPr>
            </w:pPr>
          </w:p>
        </w:tc>
        <w:tc>
          <w:tcPr>
            <w:tcW w:w="993" w:type="dxa"/>
            <w:vMerge w:val="continue"/>
            <w:vAlign w:val="center"/>
          </w:tcPr>
          <w:p>
            <w:pPr>
              <w:jc w:val="center"/>
              <w:rPr>
                <w:rFonts w:ascii="宋体" w:hAnsi="宋体"/>
                <w:color w:val="000000"/>
                <w:szCs w:val="21"/>
              </w:rPr>
            </w:pPr>
          </w:p>
        </w:tc>
        <w:tc>
          <w:tcPr>
            <w:tcW w:w="1984" w:type="dxa"/>
            <w:gridSpan w:val="4"/>
            <w:vAlign w:val="center"/>
          </w:tcPr>
          <w:p>
            <w:pPr>
              <w:jc w:val="center"/>
              <w:rPr>
                <w:rFonts w:ascii="宋体" w:hAnsi="宋体"/>
                <w:color w:val="000000"/>
                <w:szCs w:val="21"/>
              </w:rPr>
            </w:pPr>
            <w:r>
              <w:rPr>
                <w:rFonts w:hint="eastAsia" w:ascii="宋体" w:hAnsi="宋体"/>
                <w:color w:val="000000"/>
                <w:szCs w:val="21"/>
              </w:rPr>
              <w:t>初级职称人员</w:t>
            </w:r>
          </w:p>
        </w:tc>
        <w:tc>
          <w:tcPr>
            <w:tcW w:w="2125" w:type="dxa"/>
            <w:gridSpan w:val="2"/>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485" w:type="dxa"/>
            <w:vAlign w:val="center"/>
          </w:tcPr>
          <w:p>
            <w:pPr>
              <w:jc w:val="center"/>
              <w:rPr>
                <w:rFonts w:ascii="宋体" w:hAnsi="宋体"/>
                <w:color w:val="000000"/>
                <w:szCs w:val="21"/>
              </w:rPr>
            </w:pPr>
            <w:r>
              <w:rPr>
                <w:rFonts w:hint="eastAsia" w:ascii="宋体" w:hAnsi="宋体"/>
                <w:color w:val="000000"/>
                <w:szCs w:val="21"/>
              </w:rPr>
              <w:t>账号</w:t>
            </w:r>
          </w:p>
        </w:tc>
        <w:tc>
          <w:tcPr>
            <w:tcW w:w="897" w:type="dxa"/>
            <w:vAlign w:val="center"/>
          </w:tcPr>
          <w:p>
            <w:pPr>
              <w:jc w:val="center"/>
              <w:rPr>
                <w:rFonts w:ascii="宋体" w:hAnsi="宋体"/>
                <w:color w:val="000000"/>
                <w:szCs w:val="21"/>
              </w:rPr>
            </w:pPr>
          </w:p>
        </w:tc>
        <w:tc>
          <w:tcPr>
            <w:tcW w:w="1021" w:type="dxa"/>
            <w:vAlign w:val="center"/>
          </w:tcPr>
          <w:p>
            <w:pPr>
              <w:jc w:val="center"/>
              <w:rPr>
                <w:rFonts w:ascii="宋体" w:hAnsi="宋体"/>
                <w:color w:val="000000"/>
                <w:szCs w:val="21"/>
              </w:rPr>
            </w:pPr>
          </w:p>
        </w:tc>
        <w:tc>
          <w:tcPr>
            <w:tcW w:w="993" w:type="dxa"/>
            <w:vMerge w:val="continue"/>
            <w:vAlign w:val="center"/>
          </w:tcPr>
          <w:p>
            <w:pPr>
              <w:jc w:val="center"/>
              <w:rPr>
                <w:rFonts w:ascii="宋体" w:hAnsi="宋体"/>
                <w:color w:val="000000"/>
                <w:szCs w:val="21"/>
              </w:rPr>
            </w:pPr>
          </w:p>
        </w:tc>
        <w:tc>
          <w:tcPr>
            <w:tcW w:w="1984" w:type="dxa"/>
            <w:gridSpan w:val="4"/>
            <w:vAlign w:val="center"/>
          </w:tcPr>
          <w:p>
            <w:pPr>
              <w:jc w:val="center"/>
              <w:rPr>
                <w:rFonts w:ascii="宋体" w:hAnsi="宋体"/>
                <w:color w:val="000000"/>
                <w:szCs w:val="21"/>
              </w:rPr>
            </w:pPr>
            <w:r>
              <w:rPr>
                <w:rFonts w:hint="eastAsia" w:ascii="宋体" w:hAnsi="宋体"/>
                <w:color w:val="000000"/>
                <w:szCs w:val="21"/>
              </w:rPr>
              <w:t>技  工</w:t>
            </w:r>
          </w:p>
        </w:tc>
        <w:tc>
          <w:tcPr>
            <w:tcW w:w="2125" w:type="dxa"/>
            <w:gridSpan w:val="2"/>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99" w:hRule="atLeast"/>
          <w:jc w:val="center"/>
        </w:trPr>
        <w:tc>
          <w:tcPr>
            <w:tcW w:w="1485" w:type="dxa"/>
            <w:vAlign w:val="center"/>
          </w:tcPr>
          <w:p>
            <w:pPr>
              <w:jc w:val="center"/>
              <w:rPr>
                <w:rFonts w:ascii="宋体" w:hAnsi="宋体"/>
                <w:color w:val="000000"/>
                <w:szCs w:val="21"/>
              </w:rPr>
            </w:pPr>
            <w:r>
              <w:rPr>
                <w:rFonts w:hint="eastAsia" w:ascii="宋体" w:hAnsi="宋体"/>
                <w:color w:val="000000"/>
                <w:szCs w:val="21"/>
              </w:rPr>
              <w:t>经营范围</w:t>
            </w:r>
          </w:p>
        </w:tc>
        <w:tc>
          <w:tcPr>
            <w:tcW w:w="7020" w:type="dxa"/>
            <w:gridSpan w:val="9"/>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485" w:type="dxa"/>
            <w:vAlign w:val="center"/>
          </w:tcPr>
          <w:p>
            <w:pPr>
              <w:jc w:val="center"/>
              <w:rPr>
                <w:rFonts w:ascii="宋体" w:hAnsi="宋体"/>
                <w:color w:val="000000"/>
                <w:szCs w:val="21"/>
              </w:rPr>
            </w:pPr>
            <w:r>
              <w:rPr>
                <w:rFonts w:hint="eastAsia" w:ascii="宋体" w:hAnsi="宋体"/>
                <w:color w:val="000000"/>
                <w:szCs w:val="21"/>
              </w:rPr>
              <w:t>备注</w:t>
            </w:r>
          </w:p>
        </w:tc>
        <w:tc>
          <w:tcPr>
            <w:tcW w:w="7020" w:type="dxa"/>
            <w:gridSpan w:val="9"/>
            <w:vAlign w:val="center"/>
          </w:tcPr>
          <w:p>
            <w:pPr>
              <w:jc w:val="center"/>
              <w:rPr>
                <w:rFonts w:ascii="宋体" w:hAnsi="宋体"/>
                <w:color w:val="000000"/>
                <w:szCs w:val="21"/>
              </w:rPr>
            </w:pPr>
          </w:p>
        </w:tc>
      </w:tr>
    </w:tbl>
    <w:p>
      <w:pPr>
        <w:spacing w:line="440" w:lineRule="exact"/>
        <w:rPr>
          <w:rFonts w:ascii="宋体" w:hAnsi="宋体"/>
          <w:color w:val="000000"/>
          <w:szCs w:val="21"/>
        </w:rPr>
      </w:pPr>
      <w:r>
        <w:rPr>
          <w:rFonts w:hint="eastAsia" w:ascii="黑体" w:hAnsi="宋体" w:eastAsia="黑体"/>
          <w:color w:val="000000"/>
          <w:szCs w:val="21"/>
        </w:rPr>
        <w:t>备注：</w:t>
      </w:r>
      <w:r>
        <w:rPr>
          <w:rFonts w:hint="eastAsia" w:ascii="宋体" w:hAnsi="宋体"/>
          <w:color w:val="000000"/>
          <w:szCs w:val="21"/>
        </w:rPr>
        <w:t>本表后应附企业法人营业执照及其年检合格的证明材料、企业资质证书副本、安全生产许可证等材料的复印件。</w:t>
      </w:r>
    </w:p>
    <w:p>
      <w:pPr>
        <w:spacing w:before="120" w:beforeLines="50" w:after="240" w:afterLines="100" w:line="440" w:lineRule="exact"/>
        <w:rPr>
          <w:rFonts w:ascii="宋体" w:hAnsi="宋体"/>
          <w:color w:val="000000"/>
          <w:szCs w:val="21"/>
        </w:rPr>
      </w:pPr>
      <w:r>
        <w:rPr>
          <w:rFonts w:ascii="宋体" w:hAnsi="宋体"/>
          <w:color w:val="000000"/>
          <w:szCs w:val="21"/>
        </w:rPr>
        <w:br w:type="page"/>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8"/>
        <w:gridCol w:w="6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408" w:type="dxa"/>
            <w:vAlign w:val="center"/>
          </w:tcPr>
          <w:p>
            <w:pPr>
              <w:jc w:val="center"/>
              <w:rPr>
                <w:rFonts w:ascii="宋体" w:hAnsi="宋体"/>
                <w:color w:val="000000"/>
                <w:szCs w:val="21"/>
              </w:rPr>
            </w:pPr>
            <w:r>
              <w:rPr>
                <w:rFonts w:hint="eastAsia" w:ascii="黑体" w:hAnsi="宋体" w:eastAsia="黑体"/>
                <w:color w:val="000000"/>
                <w:sz w:val="24"/>
              </w:rPr>
              <w:t>（</w:t>
            </w:r>
            <w:r>
              <w:rPr>
                <w:rFonts w:hint="eastAsia" w:ascii="宋体" w:hAnsi="宋体"/>
                <w:color w:val="000000"/>
                <w:szCs w:val="21"/>
              </w:rPr>
              <w:t>合同价格</w:t>
            </w:r>
          </w:p>
        </w:tc>
        <w:tc>
          <w:tcPr>
            <w:tcW w:w="6086"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408" w:type="dxa"/>
            <w:vAlign w:val="center"/>
          </w:tcPr>
          <w:p>
            <w:pPr>
              <w:jc w:val="center"/>
              <w:rPr>
                <w:rFonts w:ascii="宋体" w:hAnsi="宋体"/>
                <w:color w:val="000000"/>
                <w:szCs w:val="21"/>
              </w:rPr>
            </w:pPr>
            <w:r>
              <w:rPr>
                <w:rFonts w:hint="eastAsia" w:ascii="宋体" w:hAnsi="宋体"/>
                <w:color w:val="000000"/>
                <w:szCs w:val="21"/>
              </w:rPr>
              <w:t>开工日期</w:t>
            </w:r>
          </w:p>
        </w:tc>
        <w:tc>
          <w:tcPr>
            <w:tcW w:w="6086"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408" w:type="dxa"/>
            <w:vAlign w:val="center"/>
          </w:tcPr>
          <w:p>
            <w:pPr>
              <w:jc w:val="center"/>
              <w:rPr>
                <w:rFonts w:ascii="宋体" w:hAnsi="宋体"/>
                <w:color w:val="000000"/>
                <w:szCs w:val="21"/>
              </w:rPr>
            </w:pPr>
            <w:r>
              <w:rPr>
                <w:rFonts w:hint="eastAsia" w:ascii="宋体" w:hAnsi="宋体"/>
                <w:color w:val="000000"/>
                <w:szCs w:val="21"/>
              </w:rPr>
              <w:t>竣工日期</w:t>
            </w:r>
          </w:p>
        </w:tc>
        <w:tc>
          <w:tcPr>
            <w:tcW w:w="6086"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408" w:type="dxa"/>
            <w:vAlign w:val="center"/>
          </w:tcPr>
          <w:p>
            <w:pPr>
              <w:jc w:val="center"/>
              <w:rPr>
                <w:rFonts w:ascii="宋体" w:hAnsi="宋体"/>
                <w:color w:val="000000"/>
                <w:szCs w:val="21"/>
              </w:rPr>
            </w:pPr>
            <w:r>
              <w:rPr>
                <w:rFonts w:hint="eastAsia" w:ascii="宋体" w:hAnsi="宋体"/>
                <w:color w:val="000000"/>
                <w:szCs w:val="21"/>
              </w:rPr>
              <w:t>承担的工作</w:t>
            </w:r>
          </w:p>
        </w:tc>
        <w:tc>
          <w:tcPr>
            <w:tcW w:w="6086"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408" w:type="dxa"/>
            <w:vAlign w:val="center"/>
          </w:tcPr>
          <w:p>
            <w:pPr>
              <w:jc w:val="center"/>
              <w:rPr>
                <w:rFonts w:ascii="宋体" w:hAnsi="宋体"/>
                <w:color w:val="000000"/>
                <w:szCs w:val="21"/>
              </w:rPr>
            </w:pPr>
            <w:r>
              <w:rPr>
                <w:rFonts w:hint="eastAsia" w:ascii="宋体" w:hAnsi="宋体"/>
                <w:color w:val="000000"/>
                <w:szCs w:val="21"/>
              </w:rPr>
              <w:t>工程质量</w:t>
            </w:r>
          </w:p>
        </w:tc>
        <w:tc>
          <w:tcPr>
            <w:tcW w:w="6086"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408" w:type="dxa"/>
            <w:vAlign w:val="center"/>
          </w:tcPr>
          <w:p>
            <w:pPr>
              <w:jc w:val="center"/>
              <w:rPr>
                <w:rFonts w:ascii="宋体" w:hAnsi="宋体"/>
                <w:color w:val="000000"/>
                <w:szCs w:val="21"/>
              </w:rPr>
            </w:pPr>
            <w:r>
              <w:rPr>
                <w:rFonts w:hint="eastAsia" w:ascii="宋体" w:hAnsi="宋体"/>
                <w:color w:val="000000"/>
                <w:szCs w:val="21"/>
              </w:rPr>
              <w:t>项目负责人（项目经理）</w:t>
            </w:r>
          </w:p>
        </w:tc>
        <w:tc>
          <w:tcPr>
            <w:tcW w:w="6086"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408" w:type="dxa"/>
            <w:vAlign w:val="center"/>
          </w:tcPr>
          <w:p>
            <w:pPr>
              <w:jc w:val="center"/>
              <w:rPr>
                <w:rFonts w:ascii="宋体" w:hAnsi="宋体"/>
                <w:color w:val="000000"/>
                <w:szCs w:val="21"/>
              </w:rPr>
            </w:pPr>
            <w:r>
              <w:rPr>
                <w:rFonts w:hint="eastAsia" w:ascii="宋体" w:hAnsi="宋体"/>
                <w:color w:val="000000"/>
                <w:szCs w:val="21"/>
              </w:rPr>
              <w:t>技术负责人</w:t>
            </w:r>
          </w:p>
        </w:tc>
        <w:tc>
          <w:tcPr>
            <w:tcW w:w="6086"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408" w:type="dxa"/>
            <w:vAlign w:val="center"/>
          </w:tcPr>
          <w:p>
            <w:pPr>
              <w:jc w:val="center"/>
              <w:rPr>
                <w:rFonts w:ascii="宋体" w:hAnsi="宋体"/>
                <w:color w:val="000000"/>
                <w:szCs w:val="21"/>
              </w:rPr>
            </w:pPr>
            <w:r>
              <w:rPr>
                <w:rFonts w:hint="eastAsia" w:ascii="宋体" w:hAnsi="宋体"/>
                <w:color w:val="000000"/>
                <w:szCs w:val="21"/>
              </w:rPr>
              <w:t>总监理工程师及电话</w:t>
            </w:r>
          </w:p>
        </w:tc>
        <w:tc>
          <w:tcPr>
            <w:tcW w:w="6086"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54" w:hRule="atLeast"/>
          <w:jc w:val="center"/>
        </w:trPr>
        <w:tc>
          <w:tcPr>
            <w:tcW w:w="2408" w:type="dxa"/>
            <w:vAlign w:val="center"/>
          </w:tcPr>
          <w:p>
            <w:pPr>
              <w:jc w:val="center"/>
              <w:rPr>
                <w:rFonts w:ascii="宋体" w:hAnsi="宋体"/>
                <w:color w:val="000000"/>
                <w:szCs w:val="21"/>
              </w:rPr>
            </w:pPr>
            <w:r>
              <w:rPr>
                <w:rFonts w:hint="eastAsia" w:ascii="宋体" w:hAnsi="宋体"/>
                <w:color w:val="000000"/>
                <w:szCs w:val="21"/>
              </w:rPr>
              <w:t>项目描述</w:t>
            </w:r>
          </w:p>
        </w:tc>
        <w:tc>
          <w:tcPr>
            <w:tcW w:w="6086"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408" w:type="dxa"/>
            <w:vAlign w:val="center"/>
          </w:tcPr>
          <w:p>
            <w:pPr>
              <w:jc w:val="center"/>
              <w:rPr>
                <w:rFonts w:ascii="宋体" w:hAnsi="宋体"/>
                <w:color w:val="000000"/>
                <w:szCs w:val="21"/>
              </w:rPr>
            </w:pPr>
            <w:r>
              <w:rPr>
                <w:rFonts w:hint="eastAsia" w:ascii="宋体" w:hAnsi="宋体"/>
                <w:color w:val="000000"/>
                <w:szCs w:val="21"/>
              </w:rPr>
              <w:t>备注</w:t>
            </w:r>
          </w:p>
        </w:tc>
        <w:tc>
          <w:tcPr>
            <w:tcW w:w="6086" w:type="dxa"/>
            <w:vAlign w:val="center"/>
          </w:tcPr>
          <w:p>
            <w:pPr>
              <w:jc w:val="center"/>
              <w:rPr>
                <w:rFonts w:ascii="宋体" w:hAnsi="宋体"/>
                <w:color w:val="000000"/>
                <w:szCs w:val="21"/>
              </w:rPr>
            </w:pPr>
          </w:p>
        </w:tc>
      </w:tr>
    </w:tbl>
    <w:p>
      <w:pPr>
        <w:spacing w:line="440" w:lineRule="exact"/>
        <w:ind w:left="630" w:hanging="630" w:hangingChars="300"/>
        <w:rPr>
          <w:rFonts w:ascii="宋体" w:hAnsi="宋体"/>
          <w:color w:val="000000"/>
          <w:szCs w:val="21"/>
        </w:rPr>
      </w:pPr>
      <w:r>
        <w:rPr>
          <w:rFonts w:hint="eastAsia" w:ascii="黑体" w:hAnsi="宋体" w:eastAsia="黑体"/>
          <w:color w:val="000000"/>
          <w:szCs w:val="21"/>
        </w:rPr>
        <w:t>备注：</w:t>
      </w:r>
      <w:r>
        <w:rPr>
          <w:rFonts w:hint="eastAsia" w:ascii="宋体" w:hAnsi="宋体"/>
          <w:color w:val="000000"/>
          <w:szCs w:val="21"/>
        </w:rPr>
        <w:t>1、类似工程指</w:t>
      </w:r>
      <w:r>
        <w:rPr>
          <w:rFonts w:hint="eastAsia" w:ascii="宋体" w:hAnsi="宋体"/>
          <w:color w:val="000000"/>
          <w:szCs w:val="21"/>
          <w:u w:val="single"/>
        </w:rPr>
        <w:t xml:space="preserve">      </w:t>
      </w:r>
      <w:r>
        <w:rPr>
          <w:rFonts w:hint="eastAsia" w:ascii="宋体" w:hAnsi="宋体"/>
          <w:color w:val="000000"/>
          <w:szCs w:val="21"/>
        </w:rPr>
        <w:t>工程。</w:t>
      </w:r>
    </w:p>
    <w:p>
      <w:pPr>
        <w:spacing w:line="440" w:lineRule="exact"/>
        <w:ind w:left="630" w:leftChars="300"/>
        <w:rPr>
          <w:rFonts w:ascii="宋体" w:hAnsi="宋体"/>
          <w:color w:val="000000"/>
          <w:szCs w:val="21"/>
        </w:rPr>
      </w:pPr>
      <w:r>
        <w:rPr>
          <w:rFonts w:hint="eastAsia" w:ascii="宋体" w:hAnsi="宋体"/>
          <w:color w:val="000000"/>
          <w:szCs w:val="21"/>
        </w:rPr>
        <w:t>2、本表后附中标通知书和（或）合同协议书、工程接收证书（工程竣工验收证书）的复印件，具体年份要求见投标人须知前附表。每张表格只填写一个项目，并标明序号。</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7"/>
        <w:gridCol w:w="6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407" w:type="dxa"/>
            <w:vAlign w:val="center"/>
          </w:tcPr>
          <w:p>
            <w:pPr>
              <w:jc w:val="center"/>
              <w:rPr>
                <w:rFonts w:ascii="宋体" w:hAnsi="宋体"/>
                <w:color w:val="000000"/>
                <w:szCs w:val="21"/>
              </w:rPr>
            </w:pPr>
            <w:r>
              <w:rPr>
                <w:rFonts w:ascii="宋体" w:hAnsi="宋体"/>
                <w:color w:val="000000"/>
                <w:szCs w:val="21"/>
              </w:rPr>
              <w:br w:type="page"/>
            </w:r>
            <w:r>
              <w:rPr>
                <w:rFonts w:hint="eastAsia" w:ascii="宋体" w:hAnsi="宋体"/>
                <w:color w:val="000000"/>
                <w:szCs w:val="21"/>
              </w:rPr>
              <w:t>项目所在地</w:t>
            </w:r>
          </w:p>
        </w:tc>
        <w:tc>
          <w:tcPr>
            <w:tcW w:w="6087"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407" w:type="dxa"/>
            <w:vAlign w:val="center"/>
          </w:tcPr>
          <w:p>
            <w:pPr>
              <w:jc w:val="center"/>
              <w:rPr>
                <w:rFonts w:ascii="宋体" w:hAnsi="宋体"/>
                <w:color w:val="000000"/>
                <w:szCs w:val="21"/>
              </w:rPr>
            </w:pPr>
            <w:r>
              <w:rPr>
                <w:rFonts w:hint="eastAsia" w:ascii="宋体" w:hAnsi="宋体"/>
                <w:color w:val="000000"/>
                <w:szCs w:val="21"/>
              </w:rPr>
              <w:t>发包人名称</w:t>
            </w:r>
          </w:p>
        </w:tc>
        <w:tc>
          <w:tcPr>
            <w:tcW w:w="6087"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407" w:type="dxa"/>
            <w:vAlign w:val="center"/>
          </w:tcPr>
          <w:p>
            <w:pPr>
              <w:jc w:val="center"/>
              <w:rPr>
                <w:rFonts w:ascii="宋体" w:hAnsi="宋体"/>
                <w:color w:val="000000"/>
                <w:szCs w:val="21"/>
              </w:rPr>
            </w:pPr>
            <w:r>
              <w:rPr>
                <w:rFonts w:hint="eastAsia" w:ascii="宋体" w:hAnsi="宋体"/>
                <w:color w:val="000000"/>
                <w:szCs w:val="21"/>
              </w:rPr>
              <w:t>发包人地址</w:t>
            </w:r>
          </w:p>
        </w:tc>
        <w:tc>
          <w:tcPr>
            <w:tcW w:w="6087"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407" w:type="dxa"/>
            <w:vAlign w:val="center"/>
          </w:tcPr>
          <w:p>
            <w:pPr>
              <w:jc w:val="center"/>
              <w:rPr>
                <w:rFonts w:ascii="宋体" w:hAnsi="宋体"/>
                <w:color w:val="000000"/>
                <w:szCs w:val="21"/>
              </w:rPr>
            </w:pPr>
            <w:r>
              <w:rPr>
                <w:rFonts w:hint="eastAsia" w:ascii="宋体" w:hAnsi="宋体"/>
                <w:color w:val="000000"/>
                <w:szCs w:val="21"/>
              </w:rPr>
              <w:t>发包人电话</w:t>
            </w:r>
          </w:p>
        </w:tc>
        <w:tc>
          <w:tcPr>
            <w:tcW w:w="6087"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407" w:type="dxa"/>
            <w:vAlign w:val="center"/>
          </w:tcPr>
          <w:p>
            <w:pPr>
              <w:jc w:val="center"/>
              <w:rPr>
                <w:rFonts w:ascii="宋体" w:hAnsi="宋体"/>
                <w:color w:val="000000"/>
                <w:szCs w:val="21"/>
              </w:rPr>
            </w:pPr>
            <w:r>
              <w:rPr>
                <w:rFonts w:hint="eastAsia" w:ascii="宋体" w:hAnsi="宋体"/>
                <w:color w:val="000000"/>
                <w:szCs w:val="21"/>
              </w:rPr>
              <w:t>签约合同价</w:t>
            </w:r>
          </w:p>
        </w:tc>
        <w:tc>
          <w:tcPr>
            <w:tcW w:w="6087"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407" w:type="dxa"/>
            <w:vAlign w:val="center"/>
          </w:tcPr>
          <w:p>
            <w:pPr>
              <w:jc w:val="center"/>
              <w:rPr>
                <w:rFonts w:ascii="宋体" w:hAnsi="宋体"/>
                <w:color w:val="000000"/>
                <w:szCs w:val="21"/>
              </w:rPr>
            </w:pPr>
            <w:r>
              <w:rPr>
                <w:rFonts w:hint="eastAsia" w:ascii="宋体" w:hAnsi="宋体"/>
                <w:color w:val="000000"/>
                <w:szCs w:val="21"/>
              </w:rPr>
              <w:t>开工日期</w:t>
            </w:r>
          </w:p>
        </w:tc>
        <w:tc>
          <w:tcPr>
            <w:tcW w:w="6087"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407" w:type="dxa"/>
            <w:vAlign w:val="center"/>
          </w:tcPr>
          <w:p>
            <w:pPr>
              <w:jc w:val="center"/>
              <w:rPr>
                <w:rFonts w:ascii="宋体" w:hAnsi="宋体"/>
                <w:color w:val="000000"/>
                <w:szCs w:val="21"/>
              </w:rPr>
            </w:pPr>
            <w:r>
              <w:rPr>
                <w:rFonts w:hint="eastAsia" w:ascii="宋体" w:hAnsi="宋体"/>
                <w:color w:val="000000"/>
                <w:szCs w:val="21"/>
              </w:rPr>
              <w:t>计划竣工日期</w:t>
            </w:r>
          </w:p>
        </w:tc>
        <w:tc>
          <w:tcPr>
            <w:tcW w:w="6087"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407" w:type="dxa"/>
            <w:vAlign w:val="center"/>
          </w:tcPr>
          <w:p>
            <w:pPr>
              <w:jc w:val="center"/>
              <w:rPr>
                <w:rFonts w:ascii="宋体" w:hAnsi="宋体"/>
                <w:color w:val="000000"/>
                <w:szCs w:val="21"/>
              </w:rPr>
            </w:pPr>
            <w:r>
              <w:rPr>
                <w:rFonts w:hint="eastAsia" w:ascii="宋体" w:hAnsi="宋体"/>
                <w:color w:val="000000"/>
                <w:szCs w:val="21"/>
              </w:rPr>
              <w:t>承担的工作</w:t>
            </w:r>
          </w:p>
        </w:tc>
        <w:tc>
          <w:tcPr>
            <w:tcW w:w="6087"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407" w:type="dxa"/>
            <w:vAlign w:val="center"/>
          </w:tcPr>
          <w:p>
            <w:pPr>
              <w:jc w:val="center"/>
              <w:rPr>
                <w:rFonts w:ascii="宋体" w:hAnsi="宋体"/>
                <w:color w:val="000000"/>
                <w:szCs w:val="21"/>
              </w:rPr>
            </w:pPr>
            <w:r>
              <w:rPr>
                <w:rFonts w:hint="eastAsia" w:ascii="宋体" w:hAnsi="宋体"/>
                <w:color w:val="000000"/>
                <w:szCs w:val="21"/>
              </w:rPr>
              <w:t>工程质量</w:t>
            </w:r>
          </w:p>
        </w:tc>
        <w:tc>
          <w:tcPr>
            <w:tcW w:w="6087"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407" w:type="dxa"/>
            <w:vAlign w:val="center"/>
          </w:tcPr>
          <w:p>
            <w:pPr>
              <w:jc w:val="center"/>
              <w:rPr>
                <w:rFonts w:ascii="宋体" w:hAnsi="宋体"/>
                <w:color w:val="000000"/>
                <w:szCs w:val="21"/>
              </w:rPr>
            </w:pPr>
            <w:r>
              <w:rPr>
                <w:rFonts w:hint="eastAsia" w:ascii="宋体" w:hAnsi="宋体"/>
                <w:color w:val="000000"/>
                <w:szCs w:val="21"/>
              </w:rPr>
              <w:t>项目负责人（项目经理）</w:t>
            </w:r>
          </w:p>
        </w:tc>
        <w:tc>
          <w:tcPr>
            <w:tcW w:w="6087"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407" w:type="dxa"/>
            <w:vAlign w:val="center"/>
          </w:tcPr>
          <w:p>
            <w:pPr>
              <w:jc w:val="center"/>
              <w:rPr>
                <w:rFonts w:ascii="宋体" w:hAnsi="宋体"/>
                <w:color w:val="000000"/>
                <w:szCs w:val="21"/>
              </w:rPr>
            </w:pPr>
            <w:r>
              <w:rPr>
                <w:rFonts w:hint="eastAsia" w:ascii="宋体" w:hAnsi="宋体"/>
                <w:color w:val="000000"/>
                <w:szCs w:val="21"/>
              </w:rPr>
              <w:t>技术负责人</w:t>
            </w:r>
          </w:p>
        </w:tc>
        <w:tc>
          <w:tcPr>
            <w:tcW w:w="6087"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407" w:type="dxa"/>
            <w:vAlign w:val="center"/>
          </w:tcPr>
          <w:p>
            <w:pPr>
              <w:jc w:val="center"/>
              <w:rPr>
                <w:rFonts w:ascii="宋体" w:hAnsi="宋体"/>
                <w:color w:val="000000"/>
                <w:szCs w:val="21"/>
              </w:rPr>
            </w:pPr>
            <w:r>
              <w:rPr>
                <w:rFonts w:hint="eastAsia" w:ascii="宋体" w:hAnsi="宋体"/>
                <w:color w:val="000000"/>
                <w:szCs w:val="21"/>
              </w:rPr>
              <w:t>总监理工程师及电话</w:t>
            </w:r>
          </w:p>
        </w:tc>
        <w:tc>
          <w:tcPr>
            <w:tcW w:w="6087"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12" w:hRule="atLeast"/>
          <w:jc w:val="center"/>
        </w:trPr>
        <w:tc>
          <w:tcPr>
            <w:tcW w:w="2407" w:type="dxa"/>
            <w:vAlign w:val="center"/>
          </w:tcPr>
          <w:p>
            <w:pPr>
              <w:jc w:val="center"/>
              <w:rPr>
                <w:rFonts w:ascii="宋体" w:hAnsi="宋体"/>
                <w:color w:val="000000"/>
                <w:szCs w:val="21"/>
              </w:rPr>
            </w:pPr>
            <w:r>
              <w:rPr>
                <w:rFonts w:hint="eastAsia" w:ascii="宋体" w:hAnsi="宋体"/>
                <w:color w:val="000000"/>
                <w:szCs w:val="21"/>
              </w:rPr>
              <w:t>项目描述</w:t>
            </w:r>
          </w:p>
        </w:tc>
        <w:tc>
          <w:tcPr>
            <w:tcW w:w="6087"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2407" w:type="dxa"/>
            <w:vAlign w:val="center"/>
          </w:tcPr>
          <w:p>
            <w:pPr>
              <w:jc w:val="center"/>
              <w:rPr>
                <w:rFonts w:ascii="宋体" w:hAnsi="宋体"/>
                <w:color w:val="000000"/>
                <w:szCs w:val="21"/>
              </w:rPr>
            </w:pPr>
            <w:r>
              <w:rPr>
                <w:rFonts w:hint="eastAsia" w:ascii="宋体" w:hAnsi="宋体"/>
                <w:color w:val="000000"/>
                <w:szCs w:val="21"/>
              </w:rPr>
              <w:t>备注</w:t>
            </w:r>
          </w:p>
        </w:tc>
        <w:tc>
          <w:tcPr>
            <w:tcW w:w="6087" w:type="dxa"/>
            <w:vAlign w:val="center"/>
          </w:tcPr>
          <w:p>
            <w:pPr>
              <w:jc w:val="center"/>
              <w:rPr>
                <w:rFonts w:ascii="宋体" w:hAnsi="宋体"/>
                <w:color w:val="000000"/>
                <w:szCs w:val="21"/>
              </w:rPr>
            </w:pPr>
          </w:p>
        </w:tc>
      </w:tr>
    </w:tbl>
    <w:p>
      <w:pPr>
        <w:spacing w:line="440" w:lineRule="exact"/>
        <w:rPr>
          <w:rFonts w:ascii="宋体" w:hAnsi="宋体"/>
          <w:color w:val="000000"/>
          <w:szCs w:val="21"/>
        </w:rPr>
      </w:pPr>
      <w:r>
        <w:rPr>
          <w:rFonts w:hint="eastAsia" w:ascii="黑体" w:hAnsi="宋体" w:eastAsia="黑体"/>
          <w:color w:val="000000"/>
          <w:szCs w:val="21"/>
        </w:rPr>
        <w:t>备注：</w:t>
      </w:r>
      <w:r>
        <w:rPr>
          <w:rFonts w:hint="eastAsia" w:ascii="宋体" w:hAnsi="宋体"/>
          <w:color w:val="000000"/>
          <w:szCs w:val="21"/>
        </w:rPr>
        <w:t>本表后附中标通知书和（或）合同协议书复印件。每张表格只填写一个项目，并标明序号。</w:t>
      </w:r>
    </w:p>
    <w:p>
      <w:pPr>
        <w:spacing w:before="120" w:beforeLines="50" w:after="240" w:afterLines="100" w:line="440" w:lineRule="exact"/>
        <w:rPr>
          <w:rFonts w:ascii="宋体" w:hAnsi="宋体"/>
          <w:color w:val="000000"/>
          <w:szCs w:val="21"/>
        </w:rPr>
        <w:sectPr>
          <w:pgSz w:w="11906" w:h="16838"/>
          <w:pgMar w:top="1588" w:right="1701" w:bottom="1418" w:left="1701" w:header="851" w:footer="851" w:gutter="0"/>
          <w:cols w:space="425" w:num="1"/>
          <w:docGrid w:linePitch="312" w:charSpace="0"/>
        </w:sectPr>
      </w:pPr>
      <w:r>
        <w:rPr>
          <w:rFonts w:ascii="宋体" w:hAnsi="宋体"/>
          <w:color w:val="000000"/>
          <w:szCs w:val="21"/>
        </w:rPr>
        <w:br w:type="page"/>
      </w:r>
    </w:p>
    <w:p>
      <w:pPr>
        <w:spacing w:before="91" w:line="220" w:lineRule="auto"/>
        <w:ind w:left="3695"/>
        <w:outlineLvl w:val="2"/>
        <w:rPr>
          <w:rFonts w:ascii="宋体" w:hAnsi="宋体" w:eastAsia="宋体" w:cs="宋体"/>
          <w:sz w:val="28"/>
          <w:szCs w:val="28"/>
        </w:rPr>
      </w:pPr>
      <w:r>
        <w:rPr>
          <w:rFonts w:ascii="宋体" w:hAnsi="宋体" w:eastAsia="宋体" w:cs="宋体"/>
          <w:b/>
          <w:bCs/>
          <w:spacing w:val="-4"/>
          <w:sz w:val="28"/>
          <w:szCs w:val="28"/>
        </w:rPr>
        <w:t>十、智能评审数据</w:t>
      </w:r>
    </w:p>
    <w:p>
      <w:pPr>
        <w:spacing w:before="171" w:line="247" w:lineRule="auto"/>
        <w:ind w:left="814" w:right="791" w:hanging="1"/>
        <w:rPr>
          <w:rFonts w:ascii="宋体" w:hAnsi="宋体" w:eastAsia="宋体" w:cs="宋体"/>
          <w:sz w:val="21"/>
          <w:szCs w:val="21"/>
        </w:rPr>
      </w:pPr>
      <w:r>
        <w:rPr>
          <w:rFonts w:ascii="宋体" w:hAnsi="宋体" w:eastAsia="宋体" w:cs="宋体"/>
          <w:spacing w:val="-7"/>
          <w:sz w:val="21"/>
          <w:szCs w:val="21"/>
        </w:rPr>
        <w:t>注：</w:t>
      </w:r>
      <w:r>
        <w:rPr>
          <w:rFonts w:ascii="宋体" w:hAnsi="宋体" w:eastAsia="宋体" w:cs="宋体"/>
          <w:spacing w:val="-40"/>
          <w:sz w:val="21"/>
          <w:szCs w:val="21"/>
        </w:rPr>
        <w:t xml:space="preserve"> </w:t>
      </w:r>
      <w:r>
        <w:rPr>
          <w:rFonts w:ascii="宋体" w:hAnsi="宋体" w:eastAsia="宋体" w:cs="宋体"/>
          <w:spacing w:val="-7"/>
          <w:sz w:val="21"/>
          <w:szCs w:val="21"/>
        </w:rPr>
        <w:t>数据示例如下，</w:t>
      </w:r>
      <w:r>
        <w:rPr>
          <w:rFonts w:ascii="宋体" w:hAnsi="宋体" w:eastAsia="宋体" w:cs="宋体"/>
          <w:spacing w:val="-42"/>
          <w:sz w:val="21"/>
          <w:szCs w:val="21"/>
        </w:rPr>
        <w:t xml:space="preserve"> </w:t>
      </w:r>
      <w:r>
        <w:rPr>
          <w:rFonts w:ascii="宋体" w:hAnsi="宋体" w:eastAsia="宋体" w:cs="宋体"/>
          <w:spacing w:val="-7"/>
          <w:sz w:val="21"/>
          <w:szCs w:val="21"/>
        </w:rPr>
        <w:t>本表单由“机器管”投标工具自动生成为准，</w:t>
      </w:r>
      <w:r>
        <w:rPr>
          <w:rFonts w:ascii="宋体" w:hAnsi="宋体" w:eastAsia="宋体" w:cs="宋体"/>
          <w:spacing w:val="-43"/>
          <w:sz w:val="21"/>
          <w:szCs w:val="21"/>
        </w:rPr>
        <w:t xml:space="preserve"> </w:t>
      </w:r>
      <w:r>
        <w:rPr>
          <w:rFonts w:ascii="宋体" w:hAnsi="宋体" w:eastAsia="宋体" w:cs="宋体"/>
          <w:spacing w:val="-7"/>
          <w:sz w:val="21"/>
          <w:szCs w:val="21"/>
        </w:rPr>
        <w:t>请投标人</w:t>
      </w:r>
      <w:r>
        <w:rPr>
          <w:rFonts w:ascii="宋体" w:hAnsi="宋体" w:eastAsia="宋体" w:cs="宋体"/>
          <w:spacing w:val="-8"/>
          <w:sz w:val="21"/>
          <w:szCs w:val="21"/>
        </w:rPr>
        <w:t>认真确认数据的</w:t>
      </w:r>
      <w:r>
        <w:rPr>
          <w:rFonts w:ascii="宋体" w:hAnsi="宋体" w:eastAsia="宋体" w:cs="宋体"/>
          <w:sz w:val="21"/>
          <w:szCs w:val="21"/>
        </w:rPr>
        <w:t xml:space="preserve"> </w:t>
      </w:r>
      <w:r>
        <w:rPr>
          <w:rFonts w:ascii="宋体" w:hAnsi="宋体" w:eastAsia="宋体" w:cs="宋体"/>
          <w:spacing w:val="-1"/>
          <w:sz w:val="21"/>
          <w:szCs w:val="21"/>
        </w:rPr>
        <w:t>准确性与真实性。</w:t>
      </w:r>
    </w:p>
    <w:p>
      <w:pPr>
        <w:pStyle w:val="16"/>
        <w:spacing w:line="302" w:lineRule="auto"/>
      </w:pPr>
    </w:p>
    <w:p>
      <w:pPr>
        <w:spacing w:before="68" w:line="221" w:lineRule="auto"/>
        <w:ind w:left="820"/>
        <w:rPr>
          <w:rFonts w:ascii="宋体" w:hAnsi="宋体" w:eastAsia="宋体" w:cs="宋体"/>
          <w:sz w:val="21"/>
          <w:szCs w:val="21"/>
        </w:rPr>
      </w:pPr>
      <w:r>
        <w:rPr>
          <w:rFonts w:ascii="宋体" w:hAnsi="宋体" w:eastAsia="宋体" w:cs="宋体"/>
          <w:b/>
          <w:bCs/>
          <w:color w:val="333333"/>
          <w:spacing w:val="-5"/>
          <w:sz w:val="21"/>
          <w:szCs w:val="21"/>
        </w:rPr>
        <w:t>营业执照</w:t>
      </w:r>
    </w:p>
    <w:p>
      <w:pPr>
        <w:spacing w:line="101" w:lineRule="auto"/>
        <w:rPr>
          <w:rFonts w:ascii="Arial"/>
          <w:sz w:val="2"/>
        </w:rPr>
      </w:pPr>
    </w:p>
    <w:tbl>
      <w:tblPr>
        <w:tblStyle w:val="96"/>
        <w:tblW w:w="8302" w:type="dxa"/>
        <w:tblInd w:w="8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50"/>
        <w:gridCol w:w="415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0" w:hRule="atLeast"/>
        </w:trPr>
        <w:tc>
          <w:tcPr>
            <w:tcW w:w="4150" w:type="dxa"/>
            <w:vAlign w:val="top"/>
          </w:tcPr>
          <w:p>
            <w:pPr>
              <w:pStyle w:val="95"/>
              <w:spacing w:before="55" w:line="223" w:lineRule="auto"/>
              <w:ind w:left="119"/>
              <w:rPr>
                <w:sz w:val="21"/>
                <w:szCs w:val="21"/>
              </w:rPr>
            </w:pPr>
            <w:r>
              <w:rPr>
                <w:color w:val="333333"/>
                <w:spacing w:val="-3"/>
                <w:sz w:val="21"/>
                <w:szCs w:val="21"/>
              </w:rPr>
              <w:t>企业名称</w:t>
            </w:r>
          </w:p>
        </w:tc>
        <w:tc>
          <w:tcPr>
            <w:tcW w:w="415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5" w:hRule="atLeast"/>
        </w:trPr>
        <w:tc>
          <w:tcPr>
            <w:tcW w:w="4150" w:type="dxa"/>
            <w:vAlign w:val="top"/>
          </w:tcPr>
          <w:p>
            <w:pPr>
              <w:pStyle w:val="95"/>
              <w:spacing w:before="52" w:line="220" w:lineRule="auto"/>
              <w:ind w:left="117"/>
              <w:rPr>
                <w:sz w:val="21"/>
                <w:szCs w:val="21"/>
              </w:rPr>
            </w:pPr>
            <w:r>
              <w:rPr>
                <w:spacing w:val="-1"/>
                <w:sz w:val="21"/>
                <w:szCs w:val="21"/>
              </w:rPr>
              <w:t>社会统一信用代码</w:t>
            </w:r>
          </w:p>
        </w:tc>
        <w:tc>
          <w:tcPr>
            <w:tcW w:w="415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5" w:hRule="atLeast"/>
        </w:trPr>
        <w:tc>
          <w:tcPr>
            <w:tcW w:w="4150" w:type="dxa"/>
            <w:vAlign w:val="top"/>
          </w:tcPr>
          <w:p>
            <w:pPr>
              <w:pStyle w:val="95"/>
              <w:spacing w:before="53" w:line="221" w:lineRule="auto"/>
              <w:ind w:left="116"/>
              <w:rPr>
                <w:sz w:val="21"/>
                <w:szCs w:val="21"/>
              </w:rPr>
            </w:pPr>
            <w:r>
              <w:rPr>
                <w:spacing w:val="-1"/>
                <w:sz w:val="21"/>
                <w:szCs w:val="21"/>
              </w:rPr>
              <w:t>有效期截止时间</w:t>
            </w:r>
          </w:p>
        </w:tc>
        <w:tc>
          <w:tcPr>
            <w:tcW w:w="415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3" w:hRule="atLeast"/>
        </w:trPr>
        <w:tc>
          <w:tcPr>
            <w:tcW w:w="4150" w:type="dxa"/>
            <w:vAlign w:val="top"/>
          </w:tcPr>
          <w:p>
            <w:pPr>
              <w:pStyle w:val="95"/>
              <w:spacing w:before="57" w:line="221" w:lineRule="auto"/>
              <w:ind w:left="116"/>
              <w:rPr>
                <w:sz w:val="21"/>
                <w:szCs w:val="21"/>
              </w:rPr>
            </w:pPr>
            <w:r>
              <w:rPr>
                <w:spacing w:val="-1"/>
                <w:sz w:val="21"/>
                <w:szCs w:val="21"/>
              </w:rPr>
              <w:t>法人代表名称</w:t>
            </w:r>
          </w:p>
        </w:tc>
        <w:tc>
          <w:tcPr>
            <w:tcW w:w="4152" w:type="dxa"/>
            <w:vAlign w:val="top"/>
          </w:tcPr>
          <w:p>
            <w:pPr>
              <w:rPr>
                <w:rFonts w:ascii="Arial"/>
                <w:sz w:val="21"/>
              </w:rPr>
            </w:pPr>
          </w:p>
        </w:tc>
      </w:tr>
    </w:tbl>
    <w:p>
      <w:pPr>
        <w:pStyle w:val="16"/>
        <w:spacing w:line="292" w:lineRule="auto"/>
      </w:pPr>
    </w:p>
    <w:p>
      <w:pPr>
        <w:spacing w:before="69" w:line="221" w:lineRule="auto"/>
        <w:ind w:left="817"/>
        <w:rPr>
          <w:rFonts w:ascii="宋体" w:hAnsi="宋体" w:eastAsia="宋体" w:cs="宋体"/>
          <w:sz w:val="21"/>
          <w:szCs w:val="21"/>
        </w:rPr>
      </w:pPr>
      <w:r>
        <w:rPr>
          <w:rFonts w:ascii="宋体" w:hAnsi="宋体" w:eastAsia="宋体" w:cs="宋体"/>
          <w:b/>
          <w:bCs/>
          <w:spacing w:val="-3"/>
          <w:sz w:val="21"/>
          <w:szCs w:val="21"/>
        </w:rPr>
        <w:t>安全生产许可证</w:t>
      </w:r>
    </w:p>
    <w:p>
      <w:pPr>
        <w:spacing w:line="107" w:lineRule="auto"/>
        <w:rPr>
          <w:rFonts w:ascii="Arial"/>
          <w:sz w:val="2"/>
        </w:rPr>
      </w:pPr>
    </w:p>
    <w:tbl>
      <w:tblPr>
        <w:tblStyle w:val="96"/>
        <w:tblW w:w="8302" w:type="dxa"/>
        <w:tblInd w:w="8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50"/>
        <w:gridCol w:w="415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8" w:hRule="atLeast"/>
        </w:trPr>
        <w:tc>
          <w:tcPr>
            <w:tcW w:w="4150" w:type="dxa"/>
            <w:vAlign w:val="top"/>
          </w:tcPr>
          <w:p>
            <w:pPr>
              <w:pStyle w:val="95"/>
              <w:spacing w:before="55" w:line="222" w:lineRule="auto"/>
              <w:ind w:left="119"/>
              <w:rPr>
                <w:sz w:val="21"/>
                <w:szCs w:val="21"/>
              </w:rPr>
            </w:pPr>
            <w:r>
              <w:rPr>
                <w:color w:val="333333"/>
                <w:spacing w:val="-3"/>
                <w:sz w:val="21"/>
                <w:szCs w:val="21"/>
              </w:rPr>
              <w:t>企业名称</w:t>
            </w:r>
          </w:p>
        </w:tc>
        <w:tc>
          <w:tcPr>
            <w:tcW w:w="415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9" w:hRule="atLeast"/>
        </w:trPr>
        <w:tc>
          <w:tcPr>
            <w:tcW w:w="4150" w:type="dxa"/>
            <w:vAlign w:val="top"/>
          </w:tcPr>
          <w:p>
            <w:pPr>
              <w:pStyle w:val="95"/>
              <w:spacing w:before="54" w:line="221" w:lineRule="auto"/>
              <w:ind w:left="116"/>
              <w:rPr>
                <w:sz w:val="21"/>
                <w:szCs w:val="21"/>
              </w:rPr>
            </w:pPr>
            <w:r>
              <w:rPr>
                <w:spacing w:val="-1"/>
                <w:sz w:val="21"/>
                <w:szCs w:val="21"/>
              </w:rPr>
              <w:t>有效期截止时间</w:t>
            </w:r>
          </w:p>
        </w:tc>
        <w:tc>
          <w:tcPr>
            <w:tcW w:w="4152" w:type="dxa"/>
            <w:vAlign w:val="top"/>
          </w:tcPr>
          <w:p>
            <w:pPr>
              <w:rPr>
                <w:rFonts w:ascii="Arial"/>
                <w:sz w:val="21"/>
              </w:rPr>
            </w:pPr>
          </w:p>
        </w:tc>
      </w:tr>
    </w:tbl>
    <w:p>
      <w:pPr>
        <w:pStyle w:val="16"/>
        <w:spacing w:line="293" w:lineRule="auto"/>
      </w:pPr>
    </w:p>
    <w:p>
      <w:pPr>
        <w:spacing w:before="68" w:line="221" w:lineRule="auto"/>
        <w:ind w:left="817"/>
        <w:rPr>
          <w:rFonts w:ascii="宋体" w:hAnsi="宋体" w:eastAsia="宋体" w:cs="宋体"/>
          <w:sz w:val="21"/>
          <w:szCs w:val="21"/>
        </w:rPr>
      </w:pPr>
      <w:r>
        <w:rPr>
          <w:rFonts w:ascii="宋体" w:hAnsi="宋体" w:eastAsia="宋体" w:cs="宋体"/>
          <w:b/>
          <w:bCs/>
          <w:spacing w:val="-4"/>
          <w:sz w:val="21"/>
          <w:szCs w:val="21"/>
        </w:rPr>
        <w:t>企业资质</w:t>
      </w:r>
    </w:p>
    <w:p>
      <w:pPr>
        <w:spacing w:line="93" w:lineRule="auto"/>
        <w:rPr>
          <w:rFonts w:ascii="Arial"/>
          <w:sz w:val="2"/>
        </w:rPr>
      </w:pPr>
    </w:p>
    <w:tbl>
      <w:tblPr>
        <w:tblStyle w:val="96"/>
        <w:tblW w:w="8302" w:type="dxa"/>
        <w:tblInd w:w="8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1185"/>
        <w:gridCol w:w="1168"/>
        <w:gridCol w:w="1048"/>
        <w:gridCol w:w="1048"/>
        <w:gridCol w:w="1048"/>
        <w:gridCol w:w="1020"/>
        <w:gridCol w:w="98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2" w:hRule="atLeast"/>
        </w:trPr>
        <w:tc>
          <w:tcPr>
            <w:tcW w:w="799" w:type="dxa"/>
            <w:vAlign w:val="top"/>
          </w:tcPr>
          <w:p>
            <w:pPr>
              <w:pStyle w:val="95"/>
              <w:spacing w:before="55" w:line="222" w:lineRule="auto"/>
              <w:ind w:left="115"/>
              <w:rPr>
                <w:sz w:val="21"/>
                <w:szCs w:val="21"/>
              </w:rPr>
            </w:pPr>
            <w:r>
              <w:rPr>
                <w:spacing w:val="-2"/>
                <w:sz w:val="21"/>
                <w:szCs w:val="21"/>
              </w:rPr>
              <w:t>序号</w:t>
            </w:r>
          </w:p>
        </w:tc>
        <w:tc>
          <w:tcPr>
            <w:tcW w:w="1185" w:type="dxa"/>
            <w:vAlign w:val="top"/>
          </w:tcPr>
          <w:p>
            <w:pPr>
              <w:pStyle w:val="95"/>
              <w:spacing w:before="55" w:line="223" w:lineRule="auto"/>
              <w:ind w:left="114"/>
              <w:rPr>
                <w:sz w:val="21"/>
                <w:szCs w:val="21"/>
              </w:rPr>
            </w:pPr>
            <w:r>
              <w:rPr>
                <w:color w:val="333333"/>
                <w:spacing w:val="-3"/>
                <w:sz w:val="21"/>
                <w:szCs w:val="21"/>
              </w:rPr>
              <w:t>企业名称</w:t>
            </w:r>
          </w:p>
        </w:tc>
        <w:tc>
          <w:tcPr>
            <w:tcW w:w="1168" w:type="dxa"/>
            <w:vAlign w:val="top"/>
          </w:tcPr>
          <w:p>
            <w:pPr>
              <w:pStyle w:val="95"/>
              <w:spacing w:before="54" w:line="249" w:lineRule="auto"/>
              <w:ind w:left="113" w:right="104"/>
              <w:rPr>
                <w:sz w:val="21"/>
                <w:szCs w:val="21"/>
              </w:rPr>
            </w:pPr>
            <w:r>
              <w:rPr>
                <w:color w:val="333333"/>
                <w:spacing w:val="26"/>
                <w:sz w:val="21"/>
                <w:szCs w:val="21"/>
                <w:shd w:val="clear" w:color="FFFFFF" w:fill="D9D9D9"/>
              </w:rPr>
              <w:t>法定代表</w:t>
            </w:r>
            <w:r>
              <w:rPr>
                <w:color w:val="333333"/>
                <w:sz w:val="21"/>
                <w:szCs w:val="21"/>
                <w:shd w:val="clear" w:color="FFFFFF" w:fill="D9D9D9"/>
              </w:rPr>
              <w:t xml:space="preserve"> </w:t>
            </w:r>
            <w:r>
              <w:rPr>
                <w:color w:val="333333"/>
                <w:spacing w:val="-3"/>
                <w:sz w:val="21"/>
                <w:szCs w:val="21"/>
                <w:shd w:val="clear" w:color="FFFFFF" w:fill="D9D9D9"/>
              </w:rPr>
              <w:t>人</w:t>
            </w:r>
            <w:r>
              <w:rPr>
                <w:spacing w:val="-3"/>
                <w:sz w:val="21"/>
                <w:szCs w:val="21"/>
                <w:shd w:val="clear" w:color="FFFFFF" w:fill="D9D9D9"/>
              </w:rPr>
              <w:t>名称</w:t>
            </w:r>
          </w:p>
        </w:tc>
        <w:tc>
          <w:tcPr>
            <w:tcW w:w="1048" w:type="dxa"/>
            <w:vAlign w:val="top"/>
          </w:tcPr>
          <w:p>
            <w:pPr>
              <w:pStyle w:val="95"/>
              <w:spacing w:before="54" w:line="254" w:lineRule="auto"/>
              <w:ind w:left="112" w:right="102" w:firstLine="9"/>
              <w:rPr>
                <w:sz w:val="21"/>
                <w:szCs w:val="21"/>
              </w:rPr>
            </w:pPr>
            <w:r>
              <w:rPr>
                <w:color w:val="333333"/>
                <w:spacing w:val="-11"/>
                <w:sz w:val="21"/>
                <w:szCs w:val="21"/>
              </w:rPr>
              <w:t>资</w:t>
            </w:r>
            <w:r>
              <w:rPr>
                <w:color w:val="333333"/>
                <w:spacing w:val="5"/>
                <w:sz w:val="21"/>
                <w:szCs w:val="21"/>
              </w:rPr>
              <w:t xml:space="preserve"> </w:t>
            </w:r>
            <w:r>
              <w:rPr>
                <w:color w:val="333333"/>
                <w:spacing w:val="-11"/>
                <w:sz w:val="21"/>
                <w:szCs w:val="21"/>
              </w:rPr>
              <w:t>质</w:t>
            </w:r>
            <w:r>
              <w:rPr>
                <w:color w:val="333333"/>
                <w:spacing w:val="4"/>
                <w:sz w:val="21"/>
                <w:szCs w:val="21"/>
              </w:rPr>
              <w:t xml:space="preserve"> </w:t>
            </w:r>
            <w:r>
              <w:rPr>
                <w:color w:val="333333"/>
                <w:spacing w:val="-11"/>
                <w:sz w:val="21"/>
                <w:szCs w:val="21"/>
              </w:rPr>
              <w:t>专</w:t>
            </w:r>
            <w:r>
              <w:rPr>
                <w:color w:val="333333"/>
                <w:sz w:val="21"/>
                <w:szCs w:val="21"/>
              </w:rPr>
              <w:t xml:space="preserve"> 业</w:t>
            </w:r>
          </w:p>
        </w:tc>
        <w:tc>
          <w:tcPr>
            <w:tcW w:w="1048" w:type="dxa"/>
            <w:vAlign w:val="top"/>
          </w:tcPr>
          <w:p>
            <w:pPr>
              <w:pStyle w:val="95"/>
              <w:spacing w:before="55" w:line="248" w:lineRule="auto"/>
              <w:ind w:left="116" w:right="101" w:firstLine="6"/>
              <w:rPr>
                <w:sz w:val="21"/>
                <w:szCs w:val="21"/>
              </w:rPr>
            </w:pPr>
            <w:r>
              <w:rPr>
                <w:color w:val="333333"/>
                <w:spacing w:val="-11"/>
                <w:sz w:val="21"/>
                <w:szCs w:val="21"/>
              </w:rPr>
              <w:t>资</w:t>
            </w:r>
            <w:r>
              <w:rPr>
                <w:color w:val="333333"/>
                <w:spacing w:val="5"/>
                <w:sz w:val="21"/>
                <w:szCs w:val="21"/>
              </w:rPr>
              <w:t xml:space="preserve"> </w:t>
            </w:r>
            <w:r>
              <w:rPr>
                <w:color w:val="333333"/>
                <w:spacing w:val="-11"/>
                <w:sz w:val="21"/>
                <w:szCs w:val="21"/>
              </w:rPr>
              <w:t>质</w:t>
            </w:r>
            <w:r>
              <w:rPr>
                <w:color w:val="333333"/>
                <w:spacing w:val="4"/>
                <w:sz w:val="21"/>
                <w:szCs w:val="21"/>
              </w:rPr>
              <w:t xml:space="preserve"> </w:t>
            </w:r>
            <w:r>
              <w:rPr>
                <w:color w:val="333333"/>
                <w:spacing w:val="-11"/>
                <w:sz w:val="21"/>
                <w:szCs w:val="21"/>
              </w:rPr>
              <w:t>类</w:t>
            </w:r>
            <w:r>
              <w:rPr>
                <w:color w:val="333333"/>
                <w:sz w:val="21"/>
                <w:szCs w:val="21"/>
              </w:rPr>
              <w:t xml:space="preserve"> 别</w:t>
            </w:r>
          </w:p>
        </w:tc>
        <w:tc>
          <w:tcPr>
            <w:tcW w:w="1048" w:type="dxa"/>
            <w:vAlign w:val="top"/>
          </w:tcPr>
          <w:p>
            <w:pPr>
              <w:pStyle w:val="95"/>
              <w:spacing w:before="56" w:line="251" w:lineRule="auto"/>
              <w:ind w:left="121" w:right="100" w:firstLine="2"/>
              <w:rPr>
                <w:sz w:val="21"/>
                <w:szCs w:val="21"/>
              </w:rPr>
            </w:pPr>
            <w:r>
              <w:rPr>
                <w:color w:val="333333"/>
                <w:spacing w:val="-11"/>
                <w:sz w:val="21"/>
                <w:szCs w:val="21"/>
              </w:rPr>
              <w:t>资</w:t>
            </w:r>
            <w:r>
              <w:rPr>
                <w:color w:val="333333"/>
                <w:spacing w:val="5"/>
                <w:sz w:val="21"/>
                <w:szCs w:val="21"/>
              </w:rPr>
              <w:t xml:space="preserve"> </w:t>
            </w:r>
            <w:r>
              <w:rPr>
                <w:color w:val="333333"/>
                <w:spacing w:val="-11"/>
                <w:sz w:val="21"/>
                <w:szCs w:val="21"/>
              </w:rPr>
              <w:t>质</w:t>
            </w:r>
            <w:r>
              <w:rPr>
                <w:color w:val="333333"/>
                <w:spacing w:val="4"/>
                <w:sz w:val="21"/>
                <w:szCs w:val="21"/>
              </w:rPr>
              <w:t xml:space="preserve"> </w:t>
            </w:r>
            <w:r>
              <w:rPr>
                <w:color w:val="333333"/>
                <w:spacing w:val="-11"/>
                <w:sz w:val="21"/>
                <w:szCs w:val="21"/>
              </w:rPr>
              <w:t>类</w:t>
            </w:r>
            <w:r>
              <w:rPr>
                <w:color w:val="333333"/>
                <w:sz w:val="21"/>
                <w:szCs w:val="21"/>
              </w:rPr>
              <w:t xml:space="preserve"> 型</w:t>
            </w:r>
          </w:p>
        </w:tc>
        <w:tc>
          <w:tcPr>
            <w:tcW w:w="1020" w:type="dxa"/>
            <w:vAlign w:val="top"/>
          </w:tcPr>
          <w:p>
            <w:pPr>
              <w:pStyle w:val="95"/>
              <w:spacing w:before="54" w:line="249" w:lineRule="auto"/>
              <w:ind w:left="119" w:right="103" w:firstLine="5"/>
              <w:rPr>
                <w:sz w:val="21"/>
                <w:szCs w:val="21"/>
              </w:rPr>
            </w:pPr>
            <w:r>
              <w:rPr>
                <w:color w:val="333333"/>
                <w:spacing w:val="-11"/>
                <w:sz w:val="21"/>
                <w:szCs w:val="21"/>
              </w:rPr>
              <w:t>资 质 等</w:t>
            </w:r>
            <w:r>
              <w:rPr>
                <w:color w:val="333333"/>
                <w:sz w:val="21"/>
                <w:szCs w:val="21"/>
              </w:rPr>
              <w:t xml:space="preserve"> 级</w:t>
            </w:r>
          </w:p>
        </w:tc>
        <w:tc>
          <w:tcPr>
            <w:tcW w:w="986" w:type="dxa"/>
            <w:vAlign w:val="top"/>
          </w:tcPr>
          <w:p>
            <w:pPr>
              <w:pStyle w:val="95"/>
              <w:spacing w:before="54" w:line="257" w:lineRule="auto"/>
              <w:ind w:left="115" w:right="104" w:firstLine="1"/>
              <w:jc w:val="both"/>
              <w:rPr>
                <w:sz w:val="21"/>
                <w:szCs w:val="21"/>
              </w:rPr>
            </w:pPr>
            <w:r>
              <w:rPr>
                <w:color w:val="333333"/>
                <w:spacing w:val="-10"/>
                <w:sz w:val="21"/>
                <w:szCs w:val="21"/>
              </w:rPr>
              <w:t>有</w:t>
            </w:r>
            <w:r>
              <w:rPr>
                <w:color w:val="333333"/>
                <w:spacing w:val="-25"/>
                <w:sz w:val="21"/>
                <w:szCs w:val="21"/>
              </w:rPr>
              <w:t xml:space="preserve"> </w:t>
            </w:r>
            <w:r>
              <w:rPr>
                <w:color w:val="333333"/>
                <w:spacing w:val="-10"/>
                <w:sz w:val="21"/>
                <w:szCs w:val="21"/>
              </w:rPr>
              <w:t>效</w:t>
            </w:r>
            <w:r>
              <w:rPr>
                <w:color w:val="333333"/>
                <w:spacing w:val="-28"/>
                <w:sz w:val="21"/>
                <w:szCs w:val="21"/>
              </w:rPr>
              <w:t xml:space="preserve"> </w:t>
            </w:r>
            <w:r>
              <w:rPr>
                <w:color w:val="333333"/>
                <w:spacing w:val="-10"/>
                <w:sz w:val="21"/>
                <w:szCs w:val="21"/>
              </w:rPr>
              <w:t>期</w:t>
            </w:r>
            <w:r>
              <w:rPr>
                <w:color w:val="333333"/>
                <w:sz w:val="21"/>
                <w:szCs w:val="21"/>
              </w:rPr>
              <w:t xml:space="preserve"> </w:t>
            </w:r>
            <w:r>
              <w:rPr>
                <w:color w:val="333333"/>
                <w:spacing w:val="-11"/>
                <w:sz w:val="21"/>
                <w:szCs w:val="21"/>
              </w:rPr>
              <w:t>截</w:t>
            </w:r>
            <w:r>
              <w:rPr>
                <w:color w:val="333333"/>
                <w:spacing w:val="-28"/>
                <w:sz w:val="21"/>
                <w:szCs w:val="21"/>
              </w:rPr>
              <w:t xml:space="preserve"> </w:t>
            </w:r>
            <w:r>
              <w:rPr>
                <w:color w:val="333333"/>
                <w:spacing w:val="-11"/>
                <w:sz w:val="21"/>
                <w:szCs w:val="21"/>
              </w:rPr>
              <w:t>止</w:t>
            </w:r>
            <w:r>
              <w:rPr>
                <w:color w:val="333333"/>
                <w:spacing w:val="-20"/>
                <w:sz w:val="21"/>
                <w:szCs w:val="21"/>
              </w:rPr>
              <w:t xml:space="preserve"> </w:t>
            </w:r>
            <w:r>
              <w:rPr>
                <w:color w:val="333333"/>
                <w:spacing w:val="-11"/>
                <w:sz w:val="21"/>
                <w:szCs w:val="21"/>
              </w:rPr>
              <w:t>时</w:t>
            </w:r>
            <w:r>
              <w:rPr>
                <w:color w:val="333333"/>
                <w:sz w:val="21"/>
                <w:szCs w:val="21"/>
              </w:rPr>
              <w:t xml:space="preserve"> 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8" w:hRule="atLeast"/>
        </w:trPr>
        <w:tc>
          <w:tcPr>
            <w:tcW w:w="799" w:type="dxa"/>
            <w:vAlign w:val="top"/>
          </w:tcPr>
          <w:p>
            <w:pPr>
              <w:pStyle w:val="95"/>
              <w:spacing w:before="91" w:line="183" w:lineRule="auto"/>
              <w:ind w:left="131"/>
              <w:rPr>
                <w:sz w:val="21"/>
                <w:szCs w:val="21"/>
              </w:rPr>
            </w:pPr>
            <w:r>
              <w:rPr>
                <w:sz w:val="21"/>
                <w:szCs w:val="21"/>
              </w:rPr>
              <w:t>1</w:t>
            </w:r>
          </w:p>
        </w:tc>
        <w:tc>
          <w:tcPr>
            <w:tcW w:w="1185" w:type="dxa"/>
            <w:vAlign w:val="top"/>
          </w:tcPr>
          <w:p>
            <w:pPr>
              <w:rPr>
                <w:rFonts w:ascii="Arial"/>
                <w:sz w:val="21"/>
              </w:rPr>
            </w:pPr>
          </w:p>
        </w:tc>
        <w:tc>
          <w:tcPr>
            <w:tcW w:w="1168" w:type="dxa"/>
            <w:vAlign w:val="top"/>
          </w:tcPr>
          <w:p>
            <w:pPr>
              <w:rPr>
                <w:rFonts w:ascii="Arial"/>
                <w:sz w:val="21"/>
              </w:rPr>
            </w:pPr>
          </w:p>
        </w:tc>
        <w:tc>
          <w:tcPr>
            <w:tcW w:w="1048" w:type="dxa"/>
            <w:vAlign w:val="top"/>
          </w:tcPr>
          <w:p>
            <w:pPr>
              <w:rPr>
                <w:rFonts w:ascii="Arial"/>
                <w:sz w:val="21"/>
              </w:rPr>
            </w:pPr>
          </w:p>
        </w:tc>
        <w:tc>
          <w:tcPr>
            <w:tcW w:w="1048" w:type="dxa"/>
            <w:vAlign w:val="top"/>
          </w:tcPr>
          <w:p>
            <w:pPr>
              <w:rPr>
                <w:rFonts w:ascii="Arial"/>
                <w:sz w:val="21"/>
              </w:rPr>
            </w:pPr>
          </w:p>
        </w:tc>
        <w:tc>
          <w:tcPr>
            <w:tcW w:w="1048" w:type="dxa"/>
            <w:vAlign w:val="top"/>
          </w:tcPr>
          <w:p>
            <w:pPr>
              <w:rPr>
                <w:rFonts w:ascii="Arial"/>
                <w:sz w:val="21"/>
              </w:rPr>
            </w:pPr>
          </w:p>
        </w:tc>
        <w:tc>
          <w:tcPr>
            <w:tcW w:w="1020" w:type="dxa"/>
            <w:vAlign w:val="top"/>
          </w:tcPr>
          <w:p>
            <w:pPr>
              <w:rPr>
                <w:rFonts w:ascii="Arial"/>
                <w:sz w:val="21"/>
              </w:rPr>
            </w:pPr>
          </w:p>
        </w:tc>
        <w:tc>
          <w:tcPr>
            <w:tcW w:w="986"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0" w:hRule="atLeast"/>
        </w:trPr>
        <w:tc>
          <w:tcPr>
            <w:tcW w:w="799" w:type="dxa"/>
            <w:vAlign w:val="top"/>
          </w:tcPr>
          <w:p>
            <w:pPr>
              <w:pStyle w:val="95"/>
              <w:spacing w:before="90" w:line="182" w:lineRule="auto"/>
              <w:ind w:left="118"/>
              <w:rPr>
                <w:sz w:val="21"/>
                <w:szCs w:val="21"/>
              </w:rPr>
            </w:pPr>
            <w:r>
              <w:rPr>
                <w:sz w:val="21"/>
                <w:szCs w:val="21"/>
              </w:rPr>
              <w:t>2</w:t>
            </w:r>
          </w:p>
        </w:tc>
        <w:tc>
          <w:tcPr>
            <w:tcW w:w="1185" w:type="dxa"/>
            <w:vAlign w:val="top"/>
          </w:tcPr>
          <w:p>
            <w:pPr>
              <w:rPr>
                <w:rFonts w:ascii="Arial"/>
                <w:sz w:val="21"/>
              </w:rPr>
            </w:pPr>
          </w:p>
        </w:tc>
        <w:tc>
          <w:tcPr>
            <w:tcW w:w="1168" w:type="dxa"/>
            <w:vAlign w:val="top"/>
          </w:tcPr>
          <w:p>
            <w:pPr>
              <w:rPr>
                <w:rFonts w:ascii="Arial"/>
                <w:sz w:val="21"/>
              </w:rPr>
            </w:pPr>
          </w:p>
        </w:tc>
        <w:tc>
          <w:tcPr>
            <w:tcW w:w="1048" w:type="dxa"/>
            <w:vAlign w:val="top"/>
          </w:tcPr>
          <w:p>
            <w:pPr>
              <w:rPr>
                <w:rFonts w:ascii="Arial"/>
                <w:sz w:val="21"/>
              </w:rPr>
            </w:pPr>
          </w:p>
        </w:tc>
        <w:tc>
          <w:tcPr>
            <w:tcW w:w="1048" w:type="dxa"/>
            <w:vAlign w:val="top"/>
          </w:tcPr>
          <w:p>
            <w:pPr>
              <w:rPr>
                <w:rFonts w:ascii="Arial"/>
                <w:sz w:val="21"/>
              </w:rPr>
            </w:pPr>
          </w:p>
        </w:tc>
        <w:tc>
          <w:tcPr>
            <w:tcW w:w="1048" w:type="dxa"/>
            <w:vAlign w:val="top"/>
          </w:tcPr>
          <w:p>
            <w:pPr>
              <w:rPr>
                <w:rFonts w:ascii="Arial"/>
                <w:sz w:val="21"/>
              </w:rPr>
            </w:pPr>
          </w:p>
        </w:tc>
        <w:tc>
          <w:tcPr>
            <w:tcW w:w="1020" w:type="dxa"/>
            <w:vAlign w:val="top"/>
          </w:tcPr>
          <w:p>
            <w:pPr>
              <w:rPr>
                <w:rFonts w:ascii="Arial"/>
                <w:sz w:val="21"/>
              </w:rPr>
            </w:pPr>
          </w:p>
        </w:tc>
        <w:tc>
          <w:tcPr>
            <w:tcW w:w="986" w:type="dxa"/>
            <w:vAlign w:val="top"/>
          </w:tcPr>
          <w:p>
            <w:pPr>
              <w:rPr>
                <w:rFonts w:ascii="Arial"/>
                <w:sz w:val="21"/>
              </w:rPr>
            </w:pPr>
          </w:p>
        </w:tc>
      </w:tr>
    </w:tbl>
    <w:p>
      <w:pPr>
        <w:pStyle w:val="16"/>
        <w:spacing w:line="303" w:lineRule="auto"/>
      </w:pPr>
    </w:p>
    <w:p>
      <w:pPr>
        <w:pStyle w:val="16"/>
        <w:spacing w:line="304" w:lineRule="auto"/>
      </w:pPr>
    </w:p>
    <w:p>
      <w:pPr>
        <w:pStyle w:val="16"/>
        <w:spacing w:line="304" w:lineRule="auto"/>
      </w:pPr>
    </w:p>
    <w:p>
      <w:pPr>
        <w:spacing w:before="68" w:line="264" w:lineRule="auto"/>
        <w:ind w:left="813" w:right="792" w:firstLine="632"/>
        <w:rPr>
          <w:rFonts w:ascii="宋体" w:hAnsi="宋体" w:eastAsia="宋体" w:cs="宋体"/>
          <w:sz w:val="21"/>
          <w:szCs w:val="21"/>
        </w:rPr>
      </w:pPr>
      <w:r>
        <w:rPr>
          <w:rFonts w:ascii="宋体" w:hAnsi="宋体" w:eastAsia="宋体" w:cs="宋体"/>
          <w:spacing w:val="-3"/>
          <w:sz w:val="21"/>
          <w:szCs w:val="21"/>
        </w:rPr>
        <w:t>我方承诺已知悉本项目为机器评审项目，机器管招投标系统投标工具将在投标文件中</w:t>
      </w:r>
      <w:r>
        <w:rPr>
          <w:rFonts w:ascii="宋体" w:hAnsi="宋体" w:eastAsia="宋体" w:cs="宋体"/>
          <w:spacing w:val="11"/>
          <w:sz w:val="21"/>
          <w:szCs w:val="21"/>
        </w:rPr>
        <w:t xml:space="preserve"> </w:t>
      </w:r>
      <w:r>
        <w:rPr>
          <w:rFonts w:ascii="宋体" w:hAnsi="宋体" w:eastAsia="宋体" w:cs="宋体"/>
          <w:spacing w:val="-13"/>
          <w:sz w:val="21"/>
          <w:szCs w:val="21"/>
        </w:rPr>
        <w:t>生成“智能评审数据”（详细格式见招标文件中投标文件格式章节中的“十、智能评审数据”</w:t>
      </w:r>
      <w:r>
        <w:rPr>
          <w:rFonts w:ascii="宋体" w:hAnsi="宋体" w:eastAsia="宋体" w:cs="宋体"/>
          <w:spacing w:val="-40"/>
          <w:w w:val="72"/>
          <w:sz w:val="21"/>
          <w:szCs w:val="21"/>
        </w:rPr>
        <w:t>），</w:t>
      </w:r>
      <w:r>
        <w:rPr>
          <w:rFonts w:ascii="宋体" w:hAnsi="宋体" w:eastAsia="宋体" w:cs="宋体"/>
          <w:spacing w:val="3"/>
          <w:sz w:val="21"/>
          <w:szCs w:val="21"/>
        </w:rPr>
        <w:t xml:space="preserve"> </w:t>
      </w:r>
      <w:r>
        <w:rPr>
          <w:rFonts w:ascii="宋体" w:hAnsi="宋体" w:eastAsia="宋体" w:cs="宋体"/>
          <w:spacing w:val="-2"/>
          <w:sz w:val="21"/>
          <w:szCs w:val="21"/>
        </w:rPr>
        <w:t>我方已对相关内容进行确认，并同意机器评审内容以</w:t>
      </w:r>
      <w:r>
        <w:rPr>
          <w:rFonts w:ascii="宋体" w:hAnsi="宋体" w:eastAsia="宋体" w:cs="宋体"/>
          <w:spacing w:val="-3"/>
          <w:sz w:val="21"/>
          <w:szCs w:val="21"/>
        </w:rPr>
        <w:t>机器管招投标系统投标工具从投标人主</w:t>
      </w:r>
      <w:r>
        <w:rPr>
          <w:rFonts w:ascii="宋体" w:hAnsi="宋体" w:eastAsia="宋体" w:cs="宋体"/>
          <w:sz w:val="21"/>
          <w:szCs w:val="21"/>
        </w:rPr>
        <w:t xml:space="preserve"> </w:t>
      </w:r>
      <w:r>
        <w:rPr>
          <w:rFonts w:ascii="宋体" w:hAnsi="宋体" w:eastAsia="宋体" w:cs="宋体"/>
          <w:spacing w:val="-5"/>
          <w:sz w:val="21"/>
          <w:szCs w:val="21"/>
        </w:rPr>
        <w:t>体库获取的智能评审数据为准，</w:t>
      </w:r>
      <w:r>
        <w:rPr>
          <w:rFonts w:ascii="宋体" w:hAnsi="宋体" w:eastAsia="宋体" w:cs="宋体"/>
          <w:spacing w:val="-45"/>
          <w:sz w:val="21"/>
          <w:szCs w:val="21"/>
        </w:rPr>
        <w:t xml:space="preserve"> </w:t>
      </w:r>
      <w:r>
        <w:rPr>
          <w:rFonts w:ascii="宋体" w:hAnsi="宋体" w:eastAsia="宋体" w:cs="宋体"/>
          <w:spacing w:val="-5"/>
          <w:sz w:val="21"/>
          <w:szCs w:val="21"/>
        </w:rPr>
        <w:t>若智能评审数据与投标</w:t>
      </w:r>
      <w:r>
        <w:rPr>
          <w:rFonts w:ascii="宋体" w:hAnsi="宋体" w:eastAsia="宋体" w:cs="宋体"/>
          <w:spacing w:val="-6"/>
          <w:sz w:val="21"/>
          <w:szCs w:val="21"/>
        </w:rPr>
        <w:t>人所上传相关支撑材料不一致，</w:t>
      </w:r>
      <w:r>
        <w:rPr>
          <w:rFonts w:ascii="宋体" w:hAnsi="宋体" w:eastAsia="宋体" w:cs="宋体"/>
          <w:spacing w:val="-47"/>
          <w:sz w:val="21"/>
          <w:szCs w:val="21"/>
        </w:rPr>
        <w:t xml:space="preserve"> </w:t>
      </w:r>
      <w:r>
        <w:rPr>
          <w:rFonts w:ascii="宋体" w:hAnsi="宋体" w:eastAsia="宋体" w:cs="宋体"/>
          <w:spacing w:val="-6"/>
          <w:sz w:val="21"/>
          <w:szCs w:val="21"/>
        </w:rPr>
        <w:t>以机</w:t>
      </w:r>
      <w:r>
        <w:rPr>
          <w:rFonts w:ascii="宋体" w:hAnsi="宋体" w:eastAsia="宋体" w:cs="宋体"/>
          <w:sz w:val="21"/>
          <w:szCs w:val="21"/>
        </w:rPr>
        <w:t xml:space="preserve"> </w:t>
      </w:r>
      <w:r>
        <w:rPr>
          <w:rFonts w:ascii="宋体" w:hAnsi="宋体" w:eastAsia="宋体" w:cs="宋体"/>
          <w:spacing w:val="-1"/>
          <w:sz w:val="21"/>
          <w:szCs w:val="21"/>
        </w:rPr>
        <w:t>器管招投标系统生成的智能评审数据为准。</w:t>
      </w:r>
    </w:p>
    <w:p>
      <w:pPr>
        <w:pStyle w:val="16"/>
        <w:spacing w:line="307" w:lineRule="auto"/>
      </w:pPr>
    </w:p>
    <w:p>
      <w:pPr>
        <w:pStyle w:val="16"/>
        <w:spacing w:line="308" w:lineRule="auto"/>
      </w:pPr>
    </w:p>
    <w:p>
      <w:pPr>
        <w:pStyle w:val="16"/>
        <w:spacing w:line="308" w:lineRule="auto"/>
      </w:pPr>
    </w:p>
    <w:p>
      <w:pPr>
        <w:spacing w:before="69" w:line="624" w:lineRule="exact"/>
        <w:ind w:firstLine="4708" w:firstLineChars="2200"/>
        <w:rPr>
          <w:rFonts w:ascii="宋体" w:hAnsi="宋体" w:eastAsia="宋体" w:cs="宋体"/>
          <w:sz w:val="21"/>
          <w:szCs w:val="21"/>
        </w:rPr>
      </w:pPr>
      <w:r>
        <w:rPr>
          <w:rFonts w:ascii="宋体" w:hAnsi="宋体" w:eastAsia="宋体" w:cs="宋体"/>
          <w:spacing w:val="2"/>
          <w:position w:val="32"/>
          <w:sz w:val="21"/>
          <w:szCs w:val="21"/>
        </w:rPr>
        <w:t>投标人</w:t>
      </w:r>
      <w:r>
        <w:rPr>
          <w:rFonts w:ascii="宋体" w:hAnsi="宋体" w:eastAsia="宋体" w:cs="宋体"/>
          <w:spacing w:val="-52"/>
          <w:w w:val="93"/>
          <w:position w:val="32"/>
          <w:sz w:val="21"/>
          <w:szCs w:val="21"/>
        </w:rPr>
        <w:t>：（</w:t>
      </w:r>
      <w:r>
        <w:rPr>
          <w:rFonts w:ascii="宋体" w:hAnsi="宋体" w:eastAsia="宋体" w:cs="宋体"/>
          <w:spacing w:val="2"/>
          <w:position w:val="32"/>
          <w:sz w:val="21"/>
          <w:szCs w:val="21"/>
        </w:rPr>
        <w:t>盖单位章）</w:t>
      </w:r>
    </w:p>
    <w:p>
      <w:pPr>
        <w:spacing w:before="1" w:line="220" w:lineRule="auto"/>
        <w:jc w:val="right"/>
        <w:rPr>
          <w:rFonts w:ascii="宋体" w:hAnsi="宋体" w:eastAsia="宋体" w:cs="宋体"/>
          <w:spacing w:val="-7"/>
          <w:sz w:val="21"/>
          <w:szCs w:val="21"/>
        </w:rPr>
      </w:pPr>
      <w:r>
        <w:rPr>
          <w:rFonts w:ascii="宋体" w:hAnsi="宋体" w:eastAsia="宋体" w:cs="宋体"/>
          <w:spacing w:val="-7"/>
          <w:sz w:val="21"/>
          <w:szCs w:val="21"/>
        </w:rPr>
        <w:t>年</w:t>
      </w:r>
      <w:r>
        <w:rPr>
          <w:rFonts w:ascii="宋体" w:hAnsi="宋体" w:eastAsia="宋体" w:cs="宋体"/>
          <w:spacing w:val="7"/>
          <w:sz w:val="21"/>
          <w:szCs w:val="21"/>
        </w:rPr>
        <w:t xml:space="preserve">  </w:t>
      </w:r>
      <w:r>
        <w:rPr>
          <w:rFonts w:ascii="宋体" w:hAnsi="宋体" w:eastAsia="宋体" w:cs="宋体"/>
          <w:spacing w:val="-7"/>
          <w:sz w:val="21"/>
          <w:szCs w:val="21"/>
        </w:rPr>
        <w:t>月</w:t>
      </w:r>
      <w:r>
        <w:rPr>
          <w:rFonts w:ascii="宋体" w:hAnsi="宋体" w:eastAsia="宋体" w:cs="宋体"/>
          <w:spacing w:val="21"/>
          <w:sz w:val="21"/>
          <w:szCs w:val="21"/>
        </w:rPr>
        <w:t xml:space="preserve">  </w:t>
      </w:r>
      <w:r>
        <w:rPr>
          <w:rFonts w:ascii="宋体" w:hAnsi="宋体" w:eastAsia="宋体" w:cs="宋体"/>
          <w:spacing w:val="-7"/>
          <w:sz w:val="21"/>
          <w:szCs w:val="21"/>
        </w:rPr>
        <w:t>日</w:t>
      </w:r>
    </w:p>
    <w:p>
      <w:pPr>
        <w:spacing w:before="1" w:line="220" w:lineRule="auto"/>
        <w:jc w:val="right"/>
        <w:rPr>
          <w:rFonts w:ascii="宋体" w:hAnsi="宋体" w:eastAsia="宋体" w:cs="宋体"/>
          <w:spacing w:val="-7"/>
          <w:sz w:val="21"/>
          <w:szCs w:val="21"/>
        </w:rPr>
      </w:pPr>
    </w:p>
    <w:p>
      <w:pPr>
        <w:spacing w:before="1" w:line="220" w:lineRule="auto"/>
        <w:jc w:val="right"/>
        <w:rPr>
          <w:rFonts w:ascii="宋体" w:hAnsi="宋体" w:eastAsia="宋体" w:cs="宋体"/>
          <w:spacing w:val="-7"/>
          <w:sz w:val="21"/>
          <w:szCs w:val="21"/>
        </w:rPr>
      </w:pPr>
    </w:p>
    <w:p>
      <w:pPr>
        <w:spacing w:before="1" w:line="220" w:lineRule="auto"/>
        <w:jc w:val="right"/>
        <w:rPr>
          <w:rFonts w:ascii="宋体" w:hAnsi="宋体" w:eastAsia="宋体" w:cs="宋体"/>
          <w:spacing w:val="-7"/>
          <w:sz w:val="21"/>
          <w:szCs w:val="21"/>
        </w:rPr>
      </w:pPr>
    </w:p>
    <w:p>
      <w:pPr>
        <w:spacing w:before="1" w:line="220" w:lineRule="auto"/>
        <w:jc w:val="right"/>
        <w:rPr>
          <w:rFonts w:ascii="宋体" w:hAnsi="宋体" w:eastAsia="宋体" w:cs="宋体"/>
          <w:spacing w:val="-7"/>
          <w:sz w:val="21"/>
          <w:szCs w:val="21"/>
        </w:rPr>
      </w:pPr>
    </w:p>
    <w:p>
      <w:pPr>
        <w:spacing w:before="1" w:line="220" w:lineRule="auto"/>
        <w:jc w:val="right"/>
        <w:rPr>
          <w:rFonts w:ascii="宋体" w:hAnsi="宋体" w:eastAsia="宋体" w:cs="宋体"/>
          <w:spacing w:val="-7"/>
          <w:sz w:val="21"/>
          <w:szCs w:val="21"/>
        </w:rPr>
      </w:pPr>
    </w:p>
    <w:p>
      <w:pPr>
        <w:spacing w:before="1" w:line="220" w:lineRule="auto"/>
        <w:jc w:val="right"/>
        <w:rPr>
          <w:rFonts w:ascii="宋体" w:hAnsi="宋体" w:eastAsia="宋体" w:cs="宋体"/>
          <w:spacing w:val="-7"/>
          <w:sz w:val="21"/>
          <w:szCs w:val="21"/>
        </w:rPr>
      </w:pPr>
    </w:p>
    <w:p>
      <w:pPr>
        <w:spacing w:before="120" w:beforeLines="50" w:after="240" w:afterLines="100" w:line="440" w:lineRule="exact"/>
        <w:rPr>
          <w:rFonts w:ascii="宋体" w:hAnsi="宋体"/>
          <w:color w:val="000000"/>
          <w:szCs w:val="21"/>
        </w:rPr>
      </w:pPr>
    </w:p>
    <w:p>
      <w:pPr>
        <w:spacing w:before="240" w:beforeLines="100" w:after="120" w:afterLines="50" w:line="440" w:lineRule="exact"/>
        <w:jc w:val="center"/>
        <w:outlineLvl w:val="2"/>
        <w:rPr>
          <w:rFonts w:ascii="黑体" w:hAnsi="宋体" w:eastAsia="黑体"/>
          <w:color w:val="000000"/>
          <w:sz w:val="28"/>
          <w:szCs w:val="28"/>
        </w:rPr>
      </w:pPr>
      <w:bookmarkStart w:id="1386" w:name="_Toc295812328"/>
      <w:bookmarkStart w:id="1387" w:name="_Toc290990845"/>
      <w:bookmarkStart w:id="1388" w:name="_Toc114222887"/>
      <w:r>
        <w:rPr>
          <w:rFonts w:hint="eastAsia" w:ascii="黑体" w:hAnsi="宋体" w:eastAsia="黑体"/>
          <w:color w:val="000000"/>
          <w:sz w:val="28"/>
          <w:szCs w:val="28"/>
        </w:rPr>
        <w:t>十</w:t>
      </w:r>
      <w:r>
        <w:rPr>
          <w:rFonts w:hint="eastAsia" w:ascii="黑体" w:hAnsi="宋体" w:eastAsia="黑体"/>
          <w:color w:val="000000"/>
          <w:sz w:val="28"/>
          <w:szCs w:val="28"/>
          <w:lang w:val="en-US" w:eastAsia="zh-CN"/>
        </w:rPr>
        <w:t>一</w:t>
      </w:r>
      <w:r>
        <w:rPr>
          <w:rFonts w:hint="eastAsia" w:ascii="黑体" w:hAnsi="宋体" w:eastAsia="黑体"/>
          <w:color w:val="000000"/>
          <w:sz w:val="28"/>
          <w:szCs w:val="28"/>
        </w:rPr>
        <w:t>、其他材料</w:t>
      </w:r>
      <w:bookmarkEnd w:id="1386"/>
      <w:bookmarkEnd w:id="1387"/>
      <w:bookmarkEnd w:id="1388"/>
    </w:p>
    <w:permEnd w:id="659"/>
    <w:p>
      <w:pPr>
        <w:rPr>
          <w:rFonts w:ascii="宋体" w:hAnsi="宋体"/>
          <w:color w:val="000000"/>
          <w:szCs w:val="21"/>
        </w:rPr>
      </w:pPr>
    </w:p>
    <w:sectPr>
      <w:pgSz w:w="11906" w:h="16838"/>
      <w:pgMar w:top="1588" w:right="1701" w:bottom="1418" w:left="1701" w:header="851" w:footer="851"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CD22942D-BB36-0908-26B2-6E6521AC2534}"/>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embedRegular r:id="rId2" w:fontKey="{E7C9B937-EAA5-3665-26B2-6E657D5AA1AD}"/>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mbria">
    <w:altName w:val="苹方-简"/>
    <w:panose1 w:val="02040503050406030204"/>
    <w:charset w:val="00"/>
    <w:family w:val="roman"/>
    <w:pitch w:val="default"/>
    <w:sig w:usb0="00000000" w:usb1="00000000" w:usb2="02000000" w:usb3="00000000" w:csb0="2000019F" w:csb1="00000000"/>
  </w:font>
  <w:font w:name="华文细黑">
    <w:altName w:val="黑体-简"/>
    <w:panose1 w:val="02010600040101010101"/>
    <w:charset w:val="86"/>
    <w:family w:val="auto"/>
    <w:pitch w:val="default"/>
    <w:sig w:usb0="00000000" w:usb1="00000000" w:usb2="00000000" w:usb3="00000000" w:csb0="0004009F" w:csb1="DFD70000"/>
  </w:font>
  <w:font w:name="等线">
    <w:altName w:val="汉仪中等线KW"/>
    <w:panose1 w:val="02010600030101010101"/>
    <w:charset w:val="86"/>
    <w:family w:val="auto"/>
    <w:pitch w:val="default"/>
    <w:sig w:usb0="00000000" w:usb1="00000000" w:usb2="00000016" w:usb3="00000000" w:csb0="0004000F" w:csb1="00000000"/>
  </w:font>
  <w:font w:name="MS Gothic">
    <w:panose1 w:val="020B0609070205080204"/>
    <w:charset w:val="80"/>
    <w:family w:val="modern"/>
    <w:pitch w:val="default"/>
    <w:sig w:usb0="E00002FF" w:usb1="6AC7FDFB" w:usb2="08000012" w:usb3="00000000" w:csb0="4002009F" w:csb1="DFD70000"/>
    <w:embedRegular r:id="rId3" w:fontKey="{A07623FD-1C1F-7C1C-26B2-6E653E143BC7}"/>
  </w:font>
  <w:font w:name="楷体">
    <w:altName w:val="汉仪楷体KW"/>
    <w:panose1 w:val="02010609060101010101"/>
    <w:charset w:val="86"/>
    <w:family w:val="modern"/>
    <w:pitch w:val="default"/>
    <w:sig w:usb0="00000000" w:usb1="00000000" w:usb2="00000016" w:usb3="00000000" w:csb0="00040001" w:csb1="00000000"/>
  </w:font>
  <w:font w:name="Helvetica">
    <w:panose1 w:val="00000000000000000000"/>
    <w:charset w:val="00"/>
    <w:family w:val="swiss"/>
    <w:pitch w:val="default"/>
    <w:sig w:usb0="E00002FF" w:usb1="5000785B" w:usb2="00000000" w:usb3="00000000" w:csb0="2000019F" w:csb1="4F010000"/>
  </w:font>
  <w:font w:name="仿宋">
    <w:altName w:val="方正仿宋_GBK"/>
    <w:panose1 w:val="02010609060101010101"/>
    <w:charset w:val="86"/>
    <w:family w:val="modern"/>
    <w:pitch w:val="default"/>
    <w:sig w:usb0="00000000" w:usb1="00000000" w:usb2="00000016" w:usb3="00000000" w:csb0="00040001" w:csb1="00000000"/>
  </w:font>
  <w:font w:name="微软雅黑">
    <w:altName w:val="汉仪旗黑"/>
    <w:panose1 w:val="020B0503020204020204"/>
    <w:charset w:val="86"/>
    <w:family w:val="swiss"/>
    <w:pitch w:val="default"/>
    <w:sig w:usb0="00000000" w:usb1="00000000" w:usb2="00000016" w:usb3="00000000" w:csb0="0004001F" w:csb1="00000000"/>
  </w:font>
  <w:font w:name="楷体_GB2312">
    <w:altName w:val="汉仪楷体简"/>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AFF" w:usb1="C000605B" w:usb2="00000029" w:usb3="00000000" w:csb0="200101FF" w:csb1="20280000"/>
    <w:embedRegular r:id="rId4" w:fontKey="{1A8E2C52-5947-74B7-26B2-6E651EDD7715}"/>
  </w:font>
  <w:font w:name="仿宋_GB2312">
    <w:altName w:val="方正仿宋_GBK"/>
    <w:panose1 w:val="00000000000000000000"/>
    <w:charset w:val="86"/>
    <w:family w:val="modern"/>
    <w:pitch w:val="default"/>
    <w:sig w:usb0="00000000" w:usb1="00000000" w:usb2="00000010" w:usb3="00000000" w:csb0="00040000" w:csb1="00000000"/>
  </w:font>
  <w:font w:name="方正小标宋简体">
    <w:panose1 w:val="02000000000000000000"/>
    <w:charset w:val="86"/>
    <w:family w:val="script"/>
    <w:pitch w:val="default"/>
    <w:sig w:usb0="00000001" w:usb1="08000000" w:usb2="00000000" w:usb3="00000000" w:csb0="00040000" w:csb1="00000000"/>
    <w:embedRegular r:id="rId5" w:fontKey="{C58AD271-DED1-A78B-26B2-6E659D30AB56}"/>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冬青黑体简体中文">
    <w:panose1 w:val="020B0300000000000000"/>
    <w:charset w:val="86"/>
    <w:family w:val="auto"/>
    <w:pitch w:val="default"/>
    <w:sig w:usb0="A00002BF" w:usb1="1ACF7CFA" w:usb2="00000016" w:usb3="00000000" w:csb0="00060007" w:csb1="00000000"/>
  </w:font>
  <w:font w:name="汉仪楷体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汉仪楷体简">
    <w:panose1 w:val="02010600000101010101"/>
    <w:charset w:val="86"/>
    <w:family w:val="auto"/>
    <w:pitch w:val="default"/>
    <w:sig w:usb0="00000001" w:usb1="080E0800" w:usb2="00000002" w:usb3="00000000" w:csb0="00040000" w:csb1="00000000"/>
  </w:font>
  <w:font w:name="汉仪旗黑">
    <w:panose1 w:val="00020600040101010101"/>
    <w:charset w:val="86"/>
    <w:family w:val="auto"/>
    <w:pitch w:val="default"/>
    <w:sig w:usb0="A00002BF" w:usb1="1ACF7CFA" w:usb2="00000016" w:usb3="00000000" w:csb0="0004009F" w:csb1="DFD70000"/>
  </w:font>
  <w:font w:name="宋体-简">
    <w:panose1 w:val="02010800040101010101"/>
    <w:charset w:val="86"/>
    <w:family w:val="auto"/>
    <w:pitch w:val="default"/>
    <w:sig w:usb0="00000001" w:usb1="080F0000" w:usb2="00000000"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苹方-简">
    <w:panose1 w:val="020B0400000000000000"/>
    <w:charset w:val="86"/>
    <w:family w:val="auto"/>
    <w:pitch w:val="default"/>
    <w:sig w:usb0="A00002FF" w:usb1="7ACFFDFB" w:usb2="00000017" w:usb3="00000000" w:csb0="00040001" w:csb1="00000000"/>
  </w:font>
  <w:font w:name="黑体-简">
    <w:panose1 w:val="02000000000000000000"/>
    <w:charset w:val="86"/>
    <w:family w:val="auto"/>
    <w:pitch w:val="default"/>
    <w:sig w:usb0="8000002F" w:usb1="0800004A" w:usb2="00000000" w:usb3="00000000" w:csb0="203E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1"/>
      <w:rPr>
        <w:rStyle w:val="40"/>
      </w:rPr>
    </w:pPr>
    <w:r>
      <w:rPr>
        <w:rStyle w:val="40"/>
      </w:rPr>
      <w:fldChar w:fldCharType="begin"/>
    </w:r>
    <w:r>
      <w:rPr>
        <w:rStyle w:val="40"/>
      </w:rPr>
      <w:instrText xml:space="preserve">PAGE  </w:instrText>
    </w:r>
    <w:r>
      <w:rPr>
        <w:rStyle w:val="40"/>
      </w:rPr>
      <w:fldChar w:fldCharType="separate"/>
    </w:r>
    <w:r>
      <w:rPr>
        <w:rStyle w:val="40"/>
      </w:rPr>
      <w:t>58</w:t>
    </w:r>
    <w:r>
      <w:rPr>
        <w:rStyle w:val="40"/>
      </w:rPr>
      <w:fldChar w:fldCharType="end"/>
    </w:r>
  </w:p>
  <w:p>
    <w:pPr>
      <w:pStyle w:val="24"/>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1"/>
      <w:rPr>
        <w:rStyle w:val="40"/>
        <w:rFonts w:ascii="仿宋_GB2312" w:eastAsia="仿宋_GB2312"/>
        <w:sz w:val="21"/>
        <w:szCs w:val="21"/>
      </w:rPr>
    </w:pPr>
    <w:r>
      <w:rPr>
        <w:rStyle w:val="40"/>
        <w:rFonts w:hint="eastAsia" w:ascii="仿宋_GB2312" w:eastAsia="仿宋_GB2312"/>
        <w:sz w:val="21"/>
        <w:szCs w:val="21"/>
      </w:rPr>
      <w:fldChar w:fldCharType="begin"/>
    </w:r>
    <w:r>
      <w:rPr>
        <w:rStyle w:val="40"/>
        <w:rFonts w:hint="eastAsia" w:ascii="仿宋_GB2312" w:eastAsia="仿宋_GB2312"/>
        <w:sz w:val="21"/>
        <w:szCs w:val="21"/>
      </w:rPr>
      <w:instrText xml:space="preserve">PAGE  </w:instrText>
    </w:r>
    <w:r>
      <w:rPr>
        <w:rStyle w:val="40"/>
        <w:rFonts w:hint="eastAsia" w:ascii="仿宋_GB2312" w:eastAsia="仿宋_GB2312"/>
        <w:sz w:val="21"/>
        <w:szCs w:val="21"/>
      </w:rPr>
      <w:fldChar w:fldCharType="separate"/>
    </w:r>
    <w:r>
      <w:rPr>
        <w:rStyle w:val="40"/>
        <w:rFonts w:ascii="仿宋_GB2312" w:eastAsia="仿宋_GB2312"/>
        <w:sz w:val="21"/>
        <w:szCs w:val="21"/>
      </w:rPr>
      <w:t>100</w:t>
    </w:r>
    <w:r>
      <w:rPr>
        <w:rStyle w:val="40"/>
        <w:rFonts w:hint="eastAsia" w:ascii="仿宋_GB2312" w:eastAsia="仿宋_GB2312"/>
        <w:sz w:val="21"/>
        <w:szCs w:val="21"/>
      </w:rPr>
      <w:fldChar w:fldCharType="end"/>
    </w:r>
  </w:p>
  <w:p>
    <w:pPr>
      <w:pStyle w:val="24"/>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1"/>
      <w:rPr>
        <w:rStyle w:val="40"/>
      </w:rPr>
    </w:pPr>
    <w:r>
      <w:rPr>
        <w:rStyle w:val="40"/>
      </w:rPr>
      <w:fldChar w:fldCharType="begin"/>
    </w:r>
    <w:r>
      <w:rPr>
        <w:rStyle w:val="40"/>
      </w:rPr>
      <w:instrText xml:space="preserve">PAGE  </w:instrText>
    </w:r>
    <w:r>
      <w:rPr>
        <w:rStyle w:val="40"/>
      </w:rPr>
      <w:fldChar w:fldCharType="end"/>
    </w:r>
  </w:p>
  <w:p>
    <w:pPr>
      <w:pStyle w:val="24"/>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1"/>
      <w:rPr>
        <w:rStyle w:val="40"/>
        <w:rFonts w:ascii="仿宋_GB2312" w:eastAsia="仿宋_GB2312"/>
        <w:sz w:val="21"/>
        <w:szCs w:val="21"/>
      </w:rPr>
    </w:pPr>
    <w:r>
      <w:rPr>
        <w:rStyle w:val="40"/>
        <w:rFonts w:hint="eastAsia" w:ascii="仿宋_GB2312" w:eastAsia="仿宋_GB2312"/>
        <w:sz w:val="21"/>
        <w:szCs w:val="21"/>
      </w:rPr>
      <w:fldChar w:fldCharType="begin"/>
    </w:r>
    <w:r>
      <w:rPr>
        <w:rStyle w:val="40"/>
        <w:rFonts w:hint="eastAsia" w:ascii="仿宋_GB2312" w:eastAsia="仿宋_GB2312"/>
        <w:sz w:val="21"/>
        <w:szCs w:val="21"/>
      </w:rPr>
      <w:instrText xml:space="preserve">PAGE  </w:instrText>
    </w:r>
    <w:r>
      <w:rPr>
        <w:rStyle w:val="40"/>
        <w:rFonts w:hint="eastAsia" w:ascii="仿宋_GB2312" w:eastAsia="仿宋_GB2312"/>
        <w:sz w:val="21"/>
        <w:szCs w:val="21"/>
      </w:rPr>
      <w:fldChar w:fldCharType="separate"/>
    </w:r>
    <w:r>
      <w:rPr>
        <w:rStyle w:val="40"/>
        <w:rFonts w:ascii="仿宋_GB2312" w:eastAsia="仿宋_GB2312"/>
        <w:sz w:val="21"/>
        <w:szCs w:val="21"/>
      </w:rPr>
      <w:t>246</w:t>
    </w:r>
    <w:r>
      <w:rPr>
        <w:rStyle w:val="40"/>
        <w:rFonts w:hint="eastAsia" w:ascii="仿宋_GB2312" w:eastAsia="仿宋_GB2312"/>
        <w:sz w:val="21"/>
        <w:szCs w:val="21"/>
      </w:rPr>
      <w:fldChar w:fldCharType="end"/>
    </w:r>
  </w:p>
  <w:p>
    <w:pPr>
      <w:pStyle w:val="24"/>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1"/>
      <w:rPr>
        <w:rStyle w:val="40"/>
      </w:rPr>
    </w:pPr>
    <w:r>
      <w:rPr>
        <w:rStyle w:val="40"/>
      </w:rPr>
      <w:fldChar w:fldCharType="begin"/>
    </w:r>
    <w:r>
      <w:rPr>
        <w:rStyle w:val="40"/>
      </w:rPr>
      <w:instrText xml:space="preserve">PAGE  </w:instrText>
    </w:r>
    <w:r>
      <w:rPr>
        <w:rStyle w:val="40"/>
      </w:rPr>
      <w:fldChar w:fldCharType="end"/>
    </w:r>
  </w:p>
  <w:p>
    <w:pPr>
      <w:pStyle w:val="24"/>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1"/>
      <w:rPr>
        <w:rStyle w:val="40"/>
      </w:rPr>
    </w:pPr>
    <w:r>
      <w:rPr>
        <w:rStyle w:val="40"/>
      </w:rPr>
      <w:fldChar w:fldCharType="begin"/>
    </w:r>
    <w:r>
      <w:rPr>
        <w:rStyle w:val="40"/>
      </w:rPr>
      <w:instrText xml:space="preserve">PAGE  </w:instrText>
    </w:r>
    <w:r>
      <w:rPr>
        <w:rStyle w:val="40"/>
      </w:rPr>
      <w:fldChar w:fldCharType="separate"/>
    </w:r>
    <w:r>
      <w:rPr>
        <w:rStyle w:val="40"/>
      </w:rPr>
      <w:t>339</w:t>
    </w:r>
    <w:r>
      <w:rPr>
        <w:rStyle w:val="40"/>
      </w:rPr>
      <w:fldChar w:fldCharType="end"/>
    </w:r>
  </w:p>
  <w:p>
    <w:pPr>
      <w:pStyle w:val="24"/>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1"/>
      <w:rPr>
        <w:rStyle w:val="40"/>
      </w:rPr>
    </w:pPr>
    <w:r>
      <w:rPr>
        <w:rStyle w:val="40"/>
      </w:rPr>
      <w:fldChar w:fldCharType="begin"/>
    </w:r>
    <w:r>
      <w:rPr>
        <w:rStyle w:val="40"/>
      </w:rPr>
      <w:instrText xml:space="preserve">PAGE  </w:instrText>
    </w:r>
    <w:r>
      <w:rPr>
        <w:rStyle w:val="40"/>
      </w:rPr>
      <w:fldChar w:fldCharType="end"/>
    </w:r>
  </w:p>
  <w:p>
    <w:pPr>
      <w:pStyle w:val="24"/>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1"/>
      <w:rPr>
        <w:rStyle w:val="40"/>
      </w:rPr>
    </w:pPr>
    <w:r>
      <w:rPr>
        <w:rStyle w:val="40"/>
      </w:rPr>
      <w:fldChar w:fldCharType="begin"/>
    </w:r>
    <w:r>
      <w:rPr>
        <w:rStyle w:val="40"/>
      </w:rPr>
      <w:instrText xml:space="preserve">PAGE  </w:instrText>
    </w:r>
    <w:r>
      <w:rPr>
        <w:rStyle w:val="40"/>
      </w:rPr>
      <w:fldChar w:fldCharType="separate"/>
    </w:r>
    <w:r>
      <w:rPr>
        <w:rStyle w:val="40"/>
      </w:rPr>
      <w:t>353</w:t>
    </w:r>
    <w:r>
      <w:rPr>
        <w:rStyle w:val="40"/>
      </w:rPr>
      <w:fldChar w:fldCharType="end"/>
    </w:r>
  </w:p>
  <w:p>
    <w:pPr>
      <w:pStyle w:val="24"/>
      <w:ind w:right="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1"/>
      <w:rPr>
        <w:rStyle w:val="40"/>
      </w:rPr>
    </w:pPr>
    <w:r>
      <w:rPr>
        <w:rStyle w:val="40"/>
      </w:rPr>
      <w:fldChar w:fldCharType="begin"/>
    </w:r>
    <w:r>
      <w:rPr>
        <w:rStyle w:val="40"/>
      </w:rPr>
      <w:instrText xml:space="preserve">PAGE  </w:instrText>
    </w:r>
    <w:r>
      <w:rPr>
        <w:rStyle w:val="40"/>
      </w:rPr>
      <w:fldChar w:fldCharType="end"/>
    </w:r>
  </w:p>
  <w:p>
    <w:pPr>
      <w:pStyle w:val="2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1"/>
      <w:rPr>
        <w:rStyle w:val="40"/>
      </w:rPr>
    </w:pPr>
    <w:r>
      <w:rPr>
        <w:rStyle w:val="40"/>
      </w:rPr>
      <w:fldChar w:fldCharType="begin"/>
    </w:r>
    <w:r>
      <w:rPr>
        <w:rStyle w:val="40"/>
      </w:rPr>
      <w:instrText xml:space="preserve">PAGE  </w:instrText>
    </w:r>
    <w:r>
      <w:rPr>
        <w:rStyle w:val="40"/>
      </w:rPr>
      <w:fldChar w:fldCharType="separate"/>
    </w:r>
    <w:r>
      <w:rPr>
        <w:rStyle w:val="40"/>
      </w:rPr>
      <w:t>1</w:t>
    </w:r>
    <w:r>
      <w:rPr>
        <w:rStyle w:val="40"/>
      </w:rPr>
      <w:fldChar w:fldCharType="end"/>
    </w:r>
  </w:p>
  <w:p>
    <w:pPr>
      <w:pStyle w:val="2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p>
  <w:p>
    <w:pPr>
      <w:pStyle w:val="24"/>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before="35" w:line="317" w:lineRule="exact"/>
      <w:ind w:left="4050"/>
      <w:rPr>
        <w:sz w:val="24"/>
        <w:szCs w:val="24"/>
      </w:rPr>
    </w:pPr>
    <w:r>
      <mc:AlternateContent>
        <mc:Choice Requires="wps">
          <w:drawing>
            <wp:anchor distT="0" distB="0" distL="114300" distR="114300" simplePos="0" relativeHeight="251677696" behindDoc="0" locked="0" layoutInCell="0" allowOverlap="1">
              <wp:simplePos x="0" y="0"/>
              <wp:positionH relativeFrom="page">
                <wp:posOffset>631825</wp:posOffset>
              </wp:positionH>
              <wp:positionV relativeFrom="page">
                <wp:posOffset>10053955</wp:posOffset>
              </wp:positionV>
              <wp:extent cx="6292850" cy="6350"/>
              <wp:effectExtent l="0" t="0" r="0" b="0"/>
              <wp:wrapNone/>
              <wp:docPr id="26" name="任意多边形 26"/>
              <wp:cNvGraphicFramePr/>
              <a:graphic xmlns:a="http://schemas.openxmlformats.org/drawingml/2006/main">
                <a:graphicData uri="http://schemas.microsoft.com/office/word/2010/wordprocessingShape">
                  <wps:wsp>
                    <wps:cNvSpPr/>
                    <wps:spPr>
                      <a:xfrm>
                        <a:off x="0" y="0"/>
                        <a:ext cx="6292850" cy="6350"/>
                      </a:xfrm>
                      <a:custGeom>
                        <a:avLst/>
                        <a:gdLst/>
                        <a:ahLst/>
                        <a:cxnLst/>
                        <a:pathLst>
                          <a:path w="9910" h="10">
                            <a:moveTo>
                              <a:pt x="5" y="5"/>
                            </a:moveTo>
                            <a:lnTo>
                              <a:pt x="4955" y="5"/>
                            </a:lnTo>
                            <a:moveTo>
                              <a:pt x="4955" y="5"/>
                            </a:moveTo>
                            <a:lnTo>
                              <a:pt x="9905" y="5"/>
                            </a:lnTo>
                          </a:path>
                        </a:pathLst>
                      </a:custGeom>
                      <a:noFill/>
                      <a:ln w="6350" cap="sq" cmpd="sng">
                        <a:solidFill>
                          <a:srgbClr val="000000"/>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49.75pt;margin-top:791.65pt;height:0.5pt;width:495.5pt;mso-position-horizontal-relative:page;mso-position-vertical-relative:page;z-index:251677696;mso-width-relative:page;mso-height-relative:page;" filled="f" stroked="t" coordsize="9910,10" o:allowincell="f" o:gfxdata="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BYAAABkcnMv&#10;UEsBAhQAFAAAAAgAh07iQLCEGhLcAAAADQEAAA8AAAAAAAAAAQAgAAAAOAAAAGRycy9kb3ducmV2&#10;LnhtbFBLAQIUABQAAAAIAIdO4kBMeFZrVAIAAPYEAAAOAAAAAAAAAAEAIAAAAEEBAABkcnMvZTJv&#10;RG9jLnhtbFBLBQYAAAAABgAGAFkBAAAHBgAAAAA=&#10;" path="m5,5l4955,5m4955,5l9905,5e">
              <v:fill on="f" focussize="0,0"/>
              <v:stroke weight="0.5pt" color="#000000" miterlimit="10" joinstyle="miter" endcap="square"/>
              <v:imagedata o:title=""/>
              <o:lock v:ext="edit" aspectratio="f"/>
            </v:shape>
          </w:pict>
        </mc:Fallback>
      </mc:AlternateContent>
    </w:r>
    <w:r>
      <w:rPr>
        <w:spacing w:val="-3"/>
        <w:position w:val="1"/>
        <w:sz w:val="24"/>
        <w:szCs w:val="24"/>
      </w:rPr>
      <w:t>41 /</w:t>
    </w:r>
    <w:r>
      <w:rPr>
        <w:spacing w:val="26"/>
        <w:position w:val="1"/>
        <w:sz w:val="24"/>
        <w:szCs w:val="24"/>
      </w:rPr>
      <w:t xml:space="preserve"> </w:t>
    </w:r>
    <w:r>
      <w:rPr>
        <w:spacing w:val="-3"/>
        <w:position w:val="1"/>
        <w:sz w:val="24"/>
        <w:szCs w:val="24"/>
      </w:rPr>
      <w:t>165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before="35" w:line="317" w:lineRule="exact"/>
      <w:ind w:left="4050"/>
      <w:rPr>
        <w:sz w:val="24"/>
        <w:szCs w:val="24"/>
      </w:rPr>
    </w:pPr>
    <w:r>
      <mc:AlternateContent>
        <mc:Choice Requires="wps">
          <w:drawing>
            <wp:anchor distT="0" distB="0" distL="114300" distR="114300" simplePos="0" relativeHeight="251678720" behindDoc="0" locked="0" layoutInCell="0" allowOverlap="1">
              <wp:simplePos x="0" y="0"/>
              <wp:positionH relativeFrom="page">
                <wp:posOffset>631825</wp:posOffset>
              </wp:positionH>
              <wp:positionV relativeFrom="page">
                <wp:posOffset>10053955</wp:posOffset>
              </wp:positionV>
              <wp:extent cx="6292850" cy="6350"/>
              <wp:effectExtent l="0" t="0" r="0" b="0"/>
              <wp:wrapNone/>
              <wp:docPr id="24" name="任意多边形 24"/>
              <wp:cNvGraphicFramePr/>
              <a:graphic xmlns:a="http://schemas.openxmlformats.org/drawingml/2006/main">
                <a:graphicData uri="http://schemas.microsoft.com/office/word/2010/wordprocessingShape">
                  <wps:wsp>
                    <wps:cNvSpPr/>
                    <wps:spPr>
                      <a:xfrm>
                        <a:off x="0" y="0"/>
                        <a:ext cx="6292850" cy="6350"/>
                      </a:xfrm>
                      <a:custGeom>
                        <a:avLst/>
                        <a:gdLst/>
                        <a:ahLst/>
                        <a:cxnLst/>
                        <a:pathLst>
                          <a:path w="9910" h="10">
                            <a:moveTo>
                              <a:pt x="5" y="5"/>
                            </a:moveTo>
                            <a:lnTo>
                              <a:pt x="4955" y="5"/>
                            </a:lnTo>
                            <a:moveTo>
                              <a:pt x="4955" y="5"/>
                            </a:moveTo>
                            <a:lnTo>
                              <a:pt x="9905" y="5"/>
                            </a:lnTo>
                          </a:path>
                        </a:pathLst>
                      </a:custGeom>
                      <a:noFill/>
                      <a:ln w="6350" cap="sq" cmpd="sng">
                        <a:solidFill>
                          <a:srgbClr val="000000"/>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49.75pt;margin-top:791.65pt;height:0.5pt;width:495.5pt;mso-position-horizontal-relative:page;mso-position-vertical-relative:page;z-index:251678720;mso-width-relative:page;mso-height-relative:page;" filled="f" stroked="t" coordsize="9910,10" o:allowincell="f" o:gfxdata="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BYAAABkcnMv&#10;UEsBAhQAFAAAAAgAh07iQLCEGhLcAAAADQEAAA8AAAAAAAAAAQAgAAAAOAAAAGRycy9kb3ducmV2&#10;LnhtbFBLAQIUABQAAAAIAIdO4kCAweWQVAIAAPYEAAAOAAAAAAAAAAEAIAAAAEEBAABkcnMvZTJv&#10;RG9jLnhtbFBLBQYAAAAABgAGAFkBAAAHBgAAAAA=&#10;" path="m5,5l4955,5m4955,5l9905,5e">
              <v:fill on="f" focussize="0,0"/>
              <v:stroke weight="0.5pt" color="#000000" miterlimit="10" joinstyle="miter" endcap="square"/>
              <v:imagedata o:title=""/>
              <o:lock v:ext="edit" aspectratio="f"/>
            </v:shape>
          </w:pict>
        </mc:Fallback>
      </mc:AlternateContent>
    </w:r>
    <w:r>
      <w:rPr>
        <w:spacing w:val="-3"/>
        <w:position w:val="1"/>
        <w:sz w:val="24"/>
        <w:szCs w:val="24"/>
      </w:rPr>
      <w:t>42 /</w:t>
    </w:r>
    <w:r>
      <w:rPr>
        <w:spacing w:val="26"/>
        <w:position w:val="1"/>
        <w:sz w:val="24"/>
        <w:szCs w:val="24"/>
      </w:rPr>
      <w:t xml:space="preserve"> </w:t>
    </w:r>
    <w:r>
      <w:rPr>
        <w:spacing w:val="-3"/>
        <w:position w:val="1"/>
        <w:sz w:val="24"/>
        <w:szCs w:val="24"/>
      </w:rPr>
      <w:t>165</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before="35" w:line="317" w:lineRule="exact"/>
      <w:ind w:left="4050"/>
      <w:rPr>
        <w:sz w:val="24"/>
        <w:szCs w:val="24"/>
      </w:rPr>
    </w:pPr>
    <w:r>
      <mc:AlternateContent>
        <mc:Choice Requires="wps">
          <w:drawing>
            <wp:anchor distT="0" distB="0" distL="114300" distR="114300" simplePos="0" relativeHeight="251679744" behindDoc="0" locked="0" layoutInCell="0" allowOverlap="1">
              <wp:simplePos x="0" y="0"/>
              <wp:positionH relativeFrom="page">
                <wp:posOffset>631825</wp:posOffset>
              </wp:positionH>
              <wp:positionV relativeFrom="page">
                <wp:posOffset>10053955</wp:posOffset>
              </wp:positionV>
              <wp:extent cx="6292850" cy="6350"/>
              <wp:effectExtent l="0" t="0" r="0" b="0"/>
              <wp:wrapNone/>
              <wp:docPr id="27" name="任意多边形 27"/>
              <wp:cNvGraphicFramePr/>
              <a:graphic xmlns:a="http://schemas.openxmlformats.org/drawingml/2006/main">
                <a:graphicData uri="http://schemas.microsoft.com/office/word/2010/wordprocessingShape">
                  <wps:wsp>
                    <wps:cNvSpPr/>
                    <wps:spPr>
                      <a:xfrm>
                        <a:off x="0" y="0"/>
                        <a:ext cx="6292850" cy="6350"/>
                      </a:xfrm>
                      <a:custGeom>
                        <a:avLst/>
                        <a:gdLst/>
                        <a:ahLst/>
                        <a:cxnLst/>
                        <a:pathLst>
                          <a:path w="9910" h="10">
                            <a:moveTo>
                              <a:pt x="5" y="5"/>
                            </a:moveTo>
                            <a:lnTo>
                              <a:pt x="4955" y="5"/>
                            </a:lnTo>
                            <a:moveTo>
                              <a:pt x="4955" y="5"/>
                            </a:moveTo>
                            <a:lnTo>
                              <a:pt x="9905" y="5"/>
                            </a:lnTo>
                          </a:path>
                        </a:pathLst>
                      </a:custGeom>
                      <a:noFill/>
                      <a:ln w="6350" cap="sq" cmpd="sng">
                        <a:solidFill>
                          <a:srgbClr val="000000"/>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49.75pt;margin-top:791.65pt;height:0.5pt;width:495.5pt;mso-position-horizontal-relative:page;mso-position-vertical-relative:page;z-index:251679744;mso-width-relative:page;mso-height-relative:page;" filled="f" stroked="t" coordsize="9910,10" o:allowincell="f" o:gfxdata="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BYAAABkcnMv&#10;UEsBAhQAFAAAAAgAh07iQLCEGhLcAAAADQEAAA8AAAAAAAAAAQAgAAAAOAAAAGRycy9kb3ducmV2&#10;LnhtbFBLAQIUABQAAAAIAIdO4kCqpI8WVAIAAPYEAAAOAAAAAAAAAAEAIAAAAEEBAABkcnMvZTJv&#10;RG9jLnhtbFBLBQYAAAAABgAGAFkBAAAHBgAAAAA=&#10;" path="m5,5l4955,5m4955,5l9905,5e">
              <v:fill on="f" focussize="0,0"/>
              <v:stroke weight="0.5pt" color="#000000" miterlimit="10" joinstyle="miter" endcap="square"/>
              <v:imagedata o:title=""/>
              <o:lock v:ext="edit" aspectratio="f"/>
            </v:shape>
          </w:pict>
        </mc:Fallback>
      </mc:AlternateContent>
    </w:r>
    <w:r>
      <w:rPr>
        <w:spacing w:val="-3"/>
        <w:position w:val="1"/>
        <w:sz w:val="24"/>
        <w:szCs w:val="24"/>
      </w:rPr>
      <w:t>44 /</w:t>
    </w:r>
    <w:r>
      <w:rPr>
        <w:spacing w:val="26"/>
        <w:position w:val="1"/>
        <w:sz w:val="24"/>
        <w:szCs w:val="24"/>
      </w:rPr>
      <w:t xml:space="preserve"> </w:t>
    </w:r>
    <w:r>
      <w:rPr>
        <w:spacing w:val="-3"/>
        <w:position w:val="1"/>
        <w:sz w:val="24"/>
        <w:szCs w:val="24"/>
      </w:rPr>
      <w:t>165</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before="35" w:line="317" w:lineRule="exact"/>
      <w:ind w:left="4050"/>
      <w:rPr>
        <w:sz w:val="24"/>
        <w:szCs w:val="24"/>
      </w:rPr>
    </w:pPr>
    <w:r>
      <mc:AlternateContent>
        <mc:Choice Requires="wps">
          <w:drawing>
            <wp:anchor distT="0" distB="0" distL="114300" distR="114300" simplePos="0" relativeHeight="251680768" behindDoc="0" locked="0" layoutInCell="0" allowOverlap="1">
              <wp:simplePos x="0" y="0"/>
              <wp:positionH relativeFrom="page">
                <wp:posOffset>631825</wp:posOffset>
              </wp:positionH>
              <wp:positionV relativeFrom="page">
                <wp:posOffset>10053955</wp:posOffset>
              </wp:positionV>
              <wp:extent cx="6292850" cy="6350"/>
              <wp:effectExtent l="0" t="0" r="0" b="0"/>
              <wp:wrapNone/>
              <wp:docPr id="29" name="任意多边形 29"/>
              <wp:cNvGraphicFramePr/>
              <a:graphic xmlns:a="http://schemas.openxmlformats.org/drawingml/2006/main">
                <a:graphicData uri="http://schemas.microsoft.com/office/word/2010/wordprocessingShape">
                  <wps:wsp>
                    <wps:cNvSpPr/>
                    <wps:spPr>
                      <a:xfrm>
                        <a:off x="0" y="0"/>
                        <a:ext cx="6292850" cy="6350"/>
                      </a:xfrm>
                      <a:custGeom>
                        <a:avLst/>
                        <a:gdLst/>
                        <a:ahLst/>
                        <a:cxnLst/>
                        <a:pathLst>
                          <a:path w="9910" h="10">
                            <a:moveTo>
                              <a:pt x="5" y="5"/>
                            </a:moveTo>
                            <a:lnTo>
                              <a:pt x="4955" y="5"/>
                            </a:lnTo>
                            <a:moveTo>
                              <a:pt x="4955" y="5"/>
                            </a:moveTo>
                            <a:lnTo>
                              <a:pt x="9905" y="5"/>
                            </a:lnTo>
                          </a:path>
                        </a:pathLst>
                      </a:custGeom>
                      <a:noFill/>
                      <a:ln w="6350" cap="sq" cmpd="sng">
                        <a:solidFill>
                          <a:srgbClr val="000000"/>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49.75pt;margin-top:791.65pt;height:0.5pt;width:495.5pt;mso-position-horizontal-relative:page;mso-position-vertical-relative:page;z-index:251680768;mso-width-relative:page;mso-height-relative:page;" filled="f" stroked="t" coordsize="9910,10" o:allowincell="f" o:gfxdata="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BYAAABkcnMv&#10;UEsBAhQAFAAAAAgAh07iQLCEGhLcAAAADQEAAA8AAAAAAAAAAQAgAAAAOAAAAGRycy9kb3ducmV2&#10;LnhtbFBLAQIUABQAAAAIAIdO4kANgwaZVAIAAPYEAAAOAAAAAAAAAAEAIAAAAEEBAABkcnMvZTJv&#10;RG9jLnhtbFBLBQYAAAAABgAGAFkBAAAHBgAAAAA=&#10;" path="m5,5l4955,5m4955,5l9905,5e">
              <v:fill on="f" focussize="0,0"/>
              <v:stroke weight="0.5pt" color="#000000" miterlimit="10" joinstyle="miter" endcap="square"/>
              <v:imagedata o:title=""/>
              <o:lock v:ext="edit" aspectratio="f"/>
            </v:shape>
          </w:pict>
        </mc:Fallback>
      </mc:AlternateContent>
    </w:r>
    <w:r>
      <w:rPr>
        <w:spacing w:val="-3"/>
        <w:position w:val="1"/>
        <w:sz w:val="24"/>
        <w:szCs w:val="24"/>
      </w:rPr>
      <w:t>45 /</w:t>
    </w:r>
    <w:r>
      <w:rPr>
        <w:spacing w:val="26"/>
        <w:position w:val="1"/>
        <w:sz w:val="24"/>
        <w:szCs w:val="24"/>
      </w:rPr>
      <w:t xml:space="preserve"> </w:t>
    </w:r>
    <w:r>
      <w:rPr>
        <w:spacing w:val="-3"/>
        <w:position w:val="1"/>
        <w:sz w:val="24"/>
        <w:szCs w:val="24"/>
      </w:rPr>
      <w:t>165</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before="35" w:line="317" w:lineRule="exact"/>
      <w:ind w:left="4050"/>
      <w:rPr>
        <w:sz w:val="24"/>
        <w:szCs w:val="24"/>
      </w:rPr>
    </w:pPr>
    <w:r>
      <mc:AlternateContent>
        <mc:Choice Requires="wps">
          <w:drawing>
            <wp:anchor distT="0" distB="0" distL="114300" distR="114300" simplePos="0" relativeHeight="251681792" behindDoc="0" locked="0" layoutInCell="0" allowOverlap="1">
              <wp:simplePos x="0" y="0"/>
              <wp:positionH relativeFrom="page">
                <wp:posOffset>631825</wp:posOffset>
              </wp:positionH>
              <wp:positionV relativeFrom="page">
                <wp:posOffset>10053955</wp:posOffset>
              </wp:positionV>
              <wp:extent cx="6292850" cy="6350"/>
              <wp:effectExtent l="0" t="0" r="0" b="0"/>
              <wp:wrapNone/>
              <wp:docPr id="30" name="任意多边形 30"/>
              <wp:cNvGraphicFramePr/>
              <a:graphic xmlns:a="http://schemas.openxmlformats.org/drawingml/2006/main">
                <a:graphicData uri="http://schemas.microsoft.com/office/word/2010/wordprocessingShape">
                  <wps:wsp>
                    <wps:cNvSpPr/>
                    <wps:spPr>
                      <a:xfrm>
                        <a:off x="0" y="0"/>
                        <a:ext cx="6292850" cy="6350"/>
                      </a:xfrm>
                      <a:custGeom>
                        <a:avLst/>
                        <a:gdLst/>
                        <a:ahLst/>
                        <a:cxnLst/>
                        <a:pathLst>
                          <a:path w="9910" h="10">
                            <a:moveTo>
                              <a:pt x="5" y="5"/>
                            </a:moveTo>
                            <a:lnTo>
                              <a:pt x="4955" y="5"/>
                            </a:lnTo>
                            <a:moveTo>
                              <a:pt x="4955" y="5"/>
                            </a:moveTo>
                            <a:lnTo>
                              <a:pt x="9905" y="5"/>
                            </a:lnTo>
                          </a:path>
                        </a:pathLst>
                      </a:custGeom>
                      <a:noFill/>
                      <a:ln w="6350" cap="sq" cmpd="sng">
                        <a:solidFill>
                          <a:srgbClr val="000000"/>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49.75pt;margin-top:791.65pt;height:0.5pt;width:495.5pt;mso-position-horizontal-relative:page;mso-position-vertical-relative:page;z-index:251681792;mso-width-relative:page;mso-height-relative:page;" filled="f" stroked="t" coordsize="9910,10" o:allowincell="f" o:gfxdata="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BYAAABkcnMv&#10;UEsBAhQAFAAAAAgAh07iQLCEGhLcAAAADQEAAA8AAAAAAAAAAQAgAAAAOAAAAGRycy9kb3ducmV2&#10;LnhtbFBLAQIUABQAAAAIAIdO4kDIKuf1VAIAAPYEAAAOAAAAAAAAAAEAIAAAAEEBAABkcnMvZTJv&#10;RG9jLnhtbFBLBQYAAAAABgAGAFkBAAAHBgAAAAA=&#10;" path="m5,5l4955,5m4955,5l9905,5e">
              <v:fill on="f" focussize="0,0"/>
              <v:stroke weight="0.5pt" color="#000000" miterlimit="10" joinstyle="miter" endcap="square"/>
              <v:imagedata o:title=""/>
              <o:lock v:ext="edit" aspectratio="f"/>
            </v:shape>
          </w:pict>
        </mc:Fallback>
      </mc:AlternateContent>
    </w:r>
    <w:r>
      <w:rPr>
        <w:spacing w:val="-3"/>
        <w:position w:val="1"/>
        <w:sz w:val="24"/>
        <w:szCs w:val="24"/>
      </w:rPr>
      <w:t>46 /</w:t>
    </w:r>
    <w:r>
      <w:rPr>
        <w:spacing w:val="26"/>
        <w:position w:val="1"/>
        <w:sz w:val="24"/>
        <w:szCs w:val="24"/>
      </w:rPr>
      <w:t xml:space="preserve"> </w:t>
    </w:r>
    <w:r>
      <w:rPr>
        <w:spacing w:val="-3"/>
        <w:position w:val="1"/>
        <w:sz w:val="24"/>
        <w:szCs w:val="24"/>
      </w:rPr>
      <w:t>165</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line="104" w:lineRule="auto"/>
      <w:rPr>
        <w:sz w:val="2"/>
      </w:rPr>
    </w:pPr>
    <w:r>
      <mc:AlternateContent>
        <mc:Choice Requires="wps">
          <w:drawing>
            <wp:anchor distT="0" distB="0" distL="114300" distR="114300" simplePos="0" relativeHeight="251674624" behindDoc="0" locked="0" layoutInCell="0" allowOverlap="1">
              <wp:simplePos x="0" y="0"/>
              <wp:positionH relativeFrom="page">
                <wp:posOffset>631825</wp:posOffset>
              </wp:positionH>
              <wp:positionV relativeFrom="page">
                <wp:posOffset>427355</wp:posOffset>
              </wp:positionV>
              <wp:extent cx="6292850" cy="6350"/>
              <wp:effectExtent l="0" t="0" r="0" b="0"/>
              <wp:wrapNone/>
              <wp:docPr id="22" name="矩形 22"/>
              <wp:cNvGraphicFramePr/>
              <a:graphic xmlns:a="http://schemas.openxmlformats.org/drawingml/2006/main">
                <a:graphicData uri="http://schemas.microsoft.com/office/word/2010/wordprocessingShape">
                  <wps:wsp>
                    <wps:cNvSpPr/>
                    <wps:spPr>
                      <a:xfrm>
                        <a:off x="0" y="0"/>
                        <a:ext cx="6292850" cy="6350"/>
                      </a:xfrm>
                      <a:prstGeom prst="rect">
                        <a:avLst/>
                      </a:prstGeom>
                      <a:solidFill>
                        <a:srgbClr val="000000">
                          <a:alpha val="50197"/>
                        </a:srgbClr>
                      </a:solidFill>
                      <a:ln>
                        <a:noFill/>
                      </a:ln>
                    </wps:spPr>
                    <wps:bodyPr upright="1"/>
                  </wps:wsp>
                </a:graphicData>
              </a:graphic>
            </wp:anchor>
          </w:drawing>
        </mc:Choice>
        <mc:Fallback>
          <w:pict>
            <v:rect id="_x0000_s1026" o:spid="_x0000_s1026" o:spt="1" style="position:absolute;left:0pt;margin-left:49.75pt;margin-top:33.65pt;height:0.5pt;width:495.5pt;mso-position-horizontal-relative:page;mso-position-vertical-relative:page;z-index:251674624;mso-width-relative:page;mso-height-relative:page;" fillcolor="#000000" filled="t" stroked="f" coordsize="21600,21600" o:allowincell="f" o:gfxdata="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WAAAAZHJzL1BLAQIUABQAAAAIAIdO4kDYZG+J2AAAAAkBAAAPAAAAAAAAAAEAIAAA&#10;ADgAAABkcnMvZG93bnJldi54bWxQSwECFAAUAAAACACHTuJA46CWE70BAACAAwAADgAAAAAAAAAB&#10;ACAAAAA9AQAAZHJzL2Uyb0RvYy54bWxQSwUGAAAAAAYABgBZAQAAbAUAAAAA&#10;">
              <v:fill on="t" opacity="32897f" focussize="0,0"/>
              <v:stroke on="f"/>
              <v:imagedata o:title=""/>
              <o:lock v:ext="edit" aspectratio="f"/>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7B52F8"/>
    <w:multiLevelType w:val="singleLevel"/>
    <w:tmpl w:val="FC7B52F8"/>
    <w:lvl w:ilvl="0" w:tentative="0">
      <w:start w:val="2"/>
      <w:numFmt w:val="decimal"/>
      <w:lvlText w:val="%1."/>
      <w:lvlJc w:val="left"/>
      <w:pPr>
        <w:tabs>
          <w:tab w:val="left" w:pos="312"/>
        </w:tabs>
      </w:pPr>
    </w:lvl>
  </w:abstractNum>
  <w:abstractNum w:abstractNumId="1">
    <w:nsid w:val="00000006"/>
    <w:multiLevelType w:val="singleLevel"/>
    <w:tmpl w:val="00000006"/>
    <w:lvl w:ilvl="0" w:tentative="0">
      <w:start w:val="1"/>
      <w:numFmt w:val="decimal"/>
      <w:suff w:val="nothing"/>
      <w:lvlText w:val="（%1）"/>
      <w:lvlJc w:val="left"/>
      <w:rPr>
        <w:rFonts w:cs="Times New Roman"/>
      </w:rPr>
    </w:lvl>
  </w:abstractNum>
  <w:abstractNum w:abstractNumId="2">
    <w:nsid w:val="5FA2EE44"/>
    <w:multiLevelType w:val="singleLevel"/>
    <w:tmpl w:val="5FA2EE44"/>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NotDisplayPageBoundaries w:val="1"/>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VmNDRhZmIyNmI0MWUxMDYwYzVhMzk5NzUxZDVhYTAifQ=="/>
  </w:docVars>
  <w:rsids>
    <w:rsidRoot w:val="001345F8"/>
    <w:rsid w:val="00000326"/>
    <w:rsid w:val="00001A44"/>
    <w:rsid w:val="000030B5"/>
    <w:rsid w:val="000049DE"/>
    <w:rsid w:val="0000554F"/>
    <w:rsid w:val="00006B81"/>
    <w:rsid w:val="00010CB7"/>
    <w:rsid w:val="00014F55"/>
    <w:rsid w:val="0001580E"/>
    <w:rsid w:val="000160BA"/>
    <w:rsid w:val="0001616B"/>
    <w:rsid w:val="00016AAD"/>
    <w:rsid w:val="0001748A"/>
    <w:rsid w:val="00020528"/>
    <w:rsid w:val="00020E7B"/>
    <w:rsid w:val="000215A6"/>
    <w:rsid w:val="00023B5E"/>
    <w:rsid w:val="000249A8"/>
    <w:rsid w:val="00026D38"/>
    <w:rsid w:val="000351AD"/>
    <w:rsid w:val="00035C74"/>
    <w:rsid w:val="0004001D"/>
    <w:rsid w:val="000422BE"/>
    <w:rsid w:val="00044AB0"/>
    <w:rsid w:val="00046620"/>
    <w:rsid w:val="000466EA"/>
    <w:rsid w:val="000467C6"/>
    <w:rsid w:val="00050228"/>
    <w:rsid w:val="00054CB6"/>
    <w:rsid w:val="000555F1"/>
    <w:rsid w:val="000561CA"/>
    <w:rsid w:val="00057D07"/>
    <w:rsid w:val="00062024"/>
    <w:rsid w:val="00062B8C"/>
    <w:rsid w:val="00062CC5"/>
    <w:rsid w:val="00062EEB"/>
    <w:rsid w:val="00063D63"/>
    <w:rsid w:val="000662EC"/>
    <w:rsid w:val="00071DB3"/>
    <w:rsid w:val="00072A2C"/>
    <w:rsid w:val="00073076"/>
    <w:rsid w:val="000747C8"/>
    <w:rsid w:val="00074BE6"/>
    <w:rsid w:val="00076BEE"/>
    <w:rsid w:val="00083BFB"/>
    <w:rsid w:val="00083D50"/>
    <w:rsid w:val="000855FB"/>
    <w:rsid w:val="00085885"/>
    <w:rsid w:val="00086F3F"/>
    <w:rsid w:val="00087017"/>
    <w:rsid w:val="00091185"/>
    <w:rsid w:val="00091A19"/>
    <w:rsid w:val="00092D85"/>
    <w:rsid w:val="00094817"/>
    <w:rsid w:val="00095A2C"/>
    <w:rsid w:val="00096827"/>
    <w:rsid w:val="000A0FF7"/>
    <w:rsid w:val="000A2D3F"/>
    <w:rsid w:val="000A342B"/>
    <w:rsid w:val="000A41F3"/>
    <w:rsid w:val="000A6B0F"/>
    <w:rsid w:val="000A6DFC"/>
    <w:rsid w:val="000A7EB3"/>
    <w:rsid w:val="000B3F22"/>
    <w:rsid w:val="000B4802"/>
    <w:rsid w:val="000C290F"/>
    <w:rsid w:val="000C3216"/>
    <w:rsid w:val="000C5C0E"/>
    <w:rsid w:val="000C6369"/>
    <w:rsid w:val="000C6D1C"/>
    <w:rsid w:val="000D00FE"/>
    <w:rsid w:val="000D0DE8"/>
    <w:rsid w:val="000D1410"/>
    <w:rsid w:val="000D15C5"/>
    <w:rsid w:val="000D2A90"/>
    <w:rsid w:val="000D472F"/>
    <w:rsid w:val="000D5597"/>
    <w:rsid w:val="000D79F2"/>
    <w:rsid w:val="000D7AEC"/>
    <w:rsid w:val="000E000C"/>
    <w:rsid w:val="000E2719"/>
    <w:rsid w:val="000E49A9"/>
    <w:rsid w:val="000E4FC4"/>
    <w:rsid w:val="000E5795"/>
    <w:rsid w:val="000E5C69"/>
    <w:rsid w:val="000E66D4"/>
    <w:rsid w:val="000E7125"/>
    <w:rsid w:val="000F1316"/>
    <w:rsid w:val="000F1FE5"/>
    <w:rsid w:val="000F46E3"/>
    <w:rsid w:val="000F5609"/>
    <w:rsid w:val="000F56EB"/>
    <w:rsid w:val="000F6BF2"/>
    <w:rsid w:val="000F7C00"/>
    <w:rsid w:val="001004D5"/>
    <w:rsid w:val="001072AA"/>
    <w:rsid w:val="001072AD"/>
    <w:rsid w:val="001076CC"/>
    <w:rsid w:val="00107CAC"/>
    <w:rsid w:val="001116D5"/>
    <w:rsid w:val="00111A35"/>
    <w:rsid w:val="00114CD8"/>
    <w:rsid w:val="00115E4A"/>
    <w:rsid w:val="00116322"/>
    <w:rsid w:val="00120C07"/>
    <w:rsid w:val="001227FC"/>
    <w:rsid w:val="00122D6C"/>
    <w:rsid w:val="00124307"/>
    <w:rsid w:val="00124CBB"/>
    <w:rsid w:val="0012623D"/>
    <w:rsid w:val="0012706B"/>
    <w:rsid w:val="001308AA"/>
    <w:rsid w:val="00132D86"/>
    <w:rsid w:val="00133BD7"/>
    <w:rsid w:val="001345F8"/>
    <w:rsid w:val="001361D7"/>
    <w:rsid w:val="00137969"/>
    <w:rsid w:val="00140BF1"/>
    <w:rsid w:val="00145645"/>
    <w:rsid w:val="00146F85"/>
    <w:rsid w:val="00151FF6"/>
    <w:rsid w:val="00152433"/>
    <w:rsid w:val="00153D1C"/>
    <w:rsid w:val="00154DB5"/>
    <w:rsid w:val="00156AA4"/>
    <w:rsid w:val="00160987"/>
    <w:rsid w:val="0016101C"/>
    <w:rsid w:val="00162EBD"/>
    <w:rsid w:val="001676FB"/>
    <w:rsid w:val="00172969"/>
    <w:rsid w:val="0017351A"/>
    <w:rsid w:val="001753C9"/>
    <w:rsid w:val="001830FF"/>
    <w:rsid w:val="001879A7"/>
    <w:rsid w:val="00187E09"/>
    <w:rsid w:val="00190289"/>
    <w:rsid w:val="001933F4"/>
    <w:rsid w:val="001948A8"/>
    <w:rsid w:val="00196480"/>
    <w:rsid w:val="001A109E"/>
    <w:rsid w:val="001A27A3"/>
    <w:rsid w:val="001A3113"/>
    <w:rsid w:val="001A5850"/>
    <w:rsid w:val="001A7514"/>
    <w:rsid w:val="001B12CB"/>
    <w:rsid w:val="001B1F5E"/>
    <w:rsid w:val="001B216E"/>
    <w:rsid w:val="001B3D80"/>
    <w:rsid w:val="001B4A19"/>
    <w:rsid w:val="001B4ED1"/>
    <w:rsid w:val="001B69E3"/>
    <w:rsid w:val="001B6C16"/>
    <w:rsid w:val="001C3F37"/>
    <w:rsid w:val="001C4388"/>
    <w:rsid w:val="001C7245"/>
    <w:rsid w:val="001D2029"/>
    <w:rsid w:val="001D580B"/>
    <w:rsid w:val="001E3673"/>
    <w:rsid w:val="001E3D2B"/>
    <w:rsid w:val="001E4228"/>
    <w:rsid w:val="001E4533"/>
    <w:rsid w:val="001F036B"/>
    <w:rsid w:val="001F0A49"/>
    <w:rsid w:val="001F27BC"/>
    <w:rsid w:val="001F2A1B"/>
    <w:rsid w:val="001F43A9"/>
    <w:rsid w:val="00202458"/>
    <w:rsid w:val="00202AD9"/>
    <w:rsid w:val="00202B30"/>
    <w:rsid w:val="00202F40"/>
    <w:rsid w:val="0020364B"/>
    <w:rsid w:val="0020399B"/>
    <w:rsid w:val="002041DA"/>
    <w:rsid w:val="0020438E"/>
    <w:rsid w:val="002044F0"/>
    <w:rsid w:val="002056CA"/>
    <w:rsid w:val="00206330"/>
    <w:rsid w:val="002072CD"/>
    <w:rsid w:val="0020798A"/>
    <w:rsid w:val="0021251D"/>
    <w:rsid w:val="00212A3D"/>
    <w:rsid w:val="0021531D"/>
    <w:rsid w:val="00215FA3"/>
    <w:rsid w:val="00221252"/>
    <w:rsid w:val="002212F9"/>
    <w:rsid w:val="0022165D"/>
    <w:rsid w:val="002216CA"/>
    <w:rsid w:val="00222063"/>
    <w:rsid w:val="00223235"/>
    <w:rsid w:val="0022346D"/>
    <w:rsid w:val="0022385A"/>
    <w:rsid w:val="0022624C"/>
    <w:rsid w:val="002276D3"/>
    <w:rsid w:val="00230B82"/>
    <w:rsid w:val="00235708"/>
    <w:rsid w:val="00243817"/>
    <w:rsid w:val="00245059"/>
    <w:rsid w:val="002468ED"/>
    <w:rsid w:val="00250651"/>
    <w:rsid w:val="00252E81"/>
    <w:rsid w:val="002536FE"/>
    <w:rsid w:val="00257236"/>
    <w:rsid w:val="002603DB"/>
    <w:rsid w:val="00261BF8"/>
    <w:rsid w:val="00262576"/>
    <w:rsid w:val="00263B93"/>
    <w:rsid w:val="00264E7D"/>
    <w:rsid w:val="0026774D"/>
    <w:rsid w:val="00267A83"/>
    <w:rsid w:val="00267EAC"/>
    <w:rsid w:val="00271E9C"/>
    <w:rsid w:val="00272799"/>
    <w:rsid w:val="00272EAF"/>
    <w:rsid w:val="00276972"/>
    <w:rsid w:val="0027705D"/>
    <w:rsid w:val="00277111"/>
    <w:rsid w:val="0027713A"/>
    <w:rsid w:val="00281A44"/>
    <w:rsid w:val="00291C80"/>
    <w:rsid w:val="00296D2D"/>
    <w:rsid w:val="002A16D0"/>
    <w:rsid w:val="002A3B62"/>
    <w:rsid w:val="002A4ECD"/>
    <w:rsid w:val="002A6102"/>
    <w:rsid w:val="002A7F2C"/>
    <w:rsid w:val="002B2041"/>
    <w:rsid w:val="002B2042"/>
    <w:rsid w:val="002B3197"/>
    <w:rsid w:val="002B48AF"/>
    <w:rsid w:val="002C7CB3"/>
    <w:rsid w:val="002D488A"/>
    <w:rsid w:val="002D5194"/>
    <w:rsid w:val="002D5FA9"/>
    <w:rsid w:val="002D6EFF"/>
    <w:rsid w:val="002D759C"/>
    <w:rsid w:val="002E1578"/>
    <w:rsid w:val="002E28C6"/>
    <w:rsid w:val="002E436C"/>
    <w:rsid w:val="002E4ED1"/>
    <w:rsid w:val="002F02E5"/>
    <w:rsid w:val="002F40B7"/>
    <w:rsid w:val="002F4543"/>
    <w:rsid w:val="002F497B"/>
    <w:rsid w:val="002F4F25"/>
    <w:rsid w:val="002F5BE1"/>
    <w:rsid w:val="002F7DA7"/>
    <w:rsid w:val="00300534"/>
    <w:rsid w:val="003011D0"/>
    <w:rsid w:val="003019B7"/>
    <w:rsid w:val="00304F3B"/>
    <w:rsid w:val="00307CF7"/>
    <w:rsid w:val="00310458"/>
    <w:rsid w:val="00313C8C"/>
    <w:rsid w:val="003168F3"/>
    <w:rsid w:val="00317AA0"/>
    <w:rsid w:val="003207AB"/>
    <w:rsid w:val="003261C3"/>
    <w:rsid w:val="003262F3"/>
    <w:rsid w:val="00327C93"/>
    <w:rsid w:val="003315BC"/>
    <w:rsid w:val="00334026"/>
    <w:rsid w:val="00334A28"/>
    <w:rsid w:val="00340274"/>
    <w:rsid w:val="00341DBA"/>
    <w:rsid w:val="00341FD9"/>
    <w:rsid w:val="003437EC"/>
    <w:rsid w:val="00344B1B"/>
    <w:rsid w:val="00344F6B"/>
    <w:rsid w:val="00347007"/>
    <w:rsid w:val="00350499"/>
    <w:rsid w:val="00354C17"/>
    <w:rsid w:val="003557A1"/>
    <w:rsid w:val="00356F06"/>
    <w:rsid w:val="00360444"/>
    <w:rsid w:val="0036527C"/>
    <w:rsid w:val="003657D1"/>
    <w:rsid w:val="00370255"/>
    <w:rsid w:val="00370751"/>
    <w:rsid w:val="00370EA3"/>
    <w:rsid w:val="0037314E"/>
    <w:rsid w:val="00385996"/>
    <w:rsid w:val="003861CD"/>
    <w:rsid w:val="00386456"/>
    <w:rsid w:val="003904EC"/>
    <w:rsid w:val="003910A5"/>
    <w:rsid w:val="00391697"/>
    <w:rsid w:val="00393D71"/>
    <w:rsid w:val="003952E4"/>
    <w:rsid w:val="00397593"/>
    <w:rsid w:val="003A1347"/>
    <w:rsid w:val="003A263D"/>
    <w:rsid w:val="003A2D5C"/>
    <w:rsid w:val="003A3FFF"/>
    <w:rsid w:val="003A4590"/>
    <w:rsid w:val="003A4A44"/>
    <w:rsid w:val="003A4DE7"/>
    <w:rsid w:val="003A55D2"/>
    <w:rsid w:val="003A5E54"/>
    <w:rsid w:val="003A673B"/>
    <w:rsid w:val="003B004C"/>
    <w:rsid w:val="003B0091"/>
    <w:rsid w:val="003B00EA"/>
    <w:rsid w:val="003B1992"/>
    <w:rsid w:val="003B2676"/>
    <w:rsid w:val="003B3AA9"/>
    <w:rsid w:val="003B5CD9"/>
    <w:rsid w:val="003C2500"/>
    <w:rsid w:val="003C28D7"/>
    <w:rsid w:val="003C36B0"/>
    <w:rsid w:val="003C397D"/>
    <w:rsid w:val="003D18D1"/>
    <w:rsid w:val="003D1C85"/>
    <w:rsid w:val="003D1F7A"/>
    <w:rsid w:val="003D4A60"/>
    <w:rsid w:val="003D4E37"/>
    <w:rsid w:val="003D7E71"/>
    <w:rsid w:val="003E068E"/>
    <w:rsid w:val="003E25AE"/>
    <w:rsid w:val="003E2657"/>
    <w:rsid w:val="003E321B"/>
    <w:rsid w:val="003E447D"/>
    <w:rsid w:val="003E4FB8"/>
    <w:rsid w:val="003E6263"/>
    <w:rsid w:val="003E6891"/>
    <w:rsid w:val="003E6DA2"/>
    <w:rsid w:val="003F398E"/>
    <w:rsid w:val="003F3E50"/>
    <w:rsid w:val="003F3EF7"/>
    <w:rsid w:val="003F430A"/>
    <w:rsid w:val="003F58B8"/>
    <w:rsid w:val="003F65BC"/>
    <w:rsid w:val="003F7640"/>
    <w:rsid w:val="00400A2A"/>
    <w:rsid w:val="00400B29"/>
    <w:rsid w:val="0040357F"/>
    <w:rsid w:val="004059FB"/>
    <w:rsid w:val="00406676"/>
    <w:rsid w:val="0041613C"/>
    <w:rsid w:val="00417309"/>
    <w:rsid w:val="00420351"/>
    <w:rsid w:val="00420A9F"/>
    <w:rsid w:val="00420ECE"/>
    <w:rsid w:val="00423B31"/>
    <w:rsid w:val="00423D7C"/>
    <w:rsid w:val="0042498C"/>
    <w:rsid w:val="004255FC"/>
    <w:rsid w:val="004352BF"/>
    <w:rsid w:val="00435411"/>
    <w:rsid w:val="0043553E"/>
    <w:rsid w:val="004359DD"/>
    <w:rsid w:val="00440568"/>
    <w:rsid w:val="004427E7"/>
    <w:rsid w:val="00442972"/>
    <w:rsid w:val="004473EB"/>
    <w:rsid w:val="00447D06"/>
    <w:rsid w:val="0045106C"/>
    <w:rsid w:val="0045115E"/>
    <w:rsid w:val="0045292D"/>
    <w:rsid w:val="0045433F"/>
    <w:rsid w:val="00455637"/>
    <w:rsid w:val="0045585A"/>
    <w:rsid w:val="00457271"/>
    <w:rsid w:val="00460537"/>
    <w:rsid w:val="00460DE6"/>
    <w:rsid w:val="0046432F"/>
    <w:rsid w:val="00464C92"/>
    <w:rsid w:val="00464DE2"/>
    <w:rsid w:val="00466D71"/>
    <w:rsid w:val="00466E0B"/>
    <w:rsid w:val="00470534"/>
    <w:rsid w:val="00470E96"/>
    <w:rsid w:val="00471DDD"/>
    <w:rsid w:val="0047383F"/>
    <w:rsid w:val="0047607D"/>
    <w:rsid w:val="0048091C"/>
    <w:rsid w:val="00480935"/>
    <w:rsid w:val="00480BCA"/>
    <w:rsid w:val="0049518C"/>
    <w:rsid w:val="00495E9E"/>
    <w:rsid w:val="00497AEB"/>
    <w:rsid w:val="004A3013"/>
    <w:rsid w:val="004A351A"/>
    <w:rsid w:val="004A35C1"/>
    <w:rsid w:val="004A4768"/>
    <w:rsid w:val="004A5ADA"/>
    <w:rsid w:val="004A6E89"/>
    <w:rsid w:val="004A7DB5"/>
    <w:rsid w:val="004B24B4"/>
    <w:rsid w:val="004B378D"/>
    <w:rsid w:val="004B45EB"/>
    <w:rsid w:val="004B5423"/>
    <w:rsid w:val="004B5DD4"/>
    <w:rsid w:val="004B693B"/>
    <w:rsid w:val="004C1508"/>
    <w:rsid w:val="004C18F0"/>
    <w:rsid w:val="004C2C02"/>
    <w:rsid w:val="004C4B8B"/>
    <w:rsid w:val="004C4CC0"/>
    <w:rsid w:val="004C5ACE"/>
    <w:rsid w:val="004D0832"/>
    <w:rsid w:val="004D327F"/>
    <w:rsid w:val="004E0DE5"/>
    <w:rsid w:val="004E255D"/>
    <w:rsid w:val="004E3ED6"/>
    <w:rsid w:val="004E7F17"/>
    <w:rsid w:val="004F1075"/>
    <w:rsid w:val="004F359B"/>
    <w:rsid w:val="004F477A"/>
    <w:rsid w:val="004F6B94"/>
    <w:rsid w:val="004F7AA7"/>
    <w:rsid w:val="00502053"/>
    <w:rsid w:val="00502572"/>
    <w:rsid w:val="00502CB4"/>
    <w:rsid w:val="00504D6D"/>
    <w:rsid w:val="00506493"/>
    <w:rsid w:val="00506CCF"/>
    <w:rsid w:val="00510138"/>
    <w:rsid w:val="00510333"/>
    <w:rsid w:val="00513DD3"/>
    <w:rsid w:val="00514A19"/>
    <w:rsid w:val="00515248"/>
    <w:rsid w:val="0051733A"/>
    <w:rsid w:val="005225A3"/>
    <w:rsid w:val="00522DE2"/>
    <w:rsid w:val="00525E3D"/>
    <w:rsid w:val="00533EC8"/>
    <w:rsid w:val="005346DF"/>
    <w:rsid w:val="00536B53"/>
    <w:rsid w:val="00536F0A"/>
    <w:rsid w:val="0054023C"/>
    <w:rsid w:val="00544B87"/>
    <w:rsid w:val="0054567B"/>
    <w:rsid w:val="00546014"/>
    <w:rsid w:val="00546270"/>
    <w:rsid w:val="00547034"/>
    <w:rsid w:val="00552338"/>
    <w:rsid w:val="00561A17"/>
    <w:rsid w:val="00562447"/>
    <w:rsid w:val="005625CC"/>
    <w:rsid w:val="00564BE3"/>
    <w:rsid w:val="00564EC8"/>
    <w:rsid w:val="00565BA5"/>
    <w:rsid w:val="005664F6"/>
    <w:rsid w:val="0057127E"/>
    <w:rsid w:val="00572FA1"/>
    <w:rsid w:val="00574954"/>
    <w:rsid w:val="0057535E"/>
    <w:rsid w:val="00580775"/>
    <w:rsid w:val="00582045"/>
    <w:rsid w:val="00583409"/>
    <w:rsid w:val="0058388C"/>
    <w:rsid w:val="005843C0"/>
    <w:rsid w:val="0058656C"/>
    <w:rsid w:val="0059037D"/>
    <w:rsid w:val="0059090A"/>
    <w:rsid w:val="00592963"/>
    <w:rsid w:val="00595640"/>
    <w:rsid w:val="005969BB"/>
    <w:rsid w:val="0059713B"/>
    <w:rsid w:val="005A1EF6"/>
    <w:rsid w:val="005A2E71"/>
    <w:rsid w:val="005A37AB"/>
    <w:rsid w:val="005A3C30"/>
    <w:rsid w:val="005A5795"/>
    <w:rsid w:val="005A7D65"/>
    <w:rsid w:val="005B73D2"/>
    <w:rsid w:val="005C0491"/>
    <w:rsid w:val="005C2D1F"/>
    <w:rsid w:val="005C6B84"/>
    <w:rsid w:val="005D1A29"/>
    <w:rsid w:val="005D262B"/>
    <w:rsid w:val="005D38C7"/>
    <w:rsid w:val="005D3E66"/>
    <w:rsid w:val="005D44D9"/>
    <w:rsid w:val="005E507D"/>
    <w:rsid w:val="005E5797"/>
    <w:rsid w:val="005E75CB"/>
    <w:rsid w:val="005F1A65"/>
    <w:rsid w:val="005F1C35"/>
    <w:rsid w:val="005F2D0D"/>
    <w:rsid w:val="005F336E"/>
    <w:rsid w:val="005F6978"/>
    <w:rsid w:val="005F7682"/>
    <w:rsid w:val="00600B1C"/>
    <w:rsid w:val="00602D2B"/>
    <w:rsid w:val="00603716"/>
    <w:rsid w:val="00606467"/>
    <w:rsid w:val="00607899"/>
    <w:rsid w:val="0061122B"/>
    <w:rsid w:val="00611933"/>
    <w:rsid w:val="006128AA"/>
    <w:rsid w:val="00612F91"/>
    <w:rsid w:val="006133D2"/>
    <w:rsid w:val="0062030A"/>
    <w:rsid w:val="00620A29"/>
    <w:rsid w:val="00620C93"/>
    <w:rsid w:val="00621B25"/>
    <w:rsid w:val="0062212E"/>
    <w:rsid w:val="00626C5B"/>
    <w:rsid w:val="006275B4"/>
    <w:rsid w:val="00627FD2"/>
    <w:rsid w:val="006301A1"/>
    <w:rsid w:val="0063105F"/>
    <w:rsid w:val="00631F46"/>
    <w:rsid w:val="006335A1"/>
    <w:rsid w:val="00635A1E"/>
    <w:rsid w:val="006363BE"/>
    <w:rsid w:val="00636E29"/>
    <w:rsid w:val="00642F5E"/>
    <w:rsid w:val="00644ED2"/>
    <w:rsid w:val="006476D0"/>
    <w:rsid w:val="00650488"/>
    <w:rsid w:val="0065125D"/>
    <w:rsid w:val="006513DC"/>
    <w:rsid w:val="00651AC8"/>
    <w:rsid w:val="00657807"/>
    <w:rsid w:val="00660857"/>
    <w:rsid w:val="00660A95"/>
    <w:rsid w:val="00661A0F"/>
    <w:rsid w:val="00662A48"/>
    <w:rsid w:val="00664CC4"/>
    <w:rsid w:val="0066634A"/>
    <w:rsid w:val="00666C25"/>
    <w:rsid w:val="00666F6D"/>
    <w:rsid w:val="00667C41"/>
    <w:rsid w:val="00667F71"/>
    <w:rsid w:val="00672112"/>
    <w:rsid w:val="00674164"/>
    <w:rsid w:val="0067515D"/>
    <w:rsid w:val="0067573A"/>
    <w:rsid w:val="00676478"/>
    <w:rsid w:val="00677E19"/>
    <w:rsid w:val="00682A6A"/>
    <w:rsid w:val="00682E30"/>
    <w:rsid w:val="00683961"/>
    <w:rsid w:val="006861C2"/>
    <w:rsid w:val="00687DA2"/>
    <w:rsid w:val="00692042"/>
    <w:rsid w:val="00692101"/>
    <w:rsid w:val="006A040B"/>
    <w:rsid w:val="006A0425"/>
    <w:rsid w:val="006A1146"/>
    <w:rsid w:val="006A1AE9"/>
    <w:rsid w:val="006A219A"/>
    <w:rsid w:val="006A22B9"/>
    <w:rsid w:val="006A37DA"/>
    <w:rsid w:val="006A53CE"/>
    <w:rsid w:val="006A624C"/>
    <w:rsid w:val="006A64D3"/>
    <w:rsid w:val="006A6B3D"/>
    <w:rsid w:val="006B01C1"/>
    <w:rsid w:val="006B0E93"/>
    <w:rsid w:val="006B1255"/>
    <w:rsid w:val="006B226B"/>
    <w:rsid w:val="006B3DC3"/>
    <w:rsid w:val="006B3E98"/>
    <w:rsid w:val="006B5451"/>
    <w:rsid w:val="006B575B"/>
    <w:rsid w:val="006B7C0B"/>
    <w:rsid w:val="006C00CA"/>
    <w:rsid w:val="006C0CD1"/>
    <w:rsid w:val="006C4C06"/>
    <w:rsid w:val="006C4C3C"/>
    <w:rsid w:val="006C6CF1"/>
    <w:rsid w:val="006C75CB"/>
    <w:rsid w:val="006C772F"/>
    <w:rsid w:val="006C7B11"/>
    <w:rsid w:val="006D06DA"/>
    <w:rsid w:val="006D0F60"/>
    <w:rsid w:val="006D228E"/>
    <w:rsid w:val="006D481D"/>
    <w:rsid w:val="006D53E3"/>
    <w:rsid w:val="006D5AE1"/>
    <w:rsid w:val="006E0E57"/>
    <w:rsid w:val="006E0FFE"/>
    <w:rsid w:val="006E3CA1"/>
    <w:rsid w:val="006E4BA9"/>
    <w:rsid w:val="006E5800"/>
    <w:rsid w:val="006E7BCA"/>
    <w:rsid w:val="006F0C97"/>
    <w:rsid w:val="006F10B8"/>
    <w:rsid w:val="006F1926"/>
    <w:rsid w:val="006F306D"/>
    <w:rsid w:val="006F3BE4"/>
    <w:rsid w:val="006F71EF"/>
    <w:rsid w:val="006F760C"/>
    <w:rsid w:val="00700231"/>
    <w:rsid w:val="00702B11"/>
    <w:rsid w:val="00703536"/>
    <w:rsid w:val="007107DA"/>
    <w:rsid w:val="00710B9D"/>
    <w:rsid w:val="0071149F"/>
    <w:rsid w:val="00711951"/>
    <w:rsid w:val="00712DF2"/>
    <w:rsid w:val="00713163"/>
    <w:rsid w:val="00714102"/>
    <w:rsid w:val="007142F1"/>
    <w:rsid w:val="00716834"/>
    <w:rsid w:val="00720B7E"/>
    <w:rsid w:val="0072320A"/>
    <w:rsid w:val="00726237"/>
    <w:rsid w:val="00730060"/>
    <w:rsid w:val="00731647"/>
    <w:rsid w:val="00731965"/>
    <w:rsid w:val="00732010"/>
    <w:rsid w:val="00735C96"/>
    <w:rsid w:val="00736683"/>
    <w:rsid w:val="007366C3"/>
    <w:rsid w:val="00736AA4"/>
    <w:rsid w:val="007378E4"/>
    <w:rsid w:val="0074077D"/>
    <w:rsid w:val="007419C3"/>
    <w:rsid w:val="00741A0D"/>
    <w:rsid w:val="00743834"/>
    <w:rsid w:val="007439B9"/>
    <w:rsid w:val="00744389"/>
    <w:rsid w:val="0074578C"/>
    <w:rsid w:val="00747C63"/>
    <w:rsid w:val="00751A77"/>
    <w:rsid w:val="007543A8"/>
    <w:rsid w:val="0076253A"/>
    <w:rsid w:val="00762DEE"/>
    <w:rsid w:val="007634D2"/>
    <w:rsid w:val="00763761"/>
    <w:rsid w:val="0076654F"/>
    <w:rsid w:val="007665A3"/>
    <w:rsid w:val="0076703A"/>
    <w:rsid w:val="00767FBF"/>
    <w:rsid w:val="00773D6B"/>
    <w:rsid w:val="00773D9C"/>
    <w:rsid w:val="0077564A"/>
    <w:rsid w:val="00776AEF"/>
    <w:rsid w:val="00782797"/>
    <w:rsid w:val="007833AE"/>
    <w:rsid w:val="007852BA"/>
    <w:rsid w:val="0078586F"/>
    <w:rsid w:val="00790391"/>
    <w:rsid w:val="00790473"/>
    <w:rsid w:val="00791319"/>
    <w:rsid w:val="00792279"/>
    <w:rsid w:val="00795046"/>
    <w:rsid w:val="007963BC"/>
    <w:rsid w:val="00797FBC"/>
    <w:rsid w:val="007A1454"/>
    <w:rsid w:val="007A240D"/>
    <w:rsid w:val="007A3057"/>
    <w:rsid w:val="007A4F90"/>
    <w:rsid w:val="007A6609"/>
    <w:rsid w:val="007A702D"/>
    <w:rsid w:val="007B04BF"/>
    <w:rsid w:val="007B20FB"/>
    <w:rsid w:val="007B2D48"/>
    <w:rsid w:val="007B32FC"/>
    <w:rsid w:val="007B3C1E"/>
    <w:rsid w:val="007B464B"/>
    <w:rsid w:val="007B660E"/>
    <w:rsid w:val="007B72E6"/>
    <w:rsid w:val="007C0202"/>
    <w:rsid w:val="007C1F3C"/>
    <w:rsid w:val="007C2256"/>
    <w:rsid w:val="007C638B"/>
    <w:rsid w:val="007C64D8"/>
    <w:rsid w:val="007C6560"/>
    <w:rsid w:val="007D0538"/>
    <w:rsid w:val="007D1269"/>
    <w:rsid w:val="007D2CA4"/>
    <w:rsid w:val="007D5A4D"/>
    <w:rsid w:val="007D7188"/>
    <w:rsid w:val="007E01DF"/>
    <w:rsid w:val="007F38E8"/>
    <w:rsid w:val="00800088"/>
    <w:rsid w:val="008024E0"/>
    <w:rsid w:val="00803C0A"/>
    <w:rsid w:val="00804B17"/>
    <w:rsid w:val="008054F5"/>
    <w:rsid w:val="00805A70"/>
    <w:rsid w:val="00807C94"/>
    <w:rsid w:val="0081240B"/>
    <w:rsid w:val="00815C98"/>
    <w:rsid w:val="00815D73"/>
    <w:rsid w:val="0081749F"/>
    <w:rsid w:val="00820746"/>
    <w:rsid w:val="00821C0F"/>
    <w:rsid w:val="00821FF0"/>
    <w:rsid w:val="008275EA"/>
    <w:rsid w:val="00827C01"/>
    <w:rsid w:val="0083088D"/>
    <w:rsid w:val="008308B5"/>
    <w:rsid w:val="008329FB"/>
    <w:rsid w:val="008341BC"/>
    <w:rsid w:val="0083591A"/>
    <w:rsid w:val="00835CD0"/>
    <w:rsid w:val="00836EA5"/>
    <w:rsid w:val="0083794E"/>
    <w:rsid w:val="00840F2C"/>
    <w:rsid w:val="00840F79"/>
    <w:rsid w:val="00842566"/>
    <w:rsid w:val="008427A2"/>
    <w:rsid w:val="0084427C"/>
    <w:rsid w:val="00845E23"/>
    <w:rsid w:val="00850E76"/>
    <w:rsid w:val="00850FC8"/>
    <w:rsid w:val="008511BC"/>
    <w:rsid w:val="008516FF"/>
    <w:rsid w:val="00851D23"/>
    <w:rsid w:val="00853029"/>
    <w:rsid w:val="00853F1F"/>
    <w:rsid w:val="0085558B"/>
    <w:rsid w:val="008565AF"/>
    <w:rsid w:val="00857535"/>
    <w:rsid w:val="00862037"/>
    <w:rsid w:val="008630BA"/>
    <w:rsid w:val="0086462C"/>
    <w:rsid w:val="0086596D"/>
    <w:rsid w:val="00871880"/>
    <w:rsid w:val="00872511"/>
    <w:rsid w:val="00875133"/>
    <w:rsid w:val="0087744C"/>
    <w:rsid w:val="0088226C"/>
    <w:rsid w:val="00882632"/>
    <w:rsid w:val="0088465E"/>
    <w:rsid w:val="00886FF0"/>
    <w:rsid w:val="00887005"/>
    <w:rsid w:val="0088715A"/>
    <w:rsid w:val="00890DFB"/>
    <w:rsid w:val="00891694"/>
    <w:rsid w:val="00891D5B"/>
    <w:rsid w:val="00892366"/>
    <w:rsid w:val="00892AB3"/>
    <w:rsid w:val="00895117"/>
    <w:rsid w:val="00896ABC"/>
    <w:rsid w:val="008A1E95"/>
    <w:rsid w:val="008A2297"/>
    <w:rsid w:val="008A526E"/>
    <w:rsid w:val="008A5CFD"/>
    <w:rsid w:val="008A6E42"/>
    <w:rsid w:val="008A7E6F"/>
    <w:rsid w:val="008B0AE3"/>
    <w:rsid w:val="008B2278"/>
    <w:rsid w:val="008B2CA8"/>
    <w:rsid w:val="008B3023"/>
    <w:rsid w:val="008B5D13"/>
    <w:rsid w:val="008B7863"/>
    <w:rsid w:val="008B7930"/>
    <w:rsid w:val="008B7FA3"/>
    <w:rsid w:val="008C1B94"/>
    <w:rsid w:val="008C1D38"/>
    <w:rsid w:val="008C591C"/>
    <w:rsid w:val="008C5B57"/>
    <w:rsid w:val="008C6F73"/>
    <w:rsid w:val="008D180E"/>
    <w:rsid w:val="008D1B77"/>
    <w:rsid w:val="008D2362"/>
    <w:rsid w:val="008D3084"/>
    <w:rsid w:val="008D346F"/>
    <w:rsid w:val="008D34F7"/>
    <w:rsid w:val="008D53F3"/>
    <w:rsid w:val="008E1CC0"/>
    <w:rsid w:val="008E23BA"/>
    <w:rsid w:val="008E3ECB"/>
    <w:rsid w:val="008E68E4"/>
    <w:rsid w:val="008E6E0A"/>
    <w:rsid w:val="008F05E0"/>
    <w:rsid w:val="008F315E"/>
    <w:rsid w:val="008F6567"/>
    <w:rsid w:val="008F7FA7"/>
    <w:rsid w:val="00900A2E"/>
    <w:rsid w:val="0090103C"/>
    <w:rsid w:val="009067AE"/>
    <w:rsid w:val="00906DD2"/>
    <w:rsid w:val="009121C2"/>
    <w:rsid w:val="00914102"/>
    <w:rsid w:val="00916C1A"/>
    <w:rsid w:val="009210DF"/>
    <w:rsid w:val="00922CEE"/>
    <w:rsid w:val="00922E04"/>
    <w:rsid w:val="00922E63"/>
    <w:rsid w:val="00923806"/>
    <w:rsid w:val="00925979"/>
    <w:rsid w:val="00926A20"/>
    <w:rsid w:val="0093052C"/>
    <w:rsid w:val="00932119"/>
    <w:rsid w:val="00936216"/>
    <w:rsid w:val="00941A5A"/>
    <w:rsid w:val="009439FB"/>
    <w:rsid w:val="0094427B"/>
    <w:rsid w:val="00944B0C"/>
    <w:rsid w:val="0094592A"/>
    <w:rsid w:val="0095096D"/>
    <w:rsid w:val="009522DC"/>
    <w:rsid w:val="0095298A"/>
    <w:rsid w:val="009538E8"/>
    <w:rsid w:val="00953DCD"/>
    <w:rsid w:val="009572BF"/>
    <w:rsid w:val="0096024B"/>
    <w:rsid w:val="00960F2A"/>
    <w:rsid w:val="00962211"/>
    <w:rsid w:val="00962762"/>
    <w:rsid w:val="00962C31"/>
    <w:rsid w:val="0096718B"/>
    <w:rsid w:val="009703C0"/>
    <w:rsid w:val="009710B8"/>
    <w:rsid w:val="009712FE"/>
    <w:rsid w:val="00972522"/>
    <w:rsid w:val="009725EC"/>
    <w:rsid w:val="0097281D"/>
    <w:rsid w:val="009821CB"/>
    <w:rsid w:val="00982206"/>
    <w:rsid w:val="00983178"/>
    <w:rsid w:val="009844B4"/>
    <w:rsid w:val="00985AC9"/>
    <w:rsid w:val="00986FDC"/>
    <w:rsid w:val="00991408"/>
    <w:rsid w:val="00992622"/>
    <w:rsid w:val="00997666"/>
    <w:rsid w:val="009A1310"/>
    <w:rsid w:val="009A2A47"/>
    <w:rsid w:val="009A2DD1"/>
    <w:rsid w:val="009A47B2"/>
    <w:rsid w:val="009A4A73"/>
    <w:rsid w:val="009A64C9"/>
    <w:rsid w:val="009B099B"/>
    <w:rsid w:val="009B0D90"/>
    <w:rsid w:val="009B3696"/>
    <w:rsid w:val="009B3A9E"/>
    <w:rsid w:val="009B4053"/>
    <w:rsid w:val="009B6204"/>
    <w:rsid w:val="009B6C5F"/>
    <w:rsid w:val="009B7204"/>
    <w:rsid w:val="009B77B2"/>
    <w:rsid w:val="009C049B"/>
    <w:rsid w:val="009C3749"/>
    <w:rsid w:val="009C37DD"/>
    <w:rsid w:val="009C70EB"/>
    <w:rsid w:val="009D208E"/>
    <w:rsid w:val="009D22C3"/>
    <w:rsid w:val="009D4FB9"/>
    <w:rsid w:val="009D5681"/>
    <w:rsid w:val="009D7864"/>
    <w:rsid w:val="009D7ACC"/>
    <w:rsid w:val="009E07F3"/>
    <w:rsid w:val="009E25E9"/>
    <w:rsid w:val="009E2D75"/>
    <w:rsid w:val="009E5A71"/>
    <w:rsid w:val="009F4362"/>
    <w:rsid w:val="009F47CA"/>
    <w:rsid w:val="009F6514"/>
    <w:rsid w:val="009F6AA8"/>
    <w:rsid w:val="00A00C5B"/>
    <w:rsid w:val="00A01522"/>
    <w:rsid w:val="00A033EB"/>
    <w:rsid w:val="00A05CF7"/>
    <w:rsid w:val="00A076BF"/>
    <w:rsid w:val="00A11D9D"/>
    <w:rsid w:val="00A11FA0"/>
    <w:rsid w:val="00A128A8"/>
    <w:rsid w:val="00A14301"/>
    <w:rsid w:val="00A1468F"/>
    <w:rsid w:val="00A1480F"/>
    <w:rsid w:val="00A1510E"/>
    <w:rsid w:val="00A2087B"/>
    <w:rsid w:val="00A2148A"/>
    <w:rsid w:val="00A23EFE"/>
    <w:rsid w:val="00A26D28"/>
    <w:rsid w:val="00A27554"/>
    <w:rsid w:val="00A30B1D"/>
    <w:rsid w:val="00A3140F"/>
    <w:rsid w:val="00A31A1E"/>
    <w:rsid w:val="00A31B3B"/>
    <w:rsid w:val="00A31D0F"/>
    <w:rsid w:val="00A40401"/>
    <w:rsid w:val="00A404E4"/>
    <w:rsid w:val="00A40F35"/>
    <w:rsid w:val="00A41320"/>
    <w:rsid w:val="00A41C67"/>
    <w:rsid w:val="00A42182"/>
    <w:rsid w:val="00A44443"/>
    <w:rsid w:val="00A45959"/>
    <w:rsid w:val="00A45C2F"/>
    <w:rsid w:val="00A46A17"/>
    <w:rsid w:val="00A46BD9"/>
    <w:rsid w:val="00A47EE3"/>
    <w:rsid w:val="00A51F04"/>
    <w:rsid w:val="00A534A7"/>
    <w:rsid w:val="00A5355D"/>
    <w:rsid w:val="00A535E5"/>
    <w:rsid w:val="00A60536"/>
    <w:rsid w:val="00A6497F"/>
    <w:rsid w:val="00A6513B"/>
    <w:rsid w:val="00A66ADD"/>
    <w:rsid w:val="00A6705E"/>
    <w:rsid w:val="00A67477"/>
    <w:rsid w:val="00A71D83"/>
    <w:rsid w:val="00A73518"/>
    <w:rsid w:val="00A740E8"/>
    <w:rsid w:val="00A75BDD"/>
    <w:rsid w:val="00A76039"/>
    <w:rsid w:val="00A767DC"/>
    <w:rsid w:val="00A80DDB"/>
    <w:rsid w:val="00A812CE"/>
    <w:rsid w:val="00A94B6A"/>
    <w:rsid w:val="00A96DB2"/>
    <w:rsid w:val="00AA0B24"/>
    <w:rsid w:val="00AA269B"/>
    <w:rsid w:val="00AA2A12"/>
    <w:rsid w:val="00AA2DDE"/>
    <w:rsid w:val="00AA4E3A"/>
    <w:rsid w:val="00AA5504"/>
    <w:rsid w:val="00AB003A"/>
    <w:rsid w:val="00AB56EE"/>
    <w:rsid w:val="00AB5852"/>
    <w:rsid w:val="00AB5F90"/>
    <w:rsid w:val="00AB6C54"/>
    <w:rsid w:val="00AB7BD6"/>
    <w:rsid w:val="00AB7BD8"/>
    <w:rsid w:val="00AC2FF0"/>
    <w:rsid w:val="00AC40C2"/>
    <w:rsid w:val="00AC4E5F"/>
    <w:rsid w:val="00AC54A7"/>
    <w:rsid w:val="00AD04B9"/>
    <w:rsid w:val="00AD1D94"/>
    <w:rsid w:val="00AD33DD"/>
    <w:rsid w:val="00AD4C2D"/>
    <w:rsid w:val="00AD7519"/>
    <w:rsid w:val="00AD773E"/>
    <w:rsid w:val="00AE51FB"/>
    <w:rsid w:val="00AF0E0F"/>
    <w:rsid w:val="00AF762C"/>
    <w:rsid w:val="00B019C4"/>
    <w:rsid w:val="00B01D57"/>
    <w:rsid w:val="00B02129"/>
    <w:rsid w:val="00B039E9"/>
    <w:rsid w:val="00B03AEB"/>
    <w:rsid w:val="00B05C4C"/>
    <w:rsid w:val="00B06ADC"/>
    <w:rsid w:val="00B06B6B"/>
    <w:rsid w:val="00B06EA5"/>
    <w:rsid w:val="00B06F01"/>
    <w:rsid w:val="00B070B4"/>
    <w:rsid w:val="00B12DEE"/>
    <w:rsid w:val="00B14BE7"/>
    <w:rsid w:val="00B14F83"/>
    <w:rsid w:val="00B15103"/>
    <w:rsid w:val="00B151C1"/>
    <w:rsid w:val="00B16586"/>
    <w:rsid w:val="00B17C8C"/>
    <w:rsid w:val="00B25221"/>
    <w:rsid w:val="00B25CC4"/>
    <w:rsid w:val="00B30BF7"/>
    <w:rsid w:val="00B31214"/>
    <w:rsid w:val="00B31E83"/>
    <w:rsid w:val="00B33B3B"/>
    <w:rsid w:val="00B33EA8"/>
    <w:rsid w:val="00B35A9F"/>
    <w:rsid w:val="00B35B63"/>
    <w:rsid w:val="00B36A91"/>
    <w:rsid w:val="00B407F3"/>
    <w:rsid w:val="00B41473"/>
    <w:rsid w:val="00B41DCB"/>
    <w:rsid w:val="00B436ED"/>
    <w:rsid w:val="00B45A0D"/>
    <w:rsid w:val="00B50D78"/>
    <w:rsid w:val="00B531A9"/>
    <w:rsid w:val="00B610F8"/>
    <w:rsid w:val="00B61242"/>
    <w:rsid w:val="00B618CD"/>
    <w:rsid w:val="00B61920"/>
    <w:rsid w:val="00B623DC"/>
    <w:rsid w:val="00B63DF6"/>
    <w:rsid w:val="00B6623B"/>
    <w:rsid w:val="00B702A2"/>
    <w:rsid w:val="00B71697"/>
    <w:rsid w:val="00B723D0"/>
    <w:rsid w:val="00B72B59"/>
    <w:rsid w:val="00B74A9E"/>
    <w:rsid w:val="00B77C7E"/>
    <w:rsid w:val="00B84BB2"/>
    <w:rsid w:val="00B859ED"/>
    <w:rsid w:val="00B85BD8"/>
    <w:rsid w:val="00B86DAD"/>
    <w:rsid w:val="00B94D33"/>
    <w:rsid w:val="00B97209"/>
    <w:rsid w:val="00B97512"/>
    <w:rsid w:val="00BA1635"/>
    <w:rsid w:val="00BA3A90"/>
    <w:rsid w:val="00BA3C53"/>
    <w:rsid w:val="00BA5626"/>
    <w:rsid w:val="00BA6B2F"/>
    <w:rsid w:val="00BA7767"/>
    <w:rsid w:val="00BA78FB"/>
    <w:rsid w:val="00BB00A1"/>
    <w:rsid w:val="00BB1500"/>
    <w:rsid w:val="00BB15B2"/>
    <w:rsid w:val="00BB23DD"/>
    <w:rsid w:val="00BB4416"/>
    <w:rsid w:val="00BB4CA3"/>
    <w:rsid w:val="00BB605D"/>
    <w:rsid w:val="00BC110A"/>
    <w:rsid w:val="00BC2679"/>
    <w:rsid w:val="00BC2C32"/>
    <w:rsid w:val="00BC3FF5"/>
    <w:rsid w:val="00BC4A85"/>
    <w:rsid w:val="00BC7373"/>
    <w:rsid w:val="00BD2C61"/>
    <w:rsid w:val="00BD4145"/>
    <w:rsid w:val="00BD46AC"/>
    <w:rsid w:val="00BE3913"/>
    <w:rsid w:val="00BE7272"/>
    <w:rsid w:val="00BF3409"/>
    <w:rsid w:val="00BF4D96"/>
    <w:rsid w:val="00BF7D35"/>
    <w:rsid w:val="00C01E45"/>
    <w:rsid w:val="00C02135"/>
    <w:rsid w:val="00C0388A"/>
    <w:rsid w:val="00C043D4"/>
    <w:rsid w:val="00C05157"/>
    <w:rsid w:val="00C077A3"/>
    <w:rsid w:val="00C1045F"/>
    <w:rsid w:val="00C10DFB"/>
    <w:rsid w:val="00C13165"/>
    <w:rsid w:val="00C13CD9"/>
    <w:rsid w:val="00C14F4A"/>
    <w:rsid w:val="00C2034B"/>
    <w:rsid w:val="00C23939"/>
    <w:rsid w:val="00C250DD"/>
    <w:rsid w:val="00C27908"/>
    <w:rsid w:val="00C3185F"/>
    <w:rsid w:val="00C33E90"/>
    <w:rsid w:val="00C34D98"/>
    <w:rsid w:val="00C357DC"/>
    <w:rsid w:val="00C36579"/>
    <w:rsid w:val="00C36A3E"/>
    <w:rsid w:val="00C40F85"/>
    <w:rsid w:val="00C41951"/>
    <w:rsid w:val="00C436AA"/>
    <w:rsid w:val="00C457CF"/>
    <w:rsid w:val="00C4669B"/>
    <w:rsid w:val="00C46711"/>
    <w:rsid w:val="00C46EB4"/>
    <w:rsid w:val="00C47EE0"/>
    <w:rsid w:val="00C512E1"/>
    <w:rsid w:val="00C518EA"/>
    <w:rsid w:val="00C52739"/>
    <w:rsid w:val="00C52F5F"/>
    <w:rsid w:val="00C53B7E"/>
    <w:rsid w:val="00C53E9E"/>
    <w:rsid w:val="00C55801"/>
    <w:rsid w:val="00C570C2"/>
    <w:rsid w:val="00C60846"/>
    <w:rsid w:val="00C62795"/>
    <w:rsid w:val="00C62BEB"/>
    <w:rsid w:val="00C63B86"/>
    <w:rsid w:val="00C63BD3"/>
    <w:rsid w:val="00C642BB"/>
    <w:rsid w:val="00C6554E"/>
    <w:rsid w:val="00C6570C"/>
    <w:rsid w:val="00C70212"/>
    <w:rsid w:val="00C719CA"/>
    <w:rsid w:val="00C72546"/>
    <w:rsid w:val="00C7258C"/>
    <w:rsid w:val="00C72BA3"/>
    <w:rsid w:val="00C73C09"/>
    <w:rsid w:val="00C73FEC"/>
    <w:rsid w:val="00C742A0"/>
    <w:rsid w:val="00C75E3E"/>
    <w:rsid w:val="00C76C6B"/>
    <w:rsid w:val="00C815E6"/>
    <w:rsid w:val="00C81C3A"/>
    <w:rsid w:val="00C82BFA"/>
    <w:rsid w:val="00C9341B"/>
    <w:rsid w:val="00CA1895"/>
    <w:rsid w:val="00CB4181"/>
    <w:rsid w:val="00CB4786"/>
    <w:rsid w:val="00CB4C6B"/>
    <w:rsid w:val="00CB6F2C"/>
    <w:rsid w:val="00CB7089"/>
    <w:rsid w:val="00CB7142"/>
    <w:rsid w:val="00CC1374"/>
    <w:rsid w:val="00CC4260"/>
    <w:rsid w:val="00CC6EB6"/>
    <w:rsid w:val="00CC706B"/>
    <w:rsid w:val="00CD040D"/>
    <w:rsid w:val="00CD1441"/>
    <w:rsid w:val="00CD1781"/>
    <w:rsid w:val="00CD231E"/>
    <w:rsid w:val="00CD36EC"/>
    <w:rsid w:val="00CD4F8C"/>
    <w:rsid w:val="00CD5086"/>
    <w:rsid w:val="00CD62B8"/>
    <w:rsid w:val="00CE1A3C"/>
    <w:rsid w:val="00CE264B"/>
    <w:rsid w:val="00CE2F84"/>
    <w:rsid w:val="00CE341B"/>
    <w:rsid w:val="00CE646E"/>
    <w:rsid w:val="00CE6694"/>
    <w:rsid w:val="00CE737A"/>
    <w:rsid w:val="00CE7E83"/>
    <w:rsid w:val="00CF15F3"/>
    <w:rsid w:val="00CF5F58"/>
    <w:rsid w:val="00CF635C"/>
    <w:rsid w:val="00D00853"/>
    <w:rsid w:val="00D00E48"/>
    <w:rsid w:val="00D0246E"/>
    <w:rsid w:val="00D032EE"/>
    <w:rsid w:val="00D05625"/>
    <w:rsid w:val="00D06EB1"/>
    <w:rsid w:val="00D07794"/>
    <w:rsid w:val="00D106BA"/>
    <w:rsid w:val="00D10884"/>
    <w:rsid w:val="00D11CD0"/>
    <w:rsid w:val="00D123B7"/>
    <w:rsid w:val="00D128F9"/>
    <w:rsid w:val="00D12A56"/>
    <w:rsid w:val="00D12DD9"/>
    <w:rsid w:val="00D139AB"/>
    <w:rsid w:val="00D139DF"/>
    <w:rsid w:val="00D15A3C"/>
    <w:rsid w:val="00D17BC6"/>
    <w:rsid w:val="00D17CC5"/>
    <w:rsid w:val="00D20942"/>
    <w:rsid w:val="00D22379"/>
    <w:rsid w:val="00D25BE0"/>
    <w:rsid w:val="00D27FD2"/>
    <w:rsid w:val="00D31892"/>
    <w:rsid w:val="00D32A5B"/>
    <w:rsid w:val="00D345C5"/>
    <w:rsid w:val="00D34981"/>
    <w:rsid w:val="00D3655E"/>
    <w:rsid w:val="00D41185"/>
    <w:rsid w:val="00D4206D"/>
    <w:rsid w:val="00D42EE7"/>
    <w:rsid w:val="00D445B5"/>
    <w:rsid w:val="00D47F15"/>
    <w:rsid w:val="00D50829"/>
    <w:rsid w:val="00D510C5"/>
    <w:rsid w:val="00D54327"/>
    <w:rsid w:val="00D560E5"/>
    <w:rsid w:val="00D57FFE"/>
    <w:rsid w:val="00D612BC"/>
    <w:rsid w:val="00D61572"/>
    <w:rsid w:val="00D63061"/>
    <w:rsid w:val="00D63513"/>
    <w:rsid w:val="00D65069"/>
    <w:rsid w:val="00D658EE"/>
    <w:rsid w:val="00D659AF"/>
    <w:rsid w:val="00D679B3"/>
    <w:rsid w:val="00D703FD"/>
    <w:rsid w:val="00D7127A"/>
    <w:rsid w:val="00D72FF3"/>
    <w:rsid w:val="00D75B89"/>
    <w:rsid w:val="00D80B39"/>
    <w:rsid w:val="00D813C0"/>
    <w:rsid w:val="00D81579"/>
    <w:rsid w:val="00D82E1E"/>
    <w:rsid w:val="00D83BBC"/>
    <w:rsid w:val="00D83D02"/>
    <w:rsid w:val="00D904C5"/>
    <w:rsid w:val="00D906A9"/>
    <w:rsid w:val="00D91006"/>
    <w:rsid w:val="00D927FC"/>
    <w:rsid w:val="00D93970"/>
    <w:rsid w:val="00D93CF7"/>
    <w:rsid w:val="00D946CB"/>
    <w:rsid w:val="00D96B87"/>
    <w:rsid w:val="00D97E8C"/>
    <w:rsid w:val="00DA2940"/>
    <w:rsid w:val="00DA34E6"/>
    <w:rsid w:val="00DA52A9"/>
    <w:rsid w:val="00DA627E"/>
    <w:rsid w:val="00DB106F"/>
    <w:rsid w:val="00DB1763"/>
    <w:rsid w:val="00DB20C2"/>
    <w:rsid w:val="00DB35F7"/>
    <w:rsid w:val="00DB4827"/>
    <w:rsid w:val="00DB5EB7"/>
    <w:rsid w:val="00DB6BC4"/>
    <w:rsid w:val="00DC1192"/>
    <w:rsid w:val="00DC3A64"/>
    <w:rsid w:val="00DC53B6"/>
    <w:rsid w:val="00DC540A"/>
    <w:rsid w:val="00DC5560"/>
    <w:rsid w:val="00DC7FCA"/>
    <w:rsid w:val="00DD232F"/>
    <w:rsid w:val="00DD4226"/>
    <w:rsid w:val="00DE20C7"/>
    <w:rsid w:val="00DE7307"/>
    <w:rsid w:val="00DE7A2F"/>
    <w:rsid w:val="00DF0803"/>
    <w:rsid w:val="00DF22FC"/>
    <w:rsid w:val="00DF40FF"/>
    <w:rsid w:val="00DF69D3"/>
    <w:rsid w:val="00E01048"/>
    <w:rsid w:val="00E01B5F"/>
    <w:rsid w:val="00E0234E"/>
    <w:rsid w:val="00E0277A"/>
    <w:rsid w:val="00E0342D"/>
    <w:rsid w:val="00E04017"/>
    <w:rsid w:val="00E051C8"/>
    <w:rsid w:val="00E05DA4"/>
    <w:rsid w:val="00E06440"/>
    <w:rsid w:val="00E07BBB"/>
    <w:rsid w:val="00E109EE"/>
    <w:rsid w:val="00E10D5D"/>
    <w:rsid w:val="00E12086"/>
    <w:rsid w:val="00E1222F"/>
    <w:rsid w:val="00E124CA"/>
    <w:rsid w:val="00E15E32"/>
    <w:rsid w:val="00E17A98"/>
    <w:rsid w:val="00E206A5"/>
    <w:rsid w:val="00E2337E"/>
    <w:rsid w:val="00E26875"/>
    <w:rsid w:val="00E26BEA"/>
    <w:rsid w:val="00E30972"/>
    <w:rsid w:val="00E309BD"/>
    <w:rsid w:val="00E32388"/>
    <w:rsid w:val="00E3404E"/>
    <w:rsid w:val="00E37DD0"/>
    <w:rsid w:val="00E40A6C"/>
    <w:rsid w:val="00E431CB"/>
    <w:rsid w:val="00E43A1F"/>
    <w:rsid w:val="00E504B2"/>
    <w:rsid w:val="00E54DA7"/>
    <w:rsid w:val="00E54FC4"/>
    <w:rsid w:val="00E56BBA"/>
    <w:rsid w:val="00E61E82"/>
    <w:rsid w:val="00E652AA"/>
    <w:rsid w:val="00E66741"/>
    <w:rsid w:val="00E702B1"/>
    <w:rsid w:val="00E705E1"/>
    <w:rsid w:val="00E705E4"/>
    <w:rsid w:val="00E720C9"/>
    <w:rsid w:val="00E7325B"/>
    <w:rsid w:val="00E734D3"/>
    <w:rsid w:val="00E739CB"/>
    <w:rsid w:val="00E73C29"/>
    <w:rsid w:val="00E745D4"/>
    <w:rsid w:val="00E750EA"/>
    <w:rsid w:val="00E80ECF"/>
    <w:rsid w:val="00E8193A"/>
    <w:rsid w:val="00E87B8B"/>
    <w:rsid w:val="00E9030E"/>
    <w:rsid w:val="00E916AD"/>
    <w:rsid w:val="00E961BE"/>
    <w:rsid w:val="00EA2665"/>
    <w:rsid w:val="00EA7741"/>
    <w:rsid w:val="00EB0597"/>
    <w:rsid w:val="00EB081A"/>
    <w:rsid w:val="00EB1A6C"/>
    <w:rsid w:val="00EB605E"/>
    <w:rsid w:val="00EB7651"/>
    <w:rsid w:val="00EB7A8F"/>
    <w:rsid w:val="00EC2A02"/>
    <w:rsid w:val="00EC2CE7"/>
    <w:rsid w:val="00EC632A"/>
    <w:rsid w:val="00EC6EDC"/>
    <w:rsid w:val="00ED02B9"/>
    <w:rsid w:val="00ED184D"/>
    <w:rsid w:val="00ED21A5"/>
    <w:rsid w:val="00ED37DE"/>
    <w:rsid w:val="00ED6A9E"/>
    <w:rsid w:val="00ED6EFA"/>
    <w:rsid w:val="00EE0C84"/>
    <w:rsid w:val="00EE1619"/>
    <w:rsid w:val="00EE384B"/>
    <w:rsid w:val="00EE5704"/>
    <w:rsid w:val="00EF015A"/>
    <w:rsid w:val="00EF302E"/>
    <w:rsid w:val="00EF42B1"/>
    <w:rsid w:val="00EF505F"/>
    <w:rsid w:val="00EF5B8D"/>
    <w:rsid w:val="00EF6945"/>
    <w:rsid w:val="00F00507"/>
    <w:rsid w:val="00F02EEE"/>
    <w:rsid w:val="00F04739"/>
    <w:rsid w:val="00F051A8"/>
    <w:rsid w:val="00F053E7"/>
    <w:rsid w:val="00F05BFB"/>
    <w:rsid w:val="00F06CCB"/>
    <w:rsid w:val="00F1171F"/>
    <w:rsid w:val="00F119E2"/>
    <w:rsid w:val="00F12E19"/>
    <w:rsid w:val="00F15457"/>
    <w:rsid w:val="00F214C7"/>
    <w:rsid w:val="00F22E35"/>
    <w:rsid w:val="00F23E76"/>
    <w:rsid w:val="00F25843"/>
    <w:rsid w:val="00F3545D"/>
    <w:rsid w:val="00F54943"/>
    <w:rsid w:val="00F56D94"/>
    <w:rsid w:val="00F57127"/>
    <w:rsid w:val="00F57EF5"/>
    <w:rsid w:val="00F60D7F"/>
    <w:rsid w:val="00F62CAB"/>
    <w:rsid w:val="00F62F39"/>
    <w:rsid w:val="00F62FD3"/>
    <w:rsid w:val="00F63077"/>
    <w:rsid w:val="00F659A9"/>
    <w:rsid w:val="00F66878"/>
    <w:rsid w:val="00F70E21"/>
    <w:rsid w:val="00F71B22"/>
    <w:rsid w:val="00F753D1"/>
    <w:rsid w:val="00F76774"/>
    <w:rsid w:val="00F77846"/>
    <w:rsid w:val="00F81159"/>
    <w:rsid w:val="00F81E70"/>
    <w:rsid w:val="00F84451"/>
    <w:rsid w:val="00F8458A"/>
    <w:rsid w:val="00F8570A"/>
    <w:rsid w:val="00F91B91"/>
    <w:rsid w:val="00F91EDE"/>
    <w:rsid w:val="00F92950"/>
    <w:rsid w:val="00F9464D"/>
    <w:rsid w:val="00F948D2"/>
    <w:rsid w:val="00F95450"/>
    <w:rsid w:val="00F96CBE"/>
    <w:rsid w:val="00FA0FED"/>
    <w:rsid w:val="00FA1055"/>
    <w:rsid w:val="00FA1B49"/>
    <w:rsid w:val="00FA1D16"/>
    <w:rsid w:val="00FA32B9"/>
    <w:rsid w:val="00FA4232"/>
    <w:rsid w:val="00FA58C5"/>
    <w:rsid w:val="00FA78FA"/>
    <w:rsid w:val="00FA7EE6"/>
    <w:rsid w:val="00FB0E96"/>
    <w:rsid w:val="00FB1973"/>
    <w:rsid w:val="00FB2C9B"/>
    <w:rsid w:val="00FB3245"/>
    <w:rsid w:val="00FB5600"/>
    <w:rsid w:val="00FB7175"/>
    <w:rsid w:val="00FB77B0"/>
    <w:rsid w:val="00FB77EF"/>
    <w:rsid w:val="00FB7834"/>
    <w:rsid w:val="00FC0BA7"/>
    <w:rsid w:val="00FC12DB"/>
    <w:rsid w:val="00FC1D90"/>
    <w:rsid w:val="00FC35AF"/>
    <w:rsid w:val="00FC5C2A"/>
    <w:rsid w:val="00FD0286"/>
    <w:rsid w:val="00FD1E50"/>
    <w:rsid w:val="00FD22EC"/>
    <w:rsid w:val="00FD2D52"/>
    <w:rsid w:val="00FD36BE"/>
    <w:rsid w:val="00FD51DF"/>
    <w:rsid w:val="00FD5B2A"/>
    <w:rsid w:val="00FD5C9E"/>
    <w:rsid w:val="00FD7792"/>
    <w:rsid w:val="00FD78F9"/>
    <w:rsid w:val="00FE73A3"/>
    <w:rsid w:val="00FE78C6"/>
    <w:rsid w:val="00FF0355"/>
    <w:rsid w:val="00FF1EBB"/>
    <w:rsid w:val="00FF2DC7"/>
    <w:rsid w:val="00FF4A6C"/>
    <w:rsid w:val="00FF7143"/>
    <w:rsid w:val="063246A6"/>
    <w:rsid w:val="066207D6"/>
    <w:rsid w:val="083B481F"/>
    <w:rsid w:val="08795243"/>
    <w:rsid w:val="0F647209"/>
    <w:rsid w:val="14FE4484"/>
    <w:rsid w:val="1FA96C07"/>
    <w:rsid w:val="1FC655DD"/>
    <w:rsid w:val="24A23192"/>
    <w:rsid w:val="26B16248"/>
    <w:rsid w:val="2CA10380"/>
    <w:rsid w:val="2CCC7A96"/>
    <w:rsid w:val="2E266C55"/>
    <w:rsid w:val="2F600D46"/>
    <w:rsid w:val="346A1A92"/>
    <w:rsid w:val="36595D0B"/>
    <w:rsid w:val="3B7E7EF7"/>
    <w:rsid w:val="3E65690E"/>
    <w:rsid w:val="3FAA7CD4"/>
    <w:rsid w:val="420B4CE7"/>
    <w:rsid w:val="45F128EA"/>
    <w:rsid w:val="4C3E5111"/>
    <w:rsid w:val="4DFE1B79"/>
    <w:rsid w:val="53EE0EBD"/>
    <w:rsid w:val="56C0759C"/>
    <w:rsid w:val="5DC83F4F"/>
    <w:rsid w:val="5EF83EE4"/>
    <w:rsid w:val="5FD67AB5"/>
    <w:rsid w:val="65B82875"/>
    <w:rsid w:val="69B21F1F"/>
    <w:rsid w:val="6C19597A"/>
    <w:rsid w:val="6F1515CB"/>
    <w:rsid w:val="6FA438B5"/>
    <w:rsid w:val="70DA60AB"/>
    <w:rsid w:val="71CA13CD"/>
    <w:rsid w:val="72C80721"/>
    <w:rsid w:val="75C2165E"/>
    <w:rsid w:val="79406491"/>
    <w:rsid w:val="7A0C13FE"/>
    <w:rsid w:val="9DDE7A4E"/>
    <w:rsid w:val="9DDF8486"/>
    <w:rsid w:val="FD1D6301"/>
    <w:rsid w:val="FE6DF62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qFormat="1" w:unhideWhenUsed="0"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qFormat="1" w:unhideWhenUsed="0" w:uiPriority="0" w:semiHidden="0" w:name="Body Text 3"/>
    <w:lsdException w:uiPriority="0" w:name="Body Text Indent 2"/>
    <w:lsdException w:qFormat="1" w:unhideWhenUsed="0" w:uiPriority="0" w:semiHidden="0" w:name="Body Text Indent 3"/>
    <w:lsdException w:uiPriority="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4"/>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5"/>
    <w:qFormat/>
    <w:uiPriority w:val="0"/>
    <w:pPr>
      <w:keepNext/>
      <w:keepLines/>
      <w:spacing w:before="260" w:after="260" w:line="416" w:lineRule="auto"/>
      <w:outlineLvl w:val="2"/>
    </w:pPr>
    <w:rPr>
      <w:b/>
      <w:bCs/>
      <w:sz w:val="32"/>
      <w:szCs w:val="32"/>
    </w:rPr>
  </w:style>
  <w:style w:type="paragraph" w:styleId="5">
    <w:name w:val="heading 4"/>
    <w:basedOn w:val="1"/>
    <w:next w:val="1"/>
    <w:link w:val="46"/>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47"/>
    <w:qFormat/>
    <w:uiPriority w:val="0"/>
    <w:pPr>
      <w:keepNext/>
      <w:keepLines/>
      <w:spacing w:before="280" w:after="290" w:line="372" w:lineRule="auto"/>
      <w:outlineLvl w:val="4"/>
    </w:pPr>
    <w:rPr>
      <w:rFonts w:ascii="Calibri" w:hAnsi="Calibri"/>
      <w:b/>
      <w:bCs/>
      <w:sz w:val="28"/>
      <w:szCs w:val="28"/>
    </w:rPr>
  </w:style>
  <w:style w:type="paragraph" w:styleId="7">
    <w:name w:val="heading 6"/>
    <w:basedOn w:val="1"/>
    <w:next w:val="1"/>
    <w:link w:val="48"/>
    <w:qFormat/>
    <w:uiPriority w:val="0"/>
    <w:pPr>
      <w:keepNext/>
      <w:keepLines/>
      <w:widowControl/>
      <w:tabs>
        <w:tab w:val="left" w:pos="1440"/>
      </w:tabs>
      <w:spacing w:before="240" w:after="64" w:line="320" w:lineRule="auto"/>
      <w:ind w:left="1152" w:hanging="1152"/>
      <w:jc w:val="left"/>
      <w:outlineLvl w:val="5"/>
    </w:pPr>
    <w:rPr>
      <w:rFonts w:ascii="Arial" w:hAnsi="Arial" w:eastAsia="黑体"/>
      <w:b/>
      <w:bCs/>
      <w:kern w:val="0"/>
      <w:sz w:val="24"/>
    </w:rPr>
  </w:style>
  <w:style w:type="paragraph" w:styleId="8">
    <w:name w:val="heading 7"/>
    <w:basedOn w:val="1"/>
    <w:next w:val="1"/>
    <w:link w:val="49"/>
    <w:qFormat/>
    <w:uiPriority w:val="0"/>
    <w:pPr>
      <w:keepNext/>
      <w:keepLines/>
      <w:widowControl/>
      <w:tabs>
        <w:tab w:val="left" w:pos="2520"/>
      </w:tabs>
      <w:spacing w:before="240" w:after="64" w:line="320" w:lineRule="auto"/>
      <w:ind w:left="1296" w:hanging="1296"/>
      <w:jc w:val="left"/>
      <w:outlineLvl w:val="6"/>
    </w:pPr>
    <w:rPr>
      <w:b/>
      <w:bCs/>
      <w:kern w:val="0"/>
      <w:sz w:val="24"/>
    </w:rPr>
  </w:style>
  <w:style w:type="paragraph" w:styleId="9">
    <w:name w:val="heading 8"/>
    <w:basedOn w:val="1"/>
    <w:next w:val="1"/>
    <w:link w:val="50"/>
    <w:qFormat/>
    <w:uiPriority w:val="0"/>
    <w:pPr>
      <w:keepNext/>
      <w:keepLines/>
      <w:widowControl/>
      <w:tabs>
        <w:tab w:val="left" w:pos="1440"/>
      </w:tabs>
      <w:spacing w:before="240" w:after="64" w:line="320" w:lineRule="auto"/>
      <w:ind w:left="1440" w:hanging="1440"/>
      <w:jc w:val="left"/>
      <w:outlineLvl w:val="7"/>
    </w:pPr>
    <w:rPr>
      <w:rFonts w:ascii="Arial" w:hAnsi="Arial" w:eastAsia="黑体"/>
      <w:kern w:val="0"/>
      <w:sz w:val="24"/>
    </w:rPr>
  </w:style>
  <w:style w:type="paragraph" w:styleId="10">
    <w:name w:val="heading 9"/>
    <w:basedOn w:val="1"/>
    <w:next w:val="1"/>
    <w:link w:val="51"/>
    <w:qFormat/>
    <w:uiPriority w:val="0"/>
    <w:pPr>
      <w:keepNext/>
      <w:keepLines/>
      <w:widowControl/>
      <w:tabs>
        <w:tab w:val="left" w:pos="1584"/>
      </w:tabs>
      <w:spacing w:before="240" w:after="64" w:line="320" w:lineRule="auto"/>
      <w:ind w:left="1584" w:hanging="1584"/>
      <w:jc w:val="left"/>
      <w:outlineLvl w:val="8"/>
    </w:pPr>
    <w:rPr>
      <w:rFonts w:ascii="Arial" w:hAnsi="Arial" w:eastAsia="黑体"/>
      <w:kern w:val="0"/>
      <w:szCs w:val="21"/>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Calibri" w:hAnsi="Calibri"/>
      <w:szCs w:val="22"/>
    </w:rPr>
  </w:style>
  <w:style w:type="paragraph" w:styleId="12">
    <w:name w:val="Normal Indent"/>
    <w:basedOn w:val="1"/>
    <w:qFormat/>
    <w:uiPriority w:val="0"/>
    <w:pPr>
      <w:ind w:firstLine="420" w:firstLineChars="200"/>
    </w:pPr>
  </w:style>
  <w:style w:type="paragraph" w:styleId="13">
    <w:name w:val="Document Map"/>
    <w:basedOn w:val="1"/>
    <w:link w:val="55"/>
    <w:semiHidden/>
    <w:qFormat/>
    <w:uiPriority w:val="0"/>
    <w:pPr>
      <w:shd w:val="clear" w:color="auto" w:fill="000080"/>
    </w:pPr>
  </w:style>
  <w:style w:type="paragraph" w:styleId="14">
    <w:name w:val="annotation text"/>
    <w:basedOn w:val="1"/>
    <w:link w:val="70"/>
    <w:qFormat/>
    <w:uiPriority w:val="99"/>
    <w:pPr>
      <w:jc w:val="left"/>
    </w:pPr>
    <w:rPr>
      <w:sz w:val="22"/>
      <w:szCs w:val="20"/>
    </w:rPr>
  </w:style>
  <w:style w:type="paragraph" w:styleId="15">
    <w:name w:val="Body Text 3"/>
    <w:basedOn w:val="1"/>
    <w:link w:val="79"/>
    <w:qFormat/>
    <w:uiPriority w:val="0"/>
    <w:rPr>
      <w:rFonts w:ascii="宋体"/>
      <w:sz w:val="24"/>
      <w:szCs w:val="20"/>
    </w:rPr>
  </w:style>
  <w:style w:type="paragraph" w:styleId="16">
    <w:name w:val="Body Text"/>
    <w:basedOn w:val="1"/>
    <w:link w:val="61"/>
    <w:qFormat/>
    <w:uiPriority w:val="0"/>
    <w:pPr>
      <w:spacing w:after="120"/>
    </w:pPr>
  </w:style>
  <w:style w:type="paragraph" w:styleId="17">
    <w:name w:val="Body Text Indent"/>
    <w:basedOn w:val="1"/>
    <w:link w:val="80"/>
    <w:qFormat/>
    <w:uiPriority w:val="0"/>
    <w:pPr>
      <w:spacing w:after="120"/>
      <w:ind w:left="420" w:leftChars="200"/>
    </w:pPr>
  </w:style>
  <w:style w:type="paragraph" w:styleId="18">
    <w:name w:val="index 4"/>
    <w:basedOn w:val="1"/>
    <w:next w:val="1"/>
    <w:semiHidden/>
    <w:qFormat/>
    <w:uiPriority w:val="0"/>
    <w:pPr>
      <w:ind w:left="600" w:leftChars="600"/>
    </w:pPr>
  </w:style>
  <w:style w:type="paragraph" w:styleId="19">
    <w:name w:val="toc 5"/>
    <w:basedOn w:val="1"/>
    <w:next w:val="1"/>
    <w:unhideWhenUsed/>
    <w:qFormat/>
    <w:uiPriority w:val="39"/>
    <w:pPr>
      <w:ind w:left="1680" w:leftChars="800"/>
    </w:pPr>
    <w:rPr>
      <w:rFonts w:ascii="Calibri" w:hAnsi="Calibri"/>
      <w:szCs w:val="22"/>
    </w:rPr>
  </w:style>
  <w:style w:type="paragraph" w:styleId="20">
    <w:name w:val="toc 3"/>
    <w:basedOn w:val="1"/>
    <w:next w:val="1"/>
    <w:qFormat/>
    <w:uiPriority w:val="39"/>
    <w:pPr>
      <w:ind w:left="840" w:leftChars="400"/>
    </w:pPr>
  </w:style>
  <w:style w:type="paragraph" w:styleId="21">
    <w:name w:val="toc 8"/>
    <w:basedOn w:val="1"/>
    <w:next w:val="1"/>
    <w:unhideWhenUsed/>
    <w:qFormat/>
    <w:uiPriority w:val="39"/>
    <w:pPr>
      <w:ind w:left="2940" w:leftChars="1400"/>
    </w:pPr>
    <w:rPr>
      <w:rFonts w:ascii="Calibri" w:hAnsi="Calibri"/>
      <w:szCs w:val="22"/>
    </w:rPr>
  </w:style>
  <w:style w:type="paragraph" w:styleId="22">
    <w:name w:val="Date"/>
    <w:basedOn w:val="1"/>
    <w:next w:val="1"/>
    <w:link w:val="63"/>
    <w:qFormat/>
    <w:uiPriority w:val="0"/>
    <w:rPr>
      <w:sz w:val="24"/>
      <w:szCs w:val="20"/>
    </w:rPr>
  </w:style>
  <w:style w:type="paragraph" w:styleId="23">
    <w:name w:val="Balloon Text"/>
    <w:basedOn w:val="1"/>
    <w:link w:val="76"/>
    <w:semiHidden/>
    <w:qFormat/>
    <w:uiPriority w:val="0"/>
    <w:rPr>
      <w:rFonts w:ascii="宋体"/>
      <w:kern w:val="0"/>
      <w:sz w:val="18"/>
      <w:szCs w:val="20"/>
    </w:rPr>
  </w:style>
  <w:style w:type="paragraph" w:styleId="24">
    <w:name w:val="footer"/>
    <w:basedOn w:val="1"/>
    <w:link w:val="52"/>
    <w:qFormat/>
    <w:uiPriority w:val="99"/>
    <w:pPr>
      <w:tabs>
        <w:tab w:val="center" w:pos="4153"/>
        <w:tab w:val="right" w:pos="8306"/>
      </w:tabs>
      <w:snapToGrid w:val="0"/>
      <w:jc w:val="left"/>
    </w:pPr>
    <w:rPr>
      <w:sz w:val="18"/>
      <w:szCs w:val="18"/>
    </w:rPr>
  </w:style>
  <w:style w:type="paragraph" w:styleId="25">
    <w:name w:val="header"/>
    <w:basedOn w:val="1"/>
    <w:link w:val="56"/>
    <w:qFormat/>
    <w:uiPriority w:val="0"/>
    <w:pPr>
      <w:pBdr>
        <w:bottom w:val="single" w:color="auto" w:sz="6" w:space="1"/>
      </w:pBdr>
      <w:tabs>
        <w:tab w:val="center" w:pos="4153"/>
        <w:tab w:val="right" w:pos="8306"/>
      </w:tabs>
      <w:snapToGrid w:val="0"/>
      <w:jc w:val="center"/>
    </w:pPr>
    <w:rPr>
      <w:sz w:val="18"/>
      <w:szCs w:val="18"/>
    </w:rPr>
  </w:style>
  <w:style w:type="paragraph" w:styleId="26">
    <w:name w:val="toc 1"/>
    <w:basedOn w:val="1"/>
    <w:next w:val="1"/>
    <w:qFormat/>
    <w:uiPriority w:val="39"/>
    <w:pPr>
      <w:tabs>
        <w:tab w:val="right" w:leader="dot" w:pos="8494"/>
      </w:tabs>
      <w:jc w:val="center"/>
    </w:pPr>
    <w:rPr>
      <w:rFonts w:ascii="宋体" w:hAnsi="宋体"/>
      <w:sz w:val="44"/>
      <w:szCs w:val="44"/>
    </w:rPr>
  </w:style>
  <w:style w:type="paragraph" w:styleId="27">
    <w:name w:val="toc 4"/>
    <w:basedOn w:val="1"/>
    <w:next w:val="1"/>
    <w:qFormat/>
    <w:uiPriority w:val="39"/>
    <w:pPr>
      <w:ind w:left="1260" w:leftChars="600"/>
    </w:pPr>
  </w:style>
  <w:style w:type="paragraph" w:styleId="28">
    <w:name w:val="Subtitle"/>
    <w:basedOn w:val="1"/>
    <w:next w:val="1"/>
    <w:link w:val="73"/>
    <w:qFormat/>
    <w:uiPriority w:val="0"/>
    <w:pPr>
      <w:spacing w:before="240" w:after="60" w:line="312" w:lineRule="auto"/>
      <w:jc w:val="center"/>
      <w:outlineLvl w:val="1"/>
    </w:pPr>
    <w:rPr>
      <w:rFonts w:ascii="Cambria" w:hAnsi="Cambria"/>
      <w:b/>
      <w:kern w:val="28"/>
      <w:sz w:val="32"/>
      <w:szCs w:val="20"/>
    </w:rPr>
  </w:style>
  <w:style w:type="paragraph" w:styleId="29">
    <w:name w:val="toc 6"/>
    <w:basedOn w:val="1"/>
    <w:next w:val="1"/>
    <w:unhideWhenUsed/>
    <w:qFormat/>
    <w:uiPriority w:val="39"/>
    <w:pPr>
      <w:ind w:left="2100" w:leftChars="1000"/>
    </w:pPr>
    <w:rPr>
      <w:rFonts w:ascii="Calibri" w:hAnsi="Calibri"/>
      <w:szCs w:val="22"/>
    </w:rPr>
  </w:style>
  <w:style w:type="paragraph" w:styleId="30">
    <w:name w:val="Body Text Indent 3"/>
    <w:basedOn w:val="1"/>
    <w:link w:val="81"/>
    <w:qFormat/>
    <w:uiPriority w:val="0"/>
    <w:pPr>
      <w:spacing w:after="120"/>
      <w:ind w:left="420" w:leftChars="200"/>
    </w:pPr>
    <w:rPr>
      <w:sz w:val="16"/>
      <w:szCs w:val="16"/>
    </w:rPr>
  </w:style>
  <w:style w:type="paragraph" w:styleId="31">
    <w:name w:val="toc 2"/>
    <w:basedOn w:val="1"/>
    <w:next w:val="1"/>
    <w:qFormat/>
    <w:uiPriority w:val="39"/>
    <w:pPr>
      <w:ind w:left="420" w:leftChars="200"/>
    </w:pPr>
  </w:style>
  <w:style w:type="paragraph" w:styleId="32">
    <w:name w:val="toc 9"/>
    <w:basedOn w:val="1"/>
    <w:next w:val="1"/>
    <w:unhideWhenUsed/>
    <w:qFormat/>
    <w:uiPriority w:val="39"/>
    <w:pPr>
      <w:ind w:left="3360" w:leftChars="1600"/>
    </w:pPr>
    <w:rPr>
      <w:rFonts w:ascii="Calibri" w:hAnsi="Calibri"/>
      <w:szCs w:val="22"/>
    </w:rPr>
  </w:style>
  <w:style w:type="paragraph" w:styleId="33">
    <w:name w:val="Normal (Web)"/>
    <w:basedOn w:val="1"/>
    <w:qFormat/>
    <w:uiPriority w:val="0"/>
    <w:pPr>
      <w:widowControl/>
      <w:spacing w:before="100" w:beforeAutospacing="1" w:after="100" w:afterAutospacing="1"/>
      <w:jc w:val="left"/>
    </w:pPr>
    <w:rPr>
      <w:kern w:val="0"/>
      <w:sz w:val="24"/>
    </w:rPr>
  </w:style>
  <w:style w:type="paragraph" w:styleId="34">
    <w:name w:val="Title"/>
    <w:basedOn w:val="1"/>
    <w:link w:val="58"/>
    <w:qFormat/>
    <w:uiPriority w:val="0"/>
    <w:pPr>
      <w:adjustRightInd w:val="0"/>
      <w:spacing w:before="240" w:after="60" w:line="420" w:lineRule="atLeast"/>
      <w:jc w:val="center"/>
      <w:textAlignment w:val="baseline"/>
      <w:outlineLvl w:val="0"/>
    </w:pPr>
    <w:rPr>
      <w:rFonts w:ascii="Arial" w:hAnsi="Arial"/>
      <w:b/>
      <w:kern w:val="0"/>
      <w:sz w:val="32"/>
      <w:szCs w:val="20"/>
    </w:rPr>
  </w:style>
  <w:style w:type="paragraph" w:styleId="35">
    <w:name w:val="annotation subject"/>
    <w:basedOn w:val="14"/>
    <w:next w:val="14"/>
    <w:link w:val="69"/>
    <w:semiHidden/>
    <w:qFormat/>
    <w:uiPriority w:val="0"/>
    <w:rPr>
      <w:rFonts w:ascii="宋体"/>
      <w:b/>
      <w:kern w:val="0"/>
      <w:sz w:val="28"/>
    </w:rPr>
  </w:style>
  <w:style w:type="table" w:styleId="37">
    <w:name w:val="Table Grid"/>
    <w:basedOn w:val="3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uiPriority w:val="22"/>
    <w:rPr>
      <w:b/>
      <w:bCs/>
    </w:rPr>
  </w:style>
  <w:style w:type="character" w:styleId="40">
    <w:name w:val="page number"/>
    <w:basedOn w:val="38"/>
    <w:qFormat/>
    <w:uiPriority w:val="0"/>
  </w:style>
  <w:style w:type="character" w:styleId="41">
    <w:name w:val="Hyperlink"/>
    <w:qFormat/>
    <w:uiPriority w:val="99"/>
    <w:rPr>
      <w:color w:val="0000FF"/>
      <w:u w:val="single"/>
    </w:rPr>
  </w:style>
  <w:style w:type="character" w:styleId="42">
    <w:name w:val="annotation reference"/>
    <w:basedOn w:val="38"/>
    <w:qFormat/>
    <w:uiPriority w:val="99"/>
    <w:rPr>
      <w:sz w:val="21"/>
      <w:szCs w:val="21"/>
    </w:rPr>
  </w:style>
  <w:style w:type="character" w:customStyle="1" w:styleId="43">
    <w:name w:val="标题 1 字符"/>
    <w:link w:val="2"/>
    <w:qFormat/>
    <w:locked/>
    <w:uiPriority w:val="0"/>
    <w:rPr>
      <w:rFonts w:eastAsia="宋体"/>
      <w:b/>
      <w:bCs/>
      <w:kern w:val="44"/>
      <w:sz w:val="44"/>
      <w:szCs w:val="44"/>
      <w:lang w:val="en-US" w:eastAsia="zh-CN" w:bidi="ar-SA"/>
    </w:rPr>
  </w:style>
  <w:style w:type="character" w:customStyle="1" w:styleId="44">
    <w:name w:val="标题 2 字符"/>
    <w:link w:val="3"/>
    <w:qFormat/>
    <w:uiPriority w:val="0"/>
    <w:rPr>
      <w:rFonts w:ascii="Arial" w:hAnsi="Arial" w:eastAsia="黑体"/>
      <w:b/>
      <w:bCs/>
      <w:kern w:val="2"/>
      <w:sz w:val="32"/>
      <w:szCs w:val="32"/>
      <w:lang w:val="en-US" w:eastAsia="zh-CN" w:bidi="ar-SA"/>
    </w:rPr>
  </w:style>
  <w:style w:type="character" w:customStyle="1" w:styleId="45">
    <w:name w:val="标题 3 字符"/>
    <w:link w:val="4"/>
    <w:qFormat/>
    <w:locked/>
    <w:uiPriority w:val="0"/>
    <w:rPr>
      <w:rFonts w:eastAsia="宋体"/>
      <w:b/>
      <w:bCs/>
      <w:kern w:val="2"/>
      <w:sz w:val="32"/>
      <w:szCs w:val="32"/>
      <w:lang w:val="en-US" w:eastAsia="zh-CN" w:bidi="ar-SA"/>
    </w:rPr>
  </w:style>
  <w:style w:type="character" w:customStyle="1" w:styleId="46">
    <w:name w:val="标题 4 字符"/>
    <w:link w:val="5"/>
    <w:qFormat/>
    <w:locked/>
    <w:uiPriority w:val="0"/>
    <w:rPr>
      <w:rFonts w:ascii="Arial" w:hAnsi="Arial" w:eastAsia="黑体"/>
      <w:b/>
      <w:bCs/>
      <w:kern w:val="2"/>
      <w:sz w:val="28"/>
      <w:szCs w:val="28"/>
      <w:lang w:val="en-US" w:eastAsia="zh-CN" w:bidi="ar-SA"/>
    </w:rPr>
  </w:style>
  <w:style w:type="character" w:customStyle="1" w:styleId="47">
    <w:name w:val="标题 5 字符"/>
    <w:link w:val="6"/>
    <w:qFormat/>
    <w:locked/>
    <w:uiPriority w:val="0"/>
    <w:rPr>
      <w:rFonts w:ascii="Calibri" w:hAnsi="Calibri" w:eastAsia="宋体"/>
      <w:b/>
      <w:bCs/>
      <w:kern w:val="2"/>
      <w:sz w:val="28"/>
      <w:szCs w:val="28"/>
      <w:lang w:val="en-US" w:eastAsia="zh-CN" w:bidi="ar-SA"/>
    </w:rPr>
  </w:style>
  <w:style w:type="character" w:customStyle="1" w:styleId="48">
    <w:name w:val="标题 6 字符"/>
    <w:link w:val="7"/>
    <w:qFormat/>
    <w:locked/>
    <w:uiPriority w:val="0"/>
    <w:rPr>
      <w:rFonts w:ascii="Arial" w:hAnsi="Arial" w:eastAsia="黑体"/>
      <w:b/>
      <w:bCs/>
      <w:sz w:val="24"/>
      <w:szCs w:val="24"/>
      <w:lang w:val="en-US" w:eastAsia="zh-CN" w:bidi="ar-SA"/>
    </w:rPr>
  </w:style>
  <w:style w:type="character" w:customStyle="1" w:styleId="49">
    <w:name w:val="标题 7 字符"/>
    <w:link w:val="8"/>
    <w:qFormat/>
    <w:locked/>
    <w:uiPriority w:val="0"/>
    <w:rPr>
      <w:rFonts w:eastAsia="宋体"/>
      <w:b/>
      <w:bCs/>
      <w:sz w:val="24"/>
      <w:szCs w:val="24"/>
      <w:lang w:val="en-US" w:eastAsia="zh-CN" w:bidi="ar-SA"/>
    </w:rPr>
  </w:style>
  <w:style w:type="character" w:customStyle="1" w:styleId="50">
    <w:name w:val="标题 8 字符"/>
    <w:link w:val="9"/>
    <w:qFormat/>
    <w:locked/>
    <w:uiPriority w:val="0"/>
    <w:rPr>
      <w:rFonts w:ascii="Arial" w:hAnsi="Arial" w:eastAsia="黑体"/>
      <w:sz w:val="24"/>
      <w:szCs w:val="24"/>
      <w:lang w:val="en-US" w:eastAsia="zh-CN" w:bidi="ar-SA"/>
    </w:rPr>
  </w:style>
  <w:style w:type="character" w:customStyle="1" w:styleId="51">
    <w:name w:val="标题 9 字符"/>
    <w:link w:val="10"/>
    <w:qFormat/>
    <w:locked/>
    <w:uiPriority w:val="0"/>
    <w:rPr>
      <w:rFonts w:ascii="Arial" w:hAnsi="Arial" w:eastAsia="黑体"/>
      <w:sz w:val="21"/>
      <w:szCs w:val="21"/>
      <w:lang w:val="en-US" w:eastAsia="zh-CN" w:bidi="ar-SA"/>
    </w:rPr>
  </w:style>
  <w:style w:type="character" w:customStyle="1" w:styleId="52">
    <w:name w:val="页脚 字符"/>
    <w:link w:val="24"/>
    <w:qFormat/>
    <w:locked/>
    <w:uiPriority w:val="99"/>
    <w:rPr>
      <w:rFonts w:eastAsia="宋体"/>
      <w:kern w:val="2"/>
      <w:sz w:val="18"/>
      <w:szCs w:val="18"/>
      <w:lang w:val="en-US" w:eastAsia="zh-CN" w:bidi="ar-SA"/>
    </w:rPr>
  </w:style>
  <w:style w:type="paragraph" w:customStyle="1" w:styleId="53">
    <w:name w:val="样式 标题 3 + (中文) 黑体 小四 非加粗 段前: 7.8 磅 段后: 0 磅 行距: 固定值 20 磅"/>
    <w:basedOn w:val="4"/>
    <w:qFormat/>
    <w:uiPriority w:val="0"/>
    <w:pPr>
      <w:spacing w:before="0" w:after="0" w:line="400" w:lineRule="exact"/>
    </w:pPr>
    <w:rPr>
      <w:rFonts w:eastAsia="黑体" w:cs="宋体"/>
      <w:b w:val="0"/>
      <w:bCs w:val="0"/>
      <w:sz w:val="24"/>
      <w:szCs w:val="20"/>
    </w:rPr>
  </w:style>
  <w:style w:type="paragraph" w:customStyle="1" w:styleId="54">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bCs w:val="0"/>
      <w:sz w:val="28"/>
      <w:szCs w:val="20"/>
    </w:rPr>
  </w:style>
  <w:style w:type="character" w:customStyle="1" w:styleId="55">
    <w:name w:val="文档结构图 字符"/>
    <w:link w:val="13"/>
    <w:qFormat/>
    <w:locked/>
    <w:uiPriority w:val="0"/>
    <w:rPr>
      <w:rFonts w:eastAsia="宋体"/>
      <w:kern w:val="2"/>
      <w:sz w:val="21"/>
      <w:szCs w:val="24"/>
      <w:lang w:val="en-US" w:eastAsia="zh-CN" w:bidi="ar-SA"/>
    </w:rPr>
  </w:style>
  <w:style w:type="character" w:customStyle="1" w:styleId="56">
    <w:name w:val="页眉 字符"/>
    <w:link w:val="25"/>
    <w:qFormat/>
    <w:locked/>
    <w:uiPriority w:val="0"/>
    <w:rPr>
      <w:rFonts w:eastAsia="宋体"/>
      <w:kern w:val="2"/>
      <w:sz w:val="18"/>
      <w:szCs w:val="18"/>
      <w:lang w:val="en-US" w:eastAsia="zh-CN" w:bidi="ar-SA"/>
    </w:rPr>
  </w:style>
  <w:style w:type="paragraph" w:customStyle="1" w:styleId="57">
    <w:name w:val="样式 标题 1 + 黑体 三号 非加粗 居中 段前: 6 磅 段后: 6 磅 行距: 固定值 20 磅"/>
    <w:basedOn w:val="2"/>
    <w:qFormat/>
    <w:uiPriority w:val="0"/>
    <w:pPr>
      <w:spacing w:before="120" w:after="120" w:line="400" w:lineRule="exact"/>
      <w:jc w:val="center"/>
    </w:pPr>
    <w:rPr>
      <w:rFonts w:ascii="黑体" w:hAnsi="黑体" w:eastAsia="黑体" w:cs="宋体"/>
      <w:b w:val="0"/>
      <w:bCs w:val="0"/>
      <w:sz w:val="32"/>
      <w:szCs w:val="20"/>
    </w:rPr>
  </w:style>
  <w:style w:type="character" w:customStyle="1" w:styleId="58">
    <w:name w:val="标题 字符"/>
    <w:link w:val="34"/>
    <w:qFormat/>
    <w:locked/>
    <w:uiPriority w:val="0"/>
    <w:rPr>
      <w:rFonts w:ascii="Arial" w:hAnsi="Arial" w:eastAsia="宋体"/>
      <w:b/>
      <w:sz w:val="32"/>
      <w:lang w:val="en-US" w:eastAsia="zh-CN" w:bidi="ar-SA"/>
    </w:rPr>
  </w:style>
  <w:style w:type="paragraph" w:customStyle="1" w:styleId="59">
    <w:name w:val="1"/>
    <w:basedOn w:val="1"/>
    <w:qFormat/>
    <w:uiPriority w:val="0"/>
  </w:style>
  <w:style w:type="character" w:customStyle="1" w:styleId="60">
    <w:name w:val="font161"/>
    <w:qFormat/>
    <w:uiPriority w:val="0"/>
    <w:rPr>
      <w:b/>
      <w:bCs/>
      <w:sz w:val="32"/>
      <w:szCs w:val="32"/>
    </w:rPr>
  </w:style>
  <w:style w:type="character" w:customStyle="1" w:styleId="61">
    <w:name w:val="正文文本 字符"/>
    <w:link w:val="16"/>
    <w:qFormat/>
    <w:locked/>
    <w:uiPriority w:val="0"/>
    <w:rPr>
      <w:rFonts w:eastAsia="宋体"/>
      <w:kern w:val="2"/>
      <w:sz w:val="21"/>
      <w:szCs w:val="24"/>
      <w:lang w:val="en-US" w:eastAsia="zh-CN" w:bidi="ar-SA"/>
    </w:rPr>
  </w:style>
  <w:style w:type="paragraph" w:customStyle="1" w:styleId="62">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character" w:customStyle="1" w:styleId="63">
    <w:name w:val="日期 字符"/>
    <w:link w:val="22"/>
    <w:qFormat/>
    <w:locked/>
    <w:uiPriority w:val="0"/>
    <w:rPr>
      <w:rFonts w:eastAsia="宋体"/>
      <w:kern w:val="2"/>
      <w:sz w:val="24"/>
      <w:lang w:val="en-US" w:eastAsia="zh-CN" w:bidi="ar-SA"/>
    </w:rPr>
  </w:style>
  <w:style w:type="paragraph" w:customStyle="1" w:styleId="64">
    <w:name w:val="表格"/>
    <w:basedOn w:val="1"/>
    <w:qFormat/>
    <w:uiPriority w:val="0"/>
    <w:pPr>
      <w:jc w:val="center"/>
      <w:textAlignment w:val="center"/>
    </w:pPr>
    <w:rPr>
      <w:rFonts w:ascii="华文细黑" w:hAnsi="华文细黑"/>
      <w:kern w:val="0"/>
      <w:szCs w:val="20"/>
    </w:rPr>
  </w:style>
  <w:style w:type="paragraph" w:customStyle="1" w:styleId="65">
    <w:name w:val="表格文字"/>
    <w:basedOn w:val="1"/>
    <w:qFormat/>
    <w:uiPriority w:val="0"/>
    <w:pPr>
      <w:adjustRightInd w:val="0"/>
      <w:spacing w:line="420" w:lineRule="atLeast"/>
      <w:jc w:val="left"/>
      <w:textAlignment w:val="baseline"/>
    </w:pPr>
    <w:rPr>
      <w:kern w:val="0"/>
      <w:szCs w:val="20"/>
    </w:rPr>
  </w:style>
  <w:style w:type="character" w:customStyle="1" w:styleId="66">
    <w:name w:val="访问过的超链接1"/>
    <w:qFormat/>
    <w:uiPriority w:val="0"/>
    <w:rPr>
      <w:color w:val="800080"/>
      <w:u w:val="single"/>
    </w:rPr>
  </w:style>
  <w:style w:type="character" w:customStyle="1" w:styleId="67">
    <w:name w:val="标题4 Char Char"/>
    <w:link w:val="68"/>
    <w:qFormat/>
    <w:locked/>
    <w:uiPriority w:val="0"/>
    <w:rPr>
      <w:rFonts w:ascii="Arial" w:hAnsi="Arial"/>
      <w:b/>
      <w:sz w:val="32"/>
      <w:lang w:bidi="ar-SA"/>
    </w:rPr>
  </w:style>
  <w:style w:type="paragraph" w:customStyle="1" w:styleId="68">
    <w:name w:val="标题4"/>
    <w:basedOn w:val="3"/>
    <w:next w:val="18"/>
    <w:link w:val="67"/>
    <w:qFormat/>
    <w:uiPriority w:val="0"/>
    <w:pPr>
      <w:spacing w:line="413" w:lineRule="auto"/>
    </w:pPr>
    <w:rPr>
      <w:rFonts w:eastAsia="宋体"/>
      <w:bCs w:val="0"/>
      <w:kern w:val="0"/>
      <w:szCs w:val="20"/>
    </w:rPr>
  </w:style>
  <w:style w:type="character" w:customStyle="1" w:styleId="69">
    <w:name w:val="批注主题 字符"/>
    <w:link w:val="35"/>
    <w:qFormat/>
    <w:locked/>
    <w:uiPriority w:val="0"/>
    <w:rPr>
      <w:rFonts w:ascii="宋体"/>
      <w:b/>
      <w:sz w:val="28"/>
      <w:lang w:bidi="ar-SA"/>
    </w:rPr>
  </w:style>
  <w:style w:type="character" w:customStyle="1" w:styleId="70">
    <w:name w:val="批注文字 字符"/>
    <w:link w:val="14"/>
    <w:qFormat/>
    <w:locked/>
    <w:uiPriority w:val="99"/>
    <w:rPr>
      <w:kern w:val="2"/>
      <w:sz w:val="22"/>
      <w:lang w:bidi="ar-SA"/>
    </w:rPr>
  </w:style>
  <w:style w:type="character" w:customStyle="1" w:styleId="71">
    <w:name w:val="Intense Quote Char"/>
    <w:link w:val="72"/>
    <w:qFormat/>
    <w:locked/>
    <w:uiPriority w:val="0"/>
    <w:rPr>
      <w:b/>
      <w:i/>
      <w:color w:val="4F81BD"/>
      <w:kern w:val="2"/>
      <w:sz w:val="22"/>
      <w:lang w:bidi="ar-SA"/>
    </w:rPr>
  </w:style>
  <w:style w:type="paragraph" w:customStyle="1" w:styleId="72">
    <w:name w:val="明显引用1"/>
    <w:basedOn w:val="1"/>
    <w:next w:val="1"/>
    <w:link w:val="71"/>
    <w:qFormat/>
    <w:uiPriority w:val="0"/>
    <w:pPr>
      <w:pBdr>
        <w:bottom w:val="single" w:color="4F81BD" w:sz="4" w:space="4"/>
      </w:pBdr>
      <w:spacing w:before="200" w:after="280"/>
      <w:ind w:left="936" w:right="936"/>
    </w:pPr>
    <w:rPr>
      <w:b/>
      <w:i/>
      <w:color w:val="4F81BD"/>
      <w:sz w:val="22"/>
      <w:szCs w:val="20"/>
    </w:rPr>
  </w:style>
  <w:style w:type="character" w:customStyle="1" w:styleId="73">
    <w:name w:val="副标题 字符"/>
    <w:link w:val="28"/>
    <w:qFormat/>
    <w:locked/>
    <w:uiPriority w:val="0"/>
    <w:rPr>
      <w:rFonts w:ascii="Cambria" w:hAnsi="Cambria"/>
      <w:b/>
      <w:kern w:val="28"/>
      <w:sz w:val="32"/>
      <w:lang w:bidi="ar-SA"/>
    </w:rPr>
  </w:style>
  <w:style w:type="character" w:customStyle="1" w:styleId="74">
    <w:name w:val="标题5 Char Char"/>
    <w:link w:val="75"/>
    <w:qFormat/>
    <w:locked/>
    <w:uiPriority w:val="0"/>
    <w:rPr>
      <w:rFonts w:ascii="Arial" w:hAnsi="Arial"/>
      <w:b/>
      <w:sz w:val="32"/>
      <w:lang w:bidi="ar-SA"/>
    </w:rPr>
  </w:style>
  <w:style w:type="paragraph" w:customStyle="1" w:styleId="75">
    <w:name w:val="标题5"/>
    <w:basedOn w:val="4"/>
    <w:link w:val="74"/>
    <w:qFormat/>
    <w:uiPriority w:val="0"/>
    <w:pPr>
      <w:spacing w:line="413" w:lineRule="auto"/>
    </w:pPr>
    <w:rPr>
      <w:rFonts w:ascii="Arial" w:hAnsi="Arial"/>
      <w:bCs w:val="0"/>
      <w:kern w:val="0"/>
      <w:szCs w:val="20"/>
    </w:rPr>
  </w:style>
  <w:style w:type="character" w:customStyle="1" w:styleId="76">
    <w:name w:val="批注框文本 字符"/>
    <w:link w:val="23"/>
    <w:qFormat/>
    <w:locked/>
    <w:uiPriority w:val="0"/>
    <w:rPr>
      <w:rFonts w:ascii="宋体"/>
      <w:sz w:val="18"/>
      <w:lang w:bidi="ar-SA"/>
    </w:rPr>
  </w:style>
  <w:style w:type="character" w:customStyle="1" w:styleId="77">
    <w:name w:val="Quote Char"/>
    <w:link w:val="78"/>
    <w:qFormat/>
    <w:locked/>
    <w:uiPriority w:val="0"/>
    <w:rPr>
      <w:i/>
      <w:color w:val="000000"/>
      <w:kern w:val="2"/>
      <w:sz w:val="22"/>
      <w:lang w:bidi="ar-SA"/>
    </w:rPr>
  </w:style>
  <w:style w:type="paragraph" w:customStyle="1" w:styleId="78">
    <w:name w:val="引用1"/>
    <w:basedOn w:val="1"/>
    <w:next w:val="1"/>
    <w:link w:val="77"/>
    <w:qFormat/>
    <w:uiPriority w:val="0"/>
    <w:rPr>
      <w:i/>
      <w:color w:val="000000"/>
      <w:sz w:val="22"/>
      <w:szCs w:val="20"/>
    </w:rPr>
  </w:style>
  <w:style w:type="character" w:customStyle="1" w:styleId="79">
    <w:name w:val="正文文本 3 字符"/>
    <w:link w:val="15"/>
    <w:qFormat/>
    <w:uiPriority w:val="0"/>
    <w:rPr>
      <w:rFonts w:ascii="宋体"/>
      <w:kern w:val="2"/>
      <w:sz w:val="24"/>
    </w:rPr>
  </w:style>
  <w:style w:type="character" w:customStyle="1" w:styleId="80">
    <w:name w:val="正文文本缩进 字符"/>
    <w:link w:val="17"/>
    <w:qFormat/>
    <w:uiPriority w:val="0"/>
    <w:rPr>
      <w:kern w:val="2"/>
      <w:sz w:val="21"/>
      <w:szCs w:val="24"/>
    </w:rPr>
  </w:style>
  <w:style w:type="character" w:customStyle="1" w:styleId="81">
    <w:name w:val="正文文本缩进 3 字符"/>
    <w:link w:val="30"/>
    <w:qFormat/>
    <w:uiPriority w:val="0"/>
    <w:rPr>
      <w:kern w:val="2"/>
      <w:sz w:val="16"/>
      <w:szCs w:val="16"/>
    </w:rPr>
  </w:style>
  <w:style w:type="character" w:customStyle="1" w:styleId="82">
    <w:name w:val="批注主题 Char1"/>
    <w:semiHidden/>
    <w:qFormat/>
    <w:uiPriority w:val="99"/>
    <w:rPr>
      <w:b/>
      <w:bCs/>
    </w:rPr>
  </w:style>
  <w:style w:type="paragraph" w:customStyle="1" w:styleId="83">
    <w:name w:val="明显引用11"/>
    <w:basedOn w:val="1"/>
    <w:next w:val="1"/>
    <w:qFormat/>
    <w:uiPriority w:val="0"/>
    <w:pPr>
      <w:pBdr>
        <w:bottom w:val="single" w:color="4F81BD" w:sz="4" w:space="4"/>
      </w:pBdr>
      <w:spacing w:before="200" w:after="280"/>
      <w:ind w:left="936" w:right="936"/>
    </w:pPr>
    <w:rPr>
      <w:rFonts w:ascii="Calibri" w:hAnsi="Calibri"/>
      <w:b/>
      <w:i/>
      <w:color w:val="4F81BD"/>
      <w:sz w:val="22"/>
      <w:szCs w:val="22"/>
    </w:rPr>
  </w:style>
  <w:style w:type="character" w:customStyle="1" w:styleId="84">
    <w:name w:val="副标题 Char1"/>
    <w:qFormat/>
    <w:uiPriority w:val="11"/>
    <w:rPr>
      <w:rFonts w:ascii="Cambria" w:hAnsi="Cambria" w:eastAsia="宋体" w:cs="Times New Roman"/>
      <w:b/>
      <w:bCs/>
      <w:kern w:val="28"/>
      <w:sz w:val="32"/>
      <w:szCs w:val="32"/>
    </w:rPr>
  </w:style>
  <w:style w:type="character" w:customStyle="1" w:styleId="85">
    <w:name w:val="批注框文本 Char1"/>
    <w:semiHidden/>
    <w:qFormat/>
    <w:uiPriority w:val="99"/>
    <w:rPr>
      <w:sz w:val="18"/>
      <w:szCs w:val="18"/>
    </w:rPr>
  </w:style>
  <w:style w:type="paragraph" w:customStyle="1" w:styleId="86">
    <w:name w:val="引用11"/>
    <w:basedOn w:val="1"/>
    <w:next w:val="1"/>
    <w:qFormat/>
    <w:uiPriority w:val="0"/>
    <w:rPr>
      <w:rFonts w:ascii="Calibri" w:hAnsi="Calibri"/>
      <w:i/>
      <w:color w:val="000000"/>
      <w:sz w:val="22"/>
      <w:szCs w:val="22"/>
    </w:rPr>
  </w:style>
  <w:style w:type="paragraph" w:customStyle="1" w:styleId="87">
    <w:name w:val="Char Char1 Char Char Char Char Char Char Char"/>
    <w:basedOn w:val="1"/>
    <w:qFormat/>
    <w:uiPriority w:val="0"/>
  </w:style>
  <w:style w:type="character" w:customStyle="1" w:styleId="88">
    <w:name w:val="批注文字 Char"/>
    <w:semiHidden/>
    <w:qFormat/>
    <w:uiPriority w:val="99"/>
    <w:rPr>
      <w:kern w:val="2"/>
      <w:sz w:val="21"/>
      <w:szCs w:val="24"/>
    </w:rPr>
  </w:style>
  <w:style w:type="character" w:styleId="89">
    <w:name w:val="Placeholder Text"/>
    <w:basedOn w:val="38"/>
    <w:semiHidden/>
    <w:qFormat/>
    <w:uiPriority w:val="99"/>
    <w:rPr>
      <w:color w:val="808080"/>
    </w:rPr>
  </w:style>
  <w:style w:type="paragraph" w:customStyle="1" w:styleId="90">
    <w:name w:val="修订1"/>
    <w:hidden/>
    <w:semiHidden/>
    <w:qFormat/>
    <w:uiPriority w:val="99"/>
    <w:rPr>
      <w:rFonts w:ascii="Times New Roman" w:hAnsi="Times New Roman" w:eastAsia="宋体" w:cs="Times New Roman"/>
      <w:kern w:val="2"/>
      <w:sz w:val="21"/>
      <w:szCs w:val="24"/>
      <w:lang w:val="en-US" w:eastAsia="zh-CN" w:bidi="ar-SA"/>
    </w:rPr>
  </w:style>
  <w:style w:type="paragraph" w:styleId="91">
    <w:name w:val="List Paragraph"/>
    <w:basedOn w:val="1"/>
    <w:qFormat/>
    <w:uiPriority w:val="99"/>
    <w:pPr>
      <w:ind w:firstLine="420" w:firstLineChars="200"/>
    </w:pPr>
  </w:style>
  <w:style w:type="paragraph" w:customStyle="1" w:styleId="92">
    <w:name w:val="Revision"/>
    <w:hidden/>
    <w:semiHidden/>
    <w:qFormat/>
    <w:uiPriority w:val="99"/>
    <w:rPr>
      <w:rFonts w:ascii="Times New Roman" w:hAnsi="Times New Roman" w:eastAsia="宋体" w:cs="Times New Roman"/>
      <w:kern w:val="2"/>
      <w:sz w:val="21"/>
      <w:szCs w:val="24"/>
      <w:lang w:val="en-US" w:eastAsia="zh-CN" w:bidi="ar-SA"/>
    </w:rPr>
  </w:style>
  <w:style w:type="character" w:customStyle="1" w:styleId="93">
    <w:name w:val="Unresolved Mention"/>
    <w:basedOn w:val="38"/>
    <w:semiHidden/>
    <w:unhideWhenUsed/>
    <w:qFormat/>
    <w:uiPriority w:val="99"/>
    <w:rPr>
      <w:color w:val="605E5C"/>
      <w:shd w:val="clear" w:color="auto" w:fill="E1DFDD"/>
    </w:rPr>
  </w:style>
  <w:style w:type="paragraph" w:customStyle="1" w:styleId="94">
    <w:name w:val="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95">
    <w:name w:val="Table Text"/>
    <w:basedOn w:val="1"/>
    <w:semiHidden/>
    <w:qFormat/>
    <w:uiPriority w:val="0"/>
    <w:rPr>
      <w:rFonts w:ascii="宋体" w:hAnsi="宋体" w:eastAsia="宋体" w:cs="宋体"/>
      <w:sz w:val="18"/>
      <w:szCs w:val="18"/>
      <w:lang w:val="en-US" w:eastAsia="en-US" w:bidi="ar-SA"/>
    </w:rPr>
  </w:style>
  <w:style w:type="table" w:customStyle="1" w:styleId="9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14.wmf"/><Relationship Id="rId54" Type="http://schemas.openxmlformats.org/officeDocument/2006/relationships/oleObject" Target="embeddings/oleObject5.bin"/><Relationship Id="rId53" Type="http://schemas.openxmlformats.org/officeDocument/2006/relationships/image" Target="media/image13.wmf"/><Relationship Id="rId52" Type="http://schemas.openxmlformats.org/officeDocument/2006/relationships/oleObject" Target="embeddings/oleObject4.bin"/><Relationship Id="rId51" Type="http://schemas.openxmlformats.org/officeDocument/2006/relationships/image" Target="media/image12.wmf"/><Relationship Id="rId50" Type="http://schemas.openxmlformats.org/officeDocument/2006/relationships/oleObject" Target="embeddings/oleObject3.bin"/><Relationship Id="rId5" Type="http://schemas.openxmlformats.org/officeDocument/2006/relationships/header" Target="header3.xml"/><Relationship Id="rId49" Type="http://schemas.openxmlformats.org/officeDocument/2006/relationships/image" Target="media/image11.wmf"/><Relationship Id="rId48" Type="http://schemas.openxmlformats.org/officeDocument/2006/relationships/oleObject" Target="embeddings/oleObject2.bin"/><Relationship Id="rId47" Type="http://schemas.openxmlformats.org/officeDocument/2006/relationships/image" Target="media/image10.wmf"/><Relationship Id="rId46" Type="http://schemas.openxmlformats.org/officeDocument/2006/relationships/oleObject" Target="embeddings/oleObject1.bin"/><Relationship Id="rId45" Type="http://schemas.openxmlformats.org/officeDocument/2006/relationships/image" Target="media/image9.png"/><Relationship Id="rId44" Type="http://schemas.openxmlformats.org/officeDocument/2006/relationships/image" Target="media/image8.png"/><Relationship Id="rId43" Type="http://schemas.openxmlformats.org/officeDocument/2006/relationships/image" Target="media/image7.png"/><Relationship Id="rId42" Type="http://schemas.openxmlformats.org/officeDocument/2006/relationships/image" Target="media/image6.png"/><Relationship Id="rId41" Type="http://schemas.openxmlformats.org/officeDocument/2006/relationships/image" Target="media/image5.png"/><Relationship Id="rId40" Type="http://schemas.openxmlformats.org/officeDocument/2006/relationships/image" Target="media/image4.png"/><Relationship Id="rId4" Type="http://schemas.openxmlformats.org/officeDocument/2006/relationships/header" Target="header2.xml"/><Relationship Id="rId39" Type="http://schemas.openxmlformats.org/officeDocument/2006/relationships/image" Target="media/image3.png"/><Relationship Id="rId38" Type="http://schemas.openxmlformats.org/officeDocument/2006/relationships/image" Target="media/image2.png"/><Relationship Id="rId37" Type="http://schemas.openxmlformats.org/officeDocument/2006/relationships/image" Target="media/image1.png"/><Relationship Id="rId36" Type="http://schemas.openxmlformats.org/officeDocument/2006/relationships/theme" Target="theme/theme1.xml"/><Relationship Id="rId35" Type="http://schemas.openxmlformats.org/officeDocument/2006/relationships/footer" Target="footer17.xml"/><Relationship Id="rId34" Type="http://schemas.openxmlformats.org/officeDocument/2006/relationships/footer" Target="footer16.xml"/><Relationship Id="rId33" Type="http://schemas.openxmlformats.org/officeDocument/2006/relationships/header" Target="header16.xml"/><Relationship Id="rId32" Type="http://schemas.openxmlformats.org/officeDocument/2006/relationships/header" Target="header15.xml"/><Relationship Id="rId31" Type="http://schemas.openxmlformats.org/officeDocument/2006/relationships/header" Target="header14.xml"/><Relationship Id="rId30" Type="http://schemas.openxmlformats.org/officeDocument/2006/relationships/footer" Target="footer15.xml"/><Relationship Id="rId3" Type="http://schemas.openxmlformats.org/officeDocument/2006/relationships/header" Target="header1.xml"/><Relationship Id="rId29" Type="http://schemas.openxmlformats.org/officeDocument/2006/relationships/footer" Target="footer14.xml"/><Relationship Id="rId28" Type="http://schemas.openxmlformats.org/officeDocument/2006/relationships/header" Target="header13.xml"/><Relationship Id="rId27" Type="http://schemas.openxmlformats.org/officeDocument/2006/relationships/header" Target="header12.xml"/><Relationship Id="rId26" Type="http://schemas.openxmlformats.org/officeDocument/2006/relationships/header" Target="header1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header" Target="header10.xml"/><Relationship Id="rId22" Type="http://schemas.openxmlformats.org/officeDocument/2006/relationships/header" Target="header9.xml"/><Relationship Id="rId21" Type="http://schemas.openxmlformats.org/officeDocument/2006/relationships/header" Target="header8.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header" Target="header6.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26031</Words>
  <Characters>148382</Characters>
  <Lines>1236</Lines>
  <Paragraphs>348</Paragraphs>
  <TotalTime>81</TotalTime>
  <ScaleCrop>false</ScaleCrop>
  <LinksUpToDate>false</LinksUpToDate>
  <CharactersWithSpaces>174065</CharactersWithSpaces>
  <Application>WPS Office_6.4.0.8550_F1E327BC-269C-435d-A152-05C5408002CA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2020-07-19T00:18:00Z</dcterms:created>
  <dc:creator>Q lee</dc:creator>
  <cp:lastModifiedBy>CKC</cp:lastModifiedBy>
  <cp:lastPrinted>2022-09-16T23:31:00Z</cp:lastPrinted>
  <dcterms:modified xsi:type="dcterms:W3CDTF">2023-12-05T13:16:21Z</dcterms:modified>
  <dc:title>房屋建筑和市政工程标准施工招标文件(综合评估法)</dc:title>
  <cp:revision>109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2052-6.4.0.8550</vt:lpwstr>
  </property>
  <property fmtid="{D5CDD505-2E9C-101B-9397-08002B2CF9AE}" pid="3" name="ICV">
    <vt:lpwstr>11DE956653745FC725B26E65FF211D81_43</vt:lpwstr>
  </property>
</Properties>
</file>