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52"/>
          <w:szCs w:val="52"/>
        </w:rPr>
      </w:pPr>
      <w:r>
        <w:rPr>
          <w:rFonts w:hint="eastAsia"/>
          <w:b/>
          <w:bCs/>
          <w:sz w:val="52"/>
          <w:szCs w:val="52"/>
        </w:rPr>
        <w:t>202</w:t>
      </w:r>
      <w:r>
        <w:rPr>
          <w:rFonts w:hint="eastAsia"/>
          <w:b/>
          <w:bCs/>
          <w:sz w:val="52"/>
          <w:szCs w:val="52"/>
          <w:lang w:val="en-US" w:eastAsia="zh-CN"/>
        </w:rPr>
        <w:t>3</w:t>
      </w:r>
      <w:r>
        <w:rPr>
          <w:rFonts w:hint="eastAsia"/>
          <w:b/>
          <w:bCs/>
          <w:sz w:val="52"/>
          <w:szCs w:val="52"/>
        </w:rPr>
        <w:t>年</w:t>
      </w:r>
    </w:p>
    <w:p>
      <w:pPr>
        <w:jc w:val="center"/>
        <w:rPr>
          <w:b/>
          <w:bCs/>
          <w:sz w:val="52"/>
          <w:szCs w:val="52"/>
        </w:rPr>
      </w:pPr>
      <w:r>
        <w:rPr>
          <w:rFonts w:hint="eastAsia"/>
          <w:b/>
          <w:bCs/>
          <w:sz w:val="52"/>
          <w:szCs w:val="52"/>
        </w:rPr>
        <w:t>海南省公共资源交易服务中心预算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28"/>
          <w:szCs w:val="28"/>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rPr>
        <w:t>海南省公共资源交易服务中心</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仿宋_GB2312" w:hAnsi="黑体" w:eastAsia="仿宋_GB2312" w:cs="仿宋_GB2312"/>
          <w:sz w:val="32"/>
          <w:szCs w:val="32"/>
        </w:rPr>
        <w:t>机购设置</w:t>
      </w:r>
    </w:p>
    <w:p>
      <w:pPr>
        <w:pStyle w:val="8"/>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rPr>
        <w:t>海南省公共资源交易服务中心202</w:t>
      </w:r>
      <w:r>
        <w:rPr>
          <w:rFonts w:hint="eastAsia" w:ascii="黑体" w:hAnsi="黑体" w:eastAsia="黑体" w:cs="黑体"/>
          <w:sz w:val="32"/>
          <w:szCs w:val="32"/>
          <w:lang w:val="en-US" w:eastAsia="zh-CN"/>
        </w:rPr>
        <w:t>3</w:t>
      </w:r>
      <w:r>
        <w:rPr>
          <w:rFonts w:hint="eastAsia" w:ascii="黑体" w:hAnsi="黑体" w:eastAsia="黑体"/>
          <w:sz w:val="32"/>
          <w:szCs w:val="32"/>
        </w:rPr>
        <w:t>年预算表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rPr>
        <w:t>海南省公共资源交易服务中心202</w:t>
      </w:r>
      <w:r>
        <w:rPr>
          <w:rFonts w:hint="eastAsia" w:ascii="黑体" w:hAnsi="黑体" w:eastAsia="黑体" w:cs="黑体"/>
          <w:sz w:val="32"/>
          <w:szCs w:val="32"/>
          <w:lang w:val="en-US" w:eastAsia="zh-CN"/>
        </w:rPr>
        <w:t>3</w:t>
      </w:r>
      <w:r>
        <w:rPr>
          <w:rFonts w:hint="eastAsia" w:ascii="黑体" w:hAnsi="黑体" w:eastAsia="黑体"/>
          <w:sz w:val="32"/>
          <w:szCs w:val="32"/>
        </w:rPr>
        <w:t>年预算情况说明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cs="黑体"/>
          <w:sz w:val="32"/>
          <w:szCs w:val="32"/>
        </w:rPr>
        <w:t>海南省公共资源交易服务中心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ind w:firstLine="640"/>
        <w:jc w:val="left"/>
        <w:rPr>
          <w:rFonts w:ascii="仿宋_GB2312" w:eastAsia="仿宋_GB2312"/>
          <w:sz w:val="32"/>
          <w:szCs w:val="32"/>
        </w:rPr>
      </w:pPr>
      <w:r>
        <w:rPr>
          <w:rFonts w:hint="eastAsia" w:eastAsia="仿宋_GB2312"/>
          <w:sz w:val="32"/>
          <w:szCs w:val="32"/>
        </w:rPr>
        <w:t>省公共资源交易服务中心</w:t>
      </w:r>
      <w:r>
        <w:rPr>
          <w:rFonts w:hint="eastAsia" w:ascii="仿宋_GB2312" w:eastAsia="仿宋_GB2312"/>
          <w:sz w:val="32"/>
          <w:szCs w:val="32"/>
        </w:rPr>
        <w:t>是正处级公益一类事业单位。</w:t>
      </w:r>
      <w:r>
        <w:rPr>
          <w:rFonts w:hint="eastAsia" w:ascii="仿宋" w:hAnsi="仿宋" w:eastAsia="仿宋"/>
          <w:sz w:val="32"/>
          <w:szCs w:val="32"/>
        </w:rPr>
        <w:t>负责为各类交易活动提供场所、设施和服务，</w:t>
      </w:r>
      <w:r>
        <w:rPr>
          <w:rFonts w:hint="eastAsia" w:ascii="仿宋" w:hAnsi="仿宋" w:eastAsia="仿宋"/>
          <w:color w:val="000000"/>
          <w:sz w:val="32"/>
          <w:szCs w:val="32"/>
        </w:rPr>
        <w:t>独立负责交易项目预约登记、招标投标信息发布、评标专家抽取、开标评标现场管理、中标公示、评标结果确认、交易结果见证、中标通知书变更、企业信息资料入库核验、招标投标热线电话咨询、交易数据统计、交易档案管理等具体工作，并为有关单位提供交易档案查询服务；负责政府采购代理及药械采购工作；为有关行政主管部门和对公共资源交易负有监督职责的部门实施监管提供场地服务和设施保障，见证公共资源进场交易过程，答复公共资源交易有关询问和质疑；做好省综合评标专家库抽取终端日常管理和维护，协助项目业主或其委托的招标代理机构完成专家抽取工作；记录评标专家的出勤情况和评审活动，并将有关情况报省综合评标专家管理委员会办公室；严格管理公共资源交易活动，发现违法、违规等行为，及时报告有关行政主管部门和省公共资源交易管理委员会办公室，积极配合和协助有关部门调查处理；按照有关规定收取招标代理服务费、交易场地和设备出租使用费，妥善管理和及时退还投标保证金；完成</w:t>
      </w:r>
      <w:r>
        <w:rPr>
          <w:rFonts w:hint="eastAsia" w:ascii="仿宋" w:hAnsi="仿宋" w:eastAsia="仿宋"/>
          <w:color w:val="000000"/>
          <w:sz w:val="32"/>
          <w:szCs w:val="32"/>
          <w:lang w:eastAsia="zh-CN"/>
        </w:rPr>
        <w:t>主管部门</w:t>
      </w:r>
      <w:r>
        <w:rPr>
          <w:rFonts w:hint="eastAsia" w:ascii="仿宋" w:hAnsi="仿宋" w:eastAsia="仿宋"/>
          <w:color w:val="000000"/>
          <w:sz w:val="32"/>
          <w:szCs w:val="32"/>
        </w:rPr>
        <w:t>交办的其它工作事项。</w:t>
      </w:r>
    </w:p>
    <w:p>
      <w:pPr>
        <w:pStyle w:val="8"/>
        <w:ind w:firstLine="640"/>
        <w:jc w:val="left"/>
        <w:rPr>
          <w:rFonts w:ascii="仿宋_GB2312" w:hAnsi="黑体" w:eastAsia="仿宋_GB2312" w:cs="仿宋_GB2312"/>
          <w:sz w:val="32"/>
          <w:szCs w:val="32"/>
        </w:rPr>
      </w:pPr>
    </w:p>
    <w:p>
      <w:pPr>
        <w:pStyle w:val="8"/>
        <w:ind w:firstLine="640"/>
        <w:jc w:val="left"/>
        <w:rPr>
          <w:rFonts w:ascii="仿宋_GB2312" w:hAnsi="黑体" w:eastAsia="仿宋_GB2312" w:cs="仿宋_GB2312"/>
          <w:sz w:val="32"/>
          <w:szCs w:val="32"/>
        </w:rPr>
      </w:pPr>
    </w:p>
    <w:p>
      <w:pPr>
        <w:rPr>
          <w:rFonts w:hint="eastAsia" w:ascii="黑体" w:hAnsi="黑体" w:eastAsia="黑体"/>
          <w:sz w:val="32"/>
          <w:szCs w:val="32"/>
        </w:rPr>
      </w:pPr>
      <w:r>
        <w:rPr>
          <w:rFonts w:hint="eastAsia" w:ascii="黑体" w:hAnsi="黑体" w:eastAsia="黑体"/>
          <w:sz w:val="32"/>
          <w:szCs w:val="32"/>
        </w:rPr>
        <w:t>二、机购设置</w:t>
      </w:r>
    </w:p>
    <w:p>
      <w:pPr>
        <w:ind w:firstLine="640" w:firstLineChars="200"/>
        <w:rPr>
          <w:rFonts w:ascii="仿宋_GB2312" w:eastAsia="仿宋_GB2312"/>
          <w:sz w:val="32"/>
          <w:szCs w:val="32"/>
        </w:rPr>
      </w:pPr>
      <w:r>
        <w:rPr>
          <w:rFonts w:hint="eastAsia" w:eastAsia="仿宋_GB2312"/>
          <w:sz w:val="32"/>
          <w:szCs w:val="32"/>
        </w:rPr>
        <w:t>省公共资源交易服务中心</w:t>
      </w:r>
      <w:r>
        <w:rPr>
          <w:rFonts w:hint="eastAsia" w:ascii="仿宋_GB2312" w:eastAsia="仿宋_GB2312"/>
          <w:sz w:val="32"/>
          <w:szCs w:val="32"/>
        </w:rPr>
        <w:t>内设综合科、项目管理科、交易服务科、信息管理科、质量监管科、政府采购科等6个科级机构。</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仿宋_GB2312" w:eastAsia="仿宋_GB2312"/>
          <w:sz w:val="32"/>
          <w:szCs w:val="32"/>
        </w:rPr>
      </w:pPr>
    </w:p>
    <w:p>
      <w:pPr>
        <w:ind w:firstLine="140" w:firstLineChars="44"/>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海南省公共资源交易服务中心202</w:t>
      </w:r>
      <w:r>
        <w:rPr>
          <w:rFonts w:hint="eastAsia" w:ascii="黑体" w:hAnsi="黑体" w:eastAsia="黑体" w:cs="黑体"/>
          <w:sz w:val="32"/>
          <w:szCs w:val="32"/>
          <w:lang w:val="en-US" w:eastAsia="zh-CN"/>
        </w:rPr>
        <w:t>3</w:t>
      </w:r>
      <w:r>
        <w:rPr>
          <w:rFonts w:hint="eastAsia" w:ascii="黑体" w:hAnsi="黑体" w:eastAsia="黑体" w:cs="黑体"/>
          <w:sz w:val="32"/>
          <w:szCs w:val="32"/>
        </w:rPr>
        <w:t>年</w:t>
      </w:r>
      <w:r>
        <w:rPr>
          <w:rFonts w:hint="eastAsia" w:ascii="黑体" w:hAnsi="黑体" w:eastAsia="黑体"/>
          <w:sz w:val="32"/>
          <w:szCs w:val="32"/>
        </w:rPr>
        <w:t>预算表</w:t>
      </w:r>
    </w:p>
    <w:p>
      <w:pPr>
        <w:pStyle w:val="8"/>
        <w:numPr>
          <w:ilvl w:val="0"/>
          <w:numId w:val="0"/>
        </w:numPr>
        <w:ind w:left="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numPr>
          <w:ilvl w:val="0"/>
          <w:numId w:val="0"/>
        </w:numPr>
        <w:ind w:left="0" w:firstLine="0"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财政拨款收支总表</w:t>
      </w:r>
    </w:p>
    <w:p>
      <w:pPr>
        <w:pStyle w:val="8"/>
        <w:ind w:firstLine="896" w:firstLineChars="28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8"/>
        <w:ind w:left="720" w:leftChars="343"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8"/>
        <w:numPr>
          <w:ilvl w:val="0"/>
          <w:numId w:val="0"/>
        </w:numPr>
        <w:ind w:left="8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8"/>
        <w:numPr>
          <w:ilvl w:val="0"/>
          <w:numId w:val="0"/>
        </w:numPr>
        <w:ind w:left="8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8"/>
        <w:numPr>
          <w:ilvl w:val="0"/>
          <w:numId w:val="0"/>
        </w:numPr>
        <w:ind w:left="84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8"/>
        <w:numPr>
          <w:ilvl w:val="0"/>
          <w:numId w:val="0"/>
        </w:numPr>
        <w:ind w:left="840" w:firstLine="0" w:firstLineChars="0"/>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部门（单位）收支总表</w:t>
      </w:r>
    </w:p>
    <w:p>
      <w:pPr>
        <w:pStyle w:val="8"/>
        <w:numPr>
          <w:ilvl w:val="0"/>
          <w:numId w:val="0"/>
        </w:numPr>
        <w:ind w:left="840" w:firstLine="0" w:firstLineChars="0"/>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部门（单位）收入总表</w:t>
      </w:r>
    </w:p>
    <w:p>
      <w:pPr>
        <w:pStyle w:val="8"/>
        <w:numPr>
          <w:ilvl w:val="0"/>
          <w:numId w:val="0"/>
        </w:numPr>
        <w:ind w:left="840" w:firstLine="0" w:firstLineChars="0"/>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部门（单位）支出总表</w:t>
      </w:r>
    </w:p>
    <w:p>
      <w:pPr>
        <w:pStyle w:val="8"/>
        <w:numPr>
          <w:ilvl w:val="0"/>
          <w:numId w:val="0"/>
        </w:numPr>
        <w:ind w:left="840" w:firstLine="0" w:firstLineChars="0"/>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ind w:left="142"/>
        <w:rPr>
          <w:rFonts w:ascii="仿宋_GB2312" w:hAnsi="黑体" w:eastAsia="仿宋_GB2312"/>
          <w:b/>
          <w:sz w:val="32"/>
          <w:szCs w:val="32"/>
        </w:rPr>
      </w:pPr>
    </w:p>
    <w:p>
      <w:pPr>
        <w:ind w:left="142"/>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cs="仿宋_GB2312"/>
          <w:b/>
          <w:bCs/>
          <w:sz w:val="32"/>
          <w:szCs w:val="32"/>
        </w:rPr>
        <w:t>海南省公共资源交易服务中心</w:t>
      </w:r>
      <w:r>
        <w:rPr>
          <w:rFonts w:hint="eastAsia" w:ascii="仿宋_GB2312" w:hAnsi="黑体" w:eastAsia="仿宋_GB2312"/>
          <w:b/>
          <w:sz w:val="32"/>
          <w:szCs w:val="32"/>
        </w:rPr>
        <w:t>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海南省公共资源交易服务中心202</w:t>
      </w:r>
      <w:r>
        <w:rPr>
          <w:rFonts w:hint="eastAsia" w:ascii="黑体" w:hAnsi="黑体" w:eastAsia="黑体" w:cs="黑体"/>
          <w:sz w:val="32"/>
          <w:szCs w:val="32"/>
          <w:lang w:val="en-US" w:eastAsia="zh-CN"/>
        </w:rPr>
        <w:t>3</w:t>
      </w:r>
      <w:r>
        <w:rPr>
          <w:rFonts w:hint="eastAsia" w:ascii="黑体" w:hAnsi="黑体" w:eastAsia="黑体"/>
          <w:sz w:val="32"/>
          <w:szCs w:val="32"/>
        </w:rPr>
        <w:t>年</w:t>
      </w:r>
    </w:p>
    <w:p>
      <w:pPr>
        <w:ind w:firstLine="480" w:firstLineChars="150"/>
        <w:jc w:val="center"/>
        <w:rPr>
          <w:rFonts w:ascii="黑体" w:hAnsi="黑体" w:eastAsia="黑体"/>
          <w:sz w:val="32"/>
          <w:szCs w:val="32"/>
        </w:rPr>
      </w:pP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省公共资源交易服务中心202</w:t>
      </w:r>
      <w:r>
        <w:rPr>
          <w:rFonts w:hint="eastAsia" w:ascii="黑体" w:hAnsi="黑体" w:eastAsia="黑体" w:cs="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省公共资源交易服务中心202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2747.42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499.40</w:t>
      </w:r>
      <w:r>
        <w:rPr>
          <w:rFonts w:hint="eastAsia" w:ascii="仿宋_GB2312" w:hAnsi="黑体" w:eastAsia="仿宋_GB2312"/>
          <w:sz w:val="32"/>
          <w:szCs w:val="32"/>
        </w:rPr>
        <w:t>万元，主要是一般公共预算资金收入增加</w:t>
      </w:r>
      <w:r>
        <w:rPr>
          <w:rFonts w:hint="eastAsia" w:ascii="仿宋_GB2312" w:hAnsi="黑体" w:eastAsia="仿宋_GB2312"/>
          <w:sz w:val="32"/>
          <w:szCs w:val="32"/>
          <w:lang w:val="en-US" w:eastAsia="zh-CN"/>
        </w:rPr>
        <w:t>249.70</w:t>
      </w:r>
      <w:r>
        <w:rPr>
          <w:rFonts w:hint="eastAsia" w:ascii="仿宋_GB2312" w:hAnsi="黑体" w:eastAsia="仿宋_GB2312"/>
          <w:sz w:val="32"/>
          <w:szCs w:val="32"/>
        </w:rPr>
        <w:t>万元，一般公共服务支出增加</w:t>
      </w:r>
      <w:r>
        <w:rPr>
          <w:rFonts w:hint="eastAsia" w:ascii="仿宋_GB2312" w:hAnsi="黑体" w:eastAsia="仿宋_GB2312"/>
          <w:sz w:val="32"/>
          <w:szCs w:val="32"/>
          <w:lang w:val="en-US" w:eastAsia="zh-CN"/>
        </w:rPr>
        <w:t>40.95</w:t>
      </w:r>
      <w:r>
        <w:rPr>
          <w:rFonts w:hint="eastAsia" w:ascii="仿宋_GB2312" w:hAnsi="黑体" w:eastAsia="仿宋_GB2312"/>
          <w:sz w:val="32"/>
          <w:szCs w:val="32"/>
        </w:rPr>
        <w:t>万元，社会保障和就业支出增加</w:t>
      </w:r>
      <w:r>
        <w:rPr>
          <w:rFonts w:hint="eastAsia" w:ascii="仿宋_GB2312" w:hAnsi="黑体" w:eastAsia="仿宋_GB2312"/>
          <w:sz w:val="32"/>
          <w:szCs w:val="32"/>
          <w:lang w:val="en-US" w:eastAsia="zh-CN"/>
        </w:rPr>
        <w:t>185.83</w:t>
      </w:r>
      <w:r>
        <w:rPr>
          <w:rFonts w:hint="eastAsia" w:ascii="仿宋_GB2312" w:hAnsi="黑体" w:eastAsia="仿宋_GB2312"/>
          <w:sz w:val="32"/>
          <w:szCs w:val="32"/>
        </w:rPr>
        <w:t>万元、卫生健康支出增加</w:t>
      </w:r>
      <w:r>
        <w:rPr>
          <w:rFonts w:hint="eastAsia" w:ascii="仿宋_GB2312" w:hAnsi="黑体" w:eastAsia="仿宋_GB2312"/>
          <w:sz w:val="32"/>
          <w:szCs w:val="32"/>
          <w:lang w:val="en-US" w:eastAsia="zh-CN"/>
        </w:rPr>
        <w:t>2.65</w:t>
      </w:r>
      <w:r>
        <w:rPr>
          <w:rFonts w:hint="eastAsia" w:ascii="仿宋_GB2312" w:hAnsi="黑体" w:eastAsia="仿宋_GB2312"/>
          <w:sz w:val="32"/>
          <w:szCs w:val="32"/>
        </w:rPr>
        <w:t>万元、住房保障支出增加</w:t>
      </w:r>
      <w:r>
        <w:rPr>
          <w:rFonts w:hint="eastAsia" w:ascii="仿宋_GB2312" w:hAnsi="黑体" w:eastAsia="仿宋_GB2312"/>
          <w:sz w:val="32"/>
          <w:szCs w:val="32"/>
          <w:lang w:val="en-US" w:eastAsia="zh-CN"/>
        </w:rPr>
        <w:t>20.27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1373.71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1373.71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1373.71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1018.49</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248.65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36.03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70.55</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b/>
          <w:bCs/>
          <w:szCs w:val="21"/>
        </w:rPr>
        <w:t>(财政拨款收支总表1)</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省公共资源交易服务中心202</w:t>
      </w:r>
      <w:r>
        <w:rPr>
          <w:rFonts w:hint="eastAsia" w:ascii="黑体" w:hAnsi="黑体" w:eastAsia="黑体" w:cs="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省公共资源交易服务中心202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1373.71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249.70</w:t>
      </w:r>
      <w:r>
        <w:rPr>
          <w:rFonts w:hint="eastAsia" w:ascii="仿宋_GB2312" w:hAnsi="黑体" w:eastAsia="仿宋_GB2312"/>
          <w:sz w:val="32"/>
          <w:szCs w:val="32"/>
        </w:rPr>
        <w:t>万元，主要是一般公共服务支出增加</w:t>
      </w:r>
      <w:r>
        <w:rPr>
          <w:rFonts w:hint="eastAsia" w:ascii="仿宋_GB2312" w:hAnsi="黑体" w:eastAsia="仿宋_GB2312"/>
          <w:sz w:val="32"/>
          <w:szCs w:val="32"/>
          <w:lang w:val="en-US" w:eastAsia="zh-CN"/>
        </w:rPr>
        <w:t>40.95</w:t>
      </w:r>
      <w:r>
        <w:rPr>
          <w:rFonts w:hint="eastAsia" w:ascii="仿宋_GB2312" w:hAnsi="黑体" w:eastAsia="仿宋_GB2312"/>
          <w:sz w:val="32"/>
          <w:szCs w:val="32"/>
        </w:rPr>
        <w:t>万元、社会保障和就业支出增加</w:t>
      </w:r>
      <w:r>
        <w:rPr>
          <w:rFonts w:hint="eastAsia" w:ascii="仿宋_GB2312" w:hAnsi="黑体" w:eastAsia="仿宋_GB2312"/>
          <w:sz w:val="32"/>
          <w:szCs w:val="32"/>
          <w:lang w:val="en-US" w:eastAsia="zh-CN"/>
        </w:rPr>
        <w:t>185.83</w:t>
      </w:r>
      <w:r>
        <w:rPr>
          <w:rFonts w:hint="eastAsia" w:ascii="仿宋_GB2312" w:hAnsi="黑体" w:eastAsia="仿宋_GB2312"/>
          <w:sz w:val="32"/>
          <w:szCs w:val="32"/>
        </w:rPr>
        <w:t>万元、卫生健康支出增加</w:t>
      </w:r>
      <w:r>
        <w:rPr>
          <w:rFonts w:hint="eastAsia" w:ascii="仿宋_GB2312" w:hAnsi="黑体" w:eastAsia="仿宋_GB2312"/>
          <w:sz w:val="32"/>
          <w:szCs w:val="32"/>
          <w:lang w:val="en-US" w:eastAsia="zh-CN"/>
        </w:rPr>
        <w:t>2.65</w:t>
      </w:r>
      <w:r>
        <w:rPr>
          <w:rFonts w:hint="eastAsia" w:ascii="仿宋_GB2312" w:hAnsi="黑体" w:eastAsia="仿宋_GB2312"/>
          <w:sz w:val="32"/>
          <w:szCs w:val="32"/>
        </w:rPr>
        <w:t>万元、住房保障支出增加</w:t>
      </w:r>
      <w:r>
        <w:rPr>
          <w:rFonts w:hint="eastAsia" w:ascii="仿宋_GB2312" w:hAnsi="黑体" w:eastAsia="仿宋_GB2312"/>
          <w:sz w:val="32"/>
          <w:szCs w:val="32"/>
          <w:lang w:val="en-US" w:eastAsia="zh-CN"/>
        </w:rPr>
        <w:t>20.27</w:t>
      </w:r>
      <w:r>
        <w:rPr>
          <w:rFonts w:hint="eastAsia" w:ascii="仿宋_GB2312" w:hAnsi="黑体" w:eastAsia="仿宋_GB2312"/>
          <w:sz w:val="32"/>
          <w:szCs w:val="32"/>
        </w:rPr>
        <w:t>万元。</w:t>
      </w:r>
      <w:r>
        <w:rPr>
          <w:rFonts w:hint="eastAsia" w:ascii="仿宋_GB2312" w:hAnsi="黑体" w:eastAsia="仿宋_GB2312"/>
          <w:b/>
          <w:bCs/>
          <w:szCs w:val="21"/>
        </w:rPr>
        <w:t>(财政拨款收支总表1)</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b/>
          <w:bCs/>
          <w:szCs w:val="21"/>
        </w:rPr>
      </w:pPr>
      <w:r>
        <w:rPr>
          <w:rFonts w:hint="eastAsia" w:ascii="仿宋_GB2312" w:hAnsi="黑体" w:eastAsia="仿宋_GB2312" w:cs="仿宋_GB2312"/>
          <w:sz w:val="32"/>
          <w:szCs w:val="32"/>
        </w:rPr>
        <w:t>一般公共服务（201类）支出</w:t>
      </w:r>
      <w:r>
        <w:rPr>
          <w:rFonts w:hint="eastAsia" w:ascii="仿宋_GB2312" w:hAnsi="黑体" w:eastAsia="仿宋_GB2312" w:cs="仿宋_GB2312"/>
          <w:sz w:val="32"/>
          <w:szCs w:val="32"/>
          <w:lang w:val="en-US" w:eastAsia="zh-CN"/>
        </w:rPr>
        <w:t>1018.49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74.14</w:t>
      </w:r>
      <w:r>
        <w:rPr>
          <w:rFonts w:hint="eastAsia" w:ascii="仿宋_GB2312" w:hAnsi="黑体" w:eastAsia="仿宋_GB2312"/>
          <w:sz w:val="32"/>
          <w:szCs w:val="32"/>
        </w:rPr>
        <w:t>%；社会保障和就业（208类）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248.65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18.10</w:t>
      </w:r>
      <w:r>
        <w:rPr>
          <w:rFonts w:hint="eastAsia" w:ascii="仿宋_GB2312" w:hAnsi="黑体" w:eastAsia="仿宋_GB2312"/>
          <w:sz w:val="32"/>
          <w:szCs w:val="32"/>
        </w:rPr>
        <w:t>%；卫生健康（210类）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36.03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2.62</w:t>
      </w:r>
      <w:r>
        <w:rPr>
          <w:rFonts w:hint="eastAsia" w:ascii="仿宋_GB2312" w:hAnsi="黑体" w:eastAsia="仿宋_GB2312"/>
          <w:sz w:val="32"/>
          <w:szCs w:val="32"/>
        </w:rPr>
        <w:t>%；住房保障（221类）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70.55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5.14</w:t>
      </w:r>
      <w:r>
        <w:rPr>
          <w:rFonts w:hint="eastAsia" w:ascii="仿宋_GB2312" w:hAnsi="黑体" w:eastAsia="仿宋_GB2312"/>
          <w:sz w:val="32"/>
          <w:szCs w:val="32"/>
        </w:rPr>
        <w:t>%。</w:t>
      </w:r>
      <w:r>
        <w:rPr>
          <w:rFonts w:hint="eastAsia" w:ascii="仿宋_GB2312" w:hAnsi="黑体" w:eastAsia="仿宋_GB2312"/>
          <w:b/>
          <w:bCs/>
          <w:szCs w:val="21"/>
        </w:rPr>
        <w:t>（一般公共预算支出表2）</w:t>
      </w:r>
    </w:p>
    <w:p>
      <w:pPr>
        <w:ind w:firstLine="800" w:firstLineChars="250"/>
        <w:rPr>
          <w:rFonts w:ascii="仿宋_GB2312" w:hAnsi="黑体" w:eastAsia="仿宋_GB2312"/>
          <w:szCs w:val="21"/>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1.一般公共服务（201类）其他一般公共服务支出（</w:t>
      </w:r>
      <w:r>
        <w:rPr>
          <w:rFonts w:hint="eastAsia" w:ascii="仿宋_GB2312" w:hAnsi="黑体" w:eastAsia="仿宋_GB2312" w:cs="仿宋_GB2312"/>
          <w:sz w:val="32"/>
          <w:szCs w:val="32"/>
          <w:lang w:val="en-US" w:eastAsia="zh-CN"/>
        </w:rPr>
        <w:t>03</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lang w:val="en-US" w:eastAsia="zh-CN"/>
        </w:rPr>
        <w:t>50项）2023年预算数为765.86万元，比上年预算数增加52.14万元，主要是基本支出增加52.14万元；其他政府办公厅（室）及相关机构事务支出（99项）2023年预算数为252.63万元，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11.19</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社会保障和就业支出（208类）行政事业单位养老支出（05款）机关事业单位基本养老保险缴费支出（05项）202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82.15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19.33</w:t>
      </w:r>
      <w:r>
        <w:rPr>
          <w:rFonts w:hint="eastAsia" w:ascii="仿宋_GB2312" w:hAnsi="黑体" w:eastAsia="仿宋_GB2312"/>
          <w:sz w:val="32"/>
          <w:szCs w:val="32"/>
        </w:rPr>
        <w:t>万元，主要是新调入</w:t>
      </w:r>
      <w:r>
        <w:rPr>
          <w:rFonts w:hint="eastAsia" w:ascii="仿宋_GB2312" w:hAnsi="黑体" w:eastAsia="仿宋_GB2312"/>
          <w:sz w:val="32"/>
          <w:szCs w:val="32"/>
          <w:lang w:val="en-US" w:eastAsia="zh-CN"/>
        </w:rPr>
        <w:t>1</w:t>
      </w:r>
      <w:r>
        <w:rPr>
          <w:rFonts w:hint="eastAsia" w:ascii="仿宋_GB2312" w:hAnsi="黑体" w:eastAsia="仿宋_GB2312"/>
          <w:sz w:val="32"/>
          <w:szCs w:val="32"/>
        </w:rPr>
        <w:t>名在编人员</w:t>
      </w:r>
      <w:r>
        <w:rPr>
          <w:rFonts w:hint="eastAsia" w:ascii="仿宋_GB2312" w:hAnsi="黑体" w:eastAsia="仿宋_GB2312"/>
          <w:sz w:val="32"/>
          <w:szCs w:val="32"/>
          <w:lang w:eastAsia="zh-CN"/>
        </w:rPr>
        <w:t>及养老保险基数构成项调整增加</w:t>
      </w:r>
      <w:r>
        <w:rPr>
          <w:rFonts w:hint="eastAsia" w:ascii="仿宋_GB2312" w:hAnsi="黑体" w:eastAsia="仿宋_GB2312"/>
          <w:sz w:val="32"/>
          <w:szCs w:val="32"/>
        </w:rPr>
        <w:t>，机关事业单位基本养老保险相应增加</w:t>
      </w:r>
      <w:r>
        <w:rPr>
          <w:rFonts w:hint="eastAsia" w:ascii="仿宋_GB2312" w:hAnsi="黑体" w:eastAsia="仿宋_GB2312"/>
          <w:sz w:val="32"/>
          <w:szCs w:val="32"/>
          <w:lang w:eastAsia="zh-CN"/>
        </w:rPr>
        <w:t>；机关事业单位职业年金缴费支出（</w:t>
      </w:r>
      <w:r>
        <w:rPr>
          <w:rFonts w:hint="eastAsia" w:ascii="仿宋_GB2312" w:hAnsi="黑体" w:eastAsia="仿宋_GB2312"/>
          <w:sz w:val="32"/>
          <w:szCs w:val="32"/>
          <w:lang w:val="en-US" w:eastAsia="zh-CN"/>
        </w:rPr>
        <w:t>06项）2023年预算数为166.50万元，为今年新增预算项目，主要是职业年金单位部分全部纪实</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卫生健康支出（210类）行政事业单位医疗（11款）事业单位医疗（02项）202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36.03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2.65</w:t>
      </w:r>
      <w:r>
        <w:rPr>
          <w:rFonts w:hint="eastAsia" w:ascii="仿宋_GB2312" w:hAnsi="黑体" w:eastAsia="仿宋_GB2312" w:cs="仿宋_GB2312"/>
          <w:sz w:val="32"/>
          <w:szCs w:val="32"/>
        </w:rPr>
        <w:t>万元，主要是新调入</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名在编人员，医疗保险相应增加。</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sz w:val="32"/>
          <w:szCs w:val="32"/>
        </w:rPr>
        <w:t>.住房保障支出（221类）住房改革支出（02款）住房公积金（01项）202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70.55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20.27</w:t>
      </w:r>
      <w:r>
        <w:rPr>
          <w:rFonts w:hint="eastAsia" w:ascii="仿宋_GB2312" w:hAnsi="黑体" w:eastAsia="仿宋_GB2312"/>
          <w:sz w:val="32"/>
          <w:szCs w:val="32"/>
        </w:rPr>
        <w:t>万元，</w:t>
      </w:r>
      <w:r>
        <w:rPr>
          <w:rFonts w:hint="eastAsia" w:ascii="仿宋_GB2312" w:hAnsi="黑体" w:eastAsia="仿宋_GB2312" w:cs="仿宋_GB2312"/>
          <w:sz w:val="32"/>
          <w:szCs w:val="32"/>
        </w:rPr>
        <w:t>主要是新调入</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名在编人员</w:t>
      </w:r>
      <w:r>
        <w:rPr>
          <w:rFonts w:hint="eastAsia" w:ascii="仿宋_GB2312" w:hAnsi="黑体" w:eastAsia="仿宋_GB2312" w:cs="仿宋_GB2312"/>
          <w:sz w:val="32"/>
          <w:szCs w:val="32"/>
          <w:lang w:eastAsia="zh-CN"/>
        </w:rPr>
        <w:t>及住房公积金基数构成项调整增加</w:t>
      </w:r>
      <w:r>
        <w:rPr>
          <w:rFonts w:hint="eastAsia" w:ascii="仿宋_GB2312" w:hAnsi="黑体" w:eastAsia="仿宋_GB2312" w:cs="仿宋_GB2312"/>
          <w:sz w:val="32"/>
          <w:szCs w:val="32"/>
        </w:rPr>
        <w:t>，公积金缴费相应增加。</w:t>
      </w:r>
    </w:p>
    <w:p>
      <w:pPr>
        <w:ind w:firstLine="527" w:firstLineChars="250"/>
        <w:rPr>
          <w:rFonts w:ascii="仿宋_GB2312" w:hAnsi="黑体" w:eastAsia="仿宋_GB2312" w:cs="仿宋_GB2312"/>
          <w:b/>
          <w:bCs/>
          <w:sz w:val="32"/>
          <w:szCs w:val="32"/>
        </w:rPr>
      </w:pPr>
      <w:r>
        <w:rPr>
          <w:rFonts w:hint="eastAsia" w:ascii="仿宋_GB2312" w:hAnsi="黑体" w:eastAsia="仿宋_GB2312"/>
          <w:b/>
          <w:bCs/>
          <w:szCs w:val="21"/>
        </w:rPr>
        <w:t>（一般公共预算支出表2）</w:t>
      </w:r>
    </w:p>
    <w:p>
      <w:pPr>
        <w:ind w:firstLine="640"/>
        <w:rPr>
          <w:rFonts w:ascii="黑体" w:hAnsi="黑体" w:eastAsia="黑体"/>
          <w:sz w:val="32"/>
          <w:szCs w:val="32"/>
        </w:rPr>
      </w:pPr>
      <w:r>
        <w:rPr>
          <w:rFonts w:hint="eastAsia" w:ascii="黑体" w:hAnsi="黑体" w:eastAsia="黑体"/>
          <w:sz w:val="32"/>
          <w:szCs w:val="32"/>
        </w:rPr>
        <w:t>三、关于省公共资源交易服务中心202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省公共资源交易服务中心202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1121.08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979.58</w:t>
      </w:r>
      <w:r>
        <w:rPr>
          <w:rFonts w:hint="eastAsia" w:ascii="仿宋_GB2312" w:hAnsi="黑体" w:eastAsia="仿宋_GB2312"/>
          <w:sz w:val="32"/>
          <w:szCs w:val="32"/>
        </w:rPr>
        <w:t>万元，主要包括：基本工资、津贴补贴、绩效工资、</w:t>
      </w:r>
      <w:r>
        <w:rPr>
          <w:rFonts w:hint="eastAsia" w:ascii="仿宋_GB2312" w:hAnsi="黑体" w:eastAsia="仿宋_GB2312"/>
          <w:sz w:val="32"/>
          <w:szCs w:val="32"/>
          <w:lang w:eastAsia="zh-CN"/>
        </w:rPr>
        <w:t>机关事业单位基本养老保险缴费、职业年金缴费职工基本医疗保险</w:t>
      </w:r>
      <w:r>
        <w:rPr>
          <w:rFonts w:hint="eastAsia" w:ascii="仿宋_GB2312" w:hAnsi="黑体" w:eastAsia="仿宋_GB2312"/>
          <w:sz w:val="32"/>
          <w:szCs w:val="32"/>
        </w:rPr>
        <w:t>缴费、住房公积金、医疗费、其他工资福利支出</w:t>
      </w:r>
      <w:r>
        <w:rPr>
          <w:rFonts w:hint="eastAsia" w:ascii="仿宋_GB2312" w:hAnsi="黑体" w:eastAsia="仿宋_GB2312"/>
          <w:sz w:val="32"/>
          <w:szCs w:val="32"/>
          <w:lang w:eastAsia="zh-CN"/>
        </w:rPr>
        <w:t>、邮电费、对个人和家庭的补助、奖励金、其他对个人和家庭的补助</w:t>
      </w:r>
      <w:r>
        <w:rPr>
          <w:rFonts w:hint="eastAsia" w:ascii="仿宋_GB2312" w:hAnsi="黑体" w:eastAsia="仿宋_GB2312"/>
          <w:sz w:val="32"/>
          <w:szCs w:val="32"/>
        </w:rPr>
        <w:t>等;</w:t>
      </w:r>
    </w:p>
    <w:p>
      <w:pPr>
        <w:ind w:firstLine="640" w:firstLineChars="200"/>
        <w:rPr>
          <w:rFonts w:hint="eastAsia" w:ascii="仿宋" w:hAnsi="仿宋" w:eastAsia="仿宋" w:cs="仿宋"/>
          <w:b/>
          <w:bCs/>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141.51</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办公费、印刷费、水费、电费、邮电费、物业管理费、差旅费、维修（护）费、培训费、会议费、公务接待费、专用材料费、劳务费、工会经费、公务用车运行维护费、其他交通费、其他商品和服务支出等。</w:t>
      </w:r>
      <w:r>
        <w:rPr>
          <w:rFonts w:hint="eastAsia" w:ascii="仿宋" w:hAnsi="仿宋" w:eastAsia="仿宋" w:cs="仿宋"/>
          <w:b/>
          <w:bCs/>
          <w:szCs w:val="21"/>
        </w:rPr>
        <w:t>（一般公共预算基本支出表3）</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省公共资源交易服务中心202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（一）省公共资源交易服务中心202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b/>
          <w:bCs/>
          <w:szCs w:val="21"/>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基本</w:t>
      </w:r>
      <w:r>
        <w:rPr>
          <w:rFonts w:ascii="Times New Roman" w:hAnsi="Times New Roman" w:eastAsia="仿宋_GB2312" w:cs="Times New Roman"/>
          <w:sz w:val="32"/>
          <w:shd w:val="clear" w:color="auto" w:fill="FFFFFF"/>
        </w:rPr>
        <w:t>持平。</w:t>
      </w:r>
      <w:r>
        <w:rPr>
          <w:rFonts w:hint="eastAsia" w:ascii="Times New Roman" w:hAnsi="Times New Roman" w:eastAsia="仿宋_GB2312" w:cs="Times New Roman"/>
          <w:sz w:val="32"/>
          <w:shd w:val="clear" w:color="auto" w:fill="FFFFFF"/>
        </w:rPr>
        <w:t>公务车保有量1</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1.</w:t>
      </w:r>
      <w:r>
        <w:rPr>
          <w:rFonts w:hint="eastAsia" w:ascii="仿宋_GB2312" w:hAnsi="黑体" w:eastAsia="仿宋_GB2312" w:cs="Times New Roman"/>
          <w:sz w:val="32"/>
          <w:szCs w:val="32"/>
          <w:lang w:val="en-US" w:eastAsia="zh-CN"/>
        </w:rPr>
        <w:t>2</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较上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7.69</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控制三公经费，计划接待11</w:t>
      </w:r>
      <w:r>
        <w:rPr>
          <w:rFonts w:hint="eastAsia" w:ascii="仿宋_GB2312" w:hAnsi="黑体" w:eastAsia="仿宋_GB2312" w:cs="仿宋_GB2312"/>
          <w:sz w:val="32"/>
          <w:szCs w:val="32"/>
        </w:rPr>
        <w:t>批共</w:t>
      </w:r>
      <w:r>
        <w:rPr>
          <w:rFonts w:hint="eastAsia" w:ascii="仿宋_GB2312" w:hAnsi="黑体" w:eastAsia="仿宋_GB2312" w:cs="仿宋_GB2312"/>
          <w:sz w:val="32"/>
          <w:szCs w:val="32"/>
          <w:lang w:val="en-US" w:eastAsia="zh-CN"/>
        </w:rPr>
        <w:t>95</w:t>
      </w:r>
      <w:r>
        <w:rPr>
          <w:rFonts w:hint="eastAsia" w:ascii="仿宋_GB2312" w:hAnsi="黑体" w:eastAsia="仿宋_GB2312" w:cs="仿宋_GB2312"/>
          <w:sz w:val="32"/>
          <w:szCs w:val="32"/>
        </w:rPr>
        <w:t>人，人均130元</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b/>
          <w:bCs/>
          <w:szCs w:val="21"/>
          <w:shd w:val="clear" w:color="auto" w:fill="FFFFFF"/>
        </w:rPr>
      </w:pPr>
      <w:r>
        <w:rPr>
          <w:rFonts w:hint="eastAsia" w:ascii="Times New Roman" w:hAnsi="Times New Roman" w:eastAsia="仿宋_GB2312" w:cs="Times New Roman"/>
          <w:b/>
          <w:bCs/>
          <w:szCs w:val="21"/>
          <w:shd w:val="clear" w:color="auto" w:fill="FFFFFF"/>
        </w:rPr>
        <w:t>（一般公共预算“三公”经费支出表4）</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（二）省公共资源交易服务中心202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省公共资源交易服务中心202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省公共资源交易服务中心202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省公共资源交易服务中心202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b/>
          <w:bCs/>
          <w:szCs w:val="21"/>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省公共资源交易服务中心</w:t>
      </w:r>
      <w:r>
        <w:rPr>
          <w:rFonts w:hint="eastAsia" w:ascii="仿宋_GB2312" w:hAnsi="黑体" w:eastAsia="仿宋_GB2312" w:cs="仿宋_GB2312"/>
          <w:sz w:val="32"/>
          <w:szCs w:val="32"/>
        </w:rPr>
        <w:t>所有收入和支出均纳入部门预算管理。收入包括：一般公共预算收入、其他收入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省公共资源交易服务中心202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4841.84</w:t>
      </w:r>
      <w:r>
        <w:rPr>
          <w:rFonts w:hint="eastAsia" w:ascii="仿宋_GB2312" w:hAnsi="黑体" w:eastAsia="仿宋_GB2312"/>
          <w:sz w:val="32"/>
          <w:szCs w:val="32"/>
        </w:rPr>
        <w:t>万元。</w:t>
      </w:r>
      <w:r>
        <w:rPr>
          <w:rFonts w:hint="eastAsia" w:ascii="仿宋_GB2312" w:hAnsi="黑体" w:eastAsia="仿宋_GB2312"/>
          <w:b/>
          <w:bCs/>
          <w:szCs w:val="21"/>
        </w:rPr>
        <w:t>（部门收支总表7）</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省公共资源交易服务中心202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b/>
          <w:bCs/>
          <w:sz w:val="32"/>
          <w:szCs w:val="32"/>
        </w:rPr>
      </w:pPr>
      <w:r>
        <w:rPr>
          <w:rFonts w:hint="eastAsia" w:ascii="仿宋_GB2312" w:hAnsi="黑体" w:eastAsia="仿宋_GB2312" w:cs="仿宋_GB2312"/>
          <w:sz w:val="32"/>
          <w:szCs w:val="32"/>
        </w:rPr>
        <w:t>省公共资源交易服务中心202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2523.71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7</w:t>
      </w:r>
      <w:r>
        <w:rPr>
          <w:rFonts w:hint="eastAsia" w:ascii="仿宋_GB2312" w:hAnsi="黑体" w:eastAsia="仿宋_GB2312"/>
          <w:sz w:val="32"/>
          <w:szCs w:val="32"/>
        </w:rPr>
        <w:t>00万元，占</w:t>
      </w:r>
      <w:r>
        <w:rPr>
          <w:rFonts w:hint="eastAsia" w:ascii="仿宋_GB2312" w:hAnsi="黑体" w:eastAsia="仿宋_GB2312"/>
          <w:sz w:val="32"/>
          <w:szCs w:val="32"/>
          <w:lang w:val="en-US" w:eastAsia="zh-CN"/>
        </w:rPr>
        <w:t>27.74</w:t>
      </w:r>
      <w:r>
        <w:rPr>
          <w:rFonts w:hint="eastAsia" w:ascii="仿宋_GB2312" w:hAnsi="黑体" w:eastAsia="仿宋_GB2312"/>
          <w:sz w:val="32"/>
          <w:szCs w:val="32"/>
        </w:rPr>
        <w:t>%；一般公共预算拨款收入</w:t>
      </w:r>
      <w:r>
        <w:rPr>
          <w:rFonts w:hint="eastAsia" w:ascii="仿宋_GB2312" w:hAnsi="黑体" w:eastAsia="仿宋_GB2312"/>
          <w:sz w:val="32"/>
          <w:szCs w:val="32"/>
          <w:lang w:val="en-US" w:eastAsia="zh-CN"/>
        </w:rPr>
        <w:t>1373.71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54.44</w:t>
      </w:r>
      <w:r>
        <w:rPr>
          <w:rFonts w:hint="eastAsia" w:ascii="仿宋_GB2312" w:hAnsi="黑体" w:eastAsia="仿宋_GB2312"/>
          <w:sz w:val="32"/>
          <w:szCs w:val="32"/>
        </w:rPr>
        <w:t>%；其他收入450万元，为政府采购中标服务费预算收入，占</w:t>
      </w:r>
      <w:r>
        <w:rPr>
          <w:rFonts w:hint="eastAsia" w:ascii="仿宋_GB2312" w:hAnsi="黑体" w:eastAsia="仿宋_GB2312"/>
          <w:sz w:val="32"/>
          <w:szCs w:val="32"/>
          <w:lang w:val="en-US" w:eastAsia="zh-CN"/>
        </w:rPr>
        <w:t>17.83%</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149.70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lang w:val="en-US" w:eastAsia="zh-CN"/>
        </w:rPr>
        <w:t>249.70万元，上年结转减少100万元</w:t>
      </w:r>
      <w:r>
        <w:rPr>
          <w:rFonts w:hint="eastAsia" w:ascii="仿宋_GB2312" w:hAnsi="黑体" w:eastAsia="仿宋_GB2312"/>
          <w:sz w:val="32"/>
          <w:szCs w:val="32"/>
        </w:rPr>
        <w:t>。</w:t>
      </w:r>
      <w:r>
        <w:rPr>
          <w:rFonts w:hint="eastAsia" w:ascii="仿宋_GB2312" w:hAnsi="黑体" w:eastAsia="仿宋_GB2312"/>
          <w:b/>
          <w:bCs/>
          <w:szCs w:val="21"/>
        </w:rPr>
        <w:t>（部门收入总表8）</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省公共资源交易服务中心202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省公共资源交易服务中心202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2318.13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1121.09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48.36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1197.05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51.64</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466.04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基本支出中人员经费增加，另新增了一个</w:t>
      </w:r>
      <w:r>
        <w:rPr>
          <w:rFonts w:hint="eastAsia" w:ascii="仿宋_GB2312" w:hAnsi="黑体" w:eastAsia="仿宋_GB2312"/>
          <w:sz w:val="32"/>
          <w:szCs w:val="32"/>
        </w:rPr>
        <w:t>一次性项目的支出。</w:t>
      </w:r>
      <w:r>
        <w:rPr>
          <w:rFonts w:hint="eastAsia" w:ascii="仿宋_GB2312" w:hAnsi="黑体" w:eastAsia="仿宋_GB2312"/>
          <w:b/>
          <w:bCs/>
          <w:szCs w:val="21"/>
        </w:rPr>
        <w:t>（部门支出总表9）</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省公共资源交易服务中心政府采购预算总额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黑体" w:eastAsia="仿宋_GB2312" w:cs="仿宋_GB2312"/>
          <w:sz w:val="32"/>
          <w:szCs w:val="32"/>
        </w:rPr>
        <w:t>省公共资源交易服务中心共有车辆1辆，其中，领导干部用车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辆、其他用车1辆。单位价值100万元以上设备1台（套）。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省公共资源交易服务中心3个项目实行绩效目标管理，涉及一般公共预算</w:t>
      </w:r>
      <w:r>
        <w:rPr>
          <w:rFonts w:hint="eastAsia" w:ascii="仿宋_GB2312" w:hAnsi="黑体" w:eastAsia="仿宋_GB2312" w:cs="仿宋_GB2312"/>
          <w:sz w:val="32"/>
          <w:szCs w:val="32"/>
          <w:lang w:val="en-US" w:eastAsia="zh-CN"/>
        </w:rPr>
        <w:t>252.63</w:t>
      </w:r>
      <w:r>
        <w:rPr>
          <w:rFonts w:hint="eastAsia" w:ascii="仿宋_GB2312" w:hAnsi="黑体" w:eastAsia="仿宋_GB2312"/>
          <w:sz w:val="32"/>
          <w:szCs w:val="32"/>
        </w:rPr>
        <w:t>万元、单位资金</w:t>
      </w:r>
      <w:r>
        <w:rPr>
          <w:rFonts w:hint="eastAsia" w:ascii="仿宋_GB2312" w:hAnsi="黑体" w:eastAsia="仿宋_GB2312" w:cs="仿宋_GB2312"/>
          <w:sz w:val="32"/>
          <w:szCs w:val="32"/>
          <w:lang w:val="en-US" w:eastAsia="zh-CN"/>
        </w:rPr>
        <w:t>944.42</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val="en-US" w:eastAsia="zh-CN"/>
        </w:rPr>
      </w:pPr>
      <w:r>
        <w:rPr>
          <w:rFonts w:hint="eastAsia" w:ascii="仿宋_GB2312" w:hAnsi="黑体" w:eastAsia="仿宋_GB2312"/>
          <w:sz w:val="32"/>
          <w:szCs w:val="32"/>
          <w:u w:val="none"/>
          <w:lang w:eastAsia="zh-CN"/>
        </w:rPr>
        <w:t>其中，重点项目“综合运行事务”预算绩效情况：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综合运行事务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556.28</w:t>
      </w:r>
      <w:r>
        <w:rPr>
          <w:rFonts w:hint="eastAsia" w:ascii="仿宋_GB2312" w:hAnsi="黑体" w:eastAsia="仿宋_GB2312" w:cs="仿宋_GB2312"/>
          <w:sz w:val="32"/>
          <w:szCs w:val="32"/>
          <w:u w:val="none"/>
          <w:lang w:eastAsia="zh-CN"/>
        </w:rPr>
        <w:t>万元，主要用于保障劳务外包人员工资、社保、公积金等费用，保障为我省各类公共资源交易活动提供场所、设施和服务，交易项目预约登记、招标投标信息发布、评标专家抽取、开标评标现场管理等各类工作的顺利进行和交易中心开展工作发生的办公费、差旅费、电费、维修（护）费、政府采购中心的政府采购项目的专家评审劳务费及餐费、设备更新购置等。绩效目标是严格执行相关政策，保障劳务外包人员工资及时、足额发放，以服务保障公共资源交易工作为重心，以规范公共资源交易活动，维护公平竞争的市场秩序，保护国家利益、社会公共利益和公共资源交易活动各方当事人的合法权益，提高公共资源配置的效率和质量，促进廉政建设为目标，保障中心公共资源交易的组织实施及入场企业开评标工作的正常、稳定运行，公共资源交易、药品采购达到预期目标。</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w:t>
      </w:r>
      <w:bookmarkStart w:id="0" w:name="_GoBack"/>
      <w:bookmarkEnd w:id="0"/>
      <w:r>
        <w:rPr>
          <w:rFonts w:hint="eastAsia" w:ascii="仿宋_GB2312" w:hAnsi="宋体" w:eastAsia="仿宋_GB2312" w:cs="宋体"/>
          <w:color w:val="000000"/>
          <w:kern w:val="0"/>
          <w:sz w:val="32"/>
          <w:szCs w:val="30"/>
        </w:rPr>
        <w:t>、罚没收入、国有资源（资产）有偿使用收入、政府住房基金收入、捐赠收入等财政收入。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205D0"/>
    <w:rsid w:val="16086B85"/>
    <w:rsid w:val="178B0CCE"/>
    <w:rsid w:val="18C13CCF"/>
    <w:rsid w:val="20835F7E"/>
    <w:rsid w:val="2B5D5C17"/>
    <w:rsid w:val="2BE43C6C"/>
    <w:rsid w:val="2C7020C1"/>
    <w:rsid w:val="305C70F8"/>
    <w:rsid w:val="36337714"/>
    <w:rsid w:val="504E76B0"/>
    <w:rsid w:val="563F353F"/>
    <w:rsid w:val="6C602B90"/>
    <w:rsid w:val="6EB36571"/>
    <w:rsid w:val="6FD53EBB"/>
    <w:rsid w:val="716A7AA6"/>
    <w:rsid w:val="75CE2100"/>
    <w:rsid w:val="79AF3BBE"/>
    <w:rsid w:val="7BD347AA"/>
    <w:rsid w:val="7BFD3D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0"/>
    <w:pPr>
      <w:ind w:left="100" w:leftChars="2500"/>
    </w:pPr>
  </w:style>
  <w:style w:type="paragraph" w:styleId="3">
    <w:name w:val="Balloon Text"/>
    <w:basedOn w:val="1"/>
    <w:link w:val="13"/>
    <w:semiHidden/>
    <w:unhideWhenUsed/>
    <w:qFormat/>
    <w:uiPriority w:val="0"/>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10">
    <w:name w:val="List Paragraph"/>
    <w:basedOn w:val="1"/>
    <w:unhideWhenUsed/>
    <w:qFormat/>
    <w:uiPriority w:val="99"/>
    <w:pPr>
      <w:ind w:firstLine="420" w:firstLineChars="200"/>
    </w:p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批注框文本 Char"/>
    <w:basedOn w:val="7"/>
    <w:link w:val="3"/>
    <w:semiHidden/>
    <w:qFormat/>
    <w:uiPriority w:val="0"/>
    <w:rPr>
      <w:rFonts w:ascii="Calibri" w:hAnsi="Calibri" w:cs="黑体"/>
      <w:kern w:val="2"/>
      <w:sz w:val="18"/>
      <w:szCs w:val="18"/>
    </w:rPr>
  </w:style>
  <w:style w:type="character" w:customStyle="1" w:styleId="14">
    <w:name w:val="日期 Char"/>
    <w:basedOn w:val="7"/>
    <w:link w:val="2"/>
    <w:semiHidden/>
    <w:qFormat/>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678</Words>
  <Characters>3869</Characters>
  <Lines>32</Lines>
  <Paragraphs>9</Paragraphs>
  <TotalTime>36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2022-02-08T01:05:00Z</dcterms:created>
  <dc:creator>null,null,总收发</dc:creator>
  <cp:lastModifiedBy>lenovo</cp:lastModifiedBy>
  <dcterms:modified xsi:type="dcterms:W3CDTF">2023-01-30T07:16:18Z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71C2DC723B62427F85372F14AB4A072F</vt:lpwstr>
  </property>
</Properties>
</file>