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附件四</w:t>
      </w: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</w:rPr>
        <w:t>项目交易申请函</w:t>
      </w:r>
    </w:p>
    <w:bookmarkEnd w:id="0"/>
    <w:p>
      <w:pPr>
        <w:spacing w:line="6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（工程建设-前期物业管理招投标项目）</w:t>
      </w: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spacing w:line="580" w:lineRule="exact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  <w:lang w:eastAsia="zh-CN"/>
        </w:rPr>
        <w:t>琼中黎族苗族自治县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公共资源交易服务中心：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（招标人全称）委托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（代理机构全称）代理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项目招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标事宜。该项目资金已经落实，招标文件（公告）已经招标人审核同意，已符合招标条件。根据《招标投标法》《物业管理条例》《海南经济特区物业管理条例》等法律、法规要求，现申请进入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eastAsia="zh-CN"/>
        </w:rPr>
        <w:t>琼中黎族苗族自治县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公共资源交易服务中心开展招标投标活动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一、项目基本信息如下：</w:t>
      </w:r>
    </w:p>
    <w:p>
      <w:pPr>
        <w:spacing w:line="58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1.招标人信息：</w:t>
      </w:r>
    </w:p>
    <w:p>
      <w:pPr>
        <w:ind w:firstLine="800" w:firstLineChars="250"/>
        <w:rPr>
          <w:rFonts w:ascii="Times New Roman" w:hAnsi="Times New Roman" w:eastAsia="宋体" w:cs="Times New Roman"/>
          <w:kern w:val="0"/>
          <w:szCs w:val="21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工商部门注册的名称：</w:t>
      </w:r>
    </w:p>
    <w:p>
      <w:pPr>
        <w:ind w:firstLine="800" w:firstLineChars="25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统一社会信用代码：</w:t>
      </w:r>
    </w:p>
    <w:p>
      <w:pPr>
        <w:ind w:firstLine="800" w:firstLineChars="250"/>
        <w:rPr>
          <w:rFonts w:ascii="仿宋_GB2312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（3）法定代表人：</w:t>
      </w:r>
    </w:p>
    <w:p>
      <w:pPr>
        <w:spacing w:line="580" w:lineRule="exact"/>
        <w:ind w:firstLine="643" w:firstLineChars="200"/>
        <w:rPr>
          <w:rFonts w:ascii="仿宋" w:hAnsi="仿宋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2.招标方式：</w:t>
      </w:r>
      <w:r>
        <w:rPr>
          <w:rFonts w:hint="eastAsia" w:ascii="仿宋" w:hAnsi="仿宋" w:eastAsia="仿宋" w:cs="Times New Roman"/>
          <w:color w:val="000000"/>
          <w:sz w:val="32"/>
          <w:szCs w:val="32"/>
          <w:shd w:val="clear" w:color="auto" w:fill="FFFFFF"/>
        </w:rPr>
        <w:t>□公开招标、□邀请招标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shd w:val="clear" w:color="auto" w:fill="FFFFFF"/>
        </w:rPr>
        <w:t>（注：物业管理区域总建筑面积在三万平方米以上的，应当采用公开招标方式；总建筑面积在三万平方米以下的，可以采用邀请招标方式。采用邀请招标的，邀请的投标人不得少于三个。）</w:t>
      </w:r>
    </w:p>
    <w:p>
      <w:pPr>
        <w:spacing w:line="58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3.项目概况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项目类型为：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>□住宅/□商业/□商住/□其他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；</w:t>
      </w:r>
    </w:p>
    <w:p>
      <w:pPr>
        <w:autoSpaceDN w:val="0"/>
        <w:spacing w:line="560" w:lineRule="atLeast"/>
        <w:ind w:firstLine="64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项目名为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，位于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县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乡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/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镇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路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ab/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号；</w:t>
      </w:r>
    </w:p>
    <w:p>
      <w:pPr>
        <w:autoSpaceDN w:val="0"/>
        <w:spacing w:line="560" w:lineRule="atLeast"/>
        <w:ind w:firstLine="64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项目总用地面积为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ab/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ab/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㎡；规划部门批准的项目总建筑面积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ab/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ab/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㎡；</w:t>
      </w:r>
    </w:p>
    <w:p>
      <w:pPr>
        <w:autoSpaceDN w:val="0"/>
        <w:spacing w:line="560" w:lineRule="atLeast"/>
        <w:ind w:firstLine="64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本次招标的物业管理区域为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，面积为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㎡。</w:t>
      </w:r>
    </w:p>
    <w:p>
      <w:pPr>
        <w:autoSpaceDN w:val="0"/>
        <w:spacing w:line="560" w:lineRule="atLeast"/>
        <w:ind w:firstLine="640"/>
        <w:rPr>
          <w:rFonts w:ascii="仿宋" w:hAnsi="仿宋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sz w:val="32"/>
          <w:szCs w:val="32"/>
        </w:rPr>
        <w:t>4.项目招标投标活动行政监督部门：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</w:t>
      </w:r>
    </w:p>
    <w:p>
      <w:pPr>
        <w:spacing w:line="580" w:lineRule="exact"/>
        <w:ind w:firstLine="630" w:firstLineChars="196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  <w:shd w:val="clear" w:color="auto" w:fill="FFFFFF"/>
        </w:rPr>
        <w:t>二、为保证本项目顺利开展招投标活动，我单位特做如下承诺：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1.在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none" w:color="auto"/>
          <w:lang w:eastAsia="zh-CN"/>
        </w:rPr>
        <w:t>琼中黎族苗族自治县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公共资源交易平台办理的各项业务均符合法律法规要求。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2.严格遵守各项法律法规以及各项管理规定。</w:t>
      </w:r>
    </w:p>
    <w:p>
      <w:pPr>
        <w:spacing w:line="5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3.承担</w:t>
      </w:r>
      <w:r>
        <w:rPr>
          <w:rFonts w:ascii="仿宋" w:hAnsi="仿宋" w:eastAsia="仿宋" w:cs="宋体"/>
          <w:sz w:val="32"/>
          <w:szCs w:val="32"/>
        </w:rPr>
        <w:t>法律法规规定的责任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4.自愿接受行政监督部门的监督管理。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5.所提供的材料均真实有效，在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none" w:color="auto"/>
          <w:lang w:eastAsia="zh-CN"/>
        </w:rPr>
        <w:t>琼中黎族苗族自治县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公共资源交易平台交易系统、公共服务系统填报的信息、提交的资料准确无误。</w:t>
      </w:r>
    </w:p>
    <w:p>
      <w:pPr>
        <w:spacing w:line="580" w:lineRule="exact"/>
        <w:rPr>
          <w:rFonts w:ascii="仿宋_GB2312" w:hAnsi="宋体" w:eastAsia="仿宋_GB2312" w:cs="Times New Roman"/>
          <w:color w:val="00000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招标人全称（盖章）：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代理机构全称（盖章）：</w:t>
      </w:r>
    </w:p>
    <w:p>
      <w:pPr>
        <w:widowControl/>
        <w:spacing w:line="580" w:lineRule="exact"/>
        <w:jc w:val="left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项目负责人：                 项目负责人：</w:t>
      </w:r>
    </w:p>
    <w:p>
      <w:pPr>
        <w:widowControl/>
        <w:spacing w:line="580" w:lineRule="exact"/>
        <w:jc w:val="left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联系电话：                   联系电话：</w:t>
      </w:r>
    </w:p>
    <w:p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日              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C7F1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129</Words>
  <Characters>740</Characters>
  <Lines>6</Lines>
  <Paragraphs>1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2021-12-08T07:50:00Z</dcterms:created>
  <dc:creator>王莉</dc:creator>
  <cp:lastModifiedBy>Lenovo</cp:lastModifiedBy>
  <dcterms:modified xsi:type="dcterms:W3CDTF">2022-03-22T03:46:43Z</dcterms:modified>
  <dc:title>项目交易申请函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