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80" w:lineRule="exact"/>
        <w:jc w:val="left"/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/>
          <w:b w:val="0"/>
          <w:bCs/>
          <w:sz w:val="32"/>
          <w:szCs w:val="32"/>
          <w:lang w:eastAsia="zh-CN"/>
        </w:rPr>
        <w:t>附件二</w:t>
      </w:r>
    </w:p>
    <w:p>
      <w:pPr>
        <w:spacing w:beforeLines="50" w:afterLines="50" w:line="58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项目交易</w:t>
      </w:r>
      <w:r>
        <w:rPr>
          <w:rFonts w:hint="eastAsia" w:ascii="宋体" w:hAnsi="宋体"/>
          <w:b/>
          <w:color w:val="000000"/>
          <w:sz w:val="44"/>
          <w:szCs w:val="44"/>
        </w:rPr>
        <w:t>申请函</w:t>
      </w:r>
    </w:p>
    <w:p>
      <w:pPr>
        <w:spacing w:beforeLines="50" w:afterLines="50" w:line="58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（工程建设-遴选补充耕地社会资本方项目）</w:t>
      </w:r>
    </w:p>
    <w:p>
      <w:pPr>
        <w:spacing w:beforeLines="50" w:afterLines="50" w:line="58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琼中黎族苗族自治县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公共资源交易服务中心：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sz w:val="32"/>
          <w:szCs w:val="32"/>
        </w:rPr>
        <w:t>（招标人全称）委托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2"/>
          <w:szCs w:val="32"/>
        </w:rPr>
        <w:t>（代理机构全称）代理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项目社会资本方公开遴选（招标）事宜。该项目资本方遴选已经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（项目所在地政府）批准，符合海南省自然资源和规划厅有关文件规定，本次公开遴选（招标）文件及公告已经招标人审核。现申请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进入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琼中黎族苗族自治县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公共资源交易服务中心开展社会资本方公开遴选（招标）活动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一、项目基本信息如下：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仿宋_GB2312" w:hAnsi="宋体" w:eastAsia="仿宋_GB2312" w:cs="宋体"/>
          <w:b/>
          <w:sz w:val="32"/>
          <w:szCs w:val="32"/>
        </w:rPr>
        <w:t>招标人性质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7" w:firstLine="0" w:firstLineChars="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（机关法人、事业单位法人、企业法人、社会团体法人、其他组织）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7" w:firstLine="0" w:firstLineChars="0"/>
        <w:textAlignment w:val="auto"/>
        <w:outlineLvl w:val="9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2.</w:t>
      </w:r>
      <w:r>
        <w:rPr>
          <w:rFonts w:hint="eastAsia" w:ascii="仿宋_GB2312" w:hAnsi="宋体" w:eastAsia="仿宋_GB2312" w:cs="宋体"/>
          <w:b/>
          <w:sz w:val="32"/>
          <w:szCs w:val="32"/>
        </w:rPr>
        <w:t>项目资金情况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4" w:firstLine="0" w:firstLineChars="0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（1）项目预计总投资金额：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7" w:firstLine="0" w:firstLineChars="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（2）资金来源：由社会资本方投资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7" w:firstLine="0" w:firstLineChars="0"/>
        <w:textAlignment w:val="auto"/>
        <w:outlineLvl w:val="9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3.</w:t>
      </w:r>
      <w:r>
        <w:rPr>
          <w:rFonts w:hint="eastAsia" w:ascii="仿宋_GB2312" w:hAnsi="宋体" w:eastAsia="仿宋_GB2312" w:cs="宋体"/>
          <w:b/>
          <w:sz w:val="32"/>
          <w:szCs w:val="32"/>
        </w:rPr>
        <w:t>项目地址：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7" w:firstLine="0" w:firstLineChars="0"/>
        <w:textAlignment w:val="auto"/>
        <w:outlineLvl w:val="9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4.</w:t>
      </w:r>
      <w:r>
        <w:rPr>
          <w:rFonts w:hint="eastAsia" w:ascii="仿宋_GB2312" w:hAnsi="宋体" w:eastAsia="仿宋_GB2312" w:cs="宋体"/>
          <w:b/>
          <w:sz w:val="32"/>
          <w:szCs w:val="32"/>
        </w:rPr>
        <w:t>项目概况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遴选方式： 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其他事项：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7" w:firstLine="0" w:firstLineChars="0"/>
        <w:textAlignment w:val="auto"/>
        <w:outlineLvl w:val="9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5.项目审批/备案材料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7" w:firstLine="0" w:firstLineChars="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(1)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7" w:firstLine="0" w:firstLineChars="0"/>
        <w:textAlignment w:val="auto"/>
        <w:outlineLvl w:val="9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(2)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7" w:firstLine="0" w:firstLineChars="0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(3)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27" w:firstLine="0" w:firstLineChars="0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……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（*注：此项填写内容见登记材料清单中的项目批文，请注明批文签发单位名称及文号，如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>××市（县）土地整治（补充耕地）项目实施方案 （×府办〔202</w:t>
      </w:r>
      <w:r>
        <w:rPr>
          <w:rFonts w:hint="eastAsia" w:ascii="仿宋_GB2312" w:hAnsi="宋体" w:eastAsia="仿宋_GB2312" w:cs="宋体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>〕××号</w:t>
      </w:r>
      <w:r>
        <w:rPr>
          <w:rFonts w:hint="eastAsia" w:ascii="仿宋_GB2312" w:hAnsi="宋体" w:eastAsia="仿宋_GB2312" w:cs="宋体"/>
          <w:sz w:val="32"/>
          <w:szCs w:val="32"/>
        </w:rPr>
        <w:t>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6.项目招标投标活动行政监督部门：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outlineLvl w:val="9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二、为保证本项目顺利开展交易活动，我单位特做如下承诺：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1.在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琼中黎族苗族自治县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公共资源交易平台办理的各项业务均符合法律法规要求。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2.严格遵守各项法律法规以及各项管理规定。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3.承担</w:t>
      </w:r>
      <w:r>
        <w:rPr>
          <w:rFonts w:ascii="仿宋" w:hAnsi="仿宋" w:eastAsia="仿宋" w:cs="宋体"/>
          <w:sz w:val="32"/>
          <w:szCs w:val="32"/>
        </w:rPr>
        <w:t>法律法规规定的责任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4.自愿接受行政监督部门的监督管理。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5.所提供的材料均真实有效，在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琼中黎族苗族自治县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公共资源交易平台交易系统、公共服务系统填报的信息、提交的资料准确无误。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招标人全称（盖章）：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/>
          <w:color w:val="000000"/>
          <w:sz w:val="32"/>
          <w:szCs w:val="32"/>
        </w:rPr>
        <w:t>代理机构全称（盖章）：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项目负责人：                 项目负责人：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联系电话：                   联系电话：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年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月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日                 年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月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16E2C"/>
    <w:multiLevelType w:val="multilevel"/>
    <w:tmpl w:val="7FC16E2C"/>
    <w:lvl w:ilvl="0" w:tentative="0">
      <w:start w:val="1"/>
      <w:numFmt w:val="decimal"/>
      <w:lvlText w:val="（%1）"/>
      <w:lvlJc w:val="left"/>
      <w:pPr>
        <w:ind w:left="1127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7" w:hanging="420"/>
      </w:pPr>
    </w:lvl>
    <w:lvl w:ilvl="2" w:tentative="0">
      <w:start w:val="1"/>
      <w:numFmt w:val="lowerRoman"/>
      <w:lvlText w:val="%3."/>
      <w:lvlJc w:val="right"/>
      <w:pPr>
        <w:ind w:left="1967" w:hanging="420"/>
      </w:pPr>
    </w:lvl>
    <w:lvl w:ilvl="3" w:tentative="0">
      <w:start w:val="1"/>
      <w:numFmt w:val="decimal"/>
      <w:lvlText w:val="%4."/>
      <w:lvlJc w:val="left"/>
      <w:pPr>
        <w:ind w:left="2387" w:hanging="420"/>
      </w:pPr>
    </w:lvl>
    <w:lvl w:ilvl="4" w:tentative="0">
      <w:start w:val="1"/>
      <w:numFmt w:val="lowerLetter"/>
      <w:lvlText w:val="%5)"/>
      <w:lvlJc w:val="left"/>
      <w:pPr>
        <w:ind w:left="2807" w:hanging="420"/>
      </w:pPr>
    </w:lvl>
    <w:lvl w:ilvl="5" w:tentative="0">
      <w:start w:val="1"/>
      <w:numFmt w:val="lowerRoman"/>
      <w:lvlText w:val="%6."/>
      <w:lvlJc w:val="right"/>
      <w:pPr>
        <w:ind w:left="3227" w:hanging="420"/>
      </w:pPr>
    </w:lvl>
    <w:lvl w:ilvl="6" w:tentative="0">
      <w:start w:val="1"/>
      <w:numFmt w:val="decimal"/>
      <w:lvlText w:val="%7."/>
      <w:lvlJc w:val="left"/>
      <w:pPr>
        <w:ind w:left="3647" w:hanging="420"/>
      </w:pPr>
    </w:lvl>
    <w:lvl w:ilvl="7" w:tentative="0">
      <w:start w:val="1"/>
      <w:numFmt w:val="lowerLetter"/>
      <w:lvlText w:val="%8)"/>
      <w:lvlJc w:val="left"/>
      <w:pPr>
        <w:ind w:left="4067" w:hanging="420"/>
      </w:pPr>
    </w:lvl>
    <w:lvl w:ilvl="8" w:tentative="0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BD83ACB"/>
    <w:rsid w:val="3D4B5409"/>
    <w:rsid w:val="60BF7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p0"/>
    <w:basedOn w:val="1"/>
    <w:uiPriority w:val="0"/>
    <w:rPr>
      <w:rFonts w:cs="宋体"/>
      <w:kern w:val="0"/>
      <w:szCs w:val="21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122</Words>
  <Characters>696</Characters>
  <Lines>5</Lines>
  <Paragraphs>1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2021-11-22T04:21:00Z</dcterms:created>
  <dc:creator>王莉</dc:creator>
  <cp:lastModifiedBy>Lenovo</cp:lastModifiedBy>
  <dcterms:modified xsi:type="dcterms:W3CDTF">2022-03-22T03:42:34Z</dcterms:modified>
  <dc:title>项目交易申请函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