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工程建设项目公开招标流程指南</w:t>
      </w:r>
    </w:p>
    <w:p>
      <w:pPr>
        <w:jc w:val="center"/>
        <w:rPr>
          <w:rFonts w:ascii="仿宋_GB2312" w:hAnsi="仿宋_GB2312" w:eastAsia="仿宋_GB2312" w:cs="仿宋_GB2312"/>
          <w:sz w:val="44"/>
          <w:szCs w:val="44"/>
        </w:rPr>
      </w:pPr>
      <w:r>
        <w:rPr>
          <w:rFonts w:ascii="仿宋_GB2312" w:hAnsi="仿宋_GB2312" w:eastAsia="仿宋_GB2312" w:cs="仿宋_GB2312"/>
          <w:i/>
          <w:kern w:val="2"/>
          <w:sz w:val="21"/>
          <w:szCs w:val="21"/>
          <w:lang w:val="en-US" w:eastAsia="zh-CN" w:bidi="ar-SA"/>
        </w:rPr>
        <w:pict>
          <v:rect id="Rectangle 180" o:spid="_x0000_s1026" style="position:absolute;left:0;margin-left:94.9pt;margin-top:18.55pt;height:56.15pt;width:387.9pt;rotation:0f;z-index:2517381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 xml:space="preserve">    </w:t>
                  </w:r>
                  <w:r>
                    <w:rPr>
                      <w:rFonts w:hint="eastAsia" w:ascii="仿宋_GB2312" w:hAnsi="仿宋_GB2312" w:eastAsia="仿宋_GB2312" w:cs="仿宋_GB2312"/>
                      <w:color w:val="auto"/>
                      <w:sz w:val="18"/>
                      <w:szCs w:val="18"/>
                    </w:rPr>
                    <w:t>由招标人自行选择在</w:t>
                  </w:r>
                  <w:r>
                    <w:rPr>
                      <w:rFonts w:hint="eastAsia" w:ascii="仿宋_GB2312" w:hAnsi="仿宋_GB2312" w:eastAsia="仿宋_GB2312" w:cs="仿宋_GB2312"/>
                      <w:color w:val="auto"/>
                      <w:sz w:val="18"/>
                      <w:szCs w:val="18"/>
                      <w:lang w:eastAsia="zh-CN"/>
                    </w:rPr>
                    <w:t>海南省</w:t>
                  </w:r>
                  <w:r>
                    <w:rPr>
                      <w:rFonts w:hint="eastAsia" w:ascii="仿宋_GB2312" w:hAnsi="仿宋_GB2312" w:eastAsia="仿宋_GB2312" w:cs="仿宋_GB2312"/>
                      <w:color w:val="auto"/>
                      <w:sz w:val="18"/>
                      <w:szCs w:val="18"/>
                    </w:rPr>
                    <w:t>公共资源交易平台注册备案的招标代理机构，委托其办理招标事宜。</w:t>
                  </w:r>
                  <w:r>
                    <w:rPr>
                      <w:rFonts w:hint="eastAsia" w:ascii="仿宋_GB2312" w:hAnsi="仿宋_GB2312" w:eastAsia="仿宋_GB2312" w:cs="仿宋_GB2312"/>
                      <w:color w:val="auto"/>
                      <w:sz w:val="18"/>
                      <w:szCs w:val="18"/>
                      <w:lang w:eastAsia="zh-CN"/>
                    </w:rPr>
                    <w:t>根据工程建设项目类型，</w:t>
                  </w:r>
                  <w:r>
                    <w:rPr>
                      <w:rFonts w:hint="eastAsia" w:ascii="仿宋_GB2312" w:hAnsi="仿宋_GB2312" w:eastAsia="仿宋_GB2312" w:cs="仿宋_GB2312"/>
                      <w:color w:val="auto"/>
                      <w:sz w:val="18"/>
                      <w:szCs w:val="18"/>
                    </w:rPr>
                    <w:t>招标代理机构</w:t>
                  </w:r>
                  <w:r>
                    <w:rPr>
                      <w:rFonts w:hint="eastAsia" w:ascii="仿宋_GB2312" w:hAnsi="仿宋_GB2312" w:eastAsia="仿宋_GB2312" w:cs="仿宋_GB2312"/>
                      <w:color w:val="auto"/>
                      <w:sz w:val="18"/>
                      <w:szCs w:val="18"/>
                      <w:lang w:eastAsia="zh-CN"/>
                    </w:rPr>
                    <w:t>协助招标人准备好项目交易登记材料。</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375"/>
                    <w:rPr>
                      <w:rFonts w:hint="eastAsia" w:ascii="仿宋_GB2312" w:hAnsi="仿宋_GB2312" w:eastAsia="仿宋_GB2312" w:cs="仿宋_GB2312"/>
                      <w:color w:val="auto"/>
                      <w:sz w:val="18"/>
                      <w:szCs w:val="18"/>
                    </w:rPr>
                  </w:pPr>
                </w:p>
                <w:p>
                  <w:pPr>
                    <w:jc w:val="left"/>
                    <w:rPr>
                      <w:rFonts w:ascii="仿宋_GB2312" w:hAnsi="仿宋_GB2312" w:eastAsia="仿宋_GB2312" w:cs="仿宋_GB2312"/>
                      <w:color w:val="auto"/>
                      <w:sz w:val="18"/>
                      <w:szCs w:val="18"/>
                    </w:rPr>
                  </w:pPr>
                </w:p>
              </w:txbxContent>
            </v:textbox>
          </v:rect>
        </w:pict>
      </w:r>
      <w:r>
        <w:rPr>
          <w:rFonts w:ascii="仿宋_GB2312" w:hAnsi="仿宋_GB2312" w:eastAsia="仿宋_GB2312" w:cs="仿宋_GB2312"/>
          <w:i/>
          <w:kern w:val="2"/>
          <w:sz w:val="21"/>
          <w:szCs w:val="21"/>
          <w:lang w:val="en-US" w:eastAsia="zh-CN" w:bidi="ar-SA"/>
        </w:rPr>
        <w:pict>
          <v:rect id="矩形 301" o:spid="_x0000_s1027" style="position:absolute;left:0;margin-left:-12.6pt;margin-top:27.3pt;height:23.4pt;width:78.7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招标准备</w:t>
                  </w:r>
                </w:p>
              </w:txbxContent>
            </v:textbox>
          </v:rect>
        </w:pict>
      </w:r>
    </w:p>
    <w:p>
      <w:pPr>
        <w:pStyle w:val="17"/>
        <w:ind w:firstLine="480"/>
        <w:rPr>
          <w:rFonts w:ascii="仿宋_GB2312" w:hAnsi="仿宋_GB2312" w:eastAsia="仿宋_GB2312" w:cs="仿宋_GB2312"/>
        </w:rPr>
      </w:pPr>
      <w:r>
        <w:rPr>
          <w:rFonts w:ascii="仿宋_GB2312" w:hAnsi="仿宋_GB2312" w:eastAsia="仿宋_GB2312" w:cs="仿宋_GB2312"/>
          <w:i/>
          <w:kern w:val="2"/>
          <w:sz w:val="24"/>
          <w:szCs w:val="24"/>
          <w:lang w:val="en-US" w:eastAsia="zh-CN" w:bidi="ar-SA"/>
        </w:rPr>
        <w:pict>
          <v:line id="Line 4" o:spid="_x0000_s1028" style="position:absolute;left:0;flip:x;margin-left:36.35pt;margin-top:18.25pt;height:68.4pt;width:0.2pt;rotation:0f;z-index:2517135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直线 87" o:spid="_x0000_s1029" style="position:absolute;left:0;margin-left:68.1pt;margin-top:9.95pt;height:0.35pt;width:25.8pt;rotation:0f;z-index:2517145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ect id="矩形 310" o:spid="_x0000_s1030" style="position:absolute;left:0;margin-left:119.4pt;margin-top:952.05pt;height:23.4pt;width:204.75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24"/>
                      <w:szCs w:val="24"/>
                    </w:rPr>
                  </w:pPr>
                  <w:r>
                    <w:rPr>
                      <w:sz w:val="24"/>
                      <w:szCs w:val="24"/>
                    </w:rPr>
                    <w:t xml:space="preserve">13.     </w:t>
                  </w:r>
                  <w:r>
                    <w:rPr>
                      <w:rFonts w:hint="eastAsia" w:cs="宋体"/>
                      <w:sz w:val="24"/>
                      <w:szCs w:val="24"/>
                    </w:rPr>
                    <w:t>招投标资料归档</w:t>
                  </w:r>
                </w:p>
              </w:txbxContent>
            </v:textbox>
          </v:rect>
        </w:pict>
      </w:r>
    </w:p>
    <w:p>
      <w:pPr>
        <w:rPr>
          <w:rFonts w:ascii="仿宋_GB2312" w:hAnsi="仿宋_GB2312" w:eastAsia="仿宋_GB2312" w:cs="仿宋_GB2312"/>
          <w:i/>
        </w:rPr>
      </w:pP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ect id="Rectangle 289" o:spid="_x0000_s1031" style="position:absolute;left:0;margin-left:119.4pt;margin-top:3.8pt;height:72.25pt;width:363.4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rPr>
                      <w:color w:val="auto"/>
                      <w:sz w:val="24"/>
                      <w:szCs w:val="24"/>
                    </w:rPr>
                  </w:pPr>
                  <w:r>
                    <w:rPr>
                      <w:rFonts w:hint="eastAsia" w:ascii="仿宋_GB2312" w:hAnsi="仿宋_GB2312" w:eastAsia="仿宋_GB2312" w:cs="仿宋_GB2312"/>
                      <w:color w:val="auto"/>
                      <w:sz w:val="18"/>
                      <w:szCs w:val="18"/>
                      <w:lang w:val="en-US" w:eastAsia="zh-CN"/>
                    </w:rPr>
                    <w:t xml:space="preserve">  招标代理机构登录海南省公共资源交易平台（http://zw.hainan.gov.cn/jsgc/gbp/login.do?systemId=2c91e4c25474c566015474cdc19c000a），按系统要求录入项目信息并上传</w:t>
                  </w:r>
                  <w:r>
                    <w:rPr>
                      <w:rFonts w:hint="eastAsia" w:ascii="仿宋_GB2312" w:hAnsi="仿宋_GB2312" w:eastAsia="仿宋_GB2312" w:cs="仿宋_GB2312"/>
                      <w:color w:val="auto"/>
                      <w:sz w:val="18"/>
                      <w:szCs w:val="18"/>
                      <w:lang w:eastAsia="zh-CN"/>
                    </w:rPr>
                    <w:t>项目交易登记材料</w:t>
                  </w:r>
                  <w:r>
                    <w:rPr>
                      <w:rFonts w:hint="eastAsia" w:ascii="仿宋_GB2312" w:hAnsi="仿宋_GB2312" w:eastAsia="仿宋_GB2312" w:cs="仿宋_GB2312"/>
                      <w:color w:val="auto"/>
                      <w:sz w:val="18"/>
                      <w:szCs w:val="18"/>
                      <w:lang w:val="en-US" w:eastAsia="zh-CN"/>
                    </w:rPr>
                    <w:t>。</w:t>
                  </w:r>
                </w:p>
              </w:txbxContent>
            </v:textbox>
          </v: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66" o:spid="_x0000_s1032" style="position:absolute;left:0;margin-left:-16.55pt;margin-top:9.2pt;height:32.9pt;width:94.6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入场交易登记</w:t>
                  </w:r>
                </w:p>
              </w:txbxContent>
            </v:textbox>
          </v:rect>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直线 88" o:spid="_x0000_s1033" style="position:absolute;left:0;margin-left:86.55pt;margin-top:5.2pt;height:0.4pt;width:30.35pt;rotation:0f;z-index:2517155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292" o:spid="_x0000_s1034" style="position:absolute;left:0;flip:x;margin-left:37.2pt;margin-top:2.75pt;height:30.85pt;width:0.05pt;rotation:0f;z-index:2516623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pStyle w:val="17"/>
        <w:ind w:firstLine="480"/>
        <w:rPr>
          <w:rFonts w:ascii="仿宋_GB2312" w:hAnsi="仿宋_GB2312" w:eastAsia="仿宋_GB2312" w:cs="仿宋_GB2312"/>
          <w:i/>
        </w:rPr>
      </w:pP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291" o:spid="_x0000_s1035" style="position:absolute;left:0;margin-left:117.2pt;margin-top:18.7pt;height:99.95pt;width:367.35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numPr>
                      <w:ilvl w:val="0"/>
                      <w:numId w:val="1"/>
                    </w:numPr>
                    <w:ind w:left="360" w:leftChars="0" w:firstLine="0" w:firstLineChars="0"/>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县公共资源交易服务中心</w:t>
                  </w:r>
                  <w:r>
                    <w:rPr>
                      <w:rFonts w:hint="eastAsia" w:ascii="仿宋_GB2312" w:hAnsi="仿宋_GB2312" w:eastAsia="仿宋_GB2312" w:cs="仿宋_GB2312"/>
                      <w:color w:val="auto"/>
                      <w:sz w:val="18"/>
                      <w:szCs w:val="18"/>
                      <w:lang w:eastAsia="zh-CN"/>
                    </w:rPr>
                    <w:t>登录</w:t>
                  </w:r>
                  <w:r>
                    <w:rPr>
                      <w:rFonts w:hint="eastAsia" w:ascii="仿宋_GB2312" w:hAnsi="仿宋_GB2312" w:eastAsia="仿宋_GB2312" w:cs="仿宋_GB2312"/>
                      <w:color w:val="auto"/>
                      <w:sz w:val="18"/>
                      <w:szCs w:val="18"/>
                      <w:lang w:val="en-US" w:eastAsia="zh-CN"/>
                    </w:rPr>
                    <w:t>海南省公共资源交易平台（http://zw.hainan.gov.cn/jsgc/gbp/login.do?systemId=2c91e4c25474c566015474cdc19c000a）</w:t>
                  </w:r>
                  <w:r>
                    <w:rPr>
                      <w:rFonts w:hint="eastAsia" w:ascii="仿宋_GB2312" w:hAnsi="仿宋_GB2312" w:eastAsia="仿宋_GB2312" w:cs="仿宋_GB2312"/>
                      <w:color w:val="auto"/>
                      <w:sz w:val="18"/>
                      <w:szCs w:val="18"/>
                    </w:rPr>
                    <w:t>对招标代理机构提交</w:t>
                  </w:r>
                  <w:r>
                    <w:rPr>
                      <w:rFonts w:hint="eastAsia" w:ascii="仿宋_GB2312" w:hAnsi="仿宋_GB2312" w:eastAsia="仿宋_GB2312" w:cs="仿宋_GB2312"/>
                      <w:color w:val="auto"/>
                      <w:sz w:val="18"/>
                      <w:szCs w:val="18"/>
                      <w:lang w:eastAsia="zh-CN"/>
                    </w:rPr>
                    <w:t>的项目交易登记材料</w:t>
                  </w:r>
                  <w:r>
                    <w:rPr>
                      <w:rFonts w:hint="eastAsia" w:ascii="仿宋_GB2312" w:hAnsi="仿宋_GB2312" w:eastAsia="仿宋_GB2312" w:cs="仿宋_GB2312"/>
                      <w:color w:val="auto"/>
                      <w:sz w:val="18"/>
                      <w:szCs w:val="18"/>
                    </w:rPr>
                    <w:t>进行</w:t>
                  </w:r>
                  <w:r>
                    <w:rPr>
                      <w:rFonts w:hint="eastAsia" w:ascii="仿宋_GB2312" w:hAnsi="仿宋_GB2312" w:eastAsia="仿宋_GB2312" w:cs="仿宋_GB2312"/>
                      <w:color w:val="auto"/>
                      <w:sz w:val="18"/>
                      <w:szCs w:val="18"/>
                      <w:lang w:eastAsia="zh-CN"/>
                    </w:rPr>
                    <w:t>初审，并预约远程评标室。</w:t>
                  </w:r>
                </w:p>
                <w:p>
                  <w:pPr>
                    <w:numPr>
                      <w:ilvl w:val="0"/>
                      <w:numId w:val="1"/>
                    </w:numPr>
                    <w:ind w:left="360" w:leftChars="0" w:firstLine="0" w:firstLineChars="0"/>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eastAsia="zh-CN"/>
                    </w:rPr>
                    <w:t>省公共资源交易服务中心对项目交易登记材料进行复审。</w:t>
                  </w:r>
                </w:p>
                <w:p>
                  <w:pPr>
                    <w:numPr>
                      <w:ilvl w:val="0"/>
                      <w:numId w:val="1"/>
                    </w:numPr>
                    <w:ind w:left="360" w:leftChars="0" w:firstLine="0" w:firstLineChars="0"/>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县公共资源交易服务中心</w:t>
                  </w:r>
                  <w:r>
                    <w:rPr>
                      <w:rFonts w:hint="eastAsia" w:ascii="仿宋_GB2312" w:hAnsi="仿宋_GB2312" w:eastAsia="仿宋_GB2312" w:cs="仿宋_GB2312"/>
                      <w:color w:val="auto"/>
                      <w:sz w:val="18"/>
                      <w:szCs w:val="18"/>
                      <w:lang w:eastAsia="zh-CN"/>
                    </w:rPr>
                    <w:t>对入场登记材料</w:t>
                  </w:r>
                  <w:r>
                    <w:rPr>
                      <w:rFonts w:hint="eastAsia" w:ascii="仿宋_GB2312" w:hAnsi="仿宋_GB2312" w:eastAsia="仿宋_GB2312" w:cs="仿宋_GB2312"/>
                      <w:color w:val="auto"/>
                      <w:sz w:val="18"/>
                      <w:szCs w:val="18"/>
                      <w:lang w:val="en-US" w:eastAsia="zh-CN"/>
                    </w:rPr>
                    <w:t>进行终审。</w:t>
                  </w:r>
                </w:p>
              </w:txbxContent>
            </v:textbox>
          </v:rect>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Line 13" o:spid="_x0000_s1036" style="position:absolute;left:0;flip:y;margin-left:80.5pt;margin-top:19.6pt;height:0.3pt;width:35.65pt;rotation:0f;z-index:2517166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Rectangle 68" o:spid="_x0000_s1037" style="position:absolute;left:0;margin-left:-10.85pt;margin-top:1.25pt;height:36.95pt;width:90.15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材料审核</w:t>
                  </w:r>
                </w:p>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（1个工作日）</w:t>
                  </w:r>
                </w:p>
                <w:p>
                  <w:pPr>
                    <w:jc w:val="center"/>
                    <w:rPr>
                      <w:rFonts w:ascii="楷体_GB2312" w:hAnsi="仿宋_GB2312" w:eastAsia="楷体_GB2312" w:cs="仿宋_GB2312"/>
                      <w:color w:val="333333"/>
                      <w:kern w:val="0"/>
                      <w:shd w:val="clear" w:color="auto" w:fill="FFFFFF"/>
                    </w:rPr>
                  </w:pPr>
                </w:p>
              </w:txbxContent>
            </v:textbox>
          </v: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347" o:spid="_x0000_s1038" style="position:absolute;left:0;margin-left:38.45pt;margin-top:16.4pt;height:61.8pt;width:0.05pt;rotation:0f;z-index:2516654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pStyle w:val="17"/>
        <w:ind w:firstLine="480"/>
        <w:rPr>
          <w:rFonts w:ascii="仿宋_GB2312" w:hAnsi="仿宋_GB2312" w:eastAsia="仿宋_GB2312" w:cs="仿宋_GB2312"/>
          <w:i/>
        </w:rPr>
      </w:pP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直接连接符 302" o:spid="_x0000_s1039" style="position:absolute;left:0;margin-left:-149.2pt;margin-top:11.95pt;height:0.05pt;width:29.55pt;rotation:0f;z-index:25167052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412" o:spid="_x0000_s1040" style="position:absolute;left:0;margin-left:122.1pt;margin-top:14.1pt;height:58.55pt;width:355.25pt;rotation:0f;z-index:25166643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FF0000"/>
                      <w:sz w:val="18"/>
                      <w:szCs w:val="18"/>
                      <w:lang w:val="en-US" w:eastAsia="zh-CN"/>
                    </w:rPr>
                    <w:t xml:space="preserve">  </w:t>
                  </w:r>
                  <w:r>
                    <w:rPr>
                      <w:rFonts w:hint="eastAsia" w:ascii="仿宋_GB2312" w:hAnsi="仿宋_GB2312" w:eastAsia="仿宋_GB2312" w:cs="仿宋_GB2312"/>
                      <w:color w:val="auto"/>
                      <w:sz w:val="18"/>
                      <w:szCs w:val="18"/>
                      <w:lang w:val="en-US" w:eastAsia="zh-CN"/>
                    </w:rPr>
                    <w:t xml:space="preserve"> 招标代理机构通过海南省公共资源交易平台（http://zw.hainan.gov.cn/jsgc/gbp/login.do?systemId=2c91e4c25474c566015474cdc19c000a）将招标公告、资格预审公告发布到《全国公共资源交易平台（海南省）·琼中县》（http://zw.hainan.gov.cn/ggzy/qzggzy/）。</w:t>
                  </w:r>
                </w:p>
                <w:p>
                  <w:pPr>
                    <w:jc w:val="left"/>
                    <w:rPr>
                      <w:rFonts w:ascii="仿宋_GB2312" w:hAnsi="仿宋_GB2312" w:eastAsia="仿宋_GB2312" w:cs="仿宋_GB2312"/>
                      <w:color w:val="auto"/>
                      <w:sz w:val="18"/>
                      <w:szCs w:val="18"/>
                    </w:rPr>
                  </w:pPr>
                </w:p>
                <w:p>
                  <w:pPr>
                    <w:rPr>
                      <w:sz w:val="24"/>
                      <w:szCs w:val="24"/>
                    </w:rPr>
                  </w:pPr>
                </w:p>
                <w:p>
                  <w:pPr>
                    <w:jc w:val="center"/>
                    <w:rPr>
                      <w:sz w:val="24"/>
                      <w:szCs w:val="24"/>
                    </w:rPr>
                  </w:pPr>
                </w:p>
              </w:txbxContent>
            </v:textbox>
          </v:rect>
        </w:pict>
      </w:r>
    </w:p>
    <w:p>
      <w:pPr>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69" o:spid="_x0000_s1041" style="position:absolute;left:0;margin-left:-5.3pt;margin-top:0.3pt;height:38.5pt;width:86.85pt;rotation:0f;z-index:25166745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180" w:hanging="180" w:hangingChars="100"/>
                    <w:jc w:val="both"/>
                    <w:rPr>
                      <w:rFonts w:hint="eastAsia" w:ascii="仿宋_GB2312" w:hAnsi="仿宋_GB2312" w:eastAsia="仿宋_GB2312" w:cs="仿宋_GB2312"/>
                      <w:color w:val="FF0000"/>
                      <w:sz w:val="18"/>
                      <w:szCs w:val="18"/>
                      <w:lang w:val="en-US" w:eastAsia="zh-CN"/>
                    </w:rPr>
                  </w:pPr>
                  <w:r>
                    <w:rPr>
                      <w:rFonts w:hint="eastAsia" w:ascii="仿宋_GB2312" w:hAnsi="仿宋_GB2312" w:eastAsia="仿宋_GB2312" w:cs="仿宋_GB2312"/>
                      <w:color w:val="FF0000"/>
                      <w:sz w:val="18"/>
                      <w:szCs w:val="18"/>
                      <w:lang w:val="en-US" w:eastAsia="zh-CN"/>
                    </w:rPr>
                    <w:t xml:space="preserve">  </w:t>
                  </w:r>
                  <w:r>
                    <w:rPr>
                      <w:rFonts w:hint="eastAsia" w:ascii="仿宋_GB2312" w:hAnsi="仿宋_GB2312" w:eastAsia="仿宋_GB2312" w:cs="仿宋_GB2312"/>
                      <w:color w:val="auto"/>
                      <w:sz w:val="18"/>
                      <w:szCs w:val="18"/>
                      <w:lang w:val="en-US" w:eastAsia="zh-CN"/>
                    </w:rPr>
                    <w:t>发布招标公告、资格预审公告</w:t>
                  </w:r>
                </w:p>
              </w:txbxContent>
            </v:textbox>
          </v:rect>
        </w:pict>
      </w:r>
    </w:p>
    <w:p>
      <w:pPr>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Line 17" o:spid="_x0000_s1042" style="position:absolute;left:0;margin-left:83.75pt;margin-top:5.1pt;height:0.05pt;width:34.85pt;rotation:0f;z-index:25171763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line id="直接连接符 300" o:spid="_x0000_s1043" style="position:absolute;left:0;margin-left:36.25pt;margin-top:11.25pt;height:34.6pt;width:0.2pt;rotation:0f;z-index:25166950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hAnsi="仿宋_GB2312" w:eastAsia="仿宋_GB2312" w:cs="仿宋_GB2312"/>
          <w:i/>
        </w:rPr>
      </w:pPr>
    </w:p>
    <w:p>
      <w:pPr>
        <w:rPr>
          <w:rFonts w:ascii="仿宋_GB2312" w:hAnsi="仿宋_GB2312" w:eastAsia="仿宋_GB2312" w:cs="仿宋_GB2312"/>
          <w:i/>
        </w:rPr>
      </w:pPr>
    </w:p>
    <w:p>
      <w:pPr>
        <w:ind w:left="420" w:leftChars="200" w:firstLine="105" w:firstLineChars="50"/>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ect id="Rectangle 47" o:spid="_x0000_s1044" style="position:absolute;left:0;margin-left:-8.55pt;margin-top:12.15pt;height:51.15pt;width:95.5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rPr>
                      <w:rFonts w:ascii="仿宋_GB2312" w:hAnsi="仿宋_GB2312" w:eastAsia="仿宋_GB2312" w:cs="仿宋_GB2312"/>
                      <w:color w:val="auto"/>
                      <w:sz w:val="18"/>
                      <w:szCs w:val="18"/>
                    </w:rPr>
                  </w:pPr>
                  <w:r>
                    <w:rPr>
                      <w:rFonts w:hint="eastAsia" w:ascii="仿宋_GB2312" w:hAnsi="仿宋_GB2312" w:eastAsia="仿宋_GB2312" w:cs="仿宋_GB2312"/>
                      <w:sz w:val="18"/>
                      <w:szCs w:val="18"/>
                    </w:rPr>
                    <w:t>发售招</w:t>
                  </w:r>
                  <w:r>
                    <w:rPr>
                      <w:rFonts w:hint="eastAsia" w:ascii="仿宋_GB2312" w:hAnsi="仿宋_GB2312" w:eastAsia="仿宋_GB2312" w:cs="仿宋_GB2312"/>
                      <w:color w:val="auto"/>
                      <w:sz w:val="18"/>
                      <w:szCs w:val="18"/>
                    </w:rPr>
                    <w:t>标文件</w:t>
                  </w:r>
                  <w:r>
                    <w:rPr>
                      <w:rFonts w:hint="eastAsia" w:ascii="仿宋_GB2312" w:hAnsi="仿宋_GB2312" w:eastAsia="仿宋_GB2312" w:cs="仿宋_GB2312"/>
                      <w:color w:val="auto"/>
                      <w:sz w:val="18"/>
                      <w:szCs w:val="18"/>
                      <w:lang w:val="en-US" w:eastAsia="zh-CN"/>
                    </w:rPr>
                    <w:t>、资格预审文件</w:t>
                  </w:r>
                  <w:r>
                    <w:rPr>
                      <w:rFonts w:hint="eastAsia" w:ascii="仿宋_GB2312" w:hAnsi="仿宋_GB2312" w:eastAsia="仿宋_GB2312" w:cs="仿宋_GB2312"/>
                      <w:color w:val="auto"/>
                      <w:sz w:val="18"/>
                      <w:szCs w:val="18"/>
                    </w:rPr>
                    <w:t>（不少于5日）</w:t>
                  </w:r>
                </w:p>
              </w:txbxContent>
            </v:textbox>
          </v:rect>
        </w:pict>
      </w:r>
    </w:p>
    <w:p>
      <w:pPr>
        <w:ind w:left="420" w:leftChars="200" w:firstLine="105" w:firstLineChars="50"/>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ect id="Rectangle 76" o:spid="_x0000_s1045" style="position:absolute;left:0;margin-left:150.35pt;margin-top:4.95pt;height:53.95pt;width:283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auto" w:fill="FFFFFF"/>
                      <w:lang w:val="en-US" w:eastAsia="zh-CN"/>
                    </w:rPr>
                    <w:t xml:space="preserve">    </w:t>
                  </w:r>
                  <w:r>
                    <w:rPr>
                      <w:rFonts w:hint="eastAsia" w:ascii="仿宋_GB2312" w:hAnsi="仿宋_GB2312" w:eastAsia="仿宋_GB2312" w:cs="仿宋_GB2312"/>
                      <w:color w:val="auto"/>
                      <w:sz w:val="18"/>
                      <w:szCs w:val="18"/>
                      <w:shd w:val="clear" w:color="auto" w:fill="FFFFFF"/>
                    </w:rPr>
                    <w:t>招标人应当按照资格预审公告、招标公告规定的时间、地点发售资格预审文件或者招标文件。资格预审文件或者招标文件的发售期不得少于5日。</w:t>
                  </w:r>
                </w:p>
              </w:txbxContent>
            </v:textbox>
          </v:rect>
        </w:pict>
      </w:r>
    </w:p>
    <w:p>
      <w:pPr>
        <w:rPr>
          <w:rFonts w:ascii="仿宋_GB2312" w:hAnsi="仿宋_GB2312" w:eastAsia="仿宋_GB2312" w:cs="仿宋_GB2312"/>
          <w:i/>
        </w:rPr>
      </w:pPr>
      <w:r>
        <w:rPr>
          <w:rFonts w:ascii="Times New Roman" w:hAnsi="Times New Roman" w:eastAsia="宋体" w:cs="Times New Roman"/>
          <w:kern w:val="2"/>
          <w:sz w:val="24"/>
          <w:szCs w:val="21"/>
          <w:lang w:val="en-US" w:eastAsia="zh-CN" w:bidi="ar-SA"/>
        </w:rPr>
        <w:pict>
          <v:line id="Line 24" o:spid="_x0000_s1046" style="position:absolute;left:0;margin-left:93.15pt;margin-top:13pt;height:0.55pt;width:59pt;rotation:0f;z-index:25171968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4"/>
          <w:szCs w:val="21"/>
          <w:lang w:val="en-US" w:eastAsia="zh-CN" w:bidi="ar-SA"/>
        </w:rPr>
        <w:pict>
          <v:line id="Line 22" o:spid="_x0000_s1047" style="position:absolute;left:0;margin-left:-27.2pt;margin-top:3.75pt;height:0.1pt;width:21.7pt;rotation:0f;z-index:2517186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line id="Line 425" o:spid="_x0000_s1048" style="position:absolute;left:0;flip:x y;margin-left:-24.95pt;margin-top:3.2pt;height:158.65pt;width:1pt;rotation:0f;z-index:25166848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rect id="Rectangle 422" o:spid="_x0000_s1049" style="position:absolute;left:0;margin-left:15.75pt;margin-top:343.2pt;height:23.4pt;width:72pt;rotation:0f;z-index:251677696;" o:ole="f" fillcolor="#FFFFFF" filled="f" o:preferrelative="t" stroked="f" coordsize="21600,21600">
            <v:fill on="f" color2="#FFFFFF" focus="0%"/>
            <v:imagedata gain="65536f" blacklevel="0f" gamma="0"/>
            <o:lock v:ext="edit" position="f" selection="f" grouping="f" rotation="f" cropping="f" text="f" aspectratio="f"/>
            <v:textbox>
              <w:txbxContent>
                <w:p/>
              </w:txbxContent>
            </v:textbox>
          </v:rect>
        </w:pict>
      </w: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line id="直接连接符 298" o:spid="_x0000_s1050" style="position:absolute;left:0;margin-left:38.1pt;margin-top:14.4pt;height:21.25pt;width:0.65pt;rotation:0f;z-index:2516746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矩形 299" o:spid="_x0000_s1051" style="position:absolute;left:0;margin-left:-7.55pt;margin-top:21.3pt;height:31.15pt;width:99.2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pStyle w:val="17"/>
                    <w:ind w:left="0" w:firstLine="0" w:firstLineChars="0"/>
                    <w:rPr>
                      <w:rFonts w:ascii="仿宋_GB2312" w:hAnsi="仿宋_GB2312" w:eastAsia="仿宋_GB2312" w:cs="仿宋_GB2312"/>
                      <w:color w:val="000000"/>
                      <w:kern w:val="0"/>
                      <w:sz w:val="18"/>
                      <w:szCs w:val="18"/>
                      <w:shd w:val="clear" w:color="auto" w:fill="FFFFFF"/>
                    </w:rPr>
                  </w:pPr>
                  <w:r>
                    <w:rPr>
                      <w:rFonts w:hint="eastAsia" w:ascii="仿宋_GB2312" w:hAnsi="仿宋_GB2312" w:eastAsia="仿宋_GB2312" w:cs="仿宋_GB2312"/>
                      <w:color w:val="000000"/>
                      <w:kern w:val="0"/>
                      <w:sz w:val="18"/>
                      <w:szCs w:val="18"/>
                      <w:shd w:val="clear" w:color="auto" w:fill="FFFFFF"/>
                    </w:rPr>
                    <w:t>踏勘现场（工程建设）</w:t>
                  </w:r>
                </w:p>
              </w:txbxContent>
            </v:textbox>
          </v: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74" o:spid="_x0000_s1052" style="position:absolute;left:0;margin-left:151.8pt;margin-top:2.8pt;height:25.8pt;width:92.2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pStyle w:val="17"/>
                    <w:ind w:left="0" w:firstLine="0" w:firstLineChars="0"/>
                    <w:rPr>
                      <w:rFonts w:hint="eastAsia" w:ascii="仿宋_GB2312" w:hAnsi="仿宋_GB2312" w:eastAsia="仿宋_GB2312" w:cs="仿宋_GB2312"/>
                      <w:color w:val="000000"/>
                      <w:kern w:val="0"/>
                      <w:sz w:val="18"/>
                      <w:szCs w:val="18"/>
                      <w:shd w:val="clear" w:color="auto" w:fill="FFFFFF"/>
                      <w:lang w:eastAsia="zh-CN"/>
                    </w:rPr>
                  </w:pPr>
                  <w:r>
                    <w:rPr>
                      <w:rFonts w:hint="eastAsia" w:ascii="仿宋_GB2312" w:hAnsi="仿宋_GB2312" w:eastAsia="仿宋_GB2312" w:cs="仿宋_GB2312"/>
                      <w:color w:val="000000"/>
                      <w:kern w:val="0"/>
                      <w:sz w:val="18"/>
                      <w:szCs w:val="18"/>
                      <w:shd w:val="clear" w:color="auto" w:fill="FFFFFF"/>
                    </w:rPr>
                    <w:t>视情况是否组织</w:t>
                  </w:r>
                  <w:r>
                    <w:rPr>
                      <w:rFonts w:hint="eastAsia" w:ascii="仿宋_GB2312" w:hAnsi="仿宋_GB2312" w:eastAsia="仿宋_GB2312" w:cs="仿宋_GB2312"/>
                      <w:color w:val="000000"/>
                      <w:kern w:val="0"/>
                      <w:sz w:val="18"/>
                      <w:szCs w:val="18"/>
                      <w:shd w:val="clear" w:color="auto" w:fill="FFFFFF"/>
                      <w:lang w:eastAsia="zh-CN"/>
                    </w:rPr>
                    <w:t>。</w:t>
                  </w:r>
                </w:p>
                <w:p/>
              </w:txbxContent>
            </v:textbox>
          </v:rect>
        </w:pict>
      </w:r>
      <w:r>
        <w:rPr>
          <w:rFonts w:ascii="Times New Roman" w:hAnsi="Times New Roman" w:eastAsia="宋体" w:cs="Times New Roman"/>
          <w:kern w:val="2"/>
          <w:sz w:val="24"/>
          <w:szCs w:val="24"/>
          <w:lang w:val="en-US" w:eastAsia="zh-CN" w:bidi="ar-SA"/>
        </w:rPr>
        <w:pict>
          <v:line id="Line 28" o:spid="_x0000_s1053" style="position:absolute;left:0;margin-left:90.25pt;margin-top:15.7pt;height:0.8pt;width:56.1pt;rotation:0f;z-index:25172070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393" o:spid="_x0000_s1054" style="position:absolute;left:0;margin-left:39.3pt;margin-top:10pt;height:27.7pt;width:0.25pt;rotation:0f;z-index:2516787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Rectangle 70" o:spid="_x0000_s1055" style="position:absolute;left:0;margin-left:139.1pt;margin-top:23.4pt;height:90.15pt;width:308.1pt;rotation:0f;z-index:25167974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both"/>
                    <w:textAlignment w:val="auto"/>
                    <w:outlineLvl w:val="9"/>
                    <w:rPr>
                      <w:sz w:val="18"/>
                      <w:szCs w:val="18"/>
                    </w:rPr>
                  </w:pPr>
                  <w:r>
                    <w:rPr>
                      <w:rFonts w:hint="eastAsia" w:ascii="仿宋_GB2312" w:hAnsi="仿宋_GB2312" w:eastAsia="仿宋_GB2312" w:cs="仿宋_GB2312"/>
                      <w:color w:val="333333"/>
                      <w:sz w:val="18"/>
                      <w:szCs w:val="18"/>
                      <w:shd w:val="clear" w:color="auto" w:fill="FFFFFF"/>
                      <w:lang w:val="en-US" w:eastAsia="zh-CN"/>
                    </w:rPr>
                    <w:t xml:space="preserve">    </w:t>
                  </w:r>
                  <w:r>
                    <w:rPr>
                      <w:rFonts w:hint="eastAsia" w:ascii="仿宋_GB2312" w:hAnsi="仿宋_GB2312" w:eastAsia="仿宋_GB2312" w:cs="仿宋_GB2312"/>
                      <w:color w:val="auto"/>
                      <w:sz w:val="18"/>
                      <w:szCs w:val="18"/>
                      <w:shd w:val="clear" w:color="auto" w:fill="FFFFFF"/>
                    </w:rPr>
                    <w:t>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spacing w:line="560" w:lineRule="exact"/>
                    <w:jc w:val="center"/>
                    <w:rPr>
                      <w:sz w:val="18"/>
                      <w:szCs w:val="18"/>
                    </w:rPr>
                  </w:pPr>
                </w:p>
              </w:txbxContent>
            </v:textbox>
          </v: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矩形 297" o:spid="_x0000_s1056" style="position:absolute;left:0;margin-left:-8.9pt;margin-top:17.6pt;height:41.35pt;width:107.15pt;rotation:0f;z-index:25168076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仿宋_GB2312" w:hAnsi="仿宋_GB2312" w:eastAsia="仿宋_GB2312" w:cs="仿宋_GB2312"/>
                      <w:color w:val="auto"/>
                      <w:kern w:val="0"/>
                      <w:sz w:val="18"/>
                      <w:szCs w:val="18"/>
                      <w:shd w:val="clear" w:color="auto" w:fill="FFFFFF"/>
                    </w:rPr>
                  </w:pPr>
                  <w:r>
                    <w:rPr>
                      <w:rFonts w:hint="eastAsia" w:ascii="仿宋_GB2312" w:hAnsi="仿宋_GB2312" w:eastAsia="仿宋_GB2312" w:cs="仿宋_GB2312"/>
                      <w:color w:val="auto"/>
                      <w:kern w:val="0"/>
                      <w:sz w:val="18"/>
                      <w:szCs w:val="18"/>
                      <w:shd w:val="clear" w:color="auto" w:fill="FFFFFF"/>
                    </w:rPr>
                    <w:t>招标文件</w:t>
                  </w:r>
                  <w:r>
                    <w:rPr>
                      <w:rFonts w:hint="eastAsia" w:ascii="仿宋_GB2312" w:hAnsi="仿宋_GB2312" w:eastAsia="仿宋_GB2312" w:cs="仿宋_GB2312"/>
                      <w:color w:val="auto"/>
                      <w:sz w:val="18"/>
                      <w:szCs w:val="18"/>
                      <w:lang w:val="en-US" w:eastAsia="zh-CN"/>
                    </w:rPr>
                    <w:t>、资格预审文件</w:t>
                  </w:r>
                  <w:r>
                    <w:rPr>
                      <w:rFonts w:hint="eastAsia" w:ascii="仿宋_GB2312" w:hAnsi="仿宋_GB2312" w:eastAsia="仿宋_GB2312" w:cs="仿宋_GB2312"/>
                      <w:color w:val="auto"/>
                      <w:kern w:val="0"/>
                      <w:sz w:val="18"/>
                      <w:szCs w:val="18"/>
                      <w:shd w:val="clear" w:color="auto" w:fill="FFFFFF"/>
                    </w:rPr>
                    <w:t>澄清答疑补充修改</w:t>
                  </w:r>
                </w:p>
              </w:txbxContent>
            </v:textbox>
          </v:rect>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Line 33" o:spid="_x0000_s1057" style="position:absolute;left:0;margin-left:99.6pt;margin-top:15.65pt;height:0.3pt;width:36.5pt;rotation:0f;z-index:25172172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79" o:spid="_x0000_s1058" style="position:absolute;left:0;margin-left:39.4pt;margin-top:12.7pt;height:45.9pt;width:0.05pt;rotation:0f;z-index:2516817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矩形 294" o:spid="_x0000_s1059" style="position:absolute;left:0;margin-left:-89.95pt;margin-top:3.75pt;height:33.65pt;width:76.1pt;rotation:0f;z-index:251672576;" o:ole="f" fillcolor="#FFFFFF" filled="f" o:preferrelative="t" stroked="f" coordsize="21600,21600">
            <v:fill on="f" color2="#FFFFFF" focus="0%"/>
            <v:imagedata gain="65536f" blacklevel="0f" gamma="0"/>
            <o:lock v:ext="edit" position="f" selection="f" grouping="f" rotation="f" cropping="f" text="f" aspectratio="f"/>
            <v:textbox>
              <w:txbxContent>
                <w:p>
                  <w:pPr>
                    <w:rPr>
                      <w:rFonts w:cs="宋体"/>
                    </w:rPr>
                  </w:pPr>
                  <w:r>
                    <w:rPr>
                      <w:rFonts w:hint="eastAsia" w:cs="宋体"/>
                    </w:rPr>
                    <w:t>不少于20日</w:t>
                  </w:r>
                </w:p>
              </w:txbxContent>
            </v:textbox>
          </v:rect>
        </w:pict>
      </w:r>
    </w:p>
    <w:p>
      <w:pPr>
        <w:pStyle w:val="17"/>
        <w:ind w:firstLine="480"/>
        <w:rPr>
          <w:rFonts w:ascii="仿宋_GB2312" w:hAnsi="仿宋_GB2312" w:eastAsia="仿宋_GB2312" w:cs="仿宋_GB2312"/>
          <w:i/>
        </w:rPr>
      </w:pPr>
    </w:p>
    <w:p>
      <w:pPr>
        <w:pStyle w:val="17"/>
        <w:ind w:left="0" w:leftChars="0" w:firstLine="0" w:firstLineChars="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矩形 295" o:spid="_x0000_s1060" style="position:absolute;left:0;margin-left:-4.2pt;margin-top:5.15pt;height:38.85pt;width:104.25pt;rotation:0f;z-index:2516838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hint="eastAsia" w:ascii="仿宋_GB2312" w:hAnsi="仿宋_GB2312" w:eastAsia="仿宋_GB2312" w:cs="仿宋_GB2312"/>
                      <w:color w:val="auto"/>
                      <w:kern w:val="0"/>
                      <w:sz w:val="18"/>
                      <w:szCs w:val="18"/>
                      <w:shd w:val="clear" w:color="auto" w:fill="FFFFFF"/>
                    </w:rPr>
                  </w:pPr>
                  <w:r>
                    <w:rPr>
                      <w:rFonts w:hint="eastAsia" w:ascii="仿宋_GB2312" w:hAnsi="仿宋_GB2312" w:eastAsia="仿宋_GB2312" w:cs="仿宋_GB2312"/>
                      <w:color w:val="auto"/>
                      <w:kern w:val="0"/>
                      <w:sz w:val="18"/>
                      <w:szCs w:val="18"/>
                      <w:shd w:val="clear" w:color="auto" w:fill="FFFFFF"/>
                    </w:rPr>
                    <w:t>投标人编制、提交投标文件</w:t>
                  </w:r>
                </w:p>
                <w:p>
                  <w:pPr>
                    <w:jc w:val="center"/>
                    <w:rPr>
                      <w:rFonts w:ascii="仿宋_GB2312" w:hAnsi="仿宋_GB2312" w:eastAsia="仿宋_GB2312" w:cs="仿宋_GB2312"/>
                      <w:color w:val="333333"/>
                      <w:kern w:val="0"/>
                      <w:sz w:val="18"/>
                      <w:szCs w:val="18"/>
                      <w:shd w:val="clear" w:color="auto" w:fill="FFFFFF"/>
                    </w:rPr>
                  </w:pPr>
                </w:p>
              </w:txbxContent>
            </v:textbox>
          </v:rect>
        </w:pict>
      </w:r>
      <w:r>
        <w:rPr>
          <w:rFonts w:ascii="仿宋_GB2312" w:hAnsi="仿宋_GB2312" w:eastAsia="仿宋_GB2312" w:cs="仿宋_GB2312"/>
          <w:i/>
          <w:kern w:val="2"/>
          <w:sz w:val="24"/>
          <w:szCs w:val="24"/>
          <w:lang w:val="en-US" w:eastAsia="zh-CN" w:bidi="ar-SA"/>
        </w:rPr>
        <w:pict>
          <v:rect id="Rectangle 71" o:spid="_x0000_s1061" style="position:absolute;left:0;margin-left:128.65pt;margin-top:4.05pt;height:72.15pt;width:328.7pt;rotation:0f;z-index:25168281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left"/>
                    <w:textAlignment w:val="auto"/>
                    <w:outlineLvl w:val="9"/>
                    <w:rPr>
                      <w:rFonts w:hint="default" w:ascii="仿宋_GB2312" w:hAnsi="仿宋_GB2312" w:eastAsia="仿宋_GB2312" w:cs="仿宋_GB2312"/>
                      <w:color w:val="auto"/>
                      <w:kern w:val="0"/>
                      <w:sz w:val="18"/>
                      <w:szCs w:val="18"/>
                      <w:shd w:val="clear" w:color="auto" w:fill="FFFFFF"/>
                    </w:rPr>
                  </w:pPr>
                  <w:r>
                    <w:rPr>
                      <w:rFonts w:hint="eastAsia" w:ascii="仿宋_GB2312" w:hAnsi="仿宋_GB2312" w:eastAsia="仿宋_GB2312" w:cs="仿宋_GB2312"/>
                      <w:color w:val="333333"/>
                      <w:kern w:val="0"/>
                      <w:sz w:val="18"/>
                      <w:szCs w:val="18"/>
                      <w:shd w:val="clear" w:color="auto" w:fill="FFFFFF"/>
                      <w:lang w:val="en-US" w:eastAsia="zh-CN"/>
                    </w:rPr>
                    <w:t xml:space="preserve">   </w:t>
                  </w:r>
                  <w:r>
                    <w:rPr>
                      <w:rFonts w:hint="eastAsia" w:ascii="仿宋_GB2312" w:hAnsi="仿宋_GB2312" w:eastAsia="仿宋_GB2312" w:cs="仿宋_GB2312"/>
                      <w:color w:val="auto"/>
                      <w:kern w:val="0"/>
                      <w:sz w:val="18"/>
                      <w:szCs w:val="18"/>
                      <w:shd w:val="clear" w:color="auto" w:fill="FFFFFF"/>
                      <w:lang w:val="en-US" w:eastAsia="zh-CN"/>
                    </w:rPr>
                    <w:t xml:space="preserve"> </w:t>
                  </w:r>
                  <w:r>
                    <w:rPr>
                      <w:rFonts w:hint="eastAsia" w:ascii="仿宋_GB2312" w:hAnsi="仿宋_GB2312" w:eastAsia="仿宋_GB2312" w:cs="仿宋_GB2312"/>
                      <w:color w:val="auto"/>
                      <w:kern w:val="0"/>
                      <w:sz w:val="18"/>
                      <w:szCs w:val="18"/>
                      <w:shd w:val="clear" w:color="auto" w:fill="FFFFFF"/>
                    </w:rPr>
                    <w:t>投标人应当在招标文件要求提交投标文件的截止时间前，将投标文件送达投标地点。招标人收到投标文件后，应当签收保存，不得开启。投标人少于三个的，招标人应当依照《中华人民共和国招标投标法》重新招标。</w:t>
                  </w:r>
                  <w:r>
                    <w:rPr>
                      <w:rFonts w:hint="eastAsia" w:ascii="仿宋_GB2312" w:hAnsi="仿宋_GB2312" w:eastAsia="仿宋_GB2312" w:cs="仿宋_GB2312"/>
                      <w:color w:val="auto"/>
                      <w:kern w:val="0"/>
                      <w:sz w:val="18"/>
                      <w:szCs w:val="18"/>
                      <w:shd w:val="clear" w:color="auto" w:fill="FFFFFF"/>
                    </w:rPr>
                    <w:br/>
                  </w:r>
                  <w:r>
                    <w:rPr>
                      <w:rFonts w:hint="eastAsia" w:ascii="仿宋_GB2312" w:hAnsi="仿宋_GB2312" w:eastAsia="仿宋_GB2312" w:cs="仿宋_GB2312"/>
                      <w:color w:val="auto"/>
                      <w:kern w:val="0"/>
                      <w:sz w:val="18"/>
                      <w:szCs w:val="18"/>
                      <w:shd w:val="clear" w:color="auto" w:fill="FFFFFF"/>
                    </w:rPr>
                    <w:t xml:space="preserve">  </w:t>
                  </w:r>
                  <w:r>
                    <w:rPr>
                      <w:rFonts w:hint="eastAsia" w:ascii="仿宋_GB2312" w:hAnsi="仿宋_GB2312" w:eastAsia="仿宋_GB2312" w:cs="仿宋_GB2312"/>
                      <w:color w:val="auto"/>
                      <w:kern w:val="0"/>
                      <w:sz w:val="18"/>
                      <w:szCs w:val="18"/>
                      <w:shd w:val="clear" w:color="auto" w:fill="FFFFFF"/>
                      <w:lang w:val="en-US" w:eastAsia="zh-CN"/>
                    </w:rPr>
                    <w:t xml:space="preserve">  </w:t>
                  </w:r>
                  <w:r>
                    <w:rPr>
                      <w:rFonts w:hint="eastAsia" w:ascii="仿宋_GB2312" w:hAnsi="仿宋_GB2312" w:eastAsia="仿宋_GB2312" w:cs="仿宋_GB2312"/>
                      <w:color w:val="auto"/>
                      <w:kern w:val="0"/>
                      <w:sz w:val="18"/>
                      <w:szCs w:val="18"/>
                      <w:shd w:val="clear" w:color="auto" w:fill="FFFFFF"/>
                    </w:rPr>
                    <w:t>在招标文件要求提交投标文件的截止时间后送达的投标文件，招标人应当拒收。</w:t>
                  </w:r>
                </w:p>
                <w:p>
                  <w:pPr>
                    <w:jc w:val="left"/>
                    <w:rPr>
                      <w:rFonts w:ascii="仿宋_GB2312" w:hAnsi="仿宋_GB2312" w:eastAsia="仿宋_GB2312" w:cs="仿宋_GB2312"/>
                      <w:sz w:val="18"/>
                      <w:szCs w:val="18"/>
                    </w:rPr>
                  </w:pPr>
                </w:p>
              </w:txbxContent>
            </v:textbox>
          </v:rect>
        </w:pict>
      </w:r>
      <w:r>
        <w:rPr>
          <w:rFonts w:ascii="Times New Roman" w:hAnsi="Times New Roman" w:eastAsia="宋体" w:cs="Times New Roman"/>
          <w:kern w:val="2"/>
          <w:sz w:val="24"/>
          <w:szCs w:val="24"/>
          <w:lang w:val="en-US" w:eastAsia="zh-CN" w:bidi="ar-SA"/>
        </w:rPr>
        <w:pict>
          <v:line id="直线 117" o:spid="_x0000_s1062" style="position:absolute;left:0;flip:x;margin-left:-27.35pt;margin-top:0.4pt;height:122.1pt;width:2.15pt;rotation:0f;z-index:2517350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7"/>
        <w:ind w:left="0" w:leftChars="0" w:firstLine="0" w:firstLineChars="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Line 39" o:spid="_x0000_s1063" style="position:absolute;left:0;margin-left:100.8pt;margin-top:4.05pt;height:0.05pt;width:25.8pt;rotation:0f;z-index:25172275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7"/>
        <w:ind w:left="0" w:leftChars="0" w:firstLine="0" w:firstLineChars="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36" o:spid="_x0000_s1064" style="position:absolute;left:0;flip:x;margin-left:45.95pt;margin-top:4.6pt;height:50.7pt;width:0.35pt;rotation:0f;z-index:2517329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pStyle w:val="17"/>
        <w:ind w:left="0" w:leftChars="0" w:firstLine="0" w:firstLineChars="0"/>
        <w:rPr>
          <w:rFonts w:ascii="仿宋_GB2312" w:hAnsi="仿宋_GB2312" w:eastAsia="仿宋_GB2312" w:cs="仿宋_GB2312"/>
          <w:i/>
        </w:rPr>
      </w:pPr>
      <w:bookmarkStart w:id="0" w:name="_GoBack"/>
      <w:bookmarkEnd w:id="0"/>
      <w:r>
        <w:rPr>
          <w:rFonts w:ascii="仿宋_GB2312" w:hAnsi="仿宋_GB2312" w:eastAsia="仿宋_GB2312" w:cs="仿宋_GB2312"/>
          <w:i/>
          <w:kern w:val="2"/>
          <w:sz w:val="24"/>
          <w:szCs w:val="24"/>
          <w:lang w:val="en-US" w:eastAsia="zh-CN" w:bidi="ar-SA"/>
        </w:rPr>
        <w:pict>
          <v:rect id="Rectangle 72" o:spid="_x0000_s1065" style="position:absolute;left:0;margin-left:106.3pt;margin-top:15.5pt;height:215.55pt;width:381.7pt;rotation:0f;z-index:2516869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招标人或招标代理机构按招标文件规定的开标时间在县公共资源交易服务中心开标。开标由招标人或招标代理机构主持，县公共资源交易服务中心应做好场地安排、设备设施等</w:t>
                  </w:r>
                  <w:r>
                    <w:rPr>
                      <w:rFonts w:hint="eastAsia" w:ascii="仿宋_GB2312" w:eastAsia="仿宋_GB2312" w:cs="仿宋_GB2312"/>
                      <w:color w:val="auto"/>
                      <w:sz w:val="18"/>
                      <w:szCs w:val="18"/>
                      <w:lang w:eastAsia="zh-CN"/>
                    </w:rPr>
                    <w:t>服务</w:t>
                  </w:r>
                  <w:r>
                    <w:rPr>
                      <w:rFonts w:hint="eastAsia" w:ascii="仿宋_GB2312" w:eastAsia="仿宋_GB2312" w:cs="仿宋_GB2312"/>
                      <w:color w:val="auto"/>
                      <w:sz w:val="18"/>
                      <w:szCs w:val="18"/>
                    </w:rPr>
                    <w:t>工作，并见证开标全过程。</w:t>
                  </w:r>
                </w:p>
                <w:p>
                  <w:pPr>
                    <w:numPr>
                      <w:ilvl w:val="0"/>
                      <w:numId w:val="2"/>
                    </w:numPr>
                    <w:spacing w:line="240" w:lineRule="exact"/>
                    <w:ind w:left="360" w:leftChars="0" w:firstLine="0" w:firstLineChars="0"/>
                    <w:rPr>
                      <w:rFonts w:hint="eastAsia" w:ascii="仿宋_GB2312" w:eastAsia="仿宋_GB2312" w:cs="仿宋_GB2312"/>
                      <w:color w:val="auto"/>
                      <w:sz w:val="18"/>
                      <w:szCs w:val="18"/>
                    </w:rPr>
                  </w:pPr>
                  <w:r>
                    <w:rPr>
                      <w:rFonts w:hint="eastAsia" w:ascii="仿宋_GB2312" w:eastAsia="仿宋_GB2312" w:cs="仿宋_GB2312"/>
                      <w:color w:val="auto"/>
                      <w:sz w:val="18"/>
                      <w:szCs w:val="18"/>
                    </w:rPr>
                    <w:t>开标前，招标代理机构到县公共资源交易服务中心工作人员处登记并领取工作牌。招标人或招标代理机构负责按照相关法律法规核验参加开标活动的投标人代表身份证明证件（原件），以确认其身份合法有效，并做好签到记录。</w:t>
                  </w:r>
                </w:p>
                <w:p>
                  <w:pPr>
                    <w:numPr>
                      <w:numId w:val="0"/>
                    </w:num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二、开标基本程序：</w:t>
                  </w:r>
                </w:p>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1.宣布开标纪律；</w:t>
                  </w:r>
                </w:p>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2.宣布开标人、唱标人、记录人等有关人员姓名；</w:t>
                  </w:r>
                </w:p>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3.公布在投标截止时间前递交投标文件的投标人名称，并点名确认投标人是否到场；</w:t>
                  </w:r>
                </w:p>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4.投标文件密封情况检查；</w:t>
                  </w:r>
                </w:p>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5.开启投标文件；</w:t>
                  </w:r>
                </w:p>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6.唱标：投标人名称、投标报价及其他内容；</w:t>
                  </w:r>
                </w:p>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7.投标人代表、招标人或招标代理机构等有关人员需在开标记录表签字确认；</w:t>
                  </w:r>
                </w:p>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8.开标结束；</w:t>
                  </w:r>
                </w:p>
                <w:p>
                  <w:pPr>
                    <w:spacing w:line="240" w:lineRule="exact"/>
                    <w:rPr>
                      <w:rFonts w:hint="default" w:ascii="仿宋_GB2312" w:eastAsia="仿宋_GB2312" w:cs="仿宋_GB2312"/>
                      <w:color w:val="auto"/>
                      <w:sz w:val="18"/>
                      <w:szCs w:val="18"/>
                      <w:lang w:val="en-US"/>
                    </w:rPr>
                  </w:pPr>
                  <w:r>
                    <w:rPr>
                      <w:rFonts w:hint="eastAsia" w:ascii="仿宋_GB2312" w:eastAsia="仿宋_GB2312" w:cs="仿宋_GB2312"/>
                      <w:color w:val="auto"/>
                      <w:sz w:val="18"/>
                      <w:szCs w:val="18"/>
                      <w:lang w:val="en-US" w:eastAsia="zh-CN"/>
                    </w:rPr>
                    <w:t xml:space="preserve">   三、开标结束后采购人或代理机构应当场将投标资料放进储物箱里，由县公共资源交易中心工作人员贴上封条后，再运送到评标室。</w:t>
                  </w:r>
                </w:p>
              </w:txbxContent>
            </v:textbox>
          </v:rect>
        </w:pict>
      </w:r>
    </w:p>
    <w:p>
      <w:pPr>
        <w:pStyle w:val="17"/>
        <w:ind w:left="0" w:leftChars="0" w:firstLine="0" w:firstLineChars="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80" o:spid="_x0000_s1066" style="position:absolute;left:0;margin-left:31.45pt;margin-top:10.8pt;height:32.15pt;width:45.35pt;rotation:0f;z-index:25168793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pStyle w:val="17"/>
                    <w:ind w:left="0" w:firstLine="0" w:firstLineChars="0"/>
                    <w:jc w:val="center"/>
                    <w:rPr>
                      <w:rFonts w:ascii="仿宋_GB2312" w:hAnsi="仿宋_GB2312" w:eastAsia="仿宋_GB2312" w:cs="仿宋_GB2312"/>
                      <w:color w:val="000000"/>
                      <w:kern w:val="0"/>
                      <w:sz w:val="18"/>
                      <w:szCs w:val="18"/>
                      <w:shd w:val="clear" w:color="auto" w:fill="FFFFFF"/>
                    </w:rPr>
                  </w:pPr>
                  <w:r>
                    <w:rPr>
                      <w:rFonts w:hint="eastAsia" w:ascii="仿宋_GB2312" w:hAnsi="仿宋_GB2312" w:eastAsia="仿宋_GB2312" w:cs="仿宋_GB2312"/>
                      <w:color w:val="000000"/>
                      <w:kern w:val="0"/>
                      <w:sz w:val="18"/>
                      <w:szCs w:val="18"/>
                      <w:shd w:val="clear" w:color="auto" w:fill="FFFFFF"/>
                    </w:rPr>
                    <w:t>开</w:t>
                  </w:r>
                  <w:r>
                    <w:rPr>
                      <w:rFonts w:hint="eastAsia" w:ascii="仿宋_GB2312" w:hAnsi="Times New Roman" w:eastAsia="仿宋_GB2312" w:cs="仿宋_GB2312"/>
                      <w:kern w:val="2"/>
                      <w:sz w:val="18"/>
                      <w:szCs w:val="18"/>
                      <w:lang w:val="en-US" w:eastAsia="zh-CN" w:bidi="ar-SA"/>
                    </w:rPr>
                    <w:t>标</w:t>
                  </w:r>
                </w:p>
              </w:txbxContent>
            </v:textbox>
          </v:rect>
        </w:pict>
      </w:r>
    </w:p>
    <w:p>
      <w:pPr>
        <w:pStyle w:val="17"/>
        <w:ind w:left="0" w:leftChars="0" w:firstLine="0" w:firstLineChars="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364" o:spid="_x0000_s1067" style="position:absolute;left:0;flip:y;margin-left:6.25pt;margin-top:16.05pt;height:0.6pt;width:24.55pt;rotation:0f;z-index:2516858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line id="Line 395" o:spid="_x0000_s1068" style="position:absolute;left:0;flip:x y;margin-left:8.25pt;margin-top:16.7pt;height:610.6pt;width:1.55pt;rotation:0f;z-index:2516848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line id="Line 73" o:spid="_x0000_s1069" style="position:absolute;left:0;margin-left:53.4pt;margin-top:22.2pt;height:219.65pt;width:1.65pt;rotation:0f;z-index:2516940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Line 45" o:spid="_x0000_s1070" style="position:absolute;left:0;flip:y;margin-left:77.15pt;margin-top:9pt;height:0.05pt;width:22.15pt;rotation:0f;z-index:25172377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line id="Line 46" o:spid="_x0000_s1071" style="position:absolute;left:0;margin-left:-28.6pt;margin-top:5.9pt;height:0.05pt;width:59pt;rotation:0f;z-index:25173401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7"/>
        <w:ind w:left="0" w:leftChars="0" w:firstLine="0" w:firstLineChars="0"/>
        <w:rPr>
          <w:rFonts w:ascii="仿宋_GB2312" w:hAnsi="仿宋_GB2312" w:eastAsia="仿宋_GB2312" w:cs="仿宋_GB2312"/>
          <w:i/>
        </w:rPr>
      </w:pPr>
    </w:p>
    <w:p>
      <w:pPr>
        <w:pStyle w:val="17"/>
        <w:ind w:firstLine="480"/>
        <w:rPr>
          <w:rFonts w:ascii="仿宋_GB2312" w:hAnsi="仿宋_GB2312" w:eastAsia="仿宋_GB2312" w:cs="仿宋_GB2312"/>
          <w:i/>
        </w:rPr>
      </w:pP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line id="Line 407" o:spid="_x0000_s1072" style="position:absolute;left:0;margin-left:526.5pt;margin-top:1.95pt;height:189.6pt;width:0.05pt;rotation:0f;z-index:2516899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oundrect id="圆角矩形 283" o:spid="_x0000_s1073" style="position:absolute;left:0;margin-left:-83.35pt;margin-top:15.5pt;height:23.4pt;width:64.2pt;rotation:0f;z-index:2516889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rFonts w:ascii="仿宋_GB2312" w:hAnsi="仿宋_GB2312" w:eastAsia="仿宋_GB2312" w:cs="仿宋_GB2312"/>
                      <w:color w:val="333333"/>
                      <w:kern w:val="0"/>
                      <w:sz w:val="18"/>
                      <w:szCs w:val="18"/>
                      <w:shd w:val="clear" w:color="auto" w:fill="FFFFFF"/>
                    </w:rPr>
                  </w:pPr>
                  <w:r>
                    <w:rPr>
                      <w:rFonts w:hint="eastAsia" w:ascii="仿宋_GB2312" w:hAnsi="仿宋_GB2312" w:eastAsia="仿宋_GB2312" w:cs="仿宋_GB2312"/>
                      <w:color w:val="333333"/>
                      <w:kern w:val="0"/>
                      <w:sz w:val="18"/>
                      <w:szCs w:val="18"/>
                      <w:shd w:val="clear" w:color="auto" w:fill="FFFFFF"/>
                    </w:rPr>
                    <w:t>质疑/投诉</w:t>
                  </w:r>
                </w:p>
              </w:txbxContent>
            </v:textbox>
          </v:roundrect>
        </w:pict>
      </w: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line id="直线 66" o:spid="_x0000_s1074" style="position:absolute;left:0;flip:x;margin-left:-50pt;margin-top:9.8pt;height:37pt;width:2.15pt;rotation:0f;z-index:2516910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矩形 75" o:spid="_x0000_s1075" style="position:absolute;left:0;margin-left:129.9pt;margin-top:15.45pt;height:155.25pt;width:359.1pt;rotation:0f;z-index:2516951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color w:val="auto"/>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color w:val="FF0000"/>
                      <w:sz w:val="18"/>
                      <w:szCs w:val="18"/>
                      <w:lang w:val="en-US" w:eastAsia="zh-CN"/>
                    </w:rPr>
                    <w:t xml:space="preserve"> </w:t>
                  </w: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1.招标代理机构持开评标备案表</w:t>
                  </w:r>
                  <w:r>
                    <w:rPr>
                      <w:rFonts w:hint="eastAsia" w:ascii="仿宋_GB2312" w:eastAsia="仿宋_GB2312" w:cs="仿宋_GB2312"/>
                      <w:color w:val="auto"/>
                      <w:sz w:val="18"/>
                      <w:szCs w:val="18"/>
                      <w:lang w:eastAsia="zh-CN"/>
                    </w:rPr>
                    <w:t>，</w:t>
                  </w:r>
                  <w:r>
                    <w:rPr>
                      <w:rFonts w:hint="eastAsia" w:ascii="仿宋_GB2312" w:eastAsia="仿宋_GB2312" w:cs="仿宋_GB2312"/>
                      <w:color w:val="auto"/>
                      <w:sz w:val="18"/>
                      <w:szCs w:val="18"/>
                    </w:rPr>
                    <w:t>到县公共资源交易服务中心专家抽取处，在行政（行业）主管部门的监督人员或招标单位纪检监察人员监督下登录海南省</w:t>
                  </w:r>
                  <w:r>
                    <w:rPr>
                      <w:rFonts w:hint="eastAsia" w:ascii="仿宋_GB2312" w:eastAsia="仿宋_GB2312" w:cs="仿宋_GB2312"/>
                      <w:color w:val="auto"/>
                      <w:sz w:val="18"/>
                      <w:szCs w:val="18"/>
                      <w:lang w:eastAsia="zh-CN"/>
                    </w:rPr>
                    <w:t>评标</w:t>
                  </w:r>
                  <w:r>
                    <w:rPr>
                      <w:rFonts w:hint="eastAsia" w:ascii="仿宋_GB2312" w:eastAsia="仿宋_GB2312" w:cs="仿宋_GB2312"/>
                      <w:color w:val="auto"/>
                      <w:sz w:val="18"/>
                      <w:szCs w:val="18"/>
                    </w:rPr>
                    <w:t>专家库管理及抽取系统录入项目信息。</w:t>
                  </w:r>
                </w:p>
                <w:p>
                  <w:pPr>
                    <w:widowControl w:val="0"/>
                    <w:wordWrap/>
                    <w:adjustRightInd/>
                    <w:snapToGrid/>
                    <w:spacing w:before="0" w:after="0" w:line="240" w:lineRule="exact"/>
                    <w:ind w:left="0" w:leftChars="0" w:right="0" w:firstLine="0" w:firstLineChars="0"/>
                    <w:jc w:val="left"/>
                    <w:textAlignment w:val="auto"/>
                    <w:outlineLvl w:val="9"/>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2.县公共资源交易服务中心工作人员登录海南省</w:t>
                  </w:r>
                  <w:r>
                    <w:rPr>
                      <w:rFonts w:hint="eastAsia" w:ascii="仿宋_GB2312" w:eastAsia="仿宋_GB2312" w:cs="仿宋_GB2312"/>
                      <w:color w:val="auto"/>
                      <w:sz w:val="18"/>
                      <w:szCs w:val="18"/>
                      <w:lang w:eastAsia="zh-CN"/>
                    </w:rPr>
                    <w:t>评标</w:t>
                  </w:r>
                  <w:r>
                    <w:rPr>
                      <w:rFonts w:hint="eastAsia" w:ascii="仿宋_GB2312" w:eastAsia="仿宋_GB2312" w:cs="仿宋_GB2312"/>
                      <w:color w:val="auto"/>
                      <w:sz w:val="18"/>
                      <w:szCs w:val="18"/>
                    </w:rPr>
                    <w:t>专家库管理及抽取系统，对项目信息进行核对</w:t>
                  </w:r>
                  <w:r>
                    <w:rPr>
                      <w:rFonts w:hint="eastAsia" w:ascii="仿宋_GB2312" w:eastAsia="仿宋_GB2312" w:cs="仿宋_GB2312"/>
                      <w:color w:val="auto"/>
                      <w:sz w:val="18"/>
                      <w:szCs w:val="18"/>
                      <w:lang w:eastAsia="zh-CN"/>
                    </w:rPr>
                    <w:t>无误</w:t>
                  </w:r>
                  <w:r>
                    <w:rPr>
                      <w:rFonts w:hint="eastAsia" w:ascii="仿宋_GB2312" w:eastAsia="仿宋_GB2312" w:cs="仿宋_GB2312"/>
                      <w:color w:val="auto"/>
                      <w:sz w:val="18"/>
                      <w:szCs w:val="18"/>
                    </w:rPr>
                    <w:t>后</w:t>
                  </w:r>
                  <w:r>
                    <w:rPr>
                      <w:rFonts w:hint="eastAsia" w:ascii="仿宋_GB2312" w:eastAsia="仿宋_GB2312" w:cs="仿宋_GB2312"/>
                      <w:color w:val="auto"/>
                      <w:sz w:val="18"/>
                      <w:szCs w:val="18"/>
                      <w:lang w:eastAsia="zh-CN"/>
                    </w:rPr>
                    <w:t>，由招标人点击</w:t>
                  </w:r>
                  <w:r>
                    <w:rPr>
                      <w:rFonts w:hint="eastAsia" w:ascii="仿宋_GB2312" w:eastAsia="仿宋_GB2312" w:cs="仿宋_GB2312"/>
                      <w:color w:val="auto"/>
                      <w:sz w:val="18"/>
                      <w:szCs w:val="18"/>
                    </w:rPr>
                    <w:t>系统随机抽取评标专家。在专家抽取系统自动完成评标专家的抽取和通知后，参加抽取过程的人员须在《工程建设项目开、评标备案表》上签字。</w:t>
                  </w:r>
                </w:p>
                <w:p>
                  <w:pPr>
                    <w:widowControl w:val="0"/>
                    <w:wordWrap/>
                    <w:adjustRightInd/>
                    <w:snapToGrid/>
                    <w:spacing w:before="0" w:after="0" w:line="240" w:lineRule="exact"/>
                    <w:ind w:left="0" w:leftChars="0" w:right="0" w:firstLine="0" w:firstLineChars="0"/>
                    <w:jc w:val="left"/>
                    <w:textAlignment w:val="auto"/>
                    <w:outlineLvl w:val="9"/>
                    <w:rPr>
                      <w:rFonts w:ascii="仿宋_GB2312" w:eastAsia="仿宋_GB2312" w:cs="仿宋_GB2312"/>
                      <w:color w:val="auto"/>
                      <w:sz w:val="18"/>
                      <w:szCs w:val="18"/>
                    </w:rPr>
                  </w:pPr>
                  <w:r>
                    <w:rPr>
                      <w:rFonts w:hint="eastAsia" w:ascii="仿宋_GB2312" w:eastAsia="仿宋_GB2312" w:cs="仿宋_GB2312"/>
                      <w:color w:val="auto"/>
                      <w:sz w:val="18"/>
                      <w:szCs w:val="18"/>
                    </w:rPr>
                    <w:t>(以上表格</w:t>
                  </w:r>
                  <w:r>
                    <w:rPr>
                      <w:rFonts w:hint="eastAsia" w:ascii="仿宋_GB2312" w:eastAsia="仿宋_GB2312" w:cs="仿宋_GB2312"/>
                      <w:color w:val="auto"/>
                      <w:sz w:val="18"/>
                      <w:szCs w:val="18"/>
                      <w:lang w:eastAsia="zh-CN"/>
                    </w:rPr>
                    <w:t>可在</w:t>
                  </w:r>
                  <w:r>
                    <w:rPr>
                      <w:rFonts w:hint="eastAsia" w:ascii="仿宋_GB2312" w:hAnsi="仿宋_GB2312" w:eastAsia="仿宋_GB2312" w:cs="仿宋_GB2312"/>
                      <w:color w:val="auto"/>
                      <w:sz w:val="18"/>
                      <w:szCs w:val="18"/>
                      <w:lang w:val="en-US" w:eastAsia="zh-CN"/>
                    </w:rPr>
                    <w:t>全国公共资源交易平台〈海南省〉·琼中县</w:t>
                  </w:r>
                  <w:r>
                    <w:rPr>
                      <w:rFonts w:hint="eastAsia" w:ascii="仿宋_GB2312" w:hAnsi="仿宋_GB2312" w:eastAsia="仿宋_GB2312" w:cs="仿宋_GB2312"/>
                      <w:color w:val="auto"/>
                      <w:sz w:val="18"/>
                      <w:szCs w:val="18"/>
                    </w:rPr>
                    <w:t>http://zw.hainan.gov.cn/ggzy/qzggzy/</w:t>
                  </w:r>
                  <w:r>
                    <w:rPr>
                      <w:rFonts w:hint="eastAsia" w:ascii="仿宋_GB2312" w:hAnsi="仿宋_GB2312" w:eastAsia="仿宋_GB2312" w:cs="仿宋_GB2312"/>
                      <w:color w:val="auto"/>
                      <w:sz w:val="18"/>
                      <w:szCs w:val="18"/>
                      <w:lang w:eastAsia="zh-CN"/>
                    </w:rPr>
                    <w:t>网站</w:t>
                  </w:r>
                  <w:r>
                    <w:rPr>
                      <w:rFonts w:hint="eastAsia" w:ascii="仿宋_GB2312" w:hAnsi="仿宋_GB2312" w:eastAsia="仿宋_GB2312" w:cs="仿宋_GB2312"/>
                      <w:color w:val="auto"/>
                      <w:sz w:val="18"/>
                      <w:szCs w:val="18"/>
                    </w:rPr>
                    <w:t>下载</w:t>
                  </w:r>
                  <w:r>
                    <w:rPr>
                      <w:rFonts w:hint="eastAsia" w:ascii="仿宋_GB2312" w:eastAsia="仿宋_GB2312" w:cs="仿宋_GB2312"/>
                      <w:color w:val="auto"/>
                      <w:sz w:val="18"/>
                      <w:szCs w:val="18"/>
                    </w:rPr>
                    <w:t>；海南省</w:t>
                  </w:r>
                  <w:r>
                    <w:rPr>
                      <w:rFonts w:hint="eastAsia" w:ascii="仿宋_GB2312" w:eastAsia="仿宋_GB2312" w:cs="仿宋_GB2312"/>
                      <w:color w:val="auto"/>
                      <w:sz w:val="18"/>
                      <w:szCs w:val="18"/>
                      <w:lang w:eastAsia="zh-CN"/>
                    </w:rPr>
                    <w:t>评标</w:t>
                  </w:r>
                  <w:r>
                    <w:rPr>
                      <w:rFonts w:hint="eastAsia" w:ascii="仿宋_GB2312" w:eastAsia="仿宋_GB2312" w:cs="仿宋_GB2312"/>
                      <w:color w:val="auto"/>
                      <w:sz w:val="18"/>
                      <w:szCs w:val="18"/>
                    </w:rPr>
                    <w:t>专家库管理及抽取系</w:t>
                  </w:r>
                  <w:r>
                    <w:rPr>
                      <w:rFonts w:hint="eastAsia" w:ascii="仿宋_GB2312" w:eastAsia="仿宋_GB2312" w:cs="仿宋_GB2312"/>
                      <w:color w:val="auto"/>
                      <w:sz w:val="18"/>
                      <w:szCs w:val="18"/>
                      <w:lang w:eastAsia="zh-CN"/>
                    </w:rPr>
                    <w:t>统：</w:t>
                  </w:r>
                  <w:r>
                    <w:rPr>
                      <w:rFonts w:hint="eastAsia" w:ascii="仿宋_GB2312" w:eastAsia="仿宋_GB2312" w:cs="仿宋_GB2312"/>
                      <w:color w:val="auto"/>
                      <w:sz w:val="18"/>
                      <w:szCs w:val="18"/>
                    </w:rPr>
                    <w:t>http://zw.hainan.gov.cn/expert/expert/login.do?systemId=402c81c8573d8b810157400feb6b0122）</w:t>
                  </w:r>
                </w:p>
              </w:txbxContent>
            </v:textbox>
          </v: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oundrect id="圆角矩形 270" o:spid="_x0000_s1076" style="position:absolute;left:0;margin-left:-83.5pt;margin-top:1.05pt;height:91.7pt;width:78.35pt;rotation:0f;z-index:2516920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rFonts w:ascii="仿宋_GB2312" w:hAnsi="仿宋_GB2312" w:eastAsia="仿宋_GB2312" w:cs="仿宋_GB2312"/>
                      <w:color w:val="333333"/>
                      <w:kern w:val="0"/>
                      <w:sz w:val="18"/>
                      <w:szCs w:val="18"/>
                      <w:shd w:val="clear" w:color="auto" w:fill="FFFFFF"/>
                    </w:rPr>
                  </w:pPr>
                  <w:r>
                    <w:rPr>
                      <w:rFonts w:hint="eastAsia" w:ascii="仿宋_GB2312" w:eastAsia="仿宋_GB2312" w:cs="仿宋_GB2312"/>
                      <w:sz w:val="18"/>
                      <w:szCs w:val="18"/>
                    </w:rPr>
                    <w:t>省公共资源交易管理委员会办公室。电话:65203641</w:t>
                  </w:r>
                </w:p>
              </w:txbxContent>
            </v:textbox>
          </v:round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19" o:spid="_x0000_s1077" style="position:absolute;left:0;margin-left:-6.4pt;margin-top:15.75pt;height:0.05pt;width:9.65pt;rotation:0f;z-index:2516930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Line 54" o:spid="_x0000_s1078" style="position:absolute;left:0;flip:y;margin-left:90.8pt;margin-top:15.85pt;height:0.35pt;width:34.75pt;rotation:0f;z-index:25172582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Line 55" o:spid="_x0000_s1079" style="position:absolute;left:0;flip:y;margin-left:9.9pt;margin-top:14.9pt;height:0.05pt;width:23pt;rotation:0f;z-index:25172480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矩形 284" o:spid="_x0000_s1080" style="position:absolute;left:0;margin-left:33.9pt;margin-top:1.5pt;height:28.9pt;width:56.05pt;rotation:0f;z-index:2516961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rPr>
                    <w:t>专家抽取</w:t>
                  </w:r>
                </w:p>
              </w:txbxContent>
            </v:textbox>
          </v:rect>
        </w:pict>
      </w:r>
    </w:p>
    <w:p>
      <w:pPr>
        <w:pStyle w:val="17"/>
        <w:ind w:firstLine="480"/>
        <w:rPr>
          <w:rFonts w:ascii="仿宋_GB2312" w:hAnsi="仿宋_GB2312" w:eastAsia="仿宋_GB2312" w:cs="仿宋_GB2312"/>
          <w:i/>
        </w:rPr>
      </w:pPr>
    </w:p>
    <w:p>
      <w:pPr>
        <w:pStyle w:val="17"/>
        <w:ind w:firstLine="480"/>
        <w:rPr>
          <w:rFonts w:ascii="仿宋_GB2312" w:hAnsi="仿宋_GB2312" w:eastAsia="仿宋_GB2312" w:cs="仿宋_GB2312"/>
          <w:i/>
        </w:rPr>
      </w:pPr>
    </w:p>
    <w:p>
      <w:pPr>
        <w:rPr>
          <w:rFonts w:ascii="仿宋_GB2312" w:hAnsi="仿宋_GB2312" w:eastAsia="仿宋_GB2312" w:cs="仿宋_GB2312"/>
        </w:rPr>
      </w:pPr>
    </w:p>
    <w:p>
      <w:pPr>
        <w:tabs>
          <w:tab w:val="left" w:pos="2337"/>
        </w:tabs>
        <w:rPr>
          <w:rFonts w:ascii="仿宋_GB2312" w:hAnsi="仿宋_GB2312" w:eastAsia="仿宋_GB2312" w:cs="仿宋_GB2312"/>
        </w:rPr>
      </w:pPr>
      <w:r>
        <w:rPr>
          <w:rFonts w:hint="eastAsia" w:ascii="仿宋_GB2312" w:hAnsi="仿宋_GB2312" w:eastAsia="仿宋_GB2312" w:cs="仿宋_GB2312"/>
          <w:lang w:eastAsia="zh-CN"/>
        </w:rPr>
        <w:tab/>
      </w:r>
    </w:p>
    <w:p>
      <w:pPr>
        <w:rPr>
          <w:rFonts w:ascii="仿宋_GB2312" w:hAnsi="仿宋_GB2312" w:eastAsia="仿宋_GB2312" w:cs="仿宋_GB2312"/>
        </w:rPr>
      </w:pPr>
      <w:r>
        <w:rPr>
          <w:rFonts w:ascii="仿宋_GB2312" w:hAnsi="仿宋_GB2312" w:eastAsia="仿宋_GB2312" w:cs="仿宋_GB2312"/>
          <w:i/>
          <w:kern w:val="2"/>
          <w:sz w:val="21"/>
          <w:szCs w:val="21"/>
          <w:lang w:val="en-US" w:eastAsia="zh-CN" w:bidi="ar-SA"/>
        </w:rPr>
        <w:pict>
          <v:rect id="Rectangle 417" o:spid="_x0000_s1081" style="position:absolute;left:0;margin-left:129.1pt;margin-top:14.55pt;height:119.4pt;width:363.2pt;rotation:0f;z-index:2516971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（一）评标开始前，县公共资源交易服务中心工作人员打印专家名单并核对专家</w:t>
                  </w:r>
                  <w:r>
                    <w:rPr>
                      <w:rFonts w:hint="eastAsia" w:ascii="仿宋_GB2312" w:eastAsia="仿宋_GB2312" w:cs="仿宋_GB2312"/>
                      <w:sz w:val="18"/>
                      <w:szCs w:val="18"/>
                      <w:lang w:eastAsia="zh-CN"/>
                    </w:rPr>
                    <w:t>（招标人代表</w:t>
                  </w:r>
                  <w:r>
                    <w:rPr>
                      <w:rFonts w:hint="eastAsia" w:ascii="仿宋_GB2312" w:eastAsia="仿宋_GB2312" w:cs="仿宋_GB2312"/>
                      <w:sz w:val="18"/>
                      <w:szCs w:val="18"/>
                      <w:lang w:val="en-US" w:eastAsia="zh-CN"/>
                    </w:rPr>
                    <w:t>)</w:t>
                  </w:r>
                  <w:r>
                    <w:rPr>
                      <w:rFonts w:hint="eastAsia" w:ascii="仿宋_GB2312" w:eastAsia="仿宋_GB2312" w:cs="仿宋_GB2312"/>
                      <w:sz w:val="18"/>
                      <w:szCs w:val="18"/>
                    </w:rPr>
                    <w:t>身份；</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（二）评标专家自行推荐评标小组组长，组成评标委员会；</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（三）评标专家按照招标文件规定对各投标文件进行评审；</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（四）评标委员会成员以外的其他人员不得擅自进入评标室，评标过程中确需参加评标服务工作的，须经监督人员同意，服务工作完成后立即退出评标室。凡进入评标室人员一律不得携带通讯工具；</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（五）评标结束后，招标人或招标代理机构应向县公共资源交易服务中心提交由专家签字确认的评标报告。</w:t>
                  </w:r>
                </w:p>
                <w:p>
                  <w:pPr>
                    <w:rPr>
                      <w:color w:val="0000FF"/>
                      <w:sz w:val="18"/>
                      <w:szCs w:val="18"/>
                    </w:rPr>
                  </w:pPr>
                </w:p>
                <w:p>
                  <w:pPr>
                    <w:spacing w:line="260" w:lineRule="exact"/>
                    <w:jc w:val="left"/>
                    <w:rPr>
                      <w:sz w:val="18"/>
                      <w:szCs w:val="18"/>
                    </w:rPr>
                  </w:pPr>
                </w:p>
                <w:p>
                  <w:pPr>
                    <w:widowControl/>
                    <w:shd w:val="clear" w:color="auto" w:fill="FFFFFF"/>
                    <w:spacing w:line="440" w:lineRule="atLeast"/>
                    <w:rPr>
                      <w:rFonts w:ascii="宋体" w:hAnsi="宋体" w:cs="宋体"/>
                      <w:color w:val="000000"/>
                      <w:kern w:val="0"/>
                      <w:sz w:val="18"/>
                      <w:szCs w:val="18"/>
                      <w:shd w:val="clear" w:color="auto" w:fill="FFFFFF"/>
                    </w:rPr>
                  </w:pPr>
                </w:p>
                <w:p>
                  <w:pPr>
                    <w:rPr>
                      <w:szCs w:val="24"/>
                    </w:rPr>
                  </w:pPr>
                </w:p>
              </w:txbxContent>
            </v:textbox>
          </v:rect>
        </w:pict>
      </w:r>
    </w:p>
    <w:p>
      <w:pPr>
        <w:rPr>
          <w:rFonts w:ascii="仿宋_GB2312" w:hAnsi="仿宋_GB2312" w:eastAsia="仿宋_GB2312" w:cs="仿宋_GB2312"/>
        </w:rPr>
      </w:pPr>
    </w:p>
    <w:p>
      <w:pPr>
        <w:rPr>
          <w:rFonts w:ascii="仿宋_GB2312" w:hAnsi="仿宋_GB2312" w:eastAsia="仿宋_GB2312" w:cs="仿宋_GB2312"/>
        </w:rPr>
      </w:pPr>
      <w:r>
        <w:rPr>
          <w:rFonts w:ascii="仿宋_GB2312" w:hAnsi="仿宋_GB2312" w:eastAsia="仿宋_GB2312" w:cs="仿宋_GB2312"/>
          <w:i/>
          <w:kern w:val="2"/>
          <w:sz w:val="21"/>
          <w:szCs w:val="21"/>
          <w:lang w:val="en-US" w:eastAsia="zh-CN" w:bidi="ar-SA"/>
        </w:rPr>
        <w:pict>
          <v:rect id="矩形 273" o:spid="_x0000_s1082" style="position:absolute;left:0;margin-left:33.9pt;margin-top:13.35pt;height:20.3pt;width:80.25pt;rotation:0f;z-index:2516981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评标</w:t>
                  </w:r>
                </w:p>
              </w:txbxContent>
            </v:textbox>
          </v:rect>
        </w:pict>
      </w:r>
    </w:p>
    <w:p>
      <w:pPr>
        <w:rPr>
          <w:rFonts w:ascii="仿宋_GB2312" w:hAnsi="仿宋_GB2312" w:eastAsia="仿宋_GB2312" w:cs="仿宋_GB2312"/>
        </w:rPr>
      </w:pPr>
      <w:r>
        <w:rPr>
          <w:rFonts w:ascii="Times New Roman" w:hAnsi="Times New Roman" w:eastAsia="宋体" w:cs="Times New Roman"/>
          <w:kern w:val="2"/>
          <w:sz w:val="24"/>
          <w:szCs w:val="21"/>
          <w:lang w:val="en-US" w:eastAsia="zh-CN" w:bidi="ar-SA"/>
        </w:rPr>
        <w:pict>
          <v:line id="Line 59" o:spid="_x0000_s1083" style="position:absolute;left:0;flip:y;margin-left:113.6pt;margin-top:12.15pt;height:0.5pt;width:13.5pt;rotation:0f;z-index:2517360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4"/>
          <w:szCs w:val="21"/>
          <w:lang w:val="en-US" w:eastAsia="zh-CN" w:bidi="ar-SA"/>
        </w:rPr>
        <w:pict>
          <v:line id="Line 60" o:spid="_x0000_s1084" style="position:absolute;left:0;flip:y;margin-left:10.75pt;margin-top:6.4pt;height:0.25pt;width:22.15pt;rotation:0f;z-index:2517268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ascii="仿宋_GB2312" w:hAnsi="仿宋_GB2312" w:eastAsia="仿宋_GB2312" w:cs="仿宋_GB2312"/>
        </w:rPr>
      </w:pPr>
      <w:r>
        <w:rPr>
          <w:rFonts w:ascii="仿宋_GB2312" w:hAnsi="仿宋_GB2312" w:eastAsia="仿宋_GB2312" w:cs="仿宋_GB2312"/>
          <w:i/>
          <w:kern w:val="2"/>
          <w:sz w:val="24"/>
          <w:szCs w:val="24"/>
          <w:lang w:val="en-US" w:eastAsia="zh-CN" w:bidi="ar-SA"/>
        </w:rPr>
        <w:pict>
          <v:line id="Line 84" o:spid="_x0000_s1085" style="position:absolute;left:0;flip:y;margin-left:66.1pt;margin-top:7.95pt;height:168.9pt;width:0.65pt;rotation:0f;z-index:2517411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ascii="仿宋_GB2312" w:hAnsi="仿宋_GB2312" w:eastAsia="仿宋_GB2312" w:cs="仿宋_GB2312"/>
        </w:rPr>
      </w:pPr>
    </w:p>
    <w:p>
      <w:pPr>
        <w:rPr>
          <w:rFonts w:ascii="仿宋_GB2312" w:hAnsi="仿宋_GB2312" w:eastAsia="仿宋_GB2312" w:cs="仿宋_GB2312"/>
        </w:rPr>
      </w:pPr>
    </w:p>
    <w:p>
      <w:pPr>
        <w:tabs>
          <w:tab w:val="left" w:pos="1762"/>
        </w:tabs>
        <w:rPr>
          <w:rFonts w:hint="eastAsia" w:ascii="仿宋_GB2312" w:hAnsi="仿宋_GB2312" w:eastAsia="仿宋_GB2312" w:cs="仿宋_GB2312"/>
          <w:lang w:eastAsia="zh-CN"/>
        </w:rPr>
      </w:pPr>
      <w:r>
        <w:rPr>
          <w:rFonts w:hint="eastAsia" w:ascii="仿宋_GB2312" w:hAnsi="仿宋_GB2312" w:eastAsia="仿宋_GB2312" w:cs="仿宋_GB2312"/>
          <w:lang w:eastAsia="zh-CN"/>
        </w:rPr>
        <w:tab/>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tabs>
          <w:tab w:val="left" w:pos="1575"/>
        </w:tabs>
        <w:rPr>
          <w:rFonts w:ascii="仿宋_GB2312" w:hAnsi="仿宋_GB2312" w:eastAsia="仿宋_GB2312" w:cs="仿宋_GB2312"/>
        </w:rPr>
      </w:pPr>
    </w:p>
    <w:p>
      <w:pPr>
        <w:tabs>
          <w:tab w:val="left" w:pos="1575"/>
        </w:tabs>
        <w:rPr>
          <w:rFonts w:ascii="仿宋_GB2312" w:hAnsi="仿宋_GB2312" w:eastAsia="仿宋_GB2312" w:cs="仿宋_GB2312"/>
        </w:rPr>
      </w:pPr>
    </w:p>
    <w:p>
      <w:pPr>
        <w:rPr>
          <w:rFonts w:ascii="仿宋_GB2312" w:hAnsi="仿宋_GB2312" w:eastAsia="仿宋_GB2312" w:cs="仿宋_GB2312"/>
          <w:sz w:val="30"/>
          <w:szCs w:val="30"/>
        </w:rPr>
      </w:pPr>
      <w:r>
        <w:rPr>
          <w:rFonts w:ascii="仿宋_GB2312" w:hAnsi="仿宋_GB2312" w:eastAsia="仿宋_GB2312" w:cs="仿宋_GB2312"/>
          <w:i/>
          <w:kern w:val="2"/>
          <w:sz w:val="24"/>
          <w:szCs w:val="24"/>
          <w:lang w:val="en-US" w:eastAsia="zh-CN" w:bidi="ar-SA"/>
        </w:rPr>
        <w:pict>
          <v:line id="Line 83" o:spid="_x0000_s1086" style="position:absolute;left:0;flip:x y;margin-left:9.75pt;margin-top:-8.1pt;height:67.65pt;width:0.8pt;rotation:0f;z-index:2517401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kern w:val="2"/>
          <w:sz w:val="21"/>
          <w:szCs w:val="21"/>
          <w:lang w:val="en-US" w:eastAsia="zh-CN" w:bidi="ar-SA"/>
        </w:rPr>
        <w:pict>
          <v:line id="Line 82" o:spid="_x0000_s1087" style="position:absolute;left:0;flip:x;margin-left:66.55pt;margin-top:2.25pt;height:40.05pt;width:0.05pt;rotation:0f;z-index:2517391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rect id="Rectangle 408" o:spid="_x0000_s1088" style="position:absolute;left:0;margin-left:150.1pt;margin-top:18.65pt;height:114.15pt;width:341.6pt;rotation:0f;z-index:2517002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sz w:val="18"/>
                      <w:szCs w:val="18"/>
                      <w:lang w:val="en-US" w:eastAsia="zh-CN"/>
                    </w:rPr>
                  </w:pPr>
                  <w:r>
                    <w:rPr>
                      <w:rFonts w:hint="eastAsia" w:ascii="仿宋_GB2312" w:hAnsi="仿宋_GB2312" w:eastAsia="仿宋_GB2312" w:cs="仿宋_GB2312"/>
                      <w:color w:val="333333"/>
                      <w:sz w:val="18"/>
                      <w:szCs w:val="18"/>
                      <w:shd w:val="clear" w:color="auto" w:fill="FFFFFF"/>
                      <w:lang w:val="en-US" w:eastAsia="zh-CN"/>
                    </w:rPr>
                    <w:t xml:space="preserve">   </w:t>
                  </w:r>
                  <w:r>
                    <w:rPr>
                      <w:rFonts w:hint="eastAsia" w:ascii="仿宋_GB2312" w:eastAsia="仿宋_GB2312" w:cs="仿宋_GB2312"/>
                      <w:sz w:val="18"/>
                      <w:szCs w:val="18"/>
                      <w:lang w:val="en-US" w:eastAsia="zh-CN"/>
                    </w:rPr>
                    <w:t xml:space="preserve"> 1.评标完成后，评标委员会应当向招标人提交书面评标报告和中标候选人名单。中标候选人应当不超过3个，并标明排序。</w:t>
                  </w:r>
                </w:p>
                <w:p>
                  <w:pPr>
                    <w:spacing w:line="240" w:lineRule="exact"/>
                    <w:rPr>
                      <w:rFonts w:hint="eastAsia" w:ascii="仿宋_GB2312" w:eastAsia="仿宋_GB2312" w:cs="仿宋_GB2312"/>
                      <w:sz w:val="18"/>
                      <w:szCs w:val="18"/>
                      <w:lang w:val="en-US" w:eastAsia="zh-CN"/>
                    </w:rPr>
                  </w:pPr>
                  <w:r>
                    <w:rPr>
                      <w:rFonts w:hint="eastAsia" w:ascii="仿宋_GB2312" w:eastAsia="仿宋_GB2312" w:cs="仿宋_GB2312"/>
                      <w:sz w:val="18"/>
                      <w:szCs w:val="18"/>
                      <w:lang w:val="en-US" w:eastAsia="zh-CN"/>
                    </w:rPr>
                    <w:t xml:space="preserve">    2.依法必须进行招标的项目，招标人应当自收到评标报告之日起3日内公示中标候选人，公示期不得少于3日。由招标代理机构在全国公共资源交易平台（海南省）·琼中县（http://zw.hainan.gov.cn/ggzy/qzggzy/）发布中标候选人公示。</w:t>
                  </w:r>
                </w:p>
                <w:p>
                  <w:pPr>
                    <w:spacing w:line="240" w:lineRule="exact"/>
                    <w:rPr>
                      <w:rFonts w:hint="eastAsia" w:ascii="仿宋_GB2312" w:eastAsia="仿宋_GB2312" w:cs="仿宋_GB2312"/>
                      <w:sz w:val="18"/>
                      <w:szCs w:val="18"/>
                      <w:lang w:val="en-US" w:eastAsia="zh-CN"/>
                    </w:rPr>
                  </w:pPr>
                  <w:r>
                    <w:rPr>
                      <w:rFonts w:hint="eastAsia" w:ascii="仿宋_GB2312" w:eastAsia="仿宋_GB2312" w:cs="仿宋_GB2312"/>
                      <w:sz w:val="18"/>
                      <w:szCs w:val="18"/>
                      <w:lang w:val="en-US" w:eastAsia="zh-CN"/>
                    </w:rPr>
                    <w:t xml:space="preserve">    3. 投标人或者其他利害关系人对依法必须进行招标的项目的评标结果有异议的，应当在中标候选人公示期间提出。招标人应当自收到异议之日起3日内作出答复；作出答复前，应当暂停招标投标活动。</w:t>
                  </w:r>
                </w:p>
                <w:p>
                  <w:pPr>
                    <w:widowControl/>
                    <w:shd w:val="clear" w:color="auto" w:fill="FFFFFF"/>
                    <w:spacing w:line="280" w:lineRule="exact"/>
                    <w:ind w:firstLine="360" w:firstLineChars="200"/>
                    <w:jc w:val="left"/>
                    <w:rPr>
                      <w:rFonts w:ascii="仿宋_GB2312" w:hAnsi="微软雅黑" w:eastAsia="仿宋_GB2312"/>
                      <w:sz w:val="18"/>
                      <w:szCs w:val="18"/>
                    </w:rPr>
                  </w:pPr>
                </w:p>
                <w:p>
                  <w:pPr>
                    <w:rPr>
                      <w:rFonts w:ascii="黑体" w:eastAsia="黑体"/>
                      <w:color w:val="0000FF"/>
                    </w:rPr>
                  </w:pPr>
                </w:p>
                <w:p>
                  <w:pPr>
                    <w:widowControl/>
                    <w:shd w:val="clear" w:color="auto" w:fill="FFFFFF"/>
                    <w:spacing w:line="440" w:lineRule="atLeast"/>
                    <w:rPr>
                      <w:rFonts w:ascii="宋体" w:hAnsi="宋体" w:cs="宋体"/>
                      <w:color w:val="000000"/>
                      <w:kern w:val="0"/>
                      <w:sz w:val="18"/>
                      <w:szCs w:val="18"/>
                      <w:shd w:val="clear" w:color="auto" w:fill="FFFFFF"/>
                    </w:rPr>
                  </w:pPr>
                </w:p>
                <w:p>
                  <w:pPr>
                    <w:rPr>
                      <w:szCs w:val="24"/>
                    </w:rPr>
                  </w:pPr>
                </w:p>
              </w:txbxContent>
            </v:textbox>
          </v:rect>
        </w:pict>
      </w:r>
    </w:p>
    <w:p>
      <w:pPr>
        <w:rPr>
          <w:rFonts w:ascii="仿宋_GB2312" w:hAnsi="仿宋_GB2312" w:eastAsia="仿宋_GB2312" w:cs="仿宋_GB2312"/>
          <w:sz w:val="30"/>
          <w:szCs w:val="30"/>
        </w:rPr>
      </w:pPr>
      <w:r>
        <w:rPr>
          <w:rFonts w:ascii="Times New Roman" w:hAnsi="Times New Roman" w:eastAsia="宋体" w:cs="Times New Roman"/>
          <w:kern w:val="2"/>
          <w:sz w:val="24"/>
          <w:szCs w:val="21"/>
          <w:lang w:val="en-US" w:eastAsia="zh-CN" w:bidi="ar-SA"/>
        </w:rPr>
        <w:pict>
          <v:line id="Line 64" o:spid="_x0000_s1089" style="position:absolute;left:0;margin-left:2.95pt;margin-top:30.2pt;height:0.15pt;width:18.1pt;rotation:0f;z-index:2517370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rect id="矩形 74" o:spid="_x0000_s1090" style="position:absolute;left:0;margin-left:19.45pt;margin-top:14.55pt;height:32.1pt;width:90.6pt;rotation:0f;z-index:2516992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center"/>
                    <w:textAlignment w:val="auto"/>
                    <w:outlineLvl w:val="9"/>
                    <w:rPr>
                      <w:rFonts w:hint="eastAsia" w:ascii="仿宋_GB2312" w:eastAsia="仿宋_GB2312" w:cs="仿宋_GB2312"/>
                      <w:sz w:val="18"/>
                      <w:szCs w:val="18"/>
                    </w:rPr>
                  </w:pPr>
                  <w:r>
                    <w:rPr>
                      <w:rFonts w:hint="eastAsia" w:ascii="仿宋_GB2312" w:eastAsia="仿宋_GB2312" w:cs="仿宋_GB2312"/>
                      <w:sz w:val="18"/>
                      <w:szCs w:val="18"/>
                    </w:rPr>
                    <w:t>评标结果公示</w:t>
                  </w: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（不少于3日）</w:t>
                  </w:r>
                </w:p>
                <w:p>
                  <w:pPr>
                    <w:rPr>
                      <w:rFonts w:ascii="仿宋_GB2312" w:hAnsi="仿宋_GB2312" w:eastAsia="仿宋_GB2312" w:cs="仿宋_GB2312"/>
                      <w:color w:val="000000"/>
                      <w:kern w:val="0"/>
                      <w:sz w:val="18"/>
                      <w:szCs w:val="18"/>
                      <w:shd w:val="clear" w:color="auto" w:fill="FFFFFF"/>
                    </w:rPr>
                  </w:pPr>
                </w:p>
              </w:txbxContent>
            </v:textbox>
          </v:rect>
        </w:pict>
      </w:r>
    </w:p>
    <w:p>
      <w:pPr>
        <w:rPr>
          <w:rFonts w:ascii="仿宋_GB2312" w:hAnsi="仿宋_GB2312" w:eastAsia="仿宋_GB2312" w:cs="仿宋_GB2312"/>
          <w:sz w:val="30"/>
          <w:szCs w:val="30"/>
        </w:rPr>
      </w:pPr>
      <w:r>
        <w:rPr>
          <w:rFonts w:ascii="Times New Roman" w:hAnsi="Times New Roman" w:eastAsia="宋体" w:cs="Times New Roman"/>
          <w:kern w:val="2"/>
          <w:sz w:val="24"/>
          <w:szCs w:val="21"/>
          <w:lang w:val="en-US" w:eastAsia="zh-CN" w:bidi="ar-SA"/>
        </w:rPr>
        <w:pict>
          <v:line id="Line 65" o:spid="_x0000_s1091" style="position:absolute;left:0;flip:y;margin-left:118.15pt;margin-top:1.9pt;height:0.15pt;width:27.8pt;rotation:0f;z-index:25172787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ind w:firstLine="420" w:firstLineChars="200"/>
        <w:rPr>
          <w:rFonts w:ascii="仿宋_GB2312" w:hAnsi="仿宋_GB2312" w:eastAsia="仿宋_GB2312" w:cs="仿宋_GB2312"/>
          <w:sz w:val="30"/>
          <w:szCs w:val="30"/>
        </w:rPr>
      </w:pPr>
      <w:r>
        <w:rPr>
          <w:rFonts w:ascii="仿宋_GB2312" w:hAnsi="仿宋_GB2312" w:eastAsia="仿宋_GB2312" w:cs="仿宋_GB2312"/>
          <w:kern w:val="2"/>
          <w:sz w:val="21"/>
          <w:szCs w:val="21"/>
          <w:lang w:val="en-US" w:eastAsia="zh-CN" w:bidi="ar-SA"/>
        </w:rPr>
        <w:pict>
          <v:line id="Line 69" o:spid="_x0000_s1092" style="position:absolute;left:0;flip:x;margin-left:57.6pt;margin-top:0.75pt;height:118.05pt;width:2.2pt;rotation:0f;z-index:2517012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600" w:firstLineChars="200"/>
        <w:rPr>
          <w:rFonts w:ascii="仿宋_GB2312" w:hAnsi="仿宋_GB2312" w:eastAsia="仿宋_GB2312" w:cs="仿宋_GB2312"/>
          <w:sz w:val="30"/>
          <w:szCs w:val="30"/>
        </w:rPr>
      </w:pPr>
    </w:p>
    <w:p>
      <w:pPr>
        <w:rPr>
          <w:rFonts w:ascii="仿宋_GB2312" w:hAnsi="仿宋_GB2312" w:eastAsia="仿宋_GB2312" w:cs="仿宋_GB2312"/>
          <w:sz w:val="30"/>
          <w:szCs w:val="30"/>
        </w:rPr>
      </w:pPr>
      <w:r>
        <w:rPr>
          <w:rFonts w:ascii="仿宋_GB2312" w:hAnsi="仿宋_GB2312" w:eastAsia="仿宋_GB2312" w:cs="仿宋_GB2312"/>
          <w:i/>
          <w:kern w:val="2"/>
          <w:sz w:val="21"/>
          <w:szCs w:val="21"/>
          <w:lang w:val="en-US" w:eastAsia="zh-CN" w:bidi="ar-SA"/>
        </w:rPr>
        <w:pict>
          <v:rect id="Rectangle 87" o:spid="_x0000_s1093" style="position:absolute;left:0;margin-left:150.75pt;margin-top:26.75pt;height:112pt;width:335.25pt;rotation:0f;z-index:25170534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1.</w:t>
                  </w:r>
                  <w:r>
                    <w:rPr>
                      <w:rFonts w:hint="eastAsia" w:ascii="仿宋_GB2312" w:eastAsia="仿宋_GB2312"/>
                      <w:color w:val="auto"/>
                      <w:sz w:val="18"/>
                      <w:szCs w:val="18"/>
                    </w:rPr>
                    <w:t>中标</w:t>
                  </w:r>
                  <w:r>
                    <w:rPr>
                      <w:rFonts w:hint="eastAsia" w:ascii="仿宋_GB2312" w:eastAsia="仿宋_GB2312"/>
                      <w:color w:val="auto"/>
                      <w:sz w:val="18"/>
                      <w:szCs w:val="18"/>
                      <w:lang w:eastAsia="zh-CN"/>
                    </w:rPr>
                    <w:t>结果公告</w:t>
                  </w:r>
                  <w:r>
                    <w:rPr>
                      <w:rFonts w:hint="eastAsia" w:ascii="仿宋_GB2312" w:eastAsia="仿宋_GB2312"/>
                      <w:color w:val="auto"/>
                      <w:sz w:val="18"/>
                      <w:szCs w:val="18"/>
                    </w:rPr>
                    <w:t>结束后确定中标人</w:t>
                  </w:r>
                  <w:r>
                    <w:rPr>
                      <w:rFonts w:hint="eastAsia" w:ascii="仿宋_GB2312" w:eastAsia="仿宋_GB2312" w:cs="仿宋_GB2312"/>
                      <w:color w:val="auto"/>
                      <w:sz w:val="18"/>
                      <w:szCs w:val="18"/>
                    </w:rPr>
                    <w:t>，由招标代理机构参照系统模板制作</w:t>
                  </w:r>
                  <w:r>
                    <w:rPr>
                      <w:rFonts w:hint="eastAsia" w:ascii="仿宋_GB2312" w:eastAsia="仿宋_GB2312" w:cs="仿宋_GB2312"/>
                      <w:color w:val="auto"/>
                      <w:sz w:val="18"/>
                      <w:szCs w:val="18"/>
                      <w:lang w:eastAsia="zh-CN"/>
                    </w:rPr>
                    <w:t>交易见证书</w:t>
                  </w:r>
                  <w:r>
                    <w:rPr>
                      <w:rFonts w:hint="eastAsia" w:ascii="仿宋_GB2312" w:eastAsia="仿宋_GB2312" w:cs="仿宋_GB2312"/>
                      <w:color w:val="auto"/>
                      <w:sz w:val="18"/>
                      <w:szCs w:val="18"/>
                    </w:rPr>
                    <w:t>，</w:t>
                  </w:r>
                  <w:r>
                    <w:rPr>
                      <w:rFonts w:hint="eastAsia" w:ascii="仿宋_GB2312" w:eastAsia="仿宋_GB2312" w:cs="仿宋_GB2312"/>
                      <w:color w:val="auto"/>
                      <w:sz w:val="18"/>
                      <w:szCs w:val="18"/>
                      <w:lang w:eastAsia="zh-CN"/>
                    </w:rPr>
                    <w:t>并</w:t>
                  </w:r>
                  <w:r>
                    <w:rPr>
                      <w:rFonts w:hint="eastAsia" w:ascii="仿宋_GB2312" w:eastAsia="仿宋_GB2312" w:cs="仿宋_GB2312"/>
                      <w:color w:val="auto"/>
                      <w:sz w:val="18"/>
                      <w:szCs w:val="18"/>
                    </w:rPr>
                    <w:t>递交县公共资源交易服务中心核验无误后盖章。</w:t>
                  </w:r>
                </w:p>
                <w:p>
                  <w:pPr>
                    <w:spacing w:line="240" w:lineRule="exact"/>
                    <w:ind w:firstLine="360" w:firstLineChars="200"/>
                    <w:rPr>
                      <w:rFonts w:hint="eastAsia" w:ascii="仿宋_GB2312" w:eastAsia="仿宋_GB2312" w:cs="仿宋_GB2312"/>
                      <w:color w:val="auto"/>
                      <w:sz w:val="18"/>
                      <w:szCs w:val="18"/>
                    </w:rPr>
                  </w:pPr>
                  <w:r>
                    <w:rPr>
                      <w:rFonts w:hint="eastAsia" w:ascii="仿宋_GB2312" w:eastAsia="仿宋_GB2312" w:cs="仿宋_GB2312"/>
                      <w:color w:val="auto"/>
                      <w:sz w:val="18"/>
                      <w:szCs w:val="18"/>
                    </w:rPr>
                    <w:t>2.</w:t>
                  </w:r>
                  <w:r>
                    <w:rPr>
                      <w:rFonts w:hint="eastAsia" w:ascii="仿宋_GB2312" w:eastAsia="仿宋_GB2312"/>
                      <w:color w:val="auto"/>
                      <w:sz w:val="18"/>
                      <w:szCs w:val="18"/>
                      <w:lang w:eastAsia="zh-CN"/>
                    </w:rPr>
                    <w:t>招标人打印交易见证书后，再</w:t>
                  </w:r>
                  <w:r>
                    <w:rPr>
                      <w:rFonts w:hint="eastAsia" w:ascii="仿宋_GB2312" w:eastAsia="仿宋_GB2312" w:cs="仿宋_GB2312"/>
                      <w:color w:val="auto"/>
                      <w:sz w:val="18"/>
                      <w:szCs w:val="18"/>
                    </w:rPr>
                    <w:t>向中标人发出中标通知书，并同时将中标结果通知所有未中标的投标人。</w:t>
                  </w:r>
                </w:p>
                <w:p>
                  <w:pPr>
                    <w:spacing w:line="240" w:lineRule="exact"/>
                    <w:ind w:firstLine="360" w:firstLineChars="200"/>
                    <w:rPr>
                      <w:rFonts w:hint="eastAsia" w:ascii="仿宋_GB2312" w:eastAsia="仿宋_GB2312" w:cs="仿宋_GB2312"/>
                      <w:color w:val="auto"/>
                      <w:sz w:val="18"/>
                      <w:szCs w:val="18"/>
                      <w:lang w:eastAsia="zh-CN"/>
                    </w:rPr>
                  </w:pPr>
                  <w:r>
                    <w:rPr>
                      <w:rFonts w:hint="eastAsia" w:ascii="仿宋_GB2312" w:eastAsia="仿宋_GB2312" w:cs="仿宋_GB2312"/>
                      <w:color w:val="auto"/>
                      <w:sz w:val="18"/>
                      <w:szCs w:val="18"/>
                      <w:lang w:eastAsia="zh-CN"/>
                    </w:rPr>
                    <w:t>交易服务见证书盖章所需材料：</w:t>
                  </w:r>
                  <w:r>
                    <w:rPr>
                      <w:rFonts w:hint="eastAsia" w:ascii="仿宋_GB2312" w:eastAsia="仿宋_GB2312" w:cs="仿宋_GB2312"/>
                      <w:color w:val="auto"/>
                      <w:sz w:val="18"/>
                      <w:szCs w:val="18"/>
                      <w:lang w:val="en-US" w:eastAsia="zh-CN"/>
                    </w:rPr>
                    <w:t>1.异议处理情况说明</w:t>
                  </w:r>
                  <w:r>
                    <w:rPr>
                      <w:rFonts w:hint="eastAsia" w:ascii="仿宋_GB2312" w:eastAsia="仿宋_GB2312" w:cs="仿宋_GB2312"/>
                      <w:color w:val="auto"/>
                      <w:sz w:val="18"/>
                      <w:szCs w:val="18"/>
                      <w:lang w:eastAsia="zh-CN"/>
                    </w:rPr>
                    <w:t>；</w:t>
                  </w:r>
                  <w:r>
                    <w:rPr>
                      <w:rFonts w:hint="eastAsia" w:ascii="仿宋_GB2312" w:eastAsia="仿宋_GB2312" w:cs="仿宋_GB2312"/>
                      <w:color w:val="auto"/>
                      <w:sz w:val="18"/>
                      <w:szCs w:val="18"/>
                      <w:lang w:val="en-US" w:eastAsia="zh-CN"/>
                    </w:rPr>
                    <w:t>2.招标人确定中标人决定书</w:t>
                  </w:r>
                  <w:r>
                    <w:rPr>
                      <w:rFonts w:hint="eastAsia" w:ascii="仿宋_GB2312" w:eastAsia="仿宋_GB2312" w:cs="仿宋_GB2312"/>
                      <w:color w:val="auto"/>
                      <w:sz w:val="18"/>
                      <w:szCs w:val="18"/>
                      <w:lang w:eastAsia="zh-CN"/>
                    </w:rPr>
                    <w:t>。</w:t>
                  </w:r>
                </w:p>
                <w:p>
                  <w:pPr>
                    <w:jc w:val="left"/>
                    <w:rPr>
                      <w:rFonts w:ascii="仿宋_GB2312" w:hAnsi="仿宋_GB2312" w:eastAsia="仿宋_GB2312" w:cs="仿宋_GB2312"/>
                      <w:color w:val="auto"/>
                      <w:sz w:val="18"/>
                      <w:szCs w:val="18"/>
                    </w:rPr>
                  </w:pPr>
                </w:p>
                <w:p>
                  <w:pPr>
                    <w:rPr>
                      <w:color w:val="auto"/>
                      <w:sz w:val="24"/>
                      <w:szCs w:val="24"/>
                    </w:rPr>
                  </w:pPr>
                </w:p>
                <w:p>
                  <w:pPr>
                    <w:jc w:val="center"/>
                    <w:rPr>
                      <w:color w:val="auto"/>
                      <w:sz w:val="24"/>
                      <w:szCs w:val="24"/>
                    </w:rPr>
                  </w:pPr>
                </w:p>
              </w:txbxContent>
            </v:textbox>
          </v:rect>
        </w:pict>
      </w:r>
    </w:p>
    <w:p>
      <w:pPr>
        <w:ind w:firstLine="420" w:firstLineChars="200"/>
        <w:rPr>
          <w:rFonts w:ascii="仿宋_GB2312" w:hAnsi="仿宋_GB2312" w:eastAsia="仿宋_GB2312" w:cs="仿宋_GB2312"/>
        </w:rPr>
      </w:pPr>
      <w:r>
        <w:rPr>
          <w:rFonts w:ascii="仿宋_GB2312" w:hAnsi="仿宋_GB2312" w:eastAsia="仿宋_GB2312" w:cs="仿宋_GB2312"/>
          <w:kern w:val="2"/>
          <w:sz w:val="21"/>
          <w:szCs w:val="21"/>
          <w:lang w:val="en-US" w:eastAsia="zh-CN" w:bidi="ar-SA"/>
        </w:rPr>
        <w:pict>
          <v:line id="Line 99" o:spid="_x0000_s1094" style="position:absolute;left:0;flip:x;margin-left:53.1pt;margin-top:256.55pt;height:68.7pt;width:0.1pt;rotation:0f;z-index:2517104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仿宋_GB2312" w:eastAsia="仿宋_GB2312" w:cs="仿宋_GB2312"/>
          <w:kern w:val="2"/>
          <w:sz w:val="21"/>
          <w:szCs w:val="21"/>
          <w:lang w:val="en-US" w:eastAsia="zh-CN" w:bidi="ar-SA"/>
        </w:rPr>
        <w:pict>
          <v:line id="Line 92" o:spid="_x0000_s1095" style="position:absolute;left:0;margin-left:55.45pt;margin-top:170.95pt;height:46.8pt;width:0.65pt;rotation:0f;z-index:2517084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仿宋_GB2312" w:eastAsia="仿宋_GB2312" w:cs="仿宋_GB2312"/>
          <w:kern w:val="2"/>
          <w:sz w:val="21"/>
          <w:szCs w:val="21"/>
          <w:lang w:val="en-US" w:eastAsia="zh-CN" w:bidi="ar-SA"/>
        </w:rPr>
        <w:pict>
          <v:line id="Line 88" o:spid="_x0000_s1096" style="position:absolute;left:0;flip:x;margin-left:57.9pt;margin-top:74.45pt;height:52.55pt;width:0.1pt;rotation:0f;z-index:2517032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4"/>
          <w:szCs w:val="21"/>
          <w:lang w:val="en-US" w:eastAsia="zh-CN" w:bidi="ar-SA"/>
        </w:rPr>
        <w:pict>
          <v:line id="Line 67" o:spid="_x0000_s1097" style="position:absolute;left:0;margin-left:96.9pt;margin-top:49.9pt;height:0.05pt;width:51.25pt;rotation:0f;z-index:25173196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rect id="矩形 263" o:spid="_x0000_s1098" style="position:absolute;left:0;margin-left:-3.85pt;margin-top:31.65pt;height:36pt;width:95.45pt;rotation:0f;z-index:2517022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确定中标人、发中标通知书</w:t>
                  </w:r>
                </w:p>
              </w:txbxContent>
            </v:textbox>
          </v:rect>
        </w:pict>
      </w:r>
      <w:r>
        <w:rPr>
          <w:rFonts w:ascii="仿宋_GB2312" w:hAnsi="仿宋_GB2312" w:eastAsia="仿宋_GB2312" w:cs="仿宋_GB2312"/>
          <w:i/>
          <w:kern w:val="2"/>
          <w:sz w:val="21"/>
          <w:szCs w:val="21"/>
          <w:lang w:val="en-US" w:eastAsia="zh-CN" w:bidi="ar-SA"/>
        </w:rPr>
        <w:pict>
          <v:rect id="Rectangle 91" o:spid="_x0000_s1099" style="position:absolute;left:0;margin-left:147.35pt;margin-top:132.25pt;height:38.85pt;width:286.45pt;rotation:0f;z-index:25170636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招标人或者招标代理机构应当在评标结果公示后3日内退还非中标候选人保证金，中标候选人凭中标合同申请5日内退还保证金。</w:t>
                  </w:r>
                </w:p>
                <w:p>
                  <w:pPr>
                    <w:jc w:val="left"/>
                    <w:rPr>
                      <w:rFonts w:ascii="仿宋_GB2312" w:hAnsi="仿宋_GB2312" w:eastAsia="仿宋_GB2312" w:cs="仿宋_GB2312"/>
                      <w:sz w:val="18"/>
                      <w:szCs w:val="18"/>
                    </w:rPr>
                  </w:pPr>
                </w:p>
                <w:p>
                  <w:pPr>
                    <w:rPr>
                      <w:sz w:val="18"/>
                      <w:szCs w:val="18"/>
                    </w:rPr>
                  </w:pPr>
                </w:p>
                <w:p>
                  <w:pPr>
                    <w:jc w:val="center"/>
                    <w:rPr>
                      <w:sz w:val="18"/>
                      <w:szCs w:val="18"/>
                    </w:rPr>
                  </w:pPr>
                </w:p>
              </w:txbxContent>
            </v:textbox>
          </v:rect>
        </w:pict>
      </w:r>
      <w:r>
        <w:rPr>
          <w:rFonts w:ascii="Times New Roman" w:hAnsi="Times New Roman" w:eastAsia="宋体" w:cs="Times New Roman"/>
          <w:kern w:val="2"/>
          <w:sz w:val="24"/>
          <w:szCs w:val="21"/>
          <w:lang w:val="en-US" w:eastAsia="zh-CN" w:bidi="ar-SA"/>
        </w:rPr>
        <w:pict>
          <v:line id="Line 74" o:spid="_x0000_s1100" style="position:absolute;left:0;flip:y;margin-left:105.7pt;margin-top:150.3pt;height:0.05pt;width:26.2pt;rotation:0f;z-index:25173094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4"/>
          <w:szCs w:val="21"/>
          <w:lang w:val="en-US" w:eastAsia="zh-CN" w:bidi="ar-SA"/>
        </w:rPr>
        <w:pict>
          <v:line id="Line 81" o:spid="_x0000_s1101" style="position:absolute;left:0;flip:y;margin-left:92.3pt;margin-top:241.6pt;height:0.1pt;width:48.35pt;rotation:0f;z-index:2517288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rect id="矩形 257" o:spid="_x0000_s1102" style="position:absolute;left:0;flip:y;margin-left:-3.45pt;margin-top:135.55pt;height:31.95pt;width:103.5pt;rotation:0f;z-index:25170432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退还投标保证金</w:t>
                  </w:r>
                </w:p>
              </w:txbxContent>
            </v:textbox>
          </v:rect>
        </w:pict>
      </w:r>
      <w:r>
        <w:rPr>
          <w:rFonts w:ascii="仿宋_GB2312" w:hAnsi="仿宋_GB2312" w:eastAsia="仿宋_GB2312" w:cs="仿宋_GB2312"/>
          <w:i/>
          <w:kern w:val="2"/>
          <w:sz w:val="21"/>
          <w:szCs w:val="21"/>
          <w:lang w:val="en-US" w:eastAsia="zh-CN" w:bidi="ar-SA"/>
        </w:rPr>
        <w:pict>
          <v:rect id="Rectangle 94" o:spid="_x0000_s1103" style="position:absolute;left:0;flip:y;margin-left:3.95pt;margin-top:227.45pt;height:29.2pt;width:78.85pt;rotation:0f;z-index:2517094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签订合同</w:t>
                  </w:r>
                </w:p>
                <w:p>
                  <w:pPr>
                    <w:rPr>
                      <w:rFonts w:ascii="仿宋_GB2312" w:hAnsi="仿宋_GB2312" w:eastAsia="仿宋_GB2312" w:cs="仿宋_GB2312"/>
                      <w:color w:val="333333"/>
                      <w:kern w:val="0"/>
                      <w:sz w:val="18"/>
                      <w:szCs w:val="18"/>
                      <w:shd w:val="clear" w:color="auto" w:fill="FFFFFF"/>
                    </w:rPr>
                  </w:pPr>
                </w:p>
              </w:txbxContent>
            </v:textbox>
          </v:rect>
        </w:pict>
      </w:r>
      <w:r>
        <w:rPr>
          <w:rFonts w:ascii="仿宋_GB2312" w:hAnsi="仿宋_GB2312" w:eastAsia="仿宋_GB2312" w:cs="仿宋_GB2312"/>
          <w:i/>
          <w:kern w:val="2"/>
          <w:sz w:val="21"/>
          <w:szCs w:val="21"/>
          <w:lang w:val="en-US" w:eastAsia="zh-CN" w:bidi="ar-SA"/>
        </w:rPr>
        <w:pict>
          <v:rect id="矩形 254" o:spid="_x0000_s1104" style="position:absolute;left:0;margin-left:146.55pt;margin-top:218.15pt;height:56.15pt;width:294.25pt;rotation:0f;z-index:25170739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招标人和中标人应当自中标通知书发出之日起三十日内，按照招标文件和中标人的投标文件订立书面合同。招标人和中标人不得再行订立背离合同实质性内容的其他协议。招标文件要求中标人提交履约保证金的，中标人应当提交。</w:t>
                  </w:r>
                </w:p>
                <w:p>
                  <w:pPr>
                    <w:rPr>
                      <w:rFonts w:cs="宋体"/>
                      <w:sz w:val="18"/>
                      <w:szCs w:val="18"/>
                    </w:rPr>
                  </w:pPr>
                </w:p>
              </w:txbxContent>
            </v:textbox>
          </v:rect>
        </w:pict>
      </w:r>
      <w:r>
        <w:rPr>
          <w:rFonts w:ascii="仿宋_GB2312" w:hAnsi="仿宋_GB2312" w:eastAsia="仿宋_GB2312" w:cs="仿宋_GB2312"/>
          <w:i/>
          <w:kern w:val="2"/>
          <w:sz w:val="21"/>
          <w:szCs w:val="21"/>
          <w:lang w:val="en-US" w:eastAsia="zh-CN" w:bidi="ar-SA"/>
        </w:rPr>
        <w:pict>
          <v:rect id="Rectangle 97" o:spid="_x0000_s1105" style="position:absolute;left:0;margin-left:2.25pt;margin-top:326.05pt;height:24.65pt;width:84.05pt;rotation:0f;z-index:2517125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资料归档</w:t>
                  </w:r>
                </w:p>
              </w:txbxContent>
            </v:textbox>
          </v:rect>
        </w:pict>
      </w:r>
      <w:r>
        <w:rPr>
          <w:rFonts w:ascii="Times New Roman" w:hAnsi="Times New Roman" w:eastAsia="宋体" w:cs="Times New Roman"/>
          <w:kern w:val="2"/>
          <w:sz w:val="24"/>
          <w:szCs w:val="21"/>
          <w:lang w:val="en-US" w:eastAsia="zh-CN" w:bidi="ar-SA"/>
        </w:rPr>
        <w:pict>
          <v:line id="Line 80" o:spid="_x0000_s1106" style="position:absolute;left:0;margin-left:87.55pt;margin-top:341.1pt;height:0.4pt;width:45pt;rotation:0f;z-index:2517299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rect id="Rectangle 98" o:spid="_x0000_s1107" style="position:absolute;left:0;margin-left:141.75pt;margin-top:320.25pt;height:43.1pt;width:282.45pt;rotation:0f;z-index:2517114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县公共资源交易服务中心负责收集整理招标项目相关资料及监控视频资料等，并统一归档。</w:t>
                  </w:r>
                </w:p>
                <w:p>
                  <w:pPr>
                    <w:rPr>
                      <w:rFonts w:cs="宋体"/>
                    </w:rPr>
                  </w:pPr>
                </w:p>
              </w:txbxContent>
            </v:textbox>
          </v:rect>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Menlo">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3990230">
    <w:nsid w:val="38DCBC56"/>
    <w:multiLevelType w:val="singleLevel"/>
    <w:tmpl w:val="38DCBC56"/>
    <w:lvl w:ilvl="0" w:tentative="1">
      <w:start w:val="1"/>
      <w:numFmt w:val="chineseCounting"/>
      <w:suff w:val="nothing"/>
      <w:lvlText w:val="%1、"/>
      <w:lvlJc w:val="left"/>
      <w:pPr>
        <w:ind w:left="360" w:leftChars="0" w:firstLine="0" w:firstLineChars="0"/>
      </w:pPr>
      <w:rPr>
        <w:rFonts w:hint="eastAsia"/>
      </w:rPr>
    </w:lvl>
  </w:abstractNum>
  <w:abstractNum w:abstractNumId="1422898656">
    <w:nsid w:val="54CFB5E0"/>
    <w:multiLevelType w:val="singleLevel"/>
    <w:tmpl w:val="54CFB5E0"/>
    <w:lvl w:ilvl="0" w:tentative="1">
      <w:start w:val="1"/>
      <w:numFmt w:val="decimal"/>
      <w:lvlText w:val="%1."/>
      <w:lvlJc w:val="left"/>
      <w:pPr>
        <w:tabs>
          <w:tab w:val="left" w:pos="312"/>
        </w:tabs>
        <w:ind w:left="360" w:leftChars="0" w:firstLine="0" w:firstLineChars="0"/>
      </w:pPr>
    </w:lvl>
  </w:abstractNum>
  <w:num w:numId="1">
    <w:abstractNumId w:val="1422898656"/>
  </w:num>
  <w:num w:numId="2">
    <w:abstractNumId w:val="9539902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iPriority="99" w:name="HTML Cite"/>
    <w:lsdException w:qFormat="1" w:uiPriority="99" w:name="HTML Code"/>
    <w:lsdException w:qFormat="1" w:uiPriority="99" w:name="HTML Definition"/>
    <w:lsdException w:qFormat="1" w:uiPriority="99" w:name="HTML Keyboard"/>
    <w:lsdException w:uiPriority="0" w:name="HTML Preformatted"/>
    <w:lsdException w:qFormat="1" w:uiPriority="99"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cs="宋体"/>
      <w:kern w:val="44"/>
      <w:sz w:val="48"/>
      <w:szCs w:val="48"/>
    </w:rPr>
  </w:style>
  <w:style w:type="paragraph" w:styleId="3">
    <w:name w:val="heading 4"/>
    <w:basedOn w:val="1"/>
    <w:next w:val="1"/>
    <w:link w:val="20"/>
    <w:semiHidden/>
    <w:unhideWhenUsed/>
    <w:qFormat/>
    <w:uiPriority w:val="9"/>
    <w:pPr>
      <w:keepNext/>
      <w:keepLines/>
      <w:spacing w:before="280" w:beforeAutospacing="0" w:after="290" w:afterAutospacing="0" w:line="372" w:lineRule="auto"/>
      <w:outlineLvl w:val="3"/>
    </w:pPr>
    <w:rPr>
      <w:rFonts w:ascii="Arial" w:hAnsi="Arial" w:eastAsia="黑体"/>
      <w:b/>
      <w:sz w:val="28"/>
    </w:rPr>
  </w:style>
  <w:style w:type="character" w:default="1" w:styleId="8">
    <w:name w:val="Default Paragraph Font"/>
    <w:semiHidden/>
    <w:unhideWhenUsed/>
    <w:qFormat/>
    <w:uiPriority w:val="1"/>
  </w:style>
  <w:style w:type="paragraph" w:styleId="4">
    <w:name w:val="Normal Indent"/>
    <w:basedOn w:val="1"/>
    <w:unhideWhenUsed/>
    <w:qFormat/>
    <w:uiPriority w:val="99"/>
    <w:pPr>
      <w:ind w:firstLine="420" w:firstLineChars="200"/>
    </w:p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szCs w:val="20"/>
    </w:rPr>
  </w:style>
  <w:style w:type="character" w:styleId="9">
    <w:name w:val="Strong"/>
    <w:basedOn w:val="8"/>
    <w:qFormat/>
    <w:uiPriority w:val="22"/>
    <w:rPr>
      <w:b/>
    </w:rPr>
  </w:style>
  <w:style w:type="character" w:styleId="10">
    <w:name w:val="FollowedHyperlink"/>
    <w:basedOn w:val="8"/>
    <w:semiHidden/>
    <w:unhideWhenUsed/>
    <w:qFormat/>
    <w:uiPriority w:val="0"/>
    <w:rPr>
      <w:color w:val="800080"/>
      <w:u w:val="single"/>
    </w:rPr>
  </w:style>
  <w:style w:type="character" w:styleId="11">
    <w:name w:val="HTML Definition"/>
    <w:basedOn w:val="8"/>
    <w:semiHidden/>
    <w:unhideWhenUsed/>
    <w:qFormat/>
    <w:uiPriority w:val="99"/>
    <w:rPr>
      <w:i/>
    </w:rPr>
  </w:style>
  <w:style w:type="character" w:styleId="12">
    <w:name w:val="Hyperlink"/>
    <w:basedOn w:val="8"/>
    <w:qFormat/>
    <w:uiPriority w:val="0"/>
    <w:rPr>
      <w:rFonts w:cs="Times New Roman"/>
      <w:color w:val="0000FF"/>
      <w:u w:val="single"/>
    </w:rPr>
  </w:style>
  <w:style w:type="character" w:styleId="13">
    <w:name w:val="HTML Code"/>
    <w:basedOn w:val="8"/>
    <w:semiHidden/>
    <w:unhideWhenUsed/>
    <w:qFormat/>
    <w:uiPriority w:val="99"/>
    <w:rPr>
      <w:rFonts w:hint="default" w:ascii="Menlo" w:hAnsi="Menlo" w:eastAsia="Menlo" w:cs="Menlo"/>
      <w:color w:val="C7254E"/>
      <w:sz w:val="21"/>
      <w:szCs w:val="21"/>
      <w:shd w:val="clear" w:color="auto" w:fill="F9F2F4"/>
    </w:rPr>
  </w:style>
  <w:style w:type="character" w:styleId="14">
    <w:name w:val="HTML Cite"/>
    <w:basedOn w:val="8"/>
    <w:semiHidden/>
    <w:unhideWhenUsed/>
    <w:qFormat/>
    <w:uiPriority w:val="99"/>
    <w:rPr/>
  </w:style>
  <w:style w:type="character" w:styleId="15">
    <w:name w:val="HTML Keyboard"/>
    <w:basedOn w:val="8"/>
    <w:semiHidden/>
    <w:unhideWhenUsed/>
    <w:qFormat/>
    <w:uiPriority w:val="99"/>
    <w:rPr>
      <w:rFonts w:ascii="Menlo" w:hAnsi="Menlo" w:eastAsia="Menlo" w:cs="Menlo"/>
      <w:color w:val="FFFFFF"/>
      <w:sz w:val="21"/>
      <w:szCs w:val="21"/>
      <w:shd w:val="clear" w:color="auto" w:fill="333333"/>
    </w:rPr>
  </w:style>
  <w:style w:type="character" w:styleId="16">
    <w:name w:val="HTML Sample"/>
    <w:basedOn w:val="8"/>
    <w:semiHidden/>
    <w:unhideWhenUsed/>
    <w:qFormat/>
    <w:uiPriority w:val="99"/>
    <w:rPr>
      <w:rFonts w:hint="default" w:ascii="Menlo" w:hAnsi="Menlo" w:eastAsia="Menlo" w:cs="Menlo"/>
      <w:sz w:val="21"/>
      <w:szCs w:val="21"/>
    </w:rPr>
  </w:style>
  <w:style w:type="paragraph" w:customStyle="1" w:styleId="17">
    <w:name w:val="样式 正文缩进 + 首行缩进:  2 字符"/>
    <w:basedOn w:val="4"/>
    <w:qFormat/>
    <w:uiPriority w:val="99"/>
    <w:pPr>
      <w:spacing w:line="360" w:lineRule="auto"/>
      <w:ind w:left="420" w:firstLine="200"/>
    </w:pPr>
    <w:rPr>
      <w:sz w:val="24"/>
      <w:szCs w:val="24"/>
    </w:rPr>
  </w:style>
  <w:style w:type="character" w:customStyle="1" w:styleId="18">
    <w:name w:val="页眉 Char"/>
    <w:basedOn w:val="8"/>
    <w:link w:val="6"/>
    <w:semiHidden/>
    <w:qFormat/>
    <w:uiPriority w:val="99"/>
    <w:rPr>
      <w:rFonts w:ascii="Times New Roman" w:hAnsi="Times New Roman" w:eastAsia="宋体" w:cs="Times New Roman"/>
      <w:sz w:val="18"/>
      <w:szCs w:val="18"/>
    </w:rPr>
  </w:style>
  <w:style w:type="character" w:customStyle="1" w:styleId="19">
    <w:name w:val="页脚 Char"/>
    <w:basedOn w:val="8"/>
    <w:link w:val="5"/>
    <w:semiHidden/>
    <w:qFormat/>
    <w:uiPriority w:val="99"/>
    <w:rPr>
      <w:rFonts w:ascii="Times New Roman" w:hAnsi="Times New Roman" w:eastAsia="宋体" w:cs="Times New Roman"/>
      <w:sz w:val="18"/>
      <w:szCs w:val="18"/>
    </w:rPr>
  </w:style>
  <w:style w:type="character" w:customStyle="1" w:styleId="20">
    <w:name w:val="标题 4 Char"/>
    <w:link w:val="3"/>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25</Words>
  <Characters>148</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2019-04-21T13:52:00Z</dcterms:created>
  <dc:creator>Lenovo User</dc:creator>
  <cp:lastModifiedBy>adminlsn12</cp:lastModifiedBy>
  <cp:lastPrinted>2020-07-31T01:34:00Z</cp:lastPrinted>
  <dcterms:modified xsi:type="dcterms:W3CDTF">2022-03-22T08:14:13Z</dcterms:modified>
  <dc:title>建设工程公开招标流程图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