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44"/>
          <w:szCs w:val="44"/>
        </w:rPr>
      </w:pPr>
      <w:r>
        <w:rPr>
          <w:rFonts w:ascii="仿宋_GB2312" w:hAnsi="仿宋_GB2312" w:eastAsia="仿宋_GB2312" w:cs="仿宋_GB2312"/>
          <w:i/>
          <w:kern w:val="2"/>
          <w:sz w:val="21"/>
          <w:szCs w:val="21"/>
          <w:lang w:val="en-US" w:eastAsia="zh-CN" w:bidi="ar-SA"/>
        </w:rPr>
        <w:pict>
          <v:rect id="Rectangle 180" o:spid="_x0000_s1026" o:spt="1" style="position:absolute;left:0pt;margin-left:94.9pt;margin-top:28.15pt;height:117.65pt;width:387.9pt;z-index:2517391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由招标人自行选择在</w:t>
                  </w:r>
                  <w:r>
                    <w:rPr>
                      <w:rFonts w:hint="eastAsia" w:ascii="仿宋_GB2312" w:hAnsi="仿宋_GB2312" w:eastAsia="仿宋_GB2312" w:cs="仿宋_GB2312"/>
                      <w:sz w:val="18"/>
                      <w:szCs w:val="18"/>
                      <w:lang w:eastAsia="zh-CN"/>
                    </w:rPr>
                    <w:t>海南省</w:t>
                  </w:r>
                  <w:r>
                    <w:rPr>
                      <w:rFonts w:hint="eastAsia" w:ascii="仿宋_GB2312" w:hAnsi="仿宋_GB2312" w:eastAsia="仿宋_GB2312" w:cs="仿宋_GB2312"/>
                      <w:sz w:val="18"/>
                      <w:szCs w:val="18"/>
                    </w:rPr>
                    <w:t>公共资源交易平台注册备案的招标代理机构，委托其办理招标事宜。招标代理机构需提交招标备案申请资料：1.项目业务登记表，2.招标文件（公告）审核</w:t>
                  </w:r>
                  <w:r>
                    <w:rPr>
                      <w:rFonts w:hint="eastAsia" w:ascii="仿宋_GB2312" w:hAnsi="仿宋_GB2312" w:eastAsia="仿宋_GB2312" w:cs="仿宋_GB2312"/>
                      <w:color w:val="auto"/>
                      <w:sz w:val="18"/>
                      <w:szCs w:val="18"/>
                    </w:rPr>
                    <w:t>备案表，3.进入场地申请函，4.项目批文（项目建议书、可行性研究报告、招标事项核准表、初步设计和概算</w:t>
                  </w:r>
                  <w:r>
                    <w:rPr>
                      <w:rFonts w:hint="eastAsia" w:ascii="仿宋_GB2312" w:hAnsi="仿宋_GB2312" w:eastAsia="仿宋_GB2312" w:cs="仿宋_GB2312"/>
                      <w:sz w:val="18"/>
                      <w:szCs w:val="18"/>
                    </w:rPr>
                    <w:t>等），5.预算书（或工程量清单及招标控制价），6.招标文件，7.招标代理协议，8.项目预约登记经办人委托书，9.招标公告，10.承诺函。（项目业务登记表、招标文件&lt;公告&gt;审核备案表、承诺函可在</w:t>
                  </w:r>
                  <w:r>
                    <w:rPr>
                      <w:rFonts w:hint="eastAsia" w:ascii="仿宋_GB2312" w:hAnsi="仿宋_GB2312" w:eastAsia="仿宋_GB2312" w:cs="仿宋_GB2312"/>
                      <w:sz w:val="18"/>
                      <w:szCs w:val="18"/>
                      <w:lang w:val="en-US" w:eastAsia="zh-CN"/>
                    </w:rPr>
                    <w:t>全国公共资源交易平台〈海南省〉·琼中县</w:t>
                  </w:r>
                  <w:r>
                    <w:rPr>
                      <w:rFonts w:hint="eastAsia" w:ascii="仿宋_GB2312" w:hAnsi="仿宋_GB2312" w:eastAsia="仿宋_GB2312" w:cs="仿宋_GB2312"/>
                      <w:sz w:val="18"/>
                      <w:szCs w:val="18"/>
                    </w:rPr>
                    <w:t>http://zw.hainan.gov.cn/ggzy/qzggzy/</w:t>
                  </w:r>
                  <w:r>
                    <w:rPr>
                      <w:rFonts w:hint="eastAsia" w:ascii="仿宋_GB2312" w:hAnsi="仿宋_GB2312" w:eastAsia="仿宋_GB2312" w:cs="仿宋_GB2312"/>
                      <w:sz w:val="18"/>
                      <w:szCs w:val="18"/>
                      <w:lang w:eastAsia="zh-CN"/>
                    </w:rPr>
                    <w:t>网站</w:t>
                  </w:r>
                  <w:r>
                    <w:rPr>
                      <w:rFonts w:hint="eastAsia" w:ascii="仿宋_GB2312" w:hAnsi="仿宋_GB2312" w:eastAsia="仿宋_GB2312" w:cs="仿宋_GB2312"/>
                      <w:sz w:val="18"/>
                      <w:szCs w:val="18"/>
                    </w:rPr>
                    <w:t>下载）</w:t>
                  </w:r>
                </w:p>
              </w:txbxContent>
            </v:textbox>
          </v:rect>
        </w:pic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工程建设项目公开招标流程指南</w:t>
      </w:r>
    </w:p>
    <w:p>
      <w:pPr>
        <w:jc w:val="center"/>
        <w:rPr>
          <w:rFonts w:ascii="仿宋_GB2312" w:hAnsi="仿宋_GB2312" w:eastAsia="仿宋_GB2312" w:cs="仿宋_GB2312"/>
          <w:sz w:val="44"/>
          <w:szCs w:val="44"/>
        </w:rPr>
      </w:pPr>
      <w:bookmarkStart w:id="0" w:name="_GoBack"/>
      <w:r>
        <w:rPr>
          <w:rFonts w:ascii="仿宋_GB2312" w:hAnsi="仿宋_GB2312" w:eastAsia="仿宋_GB2312" w:cs="仿宋_GB2312"/>
          <w:i/>
          <w:kern w:val="2"/>
          <w:sz w:val="21"/>
          <w:szCs w:val="21"/>
          <w:lang w:val="en-US" w:eastAsia="zh-CN" w:bidi="ar-SA"/>
        </w:rPr>
        <w:pict>
          <v:rect id="矩形 301" o:spid="_x0000_s1027" o:spt="1" style="position:absolute;left:0pt;margin-left:-12.6pt;margin-top:27.3pt;height:23.4pt;width:78.75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招标准备</w:t>
                  </w:r>
                </w:p>
              </w:txbxContent>
            </v:textbox>
          </v:rect>
        </w:pict>
      </w:r>
    </w:p>
    <w:bookmarkEnd w:id="0"/>
    <w:p>
      <w:pPr>
        <w:pStyle w:val="17"/>
        <w:ind w:firstLine="480"/>
        <w:rPr>
          <w:rFonts w:ascii="仿宋_GB2312" w:hAnsi="仿宋_GB2312" w:eastAsia="仿宋_GB2312" w:cs="仿宋_GB2312"/>
        </w:rPr>
      </w:pPr>
      <w:r>
        <w:rPr>
          <w:rFonts w:ascii="仿宋_GB2312" w:hAnsi="仿宋_GB2312" w:eastAsia="仿宋_GB2312" w:cs="仿宋_GB2312"/>
          <w:i/>
          <w:kern w:val="2"/>
          <w:sz w:val="24"/>
          <w:szCs w:val="24"/>
          <w:lang w:val="en-US" w:eastAsia="zh-CN" w:bidi="ar-SA"/>
        </w:rPr>
        <w:pict>
          <v:line id="_x0000_s1028" o:spid="_x0000_s1028" o:spt="20" style="position:absolute;left:0pt;flip:x;margin-left:36.35pt;margin-top:18.25pt;height:68.4pt;width:0.2pt;z-index:25171456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直线 87" o:spid="_x0000_s1029" o:spt="20" style="position:absolute;left:0pt;margin-left:68.1pt;margin-top:9.95pt;height:0.35pt;width:25.8pt;z-index:25171558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矩形 310" o:spid="_x0000_s1030" o:spt="1" style="position:absolute;left:0pt;margin-left:119.4pt;margin-top:952.05pt;height:23.4pt;width:204.7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24"/>
                      <w:szCs w:val="24"/>
                    </w:rPr>
                  </w:pPr>
                  <w:r>
                    <w:rPr>
                      <w:sz w:val="24"/>
                      <w:szCs w:val="24"/>
                    </w:rPr>
                    <w:t xml:space="preserve">13.     </w:t>
                  </w:r>
                  <w:r>
                    <w:rPr>
                      <w:rFonts w:hint="eastAsia" w:cs="宋体"/>
                      <w:sz w:val="24"/>
                      <w:szCs w:val="24"/>
                    </w:rPr>
                    <w:t>招投标资料归档</w:t>
                  </w:r>
                </w:p>
              </w:txbxContent>
            </v:textbox>
          </v:rect>
        </w:pict>
      </w:r>
    </w:p>
    <w:p>
      <w:pPr>
        <w:rPr>
          <w:rFonts w:ascii="仿宋_GB2312" w:hAnsi="仿宋_GB2312" w:eastAsia="仿宋_GB2312" w:cs="仿宋_GB2312"/>
          <w:i/>
        </w:rPr>
      </w:pPr>
    </w:p>
    <w:p>
      <w:pPr>
        <w:rPr>
          <w:rFonts w:ascii="仿宋_GB2312" w:hAnsi="仿宋_GB2312" w:eastAsia="仿宋_GB2312" w:cs="仿宋_GB2312"/>
          <w:i/>
        </w:rPr>
      </w:pPr>
    </w:p>
    <w:p>
      <w:pPr>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289" o:spid="_x0000_s1031" o:spt="1" style="position:absolute;left:0pt;margin-left:119.4pt;margin-top:1.65pt;height:74.9pt;width:363.4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both"/>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 xml:space="preserve">   1.招标人向县公共资源交易服务中心递交进入场地申请函。</w:t>
                  </w:r>
                </w:p>
                <w:p>
                  <w:pPr>
                    <w:jc w:val="left"/>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 xml:space="preserve">   2.招标代理机构登录海南省公共资源交易平台（http://zw.hainan.gov.cn/jsgc/gbp/login.do?systemId=2c91e4c25474c566015474cdc19c000a），按系统要求录入项目信息并上传相关资料。</w:t>
                  </w:r>
                </w:p>
                <w:p>
                  <w:pPr>
                    <w:jc w:val="center"/>
                    <w:rPr>
                      <w:color w:val="auto"/>
                      <w:sz w:val="24"/>
                      <w:szCs w:val="24"/>
                      <w:shd w:val="clear" w:color="FFFFFF" w:fill="D9D9D9"/>
                    </w:rPr>
                  </w:pPr>
                </w:p>
              </w:txbxContent>
            </v:textbox>
          </v:rect>
        </w:pict>
      </w:r>
      <w:r>
        <w:rPr>
          <w:rFonts w:ascii="仿宋_GB2312" w:hAnsi="仿宋_GB2312" w:eastAsia="仿宋_GB2312" w:cs="仿宋_GB2312"/>
          <w:i/>
          <w:kern w:val="2"/>
          <w:sz w:val="24"/>
          <w:szCs w:val="24"/>
          <w:lang w:val="en-US" w:eastAsia="zh-CN" w:bidi="ar-SA"/>
        </w:rPr>
        <w:pict>
          <v:rect id="Rectangle 66" o:spid="_x0000_s1032" o:spt="1" style="position:absolute;left:0pt;margin-left:-10.55pt;margin-top:6.2pt;height:32.9pt;width:94.6pt;z-index:2516613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入场交易登记</w:t>
                  </w: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直线 88" o:spid="_x0000_s1033" o:spt="20" style="position:absolute;left:0pt;margin-left:86.55pt;margin-top:5.2pt;height:0.4pt;width:30.35pt;z-index:25171660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line id="Line 292" o:spid="_x0000_s1034" o:spt="20" style="position:absolute;left:0pt;margin-left:37.15pt;margin-top:17.2pt;height:39.8pt;width:0.05pt;z-index:25166233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291" o:spid="_x0000_s1035" o:spt="1" style="position:absolute;left:0pt;margin-left:123.75pt;margin-top:12.1pt;height:66.85pt;width:359.85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left"/>
                    <w:rPr>
                      <w:rFonts w:ascii="仿宋_GB2312" w:hAnsi="仿宋_GB2312" w:eastAsia="仿宋_GB2312" w:cs="仿宋_GB2312"/>
                      <w:color w:val="auto"/>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color w:val="auto"/>
                      <w:sz w:val="18"/>
                      <w:szCs w:val="18"/>
                      <w:lang w:val="en-US" w:eastAsia="zh-CN"/>
                    </w:rPr>
                    <w:t xml:space="preserve">  </w:t>
                  </w:r>
                  <w:r>
                    <w:rPr>
                      <w:rFonts w:hint="eastAsia" w:ascii="仿宋_GB2312" w:hAnsi="仿宋_GB2312" w:eastAsia="仿宋_GB2312" w:cs="仿宋_GB2312"/>
                      <w:color w:val="auto"/>
                      <w:sz w:val="18"/>
                      <w:szCs w:val="18"/>
                    </w:rPr>
                    <w:t>县公共资源交易服务中心对招标代理机构提交备案的材料进行审核，通过后</w:t>
                  </w:r>
                  <w:r>
                    <w:rPr>
                      <w:rFonts w:hint="eastAsia" w:ascii="仿宋_GB2312" w:hAnsi="仿宋_GB2312" w:eastAsia="仿宋_GB2312" w:cs="仿宋_GB2312"/>
                      <w:color w:val="auto"/>
                      <w:sz w:val="18"/>
                      <w:szCs w:val="18"/>
                      <w:lang w:eastAsia="zh-CN"/>
                    </w:rPr>
                    <w:t>登录</w:t>
                  </w:r>
                  <w:r>
                    <w:rPr>
                      <w:rFonts w:hint="eastAsia" w:ascii="仿宋_GB2312" w:hAnsi="仿宋_GB2312" w:eastAsia="仿宋_GB2312" w:cs="仿宋_GB2312"/>
                      <w:color w:val="auto"/>
                      <w:sz w:val="18"/>
                      <w:szCs w:val="18"/>
                      <w:lang w:val="en-US" w:eastAsia="zh-CN"/>
                    </w:rPr>
                    <w:t>海南省公共资源交易平台（http://zw.hainan.gov.cn/jsgc/gbp/login.do?systemId=2c91e4c25474c566015474cdc19c000a）</w:t>
                  </w:r>
                  <w:r>
                    <w:rPr>
                      <w:rFonts w:hint="eastAsia" w:ascii="仿宋_GB2312" w:hAnsi="仿宋_GB2312" w:eastAsia="仿宋_GB2312" w:cs="仿宋_GB2312"/>
                      <w:color w:val="auto"/>
                      <w:sz w:val="18"/>
                      <w:szCs w:val="18"/>
                    </w:rPr>
                    <w:t xml:space="preserve">向省公共资源交易服务中心申请预约开评标时间和远程异地评标室。 </w:t>
                  </w:r>
                </w:p>
                <w:p>
                  <w:pPr>
                    <w:jc w:val="left"/>
                    <w:rPr>
                      <w:rFonts w:ascii="仿宋_GB2312" w:hAnsi="仿宋_GB2312" w:eastAsia="仿宋_GB2312" w:cs="仿宋_GB2312"/>
                      <w:color w:val="auto"/>
                      <w:sz w:val="18"/>
                      <w:szCs w:val="18"/>
                    </w:rPr>
                  </w:pPr>
                </w:p>
              </w:txbxContent>
            </v:textbox>
          </v:rect>
        </w:pict>
      </w:r>
      <w:r>
        <w:rPr>
          <w:rFonts w:ascii="仿宋_GB2312" w:hAnsi="仿宋_GB2312" w:eastAsia="仿宋_GB2312" w:cs="仿宋_GB2312"/>
          <w:i/>
          <w:kern w:val="2"/>
          <w:sz w:val="24"/>
          <w:szCs w:val="24"/>
          <w:lang w:val="en-US" w:eastAsia="zh-CN" w:bidi="ar-SA"/>
        </w:rPr>
        <w:pict>
          <v:rect id="Rectangle 68" o:spid="_x0000_s1036" o:spt="1" style="position:absolute;left:0pt;margin-left:-5.2pt;margin-top:10.55pt;height:36.95pt;width:90.15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材料审核</w:t>
                  </w:r>
                </w:p>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（1个工作日）</w:t>
                  </w:r>
                </w:p>
                <w:p>
                  <w:pPr>
                    <w:jc w:val="center"/>
                    <w:rPr>
                      <w:rFonts w:ascii="楷体_GB2312" w:hAnsi="仿宋_GB2312" w:eastAsia="楷体_GB2312" w:cs="仿宋_GB2312"/>
                      <w:color w:val="333333"/>
                      <w:kern w:val="0"/>
                      <w:shd w:val="clear" w:color="auto" w:fill="FFFFFF"/>
                    </w:rPr>
                  </w:pP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_x0000_s1037" o:spid="_x0000_s1037" o:spt="20" style="position:absolute;left:0pt;flip:y;margin-left:86.15pt;margin-top:4.55pt;height:0.3pt;width:35.65pt;z-index:25171763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47" o:spid="_x0000_s1038" o:spt="20" style="position:absolute;left:0pt;margin-left:39.35pt;margin-top:3.25pt;height:61.8pt;width:0.05pt;z-index:25166540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412" o:spid="_x0000_s1039" o:spt="1" style="position:absolute;left:0pt;margin-left:123.95pt;margin-top:18.3pt;height:122.35pt;width:355.25pt;z-index:2516664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 xml:space="preserve">    招标代理机构通过海南省公共资源交易平台（http://zw.hainan.gov.cn/jsgc/gbp/login.do?systemId=2c91e4c25474c566015474cdc19c000a）将招标公告发布到《全国公共资源交易平台（海南省）·琼中县》（http://zw.hainan.gov.cn/ggzy/qzggzy/）。投标人可自主在网上下载招标文件。招标公告内容应包括：1.招标项目名称、内容、范围、规模、资金来源; 2.投标资格能力要求，以及是否接受联合体投标；3.获取招标文件的时间、方式；4.递交投标文件的截止时间、方式；5.招标人及其招标代理机构的名称、地址、联系人及联系方式 ; 6.采用电子招标投标方式的，潜在投标人访问电子招标投标交易平台的网址和方法 ；7.其他依法应当载明的内容 。</w:t>
                  </w:r>
                </w:p>
                <w:p>
                  <w:pPr>
                    <w:jc w:val="left"/>
                    <w:rPr>
                      <w:rFonts w:ascii="仿宋_GB2312" w:hAnsi="仿宋_GB2312" w:eastAsia="仿宋_GB2312" w:cs="仿宋_GB2312"/>
                      <w:sz w:val="18"/>
                      <w:szCs w:val="18"/>
                    </w:rPr>
                  </w:pPr>
                </w:p>
                <w:p>
                  <w:pPr>
                    <w:rPr>
                      <w:sz w:val="24"/>
                      <w:szCs w:val="24"/>
                    </w:rPr>
                  </w:pPr>
                </w:p>
                <w:p>
                  <w:pPr>
                    <w:jc w:val="center"/>
                    <w:rPr>
                      <w:sz w:val="24"/>
                      <w:szCs w:val="24"/>
                    </w:rPr>
                  </w:pP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69" o:spid="_x0000_s1040" o:spt="1" style="position:absolute;left:0pt;margin-left:-1.35pt;margin-top:19.95pt;height:38.5pt;width:86.85pt;z-index:2516674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both"/>
                    <w:rPr>
                      <w:rFonts w:hint="eastAsia" w:ascii="仿宋_GB2312" w:hAnsi="仿宋_GB2312" w:eastAsia="仿宋_GB2312" w:cs="仿宋_GB2312"/>
                      <w:color w:val="FF0000"/>
                      <w:sz w:val="18"/>
                      <w:szCs w:val="18"/>
                      <w:lang w:val="en-US" w:eastAsia="zh-CN"/>
                    </w:rPr>
                  </w:pPr>
                  <w:r>
                    <w:rPr>
                      <w:rFonts w:hint="eastAsia" w:ascii="仿宋_GB2312" w:hAnsi="仿宋_GB2312" w:eastAsia="仿宋_GB2312" w:cs="仿宋_GB2312"/>
                      <w:color w:val="FF0000"/>
                      <w:sz w:val="18"/>
                      <w:szCs w:val="18"/>
                      <w:lang w:val="en-US" w:eastAsia="zh-CN"/>
                    </w:rPr>
                    <w:t xml:space="preserve">  </w:t>
                  </w:r>
                  <w:r>
                    <w:rPr>
                      <w:rFonts w:hint="eastAsia" w:ascii="仿宋_GB2312" w:hAnsi="仿宋_GB2312" w:eastAsia="仿宋_GB2312" w:cs="仿宋_GB2312"/>
                      <w:color w:val="auto"/>
                      <w:sz w:val="18"/>
                      <w:szCs w:val="18"/>
                      <w:lang w:val="en-US" w:eastAsia="zh-CN"/>
                    </w:rPr>
                    <w:t>发布招标公告</w:t>
                  </w: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_x0000_s1041" o:spid="_x0000_s1041" o:spt="20" style="position:absolute;left:0pt;margin-left:88.25pt;margin-top:15.65pt;height:0.05pt;width:34.85pt;z-index:25171865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line id="直接连接符 302" o:spid="_x0000_s1042" o:spt="20" style="position:absolute;left:0pt;margin-left:-149.2pt;margin-top:11.95pt;height:0.05pt;width:29.05pt;z-index:25167052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接连接符 300" o:spid="_x0000_s1043" o:spt="20" style="position:absolute;left:0pt;margin-left:37.4pt;margin-top:1.6pt;height:53.35pt;width:0.9pt;z-index:25166950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76" o:spid="_x0000_s1044" o:spt="1" style="position:absolute;left:0pt;margin-left:149pt;margin-top:13.5pt;height:53.95pt;width:283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auto" w:fill="FFFFFF"/>
                      <w:lang w:val="en-US" w:eastAsia="zh-CN"/>
                    </w:rPr>
                    <w:t xml:space="preserve">    </w:t>
                  </w:r>
                  <w:r>
                    <w:rPr>
                      <w:rFonts w:hint="eastAsia" w:ascii="仿宋_GB2312" w:hAnsi="仿宋_GB2312" w:eastAsia="仿宋_GB2312" w:cs="仿宋_GB2312"/>
                      <w:color w:val="auto"/>
                      <w:sz w:val="18"/>
                      <w:szCs w:val="18"/>
                      <w:shd w:val="clear" w:color="auto" w:fill="FFFFFF"/>
                    </w:rPr>
                    <w:t>招标人应当按照资格预审公告、招标公告或者投标邀请书规定的时间、地点发售资格预审文件或者招标文件。资格预审文件或者招标文件的发售期不得少于5日。</w:t>
                  </w:r>
                </w:p>
              </w:txbxContent>
            </v:textbox>
          </v:rect>
        </w:pict>
      </w:r>
      <w:r>
        <w:rPr>
          <w:rFonts w:ascii="仿宋_GB2312" w:hAnsi="仿宋_GB2312" w:eastAsia="仿宋_GB2312" w:cs="仿宋_GB2312"/>
          <w:i/>
          <w:kern w:val="2"/>
          <w:sz w:val="21"/>
          <w:szCs w:val="21"/>
          <w:lang w:val="en-US" w:eastAsia="zh-CN" w:bidi="ar-SA"/>
        </w:rPr>
        <w:pict>
          <v:rect id="Rectangle 47" o:spid="_x0000_s1045" o:spt="1" style="position:absolute;left:0pt;margin-left:-5.7pt;margin-top:10.55pt;height:43.65pt;width:95.5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发售招标文件（不少于5日）</w:t>
                  </w:r>
                </w:p>
              </w:txbxContent>
            </v:textbox>
          </v:rect>
        </w:pict>
      </w:r>
    </w:p>
    <w:p>
      <w:pPr>
        <w:rPr>
          <w:rFonts w:ascii="仿宋_GB2312" w:hAnsi="仿宋_GB2312" w:eastAsia="仿宋_GB2312" w:cs="仿宋_GB2312"/>
          <w:i/>
        </w:rPr>
      </w:pPr>
      <w:r>
        <w:rPr>
          <w:rFonts w:ascii="Times New Roman" w:hAnsi="Times New Roman" w:eastAsia="宋体" w:cs="Times New Roman"/>
          <w:kern w:val="2"/>
          <w:sz w:val="24"/>
          <w:szCs w:val="21"/>
          <w:lang w:val="en-US" w:eastAsia="zh-CN" w:bidi="ar-SA"/>
        </w:rPr>
        <w:pict>
          <v:line id="_x0000_s1046" o:spid="_x0000_s1046" o:spt="20" style="position:absolute;left:0pt;margin-left:-25.3pt;margin-top:13.05pt;height:0.1pt;width:21.2pt;z-index:25171968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line id="Line 425" o:spid="_x0000_s1047" o:spt="20" style="position:absolute;left:0pt;flip:y;margin-left:-24.1pt;margin-top:14.4pt;height:194.25pt;width:1.6pt;z-index:25166848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_x0000_s1048" o:spid="_x0000_s1048" o:spt="20" style="position:absolute;left:0pt;margin-left:89.4pt;margin-top:13.85pt;height:0.55pt;width:59pt;z-index:25172070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ind w:left="420" w:leftChars="200" w:firstLine="105" w:firstLineChars="50"/>
        <w:rPr>
          <w:rFonts w:ascii="仿宋_GB2312" w:hAnsi="仿宋_GB2312" w:eastAsia="仿宋_GB2312" w:cs="仿宋_GB2312"/>
          <w:i/>
        </w:rPr>
      </w:pPr>
    </w:p>
    <w:p>
      <w:pPr>
        <w:ind w:left="420" w:leftChars="200" w:firstLine="105" w:firstLineChars="50"/>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接连接符 298" o:spid="_x0000_s1049" o:spt="20" style="position:absolute;left:0pt;flip:x;margin-left:37.85pt;margin-top:8.1pt;height:39.05pt;width:0.3pt;z-index:25167462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ect id="Rectangle 422" o:spid="_x0000_s1050" o:spt="1" style="position:absolute;left:0pt;margin-left:15.75pt;margin-top:343.2pt;height:23.4pt;width:72pt;z-index:25167769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txbxContent>
            </v:textbox>
          </v:rect>
        </w:pict>
      </w:r>
    </w:p>
    <w:p>
      <w:pPr>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74" o:spid="_x0000_s1051" o:spt="1" style="position:absolute;left:0pt;margin-left:148.05pt;margin-top:3.75pt;height:25.8pt;width:92.2pt;z-index:25167667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pStyle w:val="17"/>
                    <w:ind w:left="0" w:firstLine="0" w:firstLineChars="0"/>
                    <w:rPr>
                      <w:rFonts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视情况是否组织</w:t>
                  </w:r>
                </w:p>
                <w:p/>
              </w:txbxContent>
            </v:textbox>
          </v:rect>
        </w:pict>
      </w:r>
      <w:r>
        <w:rPr>
          <w:rFonts w:ascii="Times New Roman" w:hAnsi="Times New Roman" w:eastAsia="宋体" w:cs="Times New Roman"/>
          <w:kern w:val="2"/>
          <w:sz w:val="24"/>
          <w:szCs w:val="24"/>
          <w:lang w:val="en-US" w:eastAsia="zh-CN" w:bidi="ar-SA"/>
        </w:rPr>
        <w:pict>
          <v:line id="_x0000_s1052" o:spid="_x0000_s1052" o:spt="20" style="position:absolute;left:0pt;margin-left:90.25pt;margin-top:19.4pt;height:0.8pt;width:56.1pt;z-index:25172172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99" o:spid="_x0000_s1053" o:spt="1" style="position:absolute;left:0pt;margin-left:-8.45pt;margin-top:3.5pt;height:31.15pt;width:99.2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pStyle w:val="17"/>
                    <w:ind w:left="0" w:firstLine="0" w:firstLineChars="0"/>
                    <w:rPr>
                      <w:rFonts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踏勘现场（工程建设）</w:t>
                  </w: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93" o:spid="_x0000_s1054" o:spt="20" style="position:absolute;left:0pt;margin-left:40.25pt;margin-top:13.7pt;height:27.7pt;width:0.25pt;z-index:25167872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297" o:spid="_x0000_s1055" o:spt="1" style="position:absolute;left:0pt;margin-left:-8.9pt;margin-top:18.5pt;height:40.6pt;width:107.15pt;z-index:2516807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auto"/>
                      <w:kern w:val="0"/>
                      <w:sz w:val="18"/>
                      <w:szCs w:val="18"/>
                      <w:shd w:val="clear" w:color="auto" w:fill="FFFFFF"/>
                    </w:rPr>
                    <w:t>招标文件澄清答疑补充修改</w:t>
                  </w:r>
                </w:p>
              </w:txbxContent>
            </v:textbox>
          </v:rect>
        </w:pict>
      </w:r>
      <w:r>
        <w:rPr>
          <w:rFonts w:ascii="仿宋_GB2312" w:hAnsi="仿宋_GB2312" w:eastAsia="仿宋_GB2312" w:cs="仿宋_GB2312"/>
          <w:i/>
          <w:kern w:val="2"/>
          <w:sz w:val="24"/>
          <w:szCs w:val="24"/>
          <w:lang w:val="en-US" w:eastAsia="zh-CN" w:bidi="ar-SA"/>
        </w:rPr>
        <w:pict>
          <v:rect id="Rectangle 70" o:spid="_x0000_s1056" o:spt="1" style="position:absolute;left:0pt;margin-left:139.1pt;margin-top:1.85pt;height:90.15pt;width:308.1pt;z-index:25167974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both"/>
                    <w:textAlignment w:val="auto"/>
                    <w:outlineLvl w:val="9"/>
                    <w:rPr>
                      <w:sz w:val="18"/>
                      <w:szCs w:val="18"/>
                    </w:rPr>
                  </w:pPr>
                  <w:r>
                    <w:rPr>
                      <w:rFonts w:hint="eastAsia" w:ascii="仿宋_GB2312" w:hAnsi="仿宋_GB2312" w:eastAsia="仿宋_GB2312" w:cs="仿宋_GB2312"/>
                      <w:color w:val="333333"/>
                      <w:sz w:val="18"/>
                      <w:szCs w:val="18"/>
                      <w:shd w:val="clear" w:color="auto" w:fill="FFFFFF"/>
                      <w:lang w:val="en-US" w:eastAsia="zh-CN"/>
                    </w:rPr>
                    <w:t xml:space="preserve">    </w:t>
                  </w:r>
                  <w:r>
                    <w:rPr>
                      <w:rFonts w:hint="eastAsia" w:ascii="仿宋_GB2312" w:hAnsi="仿宋_GB2312" w:eastAsia="仿宋_GB2312" w:cs="仿宋_GB2312"/>
                      <w:color w:val="auto"/>
                      <w:sz w:val="18"/>
                      <w:szCs w:val="18"/>
                      <w:shd w:val="clear" w:color="auto" w:fill="FFFFFF"/>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spacing w:line="560" w:lineRule="exact"/>
                    <w:jc w:val="center"/>
                    <w:rPr>
                      <w:sz w:val="18"/>
                      <w:szCs w:val="18"/>
                    </w:rPr>
                  </w:pPr>
                </w:p>
              </w:txbxContent>
            </v:textbox>
          </v:rect>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_x0000_s1057" o:spid="_x0000_s1057" o:spt="20" style="position:absolute;left:0pt;margin-left:99.6pt;margin-top:13.75pt;height:0.3pt;width:36.5pt;z-index:25172275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79" o:spid="_x0000_s1058" o:spt="20" style="position:absolute;left:0pt;margin-left:39.4pt;margin-top:12.7pt;height:45.9pt;width:0.05pt;z-index:25168179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94" o:spid="_x0000_s1059" o:spt="1" style="position:absolute;left:0pt;margin-left:-89.95pt;margin-top:3.75pt;height:33.65pt;width:75.6pt;z-index:25167257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cs="宋体"/>
                    </w:rPr>
                  </w:pPr>
                  <w:r>
                    <w:rPr>
                      <w:rFonts w:hint="eastAsia" w:cs="宋体"/>
                    </w:rPr>
                    <w:t>不少于20日</w:t>
                  </w:r>
                </w:p>
              </w:txbxContent>
            </v:textbox>
          </v:rect>
        </w:pict>
      </w:r>
    </w:p>
    <w:p>
      <w:pPr>
        <w:pStyle w:val="17"/>
        <w:ind w:firstLine="480"/>
        <w:rPr>
          <w:rFonts w:ascii="仿宋_GB2312" w:hAnsi="仿宋_GB2312" w:eastAsia="仿宋_GB2312" w:cs="仿宋_GB2312"/>
          <w:i/>
        </w:rPr>
      </w:pP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_x0000_s1060" o:spid="_x0000_s1060" o:spt="20" style="position:absolute;left:0pt;margin-left:45.6pt;margin-top:22.15pt;height:79.95pt;width:0.35pt;z-index:25173401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直线 117" o:spid="_x0000_s1061" o:spt="20" style="position:absolute;left:0pt;flip:x;margin-left:-27.35pt;margin-top:0.4pt;height:122.1pt;width:1.65pt;z-index:2517360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Rectangle 71" o:spid="_x0000_s1062" o:spt="1" style="position:absolute;left:0pt;margin-left:127.9pt;margin-top:-29.7pt;height:72.15pt;width:328.7pt;z-index:2516828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left"/>
                    <w:textAlignment w:val="auto"/>
                    <w:outlineLvl w:val="9"/>
                    <w:rPr>
                      <w:rFonts w:hint="default"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333333"/>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rPr>
                    <w:t>投标人应当在招标文件要求提交投标文件的截止时间前，将投标文件送达投标地点。招标人收到投标文件后，应当签收保存，不得开启。投标人少于三个的，招标人应当依照《中华人民共和国招标投标法》重新招标。</w:t>
                  </w:r>
                  <w:r>
                    <w:rPr>
                      <w:rFonts w:hint="eastAsia" w:ascii="仿宋_GB2312" w:hAnsi="仿宋_GB2312" w:eastAsia="仿宋_GB2312" w:cs="仿宋_GB2312"/>
                      <w:color w:val="auto"/>
                      <w:kern w:val="0"/>
                      <w:sz w:val="18"/>
                      <w:szCs w:val="18"/>
                      <w:shd w:val="clear" w:color="auto" w:fill="FFFFFF"/>
                    </w:rPr>
                    <w:br w:type="textWrapping"/>
                  </w:r>
                  <w:r>
                    <w:rPr>
                      <w:rFonts w:hint="eastAsia" w:ascii="仿宋_GB2312" w:hAnsi="仿宋_GB2312" w:eastAsia="仿宋_GB2312" w:cs="仿宋_GB2312"/>
                      <w:color w:val="auto"/>
                      <w:kern w:val="0"/>
                      <w:sz w:val="18"/>
                      <w:szCs w:val="18"/>
                      <w:shd w:val="clear" w:color="auto" w:fill="FFFFFF"/>
                    </w:rPr>
                    <w:t xml:space="preserve">  </w:t>
                  </w:r>
                  <w:r>
                    <w:rPr>
                      <w:rFonts w:hint="eastAsia" w:ascii="仿宋_GB2312" w:hAnsi="仿宋_GB2312" w:eastAsia="仿宋_GB2312" w:cs="仿宋_GB2312"/>
                      <w:color w:val="auto"/>
                      <w:kern w:val="0"/>
                      <w:sz w:val="18"/>
                      <w:szCs w:val="18"/>
                      <w:shd w:val="clear" w:color="auto" w:fill="FFFFFF"/>
                      <w:lang w:val="en-US" w:eastAsia="zh-CN"/>
                    </w:rPr>
                    <w:t xml:space="preserve">  </w:t>
                  </w:r>
                  <w:r>
                    <w:rPr>
                      <w:rFonts w:hint="eastAsia" w:ascii="仿宋_GB2312" w:hAnsi="仿宋_GB2312" w:eastAsia="仿宋_GB2312" w:cs="仿宋_GB2312"/>
                      <w:color w:val="auto"/>
                      <w:kern w:val="0"/>
                      <w:sz w:val="18"/>
                      <w:szCs w:val="18"/>
                      <w:shd w:val="clear" w:color="auto" w:fill="FFFFFF"/>
                    </w:rPr>
                    <w:t>在招标文件要求提交投标文件的截止时间后送达的投标文件，招标人应当拒收。</w:t>
                  </w:r>
                </w:p>
                <w:p>
                  <w:pPr>
                    <w:jc w:val="left"/>
                    <w:rPr>
                      <w:rFonts w:ascii="仿宋_GB2312" w:hAnsi="仿宋_GB2312" w:eastAsia="仿宋_GB2312" w:cs="仿宋_GB2312"/>
                      <w:sz w:val="18"/>
                      <w:szCs w:val="18"/>
                    </w:rPr>
                  </w:pPr>
                </w:p>
              </w:txbxContent>
            </v:textbox>
          </v:rect>
        </w:pict>
      </w:r>
      <w:r>
        <w:rPr>
          <w:rFonts w:ascii="Times New Roman" w:hAnsi="Times New Roman" w:eastAsia="宋体" w:cs="Times New Roman"/>
          <w:kern w:val="2"/>
          <w:sz w:val="24"/>
          <w:szCs w:val="24"/>
          <w:lang w:val="en-US" w:eastAsia="zh-CN" w:bidi="ar-SA"/>
        </w:rPr>
        <w:pict>
          <v:line id="_x0000_s1063" o:spid="_x0000_s1063" o:spt="20" style="position:absolute;left:0pt;margin-left:100.8pt;margin-top:5.7pt;height:0.05pt;width:25.8pt;z-index:25172377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95" o:spid="_x0000_s1064" o:spt="1" style="position:absolute;left:0pt;margin-left:-6.45pt;margin-top:-19.6pt;height:38.85pt;width:104.25pt;z-index:2516838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ascii="仿宋_GB2312" w:hAnsi="仿宋_GB2312" w:eastAsia="仿宋_GB2312" w:cs="仿宋_GB2312"/>
                      <w:color w:val="auto"/>
                      <w:kern w:val="0"/>
                      <w:sz w:val="18"/>
                      <w:szCs w:val="18"/>
                      <w:shd w:val="clear" w:color="auto" w:fill="FFFFFF"/>
                    </w:rPr>
                  </w:pPr>
                  <w:r>
                    <w:rPr>
                      <w:rFonts w:hint="eastAsia" w:ascii="仿宋_GB2312" w:hAnsi="仿宋_GB2312" w:eastAsia="仿宋_GB2312" w:cs="仿宋_GB2312"/>
                      <w:color w:val="auto"/>
                      <w:kern w:val="0"/>
                      <w:sz w:val="18"/>
                      <w:szCs w:val="18"/>
                      <w:shd w:val="clear" w:color="auto" w:fill="FFFFFF"/>
                    </w:rPr>
                    <w:t>投标人编制、提交投标文件</w:t>
                  </w:r>
                </w:p>
                <w:p>
                  <w:pPr>
                    <w:jc w:val="center"/>
                    <w:rPr>
                      <w:rFonts w:ascii="仿宋_GB2312" w:hAnsi="仿宋_GB2312" w:eastAsia="仿宋_GB2312" w:cs="仿宋_GB2312"/>
                      <w:color w:val="333333"/>
                      <w:kern w:val="0"/>
                      <w:sz w:val="18"/>
                      <w:szCs w:val="18"/>
                      <w:shd w:val="clear" w:color="auto" w:fill="FFFFFF"/>
                    </w:rPr>
                  </w:pPr>
                </w:p>
              </w:txbxContent>
            </v:textbox>
          </v:rect>
        </w:pict>
      </w:r>
    </w:p>
    <w:p>
      <w:pPr>
        <w:pStyle w:val="17"/>
        <w:ind w:left="0" w:leftChars="0" w:firstLine="0" w:firstLineChars="0"/>
        <w:rPr>
          <w:rFonts w:ascii="仿宋_GB2312" w:hAnsi="仿宋_GB2312" w:eastAsia="仿宋_GB2312" w:cs="仿宋_GB2312"/>
          <w:i/>
        </w:rPr>
      </w:pPr>
    </w:p>
    <w:p>
      <w:pPr>
        <w:pStyle w:val="17"/>
        <w:ind w:left="0" w:leftChars="0" w:firstLine="0" w:firstLineChars="0"/>
        <w:rPr>
          <w:rFonts w:ascii="仿宋_GB2312" w:hAnsi="仿宋_GB2312" w:eastAsia="仿宋_GB2312" w:cs="仿宋_GB2312"/>
          <w:i/>
        </w:rPr>
      </w:pP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72" o:spid="_x0000_s1065" o:spt="1" style="position:absolute;left:0pt;margin-left:100.3pt;margin-top:6.5pt;height:225.3pt;width:381.7pt;z-index:2516869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招标人或招标代理机构按招标文件规定的开标时间在县公共资源交易服务中心开标。开标由招标人或招标代理机构主持，县公共资源交易服务中心应做好场地安排、设备设施的准备等工作，并见证开标全过程。</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 xml:space="preserve">一、开标前，招标代理机构到县公共资源交易服务中心工作人员处登记并领取工作牌。招标人或招标代理机构负责按照相关法律法规核验参加开标活动的投标人代表身份证明证件（原件），以确认其身份合法有效，并做好签到记录。县公共资源交易服务中心负责监督其是否达到开标条件。 </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二、开标基本程序：</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1.宣布开标纪律；</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2.宣布开标人、唱标人、记录人等有关人员姓名；</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3.公布在投标截止时间前递交投标文件的投标人名称，并点名确认投标人是否到场；</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4.投标文件密封情况检查；</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5.开启投标文件；</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6.唱标：投标人名称、投标报价及其他内容；</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7.投标人代表、招标人或招标代理机构等有关人员需在开标记录表签字确认；</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8.开标结束；</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9.招标人或招标代理机构应当场将投标资料在县公共资源交易服务中心工作人员的监督下运送至评标室。</w:t>
                  </w:r>
                </w:p>
              </w:txbxContent>
            </v:textbox>
          </v:rect>
        </w:pict>
      </w: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Rectangle 80" o:spid="_x0000_s1066" o:spt="1" style="position:absolute;left:0pt;margin-left:31.45pt;margin-top:10.8pt;height:32.15pt;width:45.35pt;z-index:2516879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pStyle w:val="17"/>
                    <w:ind w:left="0" w:firstLine="0" w:firstLineChars="0"/>
                    <w:jc w:val="center"/>
                    <w:rPr>
                      <w:rFonts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开</w:t>
                  </w:r>
                  <w:r>
                    <w:rPr>
                      <w:rFonts w:hint="eastAsia" w:ascii="仿宋_GB2312" w:hAnsi="Times New Roman" w:eastAsia="仿宋_GB2312" w:cs="仿宋_GB2312"/>
                      <w:kern w:val="2"/>
                      <w:sz w:val="18"/>
                      <w:szCs w:val="18"/>
                      <w:lang w:val="en-US" w:eastAsia="zh-CN" w:bidi="ar-SA"/>
                    </w:rPr>
                    <w:t>标</w:t>
                  </w:r>
                </w:p>
              </w:txbxContent>
            </v:textbox>
          </v:rect>
        </w:pict>
      </w:r>
    </w:p>
    <w:p>
      <w:pPr>
        <w:pStyle w:val="17"/>
        <w:ind w:left="0" w:leftChars="0" w:firstLine="0" w:firstLineChars="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395" o:spid="_x0000_s1067" o:spt="20" style="position:absolute;left:0pt;flip:x y;margin-left:8.25pt;margin-top:13.75pt;height:553.6pt;width:0.05pt;z-index:251684864;mso-width-relative:page;mso-height-relative:page;" filled="f" stroked="t" coordsize="21600,21600">
            <v:path arrowok="t"/>
            <v:fill on="f" focussize="0,0"/>
            <v:stroke color="#000000"/>
            <v:imagedata o:title=""/>
            <o:lock v:ext="edit" aspectratio="f"/>
          </v:line>
        </w:pict>
      </w:r>
      <w:r>
        <w:rPr>
          <w:rFonts w:ascii="仿宋_GB2312" w:hAnsi="仿宋_GB2312" w:eastAsia="仿宋_GB2312" w:cs="仿宋_GB2312"/>
          <w:i/>
          <w:kern w:val="2"/>
          <w:sz w:val="24"/>
          <w:szCs w:val="24"/>
          <w:lang w:val="en-US" w:eastAsia="zh-CN" w:bidi="ar-SA"/>
        </w:rPr>
        <w:pict>
          <v:shape id="Line 364" o:spid="_x0000_s1071" style="position:absolute;left:0pt;flip:y;margin-left:7.55pt;margin-top:11.95pt;height:0.2pt;width:23.25pt;z-index:251685888;mso-width-relative:page;mso-height-relative:page;" filled="f" stroked="t" coordsize="465,4" path="m0,0hal465,4hae">
            <v:fill on="f" focussize="0,0"/>
            <v:stroke color="#000000"/>
            <v:imagedata o:title=""/>
            <o:lock v:ext="edit" aspectratio="f"/>
          </v:shape>
        </w:pict>
      </w:r>
      <w:r>
        <w:rPr>
          <w:rFonts w:ascii="仿宋_GB2312" w:hAnsi="仿宋_GB2312" w:eastAsia="仿宋_GB2312" w:cs="仿宋_GB2312"/>
          <w:i/>
          <w:kern w:val="2"/>
          <w:sz w:val="21"/>
          <w:szCs w:val="21"/>
          <w:lang w:val="en-US" w:eastAsia="zh-CN" w:bidi="ar-SA"/>
        </w:rPr>
        <w:pict>
          <v:line id="Line 73" o:spid="_x0000_s1068" o:spt="20" style="position:absolute;left:0pt;margin-left:53.4pt;margin-top:22.2pt;height:219.65pt;width:1.65pt;z-index:25169408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_x0000_s1069" o:spid="_x0000_s1069" o:spt="20" style="position:absolute;left:0pt;flip:y;margin-left:77.15pt;margin-top:9pt;height:0.05pt;width:22.15pt;z-index:25172480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line id="_x0000_s1070" o:spid="_x0000_s1070" o:spt="20" style="position:absolute;left:0pt;margin-left:-28.6pt;margin-top:5.9pt;height:0.05pt;width:59pt;z-index:2517350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pStyle w:val="17"/>
        <w:ind w:left="0" w:leftChars="0" w:firstLine="0" w:firstLineChars="0"/>
        <w:rPr>
          <w:rFonts w:ascii="仿宋_GB2312" w:hAnsi="仿宋_GB2312" w:eastAsia="仿宋_GB2312" w:cs="仿宋_GB2312"/>
          <w:i/>
        </w:rPr>
      </w:pPr>
    </w:p>
    <w:p>
      <w:pPr>
        <w:pStyle w:val="17"/>
        <w:ind w:firstLine="480"/>
        <w:rPr>
          <w:rFonts w:ascii="仿宋_GB2312" w:hAnsi="仿宋_GB2312" w:eastAsia="仿宋_GB2312" w:cs="仿宋_GB2312"/>
          <w:i/>
        </w:rPr>
      </w:pP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Line 407" o:spid="_x0000_s1072" o:spt="20" style="position:absolute;left:0pt;margin-left:526.5pt;margin-top:1.95pt;height:189.6pt;width:0.05pt;z-index:25168998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roundrect id="圆角矩形 283" o:spid="_x0000_s1073" o:spt="2" style="position:absolute;left:0pt;margin-left:-83.35pt;margin-top:15.5pt;height:23.4pt;width:63.7pt;z-index:251688960;mso-width-relative:page;mso-height-relative:page;"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rFonts w:ascii="仿宋_GB2312" w:hAnsi="仿宋_GB2312" w:eastAsia="仿宋_GB2312" w:cs="仿宋_GB2312"/>
                      <w:color w:val="333333"/>
                      <w:kern w:val="0"/>
                      <w:sz w:val="18"/>
                      <w:szCs w:val="18"/>
                      <w:shd w:val="clear" w:color="auto" w:fill="FFFFFF"/>
                    </w:rPr>
                  </w:pPr>
                  <w:r>
                    <w:rPr>
                      <w:rFonts w:hint="eastAsia" w:ascii="仿宋_GB2312" w:hAnsi="仿宋_GB2312" w:eastAsia="仿宋_GB2312" w:cs="仿宋_GB2312"/>
                      <w:color w:val="333333"/>
                      <w:kern w:val="0"/>
                      <w:sz w:val="18"/>
                      <w:szCs w:val="18"/>
                      <w:shd w:val="clear" w:color="auto" w:fill="FFFFFF"/>
                    </w:rPr>
                    <w:t>质疑/投诉</w:t>
                  </w:r>
                </w:p>
              </w:txbxContent>
            </v:textbox>
          </v:roundrect>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1"/>
          <w:szCs w:val="21"/>
          <w:lang w:val="en-US" w:eastAsia="zh-CN" w:bidi="ar-SA"/>
        </w:rPr>
        <w:pict>
          <v:line id="直线 66" o:spid="_x0000_s1074" o:spt="20" style="position:absolute;left:0pt;flip:x;margin-left:-50pt;margin-top:9.8pt;height:37pt;width:1.65pt;z-index:25169100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i/>
        </w:rPr>
      </w:pPr>
    </w:p>
    <w:p>
      <w:pPr>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ect id="矩形 75" o:spid="_x0000_s1075" o:spt="1" style="position:absolute;left:0pt;margin-left:129.9pt;margin-top:15.45pt;height:155.25pt;width:359.1pt;z-index:2516951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color w:val="auto"/>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color w:val="FF0000"/>
                      <w:sz w:val="18"/>
                      <w:szCs w:val="18"/>
                      <w:lang w:val="en-US" w:eastAsia="zh-CN"/>
                    </w:rPr>
                    <w:t xml:space="preserve"> </w:t>
                  </w: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1.招标代理机构持项目业务登记表、工程建设项目开、评标备案表、介绍信及委托书到县公共资源交易服务中心专家抽取处，在招标人代表、行政（行业）主管部门的监督人员或招标单位纪检监察人员监督下登录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专家库管理及抽取系统录入项目信息。</w:t>
                  </w:r>
                </w:p>
                <w:p>
                  <w:pPr>
                    <w:widowControl w:val="0"/>
                    <w:wordWrap/>
                    <w:adjustRightInd/>
                    <w:snapToGrid/>
                    <w:spacing w:before="0" w:after="0" w:line="240" w:lineRule="exact"/>
                    <w:ind w:left="0" w:leftChars="0" w:right="0" w:firstLine="0" w:firstLineChars="0"/>
                    <w:jc w:val="left"/>
                    <w:textAlignment w:val="auto"/>
                    <w:outlineLvl w:val="9"/>
                    <w:rPr>
                      <w:rFonts w:hint="eastAsia" w:ascii="仿宋_GB2312" w:eastAsia="仿宋_GB2312" w:cs="仿宋_GB2312"/>
                      <w:color w:val="auto"/>
                      <w:sz w:val="18"/>
                      <w:szCs w:val="18"/>
                    </w:rPr>
                  </w:pPr>
                  <w:r>
                    <w:rPr>
                      <w:rFonts w:hint="eastAsia" w:ascii="仿宋_GB2312" w:eastAsia="仿宋_GB2312" w:cs="仿宋_GB2312"/>
                      <w:color w:val="auto"/>
                      <w:sz w:val="18"/>
                      <w:szCs w:val="18"/>
                      <w:lang w:val="en-US" w:eastAsia="zh-CN"/>
                    </w:rPr>
                    <w:t xml:space="preserve">    </w:t>
                  </w:r>
                  <w:r>
                    <w:rPr>
                      <w:rFonts w:hint="eastAsia" w:ascii="仿宋_GB2312" w:eastAsia="仿宋_GB2312" w:cs="仿宋_GB2312"/>
                      <w:color w:val="auto"/>
                      <w:sz w:val="18"/>
                      <w:szCs w:val="18"/>
                    </w:rPr>
                    <w:t>2.县公共资源交易服务中心工作人员登录海南省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专家库管理及抽取系统，对项目信息进行核对</w:t>
                  </w:r>
                  <w:r>
                    <w:rPr>
                      <w:rFonts w:hint="eastAsia" w:ascii="仿宋_GB2312" w:eastAsia="仿宋_GB2312" w:cs="仿宋_GB2312"/>
                      <w:color w:val="auto"/>
                      <w:sz w:val="18"/>
                      <w:szCs w:val="18"/>
                      <w:lang w:eastAsia="zh-CN"/>
                    </w:rPr>
                    <w:t>无误</w:t>
                  </w:r>
                  <w:r>
                    <w:rPr>
                      <w:rFonts w:hint="eastAsia" w:ascii="仿宋_GB2312" w:eastAsia="仿宋_GB2312" w:cs="仿宋_GB2312"/>
                      <w:color w:val="auto"/>
                      <w:sz w:val="18"/>
                      <w:szCs w:val="18"/>
                    </w:rPr>
                    <w:t>后</w:t>
                  </w:r>
                  <w:r>
                    <w:rPr>
                      <w:rFonts w:hint="eastAsia" w:ascii="仿宋_GB2312" w:eastAsia="仿宋_GB2312" w:cs="仿宋_GB2312"/>
                      <w:color w:val="auto"/>
                      <w:sz w:val="18"/>
                      <w:szCs w:val="18"/>
                      <w:lang w:eastAsia="zh-CN"/>
                    </w:rPr>
                    <w:t>，由招标人点击</w:t>
                  </w:r>
                  <w:r>
                    <w:rPr>
                      <w:rFonts w:hint="eastAsia" w:ascii="仿宋_GB2312" w:eastAsia="仿宋_GB2312" w:cs="仿宋_GB2312"/>
                      <w:color w:val="auto"/>
                      <w:sz w:val="18"/>
                      <w:szCs w:val="18"/>
                    </w:rPr>
                    <w:t>系统随机抽取评标专家。在专家抽取系统自动完成评标专家的抽取和通知后，参加抽取过程的人员须在《工程建设项目开、评标备案表》上签字。</w:t>
                  </w:r>
                </w:p>
                <w:p>
                  <w:pPr>
                    <w:widowControl w:val="0"/>
                    <w:wordWrap/>
                    <w:adjustRightInd/>
                    <w:snapToGrid/>
                    <w:spacing w:before="0" w:after="0" w:line="240" w:lineRule="exact"/>
                    <w:ind w:left="0" w:leftChars="0" w:right="0" w:firstLine="0" w:firstLineChars="0"/>
                    <w:jc w:val="left"/>
                    <w:textAlignment w:val="auto"/>
                    <w:outlineLvl w:val="9"/>
                    <w:rPr>
                      <w:rFonts w:ascii="仿宋_GB2312" w:eastAsia="仿宋_GB2312" w:cs="仿宋_GB2312"/>
                      <w:color w:val="auto"/>
                      <w:sz w:val="18"/>
                      <w:szCs w:val="18"/>
                    </w:rPr>
                  </w:pPr>
                  <w:r>
                    <w:rPr>
                      <w:rFonts w:hint="eastAsia" w:ascii="仿宋_GB2312" w:eastAsia="仿宋_GB2312" w:cs="仿宋_GB2312"/>
                      <w:color w:val="auto"/>
                      <w:sz w:val="18"/>
                      <w:szCs w:val="18"/>
                    </w:rPr>
                    <w:t>(以上表格</w:t>
                  </w:r>
                  <w:r>
                    <w:rPr>
                      <w:rFonts w:hint="eastAsia" w:ascii="仿宋_GB2312" w:eastAsia="仿宋_GB2312" w:cs="仿宋_GB2312"/>
                      <w:color w:val="auto"/>
                      <w:sz w:val="18"/>
                      <w:szCs w:val="18"/>
                      <w:lang w:eastAsia="zh-CN"/>
                    </w:rPr>
                    <w:t>可在</w:t>
                  </w:r>
                  <w:r>
                    <w:rPr>
                      <w:rFonts w:hint="eastAsia" w:ascii="仿宋_GB2312" w:hAnsi="仿宋_GB2312" w:eastAsia="仿宋_GB2312" w:cs="仿宋_GB2312"/>
                      <w:color w:val="auto"/>
                      <w:sz w:val="18"/>
                      <w:szCs w:val="18"/>
                      <w:lang w:val="en-US" w:eastAsia="zh-CN"/>
                    </w:rPr>
                    <w:t>全国公共资源交易平台〈海南省〉·琼中县</w:t>
                  </w:r>
                  <w:r>
                    <w:rPr>
                      <w:rFonts w:hint="eastAsia" w:ascii="仿宋_GB2312" w:hAnsi="仿宋_GB2312" w:eastAsia="仿宋_GB2312" w:cs="仿宋_GB2312"/>
                      <w:color w:val="auto"/>
                      <w:sz w:val="18"/>
                      <w:szCs w:val="18"/>
                    </w:rPr>
                    <w:t>http://zw.hainan.gov.cn/ggzy/qzggzy/</w:t>
                  </w:r>
                  <w:r>
                    <w:rPr>
                      <w:rFonts w:hint="eastAsia" w:ascii="仿宋_GB2312" w:hAnsi="仿宋_GB2312" w:eastAsia="仿宋_GB2312" w:cs="仿宋_GB2312"/>
                      <w:color w:val="auto"/>
                      <w:sz w:val="18"/>
                      <w:szCs w:val="18"/>
                      <w:lang w:eastAsia="zh-CN"/>
                    </w:rPr>
                    <w:t>网站</w:t>
                  </w:r>
                  <w:r>
                    <w:rPr>
                      <w:rFonts w:hint="eastAsia" w:ascii="仿宋_GB2312" w:hAnsi="仿宋_GB2312" w:eastAsia="仿宋_GB2312" w:cs="仿宋_GB2312"/>
                      <w:color w:val="auto"/>
                      <w:sz w:val="18"/>
                      <w:szCs w:val="18"/>
                    </w:rPr>
                    <w:t>下载</w:t>
                  </w:r>
                  <w:r>
                    <w:rPr>
                      <w:rFonts w:hint="eastAsia" w:ascii="仿宋_GB2312" w:eastAsia="仿宋_GB2312" w:cs="仿宋_GB2312"/>
                      <w:color w:val="auto"/>
                      <w:sz w:val="18"/>
                      <w:szCs w:val="18"/>
                    </w:rPr>
                    <w:t>；海南省</w:t>
                  </w:r>
                  <w:r>
                    <w:rPr>
                      <w:rFonts w:hint="eastAsia" w:ascii="仿宋_GB2312" w:eastAsia="仿宋_GB2312" w:cs="仿宋_GB2312"/>
                      <w:color w:val="auto"/>
                      <w:sz w:val="18"/>
                      <w:szCs w:val="18"/>
                      <w:lang w:eastAsia="zh-CN"/>
                    </w:rPr>
                    <w:t>评标</w:t>
                  </w:r>
                  <w:r>
                    <w:rPr>
                      <w:rFonts w:hint="eastAsia" w:ascii="仿宋_GB2312" w:eastAsia="仿宋_GB2312" w:cs="仿宋_GB2312"/>
                      <w:color w:val="auto"/>
                      <w:sz w:val="18"/>
                      <w:szCs w:val="18"/>
                    </w:rPr>
                    <w:t>专家库管理及抽取系</w:t>
                  </w:r>
                  <w:r>
                    <w:rPr>
                      <w:rFonts w:hint="eastAsia" w:ascii="仿宋_GB2312" w:eastAsia="仿宋_GB2312" w:cs="仿宋_GB2312"/>
                      <w:color w:val="auto"/>
                      <w:sz w:val="18"/>
                      <w:szCs w:val="18"/>
                      <w:lang w:eastAsia="zh-CN"/>
                    </w:rPr>
                    <w:t>统：</w:t>
                  </w:r>
                  <w:r>
                    <w:rPr>
                      <w:rFonts w:hint="eastAsia" w:ascii="仿宋_GB2312" w:eastAsia="仿宋_GB2312" w:cs="仿宋_GB2312"/>
                      <w:color w:val="auto"/>
                      <w:sz w:val="18"/>
                      <w:szCs w:val="18"/>
                    </w:rPr>
                    <w:t>http://zw.hainan.gov.cn/expert/expert/login.do?systemId=402c81c8573d8b810157400feb6b0122）</w:t>
                  </w:r>
                </w:p>
              </w:txbxContent>
            </v:textbox>
          </v: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roundrect id="圆角矩形 270" o:spid="_x0000_s1076" o:spt="2" style="position:absolute;left:0pt;margin-left:-83.5pt;margin-top:1.05pt;height:91.7pt;width:77.85pt;z-index:251692032;mso-width-relative:page;mso-height-relative:page;"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rFonts w:ascii="仿宋_GB2312" w:hAnsi="仿宋_GB2312" w:eastAsia="仿宋_GB2312" w:cs="仿宋_GB2312"/>
                      <w:color w:val="333333"/>
                      <w:kern w:val="0"/>
                      <w:sz w:val="18"/>
                      <w:szCs w:val="18"/>
                      <w:shd w:val="clear" w:color="auto" w:fill="FFFFFF"/>
                    </w:rPr>
                  </w:pPr>
                  <w:r>
                    <w:rPr>
                      <w:rFonts w:hint="eastAsia" w:ascii="仿宋_GB2312" w:eastAsia="仿宋_GB2312" w:cs="仿宋_GB2312"/>
                      <w:sz w:val="18"/>
                      <w:szCs w:val="18"/>
                    </w:rPr>
                    <w:t>省公共资源交易管理委员会办公室。电话:65203641</w:t>
                  </w:r>
                </w:p>
              </w:txbxContent>
            </v:textbox>
          </v:roundrect>
        </w:pict>
      </w:r>
    </w:p>
    <w:p>
      <w:pPr>
        <w:pStyle w:val="17"/>
        <w:ind w:firstLine="480"/>
        <w:rPr>
          <w:rFonts w:ascii="仿宋_GB2312" w:hAnsi="仿宋_GB2312" w:eastAsia="仿宋_GB2312" w:cs="仿宋_GB2312"/>
          <w:i/>
        </w:rPr>
      </w:pPr>
      <w:r>
        <w:rPr>
          <w:rFonts w:ascii="仿宋_GB2312" w:hAnsi="仿宋_GB2312" w:eastAsia="仿宋_GB2312" w:cs="仿宋_GB2312"/>
          <w:i/>
          <w:kern w:val="2"/>
          <w:sz w:val="24"/>
          <w:szCs w:val="24"/>
          <w:lang w:val="en-US" w:eastAsia="zh-CN" w:bidi="ar-SA"/>
        </w:rPr>
        <w:pict>
          <v:line id="Line 19" o:spid="_x0000_s1077" o:spt="20" style="position:absolute;left:0pt;margin-left:-6.4pt;margin-top:15.75pt;height:0.05pt;width:9.65pt;z-index:25169305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pStyle w:val="17"/>
        <w:ind w:firstLine="480"/>
        <w:rPr>
          <w:rFonts w:ascii="仿宋_GB2312" w:hAnsi="仿宋_GB2312" w:eastAsia="仿宋_GB2312" w:cs="仿宋_GB2312"/>
          <w:i/>
        </w:rPr>
      </w:pPr>
      <w:r>
        <w:rPr>
          <w:rFonts w:ascii="Times New Roman" w:hAnsi="Times New Roman" w:eastAsia="宋体" w:cs="Times New Roman"/>
          <w:kern w:val="2"/>
          <w:sz w:val="24"/>
          <w:szCs w:val="24"/>
          <w:lang w:val="en-US" w:eastAsia="zh-CN" w:bidi="ar-SA"/>
        </w:rPr>
        <w:pict>
          <v:line id="_x0000_s1078" o:spid="_x0000_s1078" o:spt="20" style="position:absolute;left:0pt;flip:y;margin-left:90.8pt;margin-top:15.85pt;height:0.35pt;width:34.75pt;z-index:25172684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_x0000_s1079" o:spid="_x0000_s1079" o:spt="20" style="position:absolute;left:0pt;flip:y;margin-left:9.9pt;margin-top:14.9pt;height:0.05pt;width:23pt;z-index:25172582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4"/>
          <w:szCs w:val="24"/>
          <w:lang w:val="en-US" w:eastAsia="zh-CN" w:bidi="ar-SA"/>
        </w:rPr>
        <w:pict>
          <v:rect id="矩形 284" o:spid="_x0000_s1080" o:spt="1" style="position:absolute;left:0pt;margin-left:33.9pt;margin-top:1.5pt;height:28.9pt;width:56.05pt;z-index:2516961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rPr>
                    <w:t>专家抽取</w:t>
                  </w:r>
                </w:p>
              </w:txbxContent>
            </v:textbox>
          </v:rect>
        </w:pict>
      </w:r>
    </w:p>
    <w:p>
      <w:pPr>
        <w:pStyle w:val="17"/>
        <w:ind w:firstLine="480"/>
        <w:rPr>
          <w:rFonts w:ascii="仿宋_GB2312" w:hAnsi="仿宋_GB2312" w:eastAsia="仿宋_GB2312" w:cs="仿宋_GB2312"/>
          <w:i/>
        </w:rPr>
      </w:pPr>
    </w:p>
    <w:p>
      <w:pPr>
        <w:pStyle w:val="17"/>
        <w:ind w:firstLine="480"/>
        <w:rPr>
          <w:rFonts w:ascii="仿宋_GB2312" w:hAnsi="仿宋_GB2312" w:eastAsia="仿宋_GB2312" w:cs="仿宋_GB2312"/>
          <w:i/>
        </w:rPr>
      </w:pPr>
    </w:p>
    <w:p>
      <w:pPr>
        <w:rPr>
          <w:rFonts w:ascii="仿宋_GB2312" w:hAnsi="仿宋_GB2312" w:eastAsia="仿宋_GB2312" w:cs="仿宋_GB2312"/>
        </w:rPr>
      </w:pPr>
    </w:p>
    <w:p>
      <w:pPr>
        <w:tabs>
          <w:tab w:val="left" w:pos="2337"/>
        </w:tabs>
        <w:rPr>
          <w:rFonts w:ascii="仿宋_GB2312" w:hAnsi="仿宋_GB2312" w:eastAsia="仿宋_GB2312" w:cs="仿宋_GB2312"/>
        </w:rPr>
      </w:pPr>
      <w:r>
        <w:rPr>
          <w:rFonts w:hint="eastAsia" w:ascii="仿宋_GB2312" w:hAnsi="仿宋_GB2312" w:eastAsia="仿宋_GB2312" w:cs="仿宋_GB2312"/>
          <w:lang w:eastAsia="zh-CN"/>
        </w:rPr>
        <w:tab/>
      </w:r>
    </w:p>
    <w:p>
      <w:pPr>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Rectangle 417" o:spid="_x0000_s1081" o:spt="1" style="position:absolute;left:0pt;margin-left:129.1pt;margin-top:14.55pt;height:119.4pt;width:363.2pt;z-index:2516971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hAnsi="仿宋_GB2312" w:eastAsia="仿宋_GB2312" w:cs="仿宋_GB2312"/>
                      <w:kern w:val="0"/>
                      <w:sz w:val="18"/>
                      <w:szCs w:val="18"/>
                      <w:shd w:val="clear" w:color="auto" w:fill="FFFFFF"/>
                      <w:lang w:val="en-US" w:eastAsia="zh-CN"/>
                    </w:rPr>
                    <w:t xml:space="preserve"> </w:t>
                  </w: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初步评审、详细评审、投标澄清、资格后审、评标报告并推荐中标候选人</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（一）评标开始前，县公共资源交易服务中心工作人员打印专家名单并核对专家身份；</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（二）评标专家自行推荐评标小组组长，组成评标委员会；</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（三）评标专家按照招标文件规定对各投标文件进行评审；</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（四）评标委员会成员以外的其他人员不得擅自进入评标室，评标过程中确需参加评标服务工作的，须经监督人员同意，服务工作完成后立即退出评标室。凡进入评标室人员一律不得携带通讯工具；</w:t>
                  </w:r>
                </w:p>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（五）评标结束后，招标人或招标代理机构应向县公共资源交易服务中心提交由专家签字确认的评标报告。</w:t>
                  </w:r>
                </w:p>
                <w:p>
                  <w:pPr>
                    <w:rPr>
                      <w:color w:val="0000FF"/>
                      <w:sz w:val="18"/>
                      <w:szCs w:val="18"/>
                    </w:rPr>
                  </w:pPr>
                </w:p>
                <w:p>
                  <w:pPr>
                    <w:spacing w:line="260" w:lineRule="exact"/>
                    <w:jc w:val="left"/>
                    <w:rPr>
                      <w:sz w:val="18"/>
                      <w:szCs w:val="18"/>
                    </w:rPr>
                  </w:pPr>
                </w:p>
                <w:p>
                  <w:pPr>
                    <w:widowControl/>
                    <w:shd w:val="clear" w:color="auto" w:fill="FFFFFF"/>
                    <w:spacing w:line="440" w:lineRule="atLeast"/>
                    <w:rPr>
                      <w:rFonts w:ascii="宋体" w:hAnsi="宋体" w:cs="宋体"/>
                      <w:color w:val="000000"/>
                      <w:kern w:val="0"/>
                      <w:sz w:val="18"/>
                      <w:szCs w:val="18"/>
                      <w:shd w:val="clear" w:color="auto" w:fill="FFFFFF"/>
                    </w:rPr>
                  </w:pPr>
                </w:p>
                <w:p>
                  <w:pPr>
                    <w:rPr>
                      <w:szCs w:val="24"/>
                    </w:rPr>
                  </w:pPr>
                </w:p>
              </w:txbxContent>
            </v:textbox>
          </v:rect>
        </w:pict>
      </w:r>
    </w:p>
    <w:p>
      <w:pPr>
        <w:rPr>
          <w:rFonts w:ascii="仿宋_GB2312" w:hAnsi="仿宋_GB2312" w:eastAsia="仿宋_GB2312" w:cs="仿宋_GB2312"/>
        </w:rPr>
      </w:pPr>
    </w:p>
    <w:p>
      <w:pPr>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矩形 273" o:spid="_x0000_s1082" o:spt="1" style="position:absolute;left:0pt;margin-left:33.9pt;margin-top:13.35pt;height:20.3pt;width:80.25pt;z-index:25169817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评标</w:t>
                  </w:r>
                </w:p>
              </w:txbxContent>
            </v:textbox>
          </v:rect>
        </w:pict>
      </w:r>
    </w:p>
    <w:p>
      <w:pPr>
        <w:rPr>
          <w:rFonts w:ascii="仿宋_GB2312" w:hAnsi="仿宋_GB2312" w:eastAsia="仿宋_GB2312" w:cs="仿宋_GB2312"/>
        </w:rPr>
      </w:pPr>
      <w:r>
        <w:rPr>
          <w:rFonts w:ascii="Times New Roman" w:hAnsi="Times New Roman" w:eastAsia="宋体" w:cs="Times New Roman"/>
          <w:kern w:val="2"/>
          <w:sz w:val="24"/>
          <w:szCs w:val="21"/>
          <w:lang w:val="en-US" w:eastAsia="zh-CN" w:bidi="ar-SA"/>
        </w:rPr>
        <w:pict>
          <v:line id="_x0000_s1083" o:spid="_x0000_s1083" o:spt="20" style="position:absolute;left:0pt;flip:y;margin-left:113.6pt;margin-top:12.15pt;height:0.5pt;width:13.5pt;z-index:2517370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_x0000_s1084" o:spid="_x0000_s1084" o:spt="20" style="position:absolute;left:0pt;flip:y;margin-left:10.75pt;margin-top:6.4pt;height:0.25pt;width:22.15pt;z-index:25172787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ascii="仿宋_GB2312" w:hAnsi="仿宋_GB2312" w:eastAsia="仿宋_GB2312" w:cs="仿宋_GB2312"/>
        </w:rPr>
      </w:pPr>
      <w:r>
        <w:rPr>
          <w:rFonts w:ascii="仿宋_GB2312" w:hAnsi="仿宋_GB2312" w:eastAsia="仿宋_GB2312" w:cs="仿宋_GB2312"/>
          <w:kern w:val="2"/>
          <w:sz w:val="21"/>
          <w:szCs w:val="21"/>
          <w:lang w:val="en-US" w:eastAsia="zh-CN" w:bidi="ar-SA"/>
        </w:rPr>
        <w:pict>
          <v:line id="直线 77" o:spid="_x0000_s1085" o:spt="20" style="position:absolute;left:0pt;margin-left:68.1pt;margin-top:3.1pt;height:144.85pt;width:0.5pt;z-index:25169920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Rectangle 408" o:spid="_x0000_s1086" o:spt="1" style="position:absolute;left:0pt;margin-left:138.85pt;margin-top:0.9pt;height:114.15pt;width:341.6pt;z-index:2517012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lang w:val="en-US" w:eastAsia="zh-CN"/>
                    </w:rPr>
                  </w:pPr>
                  <w:r>
                    <w:rPr>
                      <w:rFonts w:hint="eastAsia" w:ascii="仿宋_GB2312" w:hAnsi="仿宋_GB2312" w:eastAsia="仿宋_GB2312" w:cs="仿宋_GB2312"/>
                      <w:color w:val="333333"/>
                      <w:sz w:val="18"/>
                      <w:szCs w:val="18"/>
                      <w:shd w:val="clear" w:color="auto" w:fill="FFFFFF"/>
                      <w:lang w:val="en-US" w:eastAsia="zh-CN"/>
                    </w:rPr>
                    <w:t xml:space="preserve">   </w:t>
                  </w:r>
                  <w:r>
                    <w:rPr>
                      <w:rFonts w:hint="eastAsia" w:ascii="仿宋_GB2312" w:eastAsia="仿宋_GB2312" w:cs="仿宋_GB2312"/>
                      <w:sz w:val="18"/>
                      <w:szCs w:val="18"/>
                      <w:lang w:val="en-US" w:eastAsia="zh-CN"/>
                    </w:rPr>
                    <w:t xml:space="preserve"> 1.评标完成后，评标委员会应当向招标人提交书面评标报告和中标候选人名单。中标候选人应当不超过3个，并标明排序。</w:t>
                  </w:r>
                </w:p>
                <w:p>
                  <w:pPr>
                    <w:spacing w:line="240" w:lineRule="exac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 xml:space="preserve">    2.依法必须进行招标的项目，招标人应当自收到评标报告之日起3日内公示中标候选人，公示期不得少于3日。由招标代理机构在全国公共资源交易平台（海南省）·琼中县（http://zw.hainan.gov.cn/ggzy/qzggzy/）发布中标公告。</w:t>
                  </w:r>
                </w:p>
                <w:p>
                  <w:pPr>
                    <w:spacing w:line="240" w:lineRule="exac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 xml:space="preserve">    3. 投标人或者其他利害关系人对依法必须进行招标的项目的评标结果有异议的，应当在中标候选人公示期间提出。招标人应当自收到异议之日起3日内作出答复；作出答复前，应当暂停招标投标活动。</w:t>
                  </w:r>
                </w:p>
                <w:p>
                  <w:pPr>
                    <w:widowControl/>
                    <w:shd w:val="clear" w:color="auto" w:fill="FFFFFF"/>
                    <w:spacing w:line="280" w:lineRule="exact"/>
                    <w:ind w:firstLine="360" w:firstLineChars="200"/>
                    <w:jc w:val="left"/>
                    <w:rPr>
                      <w:rFonts w:ascii="仿宋_GB2312" w:hAnsi="微软雅黑" w:eastAsia="仿宋_GB2312"/>
                      <w:sz w:val="18"/>
                      <w:szCs w:val="18"/>
                    </w:rPr>
                  </w:pPr>
                </w:p>
                <w:p>
                  <w:pPr>
                    <w:rPr>
                      <w:rFonts w:ascii="黑体" w:eastAsia="黑体"/>
                      <w:color w:val="0000FF"/>
                    </w:rPr>
                  </w:pPr>
                </w:p>
                <w:p>
                  <w:pPr>
                    <w:widowControl/>
                    <w:shd w:val="clear" w:color="auto" w:fill="FFFFFF"/>
                    <w:spacing w:line="440" w:lineRule="atLeast"/>
                    <w:rPr>
                      <w:rFonts w:ascii="宋体" w:hAnsi="宋体" w:cs="宋体"/>
                      <w:color w:val="000000"/>
                      <w:kern w:val="0"/>
                      <w:sz w:val="18"/>
                      <w:szCs w:val="18"/>
                      <w:shd w:val="clear" w:color="auto" w:fill="FFFFFF"/>
                    </w:rPr>
                  </w:pPr>
                </w:p>
                <w:p>
                  <w:pPr>
                    <w:rPr>
                      <w:szCs w:val="24"/>
                    </w:rPr>
                  </w:pPr>
                </w:p>
              </w:txbxContent>
            </v:textbox>
          </v:rect>
        </w:pic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tabs>
          <w:tab w:val="left" w:pos="1575"/>
        </w:tabs>
        <w:rPr>
          <w:rFonts w:ascii="仿宋_GB2312" w:hAnsi="仿宋_GB2312" w:eastAsia="仿宋_GB2312" w:cs="仿宋_GB2312"/>
        </w:rPr>
      </w:pPr>
      <w:r>
        <w:rPr>
          <w:rFonts w:ascii="仿宋_GB2312" w:hAnsi="仿宋_GB2312" w:eastAsia="仿宋_GB2312" w:cs="仿宋_GB2312"/>
          <w:i/>
          <w:kern w:val="2"/>
          <w:sz w:val="21"/>
          <w:szCs w:val="21"/>
          <w:lang w:val="en-US" w:eastAsia="zh-CN" w:bidi="ar-SA"/>
        </w:rPr>
        <w:pict>
          <v:rect id="矩形 74" o:spid="_x0000_s1087" o:spt="1" style="position:absolute;left:0pt;margin-left:25.45pt;margin-top:8.35pt;height:32.1pt;width:90.6pt;z-index:25170022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ascii="仿宋_GB2312" w:eastAsia="仿宋_GB2312" w:cs="仿宋_GB2312"/>
                      <w:sz w:val="18"/>
                      <w:szCs w:val="18"/>
                    </w:rPr>
                  </w:pPr>
                  <w:r>
                    <w:rPr>
                      <w:rFonts w:hint="eastAsia" w:ascii="仿宋_GB2312" w:eastAsia="仿宋_GB2312" w:cs="仿宋_GB2312"/>
                      <w:sz w:val="18"/>
                      <w:szCs w:val="18"/>
                    </w:rPr>
                    <w:t>评标结果公示</w:t>
                  </w: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（不少于3日）</w:t>
                  </w:r>
                </w:p>
                <w:p>
                  <w:pPr>
                    <w:rPr>
                      <w:rFonts w:ascii="仿宋_GB2312" w:hAnsi="仿宋_GB2312" w:eastAsia="仿宋_GB2312" w:cs="仿宋_GB2312"/>
                      <w:color w:val="000000"/>
                      <w:kern w:val="0"/>
                      <w:sz w:val="18"/>
                      <w:szCs w:val="18"/>
                      <w:shd w:val="clear" w:color="auto" w:fill="FFFFFF"/>
                    </w:rPr>
                  </w:pPr>
                </w:p>
              </w:txbxContent>
            </v:textbox>
          </v:rect>
        </w:pict>
      </w:r>
    </w:p>
    <w:p>
      <w:pPr>
        <w:tabs>
          <w:tab w:val="left" w:pos="1575"/>
        </w:tabs>
        <w:rPr>
          <w:rFonts w:ascii="仿宋_GB2312" w:hAnsi="仿宋_GB2312" w:eastAsia="仿宋_GB2312" w:cs="仿宋_GB2312"/>
        </w:rPr>
      </w:pPr>
      <w:r>
        <w:rPr>
          <w:rFonts w:ascii="Times New Roman" w:hAnsi="Times New Roman" w:eastAsia="宋体" w:cs="Times New Roman"/>
          <w:kern w:val="2"/>
          <w:sz w:val="24"/>
          <w:szCs w:val="21"/>
          <w:lang w:val="en-US" w:eastAsia="zh-CN" w:bidi="ar-SA"/>
        </w:rPr>
        <w:pict>
          <v:line id="_x0000_s1088" o:spid="_x0000_s1088" o:spt="20" style="position:absolute;left:0pt;margin-left:8.2pt;margin-top:6.9pt;height:0.15pt;width:18.1pt;z-index:2517381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Times New Roman" w:hAnsi="Times New Roman" w:eastAsia="宋体" w:cs="Times New Roman"/>
          <w:kern w:val="2"/>
          <w:sz w:val="24"/>
          <w:szCs w:val="21"/>
          <w:lang w:val="en-US" w:eastAsia="zh-CN" w:bidi="ar-SA"/>
        </w:rPr>
        <w:pict>
          <v:line id="_x0000_s1089" o:spid="_x0000_s1089" o:spt="20" style="position:absolute;left:0pt;flip:y;margin-left:118.15pt;margin-top:11.75pt;height:0.15pt;width:27.8pt;z-index:25172889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ascii="仿宋_GB2312" w:hAnsi="仿宋_GB2312" w:eastAsia="仿宋_GB2312" w:cs="仿宋_GB2312"/>
          <w:i/>
          <w:kern w:val="2"/>
          <w:sz w:val="21"/>
          <w:szCs w:val="21"/>
          <w:lang w:val="en-US" w:eastAsia="zh-CN" w:bidi="ar-SA"/>
        </w:rPr>
        <w:pict>
          <v:rect id="Rectangle 87" o:spid="_x0000_s1090" o:spt="1" style="position:absolute;left:0pt;margin-left:142.5pt;margin-top:-25.45pt;height:112pt;width:335.25pt;z-index:2517063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1.中标公示结束后确定中标人，由招标代理机构参照系统模板制作中标通知书，</w:t>
                  </w:r>
                  <w:r>
                    <w:rPr>
                      <w:rFonts w:hint="eastAsia" w:ascii="仿宋_GB2312" w:eastAsia="仿宋_GB2312" w:cs="仿宋_GB2312"/>
                      <w:sz w:val="18"/>
                      <w:szCs w:val="18"/>
                      <w:lang w:eastAsia="zh-CN"/>
                    </w:rPr>
                    <w:t>并</w:t>
                  </w:r>
                  <w:r>
                    <w:rPr>
                      <w:rFonts w:hint="eastAsia" w:ascii="仿宋_GB2312" w:eastAsia="仿宋_GB2312" w:cs="仿宋_GB2312"/>
                      <w:sz w:val="18"/>
                      <w:szCs w:val="18"/>
                    </w:rPr>
                    <w:t>递交县公共资源交易服务中心核验无误后盖章。</w:t>
                  </w:r>
                </w:p>
                <w:p>
                  <w:pPr>
                    <w:spacing w:line="240" w:lineRule="exact"/>
                    <w:ind w:firstLine="360" w:firstLineChars="200"/>
                    <w:rPr>
                      <w:rFonts w:hint="eastAsia" w:ascii="仿宋_GB2312" w:eastAsia="仿宋_GB2312" w:cs="仿宋_GB2312"/>
                      <w:sz w:val="18"/>
                      <w:szCs w:val="18"/>
                    </w:rPr>
                  </w:pPr>
                  <w:r>
                    <w:rPr>
                      <w:rFonts w:hint="eastAsia" w:ascii="仿宋_GB2312" w:eastAsia="仿宋_GB2312" w:cs="仿宋_GB2312"/>
                      <w:sz w:val="18"/>
                      <w:szCs w:val="18"/>
                    </w:rPr>
                    <w:t>2.中标人确定后，招标人应当向中标人发出中标通知书，并同时将中标结果通知所有未中标的投标人。</w:t>
                  </w:r>
                </w:p>
                <w:p>
                  <w:pPr>
                    <w:spacing w:line="240" w:lineRule="exact"/>
                    <w:ind w:firstLine="360" w:firstLineChars="200"/>
                    <w:rPr>
                      <w:rFonts w:hint="eastAsia" w:ascii="仿宋_GB2312" w:eastAsia="仿宋_GB2312" w:cs="仿宋_GB2312"/>
                      <w:sz w:val="18"/>
                      <w:szCs w:val="18"/>
                      <w:lang w:eastAsia="zh-CN"/>
                    </w:rPr>
                  </w:pPr>
                  <w:r>
                    <w:rPr>
                      <w:rFonts w:hint="eastAsia" w:ascii="仿宋_GB2312" w:eastAsia="仿宋_GB2312" w:cs="仿宋_GB2312"/>
                      <w:sz w:val="18"/>
                      <w:szCs w:val="18"/>
                      <w:lang w:eastAsia="zh-CN"/>
                    </w:rPr>
                    <w:t>中标通知书盖章所需材料：</w:t>
                  </w:r>
                  <w:r>
                    <w:rPr>
                      <w:rFonts w:hint="eastAsia" w:ascii="仿宋_GB2312" w:eastAsia="仿宋_GB2312" w:cs="仿宋_GB2312"/>
                      <w:sz w:val="18"/>
                      <w:szCs w:val="18"/>
                      <w:lang w:val="en-US" w:eastAsia="zh-CN"/>
                    </w:rPr>
                    <w:t>1.</w:t>
                  </w:r>
                  <w:r>
                    <w:rPr>
                      <w:rFonts w:hint="eastAsia" w:ascii="仿宋_GB2312" w:eastAsia="仿宋_GB2312" w:cs="仿宋_GB2312"/>
                      <w:sz w:val="18"/>
                      <w:szCs w:val="18"/>
                      <w:lang w:eastAsia="zh-CN"/>
                    </w:rPr>
                    <w:t>中标结果未被质疑函（招标人盖章）；</w:t>
                  </w:r>
                  <w:r>
                    <w:rPr>
                      <w:rFonts w:hint="eastAsia" w:ascii="仿宋_GB2312" w:eastAsia="仿宋_GB2312" w:cs="仿宋_GB2312"/>
                      <w:sz w:val="18"/>
                      <w:szCs w:val="18"/>
                      <w:lang w:val="en-US" w:eastAsia="zh-CN"/>
                    </w:rPr>
                    <w:t>2.</w:t>
                  </w:r>
                  <w:r>
                    <w:rPr>
                      <w:rFonts w:hint="eastAsia" w:ascii="仿宋_GB2312" w:eastAsia="仿宋_GB2312" w:cs="仿宋_GB2312"/>
                      <w:sz w:val="18"/>
                      <w:szCs w:val="18"/>
                      <w:lang w:eastAsia="zh-CN"/>
                    </w:rPr>
                    <w:t>在省公共资源交易服务中心网站发布中标公告的网页打印图（招标人、代理机构双方盖章，若两张纸以上〈含〉，双方加盖骑缝章）</w:t>
                  </w:r>
                  <w:r>
                    <w:rPr>
                      <w:rFonts w:hint="eastAsia" w:ascii="仿宋_GB2312" w:eastAsia="仿宋_GB2312" w:cs="仿宋_GB2312"/>
                      <w:sz w:val="18"/>
                      <w:szCs w:val="18"/>
                      <w:lang w:val="en-US" w:eastAsia="zh-CN"/>
                    </w:rPr>
                    <w:t>;3.</w:t>
                  </w:r>
                  <w:r>
                    <w:rPr>
                      <w:rFonts w:hint="eastAsia" w:ascii="仿宋_GB2312" w:eastAsia="仿宋_GB2312" w:cs="仿宋_GB2312"/>
                      <w:sz w:val="18"/>
                      <w:szCs w:val="18"/>
                      <w:lang w:eastAsia="zh-CN"/>
                    </w:rPr>
                    <w:t>法定代表人授权委托书（代理机构）；</w:t>
                  </w:r>
                  <w:r>
                    <w:rPr>
                      <w:rFonts w:hint="eastAsia" w:ascii="仿宋_GB2312" w:eastAsia="仿宋_GB2312" w:cs="仿宋_GB2312"/>
                      <w:sz w:val="18"/>
                      <w:szCs w:val="18"/>
                      <w:lang w:val="en-US" w:eastAsia="zh-CN"/>
                    </w:rPr>
                    <w:t>4.</w:t>
                  </w:r>
                  <w:r>
                    <w:rPr>
                      <w:rFonts w:hint="eastAsia" w:ascii="仿宋_GB2312" w:eastAsia="仿宋_GB2312" w:cs="仿宋_GB2312"/>
                      <w:sz w:val="18"/>
                      <w:szCs w:val="18"/>
                      <w:lang w:eastAsia="zh-CN"/>
                    </w:rPr>
                    <w:t>中标人项目经理证和经理身份证。</w:t>
                  </w:r>
                </w:p>
                <w:p>
                  <w:pPr>
                    <w:jc w:val="left"/>
                    <w:rPr>
                      <w:rFonts w:ascii="仿宋_GB2312" w:hAnsi="仿宋_GB2312" w:eastAsia="仿宋_GB2312" w:cs="仿宋_GB2312"/>
                      <w:sz w:val="18"/>
                      <w:szCs w:val="18"/>
                    </w:rPr>
                  </w:pPr>
                </w:p>
                <w:p>
                  <w:pPr>
                    <w:rPr>
                      <w:sz w:val="24"/>
                      <w:szCs w:val="24"/>
                    </w:rPr>
                  </w:pPr>
                </w:p>
                <w:p>
                  <w:pPr>
                    <w:jc w:val="center"/>
                    <w:rPr>
                      <w:sz w:val="24"/>
                      <w:szCs w:val="24"/>
                    </w:rPr>
                  </w:pPr>
                </w:p>
              </w:txbxContent>
            </v:textbox>
          </v:rect>
        </w:pict>
      </w:r>
      <w:r>
        <w:rPr>
          <w:rFonts w:ascii="Times New Roman" w:hAnsi="Times New Roman" w:eastAsia="宋体" w:cs="Times New Roman"/>
          <w:kern w:val="2"/>
          <w:sz w:val="24"/>
          <w:szCs w:val="21"/>
          <w:lang w:val="en-US" w:eastAsia="zh-CN" w:bidi="ar-SA"/>
        </w:rPr>
        <w:pict>
          <v:line id="_x0000_s1091" o:spid="_x0000_s1091" o:spt="20" style="position:absolute;left:0pt;margin-left:115.65pt;margin-top:30.4pt;height:0.05pt;width:25.8pt;z-index:25173299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矩形 263" o:spid="_x0000_s1092" o:spt="1" style="position:absolute;left:0pt;margin-left:19.4pt;margin-top:10.65pt;height:36pt;width:95.45pt;z-index:25170329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确定中标人、发中标通知书</w:t>
                  </w:r>
                </w:p>
              </w:txbxContent>
            </v:textbox>
          </v:rect>
        </w:pict>
      </w:r>
      <w:r>
        <w:rPr>
          <w:rFonts w:ascii="仿宋_GB2312" w:hAnsi="仿宋_GB2312" w:eastAsia="仿宋_GB2312" w:cs="仿宋_GB2312"/>
          <w:kern w:val="2"/>
          <w:sz w:val="21"/>
          <w:szCs w:val="21"/>
          <w:lang w:val="en-US" w:eastAsia="zh-CN" w:bidi="ar-SA"/>
        </w:rPr>
        <w:pict>
          <v:line id="_x0000_s1093" o:spid="_x0000_s1093" o:spt="20" style="position:absolute;left:0pt;margin-left:63.55pt;margin-top:-53.1pt;height:60.3pt;width:0.05pt;z-index:25170227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ascii="仿宋_GB2312" w:hAnsi="仿宋_GB2312" w:eastAsia="仿宋_GB2312" w:cs="仿宋_GB2312"/>
          <w:sz w:val="30"/>
          <w:szCs w:val="30"/>
        </w:rPr>
      </w:pPr>
      <w:r>
        <w:rPr>
          <w:rFonts w:ascii="仿宋_GB2312" w:hAnsi="仿宋_GB2312" w:eastAsia="仿宋_GB2312" w:cs="仿宋_GB2312"/>
          <w:kern w:val="2"/>
          <w:sz w:val="21"/>
          <w:szCs w:val="21"/>
          <w:lang w:val="en-US" w:eastAsia="zh-CN" w:bidi="ar-SA"/>
        </w:rPr>
        <w:pict>
          <v:line id="Line 88" o:spid="_x0000_s1094" o:spt="20" style="position:absolute;left:0pt;flip:x;margin-left:68.4pt;margin-top:18.5pt;height:52.55pt;width:0.1pt;z-index:25170432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ind w:firstLine="600" w:firstLineChars="200"/>
        <w:rPr>
          <w:rFonts w:ascii="仿宋_GB2312" w:hAnsi="仿宋_GB2312" w:eastAsia="仿宋_GB2312" w:cs="仿宋_GB2312"/>
          <w:sz w:val="30"/>
          <w:szCs w:val="30"/>
        </w:rPr>
      </w:pPr>
    </w:p>
    <w:p>
      <w:pPr>
        <w:ind w:firstLine="420" w:firstLineChars="200"/>
        <w:rPr>
          <w:rFonts w:ascii="仿宋_GB2312" w:hAnsi="仿宋_GB2312" w:eastAsia="仿宋_GB2312" w:cs="仿宋_GB2312"/>
          <w:sz w:val="30"/>
          <w:szCs w:val="30"/>
        </w:rPr>
      </w:pPr>
      <w:r>
        <w:rPr>
          <w:rFonts w:ascii="仿宋_GB2312" w:hAnsi="仿宋_GB2312" w:eastAsia="仿宋_GB2312" w:cs="仿宋_GB2312"/>
          <w:i/>
          <w:kern w:val="2"/>
          <w:sz w:val="21"/>
          <w:szCs w:val="21"/>
          <w:lang w:val="en-US" w:eastAsia="zh-CN" w:bidi="ar-SA"/>
        </w:rPr>
        <w:pict>
          <v:rect id="Rectangle 91" o:spid="_x0000_s1095" o:spt="1" style="position:absolute;left:0pt;margin-left:143.6pt;margin-top:14.65pt;height:38.85pt;width:286.45pt;z-index:2517073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招标人或者招标代理机构应当在评标结果公示后3日内退还非中标候选人保证金，中标候选人凭中标合同申请5日内退还保证金。</w:t>
                  </w:r>
                </w:p>
                <w:p>
                  <w:pPr>
                    <w:jc w:val="left"/>
                    <w:rPr>
                      <w:rFonts w:ascii="仿宋_GB2312" w:hAnsi="仿宋_GB2312" w:eastAsia="仿宋_GB2312" w:cs="仿宋_GB2312"/>
                      <w:sz w:val="18"/>
                      <w:szCs w:val="18"/>
                    </w:rPr>
                  </w:pPr>
                </w:p>
                <w:p>
                  <w:pPr>
                    <w:rPr>
                      <w:sz w:val="18"/>
                      <w:szCs w:val="18"/>
                    </w:rPr>
                  </w:pPr>
                </w:p>
                <w:p>
                  <w:pPr>
                    <w:jc w:val="center"/>
                    <w:rPr>
                      <w:sz w:val="18"/>
                      <w:szCs w:val="18"/>
                    </w:rPr>
                  </w:pPr>
                </w:p>
              </w:txbxContent>
            </v:textbox>
          </v:rect>
        </w:pict>
      </w:r>
      <w:r>
        <w:rPr>
          <w:rFonts w:ascii="仿宋_GB2312" w:hAnsi="仿宋_GB2312" w:eastAsia="仿宋_GB2312" w:cs="仿宋_GB2312"/>
          <w:i/>
          <w:kern w:val="2"/>
          <w:sz w:val="21"/>
          <w:szCs w:val="21"/>
          <w:lang w:val="en-US" w:eastAsia="zh-CN" w:bidi="ar-SA"/>
        </w:rPr>
        <w:pict>
          <v:rect id="矩形 257" o:spid="_x0000_s1096" o:spt="1" style="position:absolute;left:0pt;flip:y;margin-left:16.05pt;margin-top:13.45pt;height:31.95pt;width:103.5pt;z-index:25170534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退还投标保证金</w:t>
                  </w:r>
                </w:p>
              </w:txbxContent>
            </v:textbox>
          </v:rect>
        </w:pict>
      </w:r>
    </w:p>
    <w:p>
      <w:pPr>
        <w:rPr>
          <w:rFonts w:ascii="仿宋_GB2312" w:hAnsi="仿宋_GB2312" w:eastAsia="仿宋_GB2312" w:cs="仿宋_GB2312"/>
          <w:sz w:val="30"/>
          <w:szCs w:val="30"/>
        </w:rPr>
      </w:pPr>
      <w:r>
        <w:rPr>
          <w:rFonts w:ascii="仿宋_GB2312" w:hAnsi="仿宋_GB2312" w:eastAsia="仿宋_GB2312" w:cs="仿宋_GB2312"/>
          <w:kern w:val="2"/>
          <w:sz w:val="21"/>
          <w:szCs w:val="21"/>
          <w:lang w:val="en-US" w:eastAsia="zh-CN" w:bidi="ar-SA"/>
        </w:rPr>
        <w:pict>
          <v:line id="Line 92" o:spid="_x0000_s1097" o:spt="20" style="position:absolute;left:0pt;flip:x;margin-left:66.6pt;margin-top:17.05pt;height:94.45pt;width:1.3pt;z-index:251709440;mso-width-relative:page;mso-height-relative:page;" filled="f" stroked="t" coordsize="21600,21600">
            <v:path arrowok="t"/>
            <v:fill on="f" focussize="0,0"/>
            <v:stroke color="#000000" endarrow="block"/>
            <v:imagedata o:title=""/>
            <o:lock v:ext="edit" aspectratio="f"/>
          </v:line>
        </w:pict>
      </w:r>
      <w:r>
        <w:rPr>
          <w:rFonts w:ascii="Times New Roman" w:hAnsi="Times New Roman" w:eastAsia="宋体" w:cs="Times New Roman"/>
          <w:kern w:val="2"/>
          <w:sz w:val="24"/>
          <w:szCs w:val="21"/>
          <w:lang w:val="en-US" w:eastAsia="zh-CN" w:bidi="ar-SA"/>
        </w:rPr>
        <w:pict>
          <v:line id="_x0000_s1098" o:spid="_x0000_s1098" o:spt="20" style="position:absolute;left:0pt;flip:y;margin-left:117.7pt;margin-top:4.5pt;height:0.05pt;width:26.2pt;z-index:25173196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ind w:firstLine="480" w:firstLineChars="200"/>
        <w:rPr>
          <w:rFonts w:ascii="仿宋_GB2312" w:hAnsi="仿宋_GB2312" w:eastAsia="仿宋_GB2312" w:cs="仿宋_GB2312"/>
        </w:rPr>
      </w:pPr>
      <w:r>
        <w:rPr>
          <w:rFonts w:ascii="Times New Roman" w:hAnsi="Times New Roman" w:eastAsia="宋体" w:cs="Times New Roman"/>
          <w:kern w:val="2"/>
          <w:sz w:val="24"/>
          <w:szCs w:val="21"/>
          <w:lang w:val="en-US" w:eastAsia="zh-CN" w:bidi="ar-SA"/>
        </w:rPr>
        <w:pict>
          <v:line id="_x0000_s1104" o:spid="_x0000_s1104" o:spt="20" style="position:absolute;left:0pt;margin-left:103.85pt;margin-top:196.05pt;height:1pt;width:41.45pt;z-index:251730944;mso-width-relative:page;mso-height-relative:page;" filled="f" stroked="t" coordsize="21600,21600">
            <v:path arrowok="t"/>
            <v:fill on="f" focussize="0,0"/>
            <v:stroke color="#000000"/>
            <v:imagedata o:title=""/>
            <o:lock v:ext="edit" aspectratio="f"/>
          </v:line>
        </w:pict>
      </w:r>
      <w:r>
        <w:rPr>
          <w:rFonts w:ascii="仿宋_GB2312" w:hAnsi="仿宋_GB2312" w:eastAsia="仿宋_GB2312" w:cs="仿宋_GB2312"/>
          <w:i/>
          <w:kern w:val="2"/>
          <w:sz w:val="21"/>
          <w:szCs w:val="21"/>
          <w:lang w:val="en-US" w:eastAsia="zh-CN" w:bidi="ar-SA"/>
        </w:rPr>
        <w:pict>
          <v:rect id="Rectangle 98" o:spid="_x0000_s1099" o:spt="1" style="position:absolute;left:0pt;margin-left:147.6pt;margin-top:175.2pt;height:43.1pt;width:282.45pt;z-index:2517125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县公共资源交易服务中心负责收集整理招标项目相关资料及监控视频资料等，并统一归档。</w:t>
                  </w:r>
                </w:p>
                <w:p>
                  <w:pPr>
                    <w:rPr>
                      <w:rFonts w:cs="宋体"/>
                    </w:rPr>
                  </w:pPr>
                </w:p>
              </w:txbxContent>
            </v:textbox>
          </v:rect>
        </w:pict>
      </w:r>
      <w:r>
        <w:rPr>
          <w:rFonts w:ascii="仿宋_GB2312" w:hAnsi="仿宋_GB2312" w:eastAsia="仿宋_GB2312" w:cs="仿宋_GB2312"/>
          <w:i/>
          <w:kern w:val="2"/>
          <w:sz w:val="21"/>
          <w:szCs w:val="21"/>
          <w:lang w:val="en-US" w:eastAsia="zh-CN" w:bidi="ar-SA"/>
        </w:rPr>
        <w:pict>
          <v:rect id="Rectangle 97" o:spid="_x0000_s1100" o:spt="1" style="position:absolute;left:0pt;margin-left:18.6pt;margin-top:185.35pt;height:24.65pt;width:84.05pt;z-index:2517135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资料归档</w:t>
                  </w:r>
                </w:p>
              </w:txbxContent>
            </v:textbox>
          </v:rect>
        </w:pict>
      </w:r>
      <w:r>
        <w:rPr>
          <w:rFonts w:ascii="仿宋_GB2312" w:hAnsi="仿宋_GB2312" w:eastAsia="仿宋_GB2312" w:cs="仿宋_GB2312"/>
          <w:i/>
          <w:kern w:val="2"/>
          <w:sz w:val="21"/>
          <w:szCs w:val="21"/>
          <w:lang w:val="en-US" w:eastAsia="zh-CN" w:bidi="ar-SA"/>
        </w:rPr>
        <w:pict>
          <v:rect id="矩形 254" o:spid="_x0000_s1103" o:spt="1" style="position:absolute;left:0pt;margin-left:146.25pt;margin-top:72.2pt;height:56.15pt;width:294.25pt;z-index:2517084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rPr>
                      <w:rFonts w:hint="eastAsia" w:ascii="仿宋_GB2312" w:eastAsia="仿宋_GB2312" w:cs="仿宋_GB2312"/>
                      <w:sz w:val="18"/>
                      <w:szCs w:val="18"/>
                    </w:rPr>
                  </w:pPr>
                  <w:r>
                    <w:rPr>
                      <w:rFonts w:hint="eastAsia" w:ascii="仿宋_GB2312" w:eastAsia="仿宋_GB2312" w:cs="仿宋_GB2312"/>
                      <w:sz w:val="18"/>
                      <w:szCs w:val="18"/>
                      <w:lang w:val="en-US" w:eastAsia="zh-CN"/>
                    </w:rPr>
                    <w:t xml:space="preserve">   </w:t>
                  </w:r>
                  <w:r>
                    <w:rPr>
                      <w:rFonts w:hint="eastAsia" w:ascii="仿宋_GB2312" w:eastAsia="仿宋_GB2312" w:cs="仿宋_GB2312"/>
                      <w:sz w:val="18"/>
                      <w:szCs w:val="18"/>
                    </w:rPr>
                    <w:t>招标人和中标人应当自中标通知书发出之日起三十日内，按照招标文件和中标人的投标文件订立书面合同。招标人和中标人不得再行订立背离合同实质性内容的其他协议。招标文件要求中标人提交履约保证金的，中标人应当提交。</w:t>
                  </w:r>
                </w:p>
                <w:p>
                  <w:pPr>
                    <w:rPr>
                      <w:rFonts w:cs="宋体"/>
                      <w:sz w:val="18"/>
                      <w:szCs w:val="18"/>
                    </w:rPr>
                  </w:pPr>
                </w:p>
              </w:txbxContent>
            </v:textbox>
          </v:rect>
        </w:pict>
      </w:r>
      <w:r>
        <w:rPr>
          <w:rFonts w:ascii="Times New Roman" w:hAnsi="Times New Roman" w:eastAsia="宋体" w:cs="Times New Roman"/>
          <w:kern w:val="2"/>
          <w:sz w:val="24"/>
          <w:szCs w:val="21"/>
          <w:lang w:val="en-US" w:eastAsia="zh-CN" w:bidi="ar-SA"/>
        </w:rPr>
        <w:pict>
          <v:line id="_x0000_s1105" o:spid="_x0000_s1105" o:spt="20" style="position:absolute;left:0pt;flip:y;margin-left:98pt;margin-top:97.45pt;height:0.1pt;width:48.35pt;z-index:25172992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仿宋_GB2312" w:hAnsi="仿宋_GB2312" w:eastAsia="仿宋_GB2312" w:cs="仿宋_GB2312"/>
          <w:i/>
          <w:kern w:val="2"/>
          <w:sz w:val="21"/>
          <w:szCs w:val="21"/>
          <w:lang w:val="en-US" w:eastAsia="zh-CN" w:bidi="ar-SA"/>
        </w:rPr>
        <w:pict>
          <v:rect id="Rectangle 94" o:spid="_x0000_s1102" o:spt="1" style="position:absolute;left:0pt;flip:y;margin-left:18.95pt;margin-top:82.55pt;height:29.2pt;width:78.85pt;z-index:2517104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ascii="仿宋_GB2312" w:eastAsia="仿宋_GB2312" w:cs="仿宋_GB2312"/>
                      <w:sz w:val="18"/>
                      <w:szCs w:val="18"/>
                    </w:rPr>
                  </w:pPr>
                  <w:r>
                    <w:rPr>
                      <w:rFonts w:hint="eastAsia" w:ascii="仿宋_GB2312" w:eastAsia="仿宋_GB2312" w:cs="仿宋_GB2312"/>
                      <w:sz w:val="18"/>
                      <w:szCs w:val="18"/>
                    </w:rPr>
                    <w:t>签订合同</w:t>
                  </w:r>
                </w:p>
                <w:p>
                  <w:pPr>
                    <w:rPr>
                      <w:rFonts w:ascii="仿宋_GB2312" w:hAnsi="仿宋_GB2312" w:eastAsia="仿宋_GB2312" w:cs="仿宋_GB2312"/>
                      <w:color w:val="333333"/>
                      <w:kern w:val="0"/>
                      <w:sz w:val="18"/>
                      <w:szCs w:val="18"/>
                      <w:shd w:val="clear" w:color="auto" w:fill="FFFFFF"/>
                    </w:rPr>
                  </w:pPr>
                </w:p>
              </w:txbxContent>
            </v:textbox>
          </v:rect>
        </w:pict>
      </w:r>
      <w:r>
        <w:rPr>
          <w:rFonts w:ascii="仿宋_GB2312" w:hAnsi="仿宋_GB2312" w:eastAsia="仿宋_GB2312" w:cs="仿宋_GB2312"/>
          <w:kern w:val="2"/>
          <w:sz w:val="21"/>
          <w:szCs w:val="21"/>
          <w:lang w:val="en-US" w:eastAsia="zh-CN" w:bidi="ar-SA"/>
        </w:rPr>
        <w:pict>
          <v:line id="Line 99" o:spid="_x0000_s1101" o:spt="20" style="position:absolute;left:0pt;flip:x;margin-left:65.4pt;margin-top:117.9pt;height:64.25pt;width:0.1pt;z-index:25171148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enlo">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B1FDD"/>
    <w:rsid w:val="0F2C40DF"/>
    <w:rsid w:val="104E3D90"/>
    <w:rsid w:val="135242D7"/>
    <w:rsid w:val="1F213B6E"/>
    <w:rsid w:val="417278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cs="宋体"/>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0"/>
    </w:rPr>
  </w:style>
  <w:style w:type="character" w:styleId="9">
    <w:name w:val="Strong"/>
    <w:basedOn w:val="8"/>
    <w:qFormat/>
    <w:uiPriority w:val="22"/>
    <w:rPr>
      <w:b/>
    </w:rPr>
  </w:style>
  <w:style w:type="character" w:styleId="10">
    <w:name w:val="FollowedHyperlink"/>
    <w:basedOn w:val="8"/>
    <w:semiHidden/>
    <w:unhideWhenUsed/>
    <w:qFormat/>
    <w:uiPriority w:val="0"/>
    <w:rPr>
      <w:color w:val="800080"/>
      <w:u w:val="single"/>
    </w:rPr>
  </w:style>
  <w:style w:type="character" w:styleId="11">
    <w:name w:val="HTML Definition"/>
    <w:basedOn w:val="8"/>
    <w:semiHidden/>
    <w:unhideWhenUsed/>
    <w:uiPriority w:val="99"/>
    <w:rPr>
      <w:i/>
    </w:rPr>
  </w:style>
  <w:style w:type="character" w:styleId="12">
    <w:name w:val="Hyperlink"/>
    <w:basedOn w:val="8"/>
    <w:uiPriority w:val="0"/>
    <w:rPr>
      <w:rFonts w:cs="Times New Roman"/>
      <w:color w:val="0000FF"/>
      <w:u w:val="single"/>
    </w:rPr>
  </w:style>
  <w:style w:type="character" w:styleId="13">
    <w:name w:val="HTML Code"/>
    <w:basedOn w:val="8"/>
    <w:semiHidden/>
    <w:unhideWhenUsed/>
    <w:uiPriority w:val="99"/>
    <w:rPr>
      <w:rFonts w:hint="default" w:ascii="Menlo" w:hAnsi="Menlo" w:eastAsia="Menlo" w:cs="Menlo"/>
      <w:color w:val="C7254E"/>
      <w:sz w:val="21"/>
      <w:szCs w:val="21"/>
      <w:shd w:val="clear" w:color="auto" w:fill="F9F2F4"/>
    </w:rPr>
  </w:style>
  <w:style w:type="character" w:styleId="14">
    <w:name w:val="HTML Cite"/>
    <w:basedOn w:val="8"/>
    <w:semiHidden/>
    <w:unhideWhenUsed/>
    <w:uiPriority w:val="99"/>
  </w:style>
  <w:style w:type="character" w:styleId="15">
    <w:name w:val="HTML Keyboard"/>
    <w:basedOn w:val="8"/>
    <w:semiHidden/>
    <w:unhideWhenUsed/>
    <w:uiPriority w:val="99"/>
    <w:rPr>
      <w:rFonts w:ascii="Menlo" w:hAnsi="Menlo" w:eastAsia="Menlo" w:cs="Menlo"/>
      <w:color w:val="FFFFFF"/>
      <w:sz w:val="21"/>
      <w:szCs w:val="21"/>
      <w:shd w:val="clear" w:color="auto" w:fill="333333"/>
    </w:rPr>
  </w:style>
  <w:style w:type="character" w:styleId="16">
    <w:name w:val="HTML Sample"/>
    <w:basedOn w:val="8"/>
    <w:semiHidden/>
    <w:unhideWhenUsed/>
    <w:uiPriority w:val="99"/>
    <w:rPr>
      <w:rFonts w:hint="default" w:ascii="Menlo" w:hAnsi="Menlo" w:eastAsia="Menlo" w:cs="Menlo"/>
      <w:sz w:val="21"/>
      <w:szCs w:val="21"/>
    </w:rPr>
  </w:style>
  <w:style w:type="paragraph" w:customStyle="1" w:styleId="17">
    <w:name w:val="样式 正文缩进 + 首行缩进:  2 字符"/>
    <w:basedOn w:val="3"/>
    <w:qFormat/>
    <w:uiPriority w:val="99"/>
    <w:pPr>
      <w:spacing w:line="360" w:lineRule="auto"/>
      <w:ind w:left="420" w:firstLine="200"/>
    </w:pPr>
    <w:rPr>
      <w:sz w:val="24"/>
      <w:szCs w:val="24"/>
    </w:rPr>
  </w:style>
  <w:style w:type="character" w:customStyle="1" w:styleId="18">
    <w:name w:val="页眉 Char"/>
    <w:basedOn w:val="8"/>
    <w:link w:val="5"/>
    <w:semiHidden/>
    <w:qFormat/>
    <w:uiPriority w:val="99"/>
    <w:rPr>
      <w:rFonts w:ascii="Times New Roman" w:hAnsi="Times New Roman" w:eastAsia="宋体" w:cs="Times New Roman"/>
      <w:sz w:val="18"/>
      <w:szCs w:val="18"/>
    </w:rPr>
  </w:style>
  <w:style w:type="character" w:customStyle="1" w:styleId="19">
    <w:name w:val="页脚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71"/>
    <customShpInfo spid="_x0000_s1068"/>
    <customShpInfo spid="_x0000_s1069"/>
    <customShpInfo spid="_x0000_s1070"/>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104"/>
    <customShpInfo spid="_x0000_s1099"/>
    <customShpInfo spid="_x0000_s1100"/>
    <customShpInfo spid="_x0000_s1103"/>
    <customShpInfo spid="_x0000_s1105"/>
    <customShpInfo spid="_x0000_s1102"/>
    <customShpInfo spid="_x0000_s1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25</Words>
  <Characters>148</Characters>
  <Lines>1</Lines>
  <Paragraphs>1</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2019-04-21T13:52:00Z</dcterms:created>
  <dc:creator>Lenovo User</dc:creator>
  <cp:lastModifiedBy>双线</cp:lastModifiedBy>
  <cp:lastPrinted>2019-05-15T00:00:00Z</cp:lastPrinted>
  <dcterms:modified xsi:type="dcterms:W3CDTF">2020-03-12T00:27:05Z</dcterms:modified>
  <dc:title>建设工程公开招标流程图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