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textAlignment w:val="baseline"/>
        <w:rPr>
          <w:rStyle w:val="8"/>
          <w:rFonts w:hint="eastAsia" w:ascii="仿宋_GB2312" w:hAnsi="仿宋_GB2312" w:eastAsia="仿宋_GB2312" w:cs="仿宋_GB2312"/>
          <w:bCs/>
          <w:kern w:val="2"/>
          <w:sz w:val="24"/>
          <w:szCs w:val="24"/>
          <w:lang w:val="en-US" w:eastAsia="zh-CN"/>
        </w:rPr>
      </w:pPr>
      <w:r>
        <w:rPr>
          <w:rStyle w:val="8"/>
          <w:rFonts w:hint="eastAsia" w:ascii="仿宋_GB2312" w:hAnsi="仿宋_GB2312" w:eastAsia="仿宋_GB2312" w:cs="仿宋_GB2312"/>
          <w:bCs/>
          <w:kern w:val="2"/>
          <w:sz w:val="24"/>
          <w:szCs w:val="24"/>
          <w:lang w:val="en-US" w:eastAsia="zh-CN"/>
        </w:rPr>
        <w:t>附件1</w:t>
      </w:r>
    </w:p>
    <w:p>
      <w:pPr>
        <w:spacing w:line="240" w:lineRule="auto"/>
        <w:jc w:val="left"/>
        <w:textAlignment w:val="baseline"/>
        <w:rPr>
          <w:rStyle w:val="8"/>
          <w:rFonts w:ascii="宋体" w:hAnsi="宋体" w:eastAsia="宋体" w:cs="Times New Roman"/>
          <w:bCs/>
          <w:kern w:val="2"/>
          <w:sz w:val="24"/>
          <w:szCs w:val="24"/>
          <w:lang w:val="en-US" w:eastAsia="zh-CN"/>
        </w:rPr>
      </w:pPr>
    </w:p>
    <w:p>
      <w:pPr>
        <w:spacing w:line="240" w:lineRule="auto"/>
        <w:jc w:val="center"/>
        <w:textAlignment w:val="baseline"/>
        <w:rPr>
          <w:rStyle w:val="8"/>
          <w:rFonts w:ascii="宋体" w:hAnsi="宋体" w:eastAsia="宋体" w:cs="Times New Roman"/>
          <w:b/>
          <w:bCs/>
          <w:spacing w:val="-6"/>
          <w:kern w:val="2"/>
          <w:sz w:val="32"/>
          <w:szCs w:val="32"/>
          <w:lang w:val="en-US" w:eastAsia="zh-CN"/>
        </w:rPr>
      </w:pPr>
      <w:bookmarkStart w:id="0" w:name="_GoBack"/>
      <w:r>
        <w:rPr>
          <w:rStyle w:val="8"/>
          <w:rFonts w:hint="eastAsia" w:ascii="宋体" w:hAnsi="宋体" w:cs="Times New Roman"/>
          <w:b/>
          <w:bCs/>
          <w:spacing w:val="-6"/>
          <w:kern w:val="2"/>
          <w:sz w:val="32"/>
          <w:szCs w:val="32"/>
          <w:lang w:val="en-US" w:eastAsia="zh-CN"/>
        </w:rPr>
        <w:t>项目单位（监督单位、招标代理机构、投标单位）</w:t>
      </w:r>
      <w:r>
        <w:rPr>
          <w:rStyle w:val="8"/>
          <w:rFonts w:ascii="宋体" w:hAnsi="宋体" w:eastAsia="宋体" w:cs="Times New Roman"/>
          <w:b/>
          <w:bCs/>
          <w:spacing w:val="-6"/>
          <w:kern w:val="2"/>
          <w:sz w:val="32"/>
          <w:szCs w:val="32"/>
          <w:lang w:val="en-US" w:eastAsia="zh-CN"/>
        </w:rPr>
        <w:t>承诺书</w:t>
      </w:r>
    </w:p>
    <w:bookmarkEnd w:id="0"/>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本单位____________________</w:t>
      </w:r>
      <w:r>
        <w:rPr>
          <w:rStyle w:val="8"/>
          <w:rFonts w:ascii="宋体" w:hAnsi="宋体"/>
          <w:sz w:val="24"/>
        </w:rPr>
        <w:t>承诺严格落实党中央、国务院</w:t>
      </w:r>
      <w:r>
        <w:rPr>
          <w:rStyle w:val="8"/>
          <w:rFonts w:hint="eastAsia" w:ascii="宋体" w:hAnsi="宋体"/>
          <w:sz w:val="24"/>
        </w:rPr>
        <w:t>，</w:t>
      </w:r>
      <w:r>
        <w:rPr>
          <w:rStyle w:val="8"/>
          <w:rFonts w:ascii="宋体" w:hAnsi="宋体"/>
          <w:sz w:val="24"/>
        </w:rPr>
        <w:t>海南省委、省政府</w:t>
      </w:r>
      <w:r>
        <w:rPr>
          <w:rStyle w:val="8"/>
          <w:rFonts w:hint="eastAsia" w:ascii="宋体" w:hAnsi="宋体"/>
          <w:sz w:val="24"/>
        </w:rPr>
        <w:t>及</w:t>
      </w:r>
      <w:r>
        <w:rPr>
          <w:rStyle w:val="8"/>
          <w:rFonts w:hint="eastAsia" w:ascii="宋体" w:hAnsi="宋体"/>
          <w:sz w:val="24"/>
          <w:lang w:eastAsia="zh-CN"/>
        </w:rPr>
        <w:t>琼中县</w:t>
      </w:r>
      <w:r>
        <w:rPr>
          <w:rStyle w:val="8"/>
          <w:rFonts w:hint="eastAsia" w:ascii="宋体" w:hAnsi="宋体"/>
          <w:sz w:val="24"/>
        </w:rPr>
        <w:t>委、</w:t>
      </w:r>
      <w:r>
        <w:rPr>
          <w:rStyle w:val="8"/>
          <w:rFonts w:hint="eastAsia" w:ascii="宋体" w:hAnsi="宋体"/>
          <w:sz w:val="24"/>
          <w:lang w:eastAsia="zh-CN"/>
        </w:rPr>
        <w:t>县</w:t>
      </w:r>
      <w:r>
        <w:rPr>
          <w:rStyle w:val="8"/>
          <w:rFonts w:hint="eastAsia" w:ascii="宋体" w:hAnsi="宋体"/>
          <w:sz w:val="24"/>
        </w:rPr>
        <w:t>政府的</w:t>
      </w:r>
      <w:r>
        <w:rPr>
          <w:rStyle w:val="8"/>
          <w:rFonts w:ascii="宋体" w:hAnsi="宋体"/>
          <w:sz w:val="24"/>
        </w:rPr>
        <w:t>相关工作部署</w:t>
      </w:r>
      <w:r>
        <w:rPr>
          <w:rStyle w:val="8"/>
          <w:rFonts w:ascii="宋体" w:hAnsi="宋体" w:eastAsia="宋体"/>
          <w:kern w:val="2"/>
          <w:sz w:val="24"/>
          <w:lang w:val="en-US" w:eastAsia="zh-CN"/>
        </w:rPr>
        <w:t>，</w:t>
      </w:r>
      <w:r>
        <w:rPr>
          <w:rStyle w:val="8"/>
          <w:rFonts w:hint="eastAsia" w:ascii="宋体" w:hAnsi="宋体"/>
          <w:sz w:val="24"/>
          <w:lang w:eastAsia="zh-CN"/>
        </w:rPr>
        <w:t>遵守</w:t>
      </w:r>
      <w:r>
        <w:rPr>
          <w:rStyle w:val="8"/>
          <w:rFonts w:ascii="宋体" w:hAnsi="宋体"/>
          <w:sz w:val="24"/>
        </w:rPr>
        <w:t>《中华人民共和国传染病防治法》及《</w:t>
      </w:r>
      <w:r>
        <w:rPr>
          <w:rStyle w:val="8"/>
          <w:rFonts w:hint="eastAsia" w:ascii="宋体" w:hAnsi="宋体"/>
          <w:sz w:val="24"/>
          <w:lang w:eastAsia="zh-CN"/>
        </w:rPr>
        <w:t>琼中黎族苗族自治县新型冠状病毒感染的肺炎疫情卫生应急预案</w:t>
      </w:r>
      <w:r>
        <w:rPr>
          <w:rStyle w:val="8"/>
          <w:rFonts w:ascii="宋体" w:hAnsi="宋体"/>
          <w:sz w:val="24"/>
        </w:rPr>
        <w:t>》相关要求</w:t>
      </w:r>
      <w:r>
        <w:rPr>
          <w:rStyle w:val="8"/>
          <w:rFonts w:ascii="宋体" w:hAnsi="宋体" w:eastAsia="宋体"/>
          <w:kern w:val="2"/>
          <w:sz w:val="24"/>
          <w:lang w:val="en-US" w:eastAsia="zh-CN"/>
        </w:rPr>
        <w:t>。</w:t>
      </w:r>
    </w:p>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本单位于   年   月   日参加_________________ ___项目的</w:t>
      </w:r>
      <w:r>
        <w:rPr>
          <w:rStyle w:val="8"/>
          <w:rFonts w:hint="eastAsia" w:ascii="宋体" w:hAnsi="宋体"/>
          <w:kern w:val="2"/>
          <w:sz w:val="24"/>
          <w:lang w:val="en-US" w:eastAsia="zh-CN"/>
        </w:rPr>
        <w:t>开标</w:t>
      </w:r>
      <w:r>
        <w:rPr>
          <w:rStyle w:val="8"/>
          <w:rFonts w:ascii="宋体" w:hAnsi="宋体" w:eastAsia="宋体"/>
          <w:kern w:val="2"/>
          <w:sz w:val="24"/>
          <w:lang w:val="en-US" w:eastAsia="zh-CN"/>
        </w:rPr>
        <w:t>活动。</w:t>
      </w:r>
    </w:p>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本单位承诺在开标过程中做到以下几点：</w:t>
      </w:r>
    </w:p>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1、参与</w:t>
      </w:r>
      <w:r>
        <w:rPr>
          <w:rStyle w:val="8"/>
          <w:rFonts w:hint="eastAsia" w:ascii="宋体" w:hAnsi="宋体"/>
          <w:kern w:val="2"/>
          <w:sz w:val="24"/>
          <w:lang w:val="en-US" w:eastAsia="zh-CN"/>
        </w:rPr>
        <w:t>项目开标</w:t>
      </w:r>
      <w:r>
        <w:rPr>
          <w:rStyle w:val="8"/>
          <w:rFonts w:ascii="宋体" w:hAnsi="宋体" w:eastAsia="宋体"/>
          <w:kern w:val="2"/>
          <w:sz w:val="24"/>
          <w:lang w:val="en-US" w:eastAsia="zh-CN"/>
        </w:rPr>
        <w:t>人员配合交易服务场所工作人员进行体温监测和人员信息登记。对于有发烧、咳嗽等症状以及不符合防控管理要求的人员，不应进入开标现场。</w:t>
      </w:r>
    </w:p>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2、参加</w:t>
      </w:r>
      <w:r>
        <w:rPr>
          <w:rStyle w:val="8"/>
          <w:rFonts w:hint="eastAsia" w:ascii="宋体" w:hAnsi="宋体"/>
          <w:kern w:val="2"/>
          <w:sz w:val="24"/>
          <w:lang w:val="en-US" w:eastAsia="zh-CN"/>
        </w:rPr>
        <w:t>开标的</w:t>
      </w:r>
      <w:r>
        <w:rPr>
          <w:rStyle w:val="8"/>
          <w:rFonts w:ascii="宋体" w:hAnsi="宋体" w:eastAsia="宋体"/>
          <w:kern w:val="2"/>
          <w:sz w:val="24"/>
          <w:lang w:val="en-US" w:eastAsia="zh-CN"/>
        </w:rPr>
        <w:t>工作人员自觉做好个人防护，佩戴口罩，听从交易服务场所工作人员的引导。</w:t>
      </w:r>
    </w:p>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3、本单位所派</w:t>
      </w:r>
      <w:r>
        <w:rPr>
          <w:rStyle w:val="8"/>
          <w:rFonts w:hint="eastAsia" w:ascii="宋体" w:hAnsi="宋体"/>
          <w:kern w:val="2"/>
          <w:sz w:val="24"/>
          <w:lang w:val="en-US" w:eastAsia="zh-CN"/>
        </w:rPr>
        <w:t>项开标</w:t>
      </w:r>
      <w:r>
        <w:rPr>
          <w:rStyle w:val="8"/>
          <w:rFonts w:ascii="宋体" w:hAnsi="宋体" w:eastAsia="宋体"/>
          <w:kern w:val="2"/>
          <w:sz w:val="24"/>
          <w:lang w:val="en-US" w:eastAsia="zh-CN"/>
        </w:rPr>
        <w:t>人员为在</w:t>
      </w:r>
      <w:r>
        <w:rPr>
          <w:rStyle w:val="8"/>
          <w:rFonts w:ascii="宋体" w:hAnsi="宋体" w:eastAsia="宋体"/>
          <w:kern w:val="2"/>
          <w:sz w:val="24"/>
          <w:u w:val="single"/>
          <w:lang w:val="en-US" w:eastAsia="zh-CN"/>
        </w:rPr>
        <w:t xml:space="preserve">          </w:t>
      </w:r>
      <w:r>
        <w:rPr>
          <w:rStyle w:val="8"/>
          <w:rFonts w:ascii="宋体" w:hAnsi="宋体" w:eastAsia="宋体"/>
          <w:kern w:val="2"/>
          <w:sz w:val="24"/>
          <w:lang w:val="en-US" w:eastAsia="zh-CN"/>
        </w:rPr>
        <w:t>（省、市）身体健康人员或疫区进琼（返</w:t>
      </w:r>
      <w:r>
        <w:rPr>
          <w:rStyle w:val="8"/>
          <w:rFonts w:hint="eastAsia" w:ascii="宋体" w:hAnsi="宋体"/>
          <w:kern w:val="2"/>
          <w:sz w:val="24"/>
          <w:lang w:val="en-US" w:eastAsia="zh-CN"/>
        </w:rPr>
        <w:t>琼</w:t>
      </w:r>
      <w:r>
        <w:rPr>
          <w:rStyle w:val="8"/>
          <w:rFonts w:ascii="宋体" w:hAnsi="宋体" w:eastAsia="宋体"/>
          <w:kern w:val="2"/>
          <w:sz w:val="24"/>
          <w:lang w:val="en-US" w:eastAsia="zh-CN"/>
        </w:rPr>
        <w:t>）隔离已满14天的身体健康人员。</w:t>
      </w:r>
    </w:p>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4、本单位保证做好开标前期的各项准备工作，提前20分钟到达开标区域，避免因工作疏忽导致的时间拖延，造成人员密集接触。</w:t>
      </w:r>
    </w:p>
    <w:p>
      <w:pPr>
        <w:spacing w:line="700" w:lineRule="exact"/>
        <w:ind w:firstLine="480" w:firstLineChars="2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5、开标结束后，本单位人员迅速离场，不在公共区域内停留。</w:t>
      </w:r>
    </w:p>
    <w:p>
      <w:pPr>
        <w:spacing w:line="700" w:lineRule="exact"/>
        <w:ind w:firstLine="4800" w:firstLineChars="2000"/>
        <w:jc w:val="both"/>
        <w:textAlignment w:val="baseline"/>
        <w:rPr>
          <w:rStyle w:val="8"/>
          <w:rFonts w:ascii="宋体" w:hAnsi="宋体" w:eastAsia="宋体"/>
          <w:kern w:val="2"/>
          <w:sz w:val="24"/>
          <w:lang w:val="en-US" w:eastAsia="zh-CN"/>
        </w:rPr>
      </w:pPr>
      <w:r>
        <w:rPr>
          <w:rStyle w:val="8"/>
          <w:rFonts w:ascii="宋体" w:hAnsi="宋体" w:eastAsia="宋体"/>
          <w:kern w:val="2"/>
          <w:sz w:val="24"/>
          <w:lang w:val="en-US" w:eastAsia="zh-CN"/>
        </w:rPr>
        <w:t>承诺人（公章）：</w:t>
      </w:r>
    </w:p>
    <w:p>
      <w:pPr>
        <w:spacing w:line="700" w:lineRule="exact"/>
        <w:ind w:firstLine="4800" w:firstLineChars="2000"/>
        <w:jc w:val="both"/>
        <w:textAlignment w:val="baseline"/>
        <w:rPr>
          <w:rStyle w:val="8"/>
          <w:rFonts w:ascii="仿宋" w:hAnsi="仿宋" w:eastAsia="仿宋"/>
          <w:b w:val="0"/>
          <w:i w:val="0"/>
          <w:caps w:val="0"/>
          <w:color w:val="000000"/>
          <w:kern w:val="2"/>
          <w:sz w:val="32"/>
          <w:szCs w:val="32"/>
          <w:u w:val="single"/>
          <w:lang w:val="en-US" w:eastAsia="zh-CN"/>
        </w:rPr>
      </w:pPr>
      <w:r>
        <w:rPr>
          <w:rStyle w:val="8"/>
          <w:rFonts w:ascii="宋体" w:hAnsi="宋体" w:eastAsia="宋体"/>
          <w:kern w:val="2"/>
          <w:sz w:val="24"/>
          <w:lang w:val="en-US" w:eastAsia="zh-CN"/>
        </w:rPr>
        <w:t xml:space="preserve">       年   月   日</w:t>
      </w:r>
    </w:p>
    <w:p>
      <w:pPr>
        <w:spacing w:line="240" w:lineRule="auto"/>
        <w:jc w:val="left"/>
        <w:textAlignment w:val="baseline"/>
        <w:rPr>
          <w:rStyle w:val="8"/>
          <w:rFonts w:ascii="宋体" w:hAnsi="宋体" w:eastAsia="宋体" w:cs="Times New Roman"/>
          <w:bCs/>
          <w:kern w:val="2"/>
          <w:sz w:val="24"/>
          <w:lang w:val="en-US" w:eastAsia="zh-CN"/>
        </w:rPr>
      </w:pPr>
    </w:p>
    <w:p>
      <w:pPr>
        <w:spacing w:line="240" w:lineRule="auto"/>
        <w:jc w:val="left"/>
        <w:textAlignment w:val="baseline"/>
        <w:rPr>
          <w:rStyle w:val="8"/>
          <w:rFonts w:ascii="宋体" w:hAnsi="宋体" w:eastAsia="宋体" w:cs="Times New Roman"/>
          <w:bCs/>
          <w:kern w:val="2"/>
          <w:sz w:val="24"/>
          <w:lang w:val="en-US" w:eastAsia="zh-CN"/>
        </w:rPr>
      </w:pPr>
    </w:p>
    <w:sectPr>
      <w:pgSz w:w="11906" w:h="16838"/>
      <w:pgMar w:top="1440" w:right="1800" w:bottom="1440" w:left="1800" w:header="851" w:footer="992" w:gutter="0"/>
      <w:paperSrc/>
      <w:lnNumType w:countBy="0"/>
      <w:pgNumType w:fmt="decimal"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0"/>
  <w:displayHorizontalDrawingGridEvery w:val="1"/>
  <w:displayVerticalDrawingGridEvery w:val="1"/>
  <w:doNotUseMarginsForDrawingGridOrigin w:val="1"/>
  <w:drawingGridHorizontalOrigin w:val="0"/>
  <w:drawingGridVerticalOrigin w:val="0"/>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F01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40" w:lineRule="auto"/>
      <w:jc w:val="both"/>
      <w:textAlignment w:val="baseline"/>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UserStyle_0"/>
    <w:basedOn w:val="1"/>
    <w:qFormat/>
    <w:uiPriority w:val="0"/>
    <w:pPr>
      <w:spacing w:line="240" w:lineRule="auto"/>
      <w:ind w:firstLine="420" w:firstLineChars="200"/>
      <w:jc w:val="both"/>
      <w:textAlignment w:val="baseline"/>
    </w:pPr>
    <w:rPr>
      <w:rFonts w:eastAsia="宋体"/>
      <w:kern w:val="2"/>
      <w:sz w:val="21"/>
      <w:szCs w:val="24"/>
      <w:lang w:val="en-US" w:eastAsia="zh-CN"/>
    </w:rPr>
  </w:style>
  <w:style w:type="paragraph" w:customStyle="1" w:styleId="7">
    <w:name w:val="HtmlNormal"/>
    <w:basedOn w:val="1"/>
    <w:uiPriority w:val="0"/>
    <w:pPr>
      <w:spacing w:before="100" w:beforeAutospacing="1" w:after="100" w:afterAutospacing="1" w:line="240" w:lineRule="auto"/>
      <w:ind w:left="0" w:right="0"/>
      <w:jc w:val="left"/>
      <w:textAlignment w:val="baseline"/>
    </w:pPr>
    <w:rPr>
      <w:rFonts w:eastAsia="宋体"/>
      <w:kern w:val="0"/>
      <w:sz w:val="24"/>
      <w:szCs w:val="20"/>
      <w:lang w:val="en-US" w:eastAsia="zh-CN" w:bidi="ar-SA"/>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2020-02-07T02:54:00Z</dcterms:created>
  <dc:creator>adminlsnfff</dc:creator>
  <cp:lastModifiedBy>双线</cp:lastModifiedBy>
  <cp:lastPrinted>2020-02-28T00:03:00Z</cp:lastPrinted>
  <dcterms:modified xsi:type="dcterms:W3CDTF">2020-03-09T02:16:03Z</dcterms:modified>
  <dc:title>关于做好新型冠状病毒肺炎防控期间公共资源交易服务保障工作的通知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