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left"/>
        <w:rPr>
          <w:rStyle w:val="5"/>
          <w:rFonts w:ascii="黑体" w:hAnsi="黑体" w:eastAsia="黑体"/>
          <w:bCs/>
          <w:sz w:val="32"/>
          <w:szCs w:val="32"/>
        </w:rPr>
      </w:pPr>
      <w:r>
        <w:rPr>
          <w:rStyle w:val="5"/>
          <w:rFonts w:hint="eastAsia" w:ascii="黑体" w:hAnsi="黑体" w:eastAsia="黑体" w:cs="Times New Roman"/>
          <w:bCs/>
          <w:sz w:val="32"/>
          <w:szCs w:val="32"/>
        </w:rPr>
        <w:t>附件</w:t>
      </w:r>
      <w:r>
        <w:rPr>
          <w:rStyle w:val="5"/>
          <w:rFonts w:hint="eastAsia" w:ascii="黑体" w:hAnsi="黑体" w:eastAsia="黑体" w:cs="Times New Roman"/>
          <w:bCs/>
          <w:sz w:val="32"/>
          <w:szCs w:val="32"/>
          <w:lang w:val="en-US" w:eastAsia="zh-CN"/>
        </w:rPr>
        <w:t>2</w:t>
      </w:r>
    </w:p>
    <w:p>
      <w:pPr>
        <w:jc w:val="center"/>
        <w:rPr>
          <w:rStyle w:val="5"/>
          <w:rFonts w:ascii="宋体" w:hAnsi="宋体" w:eastAsia="宋体" w:cs="Times New Roman"/>
          <w:b/>
          <w:bCs/>
          <w:sz w:val="32"/>
          <w:szCs w:val="32"/>
        </w:rPr>
      </w:pPr>
      <w:r>
        <w:rPr>
          <w:rStyle w:val="5"/>
          <w:rFonts w:hint="eastAsia" w:ascii="宋体" w:hAnsi="宋体" w:eastAsia="宋体" w:cs="Times New Roman"/>
          <w:b/>
          <w:bCs/>
          <w:sz w:val="32"/>
          <w:szCs w:val="32"/>
        </w:rPr>
        <w:t>投标单位承诺书</w:t>
      </w:r>
    </w:p>
    <w:p>
      <w:pPr>
        <w:widowControl w:val="0"/>
        <w:wordWrap/>
        <w:adjustRightInd/>
        <w:snapToGrid/>
        <w:spacing w:before="0" w:after="0" w:line="560" w:lineRule="exact"/>
        <w:ind w:left="0" w:leftChars="0" w:right="0" w:firstLine="480" w:firstLineChars="200"/>
        <w:jc w:val="both"/>
        <w:textAlignment w:val="auto"/>
        <w:outlineLvl w:val="9"/>
        <w:rPr>
          <w:rStyle w:val="5"/>
          <w:rFonts w:hint="eastAsia" w:ascii="仿宋_GB2312" w:hAnsi="仿宋_GB2312" w:eastAsia="仿宋_GB2312" w:cs="仿宋_GB2312"/>
          <w:sz w:val="30"/>
          <w:szCs w:val="30"/>
        </w:rPr>
      </w:pPr>
      <w:r>
        <w:rPr>
          <w:rStyle w:val="5"/>
          <w:rFonts w:hint="eastAsia" w:ascii="仿宋_GB2312" w:hAnsi="仿宋_GB2312" w:eastAsia="仿宋_GB2312" w:cs="仿宋_GB2312"/>
          <w:sz w:val="30"/>
          <w:szCs w:val="30"/>
        </w:rPr>
        <w:t>本单位</w:t>
      </w:r>
      <w:r>
        <w:rPr>
          <w:rStyle w:val="5"/>
          <w:rFonts w:hint="eastAsia" w:ascii="仿宋_GB2312" w:hAnsi="仿宋_GB2312" w:eastAsia="仿宋_GB2312" w:cs="仿宋_GB2312"/>
          <w:sz w:val="30"/>
          <w:szCs w:val="30"/>
          <w:u w:val="single" w:color="auto"/>
          <w:lang w:val="en-US" w:eastAsia="zh-CN"/>
        </w:rPr>
        <w:t xml:space="preserve">                 </w:t>
      </w:r>
      <w:r>
        <w:rPr>
          <w:rStyle w:val="5"/>
          <w:rFonts w:hint="eastAsia" w:ascii="仿宋_GB2312" w:hAnsi="仿宋_GB2312" w:eastAsia="仿宋_GB2312" w:cs="仿宋_GB2312"/>
          <w:sz w:val="30"/>
          <w:szCs w:val="30"/>
        </w:rPr>
        <w:t>承诺严格落实党中央、国务院以及海南省委、省政府相关工作部署，遵守《关于进一步明确责任加强新型冠状病毒感染的肺炎预防控制工作的通知》及《中华人民共和国传染病防治法》相关要求。</w:t>
      </w:r>
    </w:p>
    <w:p>
      <w:pPr>
        <w:widowControl w:val="0"/>
        <w:wordWrap/>
        <w:adjustRightInd/>
        <w:snapToGrid/>
        <w:spacing w:before="0" w:after="0" w:line="560" w:lineRule="exact"/>
        <w:ind w:left="0" w:leftChars="0" w:right="0" w:firstLine="480" w:firstLineChars="200"/>
        <w:jc w:val="both"/>
        <w:textAlignment w:val="auto"/>
        <w:outlineLvl w:val="9"/>
        <w:rPr>
          <w:rStyle w:val="5"/>
          <w:rFonts w:hint="eastAsia" w:ascii="仿宋_GB2312" w:hAnsi="仿宋_GB2312" w:eastAsia="仿宋_GB2312" w:cs="仿宋_GB2312"/>
          <w:sz w:val="30"/>
          <w:szCs w:val="30"/>
        </w:rPr>
      </w:pPr>
      <w:r>
        <w:rPr>
          <w:rStyle w:val="5"/>
          <w:rFonts w:hint="eastAsia" w:ascii="仿宋_GB2312" w:hAnsi="仿宋_GB2312" w:eastAsia="仿宋_GB2312" w:cs="仿宋_GB2312"/>
          <w:sz w:val="30"/>
          <w:szCs w:val="30"/>
        </w:rPr>
        <w:t>本单位于   年   月   日参加</w:t>
      </w:r>
      <w:r>
        <w:rPr>
          <w:rStyle w:val="5"/>
          <w:rFonts w:hint="eastAsia" w:ascii="仿宋_GB2312" w:hAnsi="仿宋_GB2312" w:eastAsia="仿宋_GB2312" w:cs="仿宋_GB2312"/>
          <w:sz w:val="30"/>
          <w:szCs w:val="30"/>
          <w:u w:val="single" w:color="auto"/>
          <w:lang w:val="en-US" w:eastAsia="zh-CN"/>
        </w:rPr>
        <w:t xml:space="preserve">                       </w:t>
      </w:r>
      <w:r>
        <w:rPr>
          <w:rStyle w:val="5"/>
          <w:rFonts w:hint="eastAsia" w:ascii="仿宋_GB2312" w:hAnsi="仿宋_GB2312" w:eastAsia="仿宋_GB2312" w:cs="仿宋_GB2312"/>
          <w:sz w:val="30"/>
          <w:szCs w:val="30"/>
        </w:rPr>
        <w:t>项目的开标活动。</w:t>
      </w:r>
    </w:p>
    <w:p>
      <w:pPr>
        <w:widowControl w:val="0"/>
        <w:wordWrap/>
        <w:adjustRightInd/>
        <w:snapToGrid/>
        <w:spacing w:before="0" w:after="0" w:line="560" w:lineRule="exact"/>
        <w:ind w:left="0" w:leftChars="0" w:right="0" w:firstLine="480" w:firstLineChars="200"/>
        <w:jc w:val="both"/>
        <w:textAlignment w:val="auto"/>
        <w:outlineLvl w:val="9"/>
        <w:rPr>
          <w:rStyle w:val="5"/>
          <w:rFonts w:hint="eastAsia" w:ascii="仿宋_GB2312" w:hAnsi="仿宋_GB2312" w:eastAsia="仿宋_GB2312" w:cs="仿宋_GB2312"/>
          <w:sz w:val="30"/>
          <w:szCs w:val="30"/>
        </w:rPr>
      </w:pPr>
      <w:r>
        <w:rPr>
          <w:rStyle w:val="5"/>
          <w:rFonts w:hint="eastAsia" w:ascii="仿宋_GB2312" w:hAnsi="仿宋_GB2312" w:eastAsia="仿宋_GB2312" w:cs="仿宋_GB2312"/>
          <w:sz w:val="30"/>
          <w:szCs w:val="30"/>
        </w:rPr>
        <w:t>本单位承诺在开标过程中做到以下几点：</w:t>
      </w:r>
    </w:p>
    <w:p>
      <w:pPr>
        <w:widowControl w:val="0"/>
        <w:wordWrap/>
        <w:adjustRightInd/>
        <w:snapToGrid/>
        <w:spacing w:before="0" w:after="0" w:line="560" w:lineRule="exact"/>
        <w:ind w:left="0" w:leftChars="0" w:right="0" w:firstLine="480" w:firstLineChars="200"/>
        <w:jc w:val="both"/>
        <w:textAlignment w:val="auto"/>
        <w:outlineLvl w:val="9"/>
        <w:rPr>
          <w:rStyle w:val="5"/>
          <w:rFonts w:hint="eastAsia" w:ascii="仿宋_GB2312" w:hAnsi="仿宋_GB2312" w:eastAsia="仿宋_GB2312" w:cs="仿宋_GB2312"/>
          <w:sz w:val="30"/>
          <w:szCs w:val="30"/>
        </w:rPr>
      </w:pPr>
      <w:r>
        <w:rPr>
          <w:rStyle w:val="5"/>
          <w:rFonts w:hint="eastAsia" w:ascii="仿宋_GB2312" w:hAnsi="仿宋_GB2312" w:eastAsia="仿宋_GB2312" w:cs="仿宋_GB2312"/>
          <w:sz w:val="30"/>
          <w:szCs w:val="30"/>
        </w:rPr>
        <w:t>1、参与开标人员配合交易服务场所工作人员进行体温监测和人员信息登记。对于有发烧、咳嗽等症状以及不符合防控管理要求的人员，不应进入开标现场。</w:t>
      </w:r>
    </w:p>
    <w:p>
      <w:pPr>
        <w:widowControl w:val="0"/>
        <w:wordWrap/>
        <w:adjustRightInd/>
        <w:snapToGrid/>
        <w:spacing w:before="0" w:after="0" w:line="560" w:lineRule="exact"/>
        <w:ind w:left="0" w:leftChars="0" w:right="0" w:firstLine="480" w:firstLineChars="200"/>
        <w:jc w:val="both"/>
        <w:textAlignment w:val="auto"/>
        <w:outlineLvl w:val="9"/>
        <w:rPr>
          <w:rStyle w:val="5"/>
          <w:rFonts w:hint="eastAsia" w:ascii="仿宋_GB2312" w:hAnsi="仿宋_GB2312" w:eastAsia="仿宋_GB2312" w:cs="仿宋_GB2312"/>
          <w:sz w:val="30"/>
          <w:szCs w:val="30"/>
        </w:rPr>
      </w:pPr>
      <w:r>
        <w:rPr>
          <w:rStyle w:val="5"/>
          <w:rFonts w:hint="eastAsia" w:ascii="仿宋_GB2312" w:hAnsi="仿宋_GB2312" w:eastAsia="仿宋_GB2312" w:cs="仿宋_GB2312"/>
          <w:sz w:val="30"/>
          <w:szCs w:val="30"/>
        </w:rPr>
        <w:t>2、参加开标的工作人员自觉做好个人防护，佩戴口罩，听从交易服务场所工作人员的引导。</w:t>
      </w:r>
    </w:p>
    <w:p>
      <w:pPr>
        <w:widowControl w:val="0"/>
        <w:wordWrap/>
        <w:adjustRightInd/>
        <w:snapToGrid/>
        <w:spacing w:before="0" w:after="0" w:line="560" w:lineRule="exact"/>
        <w:ind w:left="0" w:leftChars="0" w:right="0" w:firstLine="480" w:firstLineChars="200"/>
        <w:jc w:val="both"/>
        <w:textAlignment w:val="auto"/>
        <w:outlineLvl w:val="9"/>
        <w:rPr>
          <w:rStyle w:val="5"/>
          <w:rFonts w:hint="eastAsia" w:ascii="仿宋_GB2312" w:hAnsi="仿宋_GB2312" w:eastAsia="仿宋_GB2312" w:cs="仿宋_GB2312"/>
          <w:sz w:val="30"/>
          <w:szCs w:val="30"/>
        </w:rPr>
      </w:pPr>
      <w:r>
        <w:rPr>
          <w:rStyle w:val="5"/>
          <w:rFonts w:hint="eastAsia" w:ascii="仿宋_GB2312" w:hAnsi="仿宋_GB2312" w:eastAsia="仿宋_GB2312" w:cs="仿宋_GB2312"/>
          <w:sz w:val="30"/>
          <w:szCs w:val="30"/>
        </w:rPr>
        <w:t>3、本单位所派开标人员为在</w:t>
      </w:r>
      <w:r>
        <w:rPr>
          <w:rStyle w:val="5"/>
          <w:rFonts w:hint="eastAsia" w:ascii="仿宋_GB2312" w:hAnsi="仿宋_GB2312" w:eastAsia="仿宋_GB2312" w:cs="仿宋_GB2312"/>
          <w:sz w:val="30"/>
          <w:szCs w:val="30"/>
          <w:u w:val="single"/>
        </w:rPr>
        <w:t xml:space="preserve">          </w:t>
      </w:r>
      <w:r>
        <w:rPr>
          <w:rStyle w:val="5"/>
          <w:rFonts w:hint="eastAsia" w:ascii="仿宋_GB2312" w:hAnsi="仿宋_GB2312" w:eastAsia="仿宋_GB2312" w:cs="仿宋_GB2312"/>
          <w:sz w:val="30"/>
          <w:szCs w:val="30"/>
        </w:rPr>
        <w:t>（省、市）身体健康人员或疫区进琼（返琼）隔离已满14天的身体健康人员。</w:t>
      </w:r>
    </w:p>
    <w:p>
      <w:pPr>
        <w:widowControl w:val="0"/>
        <w:wordWrap/>
        <w:adjustRightInd/>
        <w:snapToGrid/>
        <w:spacing w:before="0" w:after="0" w:line="560" w:lineRule="exact"/>
        <w:ind w:left="0" w:leftChars="0" w:right="0" w:firstLine="480" w:firstLineChars="200"/>
        <w:jc w:val="both"/>
        <w:textAlignment w:val="auto"/>
        <w:outlineLvl w:val="9"/>
        <w:rPr>
          <w:rStyle w:val="5"/>
          <w:rFonts w:hint="eastAsia" w:ascii="仿宋_GB2312" w:hAnsi="仿宋_GB2312" w:eastAsia="仿宋_GB2312" w:cs="仿宋_GB2312"/>
          <w:sz w:val="30"/>
          <w:szCs w:val="30"/>
        </w:rPr>
      </w:pPr>
      <w:r>
        <w:rPr>
          <w:rStyle w:val="5"/>
          <w:rFonts w:hint="eastAsia" w:ascii="仿宋_GB2312" w:hAnsi="仿宋_GB2312" w:eastAsia="仿宋_GB2312" w:cs="仿宋_GB2312"/>
          <w:sz w:val="30"/>
          <w:szCs w:val="30"/>
        </w:rPr>
        <w:t>4、本单位保证做好开标前期的各项准备工作，提前20分钟到达开标区域，避免因工作疏忽导致的时间拖延，造成人员密集接触。</w:t>
      </w:r>
    </w:p>
    <w:p>
      <w:pPr>
        <w:widowControl w:val="0"/>
        <w:wordWrap/>
        <w:adjustRightInd/>
        <w:snapToGrid/>
        <w:spacing w:before="0" w:after="0" w:line="560" w:lineRule="exact"/>
        <w:ind w:left="0" w:leftChars="0" w:right="0" w:firstLine="480" w:firstLineChars="200"/>
        <w:jc w:val="both"/>
        <w:textAlignment w:val="auto"/>
        <w:outlineLvl w:val="9"/>
        <w:rPr>
          <w:rStyle w:val="5"/>
          <w:rFonts w:hint="eastAsia" w:ascii="仿宋_GB2312" w:hAnsi="仿宋_GB2312" w:eastAsia="仿宋_GB2312" w:cs="仿宋_GB2312"/>
          <w:sz w:val="30"/>
          <w:szCs w:val="30"/>
        </w:rPr>
      </w:pPr>
      <w:r>
        <w:rPr>
          <w:rStyle w:val="5"/>
          <w:rFonts w:hint="eastAsia" w:ascii="仿宋_GB2312" w:hAnsi="仿宋_GB2312" w:eastAsia="仿宋_GB2312" w:cs="仿宋_GB2312"/>
          <w:sz w:val="30"/>
          <w:szCs w:val="30"/>
        </w:rPr>
        <w:t>5、开标结束后，本单位人员迅速离场，不在公共区域内停留。</w:t>
      </w:r>
    </w:p>
    <w:p>
      <w:pPr>
        <w:widowControl w:val="0"/>
        <w:wordWrap/>
        <w:adjustRightInd/>
        <w:snapToGrid/>
        <w:spacing w:before="0" w:after="0" w:line="560" w:lineRule="exact"/>
        <w:ind w:left="0" w:leftChars="0" w:right="0" w:firstLine="4800" w:firstLineChars="2000"/>
        <w:jc w:val="both"/>
        <w:textAlignment w:val="auto"/>
        <w:outlineLvl w:val="9"/>
        <w:rPr>
          <w:rStyle w:val="5"/>
          <w:rFonts w:hint="eastAsia" w:ascii="仿宋_GB2312" w:hAnsi="仿宋_GB2312" w:eastAsia="仿宋_GB2312" w:cs="仿宋_GB2312"/>
          <w:sz w:val="30"/>
          <w:szCs w:val="30"/>
        </w:rPr>
      </w:pPr>
    </w:p>
    <w:p>
      <w:pPr>
        <w:widowControl w:val="0"/>
        <w:wordWrap/>
        <w:adjustRightInd/>
        <w:snapToGrid/>
        <w:spacing w:before="0" w:after="0" w:line="560" w:lineRule="exact"/>
        <w:ind w:left="0" w:leftChars="0" w:right="0" w:firstLine="4800" w:firstLineChars="2000"/>
        <w:jc w:val="both"/>
        <w:textAlignment w:val="auto"/>
        <w:outlineLvl w:val="9"/>
        <w:rPr>
          <w:rStyle w:val="5"/>
          <w:rFonts w:hint="eastAsia" w:ascii="仿宋_GB2312" w:hAnsi="仿宋_GB2312" w:eastAsia="仿宋_GB2312" w:cs="仿宋_GB2312"/>
          <w:sz w:val="30"/>
          <w:szCs w:val="30"/>
        </w:rPr>
      </w:pPr>
    </w:p>
    <w:p>
      <w:pPr>
        <w:widowControl w:val="0"/>
        <w:wordWrap/>
        <w:adjustRightInd/>
        <w:snapToGrid/>
        <w:spacing w:before="0" w:after="0" w:line="560" w:lineRule="exact"/>
        <w:ind w:right="0"/>
        <w:jc w:val="both"/>
        <w:textAlignment w:val="auto"/>
        <w:outlineLvl w:val="9"/>
        <w:rPr>
          <w:rStyle w:val="5"/>
          <w:rFonts w:hint="eastAsia" w:ascii="仿宋_GB2312" w:hAnsi="仿宋_GB2312" w:eastAsia="仿宋_GB2312" w:cs="仿宋_GB2312"/>
          <w:sz w:val="30"/>
          <w:szCs w:val="30"/>
        </w:rPr>
      </w:pPr>
      <w:r>
        <w:rPr>
          <w:rStyle w:val="5"/>
          <w:rFonts w:hint="eastAsia" w:ascii="仿宋_GB2312" w:hAnsi="仿宋_GB2312" w:eastAsia="仿宋_GB2312" w:cs="仿宋_GB2312"/>
          <w:sz w:val="30"/>
          <w:szCs w:val="30"/>
          <w:lang w:val="en-US" w:eastAsia="zh-CN"/>
        </w:rPr>
        <w:t xml:space="preserve">                                        </w:t>
      </w:r>
      <w:bookmarkStart w:id="0" w:name="_GoBack"/>
      <w:bookmarkEnd w:id="0"/>
      <w:r>
        <w:rPr>
          <w:rStyle w:val="5"/>
          <w:rFonts w:hint="eastAsia" w:ascii="仿宋_GB2312" w:hAnsi="仿宋_GB2312" w:eastAsia="仿宋_GB2312" w:cs="仿宋_GB2312"/>
          <w:sz w:val="30"/>
          <w:szCs w:val="30"/>
        </w:rPr>
        <w:t>承诺人（公章）：</w:t>
      </w:r>
    </w:p>
    <w:p>
      <w:pPr>
        <w:widowControl w:val="0"/>
        <w:wordWrap/>
        <w:adjustRightInd/>
        <w:snapToGrid/>
        <w:spacing w:before="0" w:after="0" w:line="560" w:lineRule="exact"/>
        <w:ind w:left="0" w:leftChars="0" w:right="0" w:firstLine="4800" w:firstLineChars="2000"/>
        <w:jc w:val="both"/>
        <w:textAlignment w:val="auto"/>
        <w:outlineLvl w:val="9"/>
        <w:rPr>
          <w:rStyle w:val="5"/>
          <w:rFonts w:hint="eastAsia" w:ascii="仿宋_GB2312" w:hAnsi="仿宋_GB2312" w:eastAsia="仿宋_GB2312" w:cs="仿宋_GB2312"/>
          <w:color w:val="000000"/>
          <w:sz w:val="30"/>
          <w:szCs w:val="30"/>
        </w:rPr>
      </w:pPr>
      <w:r>
        <w:rPr>
          <w:rStyle w:val="5"/>
          <w:rFonts w:hint="eastAsia" w:ascii="仿宋_GB2312" w:hAnsi="仿宋_GB2312" w:eastAsia="仿宋_GB2312" w:cs="仿宋_GB2312"/>
          <w:sz w:val="30"/>
          <w:szCs w:val="30"/>
        </w:rPr>
        <w:t xml:space="preserve">    年   月   日</w:t>
      </w:r>
    </w:p>
    <w:sectPr>
      <w:pgSz w:w="11906" w:h="16838"/>
      <w:pgMar w:top="1701" w:right="1247" w:bottom="187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5">
    <w:name w:val="NormalCharacter"/>
    <w:uiPriority w:val="0"/>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70</Words>
  <Characters>405</Characters>
  <Lines>3</Lines>
  <Paragraphs>1</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2020-02-07T02:54:00Z</dcterms:created>
  <dc:creator>未定义</dc:creator>
  <cp:lastModifiedBy>许文莹</cp:lastModifiedBy>
  <dcterms:modified xsi:type="dcterms:W3CDTF">2020-02-08T10:35:37Z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