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wordWrap w:val="0"/>
        <w:spacing w:before="0" w:beforeAutospacing="0" w:after="0" w:afterAutospacing="0" w:line="600" w:lineRule="atLeast"/>
        <w:ind w:left="0" w:right="0" w:firstLine="1325" w:firstLineChars="300"/>
        <w:jc w:val="left"/>
        <w:rPr>
          <w:sz w:val="44"/>
          <w:szCs w:val="44"/>
        </w:rPr>
      </w:pPr>
      <w:r>
        <w:rPr>
          <w:rStyle w:val="6"/>
          <w:rFonts w:hint="eastAsia" w:ascii="方正小标宋简体" w:hAnsi="方正小标宋简体" w:eastAsia="方正小标宋简体" w:cs="方正小标宋简体"/>
          <w:sz w:val="44"/>
          <w:szCs w:val="44"/>
          <w:shd w:val="clear" w:fill="FFFFFF"/>
          <w:lang w:eastAsia="zh-CN"/>
        </w:rPr>
        <w:t>琼海市</w:t>
      </w:r>
      <w:r>
        <w:rPr>
          <w:rStyle w:val="6"/>
          <w:rFonts w:ascii="方正小标宋简体" w:hAnsi="方正小标宋简体" w:eastAsia="方正小标宋简体" w:cs="方正小标宋简体"/>
          <w:sz w:val="44"/>
          <w:szCs w:val="44"/>
          <w:shd w:val="clear" w:fill="FFFFFF"/>
        </w:rPr>
        <w:t>公共资源交易服务中心</w:t>
      </w:r>
      <w:r>
        <w:rPr>
          <w:rStyle w:val="6"/>
          <w:rFonts w:hint="eastAsia" w:ascii="方正小标宋简体" w:hAnsi="方正小标宋简体" w:eastAsia="方正小标宋简体" w:cs="方正小标宋简体"/>
          <w:sz w:val="44"/>
          <w:szCs w:val="44"/>
          <w:shd w:val="clear" w:fill="FFFFFF"/>
          <w:lang w:val="en-US" w:eastAsia="zh-CN"/>
        </w:rPr>
        <w:t xml:space="preserve">      </w:t>
      </w:r>
      <w:r>
        <w:rPr>
          <w:rStyle w:val="6"/>
          <w:rFonts w:ascii="方正小标宋简体" w:hAnsi="方正小标宋简体" w:eastAsia="方正小标宋简体" w:cs="方正小标宋简体"/>
          <w:sz w:val="44"/>
          <w:szCs w:val="44"/>
          <w:shd w:val="clear" w:fill="FFFFFF"/>
        </w:rPr>
        <w:t>关于进一步加强</w:t>
      </w:r>
      <w:r>
        <w:rPr>
          <w:rStyle w:val="6"/>
          <w:rFonts w:hint="default" w:ascii="方正小标宋简体" w:hAnsi="方正小标宋简体" w:eastAsia="方正小标宋简体" w:cs="方正小标宋简体"/>
          <w:sz w:val="44"/>
          <w:szCs w:val="44"/>
          <w:shd w:val="clear" w:fill="FFFFFF"/>
        </w:rPr>
        <w:t>新冠疫情防控措施有序开</w:t>
      </w:r>
      <w:r>
        <w:rPr>
          <w:rStyle w:val="6"/>
          <w:rFonts w:hint="eastAsia" w:ascii="方正小标宋简体" w:hAnsi="方正小标宋简体" w:eastAsia="方正小标宋简体" w:cs="方正小标宋简体"/>
          <w:sz w:val="44"/>
          <w:szCs w:val="44"/>
          <w:shd w:val="clear" w:fill="FFFFFF"/>
          <w:lang w:val="en-US" w:eastAsia="zh-CN"/>
        </w:rPr>
        <w:t xml:space="preserve">   </w:t>
      </w:r>
      <w:r>
        <w:rPr>
          <w:rStyle w:val="6"/>
          <w:rFonts w:hint="default" w:ascii="方正小标宋简体" w:hAnsi="方正小标宋简体" w:eastAsia="方正小标宋简体" w:cs="方正小标宋简体"/>
          <w:sz w:val="44"/>
          <w:szCs w:val="44"/>
          <w:shd w:val="clear" w:fill="FFFFFF"/>
        </w:rPr>
        <w:t>展公共资源交易服务有关工作的通知</w:t>
      </w:r>
      <w:bookmarkStart w:id="0" w:name="_GoBack"/>
      <w:bookmarkEnd w:id="0"/>
    </w:p>
    <w:p>
      <w:pPr>
        <w:pStyle w:val="3"/>
        <w:keepNext w:val="0"/>
        <w:keepLines w:val="0"/>
        <w:widowControl/>
        <w:suppressLineNumbers w:val="0"/>
        <w:wordWrap w:val="0"/>
        <w:spacing w:before="0" w:beforeAutospacing="0" w:after="0" w:afterAutospacing="0" w:line="360" w:lineRule="atLeast"/>
        <w:ind w:left="0" w:right="0"/>
      </w:pPr>
      <w:r>
        <w:rPr>
          <w:rFonts w:ascii="仿宋_GB2312" w:eastAsia="仿宋_GB2312" w:cs="仿宋_GB2312"/>
          <w:sz w:val="31"/>
          <w:szCs w:val="31"/>
          <w:shd w:val="clear" w:fill="FFFFFF"/>
        </w:rPr>
        <w:t> </w:t>
      </w:r>
    </w:p>
    <w:p>
      <w:pPr>
        <w:pStyle w:val="3"/>
        <w:keepNext w:val="0"/>
        <w:keepLines w:val="0"/>
        <w:widowControl/>
        <w:suppressLineNumbers w:val="0"/>
        <w:wordWrap w:val="0"/>
        <w:spacing w:before="0" w:beforeAutospacing="0" w:after="0" w:afterAutospacing="0" w:line="360" w:lineRule="atLeast"/>
        <w:ind w:left="0" w:right="0"/>
        <w:jc w:val="left"/>
      </w:pPr>
      <w:r>
        <w:rPr>
          <w:rFonts w:hint="default" w:ascii="仿宋_GB2312" w:eastAsia="仿宋_GB2312" w:cs="仿宋_GB2312"/>
          <w:sz w:val="31"/>
          <w:szCs w:val="31"/>
          <w:shd w:val="clear" w:fill="FFFFFF"/>
        </w:rPr>
        <w:t>各相关单位：</w:t>
      </w:r>
    </w:p>
    <w:p>
      <w:pPr>
        <w:pStyle w:val="2"/>
        <w:keepNext w:val="0"/>
        <w:keepLines w:val="0"/>
        <w:widowControl/>
        <w:suppressLineNumbers w:val="0"/>
        <w:spacing w:before="0" w:beforeAutospacing="0" w:after="0" w:afterAutospacing="0" w:line="540" w:lineRule="atLeast"/>
        <w:ind w:left="0" w:right="0"/>
        <w:jc w:val="left"/>
      </w:pPr>
      <w:r>
        <w:rPr>
          <w:rFonts w:hint="eastAsia" w:ascii="仿宋_GB2312" w:eastAsia="仿宋_GB2312" w:cs="仿宋_GB2312" w:hAnsiTheme="minorHAnsi"/>
          <w:b w:val="0"/>
          <w:kern w:val="0"/>
          <w:sz w:val="31"/>
          <w:szCs w:val="31"/>
          <w:shd w:val="clear" w:fill="FFFFFF"/>
          <w:lang w:val="en-US" w:eastAsia="zh-CN" w:bidi="ar"/>
        </w:rPr>
        <w:t xml:space="preserve">    </w:t>
      </w:r>
      <w:r>
        <w:rPr>
          <w:rFonts w:hint="default" w:ascii="仿宋_GB2312" w:eastAsia="仿宋_GB2312" w:cs="仿宋_GB2312" w:hAnsiTheme="minorHAnsi"/>
          <w:b w:val="0"/>
          <w:kern w:val="0"/>
          <w:sz w:val="31"/>
          <w:szCs w:val="31"/>
          <w:shd w:val="clear" w:fill="FFFFFF"/>
          <w:lang w:val="en-US" w:eastAsia="zh-CN" w:bidi="ar"/>
        </w:rPr>
        <w:t>为落实《琼海市新型冠状病毒肺炎疫情防控工作指挥部关于进一步加强新冠肺炎疫情防控工作的通告》精神，进一步加强新冠疫情防控措施，有序开展公共资源交易平台服务保障工作，现就有关事项通知如下：</w:t>
      </w:r>
    </w:p>
    <w:p>
      <w:pPr>
        <w:pStyle w:val="3"/>
        <w:keepNext w:val="0"/>
        <w:keepLines w:val="0"/>
        <w:widowControl/>
        <w:suppressLineNumbers w:val="0"/>
        <w:wordWrap w:val="0"/>
        <w:spacing w:before="0" w:beforeAutospacing="0" w:after="0" w:afterAutospacing="0" w:line="360" w:lineRule="atLeast"/>
        <w:ind w:left="0" w:right="0" w:firstLine="645"/>
      </w:pPr>
      <w:r>
        <w:rPr>
          <w:rStyle w:val="6"/>
          <w:rFonts w:ascii="黑体" w:hAnsi="宋体" w:eastAsia="黑体" w:cs="黑体"/>
          <w:sz w:val="31"/>
          <w:szCs w:val="31"/>
          <w:shd w:val="clear" w:fill="FFFFFF"/>
        </w:rPr>
        <w:t>一、切实提高思想认识。</w:t>
      </w:r>
      <w:r>
        <w:rPr>
          <w:rFonts w:hint="default" w:ascii="仿宋_GB2312" w:eastAsia="仿宋_GB2312" w:cs="仿宋_GB2312"/>
          <w:sz w:val="31"/>
          <w:szCs w:val="31"/>
          <w:shd w:val="clear" w:fill="FFFFFF"/>
        </w:rPr>
        <w:t>近期全国新冠疫情呈现点多、面广、传播快、隐匿性强等特点，省内几个市县相继发现确诊病例，要充分认识当前疫情防控工作的严峻复杂形势，加强责任心，克服麻痹思想、侥幸心理，从严从紧落实各项防控措施。要高标准落实疫情防控工作责任，认真梳理防控工作存在的问题，及时整改，堵住漏洞、补齐短板。</w:t>
      </w:r>
    </w:p>
    <w:p>
      <w:pPr>
        <w:pStyle w:val="3"/>
        <w:keepNext w:val="0"/>
        <w:keepLines w:val="0"/>
        <w:widowControl/>
        <w:suppressLineNumbers w:val="0"/>
        <w:wordWrap w:val="0"/>
        <w:spacing w:before="0" w:beforeAutospacing="0" w:after="0" w:afterAutospacing="0" w:line="360" w:lineRule="atLeast"/>
        <w:ind w:left="0" w:right="0" w:firstLine="645"/>
        <w:rPr>
          <w:b/>
          <w:bCs/>
          <w:color w:val="auto"/>
        </w:rPr>
      </w:pPr>
      <w:r>
        <w:rPr>
          <w:rStyle w:val="6"/>
          <w:rFonts w:hint="eastAsia" w:ascii="黑体" w:hAnsi="宋体" w:eastAsia="黑体" w:cs="黑体"/>
          <w:sz w:val="31"/>
          <w:szCs w:val="31"/>
          <w:shd w:val="clear" w:fill="FFFFFF"/>
        </w:rPr>
        <w:t>二、严格进场管控。</w:t>
      </w:r>
      <w:r>
        <w:rPr>
          <w:rFonts w:hint="default" w:ascii="仿宋_GB2312" w:eastAsia="仿宋_GB2312" w:cs="仿宋_GB2312"/>
          <w:sz w:val="30"/>
          <w:szCs w:val="30"/>
          <w:shd w:val="clear" w:fill="FFFFFF"/>
        </w:rPr>
        <w:t>进入</w:t>
      </w:r>
      <w:r>
        <w:rPr>
          <w:rFonts w:hint="eastAsia" w:ascii="仿宋_GB2312" w:eastAsia="仿宋_GB2312" w:cs="仿宋_GB2312"/>
          <w:sz w:val="30"/>
          <w:szCs w:val="30"/>
          <w:shd w:val="clear" w:fill="FFFFFF"/>
          <w:lang w:eastAsia="zh-CN"/>
        </w:rPr>
        <w:t>市</w:t>
      </w:r>
      <w:r>
        <w:rPr>
          <w:rFonts w:hint="default" w:ascii="仿宋_GB2312" w:eastAsia="仿宋_GB2312" w:cs="仿宋_GB2312"/>
          <w:sz w:val="30"/>
          <w:szCs w:val="30"/>
          <w:shd w:val="clear" w:fill="FFFFFF"/>
        </w:rPr>
        <w:t>交易中心人员须全程正确佩戴口罩，自觉接受体温检测，体温超过规定值（37.3℃）或未戴口罩者，将谢绝入内。</w:t>
      </w:r>
      <w:r>
        <w:rPr>
          <w:rFonts w:hint="eastAsia" w:ascii="仿宋_GB2312" w:eastAsia="仿宋_GB2312" w:cs="仿宋_GB2312"/>
          <w:b/>
          <w:bCs/>
          <w:sz w:val="30"/>
          <w:szCs w:val="30"/>
          <w:shd w:val="clear" w:fill="FFFFFF"/>
          <w:lang w:eastAsia="zh-CN"/>
        </w:rPr>
        <w:t>为</w:t>
      </w:r>
      <w:r>
        <w:rPr>
          <w:rFonts w:hint="default" w:ascii="仿宋_GB2312" w:eastAsia="仿宋_GB2312" w:cs="仿宋_GB2312"/>
          <w:b/>
          <w:bCs/>
          <w:sz w:val="30"/>
          <w:szCs w:val="30"/>
          <w:shd w:val="clear" w:fill="FFFFFF"/>
        </w:rPr>
        <w:t>严格落实我</w:t>
      </w:r>
      <w:r>
        <w:rPr>
          <w:rFonts w:hint="eastAsia" w:ascii="仿宋_GB2312" w:eastAsia="仿宋_GB2312" w:cs="仿宋_GB2312"/>
          <w:b/>
          <w:bCs/>
          <w:sz w:val="30"/>
          <w:szCs w:val="30"/>
          <w:shd w:val="clear" w:fill="FFFFFF"/>
          <w:lang w:eastAsia="zh-CN"/>
        </w:rPr>
        <w:t>市</w:t>
      </w:r>
      <w:r>
        <w:rPr>
          <w:rFonts w:hint="default" w:ascii="仿宋_GB2312" w:eastAsia="仿宋_GB2312" w:cs="仿宋_GB2312"/>
          <w:b/>
          <w:bCs/>
          <w:sz w:val="30"/>
          <w:szCs w:val="30"/>
          <w:shd w:val="clear" w:fill="FFFFFF"/>
        </w:rPr>
        <w:t>各项防控措施，</w:t>
      </w:r>
      <w:r>
        <w:rPr>
          <w:rFonts w:hint="default" w:ascii="仿宋_GB2312" w:eastAsia="仿宋_GB2312" w:cs="仿宋_GB2312"/>
          <w:b/>
          <w:bCs/>
          <w:color w:val="auto"/>
          <w:sz w:val="30"/>
          <w:szCs w:val="30"/>
          <w:shd w:val="clear" w:fill="FFFFFF"/>
        </w:rPr>
        <w:t>进场</w:t>
      </w:r>
      <w:r>
        <w:rPr>
          <w:rFonts w:hint="eastAsia" w:ascii="仿宋_GB2312" w:eastAsia="仿宋_GB2312" w:cs="仿宋_GB2312"/>
          <w:b/>
          <w:bCs/>
          <w:color w:val="auto"/>
          <w:sz w:val="30"/>
          <w:szCs w:val="30"/>
          <w:shd w:val="clear" w:fill="FFFFFF"/>
          <w:lang w:eastAsia="zh-CN"/>
        </w:rPr>
        <w:t>人员</w:t>
      </w:r>
      <w:r>
        <w:rPr>
          <w:rFonts w:hint="default" w:ascii="仿宋_GB2312" w:eastAsia="仿宋_GB2312" w:cs="仿宋_GB2312"/>
          <w:b/>
          <w:bCs/>
          <w:color w:val="auto"/>
          <w:sz w:val="30"/>
          <w:szCs w:val="30"/>
          <w:shd w:val="clear" w:fill="FFFFFF"/>
        </w:rPr>
        <w:t>请自觉提供</w:t>
      </w:r>
      <w:r>
        <w:rPr>
          <w:rFonts w:hint="eastAsia" w:ascii="仿宋_GB2312" w:eastAsia="仿宋_GB2312" w:cs="仿宋_GB2312"/>
          <w:b/>
          <w:bCs/>
          <w:color w:val="auto"/>
          <w:sz w:val="30"/>
          <w:szCs w:val="30"/>
          <w:shd w:val="clear" w:fill="FFFFFF"/>
          <w:lang w:val="en-US" w:eastAsia="zh-CN"/>
        </w:rPr>
        <w:t>48小时内</w:t>
      </w:r>
      <w:r>
        <w:rPr>
          <w:rFonts w:hint="default" w:ascii="仿宋_GB2312" w:eastAsia="仿宋_GB2312" w:cs="仿宋_GB2312"/>
          <w:b/>
          <w:bCs/>
          <w:color w:val="auto"/>
          <w:sz w:val="30"/>
          <w:szCs w:val="30"/>
          <w:shd w:val="clear" w:fill="FFFFFF"/>
        </w:rPr>
        <w:t>核酸检测证明。</w:t>
      </w:r>
    </w:p>
    <w:p>
      <w:pPr>
        <w:pStyle w:val="3"/>
        <w:keepNext w:val="0"/>
        <w:keepLines w:val="0"/>
        <w:widowControl/>
        <w:suppressLineNumbers w:val="0"/>
        <w:wordWrap w:val="0"/>
        <w:spacing w:before="0" w:beforeAutospacing="0" w:after="0" w:afterAutospacing="0" w:line="360" w:lineRule="atLeast"/>
        <w:ind w:left="0" w:right="0" w:firstLine="645"/>
      </w:pPr>
      <w:r>
        <w:rPr>
          <w:rStyle w:val="6"/>
          <w:rFonts w:hint="eastAsia" w:ascii="黑体" w:hAnsi="宋体" w:eastAsia="黑体" w:cs="黑体"/>
          <w:sz w:val="31"/>
          <w:szCs w:val="31"/>
          <w:shd w:val="clear" w:fill="FFFFFF"/>
        </w:rPr>
        <w:t>三、加强健康码和行程码查验。</w:t>
      </w:r>
      <w:r>
        <w:rPr>
          <w:rFonts w:hint="eastAsia" w:ascii="仿宋_GB2312" w:eastAsia="仿宋_GB2312" w:cs="仿宋_GB2312"/>
          <w:sz w:val="31"/>
          <w:szCs w:val="31"/>
          <w:shd w:val="clear" w:fill="FFFFFF"/>
          <w:lang w:eastAsia="zh-CN"/>
        </w:rPr>
        <w:t>市</w:t>
      </w:r>
      <w:r>
        <w:rPr>
          <w:rFonts w:hint="default" w:ascii="仿宋_GB2312" w:eastAsia="仿宋_GB2312" w:cs="仿宋_GB2312"/>
          <w:sz w:val="31"/>
          <w:szCs w:val="31"/>
          <w:shd w:val="clear" w:fill="FFFFFF"/>
        </w:rPr>
        <w:t>交易中心将查验来访人员健康码（地点码）和行程码，请来访人员全程佩戴口罩，服从工作人员引导，保持1米以上安全间隔距离。来访人员健康码黄码或红码、行程码带“*”号人员不得进入</w:t>
      </w:r>
      <w:r>
        <w:rPr>
          <w:rFonts w:hint="eastAsia" w:ascii="仿宋_GB2312" w:eastAsia="仿宋_GB2312" w:cs="仿宋_GB2312"/>
          <w:sz w:val="31"/>
          <w:szCs w:val="31"/>
          <w:shd w:val="clear" w:fill="FFFFFF"/>
          <w:lang w:eastAsia="zh-CN"/>
        </w:rPr>
        <w:t>市</w:t>
      </w:r>
      <w:r>
        <w:rPr>
          <w:rFonts w:hint="default" w:ascii="仿宋_GB2312" w:eastAsia="仿宋_GB2312" w:cs="仿宋_GB2312"/>
          <w:sz w:val="31"/>
          <w:szCs w:val="31"/>
          <w:shd w:val="clear" w:fill="FFFFFF"/>
        </w:rPr>
        <w:t>交易中心室内场所。</w:t>
      </w:r>
    </w:p>
    <w:p>
      <w:pPr>
        <w:pStyle w:val="3"/>
        <w:keepNext w:val="0"/>
        <w:keepLines w:val="0"/>
        <w:widowControl/>
        <w:suppressLineNumbers w:val="0"/>
        <w:wordWrap w:val="0"/>
        <w:spacing w:before="0" w:beforeAutospacing="0" w:after="0" w:afterAutospacing="0" w:line="360" w:lineRule="atLeast"/>
        <w:ind w:left="0" w:right="0" w:firstLine="645"/>
      </w:pPr>
      <w:r>
        <w:rPr>
          <w:rStyle w:val="6"/>
          <w:rFonts w:hint="eastAsia" w:ascii="黑体" w:hAnsi="宋体" w:eastAsia="黑体" w:cs="黑体"/>
          <w:sz w:val="31"/>
          <w:szCs w:val="31"/>
          <w:shd w:val="clear" w:fill="FFFFFF"/>
        </w:rPr>
        <w:t>四、严格控制进场人数。</w:t>
      </w:r>
      <w:r>
        <w:rPr>
          <w:rFonts w:hint="default" w:ascii="仿宋_GB2312" w:eastAsia="仿宋_GB2312" w:cs="仿宋_GB2312"/>
          <w:sz w:val="31"/>
          <w:szCs w:val="31"/>
          <w:shd w:val="clear" w:fill="FFFFFF"/>
        </w:rPr>
        <w:t>原则上每个项目行政监督限派一名代表、代理机构不超过两名工作人员，投标人、竞买人限派一名代表。</w:t>
      </w:r>
    </w:p>
    <w:p>
      <w:pPr>
        <w:pStyle w:val="3"/>
        <w:keepNext w:val="0"/>
        <w:keepLines w:val="0"/>
        <w:widowControl/>
        <w:suppressLineNumbers w:val="0"/>
        <w:wordWrap w:val="0"/>
        <w:spacing w:before="0" w:beforeAutospacing="0" w:after="0" w:afterAutospacing="0" w:line="360" w:lineRule="atLeast"/>
        <w:ind w:left="0" w:right="0" w:firstLine="645"/>
      </w:pPr>
      <w:r>
        <w:rPr>
          <w:rStyle w:val="6"/>
          <w:rFonts w:hint="eastAsia" w:ascii="黑体" w:hAnsi="宋体" w:eastAsia="黑体" w:cs="黑体"/>
          <w:sz w:val="31"/>
          <w:szCs w:val="31"/>
          <w:shd w:val="clear" w:fill="FFFFFF"/>
        </w:rPr>
        <w:t>五、严格遵守现场管理规定。</w:t>
      </w:r>
      <w:r>
        <w:rPr>
          <w:rFonts w:hint="default" w:ascii="仿宋_GB2312" w:eastAsia="仿宋_GB2312" w:cs="仿宋_GB2312"/>
          <w:sz w:val="31"/>
          <w:szCs w:val="31"/>
          <w:shd w:val="clear" w:fill="FFFFFF"/>
        </w:rPr>
        <w:t>进入</w:t>
      </w:r>
      <w:r>
        <w:rPr>
          <w:rFonts w:hint="eastAsia" w:ascii="仿宋_GB2312" w:eastAsia="仿宋_GB2312" w:cs="仿宋_GB2312"/>
          <w:sz w:val="31"/>
          <w:szCs w:val="31"/>
          <w:shd w:val="clear" w:fill="FFFFFF"/>
          <w:lang w:eastAsia="zh-CN"/>
        </w:rPr>
        <w:t>市</w:t>
      </w:r>
      <w:r>
        <w:rPr>
          <w:rFonts w:hint="default" w:ascii="仿宋_GB2312" w:eastAsia="仿宋_GB2312" w:cs="仿宋_GB2312"/>
          <w:sz w:val="31"/>
          <w:szCs w:val="31"/>
          <w:shd w:val="clear" w:fill="FFFFFF"/>
        </w:rPr>
        <w:t>交易中心室内场所后，办事人员须全程佩戴口罩，服从工作人员引导，保持适当距离，隔位落座，不得扎堆聚集。办理业务时请提前准备好相关提交材料，一次办结，即办即走不逗留。</w:t>
      </w:r>
    </w:p>
    <w:p>
      <w:pPr>
        <w:pStyle w:val="3"/>
        <w:keepNext w:val="0"/>
        <w:keepLines w:val="0"/>
        <w:widowControl/>
        <w:suppressLineNumbers w:val="0"/>
        <w:wordWrap w:val="0"/>
        <w:spacing w:before="0" w:beforeAutospacing="0" w:after="0" w:afterAutospacing="0" w:line="360" w:lineRule="atLeast"/>
        <w:ind w:left="0" w:right="0" w:firstLine="645"/>
      </w:pPr>
      <w:r>
        <w:rPr>
          <w:rStyle w:val="6"/>
          <w:rFonts w:hint="eastAsia" w:ascii="黑体" w:hAnsi="宋体" w:eastAsia="黑体" w:cs="黑体"/>
          <w:sz w:val="31"/>
          <w:szCs w:val="31"/>
          <w:shd w:val="clear" w:fill="FFFFFF"/>
        </w:rPr>
        <w:t>六、直接进入工作区域</w:t>
      </w:r>
      <w:r>
        <w:rPr>
          <w:rFonts w:hint="default" w:ascii="仿宋_GB2312" w:eastAsia="仿宋_GB2312" w:cs="仿宋_GB2312"/>
          <w:sz w:val="31"/>
          <w:szCs w:val="31"/>
          <w:shd w:val="clear" w:fill="FFFFFF"/>
        </w:rPr>
        <w:t>。进入</w:t>
      </w:r>
      <w:r>
        <w:rPr>
          <w:rFonts w:hint="eastAsia" w:ascii="仿宋_GB2312" w:eastAsia="仿宋_GB2312" w:cs="仿宋_GB2312"/>
          <w:sz w:val="31"/>
          <w:szCs w:val="31"/>
          <w:shd w:val="clear" w:fill="FFFFFF"/>
          <w:lang w:eastAsia="zh-CN"/>
        </w:rPr>
        <w:t>市交</w:t>
      </w:r>
      <w:r>
        <w:rPr>
          <w:rFonts w:hint="default" w:ascii="仿宋_GB2312" w:eastAsia="仿宋_GB2312" w:cs="仿宋_GB2312"/>
          <w:sz w:val="31"/>
          <w:szCs w:val="31"/>
          <w:shd w:val="clear" w:fill="FFFFFF"/>
        </w:rPr>
        <w:t>易现场的市场主体、行政监督、评标专家、代理机构工作人员应直接进入各自的工作区域，不得串岗串室，进入与工作无关区域。</w:t>
      </w:r>
    </w:p>
    <w:p>
      <w:pPr>
        <w:pStyle w:val="3"/>
        <w:keepNext w:val="0"/>
        <w:keepLines w:val="0"/>
        <w:widowControl/>
        <w:suppressLineNumbers w:val="0"/>
        <w:wordWrap w:val="0"/>
        <w:spacing w:before="0" w:beforeAutospacing="0" w:after="0" w:afterAutospacing="0" w:line="360" w:lineRule="atLeast"/>
        <w:ind w:left="0" w:right="0"/>
        <w:jc w:val="right"/>
      </w:pPr>
      <w:r>
        <w:rPr>
          <w:rFonts w:hint="default" w:ascii="仿宋_GB2312" w:eastAsia="仿宋_GB2312" w:cs="仿宋_GB2312"/>
          <w:sz w:val="31"/>
          <w:szCs w:val="31"/>
          <w:shd w:val="clear" w:fill="FFFFFF"/>
        </w:rPr>
        <w:t> </w:t>
      </w:r>
    </w:p>
    <w:p>
      <w:pPr>
        <w:pStyle w:val="3"/>
        <w:keepNext w:val="0"/>
        <w:keepLines w:val="0"/>
        <w:widowControl/>
        <w:suppressLineNumbers w:val="0"/>
        <w:wordWrap w:val="0"/>
        <w:spacing w:before="0" w:beforeAutospacing="0" w:after="0" w:afterAutospacing="0" w:line="360" w:lineRule="atLeast"/>
        <w:ind w:left="0" w:right="0" w:firstLine="3675"/>
        <w:jc w:val="right"/>
      </w:pPr>
      <w:r>
        <w:rPr>
          <w:rFonts w:hint="eastAsia" w:ascii="仿宋_GB2312" w:eastAsia="仿宋_GB2312" w:cs="仿宋_GB2312"/>
          <w:sz w:val="31"/>
          <w:szCs w:val="31"/>
          <w:shd w:val="clear" w:fill="FFFFFF"/>
          <w:lang w:eastAsia="zh-CN"/>
        </w:rPr>
        <w:t>琼海市</w:t>
      </w:r>
      <w:r>
        <w:rPr>
          <w:rFonts w:hint="default" w:ascii="仿宋_GB2312" w:eastAsia="仿宋_GB2312" w:cs="仿宋_GB2312"/>
          <w:sz w:val="31"/>
          <w:szCs w:val="31"/>
          <w:shd w:val="clear" w:fill="FFFFFF"/>
        </w:rPr>
        <w:t>公共资源交易服务中心</w:t>
      </w:r>
    </w:p>
    <w:p>
      <w:pPr>
        <w:pStyle w:val="3"/>
        <w:keepNext w:val="0"/>
        <w:keepLines w:val="0"/>
        <w:widowControl/>
        <w:suppressLineNumbers w:val="0"/>
        <w:wordWrap w:val="0"/>
        <w:spacing w:before="0" w:beforeAutospacing="0" w:after="0" w:afterAutospacing="0" w:line="360" w:lineRule="atLeast"/>
        <w:ind w:left="0" w:right="0" w:firstLine="5115"/>
        <w:jc w:val="center"/>
      </w:pPr>
      <w:r>
        <w:rPr>
          <w:rFonts w:hint="default" w:ascii="仿宋_GB2312" w:eastAsia="仿宋_GB2312" w:cs="仿宋_GB2312"/>
          <w:sz w:val="31"/>
          <w:szCs w:val="31"/>
          <w:shd w:val="clear" w:fill="FFFFFF"/>
        </w:rPr>
        <w:t>2022年4月</w:t>
      </w:r>
      <w:r>
        <w:rPr>
          <w:rFonts w:hint="eastAsia" w:ascii="仿宋_GB2312" w:eastAsia="仿宋_GB2312" w:cs="仿宋_GB2312"/>
          <w:sz w:val="31"/>
          <w:szCs w:val="31"/>
          <w:shd w:val="clear" w:fill="FFFFFF"/>
          <w:lang w:val="en-US" w:eastAsia="zh-CN"/>
        </w:rPr>
        <w:t>6</w:t>
      </w:r>
      <w:r>
        <w:rPr>
          <w:rFonts w:hint="default" w:ascii="仿宋_GB2312" w:eastAsia="仿宋_GB2312" w:cs="仿宋_GB2312"/>
          <w:sz w:val="31"/>
          <w:szCs w:val="31"/>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66C54"/>
    <w:rsid w:val="077649A7"/>
    <w:rsid w:val="0BB41C9C"/>
    <w:rsid w:val="10676014"/>
    <w:rsid w:val="10E54C23"/>
    <w:rsid w:val="10FB02DE"/>
    <w:rsid w:val="1168447E"/>
    <w:rsid w:val="139D5233"/>
    <w:rsid w:val="14D73239"/>
    <w:rsid w:val="17AC70FA"/>
    <w:rsid w:val="1E925209"/>
    <w:rsid w:val="21923950"/>
    <w:rsid w:val="23522D91"/>
    <w:rsid w:val="273563CA"/>
    <w:rsid w:val="2BB92BF6"/>
    <w:rsid w:val="31171261"/>
    <w:rsid w:val="31D635B1"/>
    <w:rsid w:val="33B70113"/>
    <w:rsid w:val="36AA6A1F"/>
    <w:rsid w:val="379018EE"/>
    <w:rsid w:val="37F263DD"/>
    <w:rsid w:val="3C121C87"/>
    <w:rsid w:val="3FDD6D05"/>
    <w:rsid w:val="40C47098"/>
    <w:rsid w:val="4371484E"/>
    <w:rsid w:val="44405FCE"/>
    <w:rsid w:val="45176498"/>
    <w:rsid w:val="462E3EF3"/>
    <w:rsid w:val="48AA6A89"/>
    <w:rsid w:val="4C4B3C89"/>
    <w:rsid w:val="55CF6E60"/>
    <w:rsid w:val="58742929"/>
    <w:rsid w:val="59341C9A"/>
    <w:rsid w:val="598E10E4"/>
    <w:rsid w:val="5A5C5DCE"/>
    <w:rsid w:val="5B3B751C"/>
    <w:rsid w:val="5D8A509E"/>
    <w:rsid w:val="5DD243CA"/>
    <w:rsid w:val="606B564A"/>
    <w:rsid w:val="65715F98"/>
    <w:rsid w:val="66E8236F"/>
    <w:rsid w:val="6D3D5E78"/>
    <w:rsid w:val="70664C88"/>
    <w:rsid w:val="72670956"/>
    <w:rsid w:val="75FD28FD"/>
    <w:rsid w:val="774B2CAD"/>
    <w:rsid w:val="7869409E"/>
    <w:rsid w:val="79794684"/>
    <w:rsid w:val="7CFB285C"/>
    <w:rsid w:val="7D705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sz w:val="21"/>
      <w:szCs w:val="21"/>
      <w:u w:val="none"/>
    </w:rPr>
  </w:style>
  <w:style w:type="character" w:styleId="8">
    <w:name w:val="Emphasis"/>
    <w:basedOn w:val="5"/>
    <w:qFormat/>
    <w:uiPriority w:val="0"/>
  </w:style>
  <w:style w:type="character" w:styleId="9">
    <w:name w:val="Hyperlink"/>
    <w:basedOn w:val="5"/>
    <w:qFormat/>
    <w:uiPriority w:val="0"/>
    <w:rPr>
      <w:color w:val="333333"/>
      <w:sz w:val="21"/>
      <w:szCs w:val="21"/>
      <w:u w:val="none"/>
    </w:rPr>
  </w:style>
  <w:style w:type="character" w:customStyle="1" w:styleId="10">
    <w:name w:val="english"/>
    <w:basedOn w:val="5"/>
    <w:qFormat/>
    <w:uiPriority w:val="0"/>
    <w:rPr>
      <w:rFonts w:ascii="微软雅黑" w:hAnsi="微软雅黑" w:eastAsia="微软雅黑" w:cs="微软雅黑"/>
      <w:i/>
      <w:caps/>
      <w:color w:val="9E9E9E"/>
      <w:sz w:val="21"/>
      <w:szCs w:val="21"/>
    </w:rPr>
  </w:style>
  <w:style w:type="character" w:customStyle="1" w:styleId="11">
    <w:name w:val="english1"/>
    <w:basedOn w:val="5"/>
    <w:qFormat/>
    <w:uiPriority w:val="0"/>
    <w:rPr>
      <w:rFonts w:hint="eastAsia" w:ascii="微软雅黑" w:hAnsi="微软雅黑" w:eastAsia="微软雅黑" w:cs="微软雅黑"/>
      <w:color w:val="000000"/>
      <w:sz w:val="12"/>
      <w:szCs w:val="12"/>
    </w:rPr>
  </w:style>
  <w:style w:type="character" w:customStyle="1" w:styleId="12">
    <w:name w:val="english2"/>
    <w:basedOn w:val="5"/>
    <w:qFormat/>
    <w:uiPriority w:val="0"/>
    <w:rPr>
      <w:rFonts w:hint="eastAsia" w:ascii="微软雅黑" w:hAnsi="微软雅黑" w:eastAsia="微软雅黑" w:cs="微软雅黑"/>
      <w:i/>
      <w:caps/>
      <w:color w:val="9E9E9E"/>
      <w:sz w:val="21"/>
      <w:szCs w:val="21"/>
    </w:rPr>
  </w:style>
  <w:style w:type="character" w:customStyle="1" w:styleId="13">
    <w:name w:val="time"/>
    <w:basedOn w:val="5"/>
    <w:qFormat/>
    <w:uiPriority w:val="0"/>
  </w:style>
  <w:style w:type="character" w:customStyle="1" w:styleId="14">
    <w:name w:val="time1"/>
    <w:basedOn w:val="5"/>
    <w:qFormat/>
    <w:uiPriority w:val="0"/>
  </w:style>
  <w:style w:type="character" w:customStyle="1" w:styleId="15">
    <w:name w:val="time2"/>
    <w:basedOn w:val="5"/>
    <w:qFormat/>
    <w:uiPriority w:val="0"/>
  </w:style>
  <w:style w:type="character" w:customStyle="1" w:styleId="16">
    <w:name w:val="zx-xuan15"/>
    <w:basedOn w:val="5"/>
    <w:qFormat/>
    <w:uiPriority w:val="0"/>
    <w:rPr>
      <w:color w:val="FFFFFF"/>
    </w:rPr>
  </w:style>
  <w:style w:type="character" w:customStyle="1" w:styleId="17">
    <w:name w:val="r-5-l-sp3"/>
    <w:basedOn w:val="5"/>
    <w:qFormat/>
    <w:uiPriority w:val="0"/>
  </w:style>
  <w:style w:type="character" w:customStyle="1" w:styleId="18">
    <w:name w:val="after"/>
    <w:basedOn w:val="5"/>
    <w:qFormat/>
    <w:uiPriority w:val="0"/>
    <w:rPr>
      <w:color w:val="CA1C1D"/>
      <w:shd w:val="clear" w:fill="CA1C1D"/>
    </w:rPr>
  </w:style>
  <w:style w:type="character" w:customStyle="1" w:styleId="19">
    <w:name w:val="after1"/>
    <w:basedOn w:val="5"/>
    <w:qFormat/>
    <w:uiPriority w:val="0"/>
    <w:rPr>
      <w:color w:val="CA1C1D"/>
      <w:shd w:val="clear" w:fill="CA1C1D"/>
    </w:rPr>
  </w:style>
  <w:style w:type="character" w:customStyle="1" w:styleId="20">
    <w:name w:val="zx-xuan4"/>
    <w:basedOn w:val="5"/>
    <w:qFormat/>
    <w:uiPriority w:val="0"/>
    <w:rPr>
      <w:shd w:val="clear" w:fill="FFFFFF"/>
    </w:rPr>
  </w:style>
  <w:style w:type="character" w:customStyle="1" w:styleId="21">
    <w:name w:val="bsfw-sp2"/>
    <w:basedOn w:val="5"/>
    <w:qFormat/>
    <w:uiPriority w:val="0"/>
  </w:style>
  <w:style w:type="character" w:customStyle="1" w:styleId="22">
    <w:name w:val="bsfw-sp1"/>
    <w:basedOn w:val="5"/>
    <w:qFormat/>
    <w:uiPriority w:val="0"/>
  </w:style>
  <w:style w:type="character" w:customStyle="1" w:styleId="23">
    <w:name w:val="bsfw-sp11"/>
    <w:basedOn w:val="5"/>
    <w:qFormat/>
    <w:uiPriority w:val="0"/>
    <w:rPr>
      <w:color w:val="FFFFFF"/>
      <w:shd w:val="clear" w:fill="CA1C1D"/>
    </w:rPr>
  </w:style>
  <w:style w:type="character" w:customStyle="1" w:styleId="24">
    <w:name w:val="zx-span3"/>
    <w:basedOn w:val="5"/>
    <w:qFormat/>
    <w:uiPriority w:val="0"/>
  </w:style>
  <w:style w:type="character" w:customStyle="1" w:styleId="25">
    <w:name w:val="zx-span31"/>
    <w:basedOn w:val="5"/>
    <w:qFormat/>
    <w:uiPriority w:val="0"/>
    <w:rPr>
      <w:color w:val="FFFFFF"/>
    </w:rPr>
  </w:style>
  <w:style w:type="character" w:customStyle="1" w:styleId="26">
    <w:name w:val="hdjl-x-l-m-sp2"/>
    <w:basedOn w:val="5"/>
    <w:qFormat/>
    <w:uiPriority w:val="0"/>
  </w:style>
  <w:style w:type="character" w:customStyle="1" w:styleId="27">
    <w:name w:val="hover81"/>
    <w:basedOn w:val="5"/>
    <w:qFormat/>
    <w:uiPriority w:val="0"/>
    <w:rPr>
      <w:shd w:val="clear" w:fill="A40000"/>
    </w:rPr>
  </w:style>
  <w:style w:type="character" w:customStyle="1" w:styleId="28">
    <w:name w:val="zx-span1"/>
    <w:basedOn w:val="5"/>
    <w:uiPriority w:val="0"/>
  </w:style>
  <w:style w:type="character" w:customStyle="1" w:styleId="29">
    <w:name w:val="zx-span11"/>
    <w:basedOn w:val="5"/>
    <w:qFormat/>
    <w:uiPriority w:val="0"/>
    <w:rPr>
      <w:color w:val="FFFFFF"/>
    </w:rPr>
  </w:style>
  <w:style w:type="character" w:customStyle="1" w:styleId="30">
    <w:name w:val="zx-span4"/>
    <w:basedOn w:val="5"/>
    <w:qFormat/>
    <w:uiPriority w:val="0"/>
  </w:style>
  <w:style w:type="character" w:customStyle="1" w:styleId="31">
    <w:name w:val="zx-span41"/>
    <w:basedOn w:val="5"/>
    <w:qFormat/>
    <w:uiPriority w:val="0"/>
    <w:rPr>
      <w:color w:val="FFFFFF"/>
    </w:rPr>
  </w:style>
  <w:style w:type="character" w:customStyle="1" w:styleId="32">
    <w:name w:val="zx-span2"/>
    <w:basedOn w:val="5"/>
    <w:qFormat/>
    <w:uiPriority w:val="0"/>
  </w:style>
  <w:style w:type="character" w:customStyle="1" w:styleId="33">
    <w:name w:val="zx-span21"/>
    <w:basedOn w:val="5"/>
    <w:qFormat/>
    <w:uiPriority w:val="0"/>
    <w:rPr>
      <w:color w:val="FFFFFF"/>
    </w:rPr>
  </w:style>
  <w:style w:type="character" w:customStyle="1" w:styleId="34">
    <w:name w:val="zx-span5"/>
    <w:basedOn w:val="5"/>
    <w:qFormat/>
    <w:uiPriority w:val="0"/>
  </w:style>
  <w:style w:type="character" w:customStyle="1" w:styleId="35">
    <w:name w:val="zx-span51"/>
    <w:basedOn w:val="5"/>
    <w:qFormat/>
    <w:uiPriority w:val="0"/>
    <w:rPr>
      <w:color w:val="FFFFFF"/>
    </w:rPr>
  </w:style>
  <w:style w:type="character" w:customStyle="1" w:styleId="36">
    <w:name w:val="zwfw-sp2"/>
    <w:basedOn w:val="5"/>
    <w:qFormat/>
    <w:uiPriority w:val="0"/>
  </w:style>
  <w:style w:type="character" w:customStyle="1" w:styleId="37">
    <w:name w:val="hdjl-x-l-x-sp3"/>
    <w:basedOn w:val="5"/>
    <w:qFormat/>
    <w:uiPriority w:val="0"/>
    <w:rPr>
      <w:color w:val="BFBFBF"/>
      <w:sz w:val="18"/>
      <w:szCs w:val="18"/>
    </w:rPr>
  </w:style>
  <w:style w:type="character" w:customStyle="1" w:styleId="38">
    <w:name w:val="r-5-l-sp1"/>
    <w:basedOn w:val="5"/>
    <w:qFormat/>
    <w:uiPriority w:val="0"/>
  </w:style>
  <w:style w:type="character" w:customStyle="1" w:styleId="39">
    <w:name w:val="r-5-l-sp2"/>
    <w:basedOn w:val="5"/>
    <w:qFormat/>
    <w:uiPriority w:val="0"/>
  </w:style>
  <w:style w:type="character" w:customStyle="1" w:styleId="40">
    <w:name w:val="hdjl-x-l-m-sp3"/>
    <w:basedOn w:val="5"/>
    <w:qFormat/>
    <w:uiPriority w:val="0"/>
  </w:style>
  <w:style w:type="character" w:customStyle="1" w:styleId="41">
    <w:name w:val="bsfw-sp3"/>
    <w:basedOn w:val="5"/>
    <w:qFormat/>
    <w:uiPriority w:val="0"/>
  </w:style>
  <w:style w:type="character" w:customStyle="1" w:styleId="42">
    <w:name w:val="bsfw-sp31"/>
    <w:basedOn w:val="5"/>
    <w:qFormat/>
    <w:uiPriority w:val="0"/>
    <w:rPr>
      <w:color w:val="FFFFFF"/>
      <w:shd w:val="clear" w:fill="CA1C1D"/>
    </w:rPr>
  </w:style>
  <w:style w:type="character" w:customStyle="1" w:styleId="43">
    <w:name w:val="hdjl-x-l-m-sp1"/>
    <w:basedOn w:val="5"/>
    <w:qFormat/>
    <w:uiPriority w:val="0"/>
  </w:style>
  <w:style w:type="character" w:customStyle="1" w:styleId="44">
    <w:name w:val="hdjl-x-l-x-sp1"/>
    <w:basedOn w:val="5"/>
    <w:qFormat/>
    <w:uiPriority w:val="0"/>
    <w:rPr>
      <w:color w:val="BFBFBF"/>
      <w:sz w:val="24"/>
      <w:szCs w:val="24"/>
    </w:rPr>
  </w:style>
  <w:style w:type="character" w:customStyle="1" w:styleId="45">
    <w:name w:val="hdjl-x-l-m-sp4"/>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2022-04-06T00:51:00Z</dcterms:created>
  <dc:creator>Administrator</dc:creator>
  <cp:lastModifiedBy>Administrator</cp:lastModifiedBy>
  <dcterms:modified xsi:type="dcterms:W3CDTF">2022-04-06T01:43:54Z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