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省际联盟</w:t>
      </w:r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海南医用高值</w:t>
      </w:r>
      <w:r>
        <w:rPr>
          <w:rFonts w:hint="eastAsia" w:ascii="黑体" w:hAnsi="黑体" w:eastAsia="黑体"/>
          <w:b/>
          <w:bCs/>
          <w:sz w:val="30"/>
          <w:szCs w:val="30"/>
        </w:rPr>
        <w:t>耗材</w:t>
      </w:r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交易系统</w:t>
      </w:r>
    </w:p>
    <w:p>
      <w:pPr>
        <w:jc w:val="center"/>
        <w:rPr>
          <w:rFonts w:hint="eastAsia"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配送关系操作手册</w:t>
      </w:r>
    </w:p>
    <w:p>
      <w:pPr>
        <w:jc w:val="center"/>
        <w:rPr>
          <w:rFonts w:hint="eastAsia" w:ascii="黑体" w:hAnsi="黑体" w:eastAsia="黑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/>
          <w:b/>
          <w:bCs/>
          <w:sz w:val="21"/>
          <w:szCs w:val="21"/>
          <w:lang w:eastAsia="zh-CN"/>
        </w:rPr>
        <w:t>（</w:t>
      </w:r>
      <w:r>
        <w:rPr>
          <w:rFonts w:hint="eastAsia" w:ascii="黑体" w:hAnsi="黑体" w:eastAsia="黑体"/>
          <w:b/>
          <w:bCs/>
          <w:sz w:val="21"/>
          <w:szCs w:val="21"/>
          <w:lang w:val="en-US" w:eastAsia="zh-CN"/>
        </w:rPr>
        <w:t>2020年5月</w:t>
      </w:r>
      <w:r>
        <w:rPr>
          <w:rFonts w:hint="eastAsia" w:ascii="黑体" w:hAnsi="黑体" w:eastAsia="黑体"/>
          <w:b/>
          <w:bCs/>
          <w:sz w:val="21"/>
          <w:szCs w:val="21"/>
          <w:lang w:eastAsia="zh-CN"/>
        </w:rPr>
        <w:t>）</w:t>
      </w:r>
    </w:p>
    <w:p>
      <w:pPr>
        <w:jc w:val="center"/>
        <w:rPr>
          <w:rFonts w:hint="eastAsia" w:ascii="黑体" w:hAnsi="黑体" w:eastAsia="黑体"/>
          <w:b/>
          <w:bCs/>
          <w:sz w:val="30"/>
          <w:szCs w:val="30"/>
        </w:rPr>
      </w:pPr>
    </w:p>
    <w:p>
      <w:pPr>
        <w:pStyle w:val="4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新建配送关系</w:t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菜单位置：（生产企业端）配送关系管理</w:t>
      </w:r>
      <w:r>
        <w:t>—</w:t>
      </w:r>
      <w:r>
        <w:rPr>
          <w:rFonts w:hint="eastAsia"/>
        </w:rPr>
        <w:t>新建配送关系</w:t>
      </w:r>
    </w:p>
    <w:p>
      <w:r>
        <w:drawing>
          <wp:inline distT="0" distB="0" distL="0" distR="0">
            <wp:extent cx="6149975" cy="3244850"/>
            <wp:effectExtent l="0" t="0" r="317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997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点击组件编号前操作按钮，进入该组件配送关系建立窗口</w:t>
      </w:r>
    </w:p>
    <w:p>
      <w:r>
        <w:drawing>
          <wp:inline distT="0" distB="0" distL="0" distR="0">
            <wp:extent cx="6122035" cy="2974975"/>
            <wp:effectExtent l="0" t="0" r="12065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选择页面左侧行政区域，右侧即出现可选择配送企业列表，点击企业列表后的医院详情按钮进入该区域医院列表选择界面，勾选需要建立的医院名称，点击下方确定建立按钮，即建立初始配送关系，等待配送企业确认即可。</w:t>
      </w:r>
    </w:p>
    <w:p>
      <w:pPr>
        <w:rPr>
          <w:rFonts w:hint="eastAsia"/>
        </w:rPr>
      </w:pPr>
      <w:r>
        <w:drawing>
          <wp:inline distT="0" distB="0" distL="0" distR="0">
            <wp:extent cx="6264910" cy="3376295"/>
            <wp:effectExtent l="0" t="0" r="254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二、确认/拒绝配送关系</w:t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菜单位置：（配送企业端）配送关系管理</w:t>
      </w:r>
      <w:r>
        <w:t>—</w:t>
      </w:r>
      <w:r>
        <w:rPr>
          <w:rFonts w:hint="eastAsia"/>
        </w:rPr>
        <w:t>确认/拒绝配送关系</w:t>
      </w:r>
    </w:p>
    <w:p>
      <w:r>
        <w:drawing>
          <wp:inline distT="0" distB="0" distL="0" distR="0">
            <wp:extent cx="6254750" cy="3570605"/>
            <wp:effectExtent l="0" t="0" r="12700" b="1079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勾选需要确认或拒绝的待确认的配送关系，点击下方确认或拒绝按钮即可</w:t>
      </w:r>
    </w:p>
    <w:p>
      <w:pPr>
        <w:rPr>
          <w:rFonts w:hint="eastAsia"/>
        </w:rPr>
      </w:pPr>
      <w:r>
        <w:drawing>
          <wp:inline distT="0" distB="0" distL="0" distR="0">
            <wp:extent cx="6254750" cy="3822065"/>
            <wp:effectExtent l="0" t="0" r="1270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b/>
          <w:bCs/>
        </w:rPr>
      </w:pPr>
      <w:r>
        <w:rPr>
          <w:rFonts w:hint="eastAsia"/>
          <w:b/>
          <w:bCs/>
        </w:rPr>
        <w:t>三、配送关系维护</w:t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菜单位置：（配送企业端</w:t>
      </w:r>
      <w:r>
        <w:rPr>
          <w:rFonts w:hint="eastAsia"/>
          <w:lang w:eastAsia="zh-CN"/>
        </w:rPr>
        <w:t>、</w:t>
      </w:r>
      <w:r>
        <w:rPr>
          <w:rFonts w:hint="eastAsia"/>
        </w:rPr>
        <w:t>生产企业端）配送关系管理</w:t>
      </w:r>
      <w:r>
        <w:t>—</w:t>
      </w:r>
      <w:r>
        <w:rPr>
          <w:rFonts w:hint="eastAsia"/>
        </w:rPr>
        <w:t>配送关系维护</w:t>
      </w:r>
    </w:p>
    <w:p>
      <w:bookmarkStart w:id="0" w:name="_GoBack"/>
      <w:r>
        <w:drawing>
          <wp:inline distT="0" distB="0" distL="0" distR="0">
            <wp:extent cx="6169025" cy="3692525"/>
            <wp:effectExtent l="0" t="0" r="3175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9025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配送关系维护可进行四种操作，勾选需要操作的配送关系，点击下方操作按钮即可，以下为四种操作按钮的适用情况</w:t>
      </w:r>
    </w:p>
    <w:p>
      <w:pPr>
        <w:pStyle w:val="4"/>
        <w:numPr>
          <w:ilvl w:val="0"/>
          <w:numId w:val="3"/>
        </w:numPr>
        <w:ind w:firstLineChars="0"/>
      </w:pPr>
      <w:r>
        <w:rPr>
          <w:rFonts w:hint="eastAsia"/>
          <w:b/>
          <w:bCs/>
        </w:rPr>
        <w:t>删除配送：</w:t>
      </w:r>
      <w:r>
        <w:rPr>
          <w:rFonts w:hint="eastAsia"/>
        </w:rPr>
        <w:t>该操作只针对生产企业可进行操作，适用于刚刚新建的配送关系，配送企业尚未确认的情况下，可将配送关系进行删除。</w:t>
      </w:r>
    </w:p>
    <w:p>
      <w:pPr>
        <w:pStyle w:val="4"/>
        <w:numPr>
          <w:ilvl w:val="0"/>
          <w:numId w:val="3"/>
        </w:numPr>
        <w:ind w:firstLineChars="0"/>
      </w:pPr>
      <w:r>
        <w:rPr>
          <w:rFonts w:hint="eastAsia"/>
          <w:b/>
          <w:bCs/>
        </w:rPr>
        <w:t>申请解除：</w:t>
      </w:r>
      <w:r>
        <w:rPr>
          <w:rFonts w:hint="eastAsia"/>
        </w:rPr>
        <w:t>该操作针对配送企业已经确认的配送关系，可以由生产企业或配送企业进行该操作，申请后即表示希望解除配送关系，待另一方确认</w:t>
      </w:r>
    </w:p>
    <w:p>
      <w:pPr>
        <w:pStyle w:val="4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  <w:b/>
          <w:bCs/>
        </w:rPr>
        <w:t>确认解除/拒绝解除：</w:t>
      </w:r>
      <w:r>
        <w:rPr>
          <w:rFonts w:hint="eastAsia"/>
        </w:rPr>
        <w:t>该操作适用于已提出申请解除的配送关系，由非提出者进行该操作，确认解除即配送关系解除成功，拒绝即配送关系解除失败。</w:t>
      </w:r>
    </w:p>
    <w:sectPr>
      <w:pgSz w:w="11906" w:h="16838"/>
      <w:pgMar w:top="1020" w:right="1066" w:bottom="898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187"/>
    <w:multiLevelType w:val="multilevel"/>
    <w:tmpl w:val="10A66187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0D7BED"/>
    <w:multiLevelType w:val="multilevel"/>
    <w:tmpl w:val="3C0D7BE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2A45278"/>
    <w:multiLevelType w:val="multilevel"/>
    <w:tmpl w:val="42A4527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8"/>
    <w:rsid w:val="00184F71"/>
    <w:rsid w:val="0028228D"/>
    <w:rsid w:val="002E4C17"/>
    <w:rsid w:val="004560D9"/>
    <w:rsid w:val="0065170D"/>
    <w:rsid w:val="006A5AE4"/>
    <w:rsid w:val="0086746B"/>
    <w:rsid w:val="009214FF"/>
    <w:rsid w:val="00A94A37"/>
    <w:rsid w:val="00B55C20"/>
    <w:rsid w:val="00BE2AF8"/>
    <w:rsid w:val="00F76688"/>
    <w:rsid w:val="3D01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</Words>
  <Characters>467</Characters>
  <Lines>3</Lines>
  <Paragraphs>1</Paragraphs>
  <TotalTime>53</TotalTime>
  <ScaleCrop>false</ScaleCrop>
  <LinksUpToDate>false</LinksUpToDate>
  <CharactersWithSpaces>547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2020-05-21T08:44:00Z</dcterms:created>
  <dc:creator>Administrator</dc:creator>
  <cp:lastModifiedBy>Administrator</cp:lastModifiedBy>
  <dcterms:modified xsi:type="dcterms:W3CDTF">2020-05-22T00:34:11Z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