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rPr>
          <w:rFonts w:cs="微软雅黑"/>
          <w:b/>
          <w:bCs/>
          <w:color w:val="auto"/>
          <w:sz w:val="52"/>
          <w:szCs w:val="52"/>
          <w:highlight w:val="none"/>
          <w:lang w:val="en-US" w:bidi="ar-SA"/>
        </w:rPr>
        <w:sectPr>
          <w:headerReference r:id="rId3" w:type="default"/>
          <w:footerReference r:id="rId4" w:type="default"/>
          <w:type w:val="continuous"/>
          <w:pgSz w:w="11907" w:h="16839"/>
          <w:pgMar w:top="1134" w:right="1134" w:bottom="1134" w:left="1134" w:header="0" w:footer="841" w:gutter="0"/>
          <w:pgNumType w:fmt="decimal" w:start="1"/>
          <w:cols w:space="720" w:num="1"/>
        </w:sectPr>
      </w:pPr>
      <w:r>
        <w:rPr>
          <w:rFonts w:cs="微软雅黑"/>
          <w:b/>
          <w:bCs/>
          <w:color w:val="auto"/>
          <w:sz w:val="52"/>
          <w:szCs w:val="52"/>
          <w:highlight w:val="none"/>
          <w:lang w:val="en-US" w:bidi="ar-SA"/>
        </w:rPr>
        <w:drawing>
          <wp:anchor distT="0" distB="0" distL="114300" distR="114300" simplePos="0" relativeHeight="251660288" behindDoc="0" locked="0" layoutInCell="1" allowOverlap="1">
            <wp:simplePos x="0" y="0"/>
            <wp:positionH relativeFrom="column">
              <wp:posOffset>-701040</wp:posOffset>
            </wp:positionH>
            <wp:positionV relativeFrom="paragraph">
              <wp:posOffset>-704215</wp:posOffset>
            </wp:positionV>
            <wp:extent cx="7542530" cy="10693400"/>
            <wp:effectExtent l="19050" t="0" r="1270" b="0"/>
            <wp:wrapSquare wrapText="bothSides"/>
            <wp:docPr id="3" name="图片 1" descr="\\192.168.0.117\扫描文件1\20240408 三亚崖州湾科技城科教城深海科技创新公共平台项目--聚波水池设备购置（二次招标）-中一\扫描件\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92.168.0.117\扫描文件1\20240408 三亚崖州湾科技城科教城深海科技创新公共平台项目--聚波水池设备购置（二次招标）-中一\扫描件\封面-.jpg"/>
                    <pic:cNvPicPr>
                      <a:picLocks noChangeAspect="1" noChangeArrowheads="1"/>
                    </pic:cNvPicPr>
                  </pic:nvPicPr>
                  <pic:blipFill>
                    <a:blip r:embed="rId16"/>
                    <a:srcRect/>
                    <a:stretch>
                      <a:fillRect/>
                    </a:stretch>
                  </pic:blipFill>
                  <pic:spPr>
                    <a:xfrm>
                      <a:off x="0" y="0"/>
                      <a:ext cx="7542530" cy="10693400"/>
                    </a:xfrm>
                    <a:prstGeom prst="rect">
                      <a:avLst/>
                    </a:prstGeom>
                    <a:noFill/>
                    <a:ln w="9525">
                      <a:noFill/>
                      <a:miter lim="800000"/>
                      <a:headEnd/>
                      <a:tailEnd/>
                    </a:ln>
                  </pic:spPr>
                </pic:pic>
              </a:graphicData>
            </a:graphic>
          </wp:anchor>
        </w:drawing>
      </w:r>
    </w:p>
    <w:p>
      <w:pPr>
        <w:pStyle w:val="2"/>
      </w:pPr>
    </w:p>
    <w:p>
      <w:pPr>
        <w:spacing w:line="360" w:lineRule="auto"/>
        <w:jc w:val="center"/>
        <w:rPr>
          <w:bCs/>
          <w:color w:val="auto"/>
          <w:sz w:val="40"/>
          <w:szCs w:val="32"/>
          <w:highlight w:val="none"/>
        </w:rPr>
      </w:pPr>
    </w:p>
    <w:p>
      <w:pPr>
        <w:spacing w:line="360" w:lineRule="auto"/>
        <w:jc w:val="center"/>
        <w:rPr>
          <w:b/>
          <w:color w:val="auto"/>
          <w:sz w:val="48"/>
          <w:szCs w:val="48"/>
          <w:highlight w:val="none"/>
        </w:rPr>
      </w:pPr>
      <w:r>
        <w:rPr>
          <w:rFonts w:hint="eastAsia"/>
          <w:b/>
          <w:color w:val="auto"/>
          <w:sz w:val="48"/>
          <w:szCs w:val="48"/>
          <w:highlight w:val="none"/>
        </w:rPr>
        <w:t>三亚崖州湾科技城科教城深海科技创新公共平台项目--聚波水池设备购置（二次招标）</w:t>
      </w:r>
    </w:p>
    <w:p>
      <w:pPr>
        <w:pStyle w:val="2"/>
        <w:spacing w:line="600" w:lineRule="auto"/>
        <w:ind w:firstLine="1044"/>
        <w:rPr>
          <w:rFonts w:ascii="宋体"/>
          <w:b/>
          <w:bCs/>
          <w:color w:val="auto"/>
          <w:sz w:val="52"/>
          <w:szCs w:val="52"/>
          <w:highlight w:val="none"/>
        </w:rPr>
      </w:pPr>
    </w:p>
    <w:p>
      <w:pPr>
        <w:pStyle w:val="2"/>
        <w:ind w:firstLine="0" w:firstLineChars="0"/>
        <w:rPr>
          <w:rFonts w:ascii="宋体"/>
          <w:b/>
          <w:bCs/>
          <w:color w:val="auto"/>
          <w:sz w:val="72"/>
          <w:szCs w:val="72"/>
          <w:highlight w:val="none"/>
        </w:rPr>
      </w:pPr>
    </w:p>
    <w:p>
      <w:pPr>
        <w:pStyle w:val="2"/>
        <w:ind w:firstLine="0" w:firstLineChars="0"/>
        <w:jc w:val="center"/>
        <w:rPr>
          <w:rFonts w:ascii="宋体"/>
          <w:b/>
          <w:bCs/>
          <w:color w:val="auto"/>
          <w:sz w:val="72"/>
          <w:szCs w:val="72"/>
          <w:highlight w:val="none"/>
        </w:rPr>
      </w:pPr>
      <w:r>
        <w:rPr>
          <w:rFonts w:hint="eastAsia" w:ascii="宋体"/>
          <w:b/>
          <w:bCs/>
          <w:color w:val="auto"/>
          <w:sz w:val="72"/>
          <w:szCs w:val="72"/>
          <w:highlight w:val="none"/>
        </w:rPr>
        <w:t>招标文件</w:t>
      </w:r>
    </w:p>
    <w:p>
      <w:pPr>
        <w:pStyle w:val="2"/>
        <w:ind w:firstLine="0" w:firstLineChars="0"/>
        <w:rPr>
          <w:rFonts w:ascii="宋体"/>
          <w:b/>
          <w:bCs/>
          <w:color w:val="auto"/>
          <w:sz w:val="52"/>
          <w:szCs w:val="52"/>
          <w:highlight w:val="none"/>
        </w:rPr>
      </w:pPr>
    </w:p>
    <w:p>
      <w:pPr>
        <w:pStyle w:val="2"/>
        <w:ind w:firstLine="0" w:firstLineChars="0"/>
        <w:rPr>
          <w:rFonts w:ascii="宋体"/>
          <w:b/>
          <w:bCs/>
          <w:color w:val="auto"/>
          <w:sz w:val="52"/>
          <w:szCs w:val="52"/>
          <w:highlight w:val="none"/>
        </w:rPr>
      </w:pPr>
    </w:p>
    <w:p>
      <w:pPr>
        <w:pStyle w:val="2"/>
        <w:spacing w:line="720" w:lineRule="exact"/>
        <w:ind w:firstLine="560"/>
        <w:rPr>
          <w:rFonts w:ascii="宋体" w:cs="宋体"/>
          <w:color w:val="auto"/>
          <w:sz w:val="28"/>
          <w:szCs w:val="28"/>
          <w:highlight w:val="none"/>
        </w:rPr>
      </w:pPr>
    </w:p>
    <w:p>
      <w:pPr>
        <w:pStyle w:val="2"/>
        <w:spacing w:line="720" w:lineRule="exact"/>
        <w:ind w:firstLine="643"/>
        <w:rPr>
          <w:rFonts w:ascii="宋体"/>
          <w:b/>
          <w:bCs/>
          <w:color w:val="auto"/>
          <w:sz w:val="32"/>
          <w:szCs w:val="32"/>
          <w:highlight w:val="none"/>
        </w:rPr>
      </w:pPr>
      <w:r>
        <w:rPr>
          <w:rFonts w:hint="eastAsia" w:ascii="宋体" w:cs="宋体"/>
          <w:b/>
          <w:bCs/>
          <w:color w:val="auto"/>
          <w:sz w:val="32"/>
          <w:szCs w:val="32"/>
          <w:highlight w:val="none"/>
        </w:rPr>
        <w:t>招标人：三亚崖州湾科技城开发建设有限公司</w:t>
      </w:r>
    </w:p>
    <w:p>
      <w:pPr>
        <w:pStyle w:val="2"/>
        <w:spacing w:line="720" w:lineRule="exact"/>
        <w:ind w:firstLine="643"/>
        <w:rPr>
          <w:rFonts w:ascii="宋体" w:cs="宋体"/>
          <w:b/>
          <w:bCs/>
          <w:color w:val="auto"/>
          <w:sz w:val="32"/>
          <w:szCs w:val="32"/>
          <w:highlight w:val="none"/>
        </w:rPr>
      </w:pPr>
      <w:r>
        <w:rPr>
          <w:rFonts w:hint="eastAsia" w:ascii="宋体" w:cs="宋体"/>
          <w:b/>
          <w:bCs/>
          <w:color w:val="auto"/>
          <w:sz w:val="32"/>
          <w:szCs w:val="32"/>
          <w:highlight w:val="none"/>
        </w:rPr>
        <w:t>招标代理机构：中一（海南）工程咨询有限公司</w:t>
      </w:r>
    </w:p>
    <w:p>
      <w:pPr>
        <w:pStyle w:val="2"/>
        <w:spacing w:line="720" w:lineRule="exact"/>
        <w:ind w:firstLine="643"/>
        <w:rPr>
          <w:rFonts w:ascii="黑体" w:eastAsia="黑体" w:cs="黑体"/>
          <w:color w:val="auto"/>
          <w:sz w:val="32"/>
          <w:szCs w:val="32"/>
          <w:highlight w:val="none"/>
        </w:rPr>
      </w:pPr>
      <w:r>
        <w:rPr>
          <w:rFonts w:hint="eastAsia" w:ascii="宋体" w:cs="宋体"/>
          <w:b/>
          <w:bCs/>
          <w:color w:val="auto"/>
          <w:sz w:val="32"/>
          <w:szCs w:val="32"/>
          <w:highlight w:val="none"/>
        </w:rPr>
        <w:t>日  期：2024年04月</w:t>
      </w:r>
    </w:p>
    <w:p>
      <w:pPr>
        <w:tabs>
          <w:tab w:val="left" w:pos="3878"/>
        </w:tabs>
        <w:spacing w:line="840" w:lineRule="exact"/>
        <w:jc w:val="center"/>
        <w:rPr>
          <w:b/>
          <w:color w:val="auto"/>
          <w:sz w:val="52"/>
          <w:szCs w:val="52"/>
          <w:highlight w:val="none"/>
        </w:rPr>
      </w:pPr>
    </w:p>
    <w:p>
      <w:pPr>
        <w:pStyle w:val="2"/>
        <w:rPr>
          <w:color w:val="auto"/>
          <w:highlight w:val="none"/>
        </w:rPr>
        <w:sectPr>
          <w:footerReference r:id="rId5" w:type="default"/>
          <w:pgSz w:w="11907" w:h="16839"/>
          <w:pgMar w:top="1134" w:right="1134" w:bottom="1134" w:left="1134" w:header="0" w:footer="841" w:gutter="0"/>
          <w:pgNumType w:fmt="decimal" w:start="1"/>
          <w:cols w:space="720" w:num="1"/>
        </w:sectPr>
      </w:pPr>
    </w:p>
    <w:p>
      <w:pPr>
        <w:tabs>
          <w:tab w:val="left" w:pos="3878"/>
          <w:tab w:val="center" w:pos="4252"/>
          <w:tab w:val="left" w:pos="5960"/>
        </w:tabs>
        <w:spacing w:line="480" w:lineRule="auto"/>
        <w:rPr>
          <w:color w:val="auto"/>
          <w:sz w:val="28"/>
          <w:szCs w:val="28"/>
          <w:highlight w:val="none"/>
        </w:rPr>
      </w:pPr>
      <w:r>
        <w:rPr>
          <w:b/>
          <w:color w:val="auto"/>
          <w:sz w:val="28"/>
          <w:szCs w:val="28"/>
          <w:highlight w:val="none"/>
        </w:rPr>
        <w:tab/>
      </w:r>
      <w:r>
        <w:rPr>
          <w:rFonts w:hint="eastAsia"/>
          <w:b/>
          <w:color w:val="auto"/>
          <w:sz w:val="28"/>
          <w:szCs w:val="28"/>
          <w:highlight w:val="none"/>
        </w:rPr>
        <w:t>目  录</w:t>
      </w:r>
      <w:r>
        <w:rPr>
          <w:color w:val="auto"/>
          <w:sz w:val="28"/>
          <w:szCs w:val="28"/>
          <w:highlight w:val="none"/>
        </w:rPr>
        <w:fldChar w:fldCharType="begin"/>
      </w:r>
      <w:r>
        <w:rPr>
          <w:color w:val="auto"/>
          <w:sz w:val="28"/>
          <w:szCs w:val="28"/>
          <w:highlight w:val="none"/>
        </w:rPr>
        <w:instrText xml:space="preserve"> TOC \o "1-2" \h \z \u </w:instrText>
      </w:r>
      <w:r>
        <w:rPr>
          <w:color w:val="auto"/>
          <w:sz w:val="28"/>
          <w:szCs w:val="28"/>
          <w:highlight w:val="none"/>
        </w:rPr>
        <w:fldChar w:fldCharType="separate"/>
      </w:r>
    </w:p>
    <w:p>
      <w:pPr>
        <w:pStyle w:val="25"/>
        <w:tabs>
          <w:tab w:val="right" w:leader="dot" w:pos="9639"/>
        </w:tabs>
        <w:spacing w:before="0" w:line="480" w:lineRule="auto"/>
        <w:ind w:left="0"/>
        <w:jc w:val="center"/>
        <w:rPr>
          <w:color w:val="auto"/>
          <w:sz w:val="28"/>
          <w:szCs w:val="28"/>
          <w:highlight w:val="none"/>
        </w:rPr>
      </w:pPr>
      <w:r>
        <w:rPr>
          <w:color w:val="auto"/>
          <w:highlight w:val="none"/>
        </w:rPr>
        <w:fldChar w:fldCharType="begin"/>
      </w:r>
      <w:r>
        <w:rPr>
          <w:color w:val="auto"/>
          <w:highlight w:val="none"/>
        </w:rPr>
        <w:instrText xml:space="preserve"> HYPERLINK \l "_Toc2840" </w:instrText>
      </w:r>
      <w:r>
        <w:rPr>
          <w:color w:val="auto"/>
          <w:highlight w:val="none"/>
        </w:rPr>
        <w:fldChar w:fldCharType="separate"/>
      </w:r>
      <w:r>
        <w:rPr>
          <w:rFonts w:hint="eastAsia"/>
          <w:color w:val="auto"/>
          <w:sz w:val="28"/>
          <w:szCs w:val="28"/>
          <w:highlight w:val="none"/>
        </w:rPr>
        <w:t>第一章招标公告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_Toc2840 \h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color w:val="auto"/>
          <w:sz w:val="28"/>
          <w:szCs w:val="28"/>
          <w:highlight w:val="none"/>
        </w:rPr>
        <w:fldChar w:fldCharType="end"/>
      </w:r>
    </w:p>
    <w:p>
      <w:pPr>
        <w:pStyle w:val="25"/>
        <w:tabs>
          <w:tab w:val="right" w:leader="dot" w:pos="9639"/>
        </w:tabs>
        <w:spacing w:before="0" w:line="480" w:lineRule="auto"/>
        <w:ind w:left="0"/>
        <w:jc w:val="center"/>
        <w:rPr>
          <w:color w:val="auto"/>
          <w:sz w:val="28"/>
          <w:szCs w:val="28"/>
          <w:highlight w:val="none"/>
        </w:rPr>
      </w:pPr>
      <w:r>
        <w:rPr>
          <w:color w:val="auto"/>
          <w:highlight w:val="none"/>
        </w:rPr>
        <w:fldChar w:fldCharType="begin"/>
      </w:r>
      <w:r>
        <w:rPr>
          <w:color w:val="auto"/>
          <w:highlight w:val="none"/>
        </w:rPr>
        <w:instrText xml:space="preserve"> HYPERLINK \l "_Toc22301" </w:instrText>
      </w:r>
      <w:r>
        <w:rPr>
          <w:color w:val="auto"/>
          <w:highlight w:val="none"/>
        </w:rPr>
        <w:fldChar w:fldCharType="separate"/>
      </w:r>
      <w:r>
        <w:rPr>
          <w:color w:val="auto"/>
          <w:sz w:val="28"/>
          <w:szCs w:val="28"/>
          <w:highlight w:val="none"/>
        </w:rPr>
        <w:t>第二章投标人须知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_Toc22301 \h </w:instrText>
      </w:r>
      <w:r>
        <w:rPr>
          <w:color w:val="auto"/>
          <w:sz w:val="28"/>
          <w:szCs w:val="28"/>
          <w:highlight w:val="none"/>
        </w:rPr>
        <w:fldChar w:fldCharType="separate"/>
      </w:r>
      <w:r>
        <w:rPr>
          <w:color w:val="auto"/>
          <w:sz w:val="28"/>
          <w:szCs w:val="28"/>
          <w:highlight w:val="none"/>
        </w:rPr>
        <w:t>5</w:t>
      </w:r>
      <w:r>
        <w:rPr>
          <w:color w:val="auto"/>
          <w:sz w:val="28"/>
          <w:szCs w:val="28"/>
          <w:highlight w:val="none"/>
        </w:rPr>
        <w:fldChar w:fldCharType="end"/>
      </w:r>
      <w:r>
        <w:rPr>
          <w:color w:val="auto"/>
          <w:sz w:val="28"/>
          <w:szCs w:val="28"/>
          <w:highlight w:val="none"/>
        </w:rPr>
        <w:fldChar w:fldCharType="end"/>
      </w:r>
    </w:p>
    <w:p>
      <w:pPr>
        <w:pStyle w:val="26"/>
        <w:tabs>
          <w:tab w:val="right" w:leader="dot" w:pos="9639"/>
        </w:tabs>
        <w:spacing w:line="480" w:lineRule="auto"/>
        <w:ind w:left="0" w:leftChars="0"/>
        <w:jc w:val="center"/>
        <w:rPr>
          <w:color w:val="auto"/>
          <w:sz w:val="28"/>
          <w:szCs w:val="28"/>
          <w:highlight w:val="none"/>
        </w:rPr>
      </w:pPr>
      <w:r>
        <w:rPr>
          <w:color w:val="auto"/>
          <w:highlight w:val="none"/>
        </w:rPr>
        <w:fldChar w:fldCharType="begin"/>
      </w:r>
      <w:r>
        <w:rPr>
          <w:color w:val="auto"/>
          <w:highlight w:val="none"/>
        </w:rPr>
        <w:instrText xml:space="preserve"> HYPERLINK \l "_Toc18475" </w:instrText>
      </w:r>
      <w:r>
        <w:rPr>
          <w:color w:val="auto"/>
          <w:highlight w:val="none"/>
        </w:rPr>
        <w:fldChar w:fldCharType="separate"/>
      </w:r>
      <w:r>
        <w:rPr>
          <w:color w:val="auto"/>
          <w:sz w:val="28"/>
          <w:szCs w:val="28"/>
          <w:highlight w:val="none"/>
        </w:rPr>
        <w:t>第三章评标办法（综合评估法）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_Toc18475 \h </w:instrText>
      </w:r>
      <w:r>
        <w:rPr>
          <w:color w:val="auto"/>
          <w:sz w:val="28"/>
          <w:szCs w:val="28"/>
          <w:highlight w:val="none"/>
        </w:rPr>
        <w:fldChar w:fldCharType="separate"/>
      </w:r>
      <w:r>
        <w:rPr>
          <w:color w:val="auto"/>
          <w:sz w:val="28"/>
          <w:szCs w:val="28"/>
          <w:highlight w:val="none"/>
        </w:rPr>
        <w:t>34</w:t>
      </w:r>
      <w:r>
        <w:rPr>
          <w:color w:val="auto"/>
          <w:sz w:val="28"/>
          <w:szCs w:val="28"/>
          <w:highlight w:val="none"/>
        </w:rPr>
        <w:fldChar w:fldCharType="end"/>
      </w:r>
      <w:r>
        <w:rPr>
          <w:color w:val="auto"/>
          <w:sz w:val="28"/>
          <w:szCs w:val="28"/>
          <w:highlight w:val="none"/>
        </w:rPr>
        <w:fldChar w:fldCharType="end"/>
      </w:r>
    </w:p>
    <w:p>
      <w:pPr>
        <w:pStyle w:val="26"/>
        <w:tabs>
          <w:tab w:val="right" w:leader="dot" w:pos="9639"/>
        </w:tabs>
        <w:spacing w:line="480" w:lineRule="auto"/>
        <w:ind w:left="0" w:leftChars="0"/>
        <w:jc w:val="center"/>
        <w:rPr>
          <w:color w:val="auto"/>
          <w:sz w:val="28"/>
          <w:szCs w:val="28"/>
          <w:highlight w:val="none"/>
        </w:rPr>
      </w:pPr>
      <w:r>
        <w:rPr>
          <w:color w:val="auto"/>
          <w:highlight w:val="none"/>
        </w:rPr>
        <w:fldChar w:fldCharType="begin"/>
      </w:r>
      <w:r>
        <w:rPr>
          <w:color w:val="auto"/>
          <w:highlight w:val="none"/>
        </w:rPr>
        <w:instrText xml:space="preserve"> HYPERLINK \l "_Toc16671" </w:instrText>
      </w:r>
      <w:r>
        <w:rPr>
          <w:color w:val="auto"/>
          <w:highlight w:val="none"/>
        </w:rPr>
        <w:fldChar w:fldCharType="separate"/>
      </w:r>
      <w:r>
        <w:rPr>
          <w:color w:val="auto"/>
          <w:sz w:val="28"/>
          <w:szCs w:val="28"/>
          <w:highlight w:val="none"/>
        </w:rPr>
        <w:t>第四章合同条款及</w:t>
      </w:r>
      <w:r>
        <w:rPr>
          <w:rFonts w:hint="eastAsia"/>
          <w:color w:val="auto"/>
          <w:sz w:val="28"/>
          <w:szCs w:val="28"/>
          <w:highlight w:val="none"/>
          <w:lang w:val="en-US"/>
        </w:rPr>
        <w:t>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_Toc16671 \h </w:instrText>
      </w:r>
      <w:r>
        <w:rPr>
          <w:color w:val="auto"/>
          <w:sz w:val="28"/>
          <w:szCs w:val="28"/>
          <w:highlight w:val="none"/>
        </w:rPr>
        <w:fldChar w:fldCharType="separate"/>
      </w:r>
      <w:r>
        <w:rPr>
          <w:color w:val="auto"/>
          <w:sz w:val="28"/>
          <w:szCs w:val="28"/>
          <w:highlight w:val="none"/>
        </w:rPr>
        <w:t>41</w:t>
      </w:r>
      <w:r>
        <w:rPr>
          <w:color w:val="auto"/>
          <w:sz w:val="28"/>
          <w:szCs w:val="28"/>
          <w:highlight w:val="none"/>
        </w:rPr>
        <w:fldChar w:fldCharType="end"/>
      </w:r>
      <w:r>
        <w:rPr>
          <w:color w:val="auto"/>
          <w:sz w:val="28"/>
          <w:szCs w:val="28"/>
          <w:highlight w:val="none"/>
        </w:rPr>
        <w:fldChar w:fldCharType="end"/>
      </w:r>
    </w:p>
    <w:p>
      <w:pPr>
        <w:pStyle w:val="26"/>
        <w:tabs>
          <w:tab w:val="right" w:leader="dot" w:pos="9639"/>
        </w:tabs>
        <w:spacing w:line="480" w:lineRule="auto"/>
        <w:ind w:left="0" w:leftChars="0"/>
        <w:jc w:val="center"/>
        <w:rPr>
          <w:color w:val="auto"/>
          <w:sz w:val="28"/>
          <w:szCs w:val="28"/>
          <w:highlight w:val="none"/>
        </w:rPr>
      </w:pPr>
      <w:r>
        <w:rPr>
          <w:color w:val="auto"/>
          <w:highlight w:val="none"/>
        </w:rPr>
        <w:fldChar w:fldCharType="begin"/>
      </w:r>
      <w:r>
        <w:rPr>
          <w:color w:val="auto"/>
          <w:highlight w:val="none"/>
        </w:rPr>
        <w:instrText xml:space="preserve"> HYPERLINK \l "_Toc20383" </w:instrText>
      </w:r>
      <w:r>
        <w:rPr>
          <w:color w:val="auto"/>
          <w:highlight w:val="none"/>
        </w:rPr>
        <w:fldChar w:fldCharType="separate"/>
      </w:r>
      <w:r>
        <w:rPr>
          <w:color w:val="auto"/>
          <w:sz w:val="28"/>
          <w:szCs w:val="28"/>
          <w:highlight w:val="none"/>
        </w:rPr>
        <w:t>第五章供货要求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_Toc20383 \h </w:instrText>
      </w:r>
      <w:r>
        <w:rPr>
          <w:color w:val="auto"/>
          <w:sz w:val="28"/>
          <w:szCs w:val="28"/>
          <w:highlight w:val="none"/>
        </w:rPr>
        <w:fldChar w:fldCharType="separate"/>
      </w:r>
      <w:r>
        <w:rPr>
          <w:color w:val="auto"/>
          <w:sz w:val="28"/>
          <w:szCs w:val="28"/>
          <w:highlight w:val="none"/>
        </w:rPr>
        <w:t>63</w:t>
      </w:r>
      <w:r>
        <w:rPr>
          <w:color w:val="auto"/>
          <w:sz w:val="28"/>
          <w:szCs w:val="28"/>
          <w:highlight w:val="none"/>
        </w:rPr>
        <w:fldChar w:fldCharType="end"/>
      </w:r>
      <w:r>
        <w:rPr>
          <w:color w:val="auto"/>
          <w:sz w:val="28"/>
          <w:szCs w:val="28"/>
          <w:highlight w:val="none"/>
        </w:rPr>
        <w:fldChar w:fldCharType="end"/>
      </w:r>
    </w:p>
    <w:p>
      <w:pPr>
        <w:pStyle w:val="26"/>
        <w:tabs>
          <w:tab w:val="right" w:leader="dot" w:pos="9639"/>
        </w:tabs>
        <w:spacing w:line="480" w:lineRule="auto"/>
        <w:ind w:left="0" w:leftChars="0"/>
        <w:jc w:val="center"/>
        <w:rPr>
          <w:color w:val="auto"/>
          <w:sz w:val="28"/>
          <w:szCs w:val="28"/>
          <w:highlight w:val="none"/>
        </w:rPr>
      </w:pPr>
      <w:r>
        <w:rPr>
          <w:color w:val="auto"/>
          <w:highlight w:val="none"/>
        </w:rPr>
        <w:fldChar w:fldCharType="begin"/>
      </w:r>
      <w:r>
        <w:rPr>
          <w:color w:val="auto"/>
          <w:highlight w:val="none"/>
        </w:rPr>
        <w:instrText xml:space="preserve"> HYPERLINK \l "_Toc24312" </w:instrText>
      </w:r>
      <w:r>
        <w:rPr>
          <w:color w:val="auto"/>
          <w:highlight w:val="none"/>
        </w:rPr>
        <w:fldChar w:fldCharType="separate"/>
      </w:r>
      <w:r>
        <w:rPr>
          <w:color w:val="auto"/>
          <w:sz w:val="28"/>
          <w:szCs w:val="28"/>
          <w:highlight w:val="none"/>
        </w:rPr>
        <w:t>第六章投标文件格式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_Toc24312 \h </w:instrText>
      </w:r>
      <w:r>
        <w:rPr>
          <w:color w:val="auto"/>
          <w:sz w:val="28"/>
          <w:szCs w:val="28"/>
          <w:highlight w:val="none"/>
        </w:rPr>
        <w:fldChar w:fldCharType="separate"/>
      </w:r>
      <w:r>
        <w:rPr>
          <w:color w:val="auto"/>
          <w:sz w:val="28"/>
          <w:szCs w:val="28"/>
          <w:highlight w:val="none"/>
        </w:rPr>
        <w:t>74</w:t>
      </w:r>
      <w:r>
        <w:rPr>
          <w:color w:val="auto"/>
          <w:sz w:val="28"/>
          <w:szCs w:val="28"/>
          <w:highlight w:val="none"/>
        </w:rPr>
        <w:fldChar w:fldCharType="end"/>
      </w:r>
      <w:r>
        <w:rPr>
          <w:color w:val="auto"/>
          <w:sz w:val="28"/>
          <w:szCs w:val="28"/>
          <w:highlight w:val="none"/>
        </w:rPr>
        <w:fldChar w:fldCharType="end"/>
      </w:r>
    </w:p>
    <w:p>
      <w:pPr>
        <w:tabs>
          <w:tab w:val="left" w:pos="3878"/>
        </w:tabs>
        <w:spacing w:line="360" w:lineRule="auto"/>
        <w:jc w:val="center"/>
        <w:rPr>
          <w:color w:val="auto"/>
          <w:sz w:val="24"/>
          <w:szCs w:val="24"/>
          <w:highlight w:val="none"/>
        </w:rPr>
      </w:pPr>
      <w:r>
        <w:rPr>
          <w:color w:val="auto"/>
          <w:sz w:val="28"/>
          <w:szCs w:val="28"/>
          <w:highlight w:val="none"/>
        </w:rPr>
        <w:fldChar w:fldCharType="end"/>
      </w:r>
    </w:p>
    <w:p>
      <w:pPr>
        <w:rPr>
          <w:color w:val="auto"/>
          <w:highlight w:val="none"/>
        </w:rPr>
      </w:pPr>
    </w:p>
    <w:p>
      <w:pPr>
        <w:rPr>
          <w:color w:val="auto"/>
          <w:highlight w:val="none"/>
        </w:rPr>
        <w:sectPr>
          <w:footerReference r:id="rId6" w:type="default"/>
          <w:pgSz w:w="11907" w:h="16839"/>
          <w:pgMar w:top="1417" w:right="1701" w:bottom="1417" w:left="1701" w:header="0" w:footer="841" w:gutter="0"/>
          <w:pgNumType w:fmt="decimal" w:start="1"/>
          <w:cols w:space="720" w:num="1"/>
        </w:sectPr>
      </w:pPr>
    </w:p>
    <w:p>
      <w:pPr>
        <w:pStyle w:val="4"/>
        <w:spacing w:beforeLines="50" w:afterLines="50" w:line="500" w:lineRule="exact"/>
        <w:jc w:val="center"/>
        <w:rPr>
          <w:color w:val="auto"/>
          <w:highlight w:val="none"/>
        </w:rPr>
      </w:pPr>
      <w:bookmarkStart w:id="0" w:name="_bookmark1"/>
      <w:bookmarkEnd w:id="0"/>
      <w:bookmarkStart w:id="1" w:name="_bookmark9"/>
      <w:bookmarkEnd w:id="1"/>
      <w:bookmarkStart w:id="2" w:name="_Toc444445645"/>
      <w:bookmarkStart w:id="3" w:name="_Toc444445646"/>
      <w:bookmarkStart w:id="4" w:name="_Toc483841769"/>
      <w:bookmarkStart w:id="5" w:name="_Toc22771"/>
      <w:bookmarkStart w:id="6" w:name="_Toc103332231"/>
      <w:bookmarkStart w:id="7" w:name="_Toc2840"/>
      <w:bookmarkStart w:id="8" w:name="_Toc483841973"/>
      <w:bookmarkStart w:id="9" w:name="_Toc10984"/>
      <w:r>
        <w:rPr>
          <w:rFonts w:hint="eastAsia"/>
          <w:color w:val="auto"/>
          <w:highlight w:val="none"/>
        </w:rPr>
        <w:t>第一章招标公告</w:t>
      </w:r>
      <w:bookmarkEnd w:id="2"/>
      <w:bookmarkEnd w:id="3"/>
      <w:bookmarkEnd w:id="4"/>
      <w:bookmarkEnd w:id="5"/>
      <w:bookmarkEnd w:id="6"/>
      <w:bookmarkEnd w:id="7"/>
      <w:bookmarkEnd w:id="8"/>
      <w:bookmarkEnd w:id="9"/>
    </w:p>
    <w:p>
      <w:pPr>
        <w:spacing w:beforeLines="50" w:afterLines="50" w:line="500" w:lineRule="exact"/>
        <w:rPr>
          <w:rFonts w:asciiTheme="majorEastAsia" w:hAnsiTheme="majorEastAsia" w:eastAsiaTheme="majorEastAsia"/>
          <w:b/>
          <w:bCs/>
          <w:color w:val="auto"/>
          <w:sz w:val="28"/>
          <w:szCs w:val="28"/>
          <w:highlight w:val="none"/>
        </w:rPr>
      </w:pPr>
      <w:bookmarkStart w:id="10" w:name="_Toc247513934"/>
      <w:bookmarkStart w:id="11" w:name="_Toc152042288"/>
      <w:bookmarkStart w:id="12" w:name="_Toc144974480"/>
      <w:bookmarkStart w:id="13" w:name="_Toc468178154"/>
      <w:bookmarkStart w:id="14" w:name="_Toc152045512"/>
      <w:bookmarkStart w:id="15" w:name="_Toc247527535"/>
      <w:bookmarkStart w:id="16" w:name="_Toc37778933"/>
      <w:r>
        <w:rPr>
          <w:rFonts w:asciiTheme="majorEastAsia" w:hAnsiTheme="majorEastAsia" w:eastAsiaTheme="majorEastAsia"/>
          <w:b/>
          <w:bCs/>
          <w:color w:val="auto"/>
          <w:sz w:val="28"/>
          <w:szCs w:val="28"/>
          <w:highlight w:val="none"/>
        </w:rPr>
        <w:t>1.</w:t>
      </w:r>
      <w:r>
        <w:rPr>
          <w:rFonts w:hint="eastAsia" w:asciiTheme="majorEastAsia" w:hAnsiTheme="majorEastAsia" w:eastAsiaTheme="majorEastAsia"/>
          <w:b/>
          <w:bCs/>
          <w:color w:val="auto"/>
          <w:sz w:val="28"/>
          <w:szCs w:val="28"/>
          <w:highlight w:val="none"/>
        </w:rPr>
        <w:t>招标条件</w:t>
      </w:r>
      <w:bookmarkEnd w:id="10"/>
      <w:bookmarkEnd w:id="11"/>
      <w:bookmarkEnd w:id="12"/>
      <w:bookmarkEnd w:id="13"/>
      <w:bookmarkEnd w:id="14"/>
      <w:bookmarkEnd w:id="15"/>
      <w:bookmarkEnd w:id="16"/>
    </w:p>
    <w:p>
      <w:pPr>
        <w:spacing w:line="360" w:lineRule="auto"/>
        <w:ind w:firstLine="480" w:firstLineChars="200"/>
        <w:rPr>
          <w:color w:val="auto"/>
          <w:szCs w:val="21"/>
          <w:highlight w:val="none"/>
        </w:rPr>
      </w:pPr>
      <w:r>
        <w:rPr>
          <w:rFonts w:hint="eastAsia"/>
          <w:color w:val="auto"/>
          <w:sz w:val="24"/>
          <w:szCs w:val="24"/>
          <w:highlight w:val="none"/>
        </w:rPr>
        <w:t>本招标项目</w:t>
      </w:r>
      <w:r>
        <w:rPr>
          <w:rFonts w:hint="eastAsia"/>
          <w:color w:val="auto"/>
          <w:sz w:val="24"/>
          <w:szCs w:val="24"/>
          <w:highlight w:val="none"/>
          <w:u w:val="single"/>
        </w:rPr>
        <w:t>三亚崖州湾科技城科教城深海科技创新公共平台项目--聚波水池设备购置（二次招标）</w:t>
      </w:r>
      <w:r>
        <w:rPr>
          <w:rFonts w:hint="eastAsia"/>
          <w:color w:val="auto"/>
          <w:sz w:val="24"/>
          <w:szCs w:val="24"/>
          <w:highlight w:val="none"/>
        </w:rPr>
        <w:t>，项目业主为</w:t>
      </w:r>
      <w:r>
        <w:rPr>
          <w:rFonts w:hint="eastAsia"/>
          <w:color w:val="auto"/>
          <w:sz w:val="24"/>
          <w:szCs w:val="24"/>
          <w:highlight w:val="none"/>
          <w:u w:val="single"/>
        </w:rPr>
        <w:t>三亚崖州湾科技城开发建设有限公司</w:t>
      </w:r>
      <w:r>
        <w:rPr>
          <w:rFonts w:hint="eastAsia"/>
          <w:color w:val="auto"/>
          <w:sz w:val="24"/>
          <w:szCs w:val="24"/>
          <w:highlight w:val="none"/>
        </w:rPr>
        <w:t>，建设资金来自</w:t>
      </w:r>
      <w:r>
        <w:rPr>
          <w:rFonts w:hint="eastAsia"/>
          <w:color w:val="auto"/>
          <w:sz w:val="24"/>
          <w:szCs w:val="24"/>
          <w:highlight w:val="none"/>
          <w:u w:val="single"/>
        </w:rPr>
        <w:t>政府投资</w:t>
      </w:r>
      <w:r>
        <w:rPr>
          <w:rFonts w:hint="eastAsia"/>
          <w:color w:val="auto"/>
          <w:sz w:val="24"/>
          <w:szCs w:val="24"/>
          <w:highlight w:val="none"/>
        </w:rPr>
        <w:t>（资金来源），项目出资比例为</w:t>
      </w:r>
      <w:r>
        <w:rPr>
          <w:rFonts w:hint="eastAsia"/>
          <w:color w:val="auto"/>
          <w:sz w:val="24"/>
          <w:szCs w:val="24"/>
          <w:highlight w:val="none"/>
          <w:u w:val="single"/>
          <w:lang w:val="en-US"/>
        </w:rPr>
        <w:t>100%</w:t>
      </w:r>
      <w:r>
        <w:rPr>
          <w:rFonts w:hint="eastAsia"/>
          <w:color w:val="auto"/>
          <w:sz w:val="24"/>
          <w:szCs w:val="24"/>
          <w:highlight w:val="none"/>
        </w:rPr>
        <w:t>，招标人为</w:t>
      </w:r>
      <w:r>
        <w:rPr>
          <w:rFonts w:hint="eastAsia"/>
          <w:color w:val="auto"/>
          <w:sz w:val="24"/>
          <w:szCs w:val="24"/>
          <w:highlight w:val="none"/>
          <w:u w:val="single"/>
        </w:rPr>
        <w:t>三亚崖州湾科技城开发建设有限公司</w:t>
      </w:r>
      <w:r>
        <w:rPr>
          <w:rFonts w:hint="eastAsia"/>
          <w:color w:val="auto"/>
          <w:sz w:val="24"/>
          <w:szCs w:val="24"/>
          <w:highlight w:val="none"/>
        </w:rPr>
        <w:t>。项目已具备招标条件，现对该项目的</w:t>
      </w:r>
      <w:r>
        <w:rPr>
          <w:rFonts w:hint="eastAsia"/>
          <w:color w:val="auto"/>
          <w:sz w:val="24"/>
          <w:szCs w:val="24"/>
          <w:highlight w:val="none"/>
          <w:u w:val="single"/>
        </w:rPr>
        <w:t>三亚崖州湾科技城科教城深海科技创新公共平台项目--聚波水池设备购置（二次招标）</w:t>
      </w:r>
      <w:r>
        <w:rPr>
          <w:rFonts w:hint="eastAsia"/>
          <w:color w:val="auto"/>
          <w:sz w:val="24"/>
          <w:szCs w:val="24"/>
          <w:highlight w:val="none"/>
        </w:rPr>
        <w:t>进行公开招标。</w:t>
      </w:r>
    </w:p>
    <w:p>
      <w:pPr>
        <w:spacing w:beforeLines="50" w:afterLines="50" w:line="500" w:lineRule="exact"/>
        <w:rPr>
          <w:rFonts w:asciiTheme="majorEastAsia" w:hAnsiTheme="majorEastAsia" w:eastAsiaTheme="majorEastAsia"/>
          <w:b/>
          <w:bCs/>
          <w:color w:val="auto"/>
          <w:sz w:val="28"/>
          <w:szCs w:val="28"/>
          <w:highlight w:val="none"/>
        </w:rPr>
      </w:pPr>
      <w:bookmarkStart w:id="17" w:name="_Toc247527536"/>
      <w:bookmarkStart w:id="18" w:name="_Toc144974481"/>
      <w:bookmarkStart w:id="19" w:name="_Toc468178155"/>
      <w:bookmarkStart w:id="20" w:name="_Toc37778934"/>
      <w:bookmarkStart w:id="21" w:name="_Toc247513935"/>
      <w:bookmarkStart w:id="22" w:name="_Toc152045513"/>
      <w:bookmarkStart w:id="23" w:name="_Toc152042289"/>
      <w:r>
        <w:rPr>
          <w:rFonts w:asciiTheme="majorEastAsia" w:hAnsiTheme="majorEastAsia" w:eastAsiaTheme="majorEastAsia"/>
          <w:b/>
          <w:bCs/>
          <w:color w:val="auto"/>
          <w:sz w:val="28"/>
          <w:szCs w:val="28"/>
          <w:highlight w:val="none"/>
        </w:rPr>
        <w:t>2.</w:t>
      </w:r>
      <w:r>
        <w:rPr>
          <w:rFonts w:hint="eastAsia" w:asciiTheme="majorEastAsia" w:hAnsiTheme="majorEastAsia" w:eastAsiaTheme="majorEastAsia"/>
          <w:b/>
          <w:bCs/>
          <w:color w:val="auto"/>
          <w:sz w:val="28"/>
          <w:szCs w:val="28"/>
          <w:highlight w:val="none"/>
        </w:rPr>
        <w:t>项目概况与招标范围</w:t>
      </w:r>
      <w:bookmarkEnd w:id="17"/>
      <w:bookmarkEnd w:id="18"/>
      <w:bookmarkEnd w:id="19"/>
      <w:bookmarkEnd w:id="20"/>
      <w:bookmarkEnd w:id="21"/>
      <w:bookmarkEnd w:id="22"/>
      <w:bookmarkEnd w:id="23"/>
    </w:p>
    <w:p>
      <w:pPr>
        <w:spacing w:line="360" w:lineRule="auto"/>
        <w:ind w:firstLine="480" w:firstLineChars="200"/>
        <w:rPr>
          <w:color w:val="auto"/>
          <w:sz w:val="24"/>
          <w:szCs w:val="24"/>
          <w:highlight w:val="none"/>
        </w:rPr>
      </w:pPr>
      <w:r>
        <w:rPr>
          <w:rFonts w:hint="eastAsia"/>
          <w:color w:val="auto"/>
          <w:sz w:val="24"/>
          <w:szCs w:val="24"/>
          <w:highlight w:val="none"/>
        </w:rPr>
        <w:t>2.1</w:t>
      </w:r>
      <w:r>
        <w:rPr>
          <w:rFonts w:hint="eastAsia"/>
          <w:color w:val="auto"/>
          <w:sz w:val="24"/>
          <w:szCs w:val="24"/>
          <w:highlight w:val="none"/>
          <w:lang w:val="en-US"/>
        </w:rPr>
        <w:t>、</w:t>
      </w:r>
      <w:r>
        <w:rPr>
          <w:rFonts w:hint="eastAsia"/>
          <w:color w:val="auto"/>
          <w:sz w:val="24"/>
          <w:szCs w:val="24"/>
          <w:highlight w:val="none"/>
        </w:rPr>
        <w:t>项目名称：三亚崖州湾科技城科教城深海科技创新公共平台项目--聚波水池设备购置（二次招标）</w:t>
      </w:r>
    </w:p>
    <w:p>
      <w:pPr>
        <w:spacing w:line="360" w:lineRule="auto"/>
        <w:ind w:firstLine="480" w:firstLineChars="200"/>
        <w:rPr>
          <w:color w:val="auto"/>
          <w:sz w:val="24"/>
          <w:szCs w:val="24"/>
          <w:highlight w:val="none"/>
        </w:rPr>
      </w:pPr>
      <w:r>
        <w:rPr>
          <w:rFonts w:hint="eastAsia"/>
          <w:color w:val="auto"/>
          <w:sz w:val="24"/>
          <w:szCs w:val="24"/>
          <w:highlight w:val="none"/>
        </w:rPr>
        <w:t>2.2</w:t>
      </w:r>
      <w:r>
        <w:rPr>
          <w:rFonts w:hint="eastAsia"/>
          <w:color w:val="auto"/>
          <w:sz w:val="24"/>
          <w:szCs w:val="24"/>
          <w:highlight w:val="none"/>
          <w:lang w:val="en-US"/>
        </w:rPr>
        <w:t>、</w:t>
      </w:r>
      <w:r>
        <w:rPr>
          <w:rFonts w:hint="eastAsia"/>
          <w:color w:val="auto"/>
          <w:sz w:val="24"/>
          <w:szCs w:val="24"/>
          <w:highlight w:val="none"/>
        </w:rPr>
        <w:t>项目编号：hizw20240425002</w:t>
      </w:r>
    </w:p>
    <w:p>
      <w:pPr>
        <w:spacing w:line="360" w:lineRule="auto"/>
        <w:ind w:firstLine="480" w:firstLineChars="200"/>
        <w:rPr>
          <w:color w:val="auto"/>
          <w:sz w:val="24"/>
          <w:szCs w:val="24"/>
          <w:highlight w:val="none"/>
        </w:rPr>
      </w:pPr>
      <w:r>
        <w:rPr>
          <w:rFonts w:hint="eastAsia"/>
          <w:color w:val="auto"/>
          <w:sz w:val="24"/>
          <w:szCs w:val="24"/>
          <w:highlight w:val="none"/>
        </w:rPr>
        <w:t>2.3</w:t>
      </w:r>
      <w:r>
        <w:rPr>
          <w:rFonts w:hint="eastAsia"/>
          <w:color w:val="auto"/>
          <w:sz w:val="24"/>
          <w:szCs w:val="24"/>
          <w:highlight w:val="none"/>
          <w:lang w:val="en-US"/>
        </w:rPr>
        <w:t>、</w:t>
      </w:r>
      <w:r>
        <w:rPr>
          <w:rFonts w:hint="eastAsia"/>
          <w:color w:val="auto"/>
          <w:sz w:val="24"/>
          <w:szCs w:val="24"/>
          <w:highlight w:val="none"/>
        </w:rPr>
        <w:t>建设地点：海南省三亚市崖州湾科技城。</w:t>
      </w:r>
    </w:p>
    <w:p>
      <w:pPr>
        <w:spacing w:line="360" w:lineRule="auto"/>
        <w:ind w:firstLine="480" w:firstLineChars="200"/>
        <w:rPr>
          <w:color w:val="auto"/>
          <w:sz w:val="24"/>
          <w:szCs w:val="24"/>
          <w:highlight w:val="none"/>
        </w:rPr>
      </w:pPr>
      <w:r>
        <w:rPr>
          <w:rFonts w:hint="eastAsia"/>
          <w:color w:val="auto"/>
          <w:sz w:val="24"/>
          <w:szCs w:val="24"/>
          <w:highlight w:val="none"/>
        </w:rPr>
        <w:t>2.4</w:t>
      </w:r>
      <w:r>
        <w:rPr>
          <w:rFonts w:hint="eastAsia"/>
          <w:color w:val="auto"/>
          <w:sz w:val="24"/>
          <w:szCs w:val="24"/>
          <w:highlight w:val="none"/>
          <w:lang w:val="en-US"/>
        </w:rPr>
        <w:t>、项目内容及规模</w:t>
      </w:r>
      <w:r>
        <w:rPr>
          <w:rFonts w:hint="eastAsia"/>
          <w:color w:val="auto"/>
          <w:sz w:val="24"/>
          <w:szCs w:val="24"/>
          <w:highlight w:val="none"/>
        </w:rPr>
        <w:t>：根据本项目设计图纸要求进行聚波水池实验室设备的深化设计、聚波水池实验室设备购置的制造加工及安装、检测、标志、包装、储存、运输、保险、安装、调试、运行、验收、技术资料提供、培训、维护保养和技术指导及全部-聚波水池实验室设备购置工程的后续服务等全部工作。</w:t>
      </w:r>
    </w:p>
    <w:p>
      <w:pPr>
        <w:spacing w:line="360" w:lineRule="auto"/>
        <w:ind w:firstLine="480" w:firstLineChars="200"/>
        <w:rPr>
          <w:color w:val="auto"/>
          <w:sz w:val="24"/>
          <w:szCs w:val="24"/>
          <w:highlight w:val="none"/>
        </w:rPr>
      </w:pPr>
      <w:r>
        <w:rPr>
          <w:color w:val="auto"/>
          <w:sz w:val="24"/>
          <w:szCs w:val="24"/>
          <w:highlight w:val="none"/>
        </w:rPr>
        <w:t>2.</w:t>
      </w:r>
      <w:r>
        <w:rPr>
          <w:rFonts w:hint="eastAsia"/>
          <w:color w:val="auto"/>
          <w:sz w:val="24"/>
          <w:szCs w:val="24"/>
          <w:highlight w:val="none"/>
        </w:rPr>
        <w:t>5</w:t>
      </w:r>
      <w:r>
        <w:rPr>
          <w:rFonts w:hint="eastAsia"/>
          <w:color w:val="auto"/>
          <w:sz w:val="24"/>
          <w:szCs w:val="24"/>
          <w:highlight w:val="none"/>
          <w:lang w:val="en-US"/>
        </w:rPr>
        <w:t>、</w:t>
      </w:r>
      <w:r>
        <w:rPr>
          <w:rFonts w:hint="eastAsia"/>
          <w:color w:val="auto"/>
          <w:sz w:val="24"/>
          <w:szCs w:val="24"/>
          <w:highlight w:val="none"/>
        </w:rPr>
        <w:t>招标范围：三亚崖州湾科技城科教城深海科技创新公共平台项目--聚波水池设备购置（二次招标）</w:t>
      </w:r>
      <w:r>
        <w:rPr>
          <w:rFonts w:hint="eastAsia"/>
          <w:color w:val="auto"/>
          <w:sz w:val="24"/>
          <w:szCs w:val="24"/>
          <w:highlight w:val="none"/>
          <w:lang w:val="en-US"/>
        </w:rPr>
        <w:t>,详见招标文件第五章供货要求</w:t>
      </w:r>
      <w:r>
        <w:rPr>
          <w:rFonts w:hint="eastAsia" w:ascii="Times New Roman" w:hAnsi="Times New Roman"/>
          <w:color w:val="auto"/>
          <w:sz w:val="24"/>
          <w:szCs w:val="24"/>
          <w:highlight w:val="none"/>
        </w:rPr>
        <w:t>。</w:t>
      </w:r>
    </w:p>
    <w:p>
      <w:pPr>
        <w:spacing w:line="360" w:lineRule="auto"/>
        <w:ind w:firstLine="480" w:firstLineChars="200"/>
        <w:rPr>
          <w:color w:val="auto"/>
          <w:sz w:val="24"/>
          <w:szCs w:val="24"/>
          <w:highlight w:val="none"/>
        </w:rPr>
      </w:pPr>
      <w:r>
        <w:rPr>
          <w:color w:val="auto"/>
          <w:sz w:val="24"/>
          <w:szCs w:val="24"/>
          <w:highlight w:val="none"/>
        </w:rPr>
        <w:t>2.</w:t>
      </w:r>
      <w:r>
        <w:rPr>
          <w:rFonts w:hint="eastAsia"/>
          <w:color w:val="auto"/>
          <w:sz w:val="24"/>
          <w:szCs w:val="24"/>
          <w:highlight w:val="none"/>
        </w:rPr>
        <w:t>6</w:t>
      </w:r>
      <w:r>
        <w:rPr>
          <w:rFonts w:hint="eastAsia"/>
          <w:color w:val="auto"/>
          <w:sz w:val="24"/>
          <w:szCs w:val="24"/>
          <w:highlight w:val="none"/>
          <w:lang w:val="en-US"/>
        </w:rPr>
        <w:t>、</w:t>
      </w:r>
      <w:r>
        <w:rPr>
          <w:rFonts w:hint="eastAsia" w:asciiTheme="minorEastAsia" w:hAnsiTheme="minorEastAsia" w:eastAsiaTheme="minorEastAsia"/>
          <w:color w:val="auto"/>
          <w:sz w:val="24"/>
          <w:szCs w:val="24"/>
          <w:highlight w:val="none"/>
        </w:rPr>
        <w:t>招标控制价</w:t>
      </w:r>
      <w:r>
        <w:rPr>
          <w:rFonts w:hint="eastAsia"/>
          <w:color w:val="auto"/>
          <w:sz w:val="24"/>
          <w:szCs w:val="24"/>
          <w:highlight w:val="none"/>
        </w:rPr>
        <w:t>：28772000.00元</w:t>
      </w:r>
    </w:p>
    <w:p>
      <w:pPr>
        <w:spacing w:line="360" w:lineRule="auto"/>
        <w:ind w:firstLine="480" w:firstLineChars="200"/>
        <w:rPr>
          <w:rFonts w:hint="eastAsia" w:eastAsia="宋体"/>
          <w:color w:val="auto"/>
          <w:sz w:val="24"/>
          <w:szCs w:val="24"/>
          <w:highlight w:val="none"/>
          <w:lang w:val="en-US" w:eastAsia="zh-CN"/>
        </w:rPr>
      </w:pPr>
      <w:r>
        <w:rPr>
          <w:rFonts w:hint="eastAsia"/>
          <w:color w:val="auto"/>
          <w:sz w:val="24"/>
          <w:szCs w:val="24"/>
          <w:highlight w:val="none"/>
        </w:rPr>
        <w:t>2.7</w:t>
      </w:r>
      <w:r>
        <w:rPr>
          <w:rFonts w:hint="eastAsia"/>
          <w:color w:val="auto"/>
          <w:sz w:val="24"/>
          <w:szCs w:val="24"/>
          <w:highlight w:val="none"/>
          <w:lang w:val="en-US"/>
        </w:rPr>
        <w:t>、</w:t>
      </w:r>
      <w:r>
        <w:rPr>
          <w:rFonts w:hint="eastAsia"/>
          <w:color w:val="auto"/>
          <w:sz w:val="24"/>
          <w:szCs w:val="24"/>
          <w:highlight w:val="none"/>
        </w:rPr>
        <w:t>工期（供货期）：270日历天（即合同签订后9个月内供货并安装完成）</w:t>
      </w:r>
      <w:r>
        <w:rPr>
          <w:rFonts w:hint="eastAsia"/>
          <w:color w:val="auto"/>
          <w:sz w:val="24"/>
          <w:szCs w:val="24"/>
          <w:highlight w:val="none"/>
          <w:lang w:eastAsia="zh-CN"/>
        </w:rPr>
        <w:t>。</w:t>
      </w:r>
    </w:p>
    <w:p>
      <w:pPr>
        <w:spacing w:line="360" w:lineRule="auto"/>
        <w:ind w:firstLine="480" w:firstLineChars="200"/>
        <w:rPr>
          <w:b/>
          <w:bCs/>
          <w:color w:val="auto"/>
          <w:szCs w:val="21"/>
          <w:highlight w:val="none"/>
        </w:rPr>
      </w:pPr>
      <w:r>
        <w:rPr>
          <w:rFonts w:hint="eastAsia"/>
          <w:color w:val="auto"/>
          <w:sz w:val="24"/>
          <w:szCs w:val="24"/>
          <w:highlight w:val="none"/>
        </w:rPr>
        <w:t>2.8</w:t>
      </w:r>
      <w:r>
        <w:rPr>
          <w:rFonts w:hint="eastAsia"/>
          <w:color w:val="auto"/>
          <w:sz w:val="24"/>
          <w:szCs w:val="24"/>
          <w:highlight w:val="none"/>
          <w:lang w:val="en-US"/>
        </w:rPr>
        <w:t>、</w:t>
      </w:r>
      <w:r>
        <w:rPr>
          <w:color w:val="auto"/>
          <w:sz w:val="24"/>
          <w:szCs w:val="24"/>
          <w:highlight w:val="none"/>
        </w:rPr>
        <w:t>数量、技术规格</w:t>
      </w:r>
      <w:r>
        <w:rPr>
          <w:b/>
          <w:bCs/>
          <w:color w:val="auto"/>
          <w:sz w:val="24"/>
          <w:szCs w:val="24"/>
          <w:highlight w:val="none"/>
        </w:rPr>
        <w:t>：</w:t>
      </w:r>
      <w:r>
        <w:rPr>
          <w:bCs/>
          <w:color w:val="auto"/>
          <w:sz w:val="24"/>
          <w:szCs w:val="24"/>
          <w:highlight w:val="none"/>
        </w:rPr>
        <w:t>详见招标文件第五章供货要求</w:t>
      </w:r>
      <w:r>
        <w:rPr>
          <w:rFonts w:hint="eastAsia"/>
          <w:bCs/>
          <w:color w:val="auto"/>
          <w:sz w:val="24"/>
          <w:szCs w:val="24"/>
          <w:highlight w:val="none"/>
        </w:rPr>
        <w:t>。</w:t>
      </w:r>
      <w:bookmarkStart w:id="24" w:name="_Toc247527537"/>
      <w:bookmarkStart w:id="25" w:name="_Toc152045514"/>
      <w:bookmarkStart w:id="26" w:name="_Toc152042290"/>
      <w:bookmarkStart w:id="27" w:name="_Toc468178156"/>
      <w:bookmarkStart w:id="28" w:name="_Toc144974482"/>
      <w:bookmarkStart w:id="29" w:name="_Toc247513936"/>
    </w:p>
    <w:p>
      <w:pPr>
        <w:spacing w:beforeLines="50" w:afterLines="50" w:line="500" w:lineRule="exact"/>
        <w:rPr>
          <w:rFonts w:asciiTheme="majorEastAsia" w:hAnsiTheme="majorEastAsia" w:eastAsiaTheme="majorEastAsia"/>
          <w:b/>
          <w:bCs/>
          <w:color w:val="auto"/>
          <w:sz w:val="28"/>
          <w:szCs w:val="28"/>
          <w:highlight w:val="none"/>
        </w:rPr>
      </w:pPr>
      <w:bookmarkStart w:id="30" w:name="_Toc37778935"/>
      <w:r>
        <w:rPr>
          <w:rFonts w:asciiTheme="majorEastAsia" w:hAnsiTheme="majorEastAsia" w:eastAsiaTheme="majorEastAsia"/>
          <w:b/>
          <w:bCs/>
          <w:color w:val="auto"/>
          <w:sz w:val="28"/>
          <w:szCs w:val="28"/>
          <w:highlight w:val="none"/>
        </w:rPr>
        <w:t>3.</w:t>
      </w:r>
      <w:r>
        <w:rPr>
          <w:rFonts w:hint="eastAsia" w:asciiTheme="majorEastAsia" w:hAnsiTheme="majorEastAsia" w:eastAsiaTheme="majorEastAsia"/>
          <w:b/>
          <w:bCs/>
          <w:color w:val="auto"/>
          <w:sz w:val="28"/>
          <w:szCs w:val="28"/>
          <w:highlight w:val="none"/>
        </w:rPr>
        <w:t>投标人资格要求</w:t>
      </w:r>
      <w:bookmarkEnd w:id="24"/>
      <w:bookmarkEnd w:id="25"/>
      <w:bookmarkEnd w:id="26"/>
      <w:bookmarkEnd w:id="27"/>
      <w:bookmarkEnd w:id="28"/>
      <w:bookmarkEnd w:id="29"/>
      <w:bookmarkEnd w:id="30"/>
    </w:p>
    <w:p>
      <w:pPr>
        <w:adjustRightInd w:val="0"/>
        <w:snapToGrid w:val="0"/>
        <w:spacing w:line="360" w:lineRule="auto"/>
        <w:ind w:firstLine="480" w:firstLineChars="200"/>
        <w:rPr>
          <w:rFonts w:ascii="Times New Roman" w:hAnsi="Times New Roman"/>
          <w:color w:val="auto"/>
          <w:sz w:val="24"/>
          <w:szCs w:val="24"/>
          <w:highlight w:val="none"/>
        </w:rPr>
      </w:pPr>
      <w:bookmarkStart w:id="31" w:name="_Toc444445655"/>
      <w:bookmarkStart w:id="32" w:name="_Toc444444661"/>
      <w:r>
        <w:rPr>
          <w:color w:val="auto"/>
          <w:sz w:val="24"/>
          <w:szCs w:val="24"/>
          <w:highlight w:val="none"/>
        </w:rPr>
        <w:t>3.1</w:t>
      </w:r>
      <w:r>
        <w:rPr>
          <w:rFonts w:hint="eastAsia"/>
          <w:color w:val="auto"/>
          <w:sz w:val="24"/>
          <w:szCs w:val="24"/>
          <w:highlight w:val="none"/>
          <w:lang w:val="en-US"/>
        </w:rPr>
        <w:t>、</w:t>
      </w:r>
      <w:r>
        <w:rPr>
          <w:rFonts w:ascii="Times New Roman" w:hAnsi="Times New Roman" w:cs="Times New Roman"/>
          <w:color w:val="auto"/>
          <w:kern w:val="2"/>
          <w:sz w:val="24"/>
          <w:szCs w:val="24"/>
          <w:highlight w:val="none"/>
        </w:rPr>
        <w:t>本次招标要求投标人</w:t>
      </w:r>
      <w:bookmarkEnd w:id="31"/>
      <w:bookmarkEnd w:id="32"/>
      <w:r>
        <w:rPr>
          <w:rFonts w:hint="eastAsia" w:ascii="Times New Roman" w:hAnsi="Times New Roman" w:cs="Times New Roman"/>
          <w:color w:val="auto"/>
          <w:kern w:val="2"/>
          <w:sz w:val="24"/>
          <w:szCs w:val="24"/>
          <w:highlight w:val="none"/>
        </w:rPr>
        <w:t>须是在中华人民共和国境内注册的法人或其他组织，能独立承担民事责任（①若为企业法人：提供有效的“统一社会信用代码营业执照”；未换证的提供有效的“营业执照、税务登记证、组织机构代码证”；②若为事业法人：提供“统一社会信用代码法人登记证书”；未换证的提交“事业法人登记证书、组织机构代码证”；③若为其他组织：提供“对应主管部门颁发的准许执业证明文件或营业执照”），如为联合体投标的，由联合体各成员分别提供；</w:t>
      </w:r>
    </w:p>
    <w:p>
      <w:pPr>
        <w:adjustRightInd w:val="0"/>
        <w:snapToGrid w:val="0"/>
        <w:spacing w:line="360" w:lineRule="auto"/>
        <w:ind w:firstLine="480" w:firstLineChars="200"/>
        <w:rPr>
          <w:rFonts w:ascii="Times New Roman" w:hAnsi="Times New Roman" w:cs="Times New Roman"/>
          <w:color w:val="auto"/>
          <w:kern w:val="2"/>
          <w:sz w:val="24"/>
          <w:szCs w:val="24"/>
          <w:highlight w:val="none"/>
        </w:rPr>
      </w:pPr>
      <w:r>
        <w:rPr>
          <w:rFonts w:hint="eastAsia"/>
          <w:color w:val="auto"/>
          <w:sz w:val="24"/>
          <w:szCs w:val="24"/>
          <w:highlight w:val="none"/>
        </w:rPr>
        <w:t>3.2</w:t>
      </w:r>
      <w:r>
        <w:rPr>
          <w:rFonts w:hint="eastAsia"/>
          <w:color w:val="auto"/>
          <w:sz w:val="24"/>
          <w:szCs w:val="24"/>
          <w:highlight w:val="none"/>
          <w:lang w:val="en-US"/>
        </w:rPr>
        <w:t>、具有良好的商业信誉和健全的财务会计制度（</w:t>
      </w:r>
      <w:r>
        <w:rPr>
          <w:rFonts w:hint="eastAsia" w:ascii="Times New Roman" w:hAnsi="Times New Roman" w:cs="Times New Roman"/>
          <w:color w:val="auto"/>
          <w:kern w:val="2"/>
          <w:sz w:val="24"/>
          <w:szCs w:val="24"/>
          <w:highlight w:val="none"/>
          <w:lang w:val="en-US"/>
        </w:rPr>
        <w:t>提供2022年度经会计师事务所或审计事务所审计的财务报告，或</w:t>
      </w:r>
      <w:r>
        <w:rPr>
          <w:rFonts w:hint="eastAsia"/>
          <w:color w:val="auto"/>
          <w:sz w:val="24"/>
          <w:szCs w:val="24"/>
          <w:highlight w:val="none"/>
        </w:rPr>
        <w:t>2023年</w:t>
      </w:r>
      <w:r>
        <w:rPr>
          <w:rFonts w:hint="eastAsia"/>
          <w:color w:val="auto"/>
          <w:sz w:val="24"/>
          <w:szCs w:val="24"/>
          <w:highlight w:val="none"/>
          <w:lang w:val="en-US"/>
        </w:rPr>
        <w:t>11</w:t>
      </w:r>
      <w:r>
        <w:rPr>
          <w:rFonts w:hint="eastAsia"/>
          <w:color w:val="auto"/>
          <w:sz w:val="24"/>
          <w:szCs w:val="24"/>
          <w:highlight w:val="none"/>
        </w:rPr>
        <w:t>月至今任意连续3个月</w:t>
      </w:r>
      <w:r>
        <w:rPr>
          <w:rFonts w:hint="eastAsia" w:ascii="Times New Roman" w:hAnsi="Times New Roman" w:cs="Times New Roman"/>
          <w:color w:val="auto"/>
          <w:kern w:val="2"/>
          <w:sz w:val="24"/>
          <w:szCs w:val="24"/>
          <w:highlight w:val="none"/>
          <w:lang w:val="en-US"/>
        </w:rPr>
        <w:t>的公司财务报表（至少包含资产负债表、损益表/利润表，如新成立企业提供注册时间起的财务报表），提供的证明材料按照会计法第21条的相关要求签字并加盖公章），如为联合体投标的，由联合体各成员分别提供</w:t>
      </w:r>
      <w:r>
        <w:rPr>
          <w:rFonts w:hint="eastAsia" w:ascii="Times New Roman" w:hAnsi="Times New Roman" w:cs="Times New Roman"/>
          <w:color w:val="auto"/>
          <w:kern w:val="2"/>
          <w:sz w:val="24"/>
          <w:szCs w:val="24"/>
          <w:highlight w:val="none"/>
        </w:rPr>
        <w:t>；</w:t>
      </w:r>
    </w:p>
    <w:p>
      <w:pPr>
        <w:adjustRightInd w:val="0"/>
        <w:snapToGrid w:val="0"/>
        <w:spacing w:line="360" w:lineRule="auto"/>
        <w:ind w:firstLine="480" w:firstLineChars="200"/>
        <w:rPr>
          <w:color w:val="auto"/>
          <w:sz w:val="24"/>
          <w:szCs w:val="24"/>
          <w:highlight w:val="none"/>
        </w:rPr>
      </w:pPr>
      <w:r>
        <w:rPr>
          <w:rFonts w:hint="eastAsia"/>
          <w:color w:val="auto"/>
          <w:sz w:val="24"/>
          <w:szCs w:val="24"/>
          <w:highlight w:val="none"/>
        </w:rPr>
        <w:t>3.3、具有依法缴纳税收和社会保障资金的良好记录（提供2023年</w:t>
      </w:r>
      <w:r>
        <w:rPr>
          <w:rFonts w:hint="eastAsia"/>
          <w:color w:val="auto"/>
          <w:sz w:val="24"/>
          <w:szCs w:val="24"/>
          <w:highlight w:val="none"/>
          <w:lang w:val="en-US"/>
        </w:rPr>
        <w:t>11</w:t>
      </w:r>
      <w:r>
        <w:rPr>
          <w:rFonts w:hint="eastAsia"/>
          <w:color w:val="auto"/>
          <w:sz w:val="24"/>
          <w:szCs w:val="24"/>
          <w:highlight w:val="none"/>
        </w:rPr>
        <w:t>月至今任意连续3个月依法缴纳税收和社会保障资金记录凭证，</w:t>
      </w:r>
      <w:r>
        <w:rPr>
          <w:rFonts w:hint="eastAsia" w:ascii="Times New Roman" w:hAnsi="Times New Roman" w:cs="Times New Roman"/>
          <w:color w:val="auto"/>
          <w:kern w:val="2"/>
          <w:sz w:val="24"/>
          <w:szCs w:val="24"/>
          <w:highlight w:val="none"/>
          <w:lang w:val="en-US"/>
        </w:rPr>
        <w:t>如新成立企业提供注册时间起的缴纳记录，如</w:t>
      </w:r>
      <w:r>
        <w:rPr>
          <w:rFonts w:hint="eastAsia"/>
          <w:color w:val="auto"/>
          <w:sz w:val="24"/>
          <w:szCs w:val="24"/>
          <w:highlight w:val="none"/>
        </w:rPr>
        <w:t>零纳税须提供税务部门盖章的纳税申报表，如依法免税或不需要缴纳社保的供应商提供相应文件证明其依法免税或不需要缴纳社保，提供证明材料并加盖公章），如为联合体投标的，由联合体各成员分别提供；</w:t>
      </w:r>
    </w:p>
    <w:p>
      <w:pPr>
        <w:adjustRightInd w:val="0"/>
        <w:snapToGrid w:val="0"/>
        <w:spacing w:line="360" w:lineRule="auto"/>
        <w:ind w:firstLine="480" w:firstLineChars="200"/>
        <w:rPr>
          <w:color w:val="auto"/>
          <w:sz w:val="24"/>
          <w:szCs w:val="24"/>
          <w:highlight w:val="none"/>
        </w:rPr>
      </w:pPr>
      <w:r>
        <w:rPr>
          <w:rFonts w:hint="eastAsia"/>
          <w:color w:val="auto"/>
          <w:sz w:val="24"/>
          <w:szCs w:val="24"/>
          <w:highlight w:val="none"/>
        </w:rPr>
        <w:t>3.4、在“信用中国”网站（www.creditchina.gov.cn）没有列入重大税收违法失信主体，没有列入失信被执行人（提供提供承诺书和网络截图加盖公章），如为联合体投标的，由联合体各成员分别提供；</w:t>
      </w:r>
    </w:p>
    <w:p>
      <w:pPr>
        <w:adjustRightInd w:val="0"/>
        <w:snapToGrid w:val="0"/>
        <w:spacing w:line="360" w:lineRule="auto"/>
        <w:ind w:firstLine="480" w:firstLineChars="200"/>
        <w:rPr>
          <w:color w:val="auto"/>
          <w:sz w:val="24"/>
          <w:szCs w:val="24"/>
          <w:highlight w:val="none"/>
        </w:rPr>
      </w:pPr>
      <w:r>
        <w:rPr>
          <w:rFonts w:hint="eastAsia"/>
          <w:color w:val="auto"/>
          <w:sz w:val="24"/>
          <w:szCs w:val="24"/>
          <w:highlight w:val="none"/>
        </w:rPr>
        <w:t>3.5、具有履行合同所必需的设备和专业技术能力（提供履约能力承诺书并加盖公章），如为联合体投标的，由联合体各成员分别提供；</w:t>
      </w:r>
    </w:p>
    <w:p>
      <w:pPr>
        <w:adjustRightInd w:val="0"/>
        <w:snapToGrid w:val="0"/>
        <w:spacing w:line="360" w:lineRule="auto"/>
        <w:ind w:firstLine="480" w:firstLineChars="200"/>
        <w:rPr>
          <w:color w:val="auto"/>
          <w:sz w:val="24"/>
          <w:szCs w:val="24"/>
          <w:highlight w:val="none"/>
        </w:rPr>
      </w:pPr>
      <w:r>
        <w:rPr>
          <w:rFonts w:hint="eastAsia"/>
          <w:color w:val="auto"/>
          <w:sz w:val="24"/>
          <w:szCs w:val="24"/>
          <w:highlight w:val="none"/>
        </w:rPr>
        <w:t>3.6、投标人现阶段没有以下情况：（1）投标资格没有被取消、暂停；（2）没有处于被责令停业、财产被接管、破产状态；（3）没有骗取中标行为（是指《招标投标法实施条例》规定的骗取中标行为且情节严重的行为）或严重违约或重大质量问题或发生过围标串标情况，如为联合体投标的，由联合体各成员分别提供（提供承诺书并加盖公章）；</w:t>
      </w:r>
    </w:p>
    <w:p>
      <w:pPr>
        <w:adjustRightInd w:val="0"/>
        <w:snapToGrid w:val="0"/>
        <w:spacing w:line="360" w:lineRule="auto"/>
        <w:ind w:firstLine="480" w:firstLineChars="200"/>
        <w:rPr>
          <w:color w:val="auto"/>
          <w:sz w:val="24"/>
          <w:szCs w:val="24"/>
          <w:highlight w:val="none"/>
        </w:rPr>
      </w:pPr>
      <w:r>
        <w:rPr>
          <w:rFonts w:hint="eastAsia"/>
          <w:color w:val="auto"/>
          <w:sz w:val="24"/>
          <w:szCs w:val="24"/>
          <w:highlight w:val="none"/>
        </w:rPr>
        <w:t>3.7、单位负责人为同一人或者存在直接控股管理关系的不同投标人，不得参加同一合同项下的政府采购活动,为采购项目提供整体设计、规范编制或者项目管理、监理、检测等服务的投标人，不得再参加该项目的采购活动，如为联合体投标的，由联合体各成员分别提供（提供声明函并加盖公章）；</w:t>
      </w:r>
    </w:p>
    <w:p>
      <w:pPr>
        <w:adjustRightInd w:val="0"/>
        <w:snapToGrid w:val="0"/>
        <w:spacing w:line="360" w:lineRule="auto"/>
        <w:ind w:firstLine="480" w:firstLineChars="200"/>
        <w:rPr>
          <w:color w:val="auto"/>
          <w:sz w:val="24"/>
          <w:szCs w:val="24"/>
          <w:highlight w:val="none"/>
        </w:rPr>
      </w:pPr>
      <w:r>
        <w:rPr>
          <w:rFonts w:hint="eastAsia"/>
          <w:color w:val="auto"/>
          <w:sz w:val="24"/>
          <w:szCs w:val="24"/>
          <w:highlight w:val="none"/>
        </w:rPr>
        <w:t>3.8、</w:t>
      </w:r>
      <w:r>
        <w:rPr>
          <w:rFonts w:hint="eastAsia"/>
          <w:color w:val="auto"/>
          <w:sz w:val="24"/>
          <w:szCs w:val="24"/>
          <w:highlight w:val="none"/>
          <w:lang w:val="en-US"/>
        </w:rPr>
        <w:t>投标人可以是设备生产商或其代理商，如代理商参加投标时应按要求取得带★号产品的设备制造商针对本项目的授权书。（带★号的产品，代理商投标提供制造商针对本项目的授权书复印件并加盖公章）；</w:t>
      </w:r>
    </w:p>
    <w:p>
      <w:pPr>
        <w:adjustRightInd w:val="0"/>
        <w:snapToGrid w:val="0"/>
        <w:spacing w:line="360" w:lineRule="auto"/>
        <w:ind w:firstLine="480" w:firstLineChars="200"/>
        <w:rPr>
          <w:color w:val="auto"/>
          <w:szCs w:val="21"/>
          <w:highlight w:val="none"/>
        </w:rPr>
      </w:pPr>
      <w:r>
        <w:rPr>
          <w:rFonts w:hint="eastAsia"/>
          <w:color w:val="auto"/>
          <w:sz w:val="24"/>
          <w:szCs w:val="24"/>
          <w:highlight w:val="none"/>
        </w:rPr>
        <w:t>3.9、</w:t>
      </w:r>
      <w:r>
        <w:rPr>
          <w:color w:val="auto"/>
          <w:sz w:val="24"/>
          <w:szCs w:val="24"/>
          <w:highlight w:val="none"/>
        </w:rPr>
        <w:t>本项目接受联合体投标。</w:t>
      </w:r>
      <w:r>
        <w:rPr>
          <w:rFonts w:hint="eastAsia"/>
          <w:color w:val="auto"/>
          <w:sz w:val="24"/>
          <w:szCs w:val="24"/>
          <w:highlight w:val="none"/>
        </w:rPr>
        <w:t>联合体投标的，应满足下列要求：（1）联合体各方应按招标文件提供的格式签订联合体协议书，明确联合体牵头人和各方权利义务，并承诺就中标项目向招标人承担连带责任；（2）联合体各方不得再以自己名义单独或参加其他联合体在本招标项目中投标，否则各相关投标均无效。</w:t>
      </w:r>
    </w:p>
    <w:p>
      <w:pPr>
        <w:spacing w:beforeLines="50" w:afterLines="50" w:line="500" w:lineRule="exact"/>
        <w:rPr>
          <w:rFonts w:asciiTheme="majorEastAsia" w:hAnsiTheme="majorEastAsia" w:eastAsiaTheme="majorEastAsia"/>
          <w:b/>
          <w:bCs/>
          <w:color w:val="auto"/>
          <w:sz w:val="28"/>
          <w:szCs w:val="28"/>
          <w:highlight w:val="none"/>
        </w:rPr>
      </w:pPr>
      <w:bookmarkStart w:id="33" w:name="_Toc37778936"/>
      <w:bookmarkStart w:id="34" w:name="_Toc152045515"/>
      <w:bookmarkStart w:id="35" w:name="_Toc247513937"/>
      <w:bookmarkStart w:id="36" w:name="_Toc144974483"/>
      <w:bookmarkStart w:id="37" w:name="_Toc152042291"/>
      <w:bookmarkStart w:id="38" w:name="_Toc468178157"/>
      <w:bookmarkStart w:id="39" w:name="_Toc247527538"/>
      <w:r>
        <w:rPr>
          <w:rFonts w:asciiTheme="majorEastAsia" w:hAnsiTheme="majorEastAsia" w:eastAsiaTheme="majorEastAsia"/>
          <w:b/>
          <w:bCs/>
          <w:color w:val="auto"/>
          <w:sz w:val="28"/>
          <w:szCs w:val="28"/>
          <w:highlight w:val="none"/>
        </w:rPr>
        <w:t>4.</w:t>
      </w:r>
      <w:r>
        <w:rPr>
          <w:rFonts w:hint="eastAsia" w:asciiTheme="majorEastAsia" w:hAnsiTheme="majorEastAsia" w:eastAsiaTheme="majorEastAsia"/>
          <w:b/>
          <w:bCs/>
          <w:color w:val="auto"/>
          <w:sz w:val="28"/>
          <w:szCs w:val="28"/>
          <w:highlight w:val="none"/>
        </w:rPr>
        <w:t>招标文件的获取</w:t>
      </w:r>
      <w:bookmarkEnd w:id="33"/>
      <w:bookmarkEnd w:id="34"/>
      <w:bookmarkEnd w:id="35"/>
      <w:bookmarkEnd w:id="36"/>
      <w:bookmarkEnd w:id="37"/>
      <w:bookmarkEnd w:id="38"/>
      <w:bookmarkEnd w:id="39"/>
    </w:p>
    <w:p>
      <w:pPr>
        <w:wordWrap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4.1、凡有意参加投标者，请于202</w:t>
      </w:r>
      <w:r>
        <w:rPr>
          <w:rFonts w:hint="eastAsia" w:asciiTheme="minorEastAsia" w:hAnsiTheme="minorEastAsia" w:eastAsiaTheme="minorEastAsia"/>
          <w:color w:val="auto"/>
          <w:sz w:val="24"/>
          <w:szCs w:val="24"/>
          <w:highlight w:val="none"/>
          <w:lang w:val="en-US"/>
        </w:rPr>
        <w:t>4</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lang w:val="en-US" w:eastAsia="zh-CN"/>
        </w:rPr>
        <w:t>04</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25</w:t>
      </w:r>
      <w:r>
        <w:rPr>
          <w:rFonts w:hint="eastAsia" w:asciiTheme="minorEastAsia" w:hAnsiTheme="minorEastAsia" w:eastAsiaTheme="minorEastAsia"/>
          <w:color w:val="auto"/>
          <w:sz w:val="24"/>
          <w:szCs w:val="24"/>
          <w:highlight w:val="none"/>
        </w:rPr>
        <w:t>日08:30时至202</w:t>
      </w:r>
      <w:r>
        <w:rPr>
          <w:rFonts w:hint="eastAsia" w:asciiTheme="minorEastAsia" w:hAnsiTheme="minorEastAsia" w:eastAsiaTheme="minorEastAsia"/>
          <w:color w:val="auto"/>
          <w:sz w:val="24"/>
          <w:szCs w:val="24"/>
          <w:highlight w:val="none"/>
          <w:lang w:val="en-US"/>
        </w:rPr>
        <w:t>4</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lang w:val="en-US" w:eastAsia="zh-CN"/>
        </w:rPr>
        <w:t>05</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06</w:t>
      </w:r>
      <w:r>
        <w:rPr>
          <w:rFonts w:hint="eastAsia" w:asciiTheme="minorEastAsia" w:hAnsiTheme="minorEastAsia" w:eastAsiaTheme="minorEastAsia"/>
          <w:color w:val="auto"/>
          <w:sz w:val="24"/>
          <w:szCs w:val="24"/>
          <w:highlight w:val="none"/>
        </w:rPr>
        <w:t>日17:30时(北京时间，下同)，登录全国公共资源交易平台（海南省）（http://zw.hainan.gov.cn/ggzy/）下载电子招标文件。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4.2、招标文件每套售价0.00元，投标保证金的金额：</w:t>
      </w:r>
      <w:r>
        <w:rPr>
          <w:rFonts w:asciiTheme="minorEastAsia" w:hAnsiTheme="minorEastAsia" w:eastAsiaTheme="minorEastAsia"/>
          <w:color w:val="auto"/>
          <w:sz w:val="24"/>
          <w:szCs w:val="24"/>
          <w:highlight w:val="none"/>
        </w:rPr>
        <w:t>10</w:t>
      </w:r>
      <w:r>
        <w:rPr>
          <w:rFonts w:hint="eastAsia" w:asciiTheme="minorEastAsia" w:hAnsiTheme="minorEastAsia" w:eastAsiaTheme="minorEastAsia"/>
          <w:color w:val="auto"/>
          <w:sz w:val="24"/>
          <w:szCs w:val="24"/>
          <w:highlight w:val="none"/>
        </w:rPr>
        <w:t>0</w:t>
      </w:r>
      <w:r>
        <w:rPr>
          <w:rFonts w:asciiTheme="minorEastAsia" w:hAnsiTheme="minorEastAsia" w:eastAsiaTheme="minorEastAsia"/>
          <w:color w:val="auto"/>
          <w:sz w:val="24"/>
          <w:szCs w:val="24"/>
          <w:highlight w:val="none"/>
        </w:rPr>
        <w:t>000.00元。</w:t>
      </w:r>
    </w:p>
    <w:p>
      <w:pPr>
        <w:spacing w:beforeLines="50" w:afterLines="50" w:line="500" w:lineRule="exact"/>
        <w:rPr>
          <w:rFonts w:asciiTheme="majorEastAsia" w:hAnsiTheme="majorEastAsia" w:eastAsiaTheme="majorEastAsia"/>
          <w:b/>
          <w:bCs/>
          <w:color w:val="auto"/>
          <w:sz w:val="28"/>
          <w:szCs w:val="28"/>
          <w:highlight w:val="none"/>
        </w:rPr>
      </w:pPr>
      <w:bookmarkStart w:id="40" w:name="_Toc152042292"/>
      <w:bookmarkStart w:id="41" w:name="_Toc152045516"/>
      <w:bookmarkStart w:id="42" w:name="_Toc468178158"/>
      <w:bookmarkStart w:id="43" w:name="_Toc247513938"/>
      <w:bookmarkStart w:id="44" w:name="_Toc144974484"/>
      <w:bookmarkStart w:id="45" w:name="_Toc247527539"/>
      <w:bookmarkStart w:id="46" w:name="_Toc37778937"/>
      <w:r>
        <w:rPr>
          <w:rFonts w:asciiTheme="majorEastAsia" w:hAnsiTheme="majorEastAsia" w:eastAsiaTheme="majorEastAsia"/>
          <w:b/>
          <w:bCs/>
          <w:color w:val="auto"/>
          <w:sz w:val="28"/>
          <w:szCs w:val="28"/>
          <w:highlight w:val="none"/>
        </w:rPr>
        <w:t>5.</w:t>
      </w:r>
      <w:r>
        <w:rPr>
          <w:rFonts w:hint="eastAsia" w:asciiTheme="majorEastAsia" w:hAnsiTheme="majorEastAsia" w:eastAsiaTheme="majorEastAsia"/>
          <w:b/>
          <w:bCs/>
          <w:color w:val="auto"/>
          <w:sz w:val="28"/>
          <w:szCs w:val="28"/>
          <w:highlight w:val="none"/>
        </w:rPr>
        <w:t>投标文件的递交</w:t>
      </w:r>
      <w:bookmarkEnd w:id="40"/>
      <w:bookmarkEnd w:id="41"/>
      <w:bookmarkEnd w:id="42"/>
      <w:bookmarkEnd w:id="43"/>
      <w:bookmarkEnd w:id="44"/>
      <w:bookmarkEnd w:id="45"/>
      <w:bookmarkEnd w:id="46"/>
    </w:p>
    <w:p>
      <w:pPr>
        <w:tabs>
          <w:tab w:val="left" w:pos="360"/>
        </w:tabs>
        <w:wordWrap w:val="0"/>
        <w:spacing w:line="360" w:lineRule="auto"/>
        <w:ind w:firstLine="480" w:firstLineChars="200"/>
        <w:rPr>
          <w:rFonts w:hint="eastAsia" w:asciiTheme="minorEastAsia" w:hAnsiTheme="minorEastAsia" w:eastAsiaTheme="minorEastAsia"/>
          <w:color w:val="auto"/>
          <w:sz w:val="24"/>
          <w:szCs w:val="24"/>
          <w:highlight w:val="none"/>
          <w:lang w:eastAsia="zh-CN"/>
        </w:rPr>
      </w:pPr>
      <w:r>
        <w:rPr>
          <w:rFonts w:hint="eastAsia" w:asciiTheme="minorEastAsia" w:hAnsiTheme="minorEastAsia" w:eastAsiaTheme="minorEastAsia"/>
          <w:color w:val="auto"/>
          <w:sz w:val="24"/>
          <w:szCs w:val="24"/>
          <w:highlight w:val="none"/>
        </w:rPr>
        <w:t>5.1、投标文件递交截止时间（投标截止时间，下同）为</w:t>
      </w:r>
      <w:r>
        <w:rPr>
          <w:rFonts w:hint="eastAsia" w:asciiTheme="minorEastAsia" w:hAnsiTheme="minorEastAsia" w:eastAsiaTheme="minorEastAsia"/>
          <w:color w:val="auto"/>
          <w:sz w:val="24"/>
          <w:szCs w:val="24"/>
          <w:highlight w:val="none"/>
          <w:u w:val="single"/>
        </w:rPr>
        <w:t>2024年</w:t>
      </w:r>
      <w:r>
        <w:rPr>
          <w:rFonts w:hint="eastAsia" w:asciiTheme="minorEastAsia" w:hAnsiTheme="minorEastAsia" w:eastAsiaTheme="minorEastAsia"/>
          <w:color w:val="auto"/>
          <w:sz w:val="24"/>
          <w:szCs w:val="24"/>
          <w:highlight w:val="none"/>
          <w:u w:val="single"/>
          <w:lang w:val="en-US" w:eastAsia="zh-CN"/>
        </w:rPr>
        <w:t>05</w:t>
      </w:r>
      <w:r>
        <w:rPr>
          <w:rFonts w:hint="eastAsia" w:asciiTheme="minorEastAsia" w:hAnsiTheme="minorEastAsia" w:eastAsiaTheme="minorEastAsia"/>
          <w:color w:val="auto"/>
          <w:sz w:val="24"/>
          <w:szCs w:val="24"/>
          <w:highlight w:val="none"/>
          <w:u w:val="single"/>
        </w:rPr>
        <w:t>月</w:t>
      </w:r>
      <w:r>
        <w:rPr>
          <w:rFonts w:hint="eastAsia" w:asciiTheme="minorEastAsia" w:hAnsiTheme="minorEastAsia" w:eastAsiaTheme="minorEastAsia"/>
          <w:color w:val="auto"/>
          <w:sz w:val="24"/>
          <w:szCs w:val="24"/>
          <w:highlight w:val="none"/>
          <w:u w:val="single"/>
          <w:lang w:val="en-US" w:eastAsia="zh-CN"/>
        </w:rPr>
        <w:t>16</w:t>
      </w:r>
      <w:r>
        <w:rPr>
          <w:rFonts w:hint="eastAsia" w:asciiTheme="minorEastAsia" w:hAnsiTheme="minorEastAsia" w:eastAsiaTheme="minorEastAsia"/>
          <w:color w:val="auto"/>
          <w:sz w:val="24"/>
          <w:szCs w:val="24"/>
          <w:highlight w:val="none"/>
          <w:u w:val="single"/>
        </w:rPr>
        <w:t>日</w:t>
      </w:r>
      <w:r>
        <w:rPr>
          <w:rFonts w:hint="eastAsia" w:asciiTheme="minorEastAsia" w:hAnsiTheme="minorEastAsia" w:eastAsiaTheme="minorEastAsia"/>
          <w:color w:val="auto"/>
          <w:sz w:val="24"/>
          <w:szCs w:val="24"/>
          <w:highlight w:val="none"/>
          <w:u w:val="single"/>
          <w:lang w:val="en-US" w:eastAsia="zh-CN"/>
        </w:rPr>
        <w:t>08</w:t>
      </w:r>
      <w:r>
        <w:rPr>
          <w:rFonts w:hint="eastAsia" w:asciiTheme="minorEastAsia" w:hAnsiTheme="minorEastAsia" w:eastAsiaTheme="minorEastAsia"/>
          <w:color w:val="auto"/>
          <w:sz w:val="24"/>
          <w:szCs w:val="24"/>
          <w:highlight w:val="none"/>
          <w:u w:val="single"/>
        </w:rPr>
        <w:t>:</w:t>
      </w:r>
      <w:r>
        <w:rPr>
          <w:rFonts w:hint="eastAsia" w:asciiTheme="minorEastAsia" w:hAnsiTheme="minorEastAsia" w:eastAsiaTheme="minorEastAsia"/>
          <w:color w:val="auto"/>
          <w:sz w:val="24"/>
          <w:szCs w:val="24"/>
          <w:highlight w:val="none"/>
          <w:u w:val="single"/>
          <w:lang w:val="en-US" w:eastAsia="zh-CN"/>
        </w:rPr>
        <w:t>30</w:t>
      </w:r>
      <w:r>
        <w:rPr>
          <w:rFonts w:hint="eastAsia" w:asciiTheme="minorEastAsia" w:hAnsiTheme="minorEastAsia" w:eastAsiaTheme="minorEastAsia"/>
          <w:color w:val="auto"/>
          <w:sz w:val="24"/>
          <w:szCs w:val="24"/>
          <w:highlight w:val="none"/>
        </w:rPr>
        <w:t>，地点为</w:t>
      </w:r>
      <w:r>
        <w:rPr>
          <w:rFonts w:hint="eastAsia" w:asciiTheme="minorEastAsia" w:hAnsiTheme="minorEastAsia" w:eastAsiaTheme="minorEastAsia"/>
          <w:color w:val="auto"/>
          <w:sz w:val="24"/>
          <w:szCs w:val="24"/>
          <w:highlight w:val="none"/>
          <w:lang w:eastAsia="zh-CN"/>
        </w:rPr>
        <w:t>：</w:t>
      </w:r>
      <w:r>
        <w:rPr>
          <w:rFonts w:hint="eastAsia" w:asciiTheme="minorEastAsia" w:hAnsiTheme="minorEastAsia" w:eastAsiaTheme="minorEastAsia"/>
          <w:color w:val="auto"/>
          <w:sz w:val="24"/>
          <w:szCs w:val="24"/>
          <w:highlight w:val="none"/>
          <w:u w:val="single"/>
        </w:rPr>
        <w:t>海南省公共资源交易服务中心（海口市国兴大道9号）</w:t>
      </w:r>
      <w:r>
        <w:rPr>
          <w:rFonts w:hint="eastAsia" w:asciiTheme="minorEastAsia" w:hAnsiTheme="minorEastAsia" w:eastAsiaTheme="minorEastAsia"/>
          <w:color w:val="auto"/>
          <w:sz w:val="24"/>
          <w:szCs w:val="24"/>
          <w:highlight w:val="none"/>
          <w:u w:val="single"/>
          <w:lang w:val="en-US" w:eastAsia="zh-CN"/>
        </w:rPr>
        <w:t>205</w:t>
      </w:r>
      <w:r>
        <w:rPr>
          <w:rFonts w:hint="eastAsia" w:asciiTheme="minorEastAsia" w:hAnsiTheme="minorEastAsia" w:eastAsiaTheme="minorEastAsia"/>
          <w:color w:val="auto"/>
          <w:sz w:val="24"/>
          <w:szCs w:val="24"/>
          <w:highlight w:val="none"/>
          <w:u w:val="single"/>
        </w:rPr>
        <w:t>开标室</w:t>
      </w:r>
      <w:r>
        <w:rPr>
          <w:rFonts w:hint="eastAsia" w:asciiTheme="minorEastAsia" w:hAnsiTheme="minorEastAsia" w:eastAsiaTheme="minorEastAsia"/>
          <w:color w:val="auto"/>
          <w:sz w:val="24"/>
          <w:szCs w:val="24"/>
          <w:highlight w:val="none"/>
        </w:rPr>
        <w:t>。（适用于现场递交）</w:t>
      </w:r>
      <w:r>
        <w:rPr>
          <w:rFonts w:hint="eastAsia" w:asciiTheme="minorEastAsia" w:hAnsiTheme="minorEastAsia" w:eastAsiaTheme="minorEastAsia"/>
          <w:color w:val="auto"/>
          <w:sz w:val="24"/>
          <w:szCs w:val="24"/>
          <w:highlight w:val="none"/>
          <w:lang w:eastAsia="zh-CN"/>
        </w:rPr>
        <w:t>。</w:t>
      </w:r>
    </w:p>
    <w:p>
      <w:pPr>
        <w:tabs>
          <w:tab w:val="left" w:pos="360"/>
        </w:tabs>
        <w:wordWrap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5.2、投标文件递交的截止时间（投标截止时间，下同）为</w:t>
      </w:r>
      <w:r>
        <w:rPr>
          <w:rFonts w:hint="eastAsia" w:asciiTheme="minorEastAsia" w:hAnsiTheme="minorEastAsia" w:eastAsiaTheme="minorEastAsia"/>
          <w:color w:val="auto"/>
          <w:sz w:val="24"/>
          <w:szCs w:val="24"/>
          <w:highlight w:val="none"/>
          <w:u w:val="single"/>
        </w:rPr>
        <w:t>2024年</w:t>
      </w:r>
      <w:r>
        <w:rPr>
          <w:rFonts w:hint="eastAsia" w:asciiTheme="minorEastAsia" w:hAnsiTheme="minorEastAsia" w:eastAsiaTheme="minorEastAsia"/>
          <w:color w:val="auto"/>
          <w:sz w:val="24"/>
          <w:szCs w:val="24"/>
          <w:highlight w:val="none"/>
          <w:u w:val="single"/>
          <w:lang w:val="en-US" w:eastAsia="zh-CN"/>
        </w:rPr>
        <w:t>05</w:t>
      </w:r>
      <w:r>
        <w:rPr>
          <w:rFonts w:hint="eastAsia" w:asciiTheme="minorEastAsia" w:hAnsiTheme="minorEastAsia" w:eastAsiaTheme="minorEastAsia"/>
          <w:color w:val="auto"/>
          <w:sz w:val="24"/>
          <w:szCs w:val="24"/>
          <w:highlight w:val="none"/>
          <w:u w:val="single"/>
        </w:rPr>
        <w:t>月</w:t>
      </w:r>
      <w:r>
        <w:rPr>
          <w:rFonts w:hint="eastAsia" w:asciiTheme="minorEastAsia" w:hAnsiTheme="minorEastAsia" w:eastAsiaTheme="minorEastAsia"/>
          <w:color w:val="auto"/>
          <w:sz w:val="24"/>
          <w:szCs w:val="24"/>
          <w:highlight w:val="none"/>
          <w:u w:val="single"/>
          <w:lang w:val="en-US" w:eastAsia="zh-CN"/>
        </w:rPr>
        <w:t>16</w:t>
      </w:r>
      <w:r>
        <w:rPr>
          <w:rFonts w:hint="eastAsia" w:asciiTheme="minorEastAsia" w:hAnsiTheme="minorEastAsia" w:eastAsiaTheme="minorEastAsia"/>
          <w:color w:val="auto"/>
          <w:sz w:val="24"/>
          <w:szCs w:val="24"/>
          <w:highlight w:val="none"/>
          <w:u w:val="single"/>
        </w:rPr>
        <w:t>日</w:t>
      </w:r>
      <w:r>
        <w:rPr>
          <w:rFonts w:hint="eastAsia" w:asciiTheme="minorEastAsia" w:hAnsiTheme="minorEastAsia" w:eastAsiaTheme="minorEastAsia"/>
          <w:color w:val="auto"/>
          <w:sz w:val="24"/>
          <w:szCs w:val="24"/>
          <w:highlight w:val="none"/>
          <w:u w:val="single"/>
          <w:lang w:val="en-US" w:eastAsia="zh-CN"/>
        </w:rPr>
        <w:t>08</w:t>
      </w:r>
      <w:r>
        <w:rPr>
          <w:rFonts w:hint="eastAsia" w:asciiTheme="minorEastAsia" w:hAnsiTheme="minorEastAsia" w:eastAsiaTheme="minorEastAsia"/>
          <w:color w:val="auto"/>
          <w:sz w:val="24"/>
          <w:szCs w:val="24"/>
          <w:highlight w:val="none"/>
          <w:u w:val="single"/>
        </w:rPr>
        <w:t>:</w:t>
      </w:r>
      <w:r>
        <w:rPr>
          <w:rFonts w:hint="eastAsia" w:asciiTheme="minorEastAsia" w:hAnsiTheme="minorEastAsia" w:eastAsiaTheme="minorEastAsia"/>
          <w:color w:val="auto"/>
          <w:sz w:val="24"/>
          <w:szCs w:val="24"/>
          <w:highlight w:val="none"/>
          <w:u w:val="single"/>
          <w:lang w:val="en-US" w:eastAsia="zh-CN"/>
        </w:rPr>
        <w:t>30</w:t>
      </w:r>
      <w:r>
        <w:rPr>
          <w:rFonts w:hint="eastAsia" w:asciiTheme="minorEastAsia" w:hAnsiTheme="minorEastAsia" w:eastAsiaTheme="minorEastAsia"/>
          <w:color w:val="auto"/>
          <w:sz w:val="24"/>
          <w:szCs w:val="24"/>
          <w:highlight w:val="none"/>
        </w:rPr>
        <w:t>。投标人应当通过远程或者到招标投标交易场所使用数字身份认证锁登录）全国公共资源交易平台（海南省）（http://zw.hainan.gov.cn/ggzy/）上传。（适用于网络递交）</w:t>
      </w:r>
    </w:p>
    <w:p>
      <w:pPr>
        <w:tabs>
          <w:tab w:val="left" w:pos="360"/>
        </w:tabs>
        <w:wordWrap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5.3、投标保证金到账截止日期：</w:t>
      </w:r>
      <w:r>
        <w:rPr>
          <w:rFonts w:hint="eastAsia" w:asciiTheme="minorEastAsia" w:hAnsiTheme="minorEastAsia" w:eastAsiaTheme="minorEastAsia"/>
          <w:color w:val="auto"/>
          <w:sz w:val="24"/>
          <w:szCs w:val="24"/>
          <w:highlight w:val="none"/>
          <w:u w:val="single"/>
        </w:rPr>
        <w:t>2024年</w:t>
      </w:r>
      <w:r>
        <w:rPr>
          <w:rFonts w:hint="eastAsia" w:asciiTheme="minorEastAsia" w:hAnsiTheme="minorEastAsia" w:eastAsiaTheme="minorEastAsia"/>
          <w:color w:val="auto"/>
          <w:sz w:val="24"/>
          <w:szCs w:val="24"/>
          <w:highlight w:val="none"/>
          <w:u w:val="single"/>
          <w:lang w:val="en-US" w:eastAsia="zh-CN"/>
        </w:rPr>
        <w:t>05</w:t>
      </w:r>
      <w:r>
        <w:rPr>
          <w:rFonts w:hint="eastAsia" w:asciiTheme="minorEastAsia" w:hAnsiTheme="minorEastAsia" w:eastAsiaTheme="minorEastAsia"/>
          <w:color w:val="auto"/>
          <w:sz w:val="24"/>
          <w:szCs w:val="24"/>
          <w:highlight w:val="none"/>
          <w:u w:val="single"/>
        </w:rPr>
        <w:t>月</w:t>
      </w:r>
      <w:r>
        <w:rPr>
          <w:rFonts w:hint="eastAsia" w:asciiTheme="minorEastAsia" w:hAnsiTheme="minorEastAsia" w:eastAsiaTheme="minorEastAsia"/>
          <w:color w:val="auto"/>
          <w:sz w:val="24"/>
          <w:szCs w:val="24"/>
          <w:highlight w:val="none"/>
          <w:u w:val="single"/>
          <w:lang w:val="en-US" w:eastAsia="zh-CN"/>
        </w:rPr>
        <w:t>16</w:t>
      </w:r>
      <w:r>
        <w:rPr>
          <w:rFonts w:hint="eastAsia" w:asciiTheme="minorEastAsia" w:hAnsiTheme="minorEastAsia" w:eastAsiaTheme="minorEastAsia"/>
          <w:color w:val="auto"/>
          <w:sz w:val="24"/>
          <w:szCs w:val="24"/>
          <w:highlight w:val="none"/>
          <w:u w:val="single"/>
        </w:rPr>
        <w:t>日</w:t>
      </w:r>
      <w:r>
        <w:rPr>
          <w:rFonts w:hint="eastAsia" w:asciiTheme="minorEastAsia" w:hAnsiTheme="minorEastAsia" w:eastAsiaTheme="minorEastAsia"/>
          <w:color w:val="auto"/>
          <w:sz w:val="24"/>
          <w:szCs w:val="24"/>
          <w:highlight w:val="none"/>
          <w:u w:val="single"/>
          <w:lang w:val="en-US" w:eastAsia="zh-CN"/>
        </w:rPr>
        <w:t>08</w:t>
      </w:r>
      <w:r>
        <w:rPr>
          <w:rFonts w:hint="eastAsia" w:asciiTheme="minorEastAsia" w:hAnsiTheme="minorEastAsia" w:eastAsiaTheme="minorEastAsia"/>
          <w:color w:val="auto"/>
          <w:sz w:val="24"/>
          <w:szCs w:val="24"/>
          <w:highlight w:val="none"/>
          <w:u w:val="single"/>
        </w:rPr>
        <w:t>:</w:t>
      </w:r>
      <w:r>
        <w:rPr>
          <w:rFonts w:hint="eastAsia" w:asciiTheme="minorEastAsia" w:hAnsiTheme="minorEastAsia" w:eastAsiaTheme="minorEastAsia"/>
          <w:color w:val="auto"/>
          <w:sz w:val="24"/>
          <w:szCs w:val="24"/>
          <w:highlight w:val="none"/>
          <w:u w:val="single"/>
          <w:lang w:val="en-US" w:eastAsia="zh-CN"/>
        </w:rPr>
        <w:t>30</w:t>
      </w:r>
      <w:r>
        <w:rPr>
          <w:rFonts w:hint="eastAsia" w:asciiTheme="minorEastAsia" w:hAnsiTheme="minorEastAsia" w:eastAsiaTheme="minorEastAsia"/>
          <w:color w:val="auto"/>
          <w:sz w:val="24"/>
          <w:szCs w:val="24"/>
          <w:highlight w:val="none"/>
        </w:rPr>
        <w:t>，投标保证金的形式：</w:t>
      </w:r>
      <w:r>
        <w:rPr>
          <w:rFonts w:hint="eastAsia" w:asciiTheme="minorEastAsia" w:hAnsiTheme="minorEastAsia" w:eastAsiaTheme="minorEastAsia"/>
          <w:color w:val="auto"/>
          <w:sz w:val="24"/>
          <w:szCs w:val="24"/>
          <w:highlight w:val="none"/>
          <w:u w:val="single"/>
        </w:rPr>
        <w:t>网上支付或线下银行转账支付、银行保函、电子保函、建设工程投标保证保险支付或商业保函等，银行转账应当从其基本账户中转出</w:t>
      </w:r>
      <w:r>
        <w:rPr>
          <w:rFonts w:hint="eastAsia" w:asciiTheme="minorEastAsia" w:hAnsiTheme="minorEastAsia" w:eastAsiaTheme="minorEastAsia"/>
          <w:color w:val="auto"/>
          <w:sz w:val="24"/>
          <w:szCs w:val="24"/>
          <w:highlight w:val="none"/>
        </w:rPr>
        <w:t>，支付地址：</w:t>
      </w:r>
      <w:r>
        <w:rPr>
          <w:rFonts w:hint="eastAsia" w:asciiTheme="minorEastAsia" w:hAnsiTheme="minorEastAsia" w:eastAsiaTheme="minorEastAsia"/>
          <w:color w:val="auto"/>
          <w:sz w:val="24"/>
          <w:szCs w:val="24"/>
          <w:highlight w:val="none"/>
          <w:u w:val="single"/>
        </w:rPr>
        <w:t>全国公共资源交易平台（海南省）（http://zw.hainan.gov.cn/ggzy/）</w:t>
      </w:r>
      <w:r>
        <w:rPr>
          <w:rFonts w:hint="eastAsia" w:asciiTheme="minorEastAsia" w:hAnsiTheme="minorEastAsia" w:eastAsiaTheme="minorEastAsia"/>
          <w:color w:val="auto"/>
          <w:sz w:val="24"/>
          <w:szCs w:val="24"/>
          <w:highlight w:val="none"/>
        </w:rPr>
        <w:t>。</w:t>
      </w:r>
    </w:p>
    <w:p>
      <w:pPr>
        <w:tabs>
          <w:tab w:val="left" w:pos="360"/>
        </w:tabs>
        <w:wordWrap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5.4、逾期送达的或者未送达指定地点的投标文件，招标人不予受理。</w:t>
      </w:r>
    </w:p>
    <w:p>
      <w:pPr>
        <w:spacing w:beforeLines="50" w:afterLines="50" w:line="500" w:lineRule="exact"/>
        <w:rPr>
          <w:rFonts w:asciiTheme="majorEastAsia" w:hAnsiTheme="majorEastAsia" w:eastAsiaTheme="majorEastAsia"/>
          <w:b/>
          <w:bCs/>
          <w:color w:val="auto"/>
          <w:sz w:val="28"/>
          <w:szCs w:val="28"/>
          <w:highlight w:val="none"/>
        </w:rPr>
      </w:pPr>
      <w:bookmarkStart w:id="47" w:name="_Toc247527540"/>
      <w:bookmarkStart w:id="48" w:name="_Toc247513939"/>
      <w:bookmarkStart w:id="49" w:name="_Toc157499355"/>
      <w:bookmarkStart w:id="50" w:name="_Toc37778938"/>
      <w:bookmarkStart w:id="51" w:name="_Toc468178159"/>
      <w:r>
        <w:rPr>
          <w:rFonts w:asciiTheme="majorEastAsia" w:hAnsiTheme="majorEastAsia" w:eastAsiaTheme="majorEastAsia"/>
          <w:b/>
          <w:bCs/>
          <w:color w:val="auto"/>
          <w:sz w:val="28"/>
          <w:szCs w:val="28"/>
          <w:highlight w:val="none"/>
        </w:rPr>
        <w:t>6.</w:t>
      </w:r>
      <w:bookmarkEnd w:id="47"/>
      <w:bookmarkEnd w:id="48"/>
      <w:bookmarkEnd w:id="49"/>
      <w:r>
        <w:rPr>
          <w:rFonts w:hint="eastAsia" w:asciiTheme="majorEastAsia" w:hAnsiTheme="majorEastAsia" w:eastAsiaTheme="majorEastAsia"/>
          <w:b/>
          <w:bCs/>
          <w:color w:val="auto"/>
          <w:sz w:val="28"/>
          <w:szCs w:val="28"/>
          <w:highlight w:val="none"/>
        </w:rPr>
        <w:t>发布公告的媒介</w:t>
      </w:r>
      <w:bookmarkEnd w:id="50"/>
      <w:bookmarkEnd w:id="51"/>
    </w:p>
    <w:p>
      <w:pPr>
        <w:tabs>
          <w:tab w:val="left" w:pos="360"/>
        </w:tabs>
        <w:wordWrap w:val="0"/>
        <w:spacing w:line="500" w:lineRule="exact"/>
        <w:ind w:firstLine="48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 w:val="24"/>
          <w:szCs w:val="24"/>
          <w:highlight w:val="none"/>
        </w:rPr>
        <w:t>本次招标公告在全国公共资源交易平台（海南省）（http://zw.hainan.gov.cn/ggzy/）、中国招标投标公共服务平</w:t>
      </w:r>
      <w:r>
        <w:rPr>
          <w:rFonts w:hint="eastAsia" w:asciiTheme="minorEastAsia" w:hAnsiTheme="minorEastAsia" w:eastAsiaTheme="minorEastAsia"/>
          <w:color w:val="auto"/>
          <w:sz w:val="24"/>
          <w:szCs w:val="24"/>
          <w:highlight w:val="none"/>
          <w:lang w:eastAsia="zh-CN"/>
        </w:rPr>
        <w:t>台（</w:t>
      </w:r>
      <w:r>
        <w:rPr>
          <w:rFonts w:cs="Times New Roman" w:asciiTheme="minorEastAsia" w:hAnsiTheme="minorEastAsia" w:eastAsiaTheme="minorEastAsia"/>
          <w:color w:val="auto"/>
          <w:sz w:val="24"/>
          <w:szCs w:val="24"/>
          <w:highlight w:val="none"/>
        </w:rPr>
        <w:t>http://www.cecbid.org.cn/</w:t>
      </w:r>
      <w:r>
        <w:rPr>
          <w:rFonts w:hint="eastAsia" w:asciiTheme="minorEastAsia" w:hAnsiTheme="minorEastAsia" w:eastAsiaTheme="minorEastAsia"/>
          <w:color w:val="auto"/>
          <w:sz w:val="24"/>
          <w:szCs w:val="24"/>
          <w:highlight w:val="none"/>
          <w:lang w:eastAsia="zh-CN"/>
        </w:rPr>
        <w:t>）</w:t>
      </w:r>
      <w:r>
        <w:rPr>
          <w:rFonts w:hint="eastAsia" w:asciiTheme="minorEastAsia" w:hAnsiTheme="minorEastAsia" w:eastAsiaTheme="minorEastAsia"/>
          <w:color w:val="auto"/>
          <w:sz w:val="24"/>
          <w:szCs w:val="24"/>
          <w:highlight w:val="none"/>
        </w:rPr>
        <w:t>。</w:t>
      </w:r>
    </w:p>
    <w:p>
      <w:pPr>
        <w:spacing w:beforeLines="50" w:afterLines="50" w:line="500" w:lineRule="exact"/>
        <w:rPr>
          <w:rFonts w:asciiTheme="majorEastAsia" w:hAnsiTheme="majorEastAsia" w:eastAsiaTheme="majorEastAsia"/>
          <w:b/>
          <w:bCs/>
          <w:color w:val="auto"/>
          <w:sz w:val="28"/>
          <w:szCs w:val="28"/>
          <w:highlight w:val="none"/>
        </w:rPr>
      </w:pPr>
      <w:bookmarkStart w:id="52" w:name="_Toc78812429"/>
      <w:r>
        <w:rPr>
          <w:rFonts w:hint="eastAsia" w:asciiTheme="majorEastAsia" w:hAnsiTheme="majorEastAsia" w:eastAsiaTheme="majorEastAsia"/>
          <w:b/>
          <w:bCs/>
          <w:color w:val="auto"/>
          <w:sz w:val="28"/>
          <w:szCs w:val="28"/>
          <w:highlight w:val="none"/>
        </w:rPr>
        <w:t>7.其他补充事宜</w:t>
      </w:r>
    </w:p>
    <w:p>
      <w:pPr>
        <w:tabs>
          <w:tab w:val="left" w:pos="360"/>
        </w:tabs>
        <w:wordWrap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7.1、投标人须在全国公共资源交易平台（海南省）企业信息管理系(http://zw.hainan.gov.cn/ggzy/)中登记企业信息,然后登陆招标投标交易平台(http://zw.hainan.gov.cn/ggzy/)下载，查看电子版的招标文件及其他文件；</w:t>
      </w:r>
    </w:p>
    <w:p>
      <w:pPr>
        <w:tabs>
          <w:tab w:val="left" w:pos="360"/>
        </w:tabs>
        <w:wordWrap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7.2、电子标（招标文件后缀名.GZBS）：必须使用最新版本的电子投标工具（在http://zw.hainan.gov.cn/ggzy/ggzy/xgrjxz/index.jhtml下载投标工具）制作电子版的投标文件； </w:t>
      </w:r>
    </w:p>
    <w:p>
      <w:pPr>
        <w:tabs>
          <w:tab w:val="left" w:pos="360"/>
        </w:tabs>
        <w:wordWrap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非电子标（招标文件后缀名不是.GZBS）：必须使用电子签章工具（在http://zw.hainan.gov.cn/ggzy/ggzy/xgrjxz/index.jhtml下载签章工具）对PDF格式的电子投标文件进行盖章(使用WinRAR对PDF格式的标书加密压缩)；</w:t>
      </w:r>
    </w:p>
    <w:p>
      <w:pPr>
        <w:tabs>
          <w:tab w:val="left" w:pos="360"/>
        </w:tabs>
        <w:wordWrap w:val="0"/>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7.3、投标截止时间前，必须在网上上传电子投标书——（电子标：投标书为GTBS格式；非电子标：投标书需上传PDF加密压缩的rar格式）；</w:t>
      </w:r>
    </w:p>
    <w:p>
      <w:pPr>
        <w:tabs>
          <w:tab w:val="left" w:pos="360"/>
        </w:tabs>
        <w:wordWrap w:val="0"/>
        <w:spacing w:line="360" w:lineRule="auto"/>
        <w:ind w:firstLine="48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 w:val="24"/>
          <w:szCs w:val="24"/>
          <w:highlight w:val="none"/>
        </w:rPr>
        <w:t>7.4、开标的时候必须携带加密锁(CA数字认证锁)和U盘拷贝的电子版投标书。</w:t>
      </w:r>
    </w:p>
    <w:bookmarkEnd w:id="52"/>
    <w:p>
      <w:pPr>
        <w:spacing w:beforeLines="50" w:afterLines="50" w:line="500" w:lineRule="exact"/>
        <w:rPr>
          <w:rFonts w:asciiTheme="majorEastAsia" w:hAnsiTheme="majorEastAsia" w:eastAsiaTheme="majorEastAsia"/>
          <w:b/>
          <w:bCs/>
          <w:color w:val="auto"/>
          <w:sz w:val="28"/>
          <w:szCs w:val="28"/>
          <w:highlight w:val="none"/>
        </w:rPr>
      </w:pPr>
      <w:bookmarkStart w:id="53" w:name="_Toc37778940"/>
      <w:bookmarkStart w:id="54" w:name="_Toc247527541"/>
      <w:bookmarkStart w:id="55" w:name="_Toc468178160"/>
      <w:bookmarkStart w:id="56" w:name="_Toc152045517"/>
      <w:bookmarkStart w:id="57" w:name="_Toc144974485"/>
      <w:bookmarkStart w:id="58" w:name="_Toc152042293"/>
      <w:bookmarkStart w:id="59" w:name="_Toc247513940"/>
      <w:r>
        <w:rPr>
          <w:rFonts w:hint="eastAsia" w:asciiTheme="majorEastAsia" w:hAnsiTheme="majorEastAsia" w:eastAsiaTheme="majorEastAsia"/>
          <w:b/>
          <w:bCs/>
          <w:color w:val="auto"/>
          <w:sz w:val="28"/>
          <w:szCs w:val="28"/>
          <w:highlight w:val="none"/>
        </w:rPr>
        <w:t>8.联系方式</w:t>
      </w:r>
      <w:bookmarkEnd w:id="53"/>
      <w:bookmarkEnd w:id="54"/>
      <w:bookmarkEnd w:id="55"/>
      <w:bookmarkEnd w:id="56"/>
      <w:bookmarkEnd w:id="57"/>
      <w:bookmarkEnd w:id="58"/>
      <w:bookmarkEnd w:id="59"/>
    </w:p>
    <w:p>
      <w:pPr>
        <w:tabs>
          <w:tab w:val="left" w:pos="360"/>
        </w:tabs>
        <w:spacing w:line="360" w:lineRule="auto"/>
        <w:ind w:firstLine="480" w:firstLineChars="200"/>
        <w:rPr>
          <w:rFonts w:asciiTheme="minorEastAsia" w:hAnsiTheme="minorEastAsia" w:eastAsiaTheme="minorEastAsia"/>
          <w:color w:val="auto"/>
          <w:sz w:val="24"/>
          <w:szCs w:val="24"/>
          <w:highlight w:val="none"/>
        </w:rPr>
      </w:pPr>
      <w:bookmarkStart w:id="60" w:name="_Toc129271748"/>
      <w:r>
        <w:rPr>
          <w:rFonts w:hint="eastAsia" w:asciiTheme="minorEastAsia" w:hAnsiTheme="minorEastAsia" w:eastAsiaTheme="minorEastAsia"/>
          <w:color w:val="auto"/>
          <w:sz w:val="24"/>
          <w:szCs w:val="24"/>
          <w:highlight w:val="none"/>
        </w:rPr>
        <w:t>招标人：三亚崖州湾科技城开发建设有限公司</w:t>
      </w:r>
      <w:bookmarkEnd w:id="60"/>
    </w:p>
    <w:p>
      <w:pPr>
        <w:tabs>
          <w:tab w:val="left" w:pos="360"/>
        </w:tabs>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地址：海南省三亚市崖州区创意产业园</w:t>
      </w:r>
      <w:r>
        <w:rPr>
          <w:rFonts w:asciiTheme="minorEastAsia" w:hAnsiTheme="minorEastAsia" w:eastAsiaTheme="minorEastAsia"/>
          <w:color w:val="auto"/>
          <w:sz w:val="24"/>
          <w:szCs w:val="24"/>
          <w:highlight w:val="none"/>
        </w:rPr>
        <w:t>2号路标准厂房一期旁</w:t>
      </w:r>
    </w:p>
    <w:p>
      <w:pPr>
        <w:tabs>
          <w:tab w:val="left" w:pos="360"/>
        </w:tabs>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联系人：郭工</w:t>
      </w:r>
    </w:p>
    <w:p>
      <w:pPr>
        <w:tabs>
          <w:tab w:val="left" w:pos="360"/>
        </w:tabs>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电话：</w:t>
      </w:r>
      <w:r>
        <w:rPr>
          <w:rFonts w:asciiTheme="minorEastAsia" w:hAnsiTheme="minorEastAsia" w:eastAsiaTheme="minorEastAsia"/>
          <w:color w:val="auto"/>
          <w:sz w:val="24"/>
          <w:szCs w:val="24"/>
          <w:highlight w:val="none"/>
        </w:rPr>
        <w:t>0898-88830938</w:t>
      </w:r>
    </w:p>
    <w:p>
      <w:pPr>
        <w:tabs>
          <w:tab w:val="left" w:pos="360"/>
        </w:tabs>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招标代理机构：中一（海南）工程咨询有限公司</w:t>
      </w:r>
    </w:p>
    <w:p>
      <w:pPr>
        <w:tabs>
          <w:tab w:val="left" w:pos="360"/>
        </w:tabs>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地址：海南省三亚吉阳区临春河路银农公寓</w:t>
      </w:r>
      <w:r>
        <w:rPr>
          <w:rFonts w:asciiTheme="minorEastAsia" w:hAnsiTheme="minorEastAsia" w:eastAsiaTheme="minorEastAsia"/>
          <w:color w:val="auto"/>
          <w:sz w:val="24"/>
          <w:szCs w:val="24"/>
          <w:highlight w:val="none"/>
        </w:rPr>
        <w:t>201房</w:t>
      </w:r>
    </w:p>
    <w:p>
      <w:pPr>
        <w:tabs>
          <w:tab w:val="left" w:pos="360"/>
        </w:tabs>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联系人：王工</w:t>
      </w:r>
    </w:p>
    <w:p>
      <w:pPr>
        <w:tabs>
          <w:tab w:val="left" w:pos="360"/>
        </w:tabs>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联系电话：15308986102</w:t>
      </w:r>
    </w:p>
    <w:p>
      <w:pPr>
        <w:tabs>
          <w:tab w:val="left" w:pos="360"/>
        </w:tabs>
        <w:spacing w:line="500" w:lineRule="exact"/>
        <w:ind w:firstLine="440" w:firstLineChars="200"/>
        <w:jc w:val="right"/>
        <w:rPr>
          <w:rFonts w:asciiTheme="minorEastAsia" w:hAnsiTheme="minorEastAsia" w:eastAsiaTheme="minorEastAsia"/>
          <w:color w:val="auto"/>
          <w:szCs w:val="21"/>
          <w:highlight w:val="none"/>
        </w:rPr>
      </w:pPr>
    </w:p>
    <w:p>
      <w:pPr>
        <w:tabs>
          <w:tab w:val="left" w:pos="360"/>
        </w:tabs>
        <w:spacing w:line="500" w:lineRule="exact"/>
        <w:ind w:firstLine="440" w:firstLineChars="200"/>
        <w:jc w:val="right"/>
        <w:rPr>
          <w:rFonts w:asciiTheme="minorEastAsia" w:hAnsiTheme="minorEastAsia" w:eastAsiaTheme="minorEastAsia"/>
          <w:color w:val="auto"/>
          <w:szCs w:val="21"/>
          <w:highlight w:val="none"/>
        </w:rPr>
      </w:pPr>
    </w:p>
    <w:p>
      <w:pPr>
        <w:tabs>
          <w:tab w:val="left" w:pos="360"/>
        </w:tabs>
        <w:spacing w:line="500" w:lineRule="exact"/>
        <w:ind w:firstLine="440" w:firstLineChars="200"/>
        <w:jc w:val="right"/>
        <w:rPr>
          <w:rFonts w:asciiTheme="minorEastAsia" w:hAnsiTheme="minorEastAsia" w:eastAsiaTheme="minorEastAsia"/>
          <w:color w:val="auto"/>
          <w:szCs w:val="21"/>
          <w:highlight w:val="none"/>
        </w:rPr>
      </w:pPr>
    </w:p>
    <w:p>
      <w:pPr>
        <w:pStyle w:val="55"/>
        <w:spacing w:line="675" w:lineRule="exact"/>
        <w:jc w:val="center"/>
        <w:outlineLvl w:val="0"/>
        <w:rPr>
          <w:rFonts w:ascii="宋体" w:hAnsi="宋体" w:eastAsia="宋体"/>
          <w:color w:val="auto"/>
          <w:highlight w:val="none"/>
        </w:rPr>
        <w:sectPr>
          <w:footerReference r:id="rId7" w:type="default"/>
          <w:pgSz w:w="11907" w:h="16839"/>
          <w:pgMar w:top="1134" w:right="1417" w:bottom="1134" w:left="1417" w:header="0" w:footer="841" w:gutter="0"/>
          <w:pgNumType w:fmt="decimal" w:start="1"/>
          <w:cols w:space="720" w:num="1"/>
        </w:sectPr>
      </w:pPr>
      <w:bookmarkStart w:id="61" w:name="_bookmark18"/>
      <w:bookmarkEnd w:id="61"/>
      <w:bookmarkStart w:id="62" w:name="_Toc116892712"/>
      <w:bookmarkStart w:id="63" w:name="_Toc26504"/>
    </w:p>
    <w:p>
      <w:pPr>
        <w:rPr>
          <w:color w:val="auto"/>
          <w:highlight w:val="none"/>
        </w:rPr>
        <w:sectPr>
          <w:type w:val="continuous"/>
          <w:pgSz w:w="11907" w:h="16839"/>
          <w:pgMar w:top="1134" w:right="1134" w:bottom="1134" w:left="1134" w:header="0" w:footer="841" w:gutter="0"/>
          <w:pgNumType w:fmt="decimal"/>
          <w:cols w:space="720" w:num="1"/>
        </w:sectPr>
      </w:pPr>
    </w:p>
    <w:p>
      <w:pPr>
        <w:pStyle w:val="4"/>
        <w:spacing w:beforeLines="50" w:afterLines="50" w:line="500" w:lineRule="exact"/>
        <w:jc w:val="center"/>
        <w:rPr>
          <w:color w:val="auto"/>
          <w:highlight w:val="none"/>
        </w:rPr>
      </w:pPr>
      <w:bookmarkStart w:id="64" w:name="_Toc22301"/>
      <w:bookmarkStart w:id="65" w:name="_Toc14883"/>
      <w:r>
        <w:rPr>
          <w:color w:val="auto"/>
          <w:highlight w:val="none"/>
        </w:rPr>
        <w:t>第二章投标人须知</w:t>
      </w:r>
      <w:bookmarkEnd w:id="62"/>
      <w:bookmarkEnd w:id="63"/>
      <w:bookmarkEnd w:id="64"/>
      <w:bookmarkEnd w:id="65"/>
    </w:p>
    <w:p>
      <w:pPr>
        <w:pStyle w:val="56"/>
        <w:spacing w:beforeLines="50" w:afterLines="50"/>
        <w:ind w:left="0" w:firstLine="0"/>
        <w:jc w:val="center"/>
        <w:outlineLvl w:val="9"/>
        <w:rPr>
          <w:rFonts w:asciiTheme="minorEastAsia" w:hAnsiTheme="minorEastAsia" w:eastAsiaTheme="minorEastAsia"/>
          <w:color w:val="auto"/>
          <w:highlight w:val="none"/>
        </w:rPr>
      </w:pPr>
      <w:bookmarkStart w:id="66" w:name="_bookmark19"/>
      <w:bookmarkEnd w:id="66"/>
      <w:r>
        <w:rPr>
          <w:rFonts w:asciiTheme="minorEastAsia" w:hAnsiTheme="minorEastAsia" w:eastAsiaTheme="minorEastAsia"/>
          <w:color w:val="auto"/>
          <w:highlight w:val="none"/>
        </w:rPr>
        <w:t>投标人须知前附表</w:t>
      </w:r>
    </w:p>
    <w:tbl>
      <w:tblPr>
        <w:tblStyle w:val="29"/>
        <w:tblW w:w="94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2174"/>
        <w:gridCol w:w="5971"/>
        <w:gridCol w:w="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134" w:type="dxa"/>
          </w:tcPr>
          <w:p>
            <w:pPr>
              <w:pStyle w:val="61"/>
              <w:spacing w:line="460" w:lineRule="exact"/>
              <w:jc w:val="center"/>
              <w:rPr>
                <w:b/>
                <w:color w:val="auto"/>
                <w:sz w:val="24"/>
                <w:szCs w:val="24"/>
                <w:highlight w:val="none"/>
              </w:rPr>
            </w:pPr>
            <w:r>
              <w:rPr>
                <w:rFonts w:hint="eastAsia"/>
                <w:b/>
                <w:color w:val="auto"/>
                <w:sz w:val="24"/>
                <w:szCs w:val="24"/>
                <w:highlight w:val="none"/>
              </w:rPr>
              <w:t>条款号</w:t>
            </w:r>
          </w:p>
        </w:tc>
        <w:tc>
          <w:tcPr>
            <w:tcW w:w="2174" w:type="dxa"/>
          </w:tcPr>
          <w:p>
            <w:pPr>
              <w:pStyle w:val="61"/>
              <w:spacing w:line="460" w:lineRule="exact"/>
              <w:jc w:val="center"/>
              <w:rPr>
                <w:b/>
                <w:color w:val="auto"/>
                <w:sz w:val="24"/>
                <w:szCs w:val="24"/>
                <w:highlight w:val="none"/>
              </w:rPr>
            </w:pPr>
            <w:r>
              <w:rPr>
                <w:rFonts w:hint="eastAsia"/>
                <w:b/>
                <w:color w:val="auto"/>
                <w:sz w:val="24"/>
                <w:szCs w:val="24"/>
                <w:highlight w:val="none"/>
              </w:rPr>
              <w:t>条款名称</w:t>
            </w:r>
          </w:p>
        </w:tc>
        <w:tc>
          <w:tcPr>
            <w:tcW w:w="6163" w:type="dxa"/>
            <w:gridSpan w:val="2"/>
          </w:tcPr>
          <w:p>
            <w:pPr>
              <w:pStyle w:val="61"/>
              <w:spacing w:line="460" w:lineRule="exact"/>
              <w:jc w:val="center"/>
              <w:rPr>
                <w:b/>
                <w:color w:val="auto"/>
                <w:sz w:val="24"/>
                <w:szCs w:val="24"/>
                <w:highlight w:val="none"/>
              </w:rPr>
            </w:pPr>
            <w:r>
              <w:rPr>
                <w:rFonts w:hint="eastAsia"/>
                <w:b/>
                <w:color w:val="auto"/>
                <w:sz w:val="24"/>
                <w:szCs w:val="24"/>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1.1.2</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招标人</w:t>
            </w:r>
          </w:p>
        </w:tc>
        <w:tc>
          <w:tcPr>
            <w:tcW w:w="6163" w:type="dxa"/>
            <w:gridSpan w:val="2"/>
            <w:vAlign w:val="center"/>
          </w:tcPr>
          <w:p>
            <w:pPr>
              <w:adjustRightInd w:val="0"/>
              <w:spacing w:line="360" w:lineRule="auto"/>
              <w:ind w:left="110" w:leftChars="50"/>
              <w:rPr>
                <w:color w:val="auto"/>
                <w:sz w:val="24"/>
                <w:szCs w:val="24"/>
                <w:highlight w:val="none"/>
              </w:rPr>
            </w:pPr>
            <w:r>
              <w:rPr>
                <w:rFonts w:hint="eastAsia"/>
                <w:color w:val="auto"/>
                <w:sz w:val="24"/>
                <w:szCs w:val="24"/>
                <w:highlight w:val="none"/>
              </w:rPr>
              <w:t>名  称：</w:t>
            </w:r>
            <w:r>
              <w:rPr>
                <w:rFonts w:hint="eastAsia" w:asciiTheme="minorEastAsia" w:hAnsiTheme="minorEastAsia" w:eastAsiaTheme="minorEastAsia"/>
                <w:color w:val="auto"/>
                <w:sz w:val="24"/>
                <w:szCs w:val="24"/>
                <w:highlight w:val="none"/>
              </w:rPr>
              <w:t>三亚崖州湾科技城开发建设有限公司</w:t>
            </w:r>
          </w:p>
          <w:p>
            <w:pPr>
              <w:autoSpaceDE/>
              <w:autoSpaceDN/>
              <w:adjustRightInd w:val="0"/>
              <w:snapToGrid w:val="0"/>
              <w:spacing w:line="360" w:lineRule="auto"/>
              <w:ind w:left="110" w:leftChars="50"/>
              <w:rPr>
                <w:rFonts w:cs="Times New Roman" w:asciiTheme="minorEastAsia" w:hAnsiTheme="minorEastAsia" w:eastAsiaTheme="minorEastAsia"/>
                <w:color w:val="auto"/>
                <w:kern w:val="2"/>
                <w:sz w:val="24"/>
                <w:szCs w:val="24"/>
                <w:highlight w:val="none"/>
                <w:lang w:val="en-US"/>
              </w:rPr>
            </w:pPr>
            <w:r>
              <w:rPr>
                <w:rFonts w:hint="eastAsia"/>
                <w:color w:val="auto"/>
                <w:sz w:val="24"/>
                <w:szCs w:val="24"/>
                <w:highlight w:val="none"/>
              </w:rPr>
              <w:t>地  址：</w:t>
            </w:r>
            <w:r>
              <w:rPr>
                <w:rFonts w:hint="eastAsia" w:asciiTheme="minorEastAsia" w:hAnsiTheme="minorEastAsia" w:eastAsiaTheme="minorEastAsia"/>
                <w:color w:val="auto"/>
                <w:sz w:val="24"/>
                <w:szCs w:val="24"/>
                <w:highlight w:val="none"/>
              </w:rPr>
              <w:t>海南省三亚市崖州区创意产业园</w:t>
            </w:r>
            <w:r>
              <w:rPr>
                <w:rFonts w:asciiTheme="minorEastAsia" w:hAnsiTheme="minorEastAsia" w:eastAsiaTheme="minorEastAsia"/>
                <w:color w:val="auto"/>
                <w:sz w:val="24"/>
                <w:szCs w:val="24"/>
                <w:highlight w:val="none"/>
              </w:rPr>
              <w:t>2号路标准厂房一期旁</w:t>
            </w:r>
          </w:p>
          <w:p>
            <w:pPr>
              <w:adjustRightInd w:val="0"/>
              <w:spacing w:line="360" w:lineRule="auto"/>
              <w:ind w:left="110" w:leftChars="50"/>
              <w:rPr>
                <w:color w:val="auto"/>
                <w:sz w:val="24"/>
                <w:szCs w:val="24"/>
                <w:highlight w:val="none"/>
              </w:rPr>
            </w:pPr>
            <w:r>
              <w:rPr>
                <w:rFonts w:hint="eastAsia"/>
                <w:color w:val="auto"/>
                <w:sz w:val="24"/>
                <w:szCs w:val="24"/>
                <w:highlight w:val="none"/>
              </w:rPr>
              <w:t>联系人：</w:t>
            </w:r>
            <w:r>
              <w:rPr>
                <w:rFonts w:hint="eastAsia" w:asciiTheme="minorEastAsia" w:hAnsiTheme="minorEastAsia" w:eastAsiaTheme="minorEastAsia"/>
                <w:color w:val="auto"/>
                <w:sz w:val="24"/>
                <w:szCs w:val="24"/>
                <w:highlight w:val="none"/>
              </w:rPr>
              <w:t>郭工</w:t>
            </w:r>
          </w:p>
          <w:p>
            <w:pPr>
              <w:adjustRightInd w:val="0"/>
              <w:spacing w:line="360" w:lineRule="auto"/>
              <w:ind w:left="110" w:leftChars="50"/>
              <w:rPr>
                <w:color w:val="auto"/>
                <w:sz w:val="24"/>
                <w:szCs w:val="24"/>
                <w:highlight w:val="none"/>
              </w:rPr>
            </w:pPr>
            <w:r>
              <w:rPr>
                <w:rFonts w:hint="eastAsia"/>
                <w:color w:val="auto"/>
                <w:sz w:val="24"/>
                <w:szCs w:val="24"/>
                <w:highlight w:val="none"/>
              </w:rPr>
              <w:t>电  话：</w:t>
            </w:r>
            <w:r>
              <w:rPr>
                <w:rFonts w:asciiTheme="minorEastAsia" w:hAnsiTheme="minorEastAsia" w:eastAsiaTheme="minorEastAsia"/>
                <w:color w:val="auto"/>
                <w:sz w:val="24"/>
                <w:szCs w:val="24"/>
                <w:highlight w:val="none"/>
              </w:rPr>
              <w:t>0898-88830938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1.1.3</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招标代理机构</w:t>
            </w:r>
          </w:p>
        </w:tc>
        <w:tc>
          <w:tcPr>
            <w:tcW w:w="6163" w:type="dxa"/>
            <w:gridSpan w:val="2"/>
            <w:vAlign w:val="center"/>
          </w:tcPr>
          <w:p>
            <w:pPr>
              <w:adjustRightInd w:val="0"/>
              <w:spacing w:line="360" w:lineRule="auto"/>
              <w:ind w:left="110" w:leftChars="50"/>
              <w:rPr>
                <w:color w:val="auto"/>
                <w:sz w:val="24"/>
                <w:szCs w:val="24"/>
                <w:highlight w:val="none"/>
              </w:rPr>
            </w:pPr>
            <w:r>
              <w:rPr>
                <w:rFonts w:hint="eastAsia"/>
                <w:color w:val="auto"/>
                <w:sz w:val="24"/>
                <w:szCs w:val="24"/>
                <w:highlight w:val="none"/>
              </w:rPr>
              <w:t>名  称：中一（海南）工程咨询有限公司</w:t>
            </w:r>
          </w:p>
          <w:p>
            <w:pPr>
              <w:adjustRightInd w:val="0"/>
              <w:spacing w:line="360" w:lineRule="auto"/>
              <w:ind w:left="110" w:leftChars="50"/>
              <w:rPr>
                <w:color w:val="auto"/>
                <w:sz w:val="24"/>
                <w:szCs w:val="24"/>
                <w:highlight w:val="none"/>
              </w:rPr>
            </w:pPr>
            <w:r>
              <w:rPr>
                <w:rFonts w:hint="eastAsia"/>
                <w:color w:val="auto"/>
                <w:sz w:val="24"/>
                <w:szCs w:val="24"/>
                <w:highlight w:val="none"/>
              </w:rPr>
              <w:t>地  址：海南省三亚市吉阳区临春河路银农公寓楼201房</w:t>
            </w:r>
          </w:p>
          <w:p>
            <w:pPr>
              <w:adjustRightInd w:val="0"/>
              <w:spacing w:line="360" w:lineRule="auto"/>
              <w:ind w:left="110" w:leftChars="50"/>
              <w:rPr>
                <w:color w:val="auto"/>
                <w:sz w:val="24"/>
                <w:szCs w:val="24"/>
                <w:highlight w:val="none"/>
              </w:rPr>
            </w:pPr>
            <w:r>
              <w:rPr>
                <w:rFonts w:hint="eastAsia"/>
                <w:color w:val="auto"/>
                <w:sz w:val="24"/>
                <w:szCs w:val="24"/>
                <w:highlight w:val="none"/>
              </w:rPr>
              <w:t>联系人：</w:t>
            </w:r>
            <w:r>
              <w:rPr>
                <w:rFonts w:hint="eastAsia" w:asciiTheme="minorEastAsia" w:hAnsiTheme="minorEastAsia" w:eastAsiaTheme="minorEastAsia"/>
                <w:color w:val="auto"/>
                <w:sz w:val="24"/>
                <w:szCs w:val="24"/>
                <w:highlight w:val="none"/>
              </w:rPr>
              <w:t>王工</w:t>
            </w:r>
          </w:p>
          <w:p>
            <w:pPr>
              <w:adjustRightInd w:val="0"/>
              <w:spacing w:line="360" w:lineRule="auto"/>
              <w:ind w:left="110" w:leftChars="50"/>
              <w:rPr>
                <w:color w:val="auto"/>
                <w:sz w:val="24"/>
                <w:szCs w:val="24"/>
                <w:highlight w:val="none"/>
              </w:rPr>
            </w:pPr>
            <w:r>
              <w:rPr>
                <w:rFonts w:hint="eastAsia"/>
                <w:color w:val="auto"/>
                <w:sz w:val="24"/>
                <w:szCs w:val="24"/>
                <w:highlight w:val="none"/>
              </w:rPr>
              <w:t>电  话：</w:t>
            </w:r>
            <w:r>
              <w:rPr>
                <w:rFonts w:asciiTheme="minorEastAsia" w:hAnsiTheme="minorEastAsia" w:eastAsiaTheme="minorEastAsia"/>
                <w:color w:val="auto"/>
                <w:sz w:val="24"/>
                <w:szCs w:val="24"/>
                <w:highlight w:val="none"/>
                <w:shd w:val="clear" w:color="auto" w:fill="FFFFFF" w:themeFill="background1"/>
              </w:rPr>
              <w:t>15308986102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1.1.4</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招标项目名称</w:t>
            </w:r>
          </w:p>
        </w:tc>
        <w:tc>
          <w:tcPr>
            <w:tcW w:w="6163" w:type="dxa"/>
            <w:gridSpan w:val="2"/>
            <w:vAlign w:val="center"/>
          </w:tcPr>
          <w:p>
            <w:pPr>
              <w:pStyle w:val="61"/>
              <w:spacing w:line="460" w:lineRule="exact"/>
              <w:ind w:left="110" w:leftChars="50"/>
              <w:jc w:val="both"/>
              <w:rPr>
                <w:bCs/>
                <w:color w:val="auto"/>
                <w:sz w:val="24"/>
                <w:szCs w:val="24"/>
                <w:highlight w:val="none"/>
              </w:rPr>
            </w:pPr>
            <w:r>
              <w:rPr>
                <w:rFonts w:hint="eastAsia" w:ascii="Times New Roman" w:hAnsi="Times New Roman"/>
                <w:color w:val="auto"/>
                <w:sz w:val="24"/>
                <w:szCs w:val="24"/>
                <w:highlight w:val="none"/>
              </w:rPr>
              <w:t>三亚崖州湾科技城科教城深海科技创新公共平台项目--聚波水池设备购置（二次招标）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1.2.1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资金来源及比例</w:t>
            </w:r>
          </w:p>
        </w:tc>
        <w:tc>
          <w:tcPr>
            <w:tcW w:w="6163" w:type="dxa"/>
            <w:gridSpan w:val="2"/>
            <w:vAlign w:val="center"/>
          </w:tcPr>
          <w:p>
            <w:pPr>
              <w:pStyle w:val="61"/>
              <w:spacing w:line="460" w:lineRule="exact"/>
              <w:ind w:left="110" w:leftChars="50"/>
              <w:jc w:val="both"/>
              <w:rPr>
                <w:color w:val="auto"/>
                <w:sz w:val="24"/>
                <w:szCs w:val="24"/>
                <w:highlight w:val="none"/>
              </w:rPr>
            </w:pPr>
            <w:r>
              <w:rPr>
                <w:rFonts w:hint="eastAsia" w:asciiTheme="minorEastAsia" w:hAnsiTheme="minorEastAsia" w:eastAsiaTheme="minorEastAsia"/>
                <w:color w:val="auto"/>
                <w:sz w:val="24"/>
                <w:szCs w:val="24"/>
                <w:highlight w:val="none"/>
              </w:rPr>
              <w:t>政府投资</w:t>
            </w:r>
            <w:r>
              <w:rPr>
                <w:rFonts w:hint="eastAsia" w:asciiTheme="minorEastAsia" w:hAnsiTheme="minorEastAsia" w:eastAsiaTheme="minorEastAsia"/>
                <w:color w:val="auto"/>
                <w:sz w:val="24"/>
                <w:szCs w:val="24"/>
                <w:highlight w:val="none"/>
                <w:lang w:val="en-US"/>
              </w:rPr>
              <w:t>100</w:t>
            </w:r>
            <w:r>
              <w:rPr>
                <w:rFonts w:hint="eastAsia" w:asciiTheme="minorEastAsia" w:hAnsiTheme="minorEastAsia" w:eastAsiaTheme="minorEastAsia"/>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1.2.2</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资金落实情况</w:t>
            </w:r>
          </w:p>
        </w:tc>
        <w:tc>
          <w:tcPr>
            <w:tcW w:w="6163" w:type="dxa"/>
            <w:gridSpan w:val="2"/>
            <w:vAlign w:val="center"/>
          </w:tcPr>
          <w:p>
            <w:pPr>
              <w:pStyle w:val="61"/>
              <w:spacing w:line="460" w:lineRule="exact"/>
              <w:ind w:left="110" w:leftChars="50"/>
              <w:jc w:val="both"/>
              <w:rPr>
                <w:color w:val="auto"/>
                <w:sz w:val="24"/>
                <w:szCs w:val="24"/>
                <w:highlight w:val="none"/>
              </w:rPr>
            </w:pPr>
            <w:r>
              <w:rPr>
                <w:color w:val="auto"/>
                <w:sz w:val="24"/>
                <w:szCs w:val="24"/>
                <w:highlight w:val="none"/>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1.3.1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招标范围</w:t>
            </w:r>
          </w:p>
        </w:tc>
        <w:tc>
          <w:tcPr>
            <w:tcW w:w="6163" w:type="dxa"/>
            <w:gridSpan w:val="2"/>
            <w:vAlign w:val="center"/>
          </w:tcPr>
          <w:p>
            <w:pPr>
              <w:pStyle w:val="61"/>
              <w:spacing w:line="460" w:lineRule="exact"/>
              <w:ind w:left="110" w:leftChars="50"/>
              <w:jc w:val="both"/>
              <w:rPr>
                <w:color w:val="auto"/>
                <w:sz w:val="24"/>
                <w:szCs w:val="24"/>
                <w:highlight w:val="none"/>
              </w:rPr>
            </w:pPr>
            <w:r>
              <w:rPr>
                <w:rFonts w:hint="eastAsia" w:ascii="Times New Roman" w:hAnsi="Times New Roman"/>
                <w:color w:val="auto"/>
                <w:sz w:val="24"/>
                <w:szCs w:val="24"/>
                <w:highlight w:val="none"/>
              </w:rPr>
              <w:t>三亚崖州湾科技城科教城深海科技创新公共平台项目--聚波水池设备购置（二次招标）</w:t>
            </w:r>
            <w:r>
              <w:rPr>
                <w:rFonts w:ascii="Times New Roman"/>
                <w:color w:val="auto"/>
                <w:sz w:val="24"/>
                <w:szCs w:val="24"/>
                <w:highlight w:val="none"/>
              </w:rPr>
              <w:t>，具体设备详见第五章供货要求</w:t>
            </w:r>
            <w:r>
              <w:rPr>
                <w:rFonts w:hint="eastAsia" w:ascii="Times New Roman"/>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1.3.2</w:t>
            </w:r>
          </w:p>
        </w:tc>
        <w:tc>
          <w:tcPr>
            <w:tcW w:w="2174" w:type="dxa"/>
            <w:vAlign w:val="center"/>
          </w:tcPr>
          <w:p>
            <w:pPr>
              <w:pStyle w:val="61"/>
              <w:spacing w:line="460" w:lineRule="exact"/>
              <w:jc w:val="center"/>
              <w:rPr>
                <w:color w:val="auto"/>
                <w:sz w:val="24"/>
                <w:szCs w:val="24"/>
                <w:highlight w:val="none"/>
              </w:rPr>
            </w:pPr>
            <w:r>
              <w:rPr>
                <w:rFonts w:hint="eastAsia"/>
                <w:color w:val="auto"/>
                <w:sz w:val="24"/>
                <w:szCs w:val="24"/>
                <w:highlight w:val="none"/>
              </w:rPr>
              <w:t>工期（供货期）</w:t>
            </w:r>
          </w:p>
        </w:tc>
        <w:tc>
          <w:tcPr>
            <w:tcW w:w="6163" w:type="dxa"/>
            <w:gridSpan w:val="2"/>
            <w:vAlign w:val="center"/>
          </w:tcPr>
          <w:p>
            <w:pPr>
              <w:pStyle w:val="61"/>
              <w:tabs>
                <w:tab w:val="left" w:pos="1684"/>
              </w:tabs>
              <w:spacing w:line="460" w:lineRule="exact"/>
              <w:ind w:left="110" w:leftChars="50"/>
              <w:jc w:val="both"/>
              <w:rPr>
                <w:color w:val="auto"/>
                <w:sz w:val="24"/>
                <w:szCs w:val="24"/>
                <w:highlight w:val="none"/>
              </w:rPr>
            </w:pPr>
            <w:r>
              <w:rPr>
                <w:rFonts w:hint="eastAsia"/>
                <w:color w:val="auto"/>
                <w:sz w:val="24"/>
                <w:szCs w:val="24"/>
                <w:highlight w:val="none"/>
              </w:rPr>
              <w:t>270日历天（即合同签订后9个月内供货并安装完成）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1.3.3</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交货地点</w:t>
            </w:r>
          </w:p>
        </w:tc>
        <w:tc>
          <w:tcPr>
            <w:tcW w:w="6163" w:type="dxa"/>
            <w:gridSpan w:val="2"/>
            <w:vAlign w:val="center"/>
          </w:tcPr>
          <w:p>
            <w:pPr>
              <w:pStyle w:val="61"/>
              <w:spacing w:line="460" w:lineRule="exact"/>
              <w:ind w:left="110" w:leftChars="50"/>
              <w:jc w:val="both"/>
              <w:rPr>
                <w:color w:val="auto"/>
                <w:sz w:val="24"/>
                <w:szCs w:val="24"/>
                <w:highlight w:val="none"/>
              </w:rPr>
            </w:pPr>
            <w:r>
              <w:rPr>
                <w:rFonts w:hint="eastAsia"/>
                <w:color w:val="auto"/>
                <w:sz w:val="24"/>
                <w:szCs w:val="24"/>
                <w:highlight w:val="none"/>
              </w:rPr>
              <w:t>项目现场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1.3.4</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技术性能指标</w:t>
            </w:r>
          </w:p>
        </w:tc>
        <w:tc>
          <w:tcPr>
            <w:tcW w:w="6163" w:type="dxa"/>
            <w:gridSpan w:val="2"/>
            <w:vAlign w:val="center"/>
          </w:tcPr>
          <w:p>
            <w:pPr>
              <w:pStyle w:val="61"/>
              <w:spacing w:line="460" w:lineRule="exact"/>
              <w:ind w:left="110" w:leftChars="50"/>
              <w:jc w:val="both"/>
              <w:rPr>
                <w:rFonts w:ascii="Times New Roman"/>
                <w:color w:val="auto"/>
                <w:sz w:val="24"/>
                <w:szCs w:val="24"/>
                <w:highlight w:val="none"/>
              </w:rPr>
            </w:pPr>
            <w:r>
              <w:rPr>
                <w:rFonts w:hint="eastAsia"/>
                <w:color w:val="auto"/>
                <w:sz w:val="24"/>
                <w:szCs w:val="24"/>
                <w:highlight w:val="none"/>
              </w:rPr>
              <w:t>详见招标文件第五章供货要求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hint="eastAsia" w:ascii="Times New Roman"/>
                <w:color w:val="auto"/>
                <w:sz w:val="24"/>
                <w:szCs w:val="24"/>
                <w:highlight w:val="none"/>
              </w:rPr>
              <w:t>1.3.5</w:t>
            </w:r>
          </w:p>
        </w:tc>
        <w:tc>
          <w:tcPr>
            <w:tcW w:w="2174" w:type="dxa"/>
            <w:vAlign w:val="center"/>
          </w:tcPr>
          <w:p>
            <w:pPr>
              <w:pStyle w:val="61"/>
              <w:spacing w:line="460" w:lineRule="exact"/>
              <w:jc w:val="center"/>
              <w:rPr>
                <w:color w:val="auto"/>
                <w:sz w:val="24"/>
                <w:szCs w:val="24"/>
                <w:highlight w:val="none"/>
              </w:rPr>
            </w:pPr>
            <w:r>
              <w:rPr>
                <w:rFonts w:hint="eastAsia"/>
                <w:color w:val="auto"/>
                <w:sz w:val="24"/>
                <w:szCs w:val="24"/>
                <w:highlight w:val="none"/>
              </w:rPr>
              <w:t>质量要求</w:t>
            </w:r>
          </w:p>
        </w:tc>
        <w:tc>
          <w:tcPr>
            <w:tcW w:w="6163" w:type="dxa"/>
            <w:gridSpan w:val="2"/>
            <w:vAlign w:val="center"/>
          </w:tcPr>
          <w:p>
            <w:pPr>
              <w:pStyle w:val="61"/>
              <w:spacing w:line="460" w:lineRule="exact"/>
              <w:ind w:left="110" w:leftChars="50"/>
              <w:jc w:val="both"/>
              <w:rPr>
                <w:color w:val="auto"/>
                <w:sz w:val="24"/>
                <w:szCs w:val="24"/>
                <w:highlight w:val="none"/>
              </w:rPr>
            </w:pPr>
            <w:r>
              <w:rPr>
                <w:rFonts w:hint="eastAsia"/>
                <w:color w:val="auto"/>
                <w:sz w:val="24"/>
                <w:szCs w:val="24"/>
                <w:highlight w:val="none"/>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1.4.1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投标人资质条件、能力、信誉</w:t>
            </w:r>
          </w:p>
        </w:tc>
        <w:tc>
          <w:tcPr>
            <w:tcW w:w="6163" w:type="dxa"/>
            <w:gridSpan w:val="2"/>
            <w:vAlign w:val="center"/>
          </w:tcPr>
          <w:p>
            <w:pPr>
              <w:adjustRightInd w:val="0"/>
              <w:spacing w:line="360" w:lineRule="auto"/>
              <w:ind w:left="110" w:leftChars="50"/>
              <w:rPr>
                <w:color w:val="auto"/>
                <w:sz w:val="24"/>
                <w:szCs w:val="24"/>
                <w:highlight w:val="none"/>
              </w:rPr>
            </w:pPr>
            <w:r>
              <w:rPr>
                <w:rFonts w:hint="eastAsia"/>
                <w:color w:val="auto"/>
                <w:sz w:val="24"/>
                <w:szCs w:val="24"/>
                <w:highlight w:val="none"/>
              </w:rPr>
              <w:t>1、本次招标要求投标人须是在中华人民共和国境内注册的法人或其他组织，能独立承担民事责任（①若为企业法人：提供有效的“统一社会信用代码营业执照”；未换证的提供有效的“营业执照、税务登记证、组织机构代码证”；②若为事业法人：提供“统一社会信用代码法人登记证书”；未换证的提交“事业法人登记证书、组织机构代码证”；③若为其他组织：提供“对应主管部门颁发的准许执业证明文件或营业执照”），如为联合体投标的，由联合体各成员分别提供；</w:t>
            </w:r>
          </w:p>
          <w:p>
            <w:pPr>
              <w:adjustRightInd w:val="0"/>
              <w:spacing w:line="360" w:lineRule="auto"/>
              <w:ind w:left="110" w:leftChars="50"/>
              <w:rPr>
                <w:color w:val="auto"/>
                <w:sz w:val="24"/>
                <w:szCs w:val="24"/>
                <w:highlight w:val="none"/>
              </w:rPr>
            </w:pPr>
            <w:r>
              <w:rPr>
                <w:rFonts w:hint="eastAsia"/>
                <w:color w:val="auto"/>
                <w:sz w:val="24"/>
                <w:szCs w:val="24"/>
                <w:highlight w:val="none"/>
              </w:rPr>
              <w:t>2、具有良好的商业信誉和健全的财务会计制度（提供2022年度经会计师事务所或审计事务所审计的财务报告，或2023年11月至今任意连续3个月的公司财务报表（至少包含资产负债表、损益表/利润表，如新成立企业提供注册时间起的财务报表），提供的证明材料按照会计法第21条的相关要求签字并加盖公章），如为联合体投标的，由联合体各成员分别提供；</w:t>
            </w:r>
          </w:p>
          <w:p>
            <w:pPr>
              <w:adjustRightInd w:val="0"/>
              <w:spacing w:line="360" w:lineRule="auto"/>
              <w:ind w:left="110" w:leftChars="50"/>
              <w:rPr>
                <w:color w:val="auto"/>
                <w:sz w:val="24"/>
                <w:szCs w:val="24"/>
                <w:highlight w:val="none"/>
              </w:rPr>
            </w:pPr>
            <w:r>
              <w:rPr>
                <w:rFonts w:hint="eastAsia"/>
                <w:color w:val="auto"/>
                <w:sz w:val="24"/>
                <w:szCs w:val="24"/>
                <w:highlight w:val="none"/>
              </w:rPr>
              <w:t>3、具有依法缴纳税收和社会保障资金的良好记录（提供2023年11月至今任意连续3个月依法缴纳税收和社会保障资金记录凭证，如新成立企业提供注册时间起的缴纳记录，如零纳税须提供税务部门盖章的纳税申报表，如依法免税或不需要缴纳社保的供应商提供相应文件证明其依法免税或不需要缴纳社保，提供证明材料并加盖公章），如为联合体投标的，由联合体各成员分别提供；</w:t>
            </w:r>
          </w:p>
          <w:p>
            <w:pPr>
              <w:adjustRightInd w:val="0"/>
              <w:spacing w:line="360" w:lineRule="auto"/>
              <w:ind w:left="110" w:leftChars="50"/>
              <w:rPr>
                <w:color w:val="auto"/>
                <w:sz w:val="24"/>
                <w:szCs w:val="24"/>
                <w:highlight w:val="none"/>
              </w:rPr>
            </w:pPr>
            <w:r>
              <w:rPr>
                <w:rFonts w:hint="eastAsia"/>
                <w:color w:val="auto"/>
                <w:sz w:val="24"/>
                <w:szCs w:val="24"/>
                <w:highlight w:val="none"/>
              </w:rPr>
              <w:t>4、在“信用中国”网站（www.creditchina.gov.cn）没有列入重大税收违法失信主体，没有列入失信被执行人（提供提供承诺书和网络截图加盖公章），如为联合体投标的，由联合体各成员分别提供；</w:t>
            </w:r>
          </w:p>
          <w:p>
            <w:pPr>
              <w:adjustRightInd w:val="0"/>
              <w:spacing w:line="360" w:lineRule="auto"/>
              <w:ind w:left="110" w:leftChars="50"/>
              <w:rPr>
                <w:color w:val="auto"/>
                <w:sz w:val="24"/>
                <w:szCs w:val="24"/>
                <w:highlight w:val="none"/>
              </w:rPr>
            </w:pPr>
            <w:r>
              <w:rPr>
                <w:rFonts w:hint="eastAsia"/>
                <w:color w:val="auto"/>
                <w:sz w:val="24"/>
                <w:szCs w:val="24"/>
                <w:highlight w:val="none"/>
              </w:rPr>
              <w:t>5、具有履行合同所必需的设备和专业技术能力（提供履约能力承诺书并加盖公章），如为联合体投标的，由联合体各成员分别提供；</w:t>
            </w:r>
          </w:p>
          <w:p>
            <w:pPr>
              <w:adjustRightInd w:val="0"/>
              <w:spacing w:line="360" w:lineRule="auto"/>
              <w:ind w:left="110" w:leftChars="50"/>
              <w:rPr>
                <w:color w:val="auto"/>
                <w:sz w:val="24"/>
                <w:szCs w:val="24"/>
                <w:highlight w:val="none"/>
              </w:rPr>
            </w:pPr>
            <w:r>
              <w:rPr>
                <w:rFonts w:hint="eastAsia"/>
                <w:color w:val="auto"/>
                <w:sz w:val="24"/>
                <w:szCs w:val="24"/>
                <w:highlight w:val="none"/>
              </w:rPr>
              <w:t>6、投标人现阶段没有以下情况：（1）投标资格没有被取消、暂停；（2）没有处于被责令停业、财产被接管、破产状态；（3）没有骗取中标行为（是指《招标投标法实施条例》规定的骗取中标行为且情节严重的行为）或严重违约或重大质量问题或发生过围标串标情况，，如为联合体投标的，由联合体各成员分别提供（提供承诺书并加盖公章）；</w:t>
            </w:r>
          </w:p>
          <w:p>
            <w:pPr>
              <w:adjustRightInd w:val="0"/>
              <w:spacing w:line="360" w:lineRule="auto"/>
              <w:ind w:left="110" w:leftChars="50"/>
              <w:rPr>
                <w:color w:val="auto"/>
                <w:sz w:val="24"/>
                <w:szCs w:val="24"/>
                <w:highlight w:val="none"/>
              </w:rPr>
            </w:pPr>
            <w:r>
              <w:rPr>
                <w:rFonts w:hint="eastAsia"/>
                <w:color w:val="auto"/>
                <w:sz w:val="24"/>
                <w:szCs w:val="24"/>
                <w:highlight w:val="none"/>
              </w:rPr>
              <w:t>7、单位负责人为同一人或者存在直接控股管理关系的不同投标人，不得参加同一合同项下的政府采购活动,为采购项目提供整体设计、规范编制或者项目管理、监理、检测等服务的投标人，不得再参加该项目的采购活动，，如为联合体投标的，由联合体各成员分别提供（提供声明函并加盖公章）；</w:t>
            </w:r>
          </w:p>
          <w:p>
            <w:pPr>
              <w:adjustRightInd w:val="0"/>
              <w:spacing w:line="360" w:lineRule="auto"/>
              <w:ind w:left="110" w:leftChars="50"/>
              <w:rPr>
                <w:color w:val="auto"/>
                <w:sz w:val="24"/>
                <w:szCs w:val="24"/>
                <w:highlight w:val="none"/>
              </w:rPr>
            </w:pPr>
            <w:r>
              <w:rPr>
                <w:rFonts w:hint="eastAsia"/>
                <w:color w:val="auto"/>
                <w:sz w:val="24"/>
                <w:szCs w:val="24"/>
                <w:highlight w:val="none"/>
              </w:rPr>
              <w:t>8、投标人可以是设备生产商或其代理商，如代理商参加投标时应按要求取得带★号产品的设备制造商针对本项目的授权书。（带★号的产品，代理商投标提供制造商针对本项目的授权书复印件并加盖公章）；</w:t>
            </w:r>
          </w:p>
          <w:p>
            <w:pPr>
              <w:adjustRightInd w:val="0"/>
              <w:spacing w:line="360" w:lineRule="auto"/>
              <w:ind w:left="110" w:leftChars="50"/>
              <w:rPr>
                <w:color w:val="auto"/>
                <w:sz w:val="24"/>
                <w:szCs w:val="24"/>
                <w:highlight w:val="none"/>
              </w:rPr>
            </w:pPr>
            <w:r>
              <w:rPr>
                <w:rFonts w:hint="eastAsia"/>
                <w:color w:val="auto"/>
                <w:sz w:val="24"/>
                <w:szCs w:val="24"/>
                <w:highlight w:val="none"/>
              </w:rPr>
              <w:t>9、本项目接受联合体投标。联合体投标的，应满足下列要求：（1）联合体各方应按招标文件提供的格式签订联合体协议书，明确联合体牵头人和各方权利义务，并承诺就中标项目向招标人承担连带责任；（2）联合体各方不得再以自己名义单独或参加其他联合体在本招标项目中投标，否则各相关投标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1.4.2</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是否接受联合体投标</w:t>
            </w:r>
          </w:p>
        </w:tc>
        <w:tc>
          <w:tcPr>
            <w:tcW w:w="6163" w:type="dxa"/>
            <w:gridSpan w:val="2"/>
            <w:vAlign w:val="center"/>
          </w:tcPr>
          <w:p>
            <w:pPr>
              <w:pStyle w:val="61"/>
              <w:spacing w:line="460" w:lineRule="exact"/>
              <w:ind w:left="110" w:leftChars="50"/>
              <w:jc w:val="both"/>
              <w:rPr>
                <w:color w:val="auto"/>
                <w:sz w:val="24"/>
                <w:szCs w:val="24"/>
                <w:highlight w:val="none"/>
              </w:rPr>
            </w:pPr>
            <w:r>
              <w:rPr>
                <w:color w:val="auto"/>
                <w:sz w:val="24"/>
                <w:szCs w:val="24"/>
                <w:highlight w:val="none"/>
              </w:rPr>
              <w:t>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1.4.3</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投标人不得存在的其他情形</w:t>
            </w:r>
          </w:p>
        </w:tc>
        <w:tc>
          <w:tcPr>
            <w:tcW w:w="6163" w:type="dxa"/>
            <w:gridSpan w:val="2"/>
            <w:vAlign w:val="center"/>
          </w:tcPr>
          <w:p>
            <w:pPr>
              <w:pStyle w:val="61"/>
              <w:spacing w:line="460" w:lineRule="exact"/>
              <w:ind w:left="110" w:leftChars="50"/>
              <w:jc w:val="both"/>
              <w:rPr>
                <w:rFonts w:ascii="Times New Roman"/>
                <w:color w:val="auto"/>
                <w:sz w:val="24"/>
                <w:szCs w:val="24"/>
                <w:highlight w:val="none"/>
              </w:rPr>
            </w:pPr>
            <w:r>
              <w:rPr>
                <w:rFonts w:hint="eastAsia" w:ascii="Times New Roman"/>
                <w:color w:val="auto"/>
                <w:sz w:val="24"/>
                <w:szCs w:val="24"/>
                <w:highlight w:val="none"/>
              </w:rPr>
              <w:t>以投标人须知正文为准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1.9.1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投标预备会</w:t>
            </w:r>
          </w:p>
        </w:tc>
        <w:tc>
          <w:tcPr>
            <w:tcW w:w="6163" w:type="dxa"/>
            <w:gridSpan w:val="2"/>
            <w:vAlign w:val="center"/>
          </w:tcPr>
          <w:p>
            <w:pPr>
              <w:pStyle w:val="61"/>
              <w:spacing w:line="460" w:lineRule="exact"/>
              <w:ind w:left="110" w:leftChars="50"/>
              <w:jc w:val="both"/>
              <w:rPr>
                <w:color w:val="auto"/>
                <w:sz w:val="24"/>
                <w:szCs w:val="24"/>
                <w:highlight w:val="none"/>
              </w:rPr>
            </w:pPr>
            <w:r>
              <w:rPr>
                <w:color w:val="auto"/>
                <w:sz w:val="24"/>
                <w:szCs w:val="24"/>
                <w:highlight w:val="none"/>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Merge w:val="restart"/>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1.9.2</w:t>
            </w:r>
          </w:p>
        </w:tc>
        <w:tc>
          <w:tcPr>
            <w:tcW w:w="2174" w:type="dxa"/>
            <w:vMerge w:val="restart"/>
            <w:vAlign w:val="center"/>
          </w:tcPr>
          <w:p>
            <w:pPr>
              <w:pStyle w:val="61"/>
              <w:spacing w:line="460" w:lineRule="exact"/>
              <w:jc w:val="center"/>
              <w:rPr>
                <w:color w:val="auto"/>
                <w:sz w:val="24"/>
                <w:szCs w:val="24"/>
                <w:highlight w:val="none"/>
              </w:rPr>
            </w:pPr>
            <w:r>
              <w:rPr>
                <w:color w:val="auto"/>
                <w:sz w:val="24"/>
                <w:szCs w:val="24"/>
                <w:highlight w:val="none"/>
              </w:rPr>
              <w:t>投标人在投标预备会前提出问题</w:t>
            </w:r>
          </w:p>
        </w:tc>
        <w:tc>
          <w:tcPr>
            <w:tcW w:w="6163" w:type="dxa"/>
            <w:gridSpan w:val="2"/>
            <w:vAlign w:val="center"/>
          </w:tcPr>
          <w:p>
            <w:pPr>
              <w:pStyle w:val="61"/>
              <w:spacing w:line="460" w:lineRule="exact"/>
              <w:ind w:left="110" w:leftChars="50"/>
              <w:jc w:val="both"/>
              <w:rPr>
                <w:color w:val="auto"/>
                <w:sz w:val="24"/>
                <w:szCs w:val="24"/>
                <w:highlight w:val="none"/>
              </w:rPr>
            </w:pPr>
            <w:r>
              <w:rPr>
                <w:color w:val="auto"/>
                <w:sz w:val="24"/>
                <w:szCs w:val="24"/>
                <w:highlight w:val="none"/>
              </w:rPr>
              <w:t>时间：</w:t>
            </w:r>
            <w:r>
              <w:rPr>
                <w:rFonts w:hint="eastAsia"/>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Merge w:val="continue"/>
            <w:tcBorders>
              <w:top w:val="nil"/>
            </w:tcBorders>
            <w:vAlign w:val="center"/>
          </w:tcPr>
          <w:p>
            <w:pPr>
              <w:spacing w:line="460" w:lineRule="exact"/>
              <w:jc w:val="center"/>
              <w:rPr>
                <w:color w:val="auto"/>
                <w:sz w:val="24"/>
                <w:szCs w:val="24"/>
                <w:highlight w:val="none"/>
              </w:rPr>
            </w:pPr>
          </w:p>
        </w:tc>
        <w:tc>
          <w:tcPr>
            <w:tcW w:w="2174" w:type="dxa"/>
            <w:vMerge w:val="continue"/>
            <w:tcBorders>
              <w:top w:val="nil"/>
            </w:tcBorders>
            <w:vAlign w:val="center"/>
          </w:tcPr>
          <w:p>
            <w:pPr>
              <w:spacing w:line="460" w:lineRule="exact"/>
              <w:jc w:val="center"/>
              <w:rPr>
                <w:color w:val="auto"/>
                <w:sz w:val="24"/>
                <w:szCs w:val="24"/>
                <w:highlight w:val="none"/>
              </w:rPr>
            </w:pPr>
          </w:p>
        </w:tc>
        <w:tc>
          <w:tcPr>
            <w:tcW w:w="6163" w:type="dxa"/>
            <w:gridSpan w:val="2"/>
            <w:vAlign w:val="center"/>
          </w:tcPr>
          <w:p>
            <w:pPr>
              <w:pStyle w:val="61"/>
              <w:spacing w:line="460" w:lineRule="exact"/>
              <w:ind w:left="110" w:leftChars="50"/>
              <w:jc w:val="both"/>
              <w:rPr>
                <w:color w:val="auto"/>
                <w:sz w:val="24"/>
                <w:szCs w:val="24"/>
                <w:highlight w:val="none"/>
              </w:rPr>
            </w:pPr>
            <w:r>
              <w:rPr>
                <w:color w:val="auto"/>
                <w:sz w:val="24"/>
                <w:szCs w:val="24"/>
                <w:highlight w:val="none"/>
              </w:rPr>
              <w:t>形式：</w:t>
            </w:r>
            <w:r>
              <w:rPr>
                <w:rFonts w:hint="eastAsia"/>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1.9.3</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招标文件澄清发出的形式</w:t>
            </w:r>
          </w:p>
        </w:tc>
        <w:tc>
          <w:tcPr>
            <w:tcW w:w="6163" w:type="dxa"/>
            <w:gridSpan w:val="2"/>
            <w:vAlign w:val="center"/>
          </w:tcPr>
          <w:p>
            <w:pPr>
              <w:pStyle w:val="61"/>
              <w:spacing w:line="460" w:lineRule="exact"/>
              <w:ind w:left="110" w:leftChars="50"/>
              <w:jc w:val="both"/>
              <w:rPr>
                <w:rFonts w:ascii="Times New Roman"/>
                <w:color w:val="auto"/>
                <w:sz w:val="24"/>
                <w:szCs w:val="24"/>
                <w:highlight w:val="none"/>
              </w:rPr>
            </w:pPr>
            <w:r>
              <w:rPr>
                <w:rFonts w:hint="eastAsia"/>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1.10.1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分包</w:t>
            </w:r>
          </w:p>
        </w:tc>
        <w:tc>
          <w:tcPr>
            <w:tcW w:w="6163" w:type="dxa"/>
            <w:gridSpan w:val="2"/>
            <w:vAlign w:val="center"/>
          </w:tcPr>
          <w:p>
            <w:pPr>
              <w:pStyle w:val="61"/>
              <w:spacing w:line="460" w:lineRule="exact"/>
              <w:ind w:left="110" w:leftChars="50"/>
              <w:jc w:val="both"/>
              <w:rPr>
                <w:color w:val="auto"/>
                <w:sz w:val="24"/>
                <w:szCs w:val="24"/>
                <w:highlight w:val="none"/>
              </w:rPr>
            </w:pPr>
            <w:r>
              <w:rPr>
                <w:color w:val="auto"/>
                <w:sz w:val="24"/>
                <w:szCs w:val="24"/>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1.11.1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实质性要求和条件</w:t>
            </w:r>
          </w:p>
        </w:tc>
        <w:tc>
          <w:tcPr>
            <w:tcW w:w="6163" w:type="dxa"/>
            <w:gridSpan w:val="2"/>
            <w:vAlign w:val="center"/>
          </w:tcPr>
          <w:p>
            <w:pPr>
              <w:pStyle w:val="61"/>
              <w:spacing w:line="460" w:lineRule="exact"/>
              <w:ind w:left="110" w:leftChars="50"/>
              <w:jc w:val="both"/>
              <w:rPr>
                <w:rFonts w:ascii="Times New Roman"/>
                <w:color w:val="auto"/>
                <w:sz w:val="24"/>
                <w:szCs w:val="24"/>
                <w:highlight w:val="none"/>
              </w:rPr>
            </w:pPr>
            <w:r>
              <w:rPr>
                <w:rFonts w:hint="eastAsia"/>
                <w:color w:val="auto"/>
                <w:sz w:val="24"/>
                <w:szCs w:val="24"/>
                <w:highlight w:val="none"/>
              </w:rPr>
              <w:t>招标文件及补充文件所有不允许负偏离的所有要求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1.11.3</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其他可以被接受的技术支持资料</w:t>
            </w:r>
          </w:p>
        </w:tc>
        <w:tc>
          <w:tcPr>
            <w:tcW w:w="6163" w:type="dxa"/>
            <w:gridSpan w:val="2"/>
            <w:vAlign w:val="center"/>
          </w:tcPr>
          <w:p>
            <w:pPr>
              <w:pStyle w:val="61"/>
              <w:spacing w:line="460" w:lineRule="exact"/>
              <w:ind w:left="110" w:leftChars="50"/>
              <w:jc w:val="both"/>
              <w:rPr>
                <w:rFonts w:ascii="Times New Roman"/>
                <w:color w:val="auto"/>
                <w:sz w:val="24"/>
                <w:szCs w:val="24"/>
                <w:highlight w:val="none"/>
              </w:rPr>
            </w:pPr>
            <w:r>
              <w:rPr>
                <w:rFonts w:hint="eastAsia"/>
                <w:color w:val="auto"/>
                <w:sz w:val="24"/>
                <w:szCs w:val="24"/>
                <w:highlight w:val="none"/>
              </w:rPr>
              <w:t>详见招标文件第五章供货要求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1.11.4</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偏差</w:t>
            </w:r>
          </w:p>
        </w:tc>
        <w:tc>
          <w:tcPr>
            <w:tcW w:w="6163" w:type="dxa"/>
            <w:gridSpan w:val="2"/>
            <w:vAlign w:val="center"/>
          </w:tcPr>
          <w:p>
            <w:pPr>
              <w:pStyle w:val="14"/>
              <w:topLinePunct/>
              <w:rPr>
                <w:color w:val="auto"/>
                <w:sz w:val="24"/>
                <w:szCs w:val="24"/>
                <w:highlight w:val="none"/>
              </w:rPr>
            </w:pPr>
            <w:r>
              <w:rPr>
                <w:rFonts w:hint="eastAsia"/>
                <w:color w:val="auto"/>
                <w:sz w:val="24"/>
                <w:szCs w:val="24"/>
                <w:highlight w:val="none"/>
              </w:rPr>
              <w:t>√不允许</w:t>
            </w:r>
          </w:p>
          <w:p>
            <w:pPr>
              <w:pStyle w:val="61"/>
              <w:spacing w:line="460" w:lineRule="exact"/>
              <w:ind w:left="110" w:leftChars="50"/>
              <w:jc w:val="both"/>
              <w:rPr>
                <w:color w:val="auto"/>
                <w:sz w:val="24"/>
                <w:szCs w:val="24"/>
                <w:highlight w:val="none"/>
              </w:rPr>
            </w:pPr>
            <w:r>
              <w:rPr>
                <w:rFonts w:hint="eastAsia"/>
                <w:color w:val="auto"/>
                <w:sz w:val="24"/>
                <w:szCs w:val="24"/>
                <w:highlight w:val="none"/>
              </w:rPr>
              <w:t>□允许，允许偏离的内容、偏离范围和幅度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2.1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构成招标文件的其他资料</w:t>
            </w:r>
          </w:p>
        </w:tc>
        <w:tc>
          <w:tcPr>
            <w:tcW w:w="6163" w:type="dxa"/>
            <w:gridSpan w:val="2"/>
            <w:vAlign w:val="center"/>
          </w:tcPr>
          <w:p>
            <w:pPr>
              <w:pStyle w:val="61"/>
              <w:spacing w:line="460" w:lineRule="exact"/>
              <w:ind w:left="110" w:leftChars="50"/>
              <w:jc w:val="both"/>
              <w:rPr>
                <w:color w:val="auto"/>
                <w:sz w:val="24"/>
                <w:szCs w:val="24"/>
                <w:highlight w:val="none"/>
              </w:rPr>
            </w:pPr>
            <w:r>
              <w:rPr>
                <w:rFonts w:hint="eastAsia"/>
                <w:color w:val="auto"/>
                <w:sz w:val="24"/>
                <w:szCs w:val="24"/>
                <w:highlight w:val="none"/>
              </w:rPr>
              <w:t>对招标文件所作的澄清、修改等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Merge w:val="restart"/>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2.2.1</w:t>
            </w:r>
          </w:p>
        </w:tc>
        <w:tc>
          <w:tcPr>
            <w:tcW w:w="2174" w:type="dxa"/>
            <w:vMerge w:val="restart"/>
            <w:vAlign w:val="center"/>
          </w:tcPr>
          <w:p>
            <w:pPr>
              <w:pStyle w:val="61"/>
              <w:spacing w:line="460" w:lineRule="exact"/>
              <w:jc w:val="center"/>
              <w:rPr>
                <w:color w:val="auto"/>
                <w:sz w:val="24"/>
                <w:szCs w:val="24"/>
                <w:highlight w:val="none"/>
              </w:rPr>
            </w:pPr>
            <w:r>
              <w:rPr>
                <w:color w:val="auto"/>
                <w:sz w:val="24"/>
                <w:szCs w:val="24"/>
                <w:highlight w:val="none"/>
              </w:rPr>
              <w:t>投标人要求澄清招标文件</w:t>
            </w:r>
          </w:p>
        </w:tc>
        <w:tc>
          <w:tcPr>
            <w:tcW w:w="6163" w:type="dxa"/>
            <w:gridSpan w:val="2"/>
            <w:vAlign w:val="center"/>
          </w:tcPr>
          <w:p>
            <w:pPr>
              <w:pStyle w:val="61"/>
              <w:spacing w:line="460" w:lineRule="exact"/>
              <w:ind w:left="110" w:leftChars="50"/>
              <w:jc w:val="both"/>
              <w:rPr>
                <w:color w:val="auto"/>
                <w:sz w:val="24"/>
                <w:szCs w:val="24"/>
                <w:highlight w:val="none"/>
              </w:rPr>
            </w:pPr>
            <w:r>
              <w:rPr>
                <w:color w:val="auto"/>
                <w:sz w:val="24"/>
                <w:szCs w:val="24"/>
                <w:highlight w:val="none"/>
              </w:rPr>
              <w:t>时间：</w:t>
            </w:r>
            <w:r>
              <w:rPr>
                <w:rFonts w:hint="eastAsia"/>
                <w:color w:val="auto"/>
                <w:sz w:val="24"/>
                <w:szCs w:val="24"/>
                <w:highlight w:val="none"/>
              </w:rPr>
              <w:t>投标截止时间前</w:t>
            </w:r>
            <w:r>
              <w:rPr>
                <w:color w:val="auto"/>
                <w:sz w:val="24"/>
                <w:szCs w:val="24"/>
                <w:highlight w:val="none"/>
              </w:rPr>
              <w:t>10</w:t>
            </w:r>
            <w:r>
              <w:rPr>
                <w:rFonts w:hint="eastAsia"/>
                <w:color w:val="auto"/>
                <w:sz w:val="24"/>
                <w:szCs w:val="24"/>
                <w:highlight w:val="none"/>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Merge w:val="continue"/>
            <w:tcBorders>
              <w:top w:val="nil"/>
            </w:tcBorders>
            <w:vAlign w:val="center"/>
          </w:tcPr>
          <w:p>
            <w:pPr>
              <w:spacing w:line="460" w:lineRule="exact"/>
              <w:jc w:val="center"/>
              <w:rPr>
                <w:color w:val="auto"/>
                <w:sz w:val="24"/>
                <w:szCs w:val="24"/>
                <w:highlight w:val="none"/>
              </w:rPr>
            </w:pPr>
          </w:p>
        </w:tc>
        <w:tc>
          <w:tcPr>
            <w:tcW w:w="2174" w:type="dxa"/>
            <w:vMerge w:val="continue"/>
            <w:tcBorders>
              <w:top w:val="nil"/>
            </w:tcBorders>
            <w:vAlign w:val="center"/>
          </w:tcPr>
          <w:p>
            <w:pPr>
              <w:spacing w:line="460" w:lineRule="exact"/>
              <w:jc w:val="center"/>
              <w:rPr>
                <w:color w:val="auto"/>
                <w:sz w:val="24"/>
                <w:szCs w:val="24"/>
                <w:highlight w:val="none"/>
              </w:rPr>
            </w:pPr>
          </w:p>
        </w:tc>
        <w:tc>
          <w:tcPr>
            <w:tcW w:w="6163" w:type="dxa"/>
            <w:gridSpan w:val="2"/>
            <w:vAlign w:val="center"/>
          </w:tcPr>
          <w:p>
            <w:pPr>
              <w:pStyle w:val="61"/>
              <w:spacing w:line="460" w:lineRule="exact"/>
              <w:ind w:left="110" w:leftChars="50"/>
              <w:jc w:val="both"/>
              <w:rPr>
                <w:color w:val="auto"/>
                <w:sz w:val="24"/>
                <w:szCs w:val="24"/>
                <w:highlight w:val="none"/>
              </w:rPr>
            </w:pPr>
            <w:r>
              <w:rPr>
                <w:color w:val="auto"/>
                <w:sz w:val="24"/>
                <w:szCs w:val="24"/>
                <w:highlight w:val="none"/>
              </w:rPr>
              <w:t>形式：</w:t>
            </w:r>
            <w:r>
              <w:rPr>
                <w:rFonts w:hint="eastAsia"/>
                <w:color w:val="auto"/>
                <w:sz w:val="24"/>
                <w:szCs w:val="24"/>
                <w:highlight w:val="none"/>
              </w:rPr>
              <w:t>书面形式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2.2.2</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招标文件澄清发出的形式</w:t>
            </w:r>
          </w:p>
        </w:tc>
        <w:tc>
          <w:tcPr>
            <w:tcW w:w="6163" w:type="dxa"/>
            <w:gridSpan w:val="2"/>
            <w:vAlign w:val="center"/>
          </w:tcPr>
          <w:p>
            <w:pPr>
              <w:tabs>
                <w:tab w:val="left" w:pos="360"/>
              </w:tabs>
              <w:wordWrap w:val="0"/>
              <w:spacing w:line="500" w:lineRule="exact"/>
              <w:ind w:left="110" w:leftChars="50"/>
              <w:rPr>
                <w:rFonts w:asciiTheme="minorEastAsia" w:hAnsiTheme="minorEastAsia" w:eastAsiaTheme="minorEastAsia"/>
                <w:color w:val="auto"/>
                <w:sz w:val="24"/>
                <w:szCs w:val="24"/>
                <w:highlight w:val="none"/>
              </w:rPr>
            </w:pPr>
            <w:r>
              <w:rPr>
                <w:rFonts w:hint="eastAsia"/>
                <w:color w:val="auto"/>
                <w:sz w:val="24"/>
                <w:szCs w:val="24"/>
                <w:highlight w:val="none"/>
              </w:rPr>
              <w:t>通过全国公共资源交易平台（海南省）（http://zw.hainan.gov.cn/ggzy/）</w:t>
            </w:r>
            <w:r>
              <w:rPr>
                <w:rFonts w:hint="eastAsia" w:asciiTheme="minorEastAsia" w:hAnsiTheme="minorEastAsia" w:eastAsiaTheme="minorEastAsia"/>
                <w:color w:val="auto"/>
                <w:sz w:val="24"/>
                <w:szCs w:val="24"/>
                <w:highlight w:val="none"/>
              </w:rPr>
              <w:t>、中国招标投标公共服务平</w:t>
            </w:r>
            <w:r>
              <w:rPr>
                <w:rFonts w:cs="Times New Roman" w:asciiTheme="minorEastAsia" w:hAnsiTheme="minorEastAsia" w:eastAsiaTheme="minorEastAsia"/>
                <w:color w:val="auto"/>
                <w:sz w:val="24"/>
                <w:szCs w:val="24"/>
                <w:highlight w:val="none"/>
              </w:rPr>
              <w:t>http://www.cecbid.org.cn/</w:t>
            </w:r>
            <w:r>
              <w:rPr>
                <w:color w:val="auto"/>
                <w:sz w:val="24"/>
                <w:szCs w:val="24"/>
                <w:highlight w:val="none"/>
              </w:rPr>
              <w:t>澄清</w:t>
            </w:r>
            <w:r>
              <w:rPr>
                <w:rFonts w:hint="eastAsia"/>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2.2.3</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投标人确认收到招标文件澄清</w:t>
            </w:r>
          </w:p>
        </w:tc>
        <w:tc>
          <w:tcPr>
            <w:tcW w:w="6163" w:type="dxa"/>
            <w:gridSpan w:val="2"/>
            <w:vAlign w:val="center"/>
          </w:tcPr>
          <w:p>
            <w:pPr>
              <w:pStyle w:val="61"/>
              <w:spacing w:line="460" w:lineRule="exact"/>
              <w:ind w:left="110" w:leftChars="50"/>
              <w:jc w:val="both"/>
              <w:rPr>
                <w:color w:val="auto"/>
                <w:sz w:val="24"/>
                <w:szCs w:val="24"/>
                <w:highlight w:val="none"/>
              </w:rPr>
            </w:pPr>
            <w:r>
              <w:rPr>
                <w:rFonts w:hint="eastAsia"/>
                <w:color w:val="auto"/>
                <w:sz w:val="24"/>
                <w:szCs w:val="24"/>
                <w:highlight w:val="none"/>
              </w:rPr>
              <w:t>本项目招标文件若有澄清，将统一在网上发布，投标人登陆网站即可查看，无须确认。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2.3.1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招标文件修改发出的形式</w:t>
            </w:r>
          </w:p>
        </w:tc>
        <w:tc>
          <w:tcPr>
            <w:tcW w:w="6163" w:type="dxa"/>
            <w:gridSpan w:val="2"/>
            <w:vAlign w:val="center"/>
          </w:tcPr>
          <w:p>
            <w:pPr>
              <w:tabs>
                <w:tab w:val="left" w:pos="360"/>
              </w:tabs>
              <w:wordWrap w:val="0"/>
              <w:spacing w:line="500" w:lineRule="exact"/>
              <w:ind w:left="110" w:leftChars="50"/>
              <w:rPr>
                <w:rFonts w:asciiTheme="minorEastAsia" w:hAnsiTheme="minorEastAsia" w:eastAsiaTheme="minorEastAsia"/>
                <w:color w:val="auto"/>
                <w:sz w:val="24"/>
                <w:szCs w:val="24"/>
                <w:highlight w:val="none"/>
              </w:rPr>
            </w:pPr>
            <w:r>
              <w:rPr>
                <w:rFonts w:hint="eastAsia"/>
                <w:color w:val="auto"/>
                <w:sz w:val="24"/>
                <w:szCs w:val="24"/>
                <w:highlight w:val="none"/>
              </w:rPr>
              <w:t>通过全国公共资源交易平台（海南省）（http://zw.hainan.gov.cn/ggzy/）、中国招标投标公共服务平http://www.cecbid.org.cn/修改。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2.3.2</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投标人确认收到招标文件修改</w:t>
            </w:r>
          </w:p>
        </w:tc>
        <w:tc>
          <w:tcPr>
            <w:tcW w:w="6163" w:type="dxa"/>
            <w:gridSpan w:val="2"/>
            <w:vAlign w:val="center"/>
          </w:tcPr>
          <w:p>
            <w:pPr>
              <w:pStyle w:val="61"/>
              <w:spacing w:line="460" w:lineRule="exact"/>
              <w:ind w:left="110" w:leftChars="50"/>
              <w:jc w:val="both"/>
              <w:rPr>
                <w:color w:val="auto"/>
                <w:sz w:val="24"/>
                <w:szCs w:val="24"/>
                <w:highlight w:val="none"/>
              </w:rPr>
            </w:pPr>
            <w:r>
              <w:rPr>
                <w:rFonts w:hint="eastAsia"/>
                <w:color w:val="auto"/>
                <w:sz w:val="24"/>
                <w:szCs w:val="24"/>
                <w:highlight w:val="none"/>
              </w:rPr>
              <w:t>本项目招标文件若有修改，将统一在网上发布，投标人登陆网站即可下载查看，无须确认。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3.1.1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构成投标文件的其他资料</w:t>
            </w:r>
          </w:p>
        </w:tc>
        <w:tc>
          <w:tcPr>
            <w:tcW w:w="6163" w:type="dxa"/>
            <w:gridSpan w:val="2"/>
            <w:vAlign w:val="center"/>
          </w:tcPr>
          <w:p>
            <w:pPr>
              <w:pStyle w:val="61"/>
              <w:spacing w:line="460" w:lineRule="exact"/>
              <w:ind w:left="110" w:leftChars="50"/>
              <w:jc w:val="both"/>
              <w:rPr>
                <w:rFonts w:ascii="Times New Roman"/>
                <w:color w:val="auto"/>
                <w:sz w:val="24"/>
                <w:szCs w:val="24"/>
                <w:highlight w:val="none"/>
              </w:rPr>
            </w:pPr>
            <w:r>
              <w:rPr>
                <w:rFonts w:hint="eastAsia"/>
                <w:color w:val="auto"/>
                <w:sz w:val="24"/>
                <w:szCs w:val="24"/>
                <w:highlight w:val="none"/>
              </w:rPr>
              <w:t>投标人认为有助于本次招标的其他资料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3.2.1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增值税税金的计算方法</w:t>
            </w:r>
          </w:p>
        </w:tc>
        <w:tc>
          <w:tcPr>
            <w:tcW w:w="6163" w:type="dxa"/>
            <w:gridSpan w:val="2"/>
            <w:vAlign w:val="center"/>
          </w:tcPr>
          <w:p>
            <w:pPr>
              <w:pStyle w:val="61"/>
              <w:spacing w:line="460" w:lineRule="exact"/>
              <w:ind w:left="110" w:leftChars="50"/>
              <w:jc w:val="both"/>
              <w:rPr>
                <w:rFonts w:ascii="Times New Roman"/>
                <w:color w:val="auto"/>
                <w:sz w:val="24"/>
                <w:szCs w:val="24"/>
                <w:highlight w:val="none"/>
              </w:rPr>
            </w:pPr>
            <w:r>
              <w:rPr>
                <w:rFonts w:hint="eastAsia"/>
                <w:color w:val="auto"/>
                <w:sz w:val="24"/>
                <w:szCs w:val="24"/>
                <w:highlight w:val="none"/>
              </w:rPr>
              <w:t>按国家相关税法规定计算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3.2.4</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最高投标限价</w:t>
            </w:r>
          </w:p>
        </w:tc>
        <w:tc>
          <w:tcPr>
            <w:tcW w:w="6163" w:type="dxa"/>
            <w:gridSpan w:val="2"/>
            <w:vAlign w:val="center"/>
          </w:tcPr>
          <w:p>
            <w:pPr>
              <w:pStyle w:val="61"/>
              <w:spacing w:line="460" w:lineRule="exact"/>
              <w:ind w:left="110" w:leftChars="50"/>
              <w:jc w:val="both"/>
              <w:rPr>
                <w:color w:val="auto"/>
                <w:sz w:val="24"/>
                <w:szCs w:val="24"/>
                <w:highlight w:val="none"/>
              </w:rPr>
            </w:pPr>
            <w:r>
              <w:rPr>
                <w:rFonts w:ascii="Times New Roman" w:hAnsi="Times New Roman" w:eastAsia="Times New Roman"/>
                <w:i/>
                <w:color w:val="auto"/>
                <w:sz w:val="24"/>
                <w:szCs w:val="24"/>
                <w:highlight w:val="none"/>
              </w:rPr>
              <w:t>□</w:t>
            </w:r>
            <w:r>
              <w:rPr>
                <w:color w:val="auto"/>
                <w:sz w:val="24"/>
                <w:szCs w:val="24"/>
                <w:highlight w:val="none"/>
              </w:rPr>
              <w:t>无</w:t>
            </w:r>
          </w:p>
          <w:p>
            <w:pPr>
              <w:pStyle w:val="61"/>
              <w:spacing w:line="460" w:lineRule="exact"/>
              <w:ind w:left="110" w:leftChars="50"/>
              <w:jc w:val="both"/>
              <w:rPr>
                <w:color w:val="auto"/>
                <w:sz w:val="24"/>
                <w:szCs w:val="24"/>
                <w:highlight w:val="none"/>
                <w:lang w:val="en-US"/>
              </w:rPr>
            </w:pPr>
            <w:r>
              <w:rPr>
                <w:rFonts w:hint="eastAsia" w:ascii="MS Mincho" w:hAnsi="MS Mincho" w:eastAsia="MS Mincho" w:cs="MS Mincho"/>
                <w:color w:val="auto"/>
                <w:sz w:val="24"/>
                <w:szCs w:val="24"/>
                <w:highlight w:val="none"/>
              </w:rPr>
              <w:t>☑</w:t>
            </w:r>
            <w:r>
              <w:rPr>
                <w:color w:val="auto"/>
                <w:sz w:val="24"/>
                <w:szCs w:val="24"/>
                <w:highlight w:val="none"/>
              </w:rPr>
              <w:t>有，最高投标限价：</w:t>
            </w:r>
            <w:r>
              <w:rPr>
                <w:rFonts w:hint="eastAsia"/>
                <w:color w:val="auto"/>
                <w:sz w:val="24"/>
                <w:szCs w:val="24"/>
                <w:highlight w:val="none"/>
              </w:rPr>
              <w:t>￥28772000.00</w:t>
            </w:r>
            <w:r>
              <w:rPr>
                <w:rFonts w:hint="eastAsia" w:asciiTheme="minorEastAsia" w:hAnsiTheme="minorEastAsia" w:eastAsiaTheme="minorEastAsia"/>
                <w:color w:val="auto"/>
                <w:sz w:val="24"/>
                <w:szCs w:val="24"/>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3.2.5</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投标报价的其他要求</w:t>
            </w:r>
          </w:p>
        </w:tc>
        <w:tc>
          <w:tcPr>
            <w:tcW w:w="6163" w:type="dxa"/>
            <w:gridSpan w:val="2"/>
            <w:vAlign w:val="center"/>
          </w:tcPr>
          <w:p>
            <w:pPr>
              <w:pStyle w:val="61"/>
              <w:spacing w:line="460" w:lineRule="exact"/>
              <w:ind w:left="110" w:leftChars="50"/>
              <w:rPr>
                <w:color w:val="auto"/>
                <w:sz w:val="24"/>
                <w:szCs w:val="24"/>
                <w:highlight w:val="none"/>
              </w:rPr>
            </w:pPr>
            <w:r>
              <w:rPr>
                <w:rFonts w:hint="eastAsia"/>
                <w:color w:val="auto"/>
                <w:sz w:val="24"/>
                <w:szCs w:val="24"/>
                <w:highlight w:val="none"/>
              </w:rPr>
              <w:t>（</w:t>
            </w:r>
            <w:r>
              <w:rPr>
                <w:color w:val="auto"/>
                <w:sz w:val="24"/>
                <w:szCs w:val="24"/>
                <w:highlight w:val="none"/>
              </w:rPr>
              <w:t>1）投标报价不得超过最高投标限价，否则</w:t>
            </w:r>
            <w:r>
              <w:rPr>
                <w:rFonts w:hint="eastAsia"/>
                <w:color w:val="auto"/>
                <w:sz w:val="24"/>
                <w:szCs w:val="24"/>
                <w:highlight w:val="none"/>
              </w:rPr>
              <w:t>否决投标</w:t>
            </w:r>
            <w:r>
              <w:rPr>
                <w:color w:val="auto"/>
                <w:sz w:val="24"/>
                <w:szCs w:val="24"/>
                <w:highlight w:val="none"/>
              </w:rPr>
              <w:t>；</w:t>
            </w:r>
          </w:p>
          <w:p>
            <w:pPr>
              <w:pStyle w:val="61"/>
              <w:spacing w:line="460" w:lineRule="exact"/>
              <w:ind w:left="110" w:leftChars="50"/>
              <w:rPr>
                <w:color w:val="auto"/>
                <w:sz w:val="24"/>
                <w:szCs w:val="24"/>
                <w:highlight w:val="none"/>
              </w:rPr>
            </w:pPr>
            <w:r>
              <w:rPr>
                <w:rFonts w:hint="eastAsia"/>
                <w:color w:val="auto"/>
                <w:sz w:val="24"/>
                <w:szCs w:val="24"/>
                <w:highlight w:val="none"/>
              </w:rPr>
              <w:t>（</w:t>
            </w:r>
            <w:r>
              <w:rPr>
                <w:color w:val="auto"/>
                <w:sz w:val="24"/>
                <w:szCs w:val="24"/>
                <w:highlight w:val="none"/>
              </w:rPr>
              <w:t>2）投标人报价大小写如有出入以大写为主，报价应</w:t>
            </w:r>
            <w:r>
              <w:rPr>
                <w:rFonts w:hint="eastAsia"/>
                <w:color w:val="auto"/>
                <w:sz w:val="24"/>
                <w:szCs w:val="24"/>
                <w:highlight w:val="none"/>
              </w:rPr>
              <w:t>保留小数点后两位。</w:t>
            </w:r>
          </w:p>
          <w:p>
            <w:pPr>
              <w:pStyle w:val="61"/>
              <w:spacing w:line="460" w:lineRule="exact"/>
              <w:ind w:left="110" w:leftChars="50"/>
              <w:rPr>
                <w:rFonts w:ascii="Times New Roman"/>
                <w:color w:val="auto"/>
                <w:sz w:val="24"/>
                <w:szCs w:val="24"/>
                <w:highlight w:val="none"/>
              </w:rPr>
            </w:pPr>
            <w:r>
              <w:rPr>
                <w:rFonts w:hint="eastAsia"/>
                <w:color w:val="auto"/>
                <w:sz w:val="24"/>
                <w:szCs w:val="24"/>
                <w:highlight w:val="none"/>
              </w:rPr>
              <w:t>（3）为防止恶意竞争导致用户权益无法保障，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3.3.1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投标有效期</w:t>
            </w:r>
          </w:p>
        </w:tc>
        <w:tc>
          <w:tcPr>
            <w:tcW w:w="6163" w:type="dxa"/>
            <w:gridSpan w:val="2"/>
            <w:vAlign w:val="center"/>
          </w:tcPr>
          <w:p>
            <w:pPr>
              <w:pStyle w:val="61"/>
              <w:spacing w:line="460" w:lineRule="exact"/>
              <w:ind w:left="110" w:leftChars="50"/>
              <w:jc w:val="both"/>
              <w:rPr>
                <w:rFonts w:ascii="Times New Roman"/>
                <w:color w:val="auto"/>
                <w:sz w:val="24"/>
                <w:szCs w:val="24"/>
                <w:highlight w:val="none"/>
              </w:rPr>
            </w:pPr>
            <w:r>
              <w:rPr>
                <w:rFonts w:hint="eastAsia"/>
                <w:color w:val="auto"/>
                <w:sz w:val="24"/>
                <w:szCs w:val="24"/>
                <w:highlight w:val="none"/>
              </w:rPr>
              <w:t>自投标文件递交截止之日起9</w:t>
            </w:r>
            <w:r>
              <w:rPr>
                <w:color w:val="auto"/>
                <w:sz w:val="24"/>
                <w:szCs w:val="24"/>
                <w:highlight w:val="none"/>
              </w:rPr>
              <w:t>0</w:t>
            </w:r>
            <w:r>
              <w:rPr>
                <w:rFonts w:hint="eastAsia"/>
                <w:color w:val="auto"/>
                <w:sz w:val="24"/>
                <w:szCs w:val="24"/>
                <w:highlight w:val="none"/>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3.4.1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投标保证金</w:t>
            </w:r>
          </w:p>
        </w:tc>
        <w:tc>
          <w:tcPr>
            <w:tcW w:w="6163" w:type="dxa"/>
            <w:gridSpan w:val="2"/>
            <w:vAlign w:val="center"/>
          </w:tcPr>
          <w:p>
            <w:pPr>
              <w:pStyle w:val="91"/>
              <w:wordWrap w:val="0"/>
              <w:snapToGrid w:val="0"/>
              <w:spacing w:line="460" w:lineRule="exact"/>
              <w:ind w:left="110" w:leftChars="50"/>
              <w:jc w:val="left"/>
              <w:rPr>
                <w:rFonts w:ascii="宋体" w:hAnsi="宋体"/>
                <w:bCs w:val="0"/>
                <w:color w:val="auto"/>
                <w:kern w:val="2"/>
                <w:sz w:val="24"/>
                <w:szCs w:val="24"/>
                <w:highlight w:val="none"/>
                <w:lang w:eastAsia="zh-CN"/>
              </w:rPr>
            </w:pPr>
            <w:r>
              <w:rPr>
                <w:rFonts w:hint="eastAsia" w:ascii="宋体" w:hAnsi="宋体"/>
                <w:bCs w:val="0"/>
                <w:color w:val="auto"/>
                <w:kern w:val="2"/>
                <w:sz w:val="24"/>
                <w:szCs w:val="24"/>
                <w:highlight w:val="none"/>
                <w:lang w:eastAsia="zh-CN"/>
              </w:rPr>
              <w:t>投标保证金的形式：网上支付或线下银行转账支付、银行保函、电子保函、建设工程投标保证保险支付或商业保函等。银行转账应当从其基本账户中转出。</w:t>
            </w:r>
          </w:p>
          <w:p>
            <w:pPr>
              <w:pStyle w:val="91"/>
              <w:wordWrap w:val="0"/>
              <w:snapToGrid w:val="0"/>
              <w:spacing w:line="460" w:lineRule="exact"/>
              <w:ind w:left="110" w:leftChars="50"/>
              <w:jc w:val="left"/>
              <w:rPr>
                <w:rFonts w:ascii="宋体" w:hAnsi="宋体"/>
                <w:bCs w:val="0"/>
                <w:color w:val="auto"/>
                <w:kern w:val="2"/>
                <w:sz w:val="24"/>
                <w:szCs w:val="24"/>
                <w:highlight w:val="none"/>
                <w:lang w:eastAsia="zh-CN"/>
              </w:rPr>
            </w:pPr>
            <w:r>
              <w:rPr>
                <w:rFonts w:hint="eastAsia" w:ascii="宋体" w:hAnsi="宋体"/>
                <w:bCs w:val="0"/>
                <w:color w:val="auto"/>
                <w:kern w:val="2"/>
                <w:sz w:val="24"/>
                <w:szCs w:val="24"/>
                <w:highlight w:val="none"/>
                <w:lang w:eastAsia="zh-CN"/>
              </w:rPr>
              <w:t>投标保证金的金额：100000.00元（不得超过项目估算价的2%；投标人需要一次性转账所需金额）</w:t>
            </w:r>
          </w:p>
          <w:p>
            <w:pPr>
              <w:pStyle w:val="91"/>
              <w:wordWrap w:val="0"/>
              <w:snapToGrid w:val="0"/>
              <w:spacing w:line="460" w:lineRule="exact"/>
              <w:ind w:left="110" w:leftChars="50"/>
              <w:jc w:val="left"/>
              <w:rPr>
                <w:rFonts w:ascii="宋体" w:hAnsi="宋体"/>
                <w:bCs w:val="0"/>
                <w:color w:val="auto"/>
                <w:kern w:val="2"/>
                <w:sz w:val="24"/>
                <w:szCs w:val="24"/>
                <w:highlight w:val="none"/>
                <w:lang w:eastAsia="zh-CN"/>
              </w:rPr>
            </w:pPr>
            <w:r>
              <w:rPr>
                <w:rFonts w:hint="eastAsia" w:ascii="宋体" w:hAnsi="宋体"/>
                <w:bCs w:val="0"/>
                <w:color w:val="auto"/>
                <w:kern w:val="2"/>
                <w:sz w:val="24"/>
                <w:szCs w:val="24"/>
                <w:highlight w:val="none"/>
                <w:lang w:eastAsia="zh-CN"/>
              </w:rPr>
              <w:t>户名：全国公共资源交易平台（海南省）（http://zw.hainan.gov.cn/ggzy/）</w:t>
            </w:r>
          </w:p>
          <w:p>
            <w:pPr>
              <w:pStyle w:val="91"/>
              <w:wordWrap w:val="0"/>
              <w:snapToGrid w:val="0"/>
              <w:spacing w:line="460" w:lineRule="exact"/>
              <w:ind w:left="110" w:leftChars="50"/>
              <w:jc w:val="left"/>
              <w:rPr>
                <w:rFonts w:ascii="宋体" w:hAnsi="宋体"/>
                <w:bCs w:val="0"/>
                <w:color w:val="auto"/>
                <w:kern w:val="2"/>
                <w:sz w:val="24"/>
                <w:szCs w:val="24"/>
                <w:highlight w:val="none"/>
                <w:lang w:eastAsia="zh-CN"/>
              </w:rPr>
            </w:pPr>
            <w:r>
              <w:rPr>
                <w:rFonts w:hint="eastAsia" w:ascii="宋体" w:hAnsi="宋体"/>
                <w:bCs w:val="0"/>
                <w:color w:val="auto"/>
                <w:kern w:val="2"/>
                <w:sz w:val="24"/>
                <w:szCs w:val="24"/>
                <w:highlight w:val="none"/>
                <w:lang w:eastAsia="zh-CN"/>
              </w:rPr>
              <w:t>开户行：全国公共资源交易平台（海南省）（http://zw.hainan.gov.cn/ggzy/）</w:t>
            </w:r>
          </w:p>
          <w:p>
            <w:pPr>
              <w:pStyle w:val="91"/>
              <w:wordWrap w:val="0"/>
              <w:snapToGrid w:val="0"/>
              <w:spacing w:line="460" w:lineRule="exact"/>
              <w:ind w:left="110" w:leftChars="50"/>
              <w:jc w:val="left"/>
              <w:rPr>
                <w:rFonts w:ascii="宋体" w:hAnsi="宋体"/>
                <w:bCs w:val="0"/>
                <w:color w:val="auto"/>
                <w:kern w:val="2"/>
                <w:sz w:val="24"/>
                <w:szCs w:val="24"/>
                <w:highlight w:val="none"/>
                <w:lang w:eastAsia="zh-CN"/>
              </w:rPr>
            </w:pPr>
            <w:r>
              <w:rPr>
                <w:rFonts w:hint="eastAsia" w:ascii="宋体" w:hAnsi="宋体"/>
                <w:bCs w:val="0"/>
                <w:color w:val="auto"/>
                <w:kern w:val="2"/>
                <w:sz w:val="24"/>
                <w:szCs w:val="24"/>
                <w:highlight w:val="none"/>
                <w:lang w:eastAsia="zh-CN"/>
              </w:rPr>
              <w:t>账号：全国公共资源交易平台（海南省）（http://zw.hainan.gov.cn/ggzy/）</w:t>
            </w:r>
          </w:p>
          <w:p>
            <w:pPr>
              <w:pStyle w:val="91"/>
              <w:wordWrap w:val="0"/>
              <w:snapToGrid w:val="0"/>
              <w:spacing w:line="460" w:lineRule="exact"/>
              <w:ind w:left="110" w:leftChars="50"/>
              <w:jc w:val="left"/>
              <w:rPr>
                <w:rFonts w:ascii="宋体" w:hAnsi="宋体"/>
                <w:bCs w:val="0"/>
                <w:color w:val="auto"/>
                <w:kern w:val="2"/>
                <w:sz w:val="24"/>
                <w:szCs w:val="24"/>
                <w:highlight w:val="none"/>
                <w:lang w:eastAsia="zh-CN"/>
              </w:rPr>
            </w:pPr>
            <w:r>
              <w:rPr>
                <w:rFonts w:hint="eastAsia" w:ascii="宋体" w:hAnsi="宋体"/>
                <w:bCs w:val="0"/>
                <w:color w:val="auto"/>
                <w:kern w:val="2"/>
                <w:sz w:val="24"/>
                <w:szCs w:val="24"/>
                <w:highlight w:val="none"/>
                <w:lang w:eastAsia="zh-CN"/>
              </w:rPr>
              <w:t>递交截止时间：投标截止时间。</w:t>
            </w:r>
          </w:p>
          <w:p>
            <w:pPr>
              <w:pStyle w:val="61"/>
              <w:spacing w:line="460" w:lineRule="exact"/>
              <w:ind w:left="110" w:leftChars="50"/>
              <w:rPr>
                <w:color w:val="auto"/>
                <w:sz w:val="24"/>
                <w:szCs w:val="24"/>
                <w:highlight w:val="none"/>
              </w:rPr>
            </w:pPr>
            <w:r>
              <w:rPr>
                <w:rFonts w:hint="eastAsia"/>
                <w:color w:val="auto"/>
                <w:sz w:val="24"/>
                <w:szCs w:val="24"/>
                <w:highlight w:val="none"/>
              </w:rPr>
              <w:t>注：1、投标人以转账形式提交保证金时，必须在线通过建设工程交易系统获取系统分配的子账号，按系统分配的子账号从本企业的账户转出，并且投标保证金提交截止时间前到账，否则视为投标保证金无效。</w:t>
            </w:r>
          </w:p>
          <w:p>
            <w:pPr>
              <w:pStyle w:val="61"/>
              <w:spacing w:line="460" w:lineRule="exact"/>
              <w:ind w:left="110" w:leftChars="50"/>
              <w:rPr>
                <w:color w:val="auto"/>
                <w:sz w:val="24"/>
                <w:szCs w:val="24"/>
                <w:highlight w:val="none"/>
              </w:rPr>
            </w:pPr>
            <w:r>
              <w:rPr>
                <w:rFonts w:hint="eastAsia"/>
                <w:color w:val="auto"/>
                <w:sz w:val="24"/>
                <w:szCs w:val="24"/>
                <w:highlight w:val="none"/>
              </w:rPr>
              <w:t>2、投标保证金若提供银行保函的，投标文件中须附银行保函复印件加盖单位公章，银行保函原件于开标现场提交，评标委员会评审时对银行保函原件进行核验；投标保证金若提供建设工程投标保证保险的，投标文件中附投标保险单复印件加盖单位公章，保险单原件于开标现场提交，评标委员会评审时对保险单原件进行核验（电子凭证视为原件）。</w:t>
            </w:r>
          </w:p>
          <w:p>
            <w:pPr>
              <w:pStyle w:val="61"/>
              <w:spacing w:line="460" w:lineRule="exact"/>
              <w:ind w:left="110" w:leftChars="50"/>
              <w:rPr>
                <w:color w:val="auto"/>
                <w:sz w:val="24"/>
                <w:szCs w:val="24"/>
                <w:highlight w:val="none"/>
              </w:rPr>
            </w:pPr>
            <w:r>
              <w:rPr>
                <w:rFonts w:hint="eastAsia"/>
                <w:color w:val="auto"/>
                <w:sz w:val="24"/>
                <w:szCs w:val="24"/>
                <w:highlight w:val="none"/>
              </w:rPr>
              <w:t>3、投标保证金以银行保函提交的，保函格式可不采用招标文件中提供的格式，但相关内容不得背离招标文件约定的实质性内容，出具保函的银行和保险公司须为中国境内注册的合法有效机构。</w:t>
            </w:r>
          </w:p>
          <w:p>
            <w:pPr>
              <w:pStyle w:val="61"/>
              <w:spacing w:line="460" w:lineRule="exact"/>
              <w:ind w:left="110" w:leftChars="50"/>
              <w:rPr>
                <w:color w:val="auto"/>
                <w:sz w:val="24"/>
                <w:szCs w:val="24"/>
                <w:highlight w:val="none"/>
              </w:rPr>
            </w:pPr>
            <w:r>
              <w:rPr>
                <w:rFonts w:hint="eastAsia"/>
                <w:color w:val="auto"/>
                <w:sz w:val="24"/>
                <w:szCs w:val="24"/>
                <w:highlight w:val="none"/>
              </w:rPr>
              <w:t>不符合上述要求的，否决其投标。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3.4.4</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其他可以不予退还投标保证金的情形</w:t>
            </w:r>
          </w:p>
        </w:tc>
        <w:tc>
          <w:tcPr>
            <w:tcW w:w="6163" w:type="dxa"/>
            <w:gridSpan w:val="2"/>
            <w:vAlign w:val="center"/>
          </w:tcPr>
          <w:p>
            <w:pPr>
              <w:pStyle w:val="61"/>
              <w:spacing w:line="460" w:lineRule="exact"/>
              <w:ind w:left="110" w:leftChars="50"/>
              <w:jc w:val="both"/>
              <w:rPr>
                <w:rFonts w:ascii="Times New Roman"/>
                <w:color w:val="auto"/>
                <w:sz w:val="24"/>
                <w:szCs w:val="24"/>
                <w:highlight w:val="none"/>
              </w:rPr>
            </w:pPr>
            <w:r>
              <w:rPr>
                <w:rFonts w:hint="eastAsia"/>
                <w:color w:val="auto"/>
                <w:sz w:val="24"/>
                <w:szCs w:val="24"/>
                <w:highlight w:val="none"/>
              </w:rPr>
              <w:t>法律法规规定的其他情形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3.5</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资格审查资料的特殊要求</w:t>
            </w:r>
          </w:p>
        </w:tc>
        <w:tc>
          <w:tcPr>
            <w:tcW w:w="6163" w:type="dxa"/>
            <w:gridSpan w:val="2"/>
            <w:vAlign w:val="center"/>
          </w:tcPr>
          <w:p>
            <w:pPr>
              <w:pStyle w:val="61"/>
              <w:spacing w:line="460" w:lineRule="exact"/>
              <w:ind w:left="110" w:leftChars="50"/>
              <w:jc w:val="both"/>
              <w:rPr>
                <w:color w:val="auto"/>
                <w:sz w:val="24"/>
                <w:szCs w:val="24"/>
                <w:highlight w:val="none"/>
              </w:rPr>
            </w:pPr>
            <w:r>
              <w:rPr>
                <w:color w:val="auto"/>
                <w:sz w:val="24"/>
                <w:szCs w:val="24"/>
                <w:highlight w:val="none"/>
              </w:rPr>
              <w:t>无</w:t>
            </w:r>
            <w:bookmarkStart w:id="233" w:name="_GoBack"/>
            <w:bookmarkEnd w:id="23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3.5.2</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近年财务状况的年份要求</w:t>
            </w:r>
          </w:p>
        </w:tc>
        <w:tc>
          <w:tcPr>
            <w:tcW w:w="6163" w:type="dxa"/>
            <w:gridSpan w:val="2"/>
            <w:vAlign w:val="center"/>
          </w:tcPr>
          <w:p>
            <w:pPr>
              <w:adjustRightInd w:val="0"/>
              <w:spacing w:line="360" w:lineRule="auto"/>
              <w:ind w:left="110" w:leftChars="50"/>
              <w:rPr>
                <w:rFonts w:cs="TimesNewRomanPSMT"/>
                <w:color w:val="auto"/>
                <w:sz w:val="24"/>
                <w:szCs w:val="24"/>
                <w:highlight w:val="none"/>
                <w:lang w:val="en-US"/>
              </w:rPr>
            </w:pPr>
            <w:r>
              <w:rPr>
                <w:rFonts w:cs="TimesNewRomanPSMT"/>
                <w:color w:val="auto"/>
                <w:sz w:val="24"/>
                <w:szCs w:val="24"/>
                <w:highlight w:val="none"/>
                <w:lang w:val="en-US"/>
              </w:rPr>
              <w:t>2022年度经会计师事务所或审计事务所审计的财务报告，或2023年11月至今任意连续3个月的公司财务报表（至少包含资产负债表、损益表/利润表，如新成立企业提供注册时间起的财务报表）</w:t>
            </w:r>
            <w:r>
              <w:rPr>
                <w:rFonts w:hint="eastAsia" w:cs="TimesNewRomanPSMT"/>
                <w:color w:val="auto"/>
                <w:sz w:val="24"/>
                <w:szCs w:val="24"/>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3.5.3</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近年完成的类似项目情况的时间要求</w:t>
            </w:r>
          </w:p>
        </w:tc>
        <w:tc>
          <w:tcPr>
            <w:tcW w:w="6163" w:type="dxa"/>
            <w:gridSpan w:val="2"/>
            <w:vAlign w:val="center"/>
          </w:tcPr>
          <w:p>
            <w:pPr>
              <w:adjustRightInd w:val="0"/>
              <w:spacing w:line="360" w:lineRule="auto"/>
              <w:ind w:left="110" w:leftChars="50"/>
              <w:rPr>
                <w:rFonts w:cs="TimesNewRomanPSMT"/>
                <w:color w:val="auto"/>
                <w:sz w:val="24"/>
                <w:szCs w:val="24"/>
                <w:highlight w:val="none"/>
              </w:rPr>
            </w:pPr>
            <w:r>
              <w:rPr>
                <w:rFonts w:hint="eastAsia"/>
                <w:color w:val="auto"/>
                <w:sz w:val="24"/>
                <w:szCs w:val="24"/>
                <w:highlight w:val="none"/>
              </w:rPr>
              <w:t>202</w:t>
            </w:r>
            <w:r>
              <w:rPr>
                <w:rFonts w:hint="eastAsia"/>
                <w:color w:val="auto"/>
                <w:sz w:val="24"/>
                <w:szCs w:val="24"/>
                <w:highlight w:val="none"/>
                <w:lang w:val="en-US"/>
              </w:rPr>
              <w:t>1</w:t>
            </w:r>
            <w:r>
              <w:rPr>
                <w:rFonts w:hint="eastAsia"/>
                <w:color w:val="auto"/>
                <w:sz w:val="24"/>
                <w:szCs w:val="24"/>
                <w:highlight w:val="none"/>
              </w:rPr>
              <w:t>年01月01日起至今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3.5.5</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近年发生的诉讼及仲裁情况的时间要求</w:t>
            </w:r>
          </w:p>
        </w:tc>
        <w:tc>
          <w:tcPr>
            <w:tcW w:w="6163" w:type="dxa"/>
            <w:gridSpan w:val="2"/>
            <w:vAlign w:val="center"/>
          </w:tcPr>
          <w:p>
            <w:pPr>
              <w:adjustRightInd w:val="0"/>
              <w:spacing w:line="360" w:lineRule="auto"/>
              <w:ind w:left="110" w:leftChars="50"/>
              <w:rPr>
                <w:color w:val="auto"/>
                <w:sz w:val="24"/>
                <w:szCs w:val="24"/>
                <w:highlight w:val="none"/>
              </w:rPr>
            </w:pPr>
            <w:r>
              <w:rPr>
                <w:rFonts w:hint="eastAsia"/>
                <w:color w:val="auto"/>
                <w:sz w:val="24"/>
                <w:szCs w:val="24"/>
                <w:highlight w:val="none"/>
              </w:rPr>
              <w:t>202</w:t>
            </w:r>
            <w:r>
              <w:rPr>
                <w:rFonts w:hint="eastAsia"/>
                <w:color w:val="auto"/>
                <w:sz w:val="24"/>
                <w:szCs w:val="24"/>
                <w:highlight w:val="none"/>
                <w:lang w:val="en-US"/>
              </w:rPr>
              <w:t>1</w:t>
            </w:r>
            <w:r>
              <w:rPr>
                <w:rFonts w:hint="eastAsia"/>
                <w:color w:val="auto"/>
                <w:sz w:val="24"/>
                <w:szCs w:val="24"/>
                <w:highlight w:val="none"/>
              </w:rPr>
              <w:t>年01月01日起至今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3.6.1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是否允许递交备选投标方案</w:t>
            </w:r>
          </w:p>
        </w:tc>
        <w:tc>
          <w:tcPr>
            <w:tcW w:w="6163" w:type="dxa"/>
            <w:gridSpan w:val="2"/>
            <w:vAlign w:val="center"/>
          </w:tcPr>
          <w:p>
            <w:pPr>
              <w:pStyle w:val="61"/>
              <w:spacing w:line="460" w:lineRule="exact"/>
              <w:ind w:left="110" w:leftChars="50"/>
              <w:jc w:val="both"/>
              <w:rPr>
                <w:color w:val="auto"/>
                <w:sz w:val="24"/>
                <w:szCs w:val="24"/>
                <w:highlight w:val="none"/>
              </w:rPr>
            </w:pPr>
            <w:r>
              <w:rPr>
                <w:color w:val="auto"/>
                <w:sz w:val="24"/>
                <w:szCs w:val="24"/>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color w:val="auto"/>
                <w:sz w:val="24"/>
                <w:szCs w:val="24"/>
                <w:highlight w:val="none"/>
              </w:rPr>
            </w:pPr>
            <w:r>
              <w:rPr>
                <w:rFonts w:ascii="Times New Roman" w:eastAsia="Times New Roman"/>
                <w:color w:val="auto"/>
                <w:sz w:val="24"/>
                <w:szCs w:val="24"/>
                <w:highlight w:val="none"/>
              </w:rPr>
              <w:t>3.7.3</w:t>
            </w:r>
            <w:r>
              <w:rPr>
                <w:color w:val="auto"/>
                <w:sz w:val="24"/>
                <w:szCs w:val="24"/>
                <w:highlight w:val="none"/>
              </w:rPr>
              <w:t>（</w:t>
            </w:r>
            <w:r>
              <w:rPr>
                <w:rFonts w:ascii="Times New Roman" w:eastAsia="Times New Roman"/>
                <w:color w:val="auto"/>
                <w:sz w:val="24"/>
                <w:szCs w:val="24"/>
                <w:highlight w:val="none"/>
              </w:rPr>
              <w:t>2</w:t>
            </w:r>
            <w:r>
              <w:rPr>
                <w:color w:val="auto"/>
                <w:sz w:val="24"/>
                <w:szCs w:val="24"/>
                <w:highlight w:val="none"/>
              </w:rPr>
              <w:t>）</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投标文件份数及其他要求</w:t>
            </w:r>
          </w:p>
        </w:tc>
        <w:tc>
          <w:tcPr>
            <w:tcW w:w="6163" w:type="dxa"/>
            <w:gridSpan w:val="2"/>
            <w:vAlign w:val="center"/>
          </w:tcPr>
          <w:p>
            <w:pPr>
              <w:pStyle w:val="61"/>
              <w:spacing w:before="111" w:line="460" w:lineRule="exact"/>
              <w:ind w:left="110" w:leftChars="50"/>
              <w:rPr>
                <w:color w:val="auto"/>
                <w:sz w:val="24"/>
                <w:szCs w:val="24"/>
                <w:highlight w:val="none"/>
              </w:rPr>
            </w:pPr>
            <w:r>
              <w:rPr>
                <w:rFonts w:hint="eastAsia"/>
                <w:color w:val="auto"/>
                <w:sz w:val="24"/>
                <w:szCs w:val="24"/>
                <w:highlight w:val="none"/>
              </w:rPr>
              <w:t>投标文件份数：一正四副。</w:t>
            </w:r>
          </w:p>
          <w:p>
            <w:pPr>
              <w:pStyle w:val="61"/>
              <w:spacing w:before="129" w:line="460" w:lineRule="exact"/>
              <w:ind w:left="110" w:leftChars="50"/>
              <w:rPr>
                <w:color w:val="auto"/>
                <w:sz w:val="24"/>
                <w:szCs w:val="24"/>
                <w:highlight w:val="none"/>
              </w:rPr>
            </w:pPr>
            <w:r>
              <w:rPr>
                <w:rFonts w:hint="eastAsia"/>
                <w:color w:val="auto"/>
                <w:sz w:val="24"/>
                <w:szCs w:val="24"/>
                <w:highlight w:val="none"/>
              </w:rPr>
              <w:t>是否要求提交电子版文件：是，电子版文件两份（</w:t>
            </w:r>
            <w:r>
              <w:rPr>
                <w:color w:val="auto"/>
                <w:sz w:val="24"/>
                <w:szCs w:val="24"/>
                <w:highlight w:val="none"/>
              </w:rPr>
              <w:t>U</w:t>
            </w:r>
            <w:r>
              <w:rPr>
                <w:rFonts w:hint="eastAsia"/>
                <w:color w:val="auto"/>
                <w:sz w:val="24"/>
                <w:szCs w:val="24"/>
                <w:highlight w:val="none"/>
              </w:rPr>
              <w:t>盘、光盘各一份）</w:t>
            </w:r>
          </w:p>
          <w:p>
            <w:pPr>
              <w:pStyle w:val="61"/>
              <w:spacing w:line="460" w:lineRule="exact"/>
              <w:ind w:left="110" w:leftChars="50"/>
              <w:jc w:val="both"/>
              <w:rPr>
                <w:color w:val="auto"/>
                <w:sz w:val="24"/>
                <w:szCs w:val="24"/>
                <w:highlight w:val="none"/>
              </w:rPr>
            </w:pPr>
            <w:r>
              <w:rPr>
                <w:rFonts w:hint="eastAsia"/>
                <w:color w:val="auto"/>
                <w:sz w:val="24"/>
                <w:szCs w:val="24"/>
                <w:highlight w:val="none"/>
              </w:rPr>
              <w:t>其他要求：</w:t>
            </w:r>
            <w:r>
              <w:rPr>
                <w:rFonts w:hint="eastAsia"/>
                <w:color w:val="auto"/>
                <w:sz w:val="24"/>
                <w:szCs w:val="24"/>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color w:val="auto"/>
                <w:sz w:val="24"/>
                <w:szCs w:val="24"/>
                <w:highlight w:val="none"/>
              </w:rPr>
            </w:pPr>
            <w:r>
              <w:rPr>
                <w:rFonts w:ascii="Times New Roman" w:eastAsia="Times New Roman"/>
                <w:color w:val="auto"/>
                <w:sz w:val="24"/>
                <w:szCs w:val="24"/>
                <w:highlight w:val="none"/>
              </w:rPr>
              <w:t>3.7.3</w:t>
            </w:r>
            <w:r>
              <w:rPr>
                <w:color w:val="auto"/>
                <w:sz w:val="24"/>
                <w:szCs w:val="24"/>
                <w:highlight w:val="none"/>
              </w:rPr>
              <w:t>（</w:t>
            </w:r>
            <w:r>
              <w:rPr>
                <w:rFonts w:ascii="Times New Roman" w:eastAsia="Times New Roman"/>
                <w:color w:val="auto"/>
                <w:sz w:val="24"/>
                <w:szCs w:val="24"/>
                <w:highlight w:val="none"/>
              </w:rPr>
              <w:t>3</w:t>
            </w:r>
            <w:r>
              <w:rPr>
                <w:color w:val="auto"/>
                <w:sz w:val="24"/>
                <w:szCs w:val="24"/>
                <w:highlight w:val="none"/>
              </w:rPr>
              <w:t>）</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投标文件是否需分册装订</w:t>
            </w:r>
          </w:p>
        </w:tc>
        <w:tc>
          <w:tcPr>
            <w:tcW w:w="6163" w:type="dxa"/>
            <w:gridSpan w:val="2"/>
            <w:vAlign w:val="center"/>
          </w:tcPr>
          <w:p>
            <w:pPr>
              <w:pStyle w:val="61"/>
              <w:spacing w:line="460" w:lineRule="exact"/>
              <w:ind w:left="110" w:leftChars="50"/>
              <w:jc w:val="both"/>
              <w:rPr>
                <w:color w:val="auto"/>
                <w:sz w:val="24"/>
                <w:szCs w:val="24"/>
                <w:highlight w:val="none"/>
              </w:rPr>
            </w:pPr>
            <w:r>
              <w:rPr>
                <w:color w:val="auto"/>
                <w:sz w:val="24"/>
                <w:szCs w:val="24"/>
                <w:highlight w:val="none"/>
              </w:rPr>
              <w:t>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color w:val="auto"/>
                <w:sz w:val="24"/>
                <w:szCs w:val="24"/>
                <w:highlight w:val="none"/>
              </w:rPr>
            </w:pPr>
            <w:r>
              <w:rPr>
                <w:rFonts w:ascii="Times New Roman" w:eastAsia="Times New Roman"/>
                <w:color w:val="auto"/>
                <w:sz w:val="24"/>
                <w:szCs w:val="24"/>
                <w:highlight w:val="none"/>
              </w:rPr>
              <w:t>3.7.3</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投标文件所附证书证件要求</w:t>
            </w:r>
          </w:p>
        </w:tc>
        <w:tc>
          <w:tcPr>
            <w:tcW w:w="6163" w:type="dxa"/>
            <w:gridSpan w:val="2"/>
            <w:vAlign w:val="center"/>
          </w:tcPr>
          <w:p>
            <w:pPr>
              <w:pStyle w:val="61"/>
              <w:spacing w:line="460" w:lineRule="exact"/>
              <w:ind w:left="110" w:leftChars="50"/>
              <w:jc w:val="both"/>
              <w:rPr>
                <w:rFonts w:ascii="Times New Roman"/>
                <w:color w:val="auto"/>
                <w:sz w:val="24"/>
                <w:szCs w:val="24"/>
                <w:highlight w:val="none"/>
              </w:rPr>
            </w:pPr>
            <w:r>
              <w:rPr>
                <w:rFonts w:hint="eastAsia"/>
                <w:color w:val="auto"/>
                <w:sz w:val="24"/>
                <w:szCs w:val="24"/>
                <w:highlight w:val="none"/>
              </w:rPr>
              <w:t>按招标文件要求提供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color w:val="auto"/>
                <w:sz w:val="24"/>
                <w:szCs w:val="24"/>
                <w:highlight w:val="none"/>
              </w:rPr>
            </w:pPr>
            <w:r>
              <w:rPr>
                <w:rFonts w:ascii="Times New Roman" w:eastAsia="Times New Roman"/>
                <w:color w:val="auto"/>
                <w:sz w:val="24"/>
                <w:szCs w:val="24"/>
                <w:highlight w:val="none"/>
              </w:rPr>
              <w:t>3.7.3</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投标文件签字或盖章要求</w:t>
            </w:r>
          </w:p>
        </w:tc>
        <w:tc>
          <w:tcPr>
            <w:tcW w:w="6163" w:type="dxa"/>
            <w:gridSpan w:val="2"/>
            <w:vAlign w:val="center"/>
          </w:tcPr>
          <w:p>
            <w:pPr>
              <w:pStyle w:val="61"/>
              <w:spacing w:line="460" w:lineRule="exact"/>
              <w:ind w:left="110" w:leftChars="50"/>
              <w:rPr>
                <w:color w:val="auto"/>
                <w:sz w:val="24"/>
                <w:szCs w:val="24"/>
                <w:highlight w:val="none"/>
              </w:rPr>
            </w:pPr>
            <w:r>
              <w:rPr>
                <w:color w:val="auto"/>
                <w:sz w:val="24"/>
                <w:szCs w:val="24"/>
                <w:highlight w:val="none"/>
              </w:rPr>
              <w:t>1、纸质版投标文件正本应用不褪色的墨水书写或打</w:t>
            </w:r>
            <w:r>
              <w:rPr>
                <w:rFonts w:hint="eastAsia"/>
                <w:color w:val="auto"/>
                <w:sz w:val="24"/>
                <w:szCs w:val="24"/>
                <w:highlight w:val="none"/>
              </w:rPr>
              <w:t>印，字迹清晰可辨，无随意涂改、行间插字或删除等情况，投标文件的内容由投标人的法定代表人或其委托代理人签署姓名，逐页加盖投标人单位公章，投标文件正本须为彩印件，副本不要求；投标文件需加盖骑缝章。如果投标文件由委托代理人签署，则投标人需提交附有法定代表人身份证明的授权委托书，授权委托书应按规定的书面方式出具，并由法定代表人和委托代理人签字或签章。</w:t>
            </w:r>
          </w:p>
          <w:p>
            <w:pPr>
              <w:pStyle w:val="61"/>
              <w:spacing w:line="460" w:lineRule="exact"/>
              <w:ind w:left="110" w:leftChars="50"/>
              <w:rPr>
                <w:rFonts w:ascii="Times New Roman"/>
                <w:color w:val="auto"/>
                <w:sz w:val="24"/>
                <w:szCs w:val="24"/>
                <w:highlight w:val="none"/>
              </w:rPr>
            </w:pPr>
            <w:r>
              <w:rPr>
                <w:color w:val="auto"/>
                <w:sz w:val="24"/>
                <w:szCs w:val="24"/>
                <w:highlight w:val="none"/>
              </w:rPr>
              <w:t>2、没有按要求编写、签字并盖单位章的，其投标文件</w:t>
            </w:r>
            <w:r>
              <w:rPr>
                <w:rFonts w:hint="eastAsia"/>
                <w:color w:val="auto"/>
                <w:sz w:val="24"/>
                <w:szCs w:val="24"/>
                <w:highlight w:val="none"/>
              </w:rPr>
              <w:t>按否决投标处理</w:t>
            </w:r>
            <w:r>
              <w:rPr>
                <w:color w:val="auto"/>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4.1.2</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封套上应载明的信息</w:t>
            </w:r>
          </w:p>
        </w:tc>
        <w:tc>
          <w:tcPr>
            <w:tcW w:w="6163" w:type="dxa"/>
            <w:gridSpan w:val="2"/>
            <w:vAlign w:val="center"/>
          </w:tcPr>
          <w:p>
            <w:pPr>
              <w:adjustRightInd w:val="0"/>
              <w:snapToGrid w:val="0"/>
              <w:spacing w:line="460" w:lineRule="exact"/>
              <w:ind w:left="110" w:leftChars="50"/>
              <w:rPr>
                <w:color w:val="auto"/>
                <w:sz w:val="24"/>
                <w:szCs w:val="24"/>
                <w:highlight w:val="none"/>
              </w:rPr>
            </w:pPr>
            <w:bookmarkStart w:id="67" w:name="_Toc5501"/>
            <w:bookmarkStart w:id="68" w:name="_Toc129271750"/>
            <w:r>
              <w:rPr>
                <w:rFonts w:hint="eastAsia"/>
                <w:color w:val="auto"/>
                <w:sz w:val="24"/>
                <w:szCs w:val="24"/>
                <w:highlight w:val="none"/>
              </w:rPr>
              <w:t>招标人名称：三亚崖州湾科技城开发建设有限公司</w:t>
            </w:r>
            <w:bookmarkEnd w:id="67"/>
            <w:bookmarkEnd w:id="68"/>
          </w:p>
          <w:p>
            <w:pPr>
              <w:adjustRightInd w:val="0"/>
              <w:snapToGrid w:val="0"/>
              <w:spacing w:line="460" w:lineRule="exact"/>
              <w:ind w:left="110" w:leftChars="50"/>
              <w:rPr>
                <w:color w:val="auto"/>
                <w:sz w:val="24"/>
                <w:szCs w:val="24"/>
                <w:highlight w:val="none"/>
              </w:rPr>
            </w:pPr>
            <w:r>
              <w:rPr>
                <w:rFonts w:hint="eastAsia"/>
                <w:color w:val="auto"/>
                <w:sz w:val="24"/>
                <w:szCs w:val="24"/>
                <w:highlight w:val="none"/>
              </w:rPr>
              <w:t>招标人地址：海南省三亚市崖州区创意产业园</w:t>
            </w:r>
            <w:r>
              <w:rPr>
                <w:color w:val="auto"/>
                <w:sz w:val="24"/>
                <w:szCs w:val="24"/>
                <w:highlight w:val="none"/>
              </w:rPr>
              <w:t>2号路标准厂房一期旁</w:t>
            </w:r>
          </w:p>
          <w:p>
            <w:pPr>
              <w:adjustRightInd w:val="0"/>
              <w:spacing w:line="460" w:lineRule="exact"/>
              <w:ind w:left="110" w:leftChars="50"/>
              <w:rPr>
                <w:color w:val="auto"/>
                <w:sz w:val="24"/>
                <w:szCs w:val="24"/>
                <w:highlight w:val="none"/>
              </w:rPr>
            </w:pPr>
            <w:r>
              <w:rPr>
                <w:rFonts w:hint="eastAsia"/>
                <w:color w:val="auto"/>
                <w:sz w:val="24"/>
                <w:szCs w:val="24"/>
                <w:highlight w:val="none"/>
              </w:rPr>
              <w:t>项目名称：三亚崖州湾科技城科教城深海科技创新公共平台项目--聚波水池设备购置（二次招标）</w:t>
            </w:r>
          </w:p>
          <w:p>
            <w:pPr>
              <w:adjustRightInd w:val="0"/>
              <w:spacing w:line="460" w:lineRule="exact"/>
              <w:ind w:left="110" w:leftChars="50"/>
              <w:rPr>
                <w:color w:val="auto"/>
                <w:sz w:val="24"/>
                <w:szCs w:val="24"/>
                <w:highlight w:val="none"/>
              </w:rPr>
            </w:pPr>
            <w:r>
              <w:rPr>
                <w:rFonts w:hint="eastAsia"/>
                <w:color w:val="auto"/>
                <w:sz w:val="24"/>
                <w:szCs w:val="24"/>
                <w:highlight w:val="none"/>
              </w:rPr>
              <w:t>投标文件在投标</w:t>
            </w:r>
            <w:r>
              <w:rPr>
                <w:color w:val="auto"/>
                <w:sz w:val="24"/>
                <w:szCs w:val="24"/>
                <w:highlight w:val="none"/>
              </w:rPr>
              <w:t>截止时间</w:t>
            </w:r>
            <w:r>
              <w:rPr>
                <w:rFonts w:hint="eastAsia"/>
                <w:color w:val="auto"/>
                <w:sz w:val="24"/>
                <w:szCs w:val="24"/>
                <w:highlight w:val="none"/>
              </w:rPr>
              <w:t>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4.2.1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投标截止时间</w:t>
            </w:r>
          </w:p>
        </w:tc>
        <w:tc>
          <w:tcPr>
            <w:tcW w:w="6163" w:type="dxa"/>
            <w:gridSpan w:val="2"/>
            <w:vAlign w:val="center"/>
          </w:tcPr>
          <w:p>
            <w:pPr>
              <w:pStyle w:val="61"/>
              <w:spacing w:line="460" w:lineRule="exact"/>
              <w:ind w:left="110" w:leftChars="50"/>
              <w:jc w:val="both"/>
              <w:rPr>
                <w:color w:val="auto"/>
                <w:sz w:val="24"/>
                <w:szCs w:val="24"/>
                <w:highlight w:val="none"/>
              </w:rPr>
            </w:pPr>
            <w:r>
              <w:rPr>
                <w:rFonts w:hint="eastAsia"/>
                <w:color w:val="auto"/>
                <w:sz w:val="24"/>
                <w:szCs w:val="24"/>
                <w:highlight w:val="none"/>
                <w:u w:val="none"/>
              </w:rPr>
              <w:t>202</w:t>
            </w:r>
            <w:r>
              <w:rPr>
                <w:rFonts w:hint="eastAsia"/>
                <w:color w:val="auto"/>
                <w:sz w:val="24"/>
                <w:szCs w:val="24"/>
                <w:highlight w:val="none"/>
                <w:u w:val="none"/>
                <w:lang w:val="en-US"/>
              </w:rPr>
              <w:t>4</w:t>
            </w:r>
            <w:r>
              <w:rPr>
                <w:rFonts w:hint="eastAsia"/>
                <w:color w:val="auto"/>
                <w:sz w:val="24"/>
                <w:szCs w:val="24"/>
                <w:highlight w:val="none"/>
                <w:u w:val="none"/>
              </w:rPr>
              <w:t>年</w:t>
            </w:r>
            <w:r>
              <w:rPr>
                <w:rFonts w:hint="eastAsia"/>
                <w:color w:val="auto"/>
                <w:sz w:val="24"/>
                <w:szCs w:val="24"/>
                <w:highlight w:val="none"/>
                <w:u w:val="none"/>
                <w:lang w:val="en-US" w:eastAsia="zh-CN"/>
              </w:rPr>
              <w:t>05</w:t>
            </w:r>
            <w:r>
              <w:rPr>
                <w:rFonts w:hint="eastAsia"/>
                <w:color w:val="auto"/>
                <w:sz w:val="24"/>
                <w:szCs w:val="24"/>
                <w:highlight w:val="none"/>
                <w:u w:val="none"/>
              </w:rPr>
              <w:t>月</w:t>
            </w:r>
            <w:r>
              <w:rPr>
                <w:rFonts w:hint="eastAsia"/>
                <w:color w:val="auto"/>
                <w:sz w:val="24"/>
                <w:szCs w:val="24"/>
                <w:highlight w:val="none"/>
                <w:u w:val="none"/>
                <w:lang w:val="en-US" w:eastAsia="zh-CN"/>
              </w:rPr>
              <w:t>16</w:t>
            </w:r>
            <w:r>
              <w:rPr>
                <w:rFonts w:hint="eastAsia"/>
                <w:color w:val="auto"/>
                <w:sz w:val="24"/>
                <w:szCs w:val="24"/>
                <w:highlight w:val="none"/>
                <w:u w:val="none"/>
              </w:rPr>
              <w:t>日</w:t>
            </w:r>
            <w:r>
              <w:rPr>
                <w:rFonts w:hint="eastAsia"/>
                <w:color w:val="auto"/>
                <w:sz w:val="24"/>
                <w:szCs w:val="24"/>
                <w:highlight w:val="none"/>
                <w:u w:val="none"/>
                <w:lang w:val="en-US" w:eastAsia="zh-CN"/>
              </w:rPr>
              <w:t>08</w:t>
            </w:r>
            <w:r>
              <w:rPr>
                <w:rFonts w:hint="eastAsia"/>
                <w:color w:val="auto"/>
                <w:sz w:val="24"/>
                <w:szCs w:val="24"/>
                <w:highlight w:val="none"/>
                <w:u w:val="none"/>
                <w:lang w:val="en-US"/>
              </w:rPr>
              <w:t>:</w:t>
            </w:r>
            <w:r>
              <w:rPr>
                <w:rFonts w:hint="eastAsia"/>
                <w:color w:val="auto"/>
                <w:sz w:val="24"/>
                <w:szCs w:val="24"/>
                <w:highlight w:val="none"/>
                <w:u w:val="none"/>
                <w:lang w:val="en-US" w:eastAsia="zh-CN"/>
              </w:rPr>
              <w:t>30</w:t>
            </w:r>
            <w:r>
              <w:rPr>
                <w:rFonts w:hint="eastAsia"/>
                <w:color w:val="auto"/>
                <w:sz w:val="24"/>
                <w:szCs w:val="24"/>
                <w:highlight w:val="none"/>
                <w:lang w:val="en-US"/>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color w:val="auto"/>
                <w:sz w:val="24"/>
                <w:szCs w:val="24"/>
                <w:highlight w:val="none"/>
              </w:rPr>
            </w:pPr>
            <w:r>
              <w:rPr>
                <w:rFonts w:ascii="Times New Roman" w:eastAsia="Times New Roman"/>
                <w:color w:val="auto"/>
                <w:sz w:val="24"/>
                <w:szCs w:val="24"/>
                <w:highlight w:val="none"/>
              </w:rPr>
              <w:t>4.2.2</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递交投标文件地点</w:t>
            </w:r>
          </w:p>
        </w:tc>
        <w:tc>
          <w:tcPr>
            <w:tcW w:w="6163" w:type="dxa"/>
            <w:gridSpan w:val="2"/>
            <w:vAlign w:val="center"/>
          </w:tcPr>
          <w:p>
            <w:pPr>
              <w:adjustRightInd w:val="0"/>
              <w:snapToGrid w:val="0"/>
              <w:spacing w:line="460" w:lineRule="exac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海南省公共资源交易服务中心（海口市国兴大道9号）</w:t>
            </w:r>
            <w:r>
              <w:rPr>
                <w:rFonts w:hint="eastAsia" w:asciiTheme="minorEastAsia" w:hAnsiTheme="minorEastAsia" w:eastAsiaTheme="minorEastAsia"/>
                <w:color w:val="auto"/>
                <w:sz w:val="24"/>
                <w:szCs w:val="24"/>
                <w:highlight w:val="none"/>
                <w:lang w:val="en-US" w:eastAsia="zh-CN"/>
              </w:rPr>
              <w:t>205</w:t>
            </w:r>
            <w:r>
              <w:rPr>
                <w:rFonts w:hint="eastAsia" w:asciiTheme="minorEastAsia" w:hAnsiTheme="minorEastAsia" w:eastAsiaTheme="minorEastAsia"/>
                <w:color w:val="auto"/>
                <w:sz w:val="24"/>
                <w:szCs w:val="24"/>
                <w:highlight w:val="none"/>
              </w:rPr>
              <w:t>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4.2.3</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投标文件是否退还</w:t>
            </w:r>
          </w:p>
        </w:tc>
        <w:tc>
          <w:tcPr>
            <w:tcW w:w="6163" w:type="dxa"/>
            <w:gridSpan w:val="2"/>
            <w:vAlign w:val="center"/>
          </w:tcPr>
          <w:p>
            <w:pPr>
              <w:pStyle w:val="61"/>
              <w:spacing w:line="460" w:lineRule="exact"/>
              <w:ind w:left="110" w:leftChars="50"/>
              <w:jc w:val="both"/>
              <w:rPr>
                <w:color w:val="auto"/>
                <w:sz w:val="24"/>
                <w:szCs w:val="24"/>
                <w:highlight w:val="none"/>
              </w:rPr>
            </w:pPr>
            <w:r>
              <w:rPr>
                <w:color w:val="auto"/>
                <w:sz w:val="24"/>
                <w:szCs w:val="24"/>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color w:val="auto"/>
                <w:sz w:val="24"/>
                <w:szCs w:val="24"/>
                <w:highlight w:val="none"/>
              </w:rPr>
            </w:pPr>
            <w:r>
              <w:rPr>
                <w:rFonts w:ascii="Times New Roman" w:eastAsia="Times New Roman"/>
                <w:color w:val="auto"/>
                <w:sz w:val="24"/>
                <w:szCs w:val="24"/>
                <w:highlight w:val="none"/>
              </w:rPr>
              <w:t>5.1</w:t>
            </w:r>
            <w:r>
              <w:rPr>
                <w:color w:val="auto"/>
                <w:sz w:val="24"/>
                <w:szCs w:val="24"/>
                <w:highlight w:val="none"/>
              </w:rPr>
              <w:t>（</w:t>
            </w:r>
            <w:r>
              <w:rPr>
                <w:rFonts w:ascii="Times New Roman" w:eastAsia="Times New Roman"/>
                <w:color w:val="auto"/>
                <w:sz w:val="24"/>
                <w:szCs w:val="24"/>
                <w:highlight w:val="none"/>
              </w:rPr>
              <w:t>A</w:t>
            </w:r>
            <w:r>
              <w:rPr>
                <w:color w:val="auto"/>
                <w:sz w:val="24"/>
                <w:szCs w:val="24"/>
                <w:highlight w:val="none"/>
              </w:rPr>
              <w:t>）</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开标时间和地点</w:t>
            </w:r>
          </w:p>
        </w:tc>
        <w:tc>
          <w:tcPr>
            <w:tcW w:w="6163" w:type="dxa"/>
            <w:gridSpan w:val="2"/>
            <w:vAlign w:val="center"/>
          </w:tcPr>
          <w:p>
            <w:pPr>
              <w:pStyle w:val="61"/>
              <w:spacing w:line="460" w:lineRule="exact"/>
              <w:ind w:left="110" w:leftChars="50"/>
              <w:jc w:val="both"/>
              <w:rPr>
                <w:color w:val="auto"/>
                <w:sz w:val="24"/>
                <w:szCs w:val="24"/>
                <w:highlight w:val="none"/>
              </w:rPr>
            </w:pPr>
            <w:r>
              <w:rPr>
                <w:color w:val="auto"/>
                <w:sz w:val="24"/>
                <w:szCs w:val="24"/>
                <w:highlight w:val="none"/>
              </w:rPr>
              <w:t>开标时间：同投标截止时间</w:t>
            </w:r>
          </w:p>
          <w:p>
            <w:pPr>
              <w:pStyle w:val="61"/>
              <w:spacing w:line="460" w:lineRule="exact"/>
              <w:ind w:left="110" w:leftChars="50"/>
              <w:jc w:val="both"/>
              <w:rPr>
                <w:color w:val="auto"/>
                <w:sz w:val="24"/>
                <w:szCs w:val="24"/>
                <w:highlight w:val="none"/>
              </w:rPr>
            </w:pPr>
            <w:r>
              <w:rPr>
                <w:color w:val="auto"/>
                <w:sz w:val="24"/>
                <w:szCs w:val="24"/>
                <w:highlight w:val="none"/>
              </w:rPr>
              <w:t>开标地点：同递交投标文件地点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color w:val="auto"/>
                <w:sz w:val="24"/>
                <w:szCs w:val="24"/>
                <w:highlight w:val="none"/>
              </w:rPr>
            </w:pPr>
            <w:r>
              <w:rPr>
                <w:rFonts w:ascii="Times New Roman" w:eastAsia="Times New Roman"/>
                <w:color w:val="auto"/>
                <w:sz w:val="24"/>
                <w:szCs w:val="24"/>
                <w:highlight w:val="none"/>
              </w:rPr>
              <w:t>5.2</w:t>
            </w:r>
            <w:r>
              <w:rPr>
                <w:color w:val="auto"/>
                <w:sz w:val="24"/>
                <w:szCs w:val="24"/>
                <w:highlight w:val="none"/>
              </w:rPr>
              <w:t>（</w:t>
            </w:r>
            <w:r>
              <w:rPr>
                <w:rFonts w:ascii="Times New Roman" w:eastAsia="Times New Roman"/>
                <w:color w:val="auto"/>
                <w:sz w:val="24"/>
                <w:szCs w:val="24"/>
                <w:highlight w:val="none"/>
              </w:rPr>
              <w:t>4</w:t>
            </w:r>
            <w:r>
              <w:rPr>
                <w:color w:val="auto"/>
                <w:sz w:val="24"/>
                <w:szCs w:val="24"/>
                <w:highlight w:val="none"/>
              </w:rPr>
              <w:t>）（</w:t>
            </w:r>
            <w:r>
              <w:rPr>
                <w:rFonts w:ascii="Times New Roman" w:eastAsia="Times New Roman"/>
                <w:color w:val="auto"/>
                <w:sz w:val="24"/>
                <w:szCs w:val="24"/>
                <w:highlight w:val="none"/>
              </w:rPr>
              <w:t>A</w:t>
            </w:r>
            <w:r>
              <w:rPr>
                <w:color w:val="auto"/>
                <w:sz w:val="24"/>
                <w:szCs w:val="24"/>
                <w:highlight w:val="none"/>
              </w:rPr>
              <w:t>）</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开标程序</w:t>
            </w:r>
          </w:p>
        </w:tc>
        <w:tc>
          <w:tcPr>
            <w:tcW w:w="6163" w:type="dxa"/>
            <w:gridSpan w:val="2"/>
            <w:vAlign w:val="center"/>
          </w:tcPr>
          <w:p>
            <w:pPr>
              <w:pStyle w:val="61"/>
              <w:spacing w:line="460" w:lineRule="exact"/>
              <w:ind w:left="110" w:leftChars="50"/>
              <w:jc w:val="both"/>
              <w:rPr>
                <w:color w:val="auto"/>
                <w:sz w:val="24"/>
                <w:szCs w:val="24"/>
                <w:highlight w:val="none"/>
              </w:rPr>
            </w:pPr>
            <w:r>
              <w:rPr>
                <w:rFonts w:hint="eastAsia"/>
                <w:color w:val="auto"/>
                <w:sz w:val="24"/>
                <w:szCs w:val="24"/>
                <w:highlight w:val="none"/>
              </w:rPr>
              <w:t>密封情况检查：由投标人代表检查</w:t>
            </w:r>
          </w:p>
          <w:p>
            <w:pPr>
              <w:pStyle w:val="61"/>
              <w:spacing w:line="460" w:lineRule="exact"/>
              <w:ind w:left="110" w:leftChars="50"/>
              <w:jc w:val="both"/>
              <w:rPr>
                <w:color w:val="auto"/>
                <w:sz w:val="24"/>
                <w:szCs w:val="24"/>
                <w:highlight w:val="none"/>
              </w:rPr>
            </w:pPr>
            <w:r>
              <w:rPr>
                <w:rFonts w:hint="eastAsia"/>
                <w:color w:val="auto"/>
                <w:sz w:val="24"/>
                <w:szCs w:val="24"/>
                <w:highlight w:val="none"/>
              </w:rPr>
              <w:t>开标顺序：随机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6.1.1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评标委员会的组建</w:t>
            </w:r>
          </w:p>
        </w:tc>
        <w:tc>
          <w:tcPr>
            <w:tcW w:w="6163" w:type="dxa"/>
            <w:gridSpan w:val="2"/>
            <w:vAlign w:val="center"/>
          </w:tcPr>
          <w:p>
            <w:pPr>
              <w:pStyle w:val="61"/>
              <w:tabs>
                <w:tab w:val="left" w:pos="2592"/>
              </w:tabs>
              <w:spacing w:line="360" w:lineRule="auto"/>
              <w:ind w:left="110" w:leftChars="50"/>
              <w:jc w:val="both"/>
              <w:rPr>
                <w:color w:val="auto"/>
                <w:kern w:val="2"/>
                <w:sz w:val="24"/>
                <w:szCs w:val="24"/>
                <w:highlight w:val="none"/>
              </w:rPr>
            </w:pPr>
            <w:r>
              <w:rPr>
                <w:color w:val="auto"/>
                <w:kern w:val="2"/>
                <w:sz w:val="24"/>
                <w:szCs w:val="24"/>
                <w:highlight w:val="none"/>
              </w:rPr>
              <w:t>评标委员会</w:t>
            </w:r>
            <w:r>
              <w:rPr>
                <w:rFonts w:hint="eastAsia"/>
                <w:color w:val="auto"/>
                <w:kern w:val="2"/>
                <w:sz w:val="24"/>
                <w:szCs w:val="24"/>
                <w:highlight w:val="none"/>
              </w:rPr>
              <w:t>构成：</w:t>
            </w:r>
            <w:r>
              <w:rPr>
                <w:rFonts w:hint="eastAsia"/>
                <w:color w:val="auto"/>
                <w:kern w:val="2"/>
                <w:sz w:val="24"/>
                <w:szCs w:val="24"/>
                <w:highlight w:val="none"/>
                <w:u w:val="single"/>
              </w:rPr>
              <w:t>7</w:t>
            </w:r>
            <w:r>
              <w:rPr>
                <w:rFonts w:hint="eastAsia"/>
                <w:color w:val="auto"/>
                <w:kern w:val="2"/>
                <w:sz w:val="24"/>
                <w:szCs w:val="24"/>
                <w:highlight w:val="none"/>
              </w:rPr>
              <w:t>人，其中招标人代表</w:t>
            </w:r>
            <w:r>
              <w:rPr>
                <w:rFonts w:hint="eastAsia"/>
                <w:color w:val="auto"/>
                <w:kern w:val="2"/>
                <w:sz w:val="24"/>
                <w:szCs w:val="24"/>
                <w:highlight w:val="none"/>
                <w:u w:val="single"/>
              </w:rPr>
              <w:t>2</w:t>
            </w:r>
            <w:r>
              <w:rPr>
                <w:rFonts w:hint="eastAsia"/>
                <w:color w:val="auto"/>
                <w:kern w:val="2"/>
                <w:sz w:val="24"/>
                <w:szCs w:val="24"/>
                <w:highlight w:val="none"/>
              </w:rPr>
              <w:t>人，专家</w:t>
            </w:r>
            <w:r>
              <w:rPr>
                <w:rFonts w:hint="eastAsia"/>
                <w:color w:val="auto"/>
                <w:kern w:val="2"/>
                <w:sz w:val="24"/>
                <w:szCs w:val="24"/>
                <w:highlight w:val="none"/>
                <w:u w:val="single"/>
              </w:rPr>
              <w:t>5</w:t>
            </w:r>
            <w:r>
              <w:rPr>
                <w:rFonts w:hint="eastAsia"/>
                <w:color w:val="auto"/>
                <w:kern w:val="2"/>
                <w:sz w:val="24"/>
                <w:szCs w:val="24"/>
                <w:highlight w:val="none"/>
              </w:rPr>
              <w:t>人。</w:t>
            </w:r>
          </w:p>
          <w:p>
            <w:pPr>
              <w:pStyle w:val="61"/>
              <w:tabs>
                <w:tab w:val="left" w:pos="2313"/>
                <w:tab w:val="left" w:pos="3830"/>
              </w:tabs>
              <w:spacing w:line="460" w:lineRule="exact"/>
              <w:ind w:left="110" w:leftChars="50"/>
              <w:jc w:val="both"/>
              <w:rPr>
                <w:color w:val="auto"/>
                <w:sz w:val="24"/>
                <w:szCs w:val="24"/>
                <w:highlight w:val="none"/>
              </w:rPr>
            </w:pPr>
            <w:r>
              <w:rPr>
                <w:rFonts w:hint="eastAsia"/>
                <w:color w:val="auto"/>
                <w:kern w:val="2"/>
                <w:sz w:val="24"/>
                <w:szCs w:val="24"/>
                <w:highlight w:val="none"/>
              </w:rPr>
              <w:t>专家成员确定方式：专家</w:t>
            </w:r>
            <w:r>
              <w:rPr>
                <w:rFonts w:hint="eastAsia"/>
                <w:color w:val="auto"/>
                <w:kern w:val="2"/>
                <w:sz w:val="24"/>
                <w:szCs w:val="24"/>
                <w:highlight w:val="none"/>
                <w:u w:val="single"/>
              </w:rPr>
              <w:t>5</w:t>
            </w:r>
            <w:r>
              <w:rPr>
                <w:rFonts w:hint="eastAsia"/>
                <w:color w:val="auto"/>
                <w:kern w:val="2"/>
                <w:sz w:val="24"/>
                <w:szCs w:val="24"/>
                <w:highlight w:val="none"/>
              </w:rPr>
              <w:t>人从海南省综合评标专家库中随机抽取。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6.3.2</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评标委员会推荐中标候选人的人数</w:t>
            </w:r>
          </w:p>
        </w:tc>
        <w:tc>
          <w:tcPr>
            <w:tcW w:w="6163" w:type="dxa"/>
            <w:gridSpan w:val="2"/>
            <w:vAlign w:val="center"/>
          </w:tcPr>
          <w:p>
            <w:pPr>
              <w:spacing w:line="360" w:lineRule="auto"/>
              <w:ind w:left="110" w:leftChars="50"/>
              <w:jc w:val="both"/>
              <w:rPr>
                <w:color w:val="auto"/>
                <w:sz w:val="24"/>
                <w:szCs w:val="24"/>
                <w:highlight w:val="none"/>
              </w:rPr>
            </w:pPr>
            <w:r>
              <w:rPr>
                <w:rFonts w:hint="eastAsia"/>
                <w:color w:val="auto"/>
                <w:sz w:val="24"/>
                <w:szCs w:val="24"/>
                <w:highlight w:val="none"/>
              </w:rPr>
              <w:sym w:font="Wingdings 2" w:char="0052"/>
            </w:r>
            <w:r>
              <w:rPr>
                <w:rFonts w:hint="eastAsia"/>
                <w:color w:val="auto"/>
                <w:sz w:val="24"/>
                <w:szCs w:val="24"/>
                <w:highlight w:val="none"/>
              </w:rPr>
              <w:t>是，推荐的中标候选人数：推荐前三名作为中标候选人。</w:t>
            </w:r>
          </w:p>
          <w:p>
            <w:pPr>
              <w:pStyle w:val="61"/>
              <w:tabs>
                <w:tab w:val="left" w:pos="2313"/>
                <w:tab w:val="left" w:pos="3830"/>
              </w:tabs>
              <w:spacing w:line="460" w:lineRule="exact"/>
              <w:ind w:left="110" w:leftChars="50"/>
              <w:jc w:val="both"/>
              <w:rPr>
                <w:rFonts w:ascii="Times New Roman"/>
                <w:color w:val="auto"/>
                <w:sz w:val="24"/>
                <w:szCs w:val="24"/>
                <w:highlight w:val="none"/>
              </w:rPr>
            </w:pPr>
            <w:r>
              <w:rPr>
                <w:rFonts w:hint="eastAsia"/>
                <w:color w:val="auto"/>
                <w:sz w:val="24"/>
                <w:szCs w:val="24"/>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7.1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中标候选人公示媒介及期限</w:t>
            </w:r>
          </w:p>
        </w:tc>
        <w:tc>
          <w:tcPr>
            <w:tcW w:w="6163" w:type="dxa"/>
            <w:gridSpan w:val="2"/>
            <w:vAlign w:val="center"/>
          </w:tcPr>
          <w:p>
            <w:pPr>
              <w:pStyle w:val="61"/>
              <w:spacing w:line="460" w:lineRule="exact"/>
              <w:ind w:left="110" w:leftChars="50"/>
              <w:jc w:val="both"/>
              <w:rPr>
                <w:color w:val="auto"/>
                <w:sz w:val="24"/>
                <w:szCs w:val="24"/>
                <w:highlight w:val="none"/>
              </w:rPr>
            </w:pPr>
            <w:r>
              <w:rPr>
                <w:color w:val="auto"/>
                <w:sz w:val="24"/>
                <w:szCs w:val="24"/>
                <w:highlight w:val="none"/>
              </w:rPr>
              <w:t>公示媒介：</w:t>
            </w:r>
            <w:r>
              <w:rPr>
                <w:rFonts w:hint="eastAsia"/>
                <w:color w:val="auto"/>
                <w:sz w:val="24"/>
                <w:szCs w:val="24"/>
                <w:highlight w:val="none"/>
              </w:rPr>
              <w:t>同招标公告发布媒介</w:t>
            </w:r>
          </w:p>
          <w:p>
            <w:pPr>
              <w:pStyle w:val="61"/>
              <w:tabs>
                <w:tab w:val="left" w:pos="2104"/>
              </w:tabs>
              <w:spacing w:line="460" w:lineRule="exact"/>
              <w:ind w:left="110" w:leftChars="50"/>
              <w:jc w:val="both"/>
              <w:rPr>
                <w:color w:val="auto"/>
                <w:sz w:val="24"/>
                <w:szCs w:val="24"/>
                <w:highlight w:val="none"/>
              </w:rPr>
            </w:pPr>
            <w:r>
              <w:rPr>
                <w:color w:val="auto"/>
                <w:sz w:val="24"/>
                <w:szCs w:val="24"/>
                <w:highlight w:val="none"/>
              </w:rPr>
              <w:t>公示期限：</w:t>
            </w:r>
            <w:r>
              <w:rPr>
                <w:rFonts w:hint="eastAsia"/>
                <w:color w:val="auto"/>
                <w:sz w:val="24"/>
                <w:szCs w:val="24"/>
                <w:highlight w:val="none"/>
                <w:u w:val="single"/>
              </w:rPr>
              <w:t>3个自然</w:t>
            </w:r>
            <w:r>
              <w:rPr>
                <w:color w:val="auto"/>
                <w:sz w:val="24"/>
                <w:szCs w:val="24"/>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7.4</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是否授权评标委员会确定中标人</w:t>
            </w:r>
          </w:p>
        </w:tc>
        <w:tc>
          <w:tcPr>
            <w:tcW w:w="6163" w:type="dxa"/>
            <w:gridSpan w:val="2"/>
            <w:vAlign w:val="center"/>
          </w:tcPr>
          <w:p>
            <w:pPr>
              <w:pStyle w:val="61"/>
              <w:spacing w:line="460" w:lineRule="exact"/>
              <w:ind w:left="110" w:leftChars="50"/>
              <w:jc w:val="both"/>
              <w:rPr>
                <w:color w:val="auto"/>
                <w:sz w:val="24"/>
                <w:szCs w:val="24"/>
                <w:highlight w:val="none"/>
              </w:rPr>
            </w:pPr>
            <w:r>
              <w:rPr>
                <w:rFonts w:hint="eastAsia"/>
                <w:color w:val="auto"/>
                <w:sz w:val="24"/>
                <w:szCs w:val="24"/>
                <w:highlight w:val="none"/>
              </w:rPr>
              <w:t>否，招标人按照评标委员会推荐的中标候选人，经中标候选人公示无异议后确定中标人。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7.6.1</w:t>
            </w:r>
          </w:p>
        </w:tc>
        <w:tc>
          <w:tcPr>
            <w:tcW w:w="2174" w:type="dxa"/>
            <w:vAlign w:val="center"/>
          </w:tcPr>
          <w:p>
            <w:pPr>
              <w:pStyle w:val="61"/>
              <w:spacing w:line="460" w:lineRule="exact"/>
              <w:jc w:val="center"/>
              <w:rPr>
                <w:color w:val="auto"/>
                <w:sz w:val="24"/>
                <w:szCs w:val="24"/>
                <w:highlight w:val="none"/>
              </w:rPr>
            </w:pPr>
            <w:r>
              <w:rPr>
                <w:color w:val="auto"/>
                <w:sz w:val="24"/>
                <w:szCs w:val="24"/>
                <w:highlight w:val="none"/>
              </w:rPr>
              <w:t>履约保证金</w:t>
            </w:r>
          </w:p>
        </w:tc>
        <w:tc>
          <w:tcPr>
            <w:tcW w:w="6163" w:type="dxa"/>
            <w:gridSpan w:val="2"/>
            <w:vAlign w:val="center"/>
          </w:tcPr>
          <w:p>
            <w:pPr>
              <w:pStyle w:val="61"/>
              <w:spacing w:line="460" w:lineRule="exact"/>
              <w:ind w:left="110" w:leftChars="50"/>
              <w:jc w:val="both"/>
              <w:rPr>
                <w:color w:val="auto"/>
                <w:sz w:val="24"/>
                <w:szCs w:val="24"/>
                <w:highlight w:val="none"/>
              </w:rPr>
            </w:pPr>
            <w:r>
              <w:rPr>
                <w:color w:val="auto"/>
                <w:sz w:val="24"/>
                <w:szCs w:val="24"/>
                <w:highlight w:val="none"/>
              </w:rPr>
              <w:t>是否要求中标人提交履约保证金：</w:t>
            </w:r>
          </w:p>
          <w:p>
            <w:pPr>
              <w:pStyle w:val="61"/>
              <w:spacing w:line="460" w:lineRule="exact"/>
              <w:ind w:left="110" w:leftChars="50"/>
              <w:jc w:val="both"/>
              <w:rPr>
                <w:color w:val="auto"/>
                <w:sz w:val="24"/>
                <w:szCs w:val="24"/>
                <w:highlight w:val="none"/>
              </w:rPr>
            </w:pPr>
            <w:r>
              <w:rPr>
                <w:rFonts w:hint="eastAsia"/>
                <w:color w:val="auto"/>
                <w:sz w:val="24"/>
                <w:szCs w:val="24"/>
                <w:highlight w:val="none"/>
              </w:rPr>
              <w:t>☑</w:t>
            </w:r>
            <w:r>
              <w:rPr>
                <w:color w:val="auto"/>
                <w:sz w:val="24"/>
                <w:szCs w:val="24"/>
                <w:highlight w:val="none"/>
              </w:rPr>
              <w:t>要求，履约保证金的形式：</w:t>
            </w:r>
            <w:r>
              <w:rPr>
                <w:rFonts w:hint="eastAsia"/>
                <w:color w:val="auto"/>
                <w:sz w:val="24"/>
                <w:szCs w:val="24"/>
                <w:highlight w:val="none"/>
              </w:rPr>
              <w:t>详见第四章合同条款及格式。</w:t>
            </w:r>
          </w:p>
          <w:p>
            <w:pPr>
              <w:pStyle w:val="61"/>
              <w:spacing w:line="460" w:lineRule="exact"/>
              <w:ind w:left="110" w:leftChars="50"/>
              <w:jc w:val="both"/>
              <w:rPr>
                <w:color w:val="auto"/>
                <w:sz w:val="24"/>
                <w:szCs w:val="24"/>
                <w:highlight w:val="none"/>
              </w:rPr>
            </w:pPr>
            <w:r>
              <w:rPr>
                <w:color w:val="auto"/>
                <w:sz w:val="24"/>
                <w:szCs w:val="24"/>
                <w:highlight w:val="none"/>
              </w:rPr>
              <w:t>履约保证金的金额：</w:t>
            </w:r>
            <w:r>
              <w:rPr>
                <w:rFonts w:hint="eastAsia"/>
                <w:color w:val="auto"/>
                <w:sz w:val="24"/>
                <w:szCs w:val="24"/>
                <w:highlight w:val="none"/>
              </w:rPr>
              <w:t>详见第四章合同条款及格式。</w:t>
            </w:r>
          </w:p>
          <w:p>
            <w:pPr>
              <w:pStyle w:val="61"/>
              <w:spacing w:line="460" w:lineRule="exact"/>
              <w:ind w:left="110" w:leftChars="50"/>
              <w:jc w:val="both"/>
              <w:rPr>
                <w:color w:val="auto"/>
                <w:sz w:val="24"/>
                <w:szCs w:val="24"/>
                <w:highlight w:val="none"/>
              </w:rPr>
            </w:pPr>
            <w:r>
              <w:rPr>
                <w:rFonts w:hint="eastAsia"/>
                <w:color w:val="auto"/>
                <w:sz w:val="24"/>
                <w:szCs w:val="24"/>
                <w:highlight w:val="none"/>
              </w:rPr>
              <w:t>履约保证金的提交时间：详见第四章合同条款及格式。</w:t>
            </w:r>
          </w:p>
          <w:p>
            <w:pPr>
              <w:pStyle w:val="61"/>
              <w:spacing w:line="460" w:lineRule="exact"/>
              <w:ind w:left="110" w:leftChars="50"/>
              <w:jc w:val="both"/>
              <w:rPr>
                <w:color w:val="auto"/>
                <w:sz w:val="24"/>
                <w:szCs w:val="24"/>
                <w:highlight w:val="none"/>
              </w:rPr>
            </w:pPr>
            <w:r>
              <w:rPr>
                <w:rFonts w:ascii="Times New Roman" w:hAnsi="Times New Roman" w:eastAsia="Times New Roman"/>
                <w:iCs/>
                <w:color w:val="auto"/>
                <w:sz w:val="24"/>
                <w:szCs w:val="24"/>
                <w:highlight w:val="none"/>
              </w:rPr>
              <w:sym w:font="Wingdings 2" w:char="00A3"/>
            </w:r>
            <w:r>
              <w:rPr>
                <w:color w:val="auto"/>
                <w:sz w:val="24"/>
                <w:szCs w:val="24"/>
                <w:highlight w:val="none"/>
              </w:rPr>
              <w:t>不要求</w:t>
            </w:r>
          </w:p>
          <w:p>
            <w:pPr>
              <w:pStyle w:val="61"/>
              <w:spacing w:line="460" w:lineRule="exact"/>
              <w:ind w:left="110" w:leftChars="50"/>
              <w:jc w:val="both"/>
              <w:rPr>
                <w:b/>
                <w:color w:val="auto"/>
                <w:sz w:val="24"/>
                <w:szCs w:val="24"/>
                <w:highlight w:val="none"/>
              </w:rPr>
            </w:pPr>
            <w:r>
              <w:rPr>
                <w:rFonts w:hint="eastAsia"/>
                <w:b/>
                <w:color w:val="auto"/>
                <w:sz w:val="24"/>
                <w:szCs w:val="24"/>
                <w:highlight w:val="none"/>
              </w:rPr>
              <w:t>备注：招标人其他要求详见“第四章合同条款及格式”。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ascii="Times New Roman"/>
                <w:color w:val="auto"/>
                <w:sz w:val="24"/>
                <w:szCs w:val="24"/>
                <w:highlight w:val="none"/>
              </w:rPr>
              <w:t>9</w:t>
            </w:r>
          </w:p>
        </w:tc>
        <w:tc>
          <w:tcPr>
            <w:tcW w:w="2174" w:type="dxa"/>
            <w:vAlign w:val="center"/>
          </w:tcPr>
          <w:p>
            <w:pPr>
              <w:pStyle w:val="61"/>
              <w:spacing w:line="460" w:lineRule="exact"/>
              <w:ind w:left="147" w:right="139"/>
              <w:jc w:val="center"/>
              <w:rPr>
                <w:color w:val="auto"/>
                <w:sz w:val="24"/>
                <w:szCs w:val="24"/>
                <w:highlight w:val="none"/>
              </w:rPr>
            </w:pPr>
            <w:r>
              <w:rPr>
                <w:color w:val="auto"/>
                <w:sz w:val="24"/>
                <w:szCs w:val="24"/>
                <w:highlight w:val="none"/>
              </w:rPr>
              <w:t>是否采用电子招标投标</w:t>
            </w:r>
          </w:p>
        </w:tc>
        <w:tc>
          <w:tcPr>
            <w:tcW w:w="6163" w:type="dxa"/>
            <w:gridSpan w:val="2"/>
            <w:vAlign w:val="center"/>
          </w:tcPr>
          <w:p>
            <w:pPr>
              <w:pStyle w:val="61"/>
              <w:spacing w:line="460" w:lineRule="exact"/>
              <w:ind w:left="110" w:leftChars="50"/>
              <w:jc w:val="both"/>
              <w:rPr>
                <w:color w:val="auto"/>
                <w:sz w:val="24"/>
                <w:szCs w:val="24"/>
                <w:highlight w:val="none"/>
              </w:rPr>
            </w:pPr>
            <w:r>
              <w:rPr>
                <w:color w:val="auto"/>
                <w:sz w:val="24"/>
                <w:szCs w:val="24"/>
                <w:highlight w:val="none"/>
              </w:rPr>
              <w:t>否</w:t>
            </w:r>
            <w:r>
              <w:rPr>
                <w:rFonts w:hint="eastAsia"/>
                <w:color w:val="auto"/>
                <w:sz w:val="24"/>
                <w:szCs w:val="24"/>
                <w:highlight w:val="none"/>
              </w:rPr>
              <w:t>，具体要求：各潜在投标人从全国公共资源交易信息平台（海南省）（http://zw.hainan.gov.cn/ggzy/）下载电子招标文件，在投标截止时间前递交纸质及电子投标文件。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2" w:type="dxa"/>
          <w:trHeight w:val="567" w:hRule="atLeast"/>
          <w:jc w:val="center"/>
        </w:trPr>
        <w:tc>
          <w:tcPr>
            <w:tcW w:w="1134" w:type="dxa"/>
            <w:vAlign w:val="center"/>
          </w:tcPr>
          <w:p>
            <w:pPr>
              <w:pStyle w:val="61"/>
              <w:spacing w:line="460" w:lineRule="exact"/>
              <w:ind w:left="245" w:right="238"/>
              <w:jc w:val="center"/>
              <w:rPr>
                <w:rFonts w:ascii="Times New Roman"/>
                <w:color w:val="auto"/>
                <w:sz w:val="24"/>
                <w:szCs w:val="24"/>
                <w:highlight w:val="none"/>
              </w:rPr>
            </w:pPr>
            <w:r>
              <w:rPr>
                <w:rFonts w:ascii="Times New Roman"/>
                <w:color w:val="auto"/>
                <w:sz w:val="24"/>
                <w:szCs w:val="24"/>
                <w:highlight w:val="none"/>
              </w:rPr>
              <w:t>10</w:t>
            </w:r>
          </w:p>
        </w:tc>
        <w:tc>
          <w:tcPr>
            <w:tcW w:w="8145" w:type="dxa"/>
            <w:gridSpan w:val="2"/>
            <w:vAlign w:val="center"/>
          </w:tcPr>
          <w:p>
            <w:pPr>
              <w:pStyle w:val="61"/>
              <w:spacing w:line="460" w:lineRule="exact"/>
              <w:ind w:left="110" w:leftChars="50"/>
              <w:jc w:val="center"/>
              <w:rPr>
                <w:color w:val="auto"/>
                <w:sz w:val="24"/>
                <w:szCs w:val="24"/>
                <w:highlight w:val="none"/>
              </w:rPr>
            </w:pPr>
            <w:r>
              <w:rPr>
                <w:color w:val="auto"/>
                <w:sz w:val="24"/>
                <w:szCs w:val="24"/>
                <w:highlight w:val="none"/>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2" w:type="dxa"/>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hint="eastAsia" w:ascii="Times New Roman"/>
                <w:color w:val="auto"/>
                <w:sz w:val="24"/>
                <w:szCs w:val="24"/>
                <w:highlight w:val="none"/>
              </w:rPr>
              <w:t>10.1</w:t>
            </w:r>
          </w:p>
        </w:tc>
        <w:tc>
          <w:tcPr>
            <w:tcW w:w="8145" w:type="dxa"/>
            <w:gridSpan w:val="2"/>
            <w:vAlign w:val="center"/>
          </w:tcPr>
          <w:p>
            <w:pPr>
              <w:pStyle w:val="61"/>
              <w:spacing w:line="460" w:lineRule="exact"/>
              <w:ind w:left="110" w:leftChars="50"/>
              <w:rPr>
                <w:rFonts w:ascii="Times New Roman" w:hAnsi="Times New Roman"/>
                <w:i/>
                <w:color w:val="auto"/>
                <w:sz w:val="24"/>
                <w:szCs w:val="24"/>
                <w:highlight w:val="none"/>
              </w:rPr>
            </w:pPr>
            <w:r>
              <w:rPr>
                <w:rFonts w:hint="eastAsia"/>
                <w:color w:val="auto"/>
                <w:sz w:val="24"/>
                <w:szCs w:val="24"/>
                <w:highlight w:val="none"/>
              </w:rPr>
              <w:t>按照本须知第</w:t>
            </w:r>
            <w:r>
              <w:rPr>
                <w:color w:val="auto"/>
                <w:sz w:val="24"/>
                <w:szCs w:val="24"/>
                <w:highlight w:val="none"/>
              </w:rPr>
              <w:t>5.1款的规定，招标人邀请所有投标人的法定代表人或其委托代理人参加开标会。投标人的法定代表人或其委托代理人应当按时参加开标会，并在招标人按开标程序进行点名时，向招标人提交法定代表人身份证明文件或法定代表人授权委托书，出</w:t>
            </w:r>
            <w:r>
              <w:rPr>
                <w:rFonts w:hint="eastAsia"/>
                <w:color w:val="auto"/>
                <w:sz w:val="24"/>
                <w:szCs w:val="24"/>
                <w:highlight w:val="none"/>
              </w:rPr>
              <w:t>示本人身份证，以证明其出席，否则，按未到场投标处理。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2" w:type="dxa"/>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hint="eastAsia" w:ascii="Times New Roman"/>
                <w:color w:val="auto"/>
                <w:sz w:val="24"/>
                <w:szCs w:val="24"/>
                <w:highlight w:val="none"/>
              </w:rPr>
              <w:t>10.2</w:t>
            </w:r>
          </w:p>
        </w:tc>
        <w:tc>
          <w:tcPr>
            <w:tcW w:w="8145" w:type="dxa"/>
            <w:gridSpan w:val="2"/>
            <w:vAlign w:val="center"/>
          </w:tcPr>
          <w:p>
            <w:pPr>
              <w:pStyle w:val="61"/>
              <w:spacing w:line="460" w:lineRule="exact"/>
              <w:ind w:left="110" w:leftChars="50"/>
              <w:rPr>
                <w:color w:val="auto"/>
                <w:sz w:val="24"/>
                <w:szCs w:val="24"/>
                <w:highlight w:val="none"/>
              </w:rPr>
            </w:pPr>
            <w:r>
              <w:rPr>
                <w:rFonts w:hint="eastAsia"/>
                <w:color w:val="auto"/>
                <w:sz w:val="24"/>
                <w:szCs w:val="24"/>
                <w:highlight w:val="none"/>
              </w:rPr>
              <w:t>重新招标：</w:t>
            </w:r>
          </w:p>
          <w:p>
            <w:pPr>
              <w:pStyle w:val="61"/>
              <w:spacing w:line="460" w:lineRule="exact"/>
              <w:ind w:left="110" w:leftChars="50"/>
              <w:rPr>
                <w:color w:val="auto"/>
                <w:sz w:val="24"/>
                <w:szCs w:val="24"/>
                <w:highlight w:val="none"/>
              </w:rPr>
            </w:pPr>
            <w:r>
              <w:rPr>
                <w:rFonts w:hint="eastAsia"/>
                <w:color w:val="auto"/>
                <w:sz w:val="24"/>
                <w:szCs w:val="24"/>
                <w:highlight w:val="none"/>
              </w:rPr>
              <w:t>有下列情形之一的，招标人将重新招标：</w:t>
            </w:r>
          </w:p>
          <w:p>
            <w:pPr>
              <w:pStyle w:val="61"/>
              <w:spacing w:line="460" w:lineRule="exact"/>
              <w:ind w:left="110" w:leftChars="50"/>
              <w:rPr>
                <w:color w:val="auto"/>
                <w:sz w:val="24"/>
                <w:szCs w:val="24"/>
                <w:highlight w:val="none"/>
              </w:rPr>
            </w:pPr>
            <w:r>
              <w:rPr>
                <w:rFonts w:hint="eastAsia"/>
                <w:color w:val="auto"/>
                <w:sz w:val="24"/>
                <w:szCs w:val="24"/>
                <w:highlight w:val="none"/>
              </w:rPr>
              <w:t>（</w:t>
            </w:r>
            <w:r>
              <w:rPr>
                <w:color w:val="auto"/>
                <w:sz w:val="24"/>
                <w:szCs w:val="24"/>
                <w:highlight w:val="none"/>
              </w:rPr>
              <w:t>1）</w:t>
            </w:r>
            <w:r>
              <w:rPr>
                <w:color w:val="auto"/>
                <w:sz w:val="24"/>
                <w:szCs w:val="24"/>
                <w:highlight w:val="none"/>
              </w:rPr>
              <w:tab/>
            </w:r>
            <w:r>
              <w:rPr>
                <w:color w:val="auto"/>
                <w:sz w:val="24"/>
                <w:szCs w:val="24"/>
                <w:highlight w:val="none"/>
              </w:rPr>
              <w:t>投标截止时间止，投标人少于3个的；</w:t>
            </w:r>
          </w:p>
          <w:p>
            <w:pPr>
              <w:pStyle w:val="61"/>
              <w:spacing w:line="460" w:lineRule="exact"/>
              <w:ind w:left="110" w:leftChars="50"/>
              <w:rPr>
                <w:color w:val="auto"/>
                <w:sz w:val="24"/>
                <w:szCs w:val="24"/>
                <w:highlight w:val="none"/>
              </w:rPr>
            </w:pPr>
            <w:r>
              <w:rPr>
                <w:rFonts w:hint="eastAsia"/>
                <w:color w:val="auto"/>
                <w:sz w:val="24"/>
                <w:szCs w:val="24"/>
                <w:highlight w:val="none"/>
              </w:rPr>
              <w:t>（</w:t>
            </w:r>
            <w:r>
              <w:rPr>
                <w:color w:val="auto"/>
                <w:sz w:val="24"/>
                <w:szCs w:val="24"/>
                <w:highlight w:val="none"/>
              </w:rPr>
              <w:t>2）</w:t>
            </w:r>
            <w:r>
              <w:rPr>
                <w:color w:val="auto"/>
                <w:sz w:val="24"/>
                <w:szCs w:val="24"/>
                <w:highlight w:val="none"/>
              </w:rPr>
              <w:tab/>
            </w:r>
            <w:r>
              <w:rPr>
                <w:color w:val="auto"/>
                <w:sz w:val="24"/>
                <w:szCs w:val="24"/>
                <w:highlight w:val="none"/>
              </w:rPr>
              <w:t>经评标委员会评审后否决所有投标的。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2" w:type="dxa"/>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hint="eastAsia" w:ascii="Times New Roman"/>
                <w:color w:val="auto"/>
                <w:sz w:val="24"/>
                <w:szCs w:val="24"/>
                <w:highlight w:val="none"/>
              </w:rPr>
              <w:t>10.3</w:t>
            </w:r>
          </w:p>
        </w:tc>
        <w:tc>
          <w:tcPr>
            <w:tcW w:w="8145" w:type="dxa"/>
            <w:gridSpan w:val="2"/>
            <w:vAlign w:val="center"/>
          </w:tcPr>
          <w:p>
            <w:pPr>
              <w:pStyle w:val="61"/>
              <w:spacing w:line="460" w:lineRule="exact"/>
              <w:ind w:left="110" w:leftChars="50"/>
              <w:rPr>
                <w:color w:val="auto"/>
                <w:sz w:val="24"/>
                <w:szCs w:val="24"/>
                <w:highlight w:val="none"/>
              </w:rPr>
            </w:pPr>
            <w:r>
              <w:rPr>
                <w:rFonts w:hint="eastAsia"/>
                <w:color w:val="auto"/>
                <w:sz w:val="24"/>
                <w:szCs w:val="24"/>
                <w:highlight w:val="none"/>
              </w:rPr>
              <w:t>本项目要求投标文件份数：正本</w:t>
            </w:r>
            <w:r>
              <w:rPr>
                <w:rFonts w:hint="eastAsia"/>
                <w:color w:val="auto"/>
                <w:sz w:val="24"/>
                <w:szCs w:val="24"/>
                <w:highlight w:val="none"/>
                <w:lang w:val="en-US"/>
              </w:rPr>
              <w:t>1</w:t>
            </w:r>
            <w:r>
              <w:rPr>
                <w:color w:val="auto"/>
                <w:sz w:val="24"/>
                <w:szCs w:val="24"/>
                <w:highlight w:val="none"/>
              </w:rPr>
              <w:t>份，副本4份，电子文件2</w:t>
            </w:r>
            <w:r>
              <w:rPr>
                <w:rFonts w:hint="eastAsia"/>
                <w:color w:val="auto"/>
                <w:sz w:val="24"/>
                <w:szCs w:val="24"/>
                <w:highlight w:val="none"/>
              </w:rPr>
              <w:t>份</w:t>
            </w:r>
            <w:r>
              <w:rPr>
                <w:color w:val="auto"/>
                <w:sz w:val="24"/>
                <w:szCs w:val="24"/>
                <w:highlight w:val="none"/>
              </w:rPr>
              <w:t>（U盘、光盘各一份）；</w:t>
            </w:r>
            <w:r>
              <w:rPr>
                <w:rFonts w:hint="eastAsia"/>
                <w:color w:val="auto"/>
                <w:sz w:val="24"/>
                <w:szCs w:val="24"/>
                <w:highlight w:val="none"/>
              </w:rPr>
              <w:t>按</w:t>
            </w:r>
            <w:r>
              <w:rPr>
                <w:color w:val="auto"/>
                <w:sz w:val="24"/>
                <w:szCs w:val="24"/>
                <w:highlight w:val="none"/>
              </w:rPr>
              <w:t>A4规格竖装，正本与副本应分别装订成册，并编制目录，装订应采用胶装，不得采用活页夹。</w:t>
            </w:r>
          </w:p>
          <w:p>
            <w:pPr>
              <w:pStyle w:val="61"/>
              <w:spacing w:line="460" w:lineRule="exact"/>
              <w:ind w:left="110" w:leftChars="50"/>
              <w:rPr>
                <w:color w:val="auto"/>
                <w:sz w:val="24"/>
                <w:szCs w:val="24"/>
                <w:highlight w:val="none"/>
              </w:rPr>
            </w:pPr>
            <w:r>
              <w:rPr>
                <w:color w:val="auto"/>
                <w:sz w:val="24"/>
                <w:szCs w:val="24"/>
                <w:highlight w:val="none"/>
              </w:rPr>
              <w:t>投标文件电子版内容：与递交的投标文件一致，包含投标文件的所有内容</w:t>
            </w:r>
            <w:r>
              <w:rPr>
                <w:rFonts w:hint="eastAsia"/>
                <w:color w:val="auto"/>
                <w:sz w:val="24"/>
                <w:szCs w:val="24"/>
                <w:highlight w:val="none"/>
              </w:rPr>
              <w:t>（电子文件形式为已签章的</w:t>
            </w:r>
            <w:r>
              <w:rPr>
                <w:color w:val="auto"/>
                <w:sz w:val="24"/>
                <w:szCs w:val="24"/>
                <w:highlight w:val="none"/>
              </w:rPr>
              <w:t>PDF格式，可以是正本的扫描件）。</w:t>
            </w:r>
          </w:p>
          <w:p>
            <w:pPr>
              <w:pStyle w:val="61"/>
              <w:spacing w:line="460" w:lineRule="exact"/>
              <w:ind w:left="110" w:leftChars="50"/>
              <w:rPr>
                <w:color w:val="auto"/>
                <w:sz w:val="24"/>
                <w:szCs w:val="24"/>
                <w:highlight w:val="none"/>
              </w:rPr>
            </w:pPr>
            <w:r>
              <w:rPr>
                <w:color w:val="auto"/>
                <w:sz w:val="24"/>
                <w:szCs w:val="24"/>
                <w:highlight w:val="none"/>
              </w:rPr>
              <w:t>投标文件电子版密封方式：单独放入一个密封袋中，加封封条，并在封套封口处加盖投标人单位章，在封套上标记“电子投标文件”。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2" w:type="dxa"/>
          <w:trHeight w:val="567" w:hRule="atLeast"/>
          <w:jc w:val="center"/>
        </w:trPr>
        <w:tc>
          <w:tcPr>
            <w:tcW w:w="1134" w:type="dxa"/>
            <w:vAlign w:val="center"/>
          </w:tcPr>
          <w:p>
            <w:pPr>
              <w:pStyle w:val="61"/>
              <w:spacing w:line="460" w:lineRule="exact"/>
              <w:jc w:val="center"/>
              <w:rPr>
                <w:rFonts w:ascii="Times New Roman"/>
                <w:color w:val="auto"/>
                <w:sz w:val="24"/>
                <w:szCs w:val="24"/>
                <w:highlight w:val="none"/>
              </w:rPr>
            </w:pPr>
            <w:r>
              <w:rPr>
                <w:rFonts w:hint="eastAsia" w:ascii="Times New Roman"/>
                <w:color w:val="auto"/>
                <w:sz w:val="24"/>
                <w:szCs w:val="24"/>
                <w:highlight w:val="none"/>
              </w:rPr>
              <w:t>10.4</w:t>
            </w:r>
          </w:p>
        </w:tc>
        <w:tc>
          <w:tcPr>
            <w:tcW w:w="8145" w:type="dxa"/>
            <w:gridSpan w:val="2"/>
            <w:vAlign w:val="center"/>
          </w:tcPr>
          <w:p>
            <w:pPr>
              <w:adjustRightInd w:val="0"/>
              <w:spacing w:line="460" w:lineRule="exact"/>
              <w:ind w:left="110" w:leftChars="50"/>
              <w:rPr>
                <w:color w:val="auto"/>
                <w:sz w:val="24"/>
                <w:szCs w:val="24"/>
                <w:highlight w:val="none"/>
              </w:rPr>
            </w:pPr>
            <w:r>
              <w:rPr>
                <w:color w:val="auto"/>
                <w:sz w:val="24"/>
                <w:szCs w:val="24"/>
                <w:highlight w:val="none"/>
              </w:rPr>
              <w:t>1</w:t>
            </w:r>
            <w:r>
              <w:rPr>
                <w:rFonts w:hint="eastAsia"/>
                <w:color w:val="auto"/>
                <w:sz w:val="24"/>
                <w:szCs w:val="24"/>
                <w:highlight w:val="none"/>
              </w:rPr>
              <w:t>、参加开标会人员及身份证明材料：</w:t>
            </w:r>
          </w:p>
          <w:p>
            <w:pPr>
              <w:adjustRightInd w:val="0"/>
              <w:spacing w:line="460" w:lineRule="exact"/>
              <w:ind w:left="110" w:leftChars="50"/>
              <w:rPr>
                <w:color w:val="auto"/>
                <w:sz w:val="24"/>
                <w:szCs w:val="24"/>
                <w:highlight w:val="none"/>
              </w:rPr>
            </w:pPr>
            <w:r>
              <w:rPr>
                <w:rFonts w:hint="eastAsia"/>
                <w:color w:val="auto"/>
                <w:sz w:val="24"/>
                <w:szCs w:val="24"/>
                <w:highlight w:val="none"/>
              </w:rPr>
              <w:t>（</w:t>
            </w:r>
            <w:r>
              <w:rPr>
                <w:color w:val="auto"/>
                <w:sz w:val="24"/>
                <w:szCs w:val="24"/>
                <w:highlight w:val="none"/>
              </w:rPr>
              <w:t>1</w:t>
            </w:r>
            <w:r>
              <w:rPr>
                <w:rFonts w:hint="eastAsia"/>
                <w:color w:val="auto"/>
                <w:sz w:val="24"/>
                <w:szCs w:val="24"/>
                <w:highlight w:val="none"/>
              </w:rPr>
              <w:t>）投标人：投标人的法定代表人或其委托代理人应当按时参加开标会，并在招标人按开标程序进行点名时，向招标人提交法定代表人身份证明文件或法定代表人授权委托书，出示本人身份证，以证明其出席，否则，其投标文件按废标处理。</w:t>
            </w:r>
          </w:p>
          <w:p>
            <w:pPr>
              <w:adjustRightInd w:val="0"/>
              <w:spacing w:line="460" w:lineRule="exact"/>
              <w:ind w:left="110" w:leftChars="50"/>
              <w:rPr>
                <w:color w:val="auto"/>
                <w:sz w:val="24"/>
                <w:szCs w:val="24"/>
                <w:highlight w:val="none"/>
              </w:rPr>
            </w:pPr>
            <w:r>
              <w:rPr>
                <w:rFonts w:hint="eastAsia"/>
                <w:color w:val="auto"/>
                <w:sz w:val="24"/>
                <w:szCs w:val="24"/>
                <w:highlight w:val="none"/>
              </w:rPr>
              <w:t>（</w:t>
            </w:r>
            <w:r>
              <w:rPr>
                <w:color w:val="auto"/>
                <w:sz w:val="24"/>
                <w:szCs w:val="24"/>
                <w:highlight w:val="none"/>
              </w:rPr>
              <w:t>2</w:t>
            </w:r>
            <w:r>
              <w:rPr>
                <w:rFonts w:hint="eastAsia"/>
                <w:color w:val="auto"/>
                <w:sz w:val="24"/>
                <w:szCs w:val="24"/>
                <w:highlight w:val="none"/>
              </w:rPr>
              <w:t>）招标人：携带法人授权委托书及其身份证原件，如法定代表人参加开标会须携带法定代表人证明书及其身份证原件。</w:t>
            </w:r>
          </w:p>
          <w:p>
            <w:pPr>
              <w:adjustRightInd w:val="0"/>
              <w:spacing w:line="460" w:lineRule="exact"/>
              <w:ind w:left="110" w:leftChars="50"/>
              <w:rPr>
                <w:color w:val="auto"/>
                <w:sz w:val="24"/>
                <w:szCs w:val="24"/>
                <w:highlight w:val="none"/>
              </w:rPr>
            </w:pPr>
            <w:r>
              <w:rPr>
                <w:color w:val="auto"/>
                <w:sz w:val="24"/>
                <w:szCs w:val="24"/>
                <w:highlight w:val="none"/>
              </w:rPr>
              <w:t>2</w:t>
            </w:r>
            <w:r>
              <w:rPr>
                <w:rFonts w:hint="eastAsia"/>
                <w:color w:val="auto"/>
                <w:sz w:val="24"/>
                <w:szCs w:val="24"/>
                <w:highlight w:val="none"/>
              </w:rPr>
              <w:t>、虚假资料：本项目严禁投标人提供虚假信息，招标人有权核查投标人为本项目投标提供的证件、业绩情况进行核实，如在评标期间发现投标人提供了虚假资料，招标人有权对投标人的投标文件作废标处理，并没收其投标保证金；如在评标结果公示期间发现作为中标候选人的投标人提供了虚假资料，招标人有权取消其中标资格并没收其投标保证金；如在合同实施期间发现投标人提供了虚假资料，招标人有权终止合同，没收全额履约保证金，同时招标人将投标人上述弄虚作假行为报行业主管部门，作为不良记录纳入相关信用信息管理系统。</w:t>
            </w:r>
          </w:p>
          <w:p>
            <w:pPr>
              <w:pStyle w:val="2"/>
              <w:spacing w:line="460" w:lineRule="exact"/>
              <w:ind w:left="110" w:leftChars="50" w:firstLine="0" w:firstLineChars="0"/>
              <w:jc w:val="left"/>
              <w:rPr>
                <w:rFonts w:ascii="宋体" w:hAnsi="宋体" w:cs="宋体"/>
                <w:color w:val="auto"/>
                <w:kern w:val="0"/>
                <w:sz w:val="24"/>
                <w:highlight w:val="none"/>
                <w:lang w:val="zh-CN" w:bidi="zh-CN"/>
              </w:rPr>
            </w:pPr>
            <w:r>
              <w:rPr>
                <w:rFonts w:hint="eastAsia" w:ascii="宋体" w:hAnsi="宋体" w:cs="宋体"/>
                <w:color w:val="auto"/>
                <w:kern w:val="0"/>
                <w:sz w:val="24"/>
                <w:highlight w:val="none"/>
                <w:lang w:val="zh-CN" w:bidi="zh-CN"/>
              </w:rPr>
              <w:t>3、需携带的原件：(1)法定代表人身份证明及法定代表人本人身份证或法定代表人身份证明及授权委托书及委托代理人本人身份证；(2)</w:t>
            </w:r>
            <w:r>
              <w:rPr>
                <w:rFonts w:hint="eastAsia" w:ascii="宋体" w:hAnsi="宋体" w:cs="宋体"/>
                <w:color w:val="auto"/>
                <w:sz w:val="24"/>
                <w:highlight w:val="none"/>
              </w:rPr>
              <w:t>银行保函或电子保函或建设工程保证保险原件（如有，电子保单彩打件等同于原件）</w:t>
            </w:r>
            <w:r>
              <w:rPr>
                <w:rFonts w:hint="eastAsia" w:ascii="宋体" w:hAnsi="宋体" w:cs="宋体"/>
                <w:color w:val="auto"/>
                <w:kern w:val="0"/>
                <w:sz w:val="24"/>
                <w:highlight w:val="none"/>
                <w:lang w:val="zh-CN" w:bidi="zh-CN"/>
              </w:rPr>
              <w:t>。</w:t>
            </w:r>
          </w:p>
          <w:p>
            <w:pPr>
              <w:spacing w:line="460" w:lineRule="exact"/>
              <w:ind w:left="110" w:leftChars="50"/>
              <w:rPr>
                <w:color w:val="auto"/>
                <w:sz w:val="24"/>
                <w:szCs w:val="24"/>
                <w:highlight w:val="none"/>
              </w:rPr>
            </w:pPr>
            <w:r>
              <w:rPr>
                <w:rFonts w:hint="eastAsia"/>
                <w:color w:val="auto"/>
                <w:sz w:val="24"/>
                <w:szCs w:val="24"/>
                <w:highlight w:val="none"/>
              </w:rPr>
              <w:t>4、投标人须充分考虑招投标过程产生的相关费用，无论中标与否，招标人均不予补偿。</w:t>
            </w:r>
          </w:p>
          <w:p>
            <w:pPr>
              <w:widowControl/>
              <w:spacing w:line="460" w:lineRule="exact"/>
              <w:ind w:left="110" w:leftChars="50"/>
              <w:rPr>
                <w:color w:val="auto"/>
                <w:sz w:val="24"/>
                <w:szCs w:val="24"/>
                <w:highlight w:val="none"/>
              </w:rPr>
            </w:pPr>
            <w:r>
              <w:rPr>
                <w:rFonts w:hint="eastAsia"/>
                <w:color w:val="auto"/>
                <w:sz w:val="24"/>
                <w:szCs w:val="24"/>
                <w:highlight w:val="none"/>
              </w:rPr>
              <w:t>5、投标人须保证在本项目投标过程中所提供资料真实有效，若发现有弄虚作假，招标人将取消投标人投标或中标资格，没收其投标保证金，并将其不良行为上报有关行政主管部门。</w:t>
            </w:r>
          </w:p>
        </w:tc>
      </w:tr>
    </w:tbl>
    <w:p>
      <w:pPr>
        <w:jc w:val="center"/>
        <w:rPr>
          <w:rFonts w:ascii="Times New Roman" w:hAnsi="Times New Roman"/>
          <w:color w:val="auto"/>
          <w:sz w:val="21"/>
          <w:highlight w:val="none"/>
        </w:rPr>
        <w:sectPr>
          <w:pgSz w:w="11907" w:h="16839"/>
          <w:pgMar w:top="1134" w:right="1134" w:bottom="1134" w:left="1134" w:header="0" w:footer="841" w:gutter="0"/>
          <w:pgNumType w:fmt="decimal"/>
          <w:cols w:space="720" w:num="1"/>
        </w:sectPr>
      </w:pPr>
    </w:p>
    <w:p>
      <w:pPr>
        <w:widowControl/>
        <w:autoSpaceDE/>
        <w:autoSpaceDN/>
        <w:rPr>
          <w:rFonts w:cs="Microsoft JhengHei"/>
          <w:b/>
          <w:bCs/>
          <w:color w:val="auto"/>
          <w:sz w:val="40"/>
          <w:szCs w:val="40"/>
          <w:highlight w:val="none"/>
        </w:rPr>
      </w:pPr>
      <w:bookmarkStart w:id="69" w:name="_bookmark20"/>
      <w:bookmarkEnd w:id="69"/>
      <w:r>
        <w:rPr>
          <w:color w:val="auto"/>
          <w:sz w:val="40"/>
          <w:szCs w:val="40"/>
          <w:highlight w:val="none"/>
        </w:rPr>
        <w:br w:type="page"/>
      </w:r>
    </w:p>
    <w:p>
      <w:pPr>
        <w:pStyle w:val="56"/>
        <w:tabs>
          <w:tab w:val="left" w:pos="802"/>
        </w:tabs>
        <w:spacing w:beforeLines="50" w:afterLines="50" w:line="560" w:lineRule="exact"/>
        <w:ind w:left="0" w:firstLine="0"/>
        <w:rPr>
          <w:rFonts w:ascii="宋体" w:hAnsi="宋体" w:eastAsia="宋体"/>
          <w:color w:val="auto"/>
          <w:sz w:val="40"/>
          <w:szCs w:val="40"/>
          <w:highlight w:val="none"/>
        </w:rPr>
      </w:pPr>
      <w:r>
        <w:rPr>
          <w:rFonts w:hint="eastAsia" w:ascii="宋体" w:hAnsi="宋体" w:eastAsia="宋体"/>
          <w:color w:val="auto"/>
          <w:sz w:val="40"/>
          <w:szCs w:val="40"/>
          <w:highlight w:val="none"/>
        </w:rPr>
        <w:t>1.</w:t>
      </w:r>
      <w:r>
        <w:rPr>
          <w:rFonts w:ascii="宋体" w:hAnsi="宋体" w:eastAsia="宋体"/>
          <w:color w:val="auto"/>
          <w:sz w:val="40"/>
          <w:szCs w:val="40"/>
          <w:highlight w:val="none"/>
        </w:rPr>
        <w:t>总则</w:t>
      </w:r>
    </w:p>
    <w:p>
      <w:pPr>
        <w:pStyle w:val="57"/>
        <w:numPr>
          <w:ilvl w:val="1"/>
          <w:numId w:val="2"/>
        </w:numPr>
        <w:tabs>
          <w:tab w:val="left" w:pos="1027"/>
        </w:tabs>
        <w:spacing w:beforeLines="50" w:afterLines="50" w:line="600" w:lineRule="exact"/>
        <w:ind w:left="284" w:firstLine="0"/>
        <w:rPr>
          <w:b/>
          <w:color w:val="auto"/>
          <w:highlight w:val="none"/>
        </w:rPr>
      </w:pPr>
      <w:bookmarkStart w:id="70" w:name="_bookmark21"/>
      <w:bookmarkEnd w:id="70"/>
      <w:r>
        <w:rPr>
          <w:rFonts w:hint="eastAsia"/>
          <w:b/>
          <w:color w:val="auto"/>
          <w:highlight w:val="none"/>
        </w:rPr>
        <w:t xml:space="preserve">1.1 </w:t>
      </w:r>
      <w:r>
        <w:rPr>
          <w:b/>
          <w:color w:val="auto"/>
          <w:highlight w:val="none"/>
        </w:rPr>
        <w:t>招标项目概况</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1.1.1 </w:t>
      </w:r>
      <w:r>
        <w:rPr>
          <w:color w:val="auto"/>
          <w:sz w:val="24"/>
          <w:szCs w:val="24"/>
          <w:highlight w:val="none"/>
        </w:rPr>
        <w:t>根据《中华人民共和国招标投标法》、《中华人民共和国招标投标法实施条例》等有关法律、法规和规章的规定，本招标项目已具备招标条件，现对设备采购进行招标。</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1.1.2 </w:t>
      </w:r>
      <w:r>
        <w:rPr>
          <w:color w:val="auto"/>
          <w:sz w:val="24"/>
          <w:szCs w:val="24"/>
          <w:highlight w:val="none"/>
        </w:rPr>
        <w:t>招标人：见投标人须知前附表。</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1.1.3 </w:t>
      </w:r>
      <w:r>
        <w:rPr>
          <w:color w:val="auto"/>
          <w:sz w:val="24"/>
          <w:szCs w:val="24"/>
          <w:highlight w:val="none"/>
        </w:rPr>
        <w:t>招标代理机构：见投标人须知前附表。</w:t>
      </w:r>
    </w:p>
    <w:p>
      <w:pPr>
        <w:pStyle w:val="60"/>
        <w:tabs>
          <w:tab w:val="left" w:pos="1294"/>
        </w:tabs>
        <w:spacing w:line="460" w:lineRule="exact"/>
        <w:ind w:left="0" w:firstLine="480" w:firstLineChars="200"/>
        <w:jc w:val="both"/>
        <w:rPr>
          <w:color w:val="auto"/>
          <w:sz w:val="21"/>
          <w:highlight w:val="none"/>
        </w:rPr>
      </w:pPr>
      <w:r>
        <w:rPr>
          <w:rFonts w:hint="eastAsia"/>
          <w:color w:val="auto"/>
          <w:sz w:val="24"/>
          <w:szCs w:val="24"/>
          <w:highlight w:val="none"/>
        </w:rPr>
        <w:t xml:space="preserve">1.1.4 </w:t>
      </w:r>
      <w:r>
        <w:rPr>
          <w:color w:val="auto"/>
          <w:sz w:val="24"/>
          <w:szCs w:val="24"/>
          <w:highlight w:val="none"/>
        </w:rPr>
        <w:t>招标项目名称：见投标人须知前附表</w:t>
      </w:r>
      <w:r>
        <w:rPr>
          <w:color w:val="auto"/>
          <w:sz w:val="21"/>
          <w:highlight w:val="none"/>
        </w:rPr>
        <w:t>。</w:t>
      </w:r>
    </w:p>
    <w:p>
      <w:pPr>
        <w:pStyle w:val="57"/>
        <w:numPr>
          <w:ilvl w:val="1"/>
          <w:numId w:val="2"/>
        </w:numPr>
        <w:tabs>
          <w:tab w:val="left" w:pos="1027"/>
        </w:tabs>
        <w:spacing w:beforeLines="50" w:afterLines="50" w:line="600" w:lineRule="exact"/>
        <w:ind w:left="284" w:firstLine="0"/>
        <w:rPr>
          <w:b/>
          <w:color w:val="auto"/>
          <w:highlight w:val="none"/>
        </w:rPr>
      </w:pPr>
      <w:bookmarkStart w:id="71" w:name="_bookmark22"/>
      <w:bookmarkEnd w:id="71"/>
      <w:r>
        <w:rPr>
          <w:rFonts w:hint="eastAsia"/>
          <w:b/>
          <w:color w:val="auto"/>
          <w:highlight w:val="none"/>
        </w:rPr>
        <w:t xml:space="preserve">1.2 </w:t>
      </w:r>
      <w:r>
        <w:rPr>
          <w:b/>
          <w:color w:val="auto"/>
          <w:highlight w:val="none"/>
        </w:rPr>
        <w:t>招标项目的资金来源和落实情况</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1.2.1 </w:t>
      </w:r>
      <w:r>
        <w:rPr>
          <w:color w:val="auto"/>
          <w:sz w:val="24"/>
          <w:szCs w:val="24"/>
          <w:highlight w:val="none"/>
        </w:rPr>
        <w:t>资金来源及比例：见投标人须知前附表。</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1.2.2 </w:t>
      </w:r>
      <w:r>
        <w:rPr>
          <w:color w:val="auto"/>
          <w:sz w:val="24"/>
          <w:szCs w:val="24"/>
          <w:highlight w:val="none"/>
        </w:rPr>
        <w:t>资金落实情况：见投标人须知前附表。</w:t>
      </w:r>
    </w:p>
    <w:p>
      <w:pPr>
        <w:pStyle w:val="57"/>
        <w:numPr>
          <w:ilvl w:val="1"/>
          <w:numId w:val="2"/>
        </w:numPr>
        <w:tabs>
          <w:tab w:val="left" w:pos="1027"/>
        </w:tabs>
        <w:spacing w:beforeLines="50" w:afterLines="50" w:line="600" w:lineRule="exact"/>
        <w:ind w:left="284" w:firstLine="0"/>
        <w:rPr>
          <w:b/>
          <w:color w:val="auto"/>
          <w:highlight w:val="none"/>
        </w:rPr>
      </w:pPr>
      <w:bookmarkStart w:id="72" w:name="_bookmark23"/>
      <w:bookmarkEnd w:id="72"/>
      <w:r>
        <w:rPr>
          <w:rFonts w:hint="eastAsia"/>
          <w:b/>
          <w:color w:val="auto"/>
          <w:highlight w:val="none"/>
        </w:rPr>
        <w:t xml:space="preserve">1.3 </w:t>
      </w:r>
      <w:r>
        <w:rPr>
          <w:b/>
          <w:color w:val="auto"/>
          <w:highlight w:val="none"/>
        </w:rPr>
        <w:t>招标范围、交货期、交货地点和技术性能指标</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1.3.1 </w:t>
      </w:r>
      <w:r>
        <w:rPr>
          <w:color w:val="auto"/>
          <w:sz w:val="24"/>
          <w:szCs w:val="24"/>
          <w:highlight w:val="none"/>
        </w:rPr>
        <w:t>招标范围：见投标人须知前附表。</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1.3.2 </w:t>
      </w:r>
      <w:r>
        <w:rPr>
          <w:color w:val="auto"/>
          <w:sz w:val="24"/>
          <w:szCs w:val="24"/>
          <w:highlight w:val="none"/>
        </w:rPr>
        <w:t>交货期：见投标人须知前附表。</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1.3.3 </w:t>
      </w:r>
      <w:r>
        <w:rPr>
          <w:color w:val="auto"/>
          <w:sz w:val="24"/>
          <w:szCs w:val="24"/>
          <w:highlight w:val="none"/>
        </w:rPr>
        <w:t>交货地点：见投标人须知前附表。</w:t>
      </w:r>
    </w:p>
    <w:p>
      <w:pPr>
        <w:pStyle w:val="60"/>
        <w:tabs>
          <w:tab w:val="left" w:pos="1294"/>
        </w:tabs>
        <w:spacing w:line="460" w:lineRule="exact"/>
        <w:ind w:left="0" w:firstLine="480" w:firstLineChars="200"/>
        <w:jc w:val="both"/>
        <w:rPr>
          <w:color w:val="auto"/>
          <w:sz w:val="21"/>
          <w:highlight w:val="none"/>
        </w:rPr>
      </w:pPr>
      <w:r>
        <w:rPr>
          <w:rFonts w:hint="eastAsia"/>
          <w:color w:val="auto"/>
          <w:sz w:val="24"/>
          <w:szCs w:val="24"/>
          <w:highlight w:val="none"/>
        </w:rPr>
        <w:t xml:space="preserve">1.3.4 </w:t>
      </w:r>
      <w:r>
        <w:rPr>
          <w:color w:val="auto"/>
          <w:sz w:val="24"/>
          <w:szCs w:val="24"/>
          <w:highlight w:val="none"/>
        </w:rPr>
        <w:t>技术性能指标：见投标人须知前附表</w:t>
      </w:r>
      <w:r>
        <w:rPr>
          <w:color w:val="auto"/>
          <w:sz w:val="21"/>
          <w:highlight w:val="none"/>
        </w:rPr>
        <w:t>。</w:t>
      </w:r>
    </w:p>
    <w:p>
      <w:pPr>
        <w:pStyle w:val="57"/>
        <w:numPr>
          <w:ilvl w:val="1"/>
          <w:numId w:val="2"/>
        </w:numPr>
        <w:tabs>
          <w:tab w:val="left" w:pos="1027"/>
        </w:tabs>
        <w:spacing w:beforeLines="50" w:afterLines="50" w:line="600" w:lineRule="exact"/>
        <w:ind w:left="284" w:firstLine="0"/>
        <w:rPr>
          <w:b/>
          <w:color w:val="auto"/>
          <w:highlight w:val="none"/>
        </w:rPr>
      </w:pPr>
      <w:bookmarkStart w:id="73" w:name="_bookmark24"/>
      <w:bookmarkEnd w:id="73"/>
      <w:r>
        <w:rPr>
          <w:rFonts w:hint="eastAsia"/>
          <w:b/>
          <w:color w:val="auto"/>
          <w:highlight w:val="none"/>
        </w:rPr>
        <w:t xml:space="preserve">1.4 </w:t>
      </w:r>
      <w:r>
        <w:rPr>
          <w:b/>
          <w:color w:val="auto"/>
          <w:highlight w:val="none"/>
        </w:rPr>
        <w:t>投标人资格要求</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1.4.1 </w:t>
      </w:r>
      <w:r>
        <w:rPr>
          <w:color w:val="auto"/>
          <w:sz w:val="24"/>
          <w:szCs w:val="24"/>
          <w:highlight w:val="none"/>
        </w:rPr>
        <w:t>投标人应具备承担本招标项目资质条件、能力和信誉：</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（1）资质要求：见投标人须知前附表；</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（2）财务要求：见投标人须知前附表；</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（3）业绩要求：见投标人须知前附表；</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（4）信誉要求：见投标人须知前附表；</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（5）其他要求：见投标人须知前附表。</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投标人为代理经销商的，对投标人的资质要求包含对制造商的资质要求，对投标人的业绩要求包含对投标设备的业绩要求。</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需要提交的相关证明材料见本章第 3.5 款的规定。</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1.4.2 </w:t>
      </w:r>
      <w:r>
        <w:rPr>
          <w:color w:val="auto"/>
          <w:sz w:val="24"/>
          <w:szCs w:val="24"/>
          <w:highlight w:val="none"/>
        </w:rPr>
        <w:t>投标人须知前附表规定接受联合体投标的，联合体除应符合本章第 1.4.1 项和投标人须知前附表的要求外，还应遵守以下规定：</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（1）联合体各方应按招标文件提供的格式签订联合体协议书，明确联合体牵头人和各方权利义务，并承诺就中标项目向招标人承担连带责任；</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（2）联合体各方不得再以自己名义单独或参加其他联合体在本招标项目中投标，否则各相关投标均无效。</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1.4.3 </w:t>
      </w:r>
      <w:r>
        <w:rPr>
          <w:color w:val="auto"/>
          <w:sz w:val="24"/>
          <w:szCs w:val="24"/>
          <w:highlight w:val="none"/>
        </w:rPr>
        <w:t>投标人不得存在下列情形之一：</w:t>
      </w:r>
    </w:p>
    <w:p>
      <w:pPr>
        <w:pStyle w:val="60"/>
        <w:tabs>
          <w:tab w:val="left" w:pos="1294"/>
        </w:tabs>
        <w:spacing w:line="460" w:lineRule="exact"/>
        <w:ind w:left="0" w:firstLine="480" w:firstLineChars="200"/>
        <w:jc w:val="both"/>
        <w:rPr>
          <w:color w:val="auto"/>
          <w:sz w:val="24"/>
          <w:szCs w:val="24"/>
          <w:highlight w:val="none"/>
        </w:rPr>
      </w:pPr>
      <w:bookmarkStart w:id="74" w:name="_bookmark25"/>
      <w:bookmarkEnd w:id="74"/>
      <w:r>
        <w:rPr>
          <w:color w:val="auto"/>
          <w:sz w:val="24"/>
          <w:szCs w:val="24"/>
          <w:highlight w:val="none"/>
        </w:rPr>
        <w:t>（1）与招标人存在利害关系且可能影响招标公正性；</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（2）与本招标项目的其他投标人为同一个单位负责人；</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（3）与本招标项目的其他投标人存在控股、管理关系；</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（4）为本工程项目的相关监理人，或者与本工程项目的相关监理人存在隶属关系或者其他利害关系；</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（5）为本招标项目的代建人；</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（6）为本招标项目的招标代理机构；</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（7）与本招标项目的监理人或代建人或招标代理机构同为一个法定代表人；</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（8）与本招标项目的监理人或代建人或招标代理机构存在控股或参股关系；</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（9）被依法暂停或者取消投标资格；</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（10）被责令停产停业、暂扣或者吊销许可证、暂扣或者吊销执照；</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（11）进入清算程序，或被宣告破产，或其他丧失履约能力的情形；</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（12）在最近三年内发生重大产品质量问题（以相关行业主管部门的行政处罚决定或司法机关出具的有关法律文书为准）；</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（13）被工商行政管理机关在全国企业信用信息公示系统中列入严重违法失信企业名单；</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（14）被最高人民法院在“信用中国”网站（</w:t>
      </w:r>
      <w:r>
        <w:rPr>
          <w:color w:val="auto"/>
          <w:highlight w:val="none"/>
        </w:rPr>
        <w:fldChar w:fldCharType="begin"/>
      </w:r>
      <w:r>
        <w:rPr>
          <w:color w:val="auto"/>
          <w:highlight w:val="none"/>
        </w:rPr>
        <w:instrText xml:space="preserve"> HYPERLINK "http://www.creditchina.gov.cn/" \h </w:instrText>
      </w:r>
      <w:r>
        <w:rPr>
          <w:color w:val="auto"/>
          <w:highlight w:val="none"/>
        </w:rPr>
        <w:fldChar w:fldCharType="separate"/>
      </w:r>
      <w:r>
        <w:rPr>
          <w:color w:val="auto"/>
          <w:sz w:val="24"/>
          <w:szCs w:val="24"/>
          <w:highlight w:val="none"/>
        </w:rPr>
        <w:t>www.creditchina.gov.cn</w:t>
      </w:r>
      <w:r>
        <w:rPr>
          <w:color w:val="auto"/>
          <w:sz w:val="24"/>
          <w:szCs w:val="24"/>
          <w:highlight w:val="none"/>
        </w:rPr>
        <w:fldChar w:fldCharType="end"/>
      </w:r>
      <w:r>
        <w:rPr>
          <w:color w:val="auto"/>
          <w:sz w:val="24"/>
          <w:szCs w:val="24"/>
          <w:highlight w:val="none"/>
        </w:rPr>
        <w:t>）或各级信用信息共享平台中列入失信被执行人名单；</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（15）在近三年内投标人或其法定代表人、拟委任的项目负责人有行贿犯罪行为的；</w:t>
      </w:r>
    </w:p>
    <w:p>
      <w:pPr>
        <w:pStyle w:val="60"/>
        <w:tabs>
          <w:tab w:val="left" w:pos="1294"/>
        </w:tabs>
        <w:spacing w:line="460" w:lineRule="exact"/>
        <w:ind w:left="0" w:firstLine="480" w:firstLineChars="200"/>
        <w:jc w:val="both"/>
        <w:rPr>
          <w:color w:val="auto"/>
          <w:sz w:val="21"/>
          <w:highlight w:val="none"/>
        </w:rPr>
      </w:pPr>
      <w:r>
        <w:rPr>
          <w:color w:val="auto"/>
          <w:sz w:val="24"/>
          <w:szCs w:val="24"/>
          <w:highlight w:val="none"/>
        </w:rPr>
        <w:t>（16）法律法规或投标人须知前附表规定的其他情形。</w:t>
      </w:r>
    </w:p>
    <w:p>
      <w:pPr>
        <w:pStyle w:val="57"/>
        <w:numPr>
          <w:ilvl w:val="1"/>
          <w:numId w:val="2"/>
        </w:numPr>
        <w:tabs>
          <w:tab w:val="left" w:pos="1027"/>
        </w:tabs>
        <w:spacing w:beforeLines="50" w:afterLines="50" w:line="600" w:lineRule="exact"/>
        <w:ind w:left="284" w:firstLine="0"/>
        <w:rPr>
          <w:b/>
          <w:color w:val="auto"/>
          <w:highlight w:val="none"/>
        </w:rPr>
      </w:pPr>
      <w:r>
        <w:rPr>
          <w:rFonts w:hint="eastAsia"/>
          <w:b/>
          <w:color w:val="auto"/>
          <w:highlight w:val="none"/>
        </w:rPr>
        <w:t xml:space="preserve">1.5 </w:t>
      </w:r>
      <w:r>
        <w:rPr>
          <w:b/>
          <w:color w:val="auto"/>
          <w:highlight w:val="none"/>
        </w:rPr>
        <w:t>费用承担</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投标人准备和参加投标活动发生的费用自理。</w:t>
      </w:r>
    </w:p>
    <w:p>
      <w:pPr>
        <w:pStyle w:val="57"/>
        <w:numPr>
          <w:ilvl w:val="1"/>
          <w:numId w:val="2"/>
        </w:numPr>
        <w:tabs>
          <w:tab w:val="left" w:pos="1027"/>
        </w:tabs>
        <w:spacing w:beforeLines="50" w:afterLines="50" w:line="600" w:lineRule="exact"/>
        <w:ind w:left="284" w:firstLine="0"/>
        <w:rPr>
          <w:b/>
          <w:color w:val="auto"/>
          <w:highlight w:val="none"/>
        </w:rPr>
      </w:pPr>
      <w:bookmarkStart w:id="75" w:name="_bookmark26"/>
      <w:bookmarkEnd w:id="75"/>
      <w:r>
        <w:rPr>
          <w:rFonts w:hint="eastAsia"/>
          <w:b/>
          <w:color w:val="auto"/>
          <w:highlight w:val="none"/>
        </w:rPr>
        <w:t xml:space="preserve">1.6 </w:t>
      </w:r>
      <w:r>
        <w:rPr>
          <w:b/>
          <w:color w:val="auto"/>
          <w:highlight w:val="none"/>
        </w:rPr>
        <w:t>保密</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参与招标投标活动的各方应对招标文件和投标文件中的商业和技术等秘密保密，否则应承担相应的法律责任。</w:t>
      </w:r>
    </w:p>
    <w:p>
      <w:pPr>
        <w:pStyle w:val="57"/>
        <w:numPr>
          <w:ilvl w:val="1"/>
          <w:numId w:val="2"/>
        </w:numPr>
        <w:tabs>
          <w:tab w:val="left" w:pos="1027"/>
        </w:tabs>
        <w:spacing w:beforeLines="50" w:afterLines="50" w:line="600" w:lineRule="exact"/>
        <w:ind w:left="284" w:firstLine="0"/>
        <w:rPr>
          <w:b/>
          <w:color w:val="auto"/>
          <w:highlight w:val="none"/>
        </w:rPr>
      </w:pPr>
      <w:bookmarkStart w:id="76" w:name="_bookmark27"/>
      <w:bookmarkEnd w:id="76"/>
      <w:r>
        <w:rPr>
          <w:rFonts w:hint="eastAsia"/>
          <w:b/>
          <w:color w:val="auto"/>
          <w:highlight w:val="none"/>
        </w:rPr>
        <w:t xml:space="preserve">1.7 </w:t>
      </w:r>
      <w:r>
        <w:rPr>
          <w:b/>
          <w:color w:val="auto"/>
          <w:highlight w:val="none"/>
        </w:rPr>
        <w:t>语言文字</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招标投标文件使用的语言文字为中文。专用术语使用外文的，应附有中文注释。</w:t>
      </w:r>
    </w:p>
    <w:p>
      <w:pPr>
        <w:pStyle w:val="57"/>
        <w:numPr>
          <w:ilvl w:val="1"/>
          <w:numId w:val="2"/>
        </w:numPr>
        <w:tabs>
          <w:tab w:val="left" w:pos="1027"/>
        </w:tabs>
        <w:spacing w:beforeLines="50" w:afterLines="50" w:line="600" w:lineRule="exact"/>
        <w:ind w:left="284" w:firstLine="0"/>
        <w:rPr>
          <w:b/>
          <w:color w:val="auto"/>
          <w:highlight w:val="none"/>
        </w:rPr>
      </w:pPr>
      <w:bookmarkStart w:id="77" w:name="_bookmark28"/>
      <w:bookmarkEnd w:id="77"/>
      <w:r>
        <w:rPr>
          <w:rFonts w:hint="eastAsia"/>
          <w:b/>
          <w:color w:val="auto"/>
          <w:highlight w:val="none"/>
        </w:rPr>
        <w:t xml:space="preserve">1.8 </w:t>
      </w:r>
      <w:r>
        <w:rPr>
          <w:b/>
          <w:color w:val="auto"/>
          <w:highlight w:val="none"/>
        </w:rPr>
        <w:t>计量单位</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所有计量均采用中华人民共和国法定计量单位。</w:t>
      </w:r>
    </w:p>
    <w:p>
      <w:pPr>
        <w:pStyle w:val="57"/>
        <w:numPr>
          <w:ilvl w:val="1"/>
          <w:numId w:val="2"/>
        </w:numPr>
        <w:tabs>
          <w:tab w:val="left" w:pos="1027"/>
        </w:tabs>
        <w:spacing w:beforeLines="50" w:afterLines="50" w:line="600" w:lineRule="exact"/>
        <w:ind w:left="284" w:firstLine="0"/>
        <w:rPr>
          <w:b/>
          <w:color w:val="auto"/>
          <w:highlight w:val="none"/>
        </w:rPr>
      </w:pPr>
      <w:bookmarkStart w:id="78" w:name="_bookmark29"/>
      <w:bookmarkEnd w:id="78"/>
      <w:r>
        <w:rPr>
          <w:rFonts w:hint="eastAsia"/>
          <w:b/>
          <w:color w:val="auto"/>
          <w:highlight w:val="none"/>
        </w:rPr>
        <w:t xml:space="preserve">1.9 </w:t>
      </w:r>
      <w:r>
        <w:rPr>
          <w:b/>
          <w:color w:val="auto"/>
          <w:highlight w:val="none"/>
        </w:rPr>
        <w:t>投标预备会</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1.9.1 </w:t>
      </w:r>
      <w:r>
        <w:rPr>
          <w:color w:val="auto"/>
          <w:sz w:val="24"/>
          <w:szCs w:val="24"/>
          <w:highlight w:val="none"/>
        </w:rPr>
        <w:t>投标人须知前附表规定召开投标预备会的，招标人按投标人须知前附表规定的时间和地点召开投标预备会，澄清投标人提出的问题。</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1.9.2 </w:t>
      </w:r>
      <w:r>
        <w:rPr>
          <w:color w:val="auto"/>
          <w:sz w:val="24"/>
          <w:szCs w:val="24"/>
          <w:highlight w:val="none"/>
        </w:rPr>
        <w:t>投标人应按投标人须知前附表规定的时间和形式将提出的问题送达招标人，以便招标人在会议期间澄清。</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1.9.3 </w:t>
      </w:r>
      <w:r>
        <w:rPr>
          <w:color w:val="auto"/>
          <w:sz w:val="24"/>
          <w:szCs w:val="24"/>
          <w:highlight w:val="none"/>
        </w:rPr>
        <w:t>投标预备会后，招标人将对投标人所提问题的澄清，以投标人须知前附表规定的形式通知所有购买招标文件的投标人。该澄清内容为招标文件的组成部分。</w:t>
      </w:r>
    </w:p>
    <w:p>
      <w:pPr>
        <w:pStyle w:val="57"/>
        <w:numPr>
          <w:ilvl w:val="1"/>
          <w:numId w:val="2"/>
        </w:numPr>
        <w:tabs>
          <w:tab w:val="left" w:pos="1027"/>
        </w:tabs>
        <w:spacing w:beforeLines="50" w:afterLines="50" w:line="600" w:lineRule="exact"/>
        <w:ind w:left="284" w:firstLine="0"/>
        <w:rPr>
          <w:b/>
          <w:color w:val="auto"/>
          <w:highlight w:val="none"/>
        </w:rPr>
      </w:pPr>
      <w:bookmarkStart w:id="79" w:name="_bookmark30"/>
      <w:bookmarkEnd w:id="79"/>
      <w:r>
        <w:rPr>
          <w:rFonts w:hint="eastAsia"/>
          <w:b/>
          <w:color w:val="auto"/>
          <w:highlight w:val="none"/>
        </w:rPr>
        <w:t xml:space="preserve">1.10 </w:t>
      </w:r>
      <w:r>
        <w:rPr>
          <w:b/>
          <w:color w:val="auto"/>
          <w:highlight w:val="none"/>
        </w:rPr>
        <w:t>分包</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1.10.1 </w:t>
      </w:r>
      <w:r>
        <w:rPr>
          <w:color w:val="auto"/>
          <w:sz w:val="24"/>
          <w:szCs w:val="24"/>
          <w:highlight w:val="none"/>
        </w:rPr>
        <w:t>投标人拟在中标后将中标项目的非主体设备进行分包的，应符合投标人须知前附表规定的分包内容、分包金额和资质要求等限制性条件，除投标人须知前附表规定的非主体设备外，其他工作不得分包。</w:t>
      </w:r>
    </w:p>
    <w:p>
      <w:pPr>
        <w:pStyle w:val="60"/>
        <w:tabs>
          <w:tab w:val="left" w:pos="1294"/>
        </w:tabs>
        <w:spacing w:line="460" w:lineRule="exact"/>
        <w:ind w:left="0" w:firstLine="480" w:firstLineChars="200"/>
        <w:jc w:val="both"/>
        <w:rPr>
          <w:color w:val="auto"/>
          <w:sz w:val="21"/>
          <w:highlight w:val="none"/>
        </w:rPr>
      </w:pPr>
      <w:r>
        <w:rPr>
          <w:rFonts w:hint="eastAsia"/>
          <w:color w:val="auto"/>
          <w:sz w:val="24"/>
          <w:szCs w:val="24"/>
          <w:highlight w:val="none"/>
        </w:rPr>
        <w:t xml:space="preserve">1.10.2 </w:t>
      </w:r>
      <w:r>
        <w:rPr>
          <w:color w:val="auto"/>
          <w:sz w:val="24"/>
          <w:szCs w:val="24"/>
          <w:highlight w:val="none"/>
        </w:rPr>
        <w:t>中标人不得向他人转让中标项目，接受分包的人不得再次分包。中标人应当就分包项目向招标人负责，接受分包的人就分包项目承担连带责任。</w:t>
      </w:r>
    </w:p>
    <w:p>
      <w:pPr>
        <w:pStyle w:val="57"/>
        <w:numPr>
          <w:ilvl w:val="1"/>
          <w:numId w:val="2"/>
        </w:numPr>
        <w:tabs>
          <w:tab w:val="left" w:pos="1027"/>
        </w:tabs>
        <w:spacing w:beforeLines="50" w:afterLines="50" w:line="600" w:lineRule="exact"/>
        <w:ind w:left="284" w:firstLine="0"/>
        <w:rPr>
          <w:b/>
          <w:color w:val="auto"/>
          <w:highlight w:val="none"/>
        </w:rPr>
      </w:pPr>
      <w:bookmarkStart w:id="80" w:name="_bookmark31"/>
      <w:bookmarkEnd w:id="80"/>
      <w:r>
        <w:rPr>
          <w:rFonts w:hint="eastAsia"/>
          <w:b/>
          <w:color w:val="auto"/>
          <w:highlight w:val="none"/>
        </w:rPr>
        <w:t xml:space="preserve">1.11 </w:t>
      </w:r>
      <w:r>
        <w:rPr>
          <w:b/>
          <w:color w:val="auto"/>
          <w:highlight w:val="none"/>
        </w:rPr>
        <w:t>响应和偏差</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1.11.1 </w:t>
      </w:r>
      <w:r>
        <w:rPr>
          <w:color w:val="auto"/>
          <w:sz w:val="24"/>
          <w:szCs w:val="24"/>
          <w:highlight w:val="none"/>
        </w:rPr>
        <w:t>投标文件应当对招标文件的实质性要求和条件作出满足性或更有利于招标人的响应，否则，投标人的投标将被否决。实质性要求和条件见投标人须知前附表。</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1.11.2 </w:t>
      </w:r>
      <w:r>
        <w:rPr>
          <w:color w:val="auto"/>
          <w:sz w:val="24"/>
          <w:szCs w:val="24"/>
          <w:highlight w:val="none"/>
        </w:rPr>
        <w:t>投标人应根据招标文件的要求提供投标设备技术性能指标的详细描述、技术支持资料及技术服务和质保期服务计划等内容以对招标文件作出响应。</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1.11.3 </w:t>
      </w:r>
      <w:r>
        <w:rPr>
          <w:color w:val="auto"/>
          <w:sz w:val="24"/>
          <w:szCs w:val="24"/>
          <w:highlight w:val="none"/>
        </w:rPr>
        <w:t>投标文件中应针对实质性要求和条件中列明的技术要求提供技术支持资料。技术支持资料以制造商公开发布的印刷资料，或检测机构出具的检测报告或投标人须知前附表允许的其他形式</w:t>
      </w:r>
      <w:r>
        <w:rPr>
          <w:rFonts w:hint="eastAsia"/>
          <w:color w:val="auto"/>
          <w:sz w:val="24"/>
          <w:szCs w:val="24"/>
          <w:highlight w:val="none"/>
        </w:rPr>
        <w:t>或制造商承诺函或制造商盖章的技术承诺文件</w:t>
      </w:r>
      <w:r>
        <w:rPr>
          <w:color w:val="auto"/>
          <w:sz w:val="24"/>
          <w:szCs w:val="24"/>
          <w:highlight w:val="none"/>
        </w:rPr>
        <w:t>为准，不符合前述要求的，视为无技术支持资料，其投标将被否决。</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1.11.4 </w:t>
      </w:r>
      <w:r>
        <w:rPr>
          <w:color w:val="auto"/>
          <w:sz w:val="24"/>
          <w:szCs w:val="24"/>
          <w:highlight w:val="none"/>
        </w:rPr>
        <w:t>投标人须知前附表规定了可以偏差的范围和最高偏差项数的，偏差应当符合投标人须知前附表规定的偏差范围和最高项数，超出偏差范围和最高偏差项数的投标将被否决。</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1.11.5 </w:t>
      </w:r>
      <w:r>
        <w:rPr>
          <w:color w:val="auto"/>
          <w:sz w:val="24"/>
          <w:szCs w:val="24"/>
          <w:highlight w:val="none"/>
        </w:rPr>
        <w:t>投标文件对招标文件的全部偏差，均应在投标文件的商务和技术偏差表中列明，除列明的内容外，视为投标人响应招标文件的全部要求。</w:t>
      </w:r>
    </w:p>
    <w:p>
      <w:pPr>
        <w:pStyle w:val="56"/>
        <w:tabs>
          <w:tab w:val="left" w:pos="802"/>
        </w:tabs>
        <w:spacing w:beforeLines="50" w:afterLines="50" w:line="560" w:lineRule="exact"/>
        <w:ind w:left="0" w:firstLine="0"/>
        <w:rPr>
          <w:rFonts w:ascii="宋体" w:hAnsi="宋体" w:eastAsia="宋体"/>
          <w:color w:val="auto"/>
          <w:sz w:val="40"/>
          <w:szCs w:val="40"/>
          <w:highlight w:val="none"/>
        </w:rPr>
      </w:pPr>
      <w:bookmarkStart w:id="81" w:name="_bookmark32"/>
      <w:bookmarkEnd w:id="81"/>
      <w:r>
        <w:rPr>
          <w:rFonts w:hint="eastAsia" w:ascii="宋体" w:hAnsi="宋体" w:eastAsia="宋体"/>
          <w:color w:val="auto"/>
          <w:sz w:val="40"/>
          <w:szCs w:val="40"/>
          <w:highlight w:val="none"/>
        </w:rPr>
        <w:t>2.</w:t>
      </w:r>
      <w:r>
        <w:rPr>
          <w:rFonts w:ascii="宋体" w:hAnsi="宋体" w:eastAsia="宋体"/>
          <w:color w:val="auto"/>
          <w:sz w:val="40"/>
          <w:szCs w:val="40"/>
          <w:highlight w:val="none"/>
        </w:rPr>
        <w:t>招标文件</w:t>
      </w:r>
    </w:p>
    <w:p>
      <w:pPr>
        <w:pStyle w:val="57"/>
        <w:numPr>
          <w:ilvl w:val="1"/>
          <w:numId w:val="2"/>
        </w:numPr>
        <w:tabs>
          <w:tab w:val="left" w:pos="1027"/>
        </w:tabs>
        <w:spacing w:beforeLines="50" w:afterLines="50" w:line="600" w:lineRule="exact"/>
        <w:ind w:left="284" w:firstLine="0"/>
        <w:rPr>
          <w:b/>
          <w:color w:val="auto"/>
          <w:highlight w:val="none"/>
        </w:rPr>
      </w:pPr>
      <w:bookmarkStart w:id="82" w:name="_bookmark33"/>
      <w:bookmarkEnd w:id="82"/>
      <w:r>
        <w:rPr>
          <w:rFonts w:hint="eastAsia"/>
          <w:b/>
          <w:color w:val="auto"/>
          <w:highlight w:val="none"/>
        </w:rPr>
        <w:t>2.1</w:t>
      </w:r>
      <w:r>
        <w:rPr>
          <w:b/>
          <w:color w:val="auto"/>
          <w:highlight w:val="none"/>
        </w:rPr>
        <w:t>招标文件的组成</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本招标文件包括：</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（1）招标公告（或投标邀请书）；</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（2）投标人须知；</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（3）评标办法；</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（4）合同条款及格式；</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（5）供货要求；</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（6）投标文件格式；</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（7）投标人须知前附表规定的其他资料。</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根据本章第 1.9 款、第 2.2 款和第 2.3 款对招标文件所作的澄清、修改，构成招标文件的组成部分。</w:t>
      </w:r>
    </w:p>
    <w:p>
      <w:pPr>
        <w:pStyle w:val="57"/>
        <w:numPr>
          <w:ilvl w:val="1"/>
          <w:numId w:val="2"/>
        </w:numPr>
        <w:tabs>
          <w:tab w:val="left" w:pos="1027"/>
        </w:tabs>
        <w:spacing w:beforeLines="50" w:afterLines="50" w:line="600" w:lineRule="exact"/>
        <w:ind w:left="284" w:firstLine="0"/>
        <w:rPr>
          <w:color w:val="auto"/>
          <w:highlight w:val="none"/>
        </w:rPr>
      </w:pPr>
      <w:bookmarkStart w:id="83" w:name="_bookmark34"/>
      <w:bookmarkEnd w:id="83"/>
      <w:r>
        <w:rPr>
          <w:rFonts w:hint="eastAsia"/>
          <w:b/>
          <w:color w:val="auto"/>
          <w:highlight w:val="none"/>
        </w:rPr>
        <w:t>2.2</w:t>
      </w:r>
      <w:r>
        <w:rPr>
          <w:b/>
          <w:color w:val="auto"/>
          <w:highlight w:val="none"/>
        </w:rPr>
        <w:t>招标文件的澄清</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2.2.1 </w:t>
      </w:r>
      <w:r>
        <w:rPr>
          <w:color w:val="auto"/>
          <w:sz w:val="24"/>
          <w:szCs w:val="24"/>
          <w:highlight w:val="none"/>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2.2.2 </w:t>
      </w:r>
      <w:r>
        <w:rPr>
          <w:color w:val="auto"/>
          <w:sz w:val="24"/>
          <w:szCs w:val="24"/>
          <w:highlight w:val="none"/>
        </w:rPr>
        <w:t>招标文件的澄清以投标人须知前附表规定的形式发给所有购买招标文件的投标人，但不指明澄清问题的来源。澄清发出的时间距本章第 4.2.1 项规定的投标截止时间不足 15 日的，并且澄清内容可能影响投标文件编制的，将相应延长投标截止时间。</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2.2.3 </w:t>
      </w:r>
      <w:r>
        <w:rPr>
          <w:color w:val="auto"/>
          <w:sz w:val="24"/>
          <w:szCs w:val="24"/>
          <w:highlight w:val="none"/>
        </w:rPr>
        <w:t>投标人在收到澄清后，应按投标人须知前附表规定的时间和形式通知招标人，确认已收到该澄清。</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2.2.4 </w:t>
      </w:r>
      <w:r>
        <w:rPr>
          <w:color w:val="auto"/>
          <w:sz w:val="24"/>
          <w:szCs w:val="24"/>
          <w:highlight w:val="none"/>
        </w:rPr>
        <w:t>除非招标人认为确有必要答复，否则，招标人有权拒绝回复投标人在本章第 2.2.1 项规定的时间后的任何澄清要求。</w:t>
      </w:r>
    </w:p>
    <w:p>
      <w:pPr>
        <w:pStyle w:val="57"/>
        <w:numPr>
          <w:ilvl w:val="1"/>
          <w:numId w:val="2"/>
        </w:numPr>
        <w:tabs>
          <w:tab w:val="left" w:pos="1027"/>
        </w:tabs>
        <w:spacing w:beforeLines="50" w:afterLines="50" w:line="600" w:lineRule="exact"/>
        <w:ind w:left="284" w:firstLine="0"/>
        <w:rPr>
          <w:b/>
          <w:color w:val="auto"/>
          <w:highlight w:val="none"/>
        </w:rPr>
      </w:pPr>
      <w:bookmarkStart w:id="84" w:name="_bookmark35"/>
      <w:bookmarkEnd w:id="84"/>
      <w:r>
        <w:rPr>
          <w:rFonts w:hint="eastAsia"/>
          <w:b/>
          <w:color w:val="auto"/>
          <w:highlight w:val="none"/>
        </w:rPr>
        <w:t>2.3</w:t>
      </w:r>
      <w:r>
        <w:rPr>
          <w:b/>
          <w:color w:val="auto"/>
          <w:highlight w:val="none"/>
        </w:rPr>
        <w:t>招标文件的修改</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2.3.1 </w:t>
      </w:r>
      <w:r>
        <w:rPr>
          <w:color w:val="auto"/>
          <w:sz w:val="24"/>
          <w:szCs w:val="24"/>
          <w:highlight w:val="none"/>
        </w:rPr>
        <w:t>招标人以投标人须知前附表规定的形式修改招标文件，并通知所有已购买招标文件的投标人。修改招标文件的时间距本章第 4.2.1 项规定的投标截止时间不足 15 日的，并且修改内容可能影响投标文件编制的，将相应延长投标截止时间。</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2.3.2 </w:t>
      </w:r>
      <w:r>
        <w:rPr>
          <w:color w:val="auto"/>
          <w:sz w:val="24"/>
          <w:szCs w:val="24"/>
          <w:highlight w:val="none"/>
        </w:rPr>
        <w:t>投标人收到修改内容后，应按投标人须知前附表规定的时间和形式通知招标人，确认已收到该修改。</w:t>
      </w:r>
    </w:p>
    <w:p>
      <w:pPr>
        <w:pStyle w:val="57"/>
        <w:numPr>
          <w:ilvl w:val="1"/>
          <w:numId w:val="2"/>
        </w:numPr>
        <w:tabs>
          <w:tab w:val="left" w:pos="1027"/>
        </w:tabs>
        <w:spacing w:beforeLines="50" w:afterLines="50" w:line="600" w:lineRule="exact"/>
        <w:ind w:left="284" w:firstLine="0"/>
        <w:rPr>
          <w:b/>
          <w:color w:val="auto"/>
          <w:highlight w:val="none"/>
        </w:rPr>
      </w:pPr>
      <w:bookmarkStart w:id="85" w:name="_bookmark36"/>
      <w:bookmarkEnd w:id="85"/>
      <w:r>
        <w:rPr>
          <w:rFonts w:hint="eastAsia"/>
          <w:b/>
          <w:color w:val="auto"/>
          <w:highlight w:val="none"/>
        </w:rPr>
        <w:t>2.4</w:t>
      </w:r>
      <w:r>
        <w:rPr>
          <w:b/>
          <w:color w:val="auto"/>
          <w:highlight w:val="none"/>
        </w:rPr>
        <w:t>招标文件的异议</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投标人或者其他利害关系人对招标文件有异议的，应当在投标截止时间 10 日前以书面形式提出。招标人将在收到异议之日起 3 日内作出答复；作出答复前，将暂停招标投标活动。</w:t>
      </w:r>
    </w:p>
    <w:p>
      <w:pPr>
        <w:pStyle w:val="56"/>
        <w:tabs>
          <w:tab w:val="left" w:pos="802"/>
        </w:tabs>
        <w:spacing w:beforeLines="50" w:afterLines="50" w:line="560" w:lineRule="exact"/>
        <w:ind w:left="0" w:firstLine="0"/>
        <w:rPr>
          <w:rFonts w:ascii="宋体" w:hAnsi="宋体" w:eastAsia="宋体"/>
          <w:color w:val="auto"/>
          <w:sz w:val="40"/>
          <w:szCs w:val="40"/>
          <w:highlight w:val="none"/>
        </w:rPr>
      </w:pPr>
      <w:bookmarkStart w:id="86" w:name="_bookmark37"/>
      <w:bookmarkEnd w:id="86"/>
      <w:r>
        <w:rPr>
          <w:rFonts w:hint="eastAsia" w:ascii="宋体" w:hAnsi="宋体" w:eastAsia="宋体"/>
          <w:color w:val="auto"/>
          <w:sz w:val="40"/>
          <w:szCs w:val="40"/>
          <w:highlight w:val="none"/>
        </w:rPr>
        <w:t>3.</w:t>
      </w:r>
      <w:r>
        <w:rPr>
          <w:rFonts w:ascii="宋体" w:hAnsi="宋体" w:eastAsia="宋体"/>
          <w:color w:val="auto"/>
          <w:sz w:val="40"/>
          <w:szCs w:val="40"/>
          <w:highlight w:val="none"/>
        </w:rPr>
        <w:t>投标文件</w:t>
      </w:r>
    </w:p>
    <w:p>
      <w:pPr>
        <w:pStyle w:val="57"/>
        <w:numPr>
          <w:ilvl w:val="1"/>
          <w:numId w:val="2"/>
        </w:numPr>
        <w:tabs>
          <w:tab w:val="left" w:pos="1027"/>
        </w:tabs>
        <w:spacing w:beforeLines="50" w:afterLines="50" w:line="600" w:lineRule="exact"/>
        <w:ind w:left="284" w:firstLine="0"/>
        <w:rPr>
          <w:b/>
          <w:color w:val="auto"/>
          <w:highlight w:val="none"/>
        </w:rPr>
      </w:pPr>
      <w:bookmarkStart w:id="87" w:name="_bookmark38"/>
      <w:bookmarkEnd w:id="87"/>
      <w:r>
        <w:rPr>
          <w:rFonts w:hint="eastAsia"/>
          <w:b/>
          <w:color w:val="auto"/>
          <w:highlight w:val="none"/>
        </w:rPr>
        <w:t>3.1</w:t>
      </w:r>
      <w:r>
        <w:rPr>
          <w:b/>
          <w:color w:val="auto"/>
          <w:highlight w:val="none"/>
        </w:rPr>
        <w:t>投标文件的组成</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3.1.1 </w:t>
      </w:r>
      <w:r>
        <w:rPr>
          <w:color w:val="auto"/>
          <w:sz w:val="24"/>
          <w:szCs w:val="24"/>
          <w:highlight w:val="none"/>
        </w:rPr>
        <w:t>投标文件应包括下列内容：</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（1）投标函；</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（2）法定代表人（单位负责人）身份证明或授权委托书；</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（3）联合体协议书；</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（4）投标保证金；</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（5）商务和技术偏差表；</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（6）分项报价表；</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（7）资格审查资料；</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（8）</w:t>
      </w:r>
      <w:r>
        <w:rPr>
          <w:rFonts w:hint="eastAsia"/>
          <w:color w:val="auto"/>
          <w:sz w:val="24"/>
          <w:szCs w:val="24"/>
          <w:highlight w:val="none"/>
        </w:rPr>
        <w:t>技术方案</w:t>
      </w:r>
      <w:r>
        <w:rPr>
          <w:color w:val="auto"/>
          <w:sz w:val="24"/>
          <w:szCs w:val="24"/>
          <w:highlight w:val="none"/>
        </w:rPr>
        <w:t>；</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（9）</w:t>
      </w:r>
      <w:r>
        <w:rPr>
          <w:rFonts w:hint="eastAsia"/>
          <w:color w:val="auto"/>
          <w:sz w:val="24"/>
          <w:szCs w:val="24"/>
          <w:highlight w:val="none"/>
        </w:rPr>
        <w:t>其他资料。</w:t>
      </w:r>
    </w:p>
    <w:p>
      <w:pPr>
        <w:pStyle w:val="60"/>
        <w:tabs>
          <w:tab w:val="left" w:pos="1294"/>
        </w:tabs>
        <w:spacing w:line="460" w:lineRule="exact"/>
        <w:ind w:left="0" w:firstLine="480" w:firstLineChars="200"/>
        <w:jc w:val="both"/>
        <w:rPr>
          <w:color w:val="auto"/>
          <w:sz w:val="24"/>
          <w:szCs w:val="24"/>
          <w:highlight w:val="none"/>
        </w:rPr>
      </w:pPr>
      <w:r>
        <w:rPr>
          <w:color w:val="auto"/>
          <w:sz w:val="24"/>
          <w:szCs w:val="24"/>
          <w:highlight w:val="none"/>
        </w:rPr>
        <w:t>投标人在评标过程中作出的符合法律法规和招标文件规定的澄清确认，构成投标文件的组成部分。</w:t>
      </w:r>
    </w:p>
    <w:p>
      <w:pPr>
        <w:pStyle w:val="60"/>
        <w:tabs>
          <w:tab w:val="left" w:pos="1286"/>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3.1.2 </w:t>
      </w:r>
      <w:r>
        <w:rPr>
          <w:color w:val="auto"/>
          <w:sz w:val="24"/>
          <w:szCs w:val="24"/>
          <w:highlight w:val="none"/>
        </w:rPr>
        <w:t>投标人须知前附表规定不接受联合体投标的，或投标人没有组成联合体的，投标文件不包括本章第 3.1.1（3）目所指的联合体协议书。</w:t>
      </w:r>
    </w:p>
    <w:p>
      <w:pPr>
        <w:pStyle w:val="60"/>
        <w:tabs>
          <w:tab w:val="left" w:pos="1286"/>
        </w:tabs>
        <w:spacing w:line="460" w:lineRule="exact"/>
        <w:ind w:left="0" w:firstLine="480" w:firstLineChars="200"/>
        <w:jc w:val="both"/>
        <w:rPr>
          <w:color w:val="auto"/>
          <w:sz w:val="24"/>
          <w:szCs w:val="24"/>
          <w:highlight w:val="none"/>
        </w:rPr>
      </w:pPr>
      <w:r>
        <w:rPr>
          <w:rFonts w:hint="eastAsia"/>
          <w:color w:val="auto"/>
          <w:sz w:val="24"/>
          <w:szCs w:val="24"/>
          <w:highlight w:val="none"/>
        </w:rPr>
        <w:t>3.1.3</w:t>
      </w:r>
      <w:r>
        <w:rPr>
          <w:color w:val="auto"/>
          <w:sz w:val="24"/>
          <w:szCs w:val="24"/>
          <w:highlight w:val="none"/>
        </w:rPr>
        <w:t>投标人须知前附表未要求提交投标保证金的，投标文件不包括本章第 3.1.1（4）目所指的投标保证金。</w:t>
      </w:r>
    </w:p>
    <w:p>
      <w:pPr>
        <w:pStyle w:val="57"/>
        <w:numPr>
          <w:ilvl w:val="1"/>
          <w:numId w:val="2"/>
        </w:numPr>
        <w:tabs>
          <w:tab w:val="left" w:pos="1027"/>
        </w:tabs>
        <w:spacing w:beforeLines="50" w:afterLines="50" w:line="600" w:lineRule="exact"/>
        <w:ind w:left="284" w:firstLine="0"/>
        <w:rPr>
          <w:b/>
          <w:color w:val="auto"/>
          <w:highlight w:val="none"/>
        </w:rPr>
      </w:pPr>
      <w:bookmarkStart w:id="88" w:name="_bookmark39"/>
      <w:bookmarkEnd w:id="88"/>
      <w:r>
        <w:rPr>
          <w:rFonts w:hint="eastAsia"/>
          <w:b/>
          <w:color w:val="auto"/>
          <w:highlight w:val="none"/>
        </w:rPr>
        <w:t xml:space="preserve">3.2 </w:t>
      </w:r>
      <w:r>
        <w:rPr>
          <w:b/>
          <w:color w:val="auto"/>
          <w:highlight w:val="none"/>
        </w:rPr>
        <w:t>投标报价</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3.2.1 </w:t>
      </w:r>
      <w:r>
        <w:rPr>
          <w:color w:val="auto"/>
          <w:sz w:val="24"/>
          <w:szCs w:val="24"/>
          <w:highlight w:val="none"/>
        </w:rPr>
        <w:t>投标报价应包括国家规定的增值税税金，除投标人须知前附表另有规定外，增值税税金按一般计税方法计算。投标人应按第六章“投标文件格式”的要求在投标函中进行报价并填写分项报价表。</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3.2.2 </w:t>
      </w:r>
      <w:r>
        <w:rPr>
          <w:color w:val="auto"/>
          <w:sz w:val="24"/>
          <w:szCs w:val="24"/>
          <w:highlight w:val="none"/>
        </w:rPr>
        <w:t>投标人应充分了解该项目的总体情况以及影响投标报价的其他要素。</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3.2.3 </w:t>
      </w:r>
      <w:r>
        <w:rPr>
          <w:color w:val="auto"/>
          <w:sz w:val="24"/>
          <w:szCs w:val="24"/>
          <w:highlight w:val="none"/>
        </w:rPr>
        <w:t>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 xml:space="preserve">3.2.4 </w:t>
      </w:r>
      <w:r>
        <w:rPr>
          <w:color w:val="auto"/>
          <w:sz w:val="24"/>
          <w:szCs w:val="24"/>
          <w:highlight w:val="none"/>
        </w:rPr>
        <w:t>招标人设有最高投标限价的，投标人的投标报价不得超过最高投标限价，最高投标限价在投标人须知前附表中载明。</w:t>
      </w:r>
    </w:p>
    <w:p>
      <w:pPr>
        <w:pStyle w:val="60"/>
        <w:tabs>
          <w:tab w:val="left" w:pos="1294"/>
        </w:tabs>
        <w:spacing w:line="460" w:lineRule="exact"/>
        <w:ind w:left="0" w:firstLine="480" w:firstLineChars="200"/>
        <w:jc w:val="both"/>
        <w:rPr>
          <w:color w:val="auto"/>
          <w:sz w:val="21"/>
          <w:highlight w:val="none"/>
        </w:rPr>
      </w:pPr>
      <w:r>
        <w:rPr>
          <w:rFonts w:hint="eastAsia"/>
          <w:color w:val="auto"/>
          <w:sz w:val="24"/>
          <w:szCs w:val="24"/>
          <w:highlight w:val="none"/>
        </w:rPr>
        <w:t xml:space="preserve">3.2.5 </w:t>
      </w:r>
      <w:r>
        <w:rPr>
          <w:color w:val="auto"/>
          <w:sz w:val="24"/>
          <w:szCs w:val="24"/>
          <w:highlight w:val="none"/>
        </w:rPr>
        <w:t>投标报价的其他要求见投标人须知前附表</w:t>
      </w:r>
      <w:r>
        <w:rPr>
          <w:color w:val="auto"/>
          <w:sz w:val="21"/>
          <w:highlight w:val="none"/>
        </w:rPr>
        <w:t>。</w:t>
      </w:r>
    </w:p>
    <w:p>
      <w:pPr>
        <w:pStyle w:val="57"/>
        <w:numPr>
          <w:ilvl w:val="1"/>
          <w:numId w:val="2"/>
        </w:numPr>
        <w:tabs>
          <w:tab w:val="left" w:pos="1027"/>
        </w:tabs>
        <w:spacing w:beforeLines="50" w:afterLines="50" w:line="600" w:lineRule="exact"/>
        <w:ind w:left="284" w:firstLine="0"/>
        <w:rPr>
          <w:b/>
          <w:color w:val="auto"/>
          <w:highlight w:val="none"/>
        </w:rPr>
      </w:pPr>
      <w:bookmarkStart w:id="89" w:name="_bookmark40"/>
      <w:bookmarkEnd w:id="89"/>
      <w:r>
        <w:rPr>
          <w:rFonts w:hint="eastAsia"/>
          <w:b/>
          <w:color w:val="auto"/>
          <w:highlight w:val="none"/>
        </w:rPr>
        <w:t xml:space="preserve">3.3 </w:t>
      </w:r>
      <w:r>
        <w:rPr>
          <w:b/>
          <w:color w:val="auto"/>
          <w:highlight w:val="none"/>
        </w:rPr>
        <w:t>投标有效期</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3.3.1 除投标人须知前附表另有规定外，投标有效期为 90 天。</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3.3.2 在投标有效期内，投标人撤销投标文件的，应承担招标文件和法律规定的责任。</w:t>
      </w:r>
    </w:p>
    <w:p>
      <w:pPr>
        <w:pStyle w:val="60"/>
        <w:tabs>
          <w:tab w:val="left" w:pos="1294"/>
        </w:tabs>
        <w:spacing w:line="460" w:lineRule="exact"/>
        <w:ind w:left="0" w:firstLine="480" w:firstLineChars="200"/>
        <w:jc w:val="both"/>
        <w:rPr>
          <w:color w:val="auto"/>
          <w:sz w:val="21"/>
          <w:highlight w:val="none"/>
        </w:rPr>
      </w:pPr>
      <w:r>
        <w:rPr>
          <w:rFonts w:hint="eastAsia"/>
          <w:color w:val="auto"/>
          <w:sz w:val="24"/>
          <w:szCs w:val="24"/>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57"/>
        <w:numPr>
          <w:ilvl w:val="1"/>
          <w:numId w:val="2"/>
        </w:numPr>
        <w:tabs>
          <w:tab w:val="left" w:pos="1027"/>
        </w:tabs>
        <w:spacing w:beforeLines="50" w:afterLines="50" w:line="600" w:lineRule="exact"/>
        <w:ind w:left="284" w:firstLine="0"/>
        <w:rPr>
          <w:b/>
          <w:color w:val="auto"/>
          <w:highlight w:val="none"/>
        </w:rPr>
      </w:pPr>
      <w:bookmarkStart w:id="90" w:name="_bookmark41"/>
      <w:bookmarkEnd w:id="90"/>
      <w:r>
        <w:rPr>
          <w:rFonts w:hint="eastAsia"/>
          <w:b/>
          <w:color w:val="auto"/>
          <w:highlight w:val="none"/>
        </w:rPr>
        <w:t xml:space="preserve">3.4 </w:t>
      </w:r>
      <w:r>
        <w:rPr>
          <w:b/>
          <w:color w:val="auto"/>
          <w:highlight w:val="none"/>
        </w:rPr>
        <w:t>投标保证金</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3.4.2 投标人不按本章第 3.4.1 项要求提交投标保证金的，评标委员会将否决其投标。</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3.4.3 招标人最迟将在与中标人签订合同后 5 日内，向未中标的投标人和中标人退还投标保证金。投标保证金以现金或者支票形式递交的，还应退还银行同期存款利息。</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3.4.4 有下列情形之一的，投标保证金将不予退还：</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（1）投标人在投标有效期内撤销投标文件；</w:t>
      </w:r>
    </w:p>
    <w:p>
      <w:pPr>
        <w:pStyle w:val="60"/>
        <w:tabs>
          <w:tab w:val="left" w:pos="1294"/>
        </w:tabs>
        <w:spacing w:line="460" w:lineRule="exact"/>
        <w:ind w:left="0" w:firstLine="480" w:firstLineChars="200"/>
        <w:jc w:val="both"/>
        <w:rPr>
          <w:color w:val="auto"/>
          <w:sz w:val="24"/>
          <w:szCs w:val="24"/>
          <w:highlight w:val="none"/>
        </w:rPr>
      </w:pPr>
      <w:r>
        <w:rPr>
          <w:rFonts w:hint="eastAsia"/>
          <w:color w:val="auto"/>
          <w:sz w:val="24"/>
          <w:szCs w:val="24"/>
          <w:highlight w:val="none"/>
        </w:rPr>
        <w:t>（2）中标人在收到中标通知书后，无正当理由不与招标人订立合同，在签订合同时向招标人提出附加条件，或者不按照招标文件要求提交履约保证金；</w:t>
      </w:r>
    </w:p>
    <w:p>
      <w:pPr>
        <w:pStyle w:val="60"/>
        <w:tabs>
          <w:tab w:val="left" w:pos="1294"/>
        </w:tabs>
        <w:spacing w:line="460" w:lineRule="exact"/>
        <w:ind w:left="0" w:firstLine="480" w:firstLineChars="200"/>
        <w:jc w:val="both"/>
        <w:rPr>
          <w:color w:val="auto"/>
          <w:sz w:val="21"/>
          <w:highlight w:val="none"/>
        </w:rPr>
      </w:pPr>
      <w:r>
        <w:rPr>
          <w:rFonts w:hint="eastAsia"/>
          <w:color w:val="auto"/>
          <w:sz w:val="24"/>
          <w:szCs w:val="24"/>
          <w:highlight w:val="none"/>
        </w:rPr>
        <w:t>（3）发生投标人须知前附表规定的其他可以不予退还投标保证金的情形。</w:t>
      </w:r>
    </w:p>
    <w:p>
      <w:pPr>
        <w:pStyle w:val="57"/>
        <w:numPr>
          <w:ilvl w:val="1"/>
          <w:numId w:val="2"/>
        </w:numPr>
        <w:tabs>
          <w:tab w:val="left" w:pos="1027"/>
        </w:tabs>
        <w:spacing w:beforeLines="50" w:afterLines="50" w:line="600" w:lineRule="exact"/>
        <w:ind w:left="284" w:firstLine="0"/>
        <w:rPr>
          <w:b/>
          <w:color w:val="auto"/>
          <w:highlight w:val="none"/>
        </w:rPr>
      </w:pPr>
      <w:bookmarkStart w:id="91" w:name="_bookmark42"/>
      <w:bookmarkEnd w:id="91"/>
      <w:r>
        <w:rPr>
          <w:rFonts w:hint="eastAsia"/>
          <w:b/>
          <w:color w:val="auto"/>
          <w:highlight w:val="none"/>
        </w:rPr>
        <w:t xml:space="preserve">3.5 </w:t>
      </w:r>
      <w:r>
        <w:rPr>
          <w:b/>
          <w:color w:val="auto"/>
          <w:highlight w:val="none"/>
        </w:rPr>
        <w:t>资格审查资料（适用于已进行资格预审的）</w:t>
      </w:r>
    </w:p>
    <w:p>
      <w:pPr>
        <w:pStyle w:val="60"/>
        <w:tabs>
          <w:tab w:val="left" w:pos="1294"/>
        </w:tabs>
        <w:spacing w:line="460" w:lineRule="exact"/>
        <w:ind w:left="0" w:firstLine="480" w:firstLineChars="200"/>
        <w:jc w:val="both"/>
        <w:rPr>
          <w:color w:val="auto"/>
          <w:sz w:val="21"/>
          <w:highlight w:val="none"/>
        </w:rPr>
      </w:pPr>
      <w:r>
        <w:rPr>
          <w:bCs/>
          <w:color w:val="auto"/>
          <w:sz w:val="24"/>
          <w:szCs w:val="24"/>
          <w:highlight w:val="none"/>
        </w:rPr>
        <w:t>投标人在递交投标文件前，发生可能影响其投标资格的新情况的，应更新或补充其在申请资格预审时提供的资料，以证实其各项资格条件仍能继续满足资格预审文件的要求，且没有实质性降低。</w:t>
      </w:r>
    </w:p>
    <w:p>
      <w:pPr>
        <w:pStyle w:val="57"/>
        <w:numPr>
          <w:ilvl w:val="1"/>
          <w:numId w:val="2"/>
        </w:numPr>
        <w:tabs>
          <w:tab w:val="left" w:pos="1027"/>
        </w:tabs>
        <w:spacing w:beforeLines="50" w:afterLines="50" w:line="600" w:lineRule="exact"/>
        <w:ind w:left="284" w:firstLine="0"/>
        <w:rPr>
          <w:b/>
          <w:color w:val="auto"/>
          <w:highlight w:val="none"/>
        </w:rPr>
      </w:pPr>
      <w:bookmarkStart w:id="92" w:name="_bookmark43"/>
      <w:bookmarkEnd w:id="92"/>
      <w:r>
        <w:rPr>
          <w:rFonts w:hint="eastAsia"/>
          <w:b/>
          <w:color w:val="auto"/>
          <w:highlight w:val="none"/>
        </w:rPr>
        <w:t xml:space="preserve">3.5 </w:t>
      </w:r>
      <w:r>
        <w:rPr>
          <w:b/>
          <w:color w:val="auto"/>
          <w:highlight w:val="none"/>
        </w:rPr>
        <w:t>资格审查资料（适用于未进行资格预审的）</w:t>
      </w:r>
    </w:p>
    <w:p>
      <w:pPr>
        <w:pStyle w:val="60"/>
        <w:tabs>
          <w:tab w:val="left" w:pos="1294"/>
        </w:tabs>
        <w:spacing w:line="460" w:lineRule="exact"/>
        <w:ind w:left="0" w:firstLine="480" w:firstLineChars="200"/>
        <w:jc w:val="both"/>
        <w:rPr>
          <w:bCs/>
          <w:color w:val="auto"/>
          <w:sz w:val="24"/>
          <w:szCs w:val="24"/>
          <w:highlight w:val="none"/>
        </w:rPr>
      </w:pPr>
      <w:r>
        <w:rPr>
          <w:bCs/>
          <w:color w:val="auto"/>
          <w:sz w:val="24"/>
          <w:szCs w:val="24"/>
          <w:highlight w:val="none"/>
        </w:rPr>
        <w:t>除投标人须知前附表另有规定外，投标人应按下列规定提供资格审查资料，以证明其满足本章第 1.4 款规定的资质、财务、业绩、信誉等要求。</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 xml:space="preserve">3.5.1 </w:t>
      </w:r>
      <w:r>
        <w:rPr>
          <w:bCs/>
          <w:color w:val="auto"/>
          <w:sz w:val="24"/>
          <w:szCs w:val="24"/>
          <w:highlight w:val="none"/>
        </w:rPr>
        <w:t>“投标人基本情况表”应附投标人及其制造商（适用于代理经销商投标的情形）资格或者资质证书副本和投标材料检验或认证等材料的复印件以及：</w:t>
      </w:r>
    </w:p>
    <w:p>
      <w:pPr>
        <w:pStyle w:val="60"/>
        <w:tabs>
          <w:tab w:val="left" w:pos="1294"/>
        </w:tabs>
        <w:spacing w:line="460" w:lineRule="exact"/>
        <w:ind w:left="0" w:firstLine="480" w:firstLineChars="200"/>
        <w:jc w:val="both"/>
        <w:rPr>
          <w:bCs/>
          <w:color w:val="auto"/>
          <w:sz w:val="24"/>
          <w:szCs w:val="24"/>
          <w:highlight w:val="none"/>
        </w:rPr>
      </w:pPr>
      <w:r>
        <w:rPr>
          <w:bCs/>
          <w:color w:val="auto"/>
          <w:sz w:val="24"/>
          <w:szCs w:val="24"/>
          <w:highlight w:val="none"/>
        </w:rPr>
        <w:t>（1）投标人为企业的，应提交营业执照和组织机构代码证的复印件（按照“三证合一”或“五证合一”登记制度进行登记的，可仅提供营业执照复印件）；</w:t>
      </w:r>
    </w:p>
    <w:p>
      <w:pPr>
        <w:pStyle w:val="60"/>
        <w:tabs>
          <w:tab w:val="left" w:pos="1294"/>
        </w:tabs>
        <w:spacing w:line="460" w:lineRule="exact"/>
        <w:ind w:left="0" w:firstLine="480" w:firstLineChars="200"/>
        <w:jc w:val="both"/>
        <w:rPr>
          <w:bCs/>
          <w:color w:val="auto"/>
          <w:sz w:val="24"/>
          <w:szCs w:val="24"/>
          <w:highlight w:val="none"/>
        </w:rPr>
      </w:pPr>
      <w:r>
        <w:rPr>
          <w:bCs/>
          <w:color w:val="auto"/>
          <w:sz w:val="24"/>
          <w:szCs w:val="24"/>
          <w:highlight w:val="none"/>
        </w:rPr>
        <w:t>（2）投标人为依法允许经营的事业单位的，应提交事业单位法人证书和组织机构代码证的复印件。</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3.5.2</w:t>
      </w:r>
      <w:r>
        <w:rPr>
          <w:bCs/>
          <w:color w:val="auto"/>
          <w:sz w:val="24"/>
          <w:szCs w:val="24"/>
          <w:highlight w:val="none"/>
        </w:rPr>
        <w:t xml:space="preserve"> “近年财务状况表”应附经会计师事务所或审计机构审计</w:t>
      </w:r>
      <w:r>
        <w:rPr>
          <w:rFonts w:hint="eastAsia"/>
          <w:bCs/>
          <w:color w:val="auto"/>
          <w:sz w:val="24"/>
          <w:szCs w:val="24"/>
          <w:highlight w:val="none"/>
        </w:rPr>
        <w:t>出具的年度财务审计报告、或企业</w:t>
      </w:r>
      <w:r>
        <w:rPr>
          <w:bCs/>
          <w:color w:val="auto"/>
          <w:sz w:val="24"/>
          <w:szCs w:val="24"/>
          <w:highlight w:val="none"/>
        </w:rPr>
        <w:t>财务会计报表，包括资产负债表、现金流量表、利润表的复印件，具体年份要求见投标人须知前附表。投标人的成立时间少于投标人须知前附表规定年份的，应提供成立以来的财务状况表。</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3.5.3</w:t>
      </w:r>
      <w:r>
        <w:rPr>
          <w:bCs/>
          <w:color w:val="auto"/>
          <w:sz w:val="24"/>
          <w:szCs w:val="24"/>
          <w:highlight w:val="none"/>
        </w:rPr>
        <w:t xml:space="preserve"> “近年完成的类似项目情况表”应附中标通知书和（或）合同协议书的复印件，具体时间要求见投标人须知前附表。每张表格只填写一个项目，并标明序号。</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3.5.4</w:t>
      </w:r>
      <w:r>
        <w:rPr>
          <w:bCs/>
          <w:color w:val="auto"/>
          <w:sz w:val="24"/>
          <w:szCs w:val="24"/>
          <w:highlight w:val="none"/>
        </w:rPr>
        <w:t xml:space="preserve"> “正在供货和新承接的项目情况表”应附中标通知书和（或）合同协议书复印件。每张表格只填写一个项目，并标明序号。</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3.5.5</w:t>
      </w:r>
      <w:r>
        <w:rPr>
          <w:bCs/>
          <w:color w:val="auto"/>
          <w:sz w:val="24"/>
          <w:szCs w:val="24"/>
          <w:highlight w:val="none"/>
        </w:rPr>
        <w:t xml:space="preserve"> “近年发生的诉讼及仲裁情况”应说明投标人败诉的设备买卖合同的相关情况，并附法院或仲裁机构作出的判决、裁决等有关法律文书复印件，具体时间要求见投标人须知前附表。</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 xml:space="preserve">3.5.6 </w:t>
      </w:r>
      <w:r>
        <w:rPr>
          <w:bCs/>
          <w:color w:val="auto"/>
          <w:sz w:val="24"/>
          <w:szCs w:val="24"/>
          <w:highlight w:val="none"/>
        </w:rPr>
        <w:t>投标人须知前附表规定接受联合体投标的，本章第 3.5.1 项至第 3.5.5 项规定的表格和资料应包括联合体各方相关情况。</w:t>
      </w:r>
    </w:p>
    <w:p>
      <w:pPr>
        <w:pStyle w:val="57"/>
        <w:numPr>
          <w:ilvl w:val="1"/>
          <w:numId w:val="2"/>
        </w:numPr>
        <w:tabs>
          <w:tab w:val="left" w:pos="1027"/>
        </w:tabs>
        <w:spacing w:beforeLines="50" w:afterLines="50" w:line="600" w:lineRule="exact"/>
        <w:ind w:left="284" w:firstLine="0"/>
        <w:rPr>
          <w:b/>
          <w:color w:val="auto"/>
          <w:highlight w:val="none"/>
        </w:rPr>
      </w:pPr>
      <w:bookmarkStart w:id="93" w:name="_bookmark44"/>
      <w:bookmarkEnd w:id="93"/>
      <w:r>
        <w:rPr>
          <w:rFonts w:hint="eastAsia"/>
          <w:b/>
          <w:color w:val="auto"/>
          <w:highlight w:val="none"/>
        </w:rPr>
        <w:t xml:space="preserve">3.6 </w:t>
      </w:r>
      <w:r>
        <w:rPr>
          <w:b/>
          <w:color w:val="auto"/>
          <w:highlight w:val="none"/>
        </w:rPr>
        <w:t>备选投标方案</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3.6.1 除投标人须知前附表规定允许外，投标人不得递交备选投标方案，否则其投标将被否决。</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3.6.3 投标人提供两个或两个以上投标报价，或者在投标文件中提供一个报价，但同时提供两个或两个以上供货方案的，视为提供备选方案。</w:t>
      </w:r>
    </w:p>
    <w:p>
      <w:pPr>
        <w:pStyle w:val="57"/>
        <w:numPr>
          <w:ilvl w:val="1"/>
          <w:numId w:val="2"/>
        </w:numPr>
        <w:tabs>
          <w:tab w:val="left" w:pos="1027"/>
        </w:tabs>
        <w:spacing w:beforeLines="50" w:afterLines="50" w:line="600" w:lineRule="exact"/>
        <w:ind w:left="284" w:firstLine="0"/>
        <w:rPr>
          <w:b/>
          <w:color w:val="auto"/>
          <w:highlight w:val="none"/>
        </w:rPr>
      </w:pPr>
      <w:bookmarkStart w:id="94" w:name="_bookmark45"/>
      <w:bookmarkEnd w:id="94"/>
      <w:r>
        <w:rPr>
          <w:rFonts w:hint="eastAsia"/>
          <w:b/>
          <w:color w:val="auto"/>
          <w:highlight w:val="none"/>
        </w:rPr>
        <w:t xml:space="preserve">3.7 </w:t>
      </w:r>
      <w:r>
        <w:rPr>
          <w:b/>
          <w:color w:val="auto"/>
          <w:highlight w:val="none"/>
        </w:rPr>
        <w:t>投标文件的编制</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3.7.1 投标文件应按第六章“投标文件格式”进行编写，如有必要，可以增加附页，作为投标文件的组成部分。</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3.7.2 投标文件应当对招标文件有关供货期、投标有效期、供货要求、招标范围等实质性内容作出响应。投标文件在满足招标文件实质性要求的基础上，可以提出比招标文件要求更有利于招标人的承诺。</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3.7.3（1）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（3）投标文件的正本与副本应分别装订，并编制目录，投标文件需分册装订的，具体分册装订要求见投标人须知前附表规定。</w:t>
      </w:r>
    </w:p>
    <w:p>
      <w:pPr>
        <w:pStyle w:val="56"/>
        <w:tabs>
          <w:tab w:val="left" w:pos="802"/>
        </w:tabs>
        <w:spacing w:beforeLines="50" w:afterLines="50" w:line="560" w:lineRule="exact"/>
        <w:ind w:left="0" w:firstLine="0"/>
        <w:rPr>
          <w:rFonts w:ascii="宋体" w:hAnsi="宋体" w:eastAsia="宋体"/>
          <w:color w:val="auto"/>
          <w:sz w:val="40"/>
          <w:szCs w:val="40"/>
          <w:highlight w:val="none"/>
        </w:rPr>
      </w:pPr>
      <w:bookmarkStart w:id="95" w:name="_bookmark46"/>
      <w:bookmarkEnd w:id="95"/>
      <w:r>
        <w:rPr>
          <w:rFonts w:hint="eastAsia" w:ascii="宋体" w:hAnsi="宋体" w:eastAsia="宋体"/>
          <w:color w:val="auto"/>
          <w:sz w:val="40"/>
          <w:szCs w:val="40"/>
          <w:highlight w:val="none"/>
        </w:rPr>
        <w:t>4.</w:t>
      </w:r>
      <w:r>
        <w:rPr>
          <w:rFonts w:ascii="宋体" w:hAnsi="宋体" w:eastAsia="宋体"/>
          <w:color w:val="auto"/>
          <w:sz w:val="40"/>
          <w:szCs w:val="40"/>
          <w:highlight w:val="none"/>
        </w:rPr>
        <w:t>投标</w:t>
      </w:r>
    </w:p>
    <w:p>
      <w:pPr>
        <w:pStyle w:val="57"/>
        <w:numPr>
          <w:ilvl w:val="1"/>
          <w:numId w:val="2"/>
        </w:numPr>
        <w:tabs>
          <w:tab w:val="left" w:pos="1027"/>
        </w:tabs>
        <w:spacing w:beforeLines="50" w:afterLines="50" w:line="600" w:lineRule="exact"/>
        <w:ind w:left="284" w:firstLine="0"/>
        <w:rPr>
          <w:b/>
          <w:color w:val="auto"/>
          <w:highlight w:val="none"/>
        </w:rPr>
      </w:pPr>
      <w:bookmarkStart w:id="96" w:name="_bookmark47"/>
      <w:bookmarkEnd w:id="96"/>
      <w:r>
        <w:rPr>
          <w:rFonts w:hint="eastAsia"/>
          <w:b/>
          <w:color w:val="auto"/>
          <w:highlight w:val="none"/>
        </w:rPr>
        <w:t xml:space="preserve">4.1 </w:t>
      </w:r>
      <w:r>
        <w:rPr>
          <w:b/>
          <w:color w:val="auto"/>
          <w:highlight w:val="none"/>
        </w:rPr>
        <w:t>投标文件的密封和标记</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4.1.1 投标文件应密封包装，并在封套的封口处加盖投标人单位章或由投标人的法定代表人（单位负责人）或其授权的代理人签字。</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4.1.2 投标文件封套上应写明的内容见投标人须知前附表。</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4.1.3 未按本章第 4.1.1 项要求密封的投标文件，招标人将予以拒收。</w:t>
      </w:r>
    </w:p>
    <w:p>
      <w:pPr>
        <w:pStyle w:val="57"/>
        <w:numPr>
          <w:ilvl w:val="1"/>
          <w:numId w:val="2"/>
        </w:numPr>
        <w:tabs>
          <w:tab w:val="left" w:pos="1027"/>
        </w:tabs>
        <w:spacing w:beforeLines="50" w:afterLines="50" w:line="600" w:lineRule="exact"/>
        <w:ind w:left="284" w:firstLine="0"/>
        <w:rPr>
          <w:b/>
          <w:color w:val="auto"/>
          <w:highlight w:val="none"/>
        </w:rPr>
      </w:pPr>
      <w:bookmarkStart w:id="97" w:name="_bookmark48"/>
      <w:bookmarkEnd w:id="97"/>
      <w:r>
        <w:rPr>
          <w:rFonts w:hint="eastAsia"/>
          <w:b/>
          <w:color w:val="auto"/>
          <w:highlight w:val="none"/>
        </w:rPr>
        <w:t xml:space="preserve">4.2 </w:t>
      </w:r>
      <w:r>
        <w:rPr>
          <w:b/>
          <w:color w:val="auto"/>
          <w:highlight w:val="none"/>
        </w:rPr>
        <w:t>投标文件的递交</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4.2.1 投标人应在投标人须知前附表规定的投标截止时间前递交投标文件。</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4.2.2 投标人递交投标文件的地点：见投标人须知前附表。</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4.2.3 除投标人须知前附表另有规定外，投标人所递交的投标文件不予退还。</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4.2.4 招标人收到投标文件后，向投标人出具签收凭证。</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4.2.5逾期送达的投标文件，招标人将予以拒收。</w:t>
      </w:r>
    </w:p>
    <w:p>
      <w:pPr>
        <w:pStyle w:val="57"/>
        <w:numPr>
          <w:ilvl w:val="1"/>
          <w:numId w:val="2"/>
        </w:numPr>
        <w:tabs>
          <w:tab w:val="left" w:pos="1027"/>
        </w:tabs>
        <w:spacing w:beforeLines="50" w:afterLines="50" w:line="600" w:lineRule="exact"/>
        <w:ind w:left="284" w:firstLine="0"/>
        <w:rPr>
          <w:b/>
          <w:color w:val="auto"/>
          <w:highlight w:val="none"/>
        </w:rPr>
      </w:pPr>
      <w:bookmarkStart w:id="98" w:name="_bookmark49"/>
      <w:bookmarkEnd w:id="98"/>
      <w:r>
        <w:rPr>
          <w:rFonts w:hint="eastAsia"/>
          <w:b/>
          <w:color w:val="auto"/>
          <w:highlight w:val="none"/>
        </w:rPr>
        <w:t xml:space="preserve">4.3 </w:t>
      </w:r>
      <w:r>
        <w:rPr>
          <w:b/>
          <w:color w:val="auto"/>
          <w:highlight w:val="none"/>
        </w:rPr>
        <w:t>投标文件的修改与撤回</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4.3.1 在本章第 4.2.1 项规定的投标截止时间前，投标人可以修改或撤回已递交的投标文件，但应以书面形式通知招标人。</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4.3.2 投标人修改或撤回已递交投标文件的书面通知应按照本章第 3.7.3（A）项的要求签字或盖章。招标人收到书面通知后，向投标人出具签收凭证。</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4.3.3 投标人撤回投标文件的，招标人自收到投标人书面撤回通知之日起 5 日内退还已收取的投标保证金。</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4.3.4 修改的内容为投标文件的组成部分。修改的投标文件应按照本章第3条、第4条的规定进行编制、密封、标记和递交，并标明“修改”字样。</w:t>
      </w:r>
    </w:p>
    <w:p>
      <w:pPr>
        <w:pStyle w:val="56"/>
        <w:tabs>
          <w:tab w:val="left" w:pos="802"/>
        </w:tabs>
        <w:spacing w:beforeLines="50" w:afterLines="50" w:line="560" w:lineRule="exact"/>
        <w:ind w:left="0" w:firstLine="0"/>
        <w:rPr>
          <w:rFonts w:ascii="宋体" w:hAnsi="宋体" w:eastAsia="宋体"/>
          <w:color w:val="auto"/>
          <w:sz w:val="40"/>
          <w:szCs w:val="40"/>
          <w:highlight w:val="none"/>
        </w:rPr>
      </w:pPr>
      <w:bookmarkStart w:id="99" w:name="_bookmark50"/>
      <w:bookmarkEnd w:id="99"/>
      <w:r>
        <w:rPr>
          <w:rFonts w:hint="eastAsia" w:ascii="宋体" w:hAnsi="宋体" w:eastAsia="宋体"/>
          <w:color w:val="auto"/>
          <w:sz w:val="40"/>
          <w:szCs w:val="40"/>
          <w:highlight w:val="none"/>
        </w:rPr>
        <w:t>5.</w:t>
      </w:r>
      <w:r>
        <w:rPr>
          <w:rFonts w:ascii="宋体" w:hAnsi="宋体" w:eastAsia="宋体"/>
          <w:color w:val="auto"/>
          <w:sz w:val="40"/>
          <w:szCs w:val="40"/>
          <w:highlight w:val="none"/>
        </w:rPr>
        <w:t>开标</w:t>
      </w:r>
    </w:p>
    <w:p>
      <w:pPr>
        <w:pStyle w:val="57"/>
        <w:numPr>
          <w:ilvl w:val="1"/>
          <w:numId w:val="2"/>
        </w:numPr>
        <w:tabs>
          <w:tab w:val="left" w:pos="1027"/>
        </w:tabs>
        <w:spacing w:beforeLines="50" w:afterLines="50" w:line="600" w:lineRule="exact"/>
        <w:ind w:left="284" w:firstLine="0"/>
        <w:rPr>
          <w:b/>
          <w:color w:val="auto"/>
          <w:highlight w:val="none"/>
        </w:rPr>
      </w:pPr>
      <w:bookmarkStart w:id="100" w:name="_bookmark51"/>
      <w:bookmarkEnd w:id="100"/>
      <w:r>
        <w:rPr>
          <w:rFonts w:hint="eastAsia"/>
          <w:b/>
          <w:color w:val="auto"/>
          <w:highlight w:val="none"/>
        </w:rPr>
        <w:t xml:space="preserve">5.1 </w:t>
      </w:r>
      <w:r>
        <w:rPr>
          <w:b/>
          <w:color w:val="auto"/>
          <w:highlight w:val="none"/>
        </w:rPr>
        <w:t>开标时间和地点</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招标人在本章第 4.2.1 项规定的投标截止时间（开标时间）和投标人须知前附表规定的地点公开开标，并邀请所有投标人的法定代表人（单位负责人）或其委托代理人准时参加。</w:t>
      </w:r>
    </w:p>
    <w:p>
      <w:pPr>
        <w:pStyle w:val="57"/>
        <w:numPr>
          <w:ilvl w:val="1"/>
          <w:numId w:val="2"/>
        </w:numPr>
        <w:tabs>
          <w:tab w:val="left" w:pos="1027"/>
        </w:tabs>
        <w:spacing w:beforeLines="50" w:afterLines="50" w:line="600" w:lineRule="exact"/>
        <w:ind w:left="284" w:firstLine="0"/>
        <w:rPr>
          <w:b/>
          <w:color w:val="auto"/>
          <w:highlight w:val="none"/>
        </w:rPr>
      </w:pPr>
      <w:bookmarkStart w:id="101" w:name="_bookmark53"/>
      <w:bookmarkEnd w:id="101"/>
      <w:bookmarkStart w:id="102" w:name="_bookmark52"/>
      <w:bookmarkEnd w:id="102"/>
      <w:r>
        <w:rPr>
          <w:rFonts w:hint="eastAsia"/>
          <w:b/>
          <w:color w:val="auto"/>
          <w:highlight w:val="none"/>
        </w:rPr>
        <w:t xml:space="preserve">5.2 </w:t>
      </w:r>
      <w:r>
        <w:rPr>
          <w:b/>
          <w:color w:val="auto"/>
          <w:highlight w:val="none"/>
        </w:rPr>
        <w:t>开标程序</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主持人按下列程序进行开标：</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（1）宣布开标纪律；</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（2）公布在投标截止时间前递交投标文件的投标人名称；</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（3）宣布开标人、唱标人、记录人、监标人等有关人员姓名；</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（4）检查投标文件的密封情况，按照投标人须知前附表规定的开标顺序当众开标，公布招标项目名称、投标人名称、投标保证金的递交情况、投标报价、交货期、交货地点及其他内容，并记录在案；</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（5）投标人代表、招标人代表、监标人、记录人等有关人员在开标记录上签字确认；</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（6）开标结束。</w:t>
      </w:r>
    </w:p>
    <w:p>
      <w:pPr>
        <w:pStyle w:val="57"/>
        <w:numPr>
          <w:ilvl w:val="1"/>
          <w:numId w:val="2"/>
        </w:numPr>
        <w:tabs>
          <w:tab w:val="left" w:pos="1027"/>
        </w:tabs>
        <w:spacing w:beforeLines="50" w:afterLines="50" w:line="600" w:lineRule="exact"/>
        <w:ind w:left="284" w:firstLine="0"/>
        <w:rPr>
          <w:b/>
          <w:color w:val="auto"/>
          <w:highlight w:val="none"/>
        </w:rPr>
      </w:pPr>
      <w:bookmarkStart w:id="103" w:name="_bookmark54"/>
      <w:bookmarkEnd w:id="103"/>
      <w:r>
        <w:rPr>
          <w:rFonts w:hint="eastAsia"/>
          <w:b/>
          <w:color w:val="auto"/>
          <w:highlight w:val="none"/>
        </w:rPr>
        <w:t xml:space="preserve">5.3 </w:t>
      </w:r>
      <w:r>
        <w:rPr>
          <w:b/>
          <w:color w:val="auto"/>
          <w:highlight w:val="none"/>
        </w:rPr>
        <w:t>开标异议</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投标人对开标有异议的，应当在开标现场提出，招标人当场作出答复，并制作记录。</w:t>
      </w:r>
    </w:p>
    <w:p>
      <w:pPr>
        <w:pStyle w:val="56"/>
        <w:tabs>
          <w:tab w:val="left" w:pos="802"/>
        </w:tabs>
        <w:spacing w:beforeLines="50" w:afterLines="50" w:line="560" w:lineRule="exact"/>
        <w:ind w:left="0" w:firstLine="0"/>
        <w:rPr>
          <w:rFonts w:ascii="宋体" w:hAnsi="宋体" w:eastAsia="宋体"/>
          <w:color w:val="auto"/>
          <w:sz w:val="40"/>
          <w:szCs w:val="40"/>
          <w:highlight w:val="none"/>
        </w:rPr>
      </w:pPr>
      <w:bookmarkStart w:id="104" w:name="_bookmark55"/>
      <w:bookmarkEnd w:id="104"/>
      <w:r>
        <w:rPr>
          <w:rFonts w:hint="eastAsia" w:ascii="宋体" w:hAnsi="宋体" w:eastAsia="宋体"/>
          <w:color w:val="auto"/>
          <w:sz w:val="40"/>
          <w:szCs w:val="40"/>
          <w:highlight w:val="none"/>
        </w:rPr>
        <w:t>6.</w:t>
      </w:r>
      <w:r>
        <w:rPr>
          <w:rFonts w:ascii="宋体" w:hAnsi="宋体" w:eastAsia="宋体"/>
          <w:color w:val="auto"/>
          <w:sz w:val="40"/>
          <w:szCs w:val="40"/>
          <w:highlight w:val="none"/>
        </w:rPr>
        <w:t>评标</w:t>
      </w:r>
    </w:p>
    <w:p>
      <w:pPr>
        <w:pStyle w:val="57"/>
        <w:numPr>
          <w:ilvl w:val="1"/>
          <w:numId w:val="2"/>
        </w:numPr>
        <w:tabs>
          <w:tab w:val="left" w:pos="1027"/>
        </w:tabs>
        <w:spacing w:beforeLines="50" w:afterLines="50" w:line="600" w:lineRule="exact"/>
        <w:ind w:left="284" w:firstLine="0"/>
        <w:rPr>
          <w:b/>
          <w:color w:val="auto"/>
          <w:highlight w:val="none"/>
        </w:rPr>
      </w:pPr>
      <w:bookmarkStart w:id="105" w:name="_bookmark56"/>
      <w:bookmarkEnd w:id="105"/>
      <w:r>
        <w:rPr>
          <w:rFonts w:hint="eastAsia"/>
          <w:b/>
          <w:color w:val="auto"/>
          <w:highlight w:val="none"/>
        </w:rPr>
        <w:t xml:space="preserve">6.1 </w:t>
      </w:r>
      <w:r>
        <w:rPr>
          <w:b/>
          <w:color w:val="auto"/>
          <w:highlight w:val="none"/>
        </w:rPr>
        <w:t>评标委员会</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6.1.2 评标委员会成员有下列情形之一的，应当回避：</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（1）投标人或投标人主要负责人的近亲属；</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（2）项目主管部门或者行政监督部门的人员；</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（3）与投标人有经济利益关系，可能影响对投标公正评审的；</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（4）曾因在招标、评标以及其他与招标投标有关活动中从事违法行为而受过行政处罚或刑事处罚的；</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（5）与投标人有其他利害关系。</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57"/>
        <w:numPr>
          <w:ilvl w:val="1"/>
          <w:numId w:val="2"/>
        </w:numPr>
        <w:tabs>
          <w:tab w:val="left" w:pos="1027"/>
        </w:tabs>
        <w:spacing w:beforeLines="50" w:afterLines="50" w:line="600" w:lineRule="exact"/>
        <w:ind w:left="284" w:firstLine="0"/>
        <w:rPr>
          <w:b/>
          <w:color w:val="auto"/>
          <w:highlight w:val="none"/>
        </w:rPr>
      </w:pPr>
      <w:bookmarkStart w:id="106" w:name="_bookmark57"/>
      <w:bookmarkEnd w:id="106"/>
      <w:r>
        <w:rPr>
          <w:rFonts w:hint="eastAsia"/>
          <w:b/>
          <w:color w:val="auto"/>
          <w:highlight w:val="none"/>
        </w:rPr>
        <w:t xml:space="preserve">6.2 </w:t>
      </w:r>
      <w:r>
        <w:rPr>
          <w:b/>
          <w:color w:val="auto"/>
          <w:highlight w:val="none"/>
        </w:rPr>
        <w:t>评标原则</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评标活动遵循公平、公正、科学和择优的原则。</w:t>
      </w:r>
    </w:p>
    <w:p>
      <w:pPr>
        <w:pStyle w:val="57"/>
        <w:numPr>
          <w:ilvl w:val="1"/>
          <w:numId w:val="2"/>
        </w:numPr>
        <w:tabs>
          <w:tab w:val="left" w:pos="1027"/>
        </w:tabs>
        <w:spacing w:beforeLines="50" w:afterLines="50" w:line="600" w:lineRule="exact"/>
        <w:ind w:left="284" w:firstLine="0"/>
        <w:rPr>
          <w:b/>
          <w:color w:val="auto"/>
          <w:highlight w:val="none"/>
        </w:rPr>
      </w:pPr>
      <w:bookmarkStart w:id="107" w:name="_bookmark58"/>
      <w:bookmarkEnd w:id="107"/>
      <w:r>
        <w:rPr>
          <w:rFonts w:hint="eastAsia"/>
          <w:b/>
          <w:color w:val="auto"/>
          <w:highlight w:val="none"/>
        </w:rPr>
        <w:t xml:space="preserve">6.3 </w:t>
      </w:r>
      <w:r>
        <w:rPr>
          <w:b/>
          <w:color w:val="auto"/>
          <w:highlight w:val="none"/>
        </w:rPr>
        <w:t>评标</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6.3.1 评标委员会按照第三章“评标办法”规定的方法、评审因素、标准和程序对投标文件进行评审。第三章“评标办法”没有规定的方法、评审因素和标准，不作为评标依据。</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6.3.2 评标完成后，评标委员会应当向招标人提交书面评标报告和中标候选人名单。评标委员会推荐中标候选人的人数见投标人须知前附表。</w:t>
      </w:r>
    </w:p>
    <w:p>
      <w:pPr>
        <w:pStyle w:val="56"/>
        <w:tabs>
          <w:tab w:val="left" w:pos="802"/>
        </w:tabs>
        <w:spacing w:beforeLines="50" w:afterLines="50" w:line="560" w:lineRule="exact"/>
        <w:ind w:left="0" w:firstLine="0"/>
        <w:rPr>
          <w:rFonts w:ascii="宋体" w:hAnsi="宋体" w:eastAsia="宋体"/>
          <w:color w:val="auto"/>
          <w:sz w:val="40"/>
          <w:szCs w:val="40"/>
          <w:highlight w:val="none"/>
        </w:rPr>
      </w:pPr>
      <w:bookmarkStart w:id="108" w:name="_bookmark59"/>
      <w:bookmarkEnd w:id="108"/>
      <w:r>
        <w:rPr>
          <w:rFonts w:hint="eastAsia" w:ascii="宋体" w:hAnsi="宋体" w:eastAsia="宋体"/>
          <w:color w:val="auto"/>
          <w:sz w:val="40"/>
          <w:szCs w:val="40"/>
          <w:highlight w:val="none"/>
        </w:rPr>
        <w:t>7.</w:t>
      </w:r>
      <w:r>
        <w:rPr>
          <w:rFonts w:ascii="宋体" w:hAnsi="宋体" w:eastAsia="宋体"/>
          <w:color w:val="auto"/>
          <w:sz w:val="40"/>
          <w:szCs w:val="40"/>
          <w:highlight w:val="none"/>
        </w:rPr>
        <w:t>合同授予</w:t>
      </w:r>
    </w:p>
    <w:p>
      <w:pPr>
        <w:pStyle w:val="57"/>
        <w:numPr>
          <w:ilvl w:val="1"/>
          <w:numId w:val="2"/>
        </w:numPr>
        <w:tabs>
          <w:tab w:val="left" w:pos="1027"/>
        </w:tabs>
        <w:spacing w:beforeLines="50" w:afterLines="50" w:line="600" w:lineRule="exact"/>
        <w:ind w:left="284" w:firstLine="0"/>
        <w:rPr>
          <w:b/>
          <w:color w:val="auto"/>
          <w:highlight w:val="none"/>
        </w:rPr>
      </w:pPr>
      <w:bookmarkStart w:id="109" w:name="_bookmark60"/>
      <w:bookmarkEnd w:id="109"/>
      <w:r>
        <w:rPr>
          <w:rFonts w:hint="eastAsia"/>
          <w:b/>
          <w:color w:val="auto"/>
          <w:highlight w:val="none"/>
        </w:rPr>
        <w:t xml:space="preserve">7.1 </w:t>
      </w:r>
      <w:r>
        <w:rPr>
          <w:b/>
          <w:color w:val="auto"/>
          <w:highlight w:val="none"/>
        </w:rPr>
        <w:t>中标候选人公示</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招标人在收到评标报告之日起 3 日内，按照投标人须知前附表规定的公示媒介和期限公示中标候选人，公示期不得少于 3 天。</w:t>
      </w:r>
    </w:p>
    <w:p>
      <w:pPr>
        <w:pStyle w:val="57"/>
        <w:numPr>
          <w:ilvl w:val="1"/>
          <w:numId w:val="2"/>
        </w:numPr>
        <w:tabs>
          <w:tab w:val="left" w:pos="1027"/>
        </w:tabs>
        <w:spacing w:beforeLines="50" w:afterLines="50" w:line="600" w:lineRule="exact"/>
        <w:ind w:left="284" w:firstLine="0"/>
        <w:rPr>
          <w:b/>
          <w:color w:val="auto"/>
          <w:highlight w:val="none"/>
        </w:rPr>
      </w:pPr>
      <w:bookmarkStart w:id="110" w:name="_bookmark61"/>
      <w:bookmarkEnd w:id="110"/>
      <w:r>
        <w:rPr>
          <w:rFonts w:hint="eastAsia"/>
          <w:b/>
          <w:color w:val="auto"/>
          <w:highlight w:val="none"/>
        </w:rPr>
        <w:t xml:space="preserve">7.2 </w:t>
      </w:r>
      <w:r>
        <w:rPr>
          <w:b/>
          <w:color w:val="auto"/>
          <w:highlight w:val="none"/>
        </w:rPr>
        <w:t>评标结果异议</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投标人或者其他利害关系人对评标结果有异议的，应当在中标候选人公示期间提出。招标人将在收到异议之日起 3 日内作出答复；作出答复前，将暂停招标投标活动。</w:t>
      </w:r>
    </w:p>
    <w:p>
      <w:pPr>
        <w:pStyle w:val="57"/>
        <w:numPr>
          <w:ilvl w:val="1"/>
          <w:numId w:val="2"/>
        </w:numPr>
        <w:tabs>
          <w:tab w:val="left" w:pos="1027"/>
        </w:tabs>
        <w:spacing w:beforeLines="50" w:afterLines="50" w:line="600" w:lineRule="exact"/>
        <w:ind w:left="284" w:firstLine="0"/>
        <w:rPr>
          <w:b/>
          <w:color w:val="auto"/>
          <w:highlight w:val="none"/>
        </w:rPr>
      </w:pPr>
      <w:bookmarkStart w:id="111" w:name="_bookmark62"/>
      <w:bookmarkEnd w:id="111"/>
      <w:r>
        <w:rPr>
          <w:rFonts w:hint="eastAsia"/>
          <w:b/>
          <w:color w:val="auto"/>
          <w:highlight w:val="none"/>
        </w:rPr>
        <w:t xml:space="preserve">7.3 </w:t>
      </w:r>
      <w:r>
        <w:rPr>
          <w:b/>
          <w:color w:val="auto"/>
          <w:highlight w:val="none"/>
        </w:rPr>
        <w:t>中标候选人履约能力审查</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57"/>
        <w:numPr>
          <w:ilvl w:val="1"/>
          <w:numId w:val="2"/>
        </w:numPr>
        <w:tabs>
          <w:tab w:val="left" w:pos="1027"/>
        </w:tabs>
        <w:spacing w:beforeLines="50" w:afterLines="50" w:line="600" w:lineRule="exact"/>
        <w:ind w:left="284" w:firstLine="0"/>
        <w:rPr>
          <w:b/>
          <w:color w:val="auto"/>
          <w:highlight w:val="none"/>
        </w:rPr>
      </w:pPr>
      <w:bookmarkStart w:id="112" w:name="_bookmark63"/>
      <w:bookmarkEnd w:id="112"/>
      <w:r>
        <w:rPr>
          <w:rFonts w:hint="eastAsia"/>
          <w:b/>
          <w:color w:val="auto"/>
          <w:highlight w:val="none"/>
        </w:rPr>
        <w:t xml:space="preserve">7.4 </w:t>
      </w:r>
      <w:r>
        <w:rPr>
          <w:b/>
          <w:color w:val="auto"/>
          <w:highlight w:val="none"/>
        </w:rPr>
        <w:t>定标</w:t>
      </w:r>
    </w:p>
    <w:p>
      <w:pPr>
        <w:pStyle w:val="60"/>
        <w:tabs>
          <w:tab w:val="left" w:pos="1294"/>
        </w:tabs>
        <w:spacing w:line="460" w:lineRule="exact"/>
        <w:ind w:left="0" w:firstLine="480" w:firstLineChars="200"/>
        <w:jc w:val="both"/>
        <w:rPr>
          <w:color w:val="auto"/>
          <w:highlight w:val="none"/>
        </w:rPr>
      </w:pPr>
      <w:r>
        <w:rPr>
          <w:rFonts w:hint="eastAsia"/>
          <w:bCs/>
          <w:color w:val="auto"/>
          <w:sz w:val="24"/>
          <w:szCs w:val="24"/>
          <w:highlight w:val="none"/>
        </w:rPr>
        <w:t>按照投标人须知前附表的规定，招标人或招标人授权的评标委员会依法确定中标人</w:t>
      </w:r>
      <w:r>
        <w:rPr>
          <w:color w:val="auto"/>
          <w:sz w:val="21"/>
          <w:highlight w:val="none"/>
        </w:rPr>
        <w:t>。</w:t>
      </w:r>
    </w:p>
    <w:p>
      <w:pPr>
        <w:pStyle w:val="57"/>
        <w:numPr>
          <w:ilvl w:val="1"/>
          <w:numId w:val="2"/>
        </w:numPr>
        <w:tabs>
          <w:tab w:val="left" w:pos="1027"/>
        </w:tabs>
        <w:spacing w:beforeLines="50" w:afterLines="50" w:line="600" w:lineRule="exact"/>
        <w:ind w:left="284" w:firstLine="0"/>
        <w:rPr>
          <w:b/>
          <w:color w:val="auto"/>
          <w:highlight w:val="none"/>
        </w:rPr>
      </w:pPr>
      <w:bookmarkStart w:id="113" w:name="_bookmark64"/>
      <w:bookmarkEnd w:id="113"/>
      <w:r>
        <w:rPr>
          <w:rFonts w:hint="eastAsia"/>
          <w:b/>
          <w:color w:val="auto"/>
          <w:highlight w:val="none"/>
        </w:rPr>
        <w:t xml:space="preserve">7.5 </w:t>
      </w:r>
      <w:r>
        <w:rPr>
          <w:b/>
          <w:color w:val="auto"/>
          <w:highlight w:val="none"/>
        </w:rPr>
        <w:t>中标通知</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在本章第 3.3 款规定的投标有效期内，招标人以书面形式向中标人发出中标通知书，同时将中标结果通知未中标的投标人</w:t>
      </w:r>
      <w:r>
        <w:rPr>
          <w:color w:val="auto"/>
          <w:sz w:val="21"/>
          <w:highlight w:val="none"/>
        </w:rPr>
        <w:t>。</w:t>
      </w:r>
    </w:p>
    <w:p>
      <w:pPr>
        <w:pStyle w:val="57"/>
        <w:numPr>
          <w:ilvl w:val="1"/>
          <w:numId w:val="2"/>
        </w:numPr>
        <w:tabs>
          <w:tab w:val="left" w:pos="1027"/>
        </w:tabs>
        <w:spacing w:beforeLines="50" w:afterLines="50" w:line="600" w:lineRule="exact"/>
        <w:ind w:left="284" w:firstLine="0"/>
        <w:rPr>
          <w:b/>
          <w:color w:val="auto"/>
          <w:highlight w:val="none"/>
        </w:rPr>
      </w:pPr>
      <w:bookmarkStart w:id="114" w:name="_bookmark65"/>
      <w:bookmarkEnd w:id="114"/>
      <w:r>
        <w:rPr>
          <w:rFonts w:hint="eastAsia"/>
          <w:b/>
          <w:color w:val="auto"/>
          <w:highlight w:val="none"/>
        </w:rPr>
        <w:t xml:space="preserve">7.6 </w:t>
      </w:r>
      <w:r>
        <w:rPr>
          <w:b/>
          <w:color w:val="auto"/>
          <w:highlight w:val="none"/>
        </w:rPr>
        <w:t>履约保证金</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7.6.1 本项目不要求中标人提交履约保证金</w:t>
      </w:r>
      <w:r>
        <w:rPr>
          <w:rFonts w:hint="eastAsia"/>
          <w:bCs/>
          <w:color w:val="auto"/>
          <w:sz w:val="24"/>
          <w:szCs w:val="24"/>
          <w:highlight w:val="none"/>
          <w:lang w:val="en-US"/>
        </w:rPr>
        <w:t>,招标人其他要求详见“第四章 合同条款及格式”</w:t>
      </w:r>
      <w:r>
        <w:rPr>
          <w:rFonts w:hint="eastAsia"/>
          <w:color w:val="auto"/>
          <w:sz w:val="21"/>
          <w:highlight w:val="none"/>
          <w:lang w:val="en-US"/>
        </w:rPr>
        <w:t>。</w:t>
      </w:r>
    </w:p>
    <w:p>
      <w:pPr>
        <w:pStyle w:val="57"/>
        <w:numPr>
          <w:ilvl w:val="1"/>
          <w:numId w:val="2"/>
        </w:numPr>
        <w:tabs>
          <w:tab w:val="left" w:pos="1027"/>
        </w:tabs>
        <w:spacing w:beforeLines="50" w:afterLines="50" w:line="600" w:lineRule="exact"/>
        <w:ind w:left="284" w:firstLine="0"/>
        <w:rPr>
          <w:b/>
          <w:color w:val="auto"/>
          <w:highlight w:val="none"/>
        </w:rPr>
      </w:pPr>
      <w:bookmarkStart w:id="115" w:name="_bookmark66"/>
      <w:bookmarkEnd w:id="115"/>
      <w:r>
        <w:rPr>
          <w:rFonts w:hint="eastAsia"/>
          <w:b/>
          <w:color w:val="auto"/>
          <w:highlight w:val="none"/>
        </w:rPr>
        <w:t xml:space="preserve">7.7 </w:t>
      </w:r>
      <w:r>
        <w:rPr>
          <w:b/>
          <w:color w:val="auto"/>
          <w:highlight w:val="none"/>
        </w:rPr>
        <w:t>签订合同</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7.7.2 发出中标通知书后，招标人无正当理由拒签合同，或者在签订合同时向中标人提出附加条件的，招标人向中标人退还投标保证金；给中标人造成损失的，还应当赔偿损失。</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7.7.2 联合体中标的，联合体各方应当共同与招标人签订合同，就中标项目向招标人承担连带责任</w:t>
      </w:r>
      <w:r>
        <w:rPr>
          <w:color w:val="auto"/>
          <w:sz w:val="21"/>
          <w:highlight w:val="none"/>
        </w:rPr>
        <w:t>。</w:t>
      </w:r>
    </w:p>
    <w:p>
      <w:pPr>
        <w:pStyle w:val="56"/>
        <w:tabs>
          <w:tab w:val="left" w:pos="802"/>
        </w:tabs>
        <w:spacing w:beforeLines="50" w:afterLines="50" w:line="560" w:lineRule="exact"/>
        <w:ind w:left="0" w:firstLine="0"/>
        <w:rPr>
          <w:rFonts w:ascii="宋体" w:hAnsi="宋体" w:eastAsia="宋体"/>
          <w:color w:val="auto"/>
          <w:sz w:val="40"/>
          <w:szCs w:val="40"/>
          <w:highlight w:val="none"/>
        </w:rPr>
      </w:pPr>
      <w:bookmarkStart w:id="116" w:name="_bookmark67"/>
      <w:bookmarkEnd w:id="116"/>
      <w:r>
        <w:rPr>
          <w:rFonts w:ascii="宋体" w:hAnsi="宋体" w:eastAsia="宋体"/>
          <w:color w:val="auto"/>
          <w:sz w:val="40"/>
          <w:szCs w:val="40"/>
          <w:highlight w:val="none"/>
        </w:rPr>
        <w:t>8.纪律和监督</w:t>
      </w:r>
    </w:p>
    <w:p>
      <w:pPr>
        <w:pStyle w:val="57"/>
        <w:numPr>
          <w:ilvl w:val="1"/>
          <w:numId w:val="2"/>
        </w:numPr>
        <w:tabs>
          <w:tab w:val="left" w:pos="1027"/>
        </w:tabs>
        <w:spacing w:beforeLines="50" w:afterLines="50" w:line="600" w:lineRule="exact"/>
        <w:ind w:left="284" w:firstLine="0"/>
        <w:rPr>
          <w:b/>
          <w:color w:val="auto"/>
          <w:highlight w:val="none"/>
        </w:rPr>
      </w:pPr>
      <w:bookmarkStart w:id="117" w:name="_bookmark68"/>
      <w:bookmarkEnd w:id="117"/>
      <w:r>
        <w:rPr>
          <w:rFonts w:hint="eastAsia"/>
          <w:b/>
          <w:color w:val="auto"/>
          <w:highlight w:val="none"/>
        </w:rPr>
        <w:t xml:space="preserve">8.1 </w:t>
      </w:r>
      <w:r>
        <w:rPr>
          <w:b/>
          <w:color w:val="auto"/>
          <w:highlight w:val="none"/>
        </w:rPr>
        <w:t>对招标人的纪律要求</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招标人不得泄露招标投标活动中应当保密的情况和资料，不得与投标人串通损害国家利益、社会公共利益或者他人合法权益</w:t>
      </w:r>
      <w:r>
        <w:rPr>
          <w:color w:val="auto"/>
          <w:sz w:val="21"/>
          <w:highlight w:val="none"/>
        </w:rPr>
        <w:t>。</w:t>
      </w:r>
    </w:p>
    <w:p>
      <w:pPr>
        <w:pStyle w:val="57"/>
        <w:numPr>
          <w:ilvl w:val="1"/>
          <w:numId w:val="2"/>
        </w:numPr>
        <w:tabs>
          <w:tab w:val="left" w:pos="1027"/>
        </w:tabs>
        <w:spacing w:beforeLines="50" w:afterLines="50" w:line="600" w:lineRule="exact"/>
        <w:ind w:left="284" w:firstLine="0"/>
        <w:rPr>
          <w:b/>
          <w:color w:val="auto"/>
          <w:highlight w:val="none"/>
        </w:rPr>
      </w:pPr>
      <w:bookmarkStart w:id="118" w:name="_bookmark69"/>
      <w:bookmarkEnd w:id="118"/>
      <w:r>
        <w:rPr>
          <w:rFonts w:hint="eastAsia"/>
          <w:b/>
          <w:color w:val="auto"/>
          <w:highlight w:val="none"/>
        </w:rPr>
        <w:t xml:space="preserve">8.2 </w:t>
      </w:r>
      <w:r>
        <w:rPr>
          <w:b/>
          <w:color w:val="auto"/>
          <w:highlight w:val="none"/>
        </w:rPr>
        <w:t>对投标人的纪律要求</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r>
        <w:rPr>
          <w:color w:val="auto"/>
          <w:sz w:val="21"/>
          <w:highlight w:val="none"/>
        </w:rPr>
        <w:t>。</w:t>
      </w:r>
    </w:p>
    <w:p>
      <w:pPr>
        <w:pStyle w:val="57"/>
        <w:numPr>
          <w:ilvl w:val="1"/>
          <w:numId w:val="2"/>
        </w:numPr>
        <w:tabs>
          <w:tab w:val="left" w:pos="1027"/>
        </w:tabs>
        <w:spacing w:beforeLines="50" w:afterLines="50" w:line="600" w:lineRule="exact"/>
        <w:ind w:left="284" w:firstLine="0"/>
        <w:rPr>
          <w:b/>
          <w:color w:val="auto"/>
          <w:highlight w:val="none"/>
        </w:rPr>
      </w:pPr>
      <w:bookmarkStart w:id="119" w:name="_bookmark70"/>
      <w:bookmarkEnd w:id="119"/>
      <w:r>
        <w:rPr>
          <w:rFonts w:hint="eastAsia"/>
          <w:b/>
          <w:color w:val="auto"/>
          <w:highlight w:val="none"/>
        </w:rPr>
        <w:t xml:space="preserve">8.3 </w:t>
      </w:r>
      <w:r>
        <w:rPr>
          <w:b/>
          <w:color w:val="auto"/>
          <w:highlight w:val="none"/>
        </w:rPr>
        <w:t>对评标委员会成员的纪律要求</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r>
        <w:rPr>
          <w:color w:val="auto"/>
          <w:sz w:val="21"/>
          <w:highlight w:val="none"/>
        </w:rPr>
        <w:t>。</w:t>
      </w:r>
    </w:p>
    <w:p>
      <w:pPr>
        <w:pStyle w:val="57"/>
        <w:numPr>
          <w:ilvl w:val="1"/>
          <w:numId w:val="2"/>
        </w:numPr>
        <w:tabs>
          <w:tab w:val="left" w:pos="1027"/>
        </w:tabs>
        <w:spacing w:beforeLines="50" w:afterLines="50" w:line="600" w:lineRule="exact"/>
        <w:ind w:left="284" w:firstLine="0"/>
        <w:rPr>
          <w:b/>
          <w:color w:val="auto"/>
          <w:highlight w:val="none"/>
        </w:rPr>
      </w:pPr>
      <w:bookmarkStart w:id="120" w:name="_bookmark71"/>
      <w:bookmarkEnd w:id="120"/>
      <w:r>
        <w:rPr>
          <w:rFonts w:hint="eastAsia"/>
          <w:b/>
          <w:color w:val="auto"/>
          <w:highlight w:val="none"/>
        </w:rPr>
        <w:t xml:space="preserve">8.4 </w:t>
      </w:r>
      <w:r>
        <w:rPr>
          <w:b/>
          <w:color w:val="auto"/>
          <w:highlight w:val="none"/>
        </w:rPr>
        <w:t>对与评标活动有关的工作人员的纪律要求</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r>
        <w:rPr>
          <w:color w:val="auto"/>
          <w:sz w:val="21"/>
          <w:highlight w:val="none"/>
        </w:rPr>
        <w:t>。</w:t>
      </w:r>
    </w:p>
    <w:p>
      <w:pPr>
        <w:pStyle w:val="57"/>
        <w:numPr>
          <w:ilvl w:val="1"/>
          <w:numId w:val="2"/>
        </w:numPr>
        <w:tabs>
          <w:tab w:val="left" w:pos="1027"/>
        </w:tabs>
        <w:spacing w:beforeLines="50" w:afterLines="50" w:line="600" w:lineRule="exact"/>
        <w:ind w:left="284" w:firstLine="0"/>
        <w:rPr>
          <w:b/>
          <w:color w:val="auto"/>
          <w:highlight w:val="none"/>
        </w:rPr>
      </w:pPr>
      <w:bookmarkStart w:id="121" w:name="_bookmark72"/>
      <w:bookmarkEnd w:id="121"/>
      <w:r>
        <w:rPr>
          <w:rFonts w:hint="eastAsia"/>
          <w:b/>
          <w:color w:val="auto"/>
          <w:highlight w:val="none"/>
        </w:rPr>
        <w:t xml:space="preserve">8.5 </w:t>
      </w:r>
      <w:r>
        <w:rPr>
          <w:b/>
          <w:color w:val="auto"/>
          <w:highlight w:val="none"/>
        </w:rPr>
        <w:t>投诉</w:t>
      </w:r>
    </w:p>
    <w:p>
      <w:pPr>
        <w:pStyle w:val="60"/>
        <w:tabs>
          <w:tab w:val="left" w:pos="1294"/>
        </w:tabs>
        <w:spacing w:line="460" w:lineRule="exact"/>
        <w:ind w:left="0" w:firstLine="480" w:firstLineChars="200"/>
        <w:jc w:val="both"/>
        <w:rPr>
          <w:bCs/>
          <w:color w:val="auto"/>
          <w:sz w:val="24"/>
          <w:szCs w:val="24"/>
          <w:highlight w:val="none"/>
        </w:rPr>
      </w:pPr>
      <w:r>
        <w:rPr>
          <w:rFonts w:hint="eastAsia"/>
          <w:bCs/>
          <w:color w:val="auto"/>
          <w:sz w:val="24"/>
          <w:szCs w:val="24"/>
          <w:highlight w:val="none"/>
        </w:rPr>
        <w:t>8.5.1 投标人或者其他利害关系人认为招标投标活动不符合法律、行政法规规定的，可以自知道或者应当知道之日起 10 日内向有关行政监督部门投诉。投诉应当有明确的请求和必要的证明材料。</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8.5.2 投标人或者其他利害关系人对招标文件、开标和评标结果提出投诉的，应当按照投标人须知第 2.4 款、第 5.3 款和第 7.2 款的规定先向招标人提出异议。异议答复期间不计算在第 8.5.1 项规定的期限内</w:t>
      </w:r>
      <w:r>
        <w:rPr>
          <w:color w:val="auto"/>
          <w:sz w:val="21"/>
          <w:highlight w:val="none"/>
        </w:rPr>
        <w:t>。</w:t>
      </w:r>
    </w:p>
    <w:p>
      <w:pPr>
        <w:pStyle w:val="56"/>
        <w:tabs>
          <w:tab w:val="left" w:pos="802"/>
        </w:tabs>
        <w:spacing w:beforeLines="50" w:afterLines="50" w:line="560" w:lineRule="exact"/>
        <w:ind w:left="0" w:firstLine="0"/>
        <w:rPr>
          <w:rFonts w:ascii="宋体" w:hAnsi="宋体" w:eastAsia="宋体"/>
          <w:color w:val="auto"/>
          <w:sz w:val="40"/>
          <w:szCs w:val="40"/>
          <w:highlight w:val="none"/>
        </w:rPr>
      </w:pPr>
      <w:bookmarkStart w:id="122" w:name="_bookmark73"/>
      <w:bookmarkEnd w:id="122"/>
      <w:r>
        <w:rPr>
          <w:rFonts w:hint="eastAsia" w:ascii="宋体" w:hAnsi="宋体" w:eastAsia="宋体"/>
          <w:color w:val="auto"/>
          <w:sz w:val="40"/>
          <w:szCs w:val="40"/>
          <w:highlight w:val="none"/>
        </w:rPr>
        <w:t>9.</w:t>
      </w:r>
      <w:r>
        <w:rPr>
          <w:rFonts w:ascii="宋体" w:hAnsi="宋体" w:eastAsia="宋体"/>
          <w:color w:val="auto"/>
          <w:sz w:val="40"/>
          <w:szCs w:val="40"/>
          <w:highlight w:val="none"/>
        </w:rPr>
        <w:t>是否采用电子招标投标</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本招标项目是否采用电子招标投标方式，见投标人须知前附表</w:t>
      </w:r>
      <w:r>
        <w:rPr>
          <w:color w:val="auto"/>
          <w:sz w:val="21"/>
          <w:highlight w:val="none"/>
        </w:rPr>
        <w:t>。</w:t>
      </w:r>
    </w:p>
    <w:p>
      <w:pPr>
        <w:pStyle w:val="56"/>
        <w:tabs>
          <w:tab w:val="left" w:pos="802"/>
        </w:tabs>
        <w:spacing w:beforeLines="50" w:afterLines="50" w:line="560" w:lineRule="exact"/>
        <w:ind w:left="0" w:firstLine="0"/>
        <w:rPr>
          <w:rFonts w:ascii="宋体" w:hAnsi="宋体" w:eastAsia="宋体"/>
          <w:color w:val="auto"/>
          <w:sz w:val="40"/>
          <w:szCs w:val="40"/>
          <w:highlight w:val="none"/>
        </w:rPr>
      </w:pPr>
      <w:bookmarkStart w:id="123" w:name="_bookmark74"/>
      <w:bookmarkEnd w:id="123"/>
      <w:r>
        <w:rPr>
          <w:rFonts w:hint="eastAsia" w:ascii="宋体" w:hAnsi="宋体" w:eastAsia="宋体"/>
          <w:color w:val="auto"/>
          <w:sz w:val="40"/>
          <w:szCs w:val="40"/>
          <w:highlight w:val="none"/>
        </w:rPr>
        <w:t>10.</w:t>
      </w:r>
      <w:r>
        <w:rPr>
          <w:rFonts w:ascii="宋体" w:hAnsi="宋体" w:eastAsia="宋体"/>
          <w:color w:val="auto"/>
          <w:sz w:val="40"/>
          <w:szCs w:val="40"/>
          <w:highlight w:val="none"/>
        </w:rPr>
        <w:t>需要补充的其他内容</w:t>
      </w:r>
    </w:p>
    <w:p>
      <w:pPr>
        <w:pStyle w:val="60"/>
        <w:tabs>
          <w:tab w:val="left" w:pos="1294"/>
        </w:tabs>
        <w:spacing w:line="460" w:lineRule="exact"/>
        <w:ind w:left="0" w:firstLine="480" w:firstLineChars="200"/>
        <w:jc w:val="both"/>
        <w:rPr>
          <w:color w:val="auto"/>
          <w:sz w:val="21"/>
          <w:highlight w:val="none"/>
        </w:rPr>
      </w:pPr>
      <w:r>
        <w:rPr>
          <w:rFonts w:hint="eastAsia"/>
          <w:bCs/>
          <w:color w:val="auto"/>
          <w:sz w:val="24"/>
          <w:szCs w:val="24"/>
          <w:highlight w:val="none"/>
        </w:rPr>
        <w:t>需要补充的其他内容：见投标人须知前附表</w:t>
      </w:r>
      <w:r>
        <w:rPr>
          <w:color w:val="auto"/>
          <w:sz w:val="21"/>
          <w:highlight w:val="none"/>
        </w:rPr>
        <w:t>。</w:t>
      </w:r>
    </w:p>
    <w:p>
      <w:pPr>
        <w:rPr>
          <w:color w:val="auto"/>
          <w:highlight w:val="none"/>
        </w:rPr>
        <w:sectPr>
          <w:type w:val="continuous"/>
          <w:pgSz w:w="11907" w:h="16839"/>
          <w:pgMar w:top="1417" w:right="1587" w:bottom="1417" w:left="1587" w:header="0" w:footer="841" w:gutter="0"/>
          <w:pgNumType w:fmt="decimal"/>
          <w:cols w:space="720" w:num="1"/>
        </w:sectPr>
      </w:pPr>
    </w:p>
    <w:p>
      <w:pPr>
        <w:widowControl/>
        <w:autoSpaceDE/>
        <w:autoSpaceDN/>
        <w:rPr>
          <w:color w:val="auto"/>
          <w:sz w:val="28"/>
          <w:szCs w:val="28"/>
          <w:highlight w:val="none"/>
        </w:rPr>
      </w:pPr>
      <w:bookmarkStart w:id="124" w:name="_bookmark75"/>
      <w:bookmarkEnd w:id="124"/>
      <w:bookmarkStart w:id="125" w:name="_Toc129271751"/>
      <w:bookmarkStart w:id="126" w:name="_Toc24407"/>
      <w:r>
        <w:rPr>
          <w:color w:val="auto"/>
          <w:highlight w:val="none"/>
        </w:rPr>
        <w:br w:type="page"/>
      </w:r>
    </w:p>
    <w:p>
      <w:pPr>
        <w:pStyle w:val="57"/>
        <w:spacing w:before="43"/>
        <w:ind w:left="537" w:firstLine="0"/>
        <w:outlineLvl w:val="9"/>
        <w:rPr>
          <w:color w:val="auto"/>
          <w:highlight w:val="none"/>
        </w:rPr>
      </w:pPr>
      <w:bookmarkStart w:id="127" w:name="_Toc15551"/>
      <w:r>
        <w:rPr>
          <w:color w:val="auto"/>
          <w:highlight w:val="none"/>
        </w:rPr>
        <w:t>附件一：开标记录表</w:t>
      </w:r>
      <w:bookmarkEnd w:id="125"/>
      <w:bookmarkEnd w:id="126"/>
      <w:bookmarkEnd w:id="127"/>
    </w:p>
    <w:p>
      <w:pPr>
        <w:pStyle w:val="15"/>
        <w:rPr>
          <w:color w:val="auto"/>
          <w:sz w:val="20"/>
          <w:highlight w:val="none"/>
        </w:rPr>
      </w:pPr>
    </w:p>
    <w:p>
      <w:pPr>
        <w:pStyle w:val="15"/>
        <w:spacing w:before="8"/>
        <w:rPr>
          <w:color w:val="auto"/>
          <w:highlight w:val="none"/>
        </w:rPr>
      </w:pPr>
    </w:p>
    <w:p>
      <w:pPr>
        <w:spacing w:before="61"/>
        <w:ind w:right="296"/>
        <w:jc w:val="center"/>
        <w:rPr>
          <w:color w:val="auto"/>
          <w:sz w:val="28"/>
          <w:highlight w:val="none"/>
        </w:rPr>
      </w:pPr>
      <w:r>
        <w:rPr>
          <w:color w:val="auto"/>
          <w:sz w:val="28"/>
          <w:highlight w:val="none"/>
        </w:rPr>
        <w:t>开标记录表</w:t>
      </w:r>
    </w:p>
    <w:p>
      <w:pPr>
        <w:pStyle w:val="15"/>
        <w:tabs>
          <w:tab w:val="left" w:pos="3794"/>
          <w:tab w:val="left" w:pos="4948"/>
          <w:tab w:val="left" w:pos="6103"/>
          <w:tab w:val="left" w:pos="7258"/>
          <w:tab w:val="left" w:pos="8413"/>
        </w:tabs>
        <w:spacing w:before="237"/>
        <w:ind w:left="1797"/>
        <w:rPr>
          <w:color w:val="auto"/>
          <w:sz w:val="24"/>
          <w:szCs w:val="24"/>
          <w:highlight w:val="none"/>
        </w:rPr>
      </w:pPr>
      <w:r>
        <w:rPr>
          <w:color w:val="auto"/>
          <w:sz w:val="24"/>
          <w:szCs w:val="24"/>
          <w:highlight w:val="none"/>
        </w:rPr>
        <w:t>开标时间：</w:t>
      </w:r>
      <w:r>
        <w:rPr>
          <w:color w:val="auto"/>
          <w:sz w:val="24"/>
          <w:szCs w:val="24"/>
          <w:highlight w:val="none"/>
          <w:u w:val="single"/>
        </w:rPr>
        <w:tab/>
      </w:r>
      <w:r>
        <w:rPr>
          <w:color w:val="auto"/>
          <w:sz w:val="24"/>
          <w:szCs w:val="24"/>
          <w:highlight w:val="none"/>
        </w:rPr>
        <w:t>年</w:t>
      </w:r>
      <w:r>
        <w:rPr>
          <w:color w:val="auto"/>
          <w:sz w:val="24"/>
          <w:szCs w:val="24"/>
          <w:highlight w:val="none"/>
          <w:u w:val="single"/>
        </w:rPr>
        <w:tab/>
      </w:r>
      <w:r>
        <w:rPr>
          <w:color w:val="auto"/>
          <w:sz w:val="24"/>
          <w:szCs w:val="24"/>
          <w:highlight w:val="none"/>
        </w:rPr>
        <w:t>月</w:t>
      </w:r>
      <w:r>
        <w:rPr>
          <w:color w:val="auto"/>
          <w:sz w:val="24"/>
          <w:szCs w:val="24"/>
          <w:highlight w:val="none"/>
          <w:u w:val="single"/>
        </w:rPr>
        <w:tab/>
      </w:r>
      <w:r>
        <w:rPr>
          <w:color w:val="auto"/>
          <w:sz w:val="24"/>
          <w:szCs w:val="24"/>
          <w:highlight w:val="none"/>
        </w:rPr>
        <w:t>日</w:t>
      </w:r>
      <w:r>
        <w:rPr>
          <w:color w:val="auto"/>
          <w:sz w:val="24"/>
          <w:szCs w:val="24"/>
          <w:highlight w:val="none"/>
          <w:u w:val="single"/>
        </w:rPr>
        <w:tab/>
      </w:r>
      <w:r>
        <w:rPr>
          <w:color w:val="auto"/>
          <w:sz w:val="24"/>
          <w:szCs w:val="24"/>
          <w:highlight w:val="none"/>
        </w:rPr>
        <w:t>时</w:t>
      </w:r>
      <w:r>
        <w:rPr>
          <w:color w:val="auto"/>
          <w:sz w:val="24"/>
          <w:szCs w:val="24"/>
          <w:highlight w:val="none"/>
          <w:u w:val="single"/>
        </w:rPr>
        <w:tab/>
      </w:r>
      <w:r>
        <w:rPr>
          <w:color w:val="auto"/>
          <w:sz w:val="24"/>
          <w:szCs w:val="24"/>
          <w:highlight w:val="none"/>
        </w:rPr>
        <w:t>分</w:t>
      </w:r>
    </w:p>
    <w:p>
      <w:pPr>
        <w:pStyle w:val="15"/>
        <w:spacing w:before="1"/>
        <w:rPr>
          <w:color w:val="auto"/>
          <w:sz w:val="11"/>
          <w:highlight w:val="none"/>
        </w:rPr>
      </w:pPr>
    </w:p>
    <w:tbl>
      <w:tblPr>
        <w:tblStyle w:val="29"/>
        <w:tblW w:w="89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
        <w:gridCol w:w="1020"/>
        <w:gridCol w:w="1136"/>
        <w:gridCol w:w="1416"/>
        <w:gridCol w:w="1277"/>
        <w:gridCol w:w="991"/>
        <w:gridCol w:w="852"/>
        <w:gridCol w:w="1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48" w:type="dxa"/>
            <w:vAlign w:val="center"/>
          </w:tcPr>
          <w:p>
            <w:pPr>
              <w:pStyle w:val="61"/>
              <w:spacing w:before="1"/>
              <w:ind w:left="143"/>
              <w:jc w:val="center"/>
              <w:rPr>
                <w:color w:val="auto"/>
                <w:sz w:val="24"/>
                <w:szCs w:val="24"/>
                <w:highlight w:val="none"/>
              </w:rPr>
            </w:pPr>
            <w:r>
              <w:rPr>
                <w:color w:val="auto"/>
                <w:sz w:val="24"/>
                <w:szCs w:val="24"/>
                <w:highlight w:val="none"/>
              </w:rPr>
              <w:t>序号</w:t>
            </w:r>
          </w:p>
        </w:tc>
        <w:tc>
          <w:tcPr>
            <w:tcW w:w="1020" w:type="dxa"/>
            <w:vAlign w:val="center"/>
          </w:tcPr>
          <w:p>
            <w:pPr>
              <w:pStyle w:val="61"/>
              <w:spacing w:before="1"/>
              <w:ind w:left="239"/>
              <w:jc w:val="center"/>
              <w:rPr>
                <w:color w:val="auto"/>
                <w:sz w:val="24"/>
                <w:szCs w:val="24"/>
                <w:highlight w:val="none"/>
              </w:rPr>
            </w:pPr>
            <w:r>
              <w:rPr>
                <w:color w:val="auto"/>
                <w:sz w:val="24"/>
                <w:szCs w:val="24"/>
                <w:highlight w:val="none"/>
              </w:rPr>
              <w:t>投标人</w:t>
            </w:r>
          </w:p>
        </w:tc>
        <w:tc>
          <w:tcPr>
            <w:tcW w:w="1136" w:type="dxa"/>
            <w:vAlign w:val="center"/>
          </w:tcPr>
          <w:p>
            <w:pPr>
              <w:pStyle w:val="61"/>
              <w:spacing w:before="1"/>
              <w:ind w:left="107"/>
              <w:jc w:val="center"/>
              <w:rPr>
                <w:color w:val="auto"/>
                <w:sz w:val="24"/>
                <w:szCs w:val="24"/>
                <w:highlight w:val="none"/>
              </w:rPr>
            </w:pPr>
            <w:r>
              <w:rPr>
                <w:color w:val="auto"/>
                <w:sz w:val="24"/>
                <w:szCs w:val="24"/>
                <w:highlight w:val="none"/>
              </w:rPr>
              <w:t>密封情况</w:t>
            </w:r>
          </w:p>
        </w:tc>
        <w:tc>
          <w:tcPr>
            <w:tcW w:w="1416" w:type="dxa"/>
            <w:vAlign w:val="center"/>
          </w:tcPr>
          <w:p>
            <w:pPr>
              <w:pStyle w:val="61"/>
              <w:spacing w:before="1"/>
              <w:jc w:val="center"/>
              <w:rPr>
                <w:color w:val="auto"/>
                <w:sz w:val="24"/>
                <w:szCs w:val="24"/>
                <w:highlight w:val="none"/>
              </w:rPr>
            </w:pPr>
            <w:r>
              <w:rPr>
                <w:color w:val="auto"/>
                <w:sz w:val="24"/>
                <w:szCs w:val="24"/>
                <w:highlight w:val="none"/>
              </w:rPr>
              <w:t>投标保证金</w:t>
            </w:r>
          </w:p>
        </w:tc>
        <w:tc>
          <w:tcPr>
            <w:tcW w:w="1277" w:type="dxa"/>
            <w:vAlign w:val="center"/>
          </w:tcPr>
          <w:p>
            <w:pPr>
              <w:pStyle w:val="61"/>
              <w:jc w:val="center"/>
              <w:rPr>
                <w:color w:val="auto"/>
                <w:sz w:val="24"/>
                <w:szCs w:val="24"/>
                <w:highlight w:val="none"/>
              </w:rPr>
            </w:pPr>
            <w:r>
              <w:rPr>
                <w:color w:val="auto"/>
                <w:sz w:val="24"/>
                <w:szCs w:val="24"/>
                <w:highlight w:val="none"/>
              </w:rPr>
              <w:t>投标报价</w:t>
            </w:r>
          </w:p>
          <w:p>
            <w:pPr>
              <w:pStyle w:val="61"/>
              <w:jc w:val="center"/>
              <w:rPr>
                <w:color w:val="auto"/>
                <w:sz w:val="24"/>
                <w:szCs w:val="24"/>
                <w:highlight w:val="none"/>
              </w:rPr>
            </w:pPr>
            <w:r>
              <w:rPr>
                <w:color w:val="auto"/>
                <w:sz w:val="24"/>
                <w:szCs w:val="24"/>
                <w:highlight w:val="none"/>
              </w:rPr>
              <w:t>（万元）</w:t>
            </w:r>
          </w:p>
        </w:tc>
        <w:tc>
          <w:tcPr>
            <w:tcW w:w="991" w:type="dxa"/>
            <w:vAlign w:val="center"/>
          </w:tcPr>
          <w:p>
            <w:pPr>
              <w:pStyle w:val="61"/>
              <w:spacing w:before="1"/>
              <w:jc w:val="center"/>
              <w:rPr>
                <w:color w:val="auto"/>
                <w:sz w:val="24"/>
                <w:szCs w:val="24"/>
                <w:highlight w:val="none"/>
              </w:rPr>
            </w:pPr>
            <w:r>
              <w:rPr>
                <w:color w:val="auto"/>
                <w:sz w:val="24"/>
                <w:szCs w:val="24"/>
                <w:highlight w:val="none"/>
              </w:rPr>
              <w:t>交货期</w:t>
            </w:r>
          </w:p>
        </w:tc>
        <w:tc>
          <w:tcPr>
            <w:tcW w:w="852" w:type="dxa"/>
            <w:vAlign w:val="center"/>
          </w:tcPr>
          <w:p>
            <w:pPr>
              <w:pStyle w:val="61"/>
              <w:spacing w:before="1"/>
              <w:jc w:val="center"/>
              <w:rPr>
                <w:color w:val="auto"/>
                <w:sz w:val="24"/>
                <w:szCs w:val="24"/>
                <w:highlight w:val="none"/>
              </w:rPr>
            </w:pPr>
            <w:r>
              <w:rPr>
                <w:color w:val="auto"/>
                <w:sz w:val="24"/>
                <w:szCs w:val="24"/>
                <w:highlight w:val="none"/>
              </w:rPr>
              <w:t>备注</w:t>
            </w:r>
          </w:p>
        </w:tc>
        <w:tc>
          <w:tcPr>
            <w:tcW w:w="1564" w:type="dxa"/>
            <w:vAlign w:val="center"/>
          </w:tcPr>
          <w:p>
            <w:pPr>
              <w:pStyle w:val="61"/>
              <w:ind w:left="92" w:right="90"/>
              <w:jc w:val="center"/>
              <w:rPr>
                <w:color w:val="auto"/>
                <w:sz w:val="24"/>
                <w:szCs w:val="24"/>
                <w:highlight w:val="none"/>
              </w:rPr>
            </w:pPr>
            <w:r>
              <w:rPr>
                <w:color w:val="auto"/>
                <w:sz w:val="24"/>
                <w:szCs w:val="24"/>
                <w:highlight w:val="none"/>
              </w:rPr>
              <w:t>投标人代表</w:t>
            </w:r>
          </w:p>
          <w:p>
            <w:pPr>
              <w:pStyle w:val="61"/>
              <w:ind w:left="92" w:right="88"/>
              <w:jc w:val="center"/>
              <w:rPr>
                <w:color w:val="auto"/>
                <w:sz w:val="24"/>
                <w:szCs w:val="24"/>
                <w:highlight w:val="none"/>
              </w:rPr>
            </w:pPr>
            <w:r>
              <w:rPr>
                <w:color w:val="auto"/>
                <w:sz w:val="24"/>
                <w:szCs w:val="24"/>
                <w:highlight w:val="none"/>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48" w:type="dxa"/>
            <w:vAlign w:val="center"/>
          </w:tcPr>
          <w:p>
            <w:pPr>
              <w:pStyle w:val="61"/>
              <w:jc w:val="center"/>
              <w:rPr>
                <w:rFonts w:ascii="Times New Roman"/>
                <w:color w:val="auto"/>
                <w:sz w:val="24"/>
                <w:szCs w:val="24"/>
                <w:highlight w:val="none"/>
              </w:rPr>
            </w:pPr>
          </w:p>
        </w:tc>
        <w:tc>
          <w:tcPr>
            <w:tcW w:w="1020" w:type="dxa"/>
            <w:vAlign w:val="center"/>
          </w:tcPr>
          <w:p>
            <w:pPr>
              <w:pStyle w:val="61"/>
              <w:jc w:val="center"/>
              <w:rPr>
                <w:rFonts w:ascii="Times New Roman"/>
                <w:color w:val="auto"/>
                <w:sz w:val="24"/>
                <w:szCs w:val="24"/>
                <w:highlight w:val="none"/>
              </w:rPr>
            </w:pPr>
          </w:p>
        </w:tc>
        <w:tc>
          <w:tcPr>
            <w:tcW w:w="1136" w:type="dxa"/>
            <w:vAlign w:val="center"/>
          </w:tcPr>
          <w:p>
            <w:pPr>
              <w:pStyle w:val="61"/>
              <w:jc w:val="center"/>
              <w:rPr>
                <w:rFonts w:ascii="Times New Roman"/>
                <w:color w:val="auto"/>
                <w:sz w:val="24"/>
                <w:szCs w:val="24"/>
                <w:highlight w:val="none"/>
              </w:rPr>
            </w:pPr>
          </w:p>
        </w:tc>
        <w:tc>
          <w:tcPr>
            <w:tcW w:w="1416" w:type="dxa"/>
            <w:vAlign w:val="center"/>
          </w:tcPr>
          <w:p>
            <w:pPr>
              <w:pStyle w:val="61"/>
              <w:jc w:val="center"/>
              <w:rPr>
                <w:rFonts w:ascii="Times New Roman"/>
                <w:color w:val="auto"/>
                <w:sz w:val="24"/>
                <w:szCs w:val="24"/>
                <w:highlight w:val="none"/>
              </w:rPr>
            </w:pPr>
          </w:p>
        </w:tc>
        <w:tc>
          <w:tcPr>
            <w:tcW w:w="1277" w:type="dxa"/>
            <w:vAlign w:val="center"/>
          </w:tcPr>
          <w:p>
            <w:pPr>
              <w:pStyle w:val="61"/>
              <w:jc w:val="center"/>
              <w:rPr>
                <w:rFonts w:ascii="Times New Roman"/>
                <w:color w:val="auto"/>
                <w:sz w:val="24"/>
                <w:szCs w:val="24"/>
                <w:highlight w:val="none"/>
              </w:rPr>
            </w:pPr>
          </w:p>
        </w:tc>
        <w:tc>
          <w:tcPr>
            <w:tcW w:w="991" w:type="dxa"/>
            <w:vAlign w:val="center"/>
          </w:tcPr>
          <w:p>
            <w:pPr>
              <w:pStyle w:val="61"/>
              <w:jc w:val="center"/>
              <w:rPr>
                <w:rFonts w:ascii="Times New Roman"/>
                <w:color w:val="auto"/>
                <w:sz w:val="24"/>
                <w:szCs w:val="24"/>
                <w:highlight w:val="none"/>
              </w:rPr>
            </w:pPr>
          </w:p>
        </w:tc>
        <w:tc>
          <w:tcPr>
            <w:tcW w:w="852" w:type="dxa"/>
            <w:vAlign w:val="center"/>
          </w:tcPr>
          <w:p>
            <w:pPr>
              <w:pStyle w:val="61"/>
              <w:jc w:val="center"/>
              <w:rPr>
                <w:rFonts w:ascii="Times New Roman"/>
                <w:color w:val="auto"/>
                <w:sz w:val="24"/>
                <w:szCs w:val="24"/>
                <w:highlight w:val="none"/>
              </w:rPr>
            </w:pPr>
          </w:p>
        </w:tc>
        <w:tc>
          <w:tcPr>
            <w:tcW w:w="1564"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48" w:type="dxa"/>
            <w:vAlign w:val="center"/>
          </w:tcPr>
          <w:p>
            <w:pPr>
              <w:pStyle w:val="61"/>
              <w:jc w:val="center"/>
              <w:rPr>
                <w:rFonts w:ascii="Times New Roman"/>
                <w:color w:val="auto"/>
                <w:sz w:val="24"/>
                <w:szCs w:val="24"/>
                <w:highlight w:val="none"/>
              </w:rPr>
            </w:pPr>
          </w:p>
        </w:tc>
        <w:tc>
          <w:tcPr>
            <w:tcW w:w="1020" w:type="dxa"/>
            <w:vAlign w:val="center"/>
          </w:tcPr>
          <w:p>
            <w:pPr>
              <w:pStyle w:val="61"/>
              <w:jc w:val="center"/>
              <w:rPr>
                <w:rFonts w:ascii="Times New Roman"/>
                <w:color w:val="auto"/>
                <w:sz w:val="24"/>
                <w:szCs w:val="24"/>
                <w:highlight w:val="none"/>
              </w:rPr>
            </w:pPr>
          </w:p>
        </w:tc>
        <w:tc>
          <w:tcPr>
            <w:tcW w:w="1136" w:type="dxa"/>
            <w:vAlign w:val="center"/>
          </w:tcPr>
          <w:p>
            <w:pPr>
              <w:pStyle w:val="61"/>
              <w:jc w:val="center"/>
              <w:rPr>
                <w:rFonts w:ascii="Times New Roman"/>
                <w:color w:val="auto"/>
                <w:sz w:val="24"/>
                <w:szCs w:val="24"/>
                <w:highlight w:val="none"/>
              </w:rPr>
            </w:pPr>
          </w:p>
        </w:tc>
        <w:tc>
          <w:tcPr>
            <w:tcW w:w="1416" w:type="dxa"/>
            <w:vAlign w:val="center"/>
          </w:tcPr>
          <w:p>
            <w:pPr>
              <w:pStyle w:val="61"/>
              <w:jc w:val="center"/>
              <w:rPr>
                <w:rFonts w:ascii="Times New Roman"/>
                <w:color w:val="auto"/>
                <w:sz w:val="24"/>
                <w:szCs w:val="24"/>
                <w:highlight w:val="none"/>
              </w:rPr>
            </w:pPr>
          </w:p>
        </w:tc>
        <w:tc>
          <w:tcPr>
            <w:tcW w:w="1277" w:type="dxa"/>
            <w:vAlign w:val="center"/>
          </w:tcPr>
          <w:p>
            <w:pPr>
              <w:pStyle w:val="61"/>
              <w:jc w:val="center"/>
              <w:rPr>
                <w:rFonts w:ascii="Times New Roman"/>
                <w:color w:val="auto"/>
                <w:sz w:val="24"/>
                <w:szCs w:val="24"/>
                <w:highlight w:val="none"/>
              </w:rPr>
            </w:pPr>
          </w:p>
        </w:tc>
        <w:tc>
          <w:tcPr>
            <w:tcW w:w="991" w:type="dxa"/>
            <w:vAlign w:val="center"/>
          </w:tcPr>
          <w:p>
            <w:pPr>
              <w:pStyle w:val="61"/>
              <w:jc w:val="center"/>
              <w:rPr>
                <w:rFonts w:ascii="Times New Roman"/>
                <w:color w:val="auto"/>
                <w:sz w:val="24"/>
                <w:szCs w:val="24"/>
                <w:highlight w:val="none"/>
              </w:rPr>
            </w:pPr>
          </w:p>
        </w:tc>
        <w:tc>
          <w:tcPr>
            <w:tcW w:w="852" w:type="dxa"/>
            <w:vAlign w:val="center"/>
          </w:tcPr>
          <w:p>
            <w:pPr>
              <w:pStyle w:val="61"/>
              <w:jc w:val="center"/>
              <w:rPr>
                <w:rFonts w:ascii="Times New Roman"/>
                <w:color w:val="auto"/>
                <w:sz w:val="24"/>
                <w:szCs w:val="24"/>
                <w:highlight w:val="none"/>
              </w:rPr>
            </w:pPr>
          </w:p>
        </w:tc>
        <w:tc>
          <w:tcPr>
            <w:tcW w:w="1564"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48" w:type="dxa"/>
            <w:vAlign w:val="center"/>
          </w:tcPr>
          <w:p>
            <w:pPr>
              <w:pStyle w:val="61"/>
              <w:jc w:val="center"/>
              <w:rPr>
                <w:rFonts w:ascii="Times New Roman"/>
                <w:color w:val="auto"/>
                <w:sz w:val="24"/>
                <w:szCs w:val="24"/>
                <w:highlight w:val="none"/>
              </w:rPr>
            </w:pPr>
          </w:p>
        </w:tc>
        <w:tc>
          <w:tcPr>
            <w:tcW w:w="1020" w:type="dxa"/>
            <w:vAlign w:val="center"/>
          </w:tcPr>
          <w:p>
            <w:pPr>
              <w:pStyle w:val="61"/>
              <w:jc w:val="center"/>
              <w:rPr>
                <w:rFonts w:ascii="Times New Roman"/>
                <w:color w:val="auto"/>
                <w:sz w:val="24"/>
                <w:szCs w:val="24"/>
                <w:highlight w:val="none"/>
              </w:rPr>
            </w:pPr>
          </w:p>
        </w:tc>
        <w:tc>
          <w:tcPr>
            <w:tcW w:w="1136" w:type="dxa"/>
            <w:vAlign w:val="center"/>
          </w:tcPr>
          <w:p>
            <w:pPr>
              <w:pStyle w:val="61"/>
              <w:jc w:val="center"/>
              <w:rPr>
                <w:rFonts w:ascii="Times New Roman"/>
                <w:color w:val="auto"/>
                <w:sz w:val="24"/>
                <w:szCs w:val="24"/>
                <w:highlight w:val="none"/>
              </w:rPr>
            </w:pPr>
          </w:p>
        </w:tc>
        <w:tc>
          <w:tcPr>
            <w:tcW w:w="1416" w:type="dxa"/>
            <w:vAlign w:val="center"/>
          </w:tcPr>
          <w:p>
            <w:pPr>
              <w:pStyle w:val="61"/>
              <w:jc w:val="center"/>
              <w:rPr>
                <w:rFonts w:ascii="Times New Roman"/>
                <w:color w:val="auto"/>
                <w:sz w:val="24"/>
                <w:szCs w:val="24"/>
                <w:highlight w:val="none"/>
              </w:rPr>
            </w:pPr>
          </w:p>
        </w:tc>
        <w:tc>
          <w:tcPr>
            <w:tcW w:w="1277" w:type="dxa"/>
            <w:vAlign w:val="center"/>
          </w:tcPr>
          <w:p>
            <w:pPr>
              <w:pStyle w:val="61"/>
              <w:jc w:val="center"/>
              <w:rPr>
                <w:rFonts w:ascii="Times New Roman"/>
                <w:color w:val="auto"/>
                <w:sz w:val="24"/>
                <w:szCs w:val="24"/>
                <w:highlight w:val="none"/>
              </w:rPr>
            </w:pPr>
          </w:p>
        </w:tc>
        <w:tc>
          <w:tcPr>
            <w:tcW w:w="991" w:type="dxa"/>
            <w:vAlign w:val="center"/>
          </w:tcPr>
          <w:p>
            <w:pPr>
              <w:pStyle w:val="61"/>
              <w:jc w:val="center"/>
              <w:rPr>
                <w:rFonts w:ascii="Times New Roman"/>
                <w:color w:val="auto"/>
                <w:sz w:val="24"/>
                <w:szCs w:val="24"/>
                <w:highlight w:val="none"/>
              </w:rPr>
            </w:pPr>
          </w:p>
        </w:tc>
        <w:tc>
          <w:tcPr>
            <w:tcW w:w="852" w:type="dxa"/>
            <w:vAlign w:val="center"/>
          </w:tcPr>
          <w:p>
            <w:pPr>
              <w:pStyle w:val="61"/>
              <w:jc w:val="center"/>
              <w:rPr>
                <w:rFonts w:ascii="Times New Roman"/>
                <w:color w:val="auto"/>
                <w:sz w:val="24"/>
                <w:szCs w:val="24"/>
                <w:highlight w:val="none"/>
              </w:rPr>
            </w:pPr>
          </w:p>
        </w:tc>
        <w:tc>
          <w:tcPr>
            <w:tcW w:w="1564"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48" w:type="dxa"/>
            <w:vAlign w:val="center"/>
          </w:tcPr>
          <w:p>
            <w:pPr>
              <w:pStyle w:val="61"/>
              <w:jc w:val="center"/>
              <w:rPr>
                <w:rFonts w:ascii="Times New Roman"/>
                <w:color w:val="auto"/>
                <w:sz w:val="24"/>
                <w:szCs w:val="24"/>
                <w:highlight w:val="none"/>
              </w:rPr>
            </w:pPr>
          </w:p>
        </w:tc>
        <w:tc>
          <w:tcPr>
            <w:tcW w:w="1020" w:type="dxa"/>
            <w:vAlign w:val="center"/>
          </w:tcPr>
          <w:p>
            <w:pPr>
              <w:pStyle w:val="61"/>
              <w:jc w:val="center"/>
              <w:rPr>
                <w:rFonts w:ascii="Times New Roman"/>
                <w:color w:val="auto"/>
                <w:sz w:val="24"/>
                <w:szCs w:val="24"/>
                <w:highlight w:val="none"/>
              </w:rPr>
            </w:pPr>
          </w:p>
        </w:tc>
        <w:tc>
          <w:tcPr>
            <w:tcW w:w="1136" w:type="dxa"/>
            <w:vAlign w:val="center"/>
          </w:tcPr>
          <w:p>
            <w:pPr>
              <w:pStyle w:val="61"/>
              <w:jc w:val="center"/>
              <w:rPr>
                <w:rFonts w:ascii="Times New Roman"/>
                <w:color w:val="auto"/>
                <w:sz w:val="24"/>
                <w:szCs w:val="24"/>
                <w:highlight w:val="none"/>
              </w:rPr>
            </w:pPr>
          </w:p>
        </w:tc>
        <w:tc>
          <w:tcPr>
            <w:tcW w:w="1416" w:type="dxa"/>
            <w:vAlign w:val="center"/>
          </w:tcPr>
          <w:p>
            <w:pPr>
              <w:pStyle w:val="61"/>
              <w:jc w:val="center"/>
              <w:rPr>
                <w:rFonts w:ascii="Times New Roman"/>
                <w:color w:val="auto"/>
                <w:sz w:val="24"/>
                <w:szCs w:val="24"/>
                <w:highlight w:val="none"/>
              </w:rPr>
            </w:pPr>
          </w:p>
        </w:tc>
        <w:tc>
          <w:tcPr>
            <w:tcW w:w="1277" w:type="dxa"/>
            <w:vAlign w:val="center"/>
          </w:tcPr>
          <w:p>
            <w:pPr>
              <w:pStyle w:val="61"/>
              <w:jc w:val="center"/>
              <w:rPr>
                <w:rFonts w:ascii="Times New Roman"/>
                <w:color w:val="auto"/>
                <w:sz w:val="24"/>
                <w:szCs w:val="24"/>
                <w:highlight w:val="none"/>
              </w:rPr>
            </w:pPr>
          </w:p>
        </w:tc>
        <w:tc>
          <w:tcPr>
            <w:tcW w:w="991" w:type="dxa"/>
            <w:vAlign w:val="center"/>
          </w:tcPr>
          <w:p>
            <w:pPr>
              <w:pStyle w:val="61"/>
              <w:jc w:val="center"/>
              <w:rPr>
                <w:rFonts w:ascii="Times New Roman"/>
                <w:color w:val="auto"/>
                <w:sz w:val="24"/>
                <w:szCs w:val="24"/>
                <w:highlight w:val="none"/>
              </w:rPr>
            </w:pPr>
          </w:p>
        </w:tc>
        <w:tc>
          <w:tcPr>
            <w:tcW w:w="852" w:type="dxa"/>
            <w:vAlign w:val="center"/>
          </w:tcPr>
          <w:p>
            <w:pPr>
              <w:pStyle w:val="61"/>
              <w:jc w:val="center"/>
              <w:rPr>
                <w:rFonts w:ascii="Times New Roman"/>
                <w:color w:val="auto"/>
                <w:sz w:val="24"/>
                <w:szCs w:val="24"/>
                <w:highlight w:val="none"/>
              </w:rPr>
            </w:pPr>
          </w:p>
        </w:tc>
        <w:tc>
          <w:tcPr>
            <w:tcW w:w="1564"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48" w:type="dxa"/>
            <w:vAlign w:val="center"/>
          </w:tcPr>
          <w:p>
            <w:pPr>
              <w:pStyle w:val="61"/>
              <w:jc w:val="center"/>
              <w:rPr>
                <w:rFonts w:ascii="Times New Roman"/>
                <w:color w:val="auto"/>
                <w:sz w:val="24"/>
                <w:szCs w:val="24"/>
                <w:highlight w:val="none"/>
              </w:rPr>
            </w:pPr>
          </w:p>
        </w:tc>
        <w:tc>
          <w:tcPr>
            <w:tcW w:w="1020" w:type="dxa"/>
            <w:vAlign w:val="center"/>
          </w:tcPr>
          <w:p>
            <w:pPr>
              <w:pStyle w:val="61"/>
              <w:jc w:val="center"/>
              <w:rPr>
                <w:rFonts w:ascii="Times New Roman"/>
                <w:color w:val="auto"/>
                <w:sz w:val="24"/>
                <w:szCs w:val="24"/>
                <w:highlight w:val="none"/>
              </w:rPr>
            </w:pPr>
          </w:p>
        </w:tc>
        <w:tc>
          <w:tcPr>
            <w:tcW w:w="1136" w:type="dxa"/>
            <w:vAlign w:val="center"/>
          </w:tcPr>
          <w:p>
            <w:pPr>
              <w:pStyle w:val="61"/>
              <w:jc w:val="center"/>
              <w:rPr>
                <w:rFonts w:ascii="Times New Roman"/>
                <w:color w:val="auto"/>
                <w:sz w:val="24"/>
                <w:szCs w:val="24"/>
                <w:highlight w:val="none"/>
              </w:rPr>
            </w:pPr>
          </w:p>
        </w:tc>
        <w:tc>
          <w:tcPr>
            <w:tcW w:w="1416" w:type="dxa"/>
            <w:vAlign w:val="center"/>
          </w:tcPr>
          <w:p>
            <w:pPr>
              <w:pStyle w:val="61"/>
              <w:jc w:val="center"/>
              <w:rPr>
                <w:rFonts w:ascii="Times New Roman"/>
                <w:color w:val="auto"/>
                <w:sz w:val="24"/>
                <w:szCs w:val="24"/>
                <w:highlight w:val="none"/>
              </w:rPr>
            </w:pPr>
          </w:p>
        </w:tc>
        <w:tc>
          <w:tcPr>
            <w:tcW w:w="1277" w:type="dxa"/>
            <w:vAlign w:val="center"/>
          </w:tcPr>
          <w:p>
            <w:pPr>
              <w:pStyle w:val="61"/>
              <w:jc w:val="center"/>
              <w:rPr>
                <w:rFonts w:ascii="Times New Roman"/>
                <w:color w:val="auto"/>
                <w:sz w:val="24"/>
                <w:szCs w:val="24"/>
                <w:highlight w:val="none"/>
              </w:rPr>
            </w:pPr>
          </w:p>
        </w:tc>
        <w:tc>
          <w:tcPr>
            <w:tcW w:w="991" w:type="dxa"/>
            <w:vAlign w:val="center"/>
          </w:tcPr>
          <w:p>
            <w:pPr>
              <w:pStyle w:val="61"/>
              <w:jc w:val="center"/>
              <w:rPr>
                <w:rFonts w:ascii="Times New Roman"/>
                <w:color w:val="auto"/>
                <w:sz w:val="24"/>
                <w:szCs w:val="24"/>
                <w:highlight w:val="none"/>
              </w:rPr>
            </w:pPr>
          </w:p>
        </w:tc>
        <w:tc>
          <w:tcPr>
            <w:tcW w:w="852" w:type="dxa"/>
            <w:vAlign w:val="center"/>
          </w:tcPr>
          <w:p>
            <w:pPr>
              <w:pStyle w:val="61"/>
              <w:jc w:val="center"/>
              <w:rPr>
                <w:rFonts w:ascii="Times New Roman"/>
                <w:color w:val="auto"/>
                <w:sz w:val="24"/>
                <w:szCs w:val="24"/>
                <w:highlight w:val="none"/>
              </w:rPr>
            </w:pPr>
          </w:p>
        </w:tc>
        <w:tc>
          <w:tcPr>
            <w:tcW w:w="1564"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48" w:type="dxa"/>
            <w:vAlign w:val="center"/>
          </w:tcPr>
          <w:p>
            <w:pPr>
              <w:pStyle w:val="61"/>
              <w:jc w:val="center"/>
              <w:rPr>
                <w:rFonts w:ascii="Times New Roman"/>
                <w:color w:val="auto"/>
                <w:sz w:val="24"/>
                <w:szCs w:val="24"/>
                <w:highlight w:val="none"/>
              </w:rPr>
            </w:pPr>
          </w:p>
        </w:tc>
        <w:tc>
          <w:tcPr>
            <w:tcW w:w="1020" w:type="dxa"/>
            <w:vAlign w:val="center"/>
          </w:tcPr>
          <w:p>
            <w:pPr>
              <w:pStyle w:val="61"/>
              <w:jc w:val="center"/>
              <w:rPr>
                <w:rFonts w:ascii="Times New Roman"/>
                <w:color w:val="auto"/>
                <w:sz w:val="24"/>
                <w:szCs w:val="24"/>
                <w:highlight w:val="none"/>
              </w:rPr>
            </w:pPr>
          </w:p>
        </w:tc>
        <w:tc>
          <w:tcPr>
            <w:tcW w:w="1136" w:type="dxa"/>
            <w:vAlign w:val="center"/>
          </w:tcPr>
          <w:p>
            <w:pPr>
              <w:pStyle w:val="61"/>
              <w:jc w:val="center"/>
              <w:rPr>
                <w:rFonts w:ascii="Times New Roman"/>
                <w:color w:val="auto"/>
                <w:sz w:val="24"/>
                <w:szCs w:val="24"/>
                <w:highlight w:val="none"/>
              </w:rPr>
            </w:pPr>
          </w:p>
        </w:tc>
        <w:tc>
          <w:tcPr>
            <w:tcW w:w="1416" w:type="dxa"/>
            <w:vAlign w:val="center"/>
          </w:tcPr>
          <w:p>
            <w:pPr>
              <w:pStyle w:val="61"/>
              <w:jc w:val="center"/>
              <w:rPr>
                <w:rFonts w:ascii="Times New Roman"/>
                <w:color w:val="auto"/>
                <w:sz w:val="24"/>
                <w:szCs w:val="24"/>
                <w:highlight w:val="none"/>
              </w:rPr>
            </w:pPr>
          </w:p>
        </w:tc>
        <w:tc>
          <w:tcPr>
            <w:tcW w:w="1277" w:type="dxa"/>
            <w:vAlign w:val="center"/>
          </w:tcPr>
          <w:p>
            <w:pPr>
              <w:pStyle w:val="61"/>
              <w:jc w:val="center"/>
              <w:rPr>
                <w:rFonts w:ascii="Times New Roman"/>
                <w:color w:val="auto"/>
                <w:sz w:val="24"/>
                <w:szCs w:val="24"/>
                <w:highlight w:val="none"/>
              </w:rPr>
            </w:pPr>
          </w:p>
        </w:tc>
        <w:tc>
          <w:tcPr>
            <w:tcW w:w="991" w:type="dxa"/>
            <w:vAlign w:val="center"/>
          </w:tcPr>
          <w:p>
            <w:pPr>
              <w:pStyle w:val="61"/>
              <w:jc w:val="center"/>
              <w:rPr>
                <w:rFonts w:ascii="Times New Roman"/>
                <w:color w:val="auto"/>
                <w:sz w:val="24"/>
                <w:szCs w:val="24"/>
                <w:highlight w:val="none"/>
              </w:rPr>
            </w:pPr>
          </w:p>
        </w:tc>
        <w:tc>
          <w:tcPr>
            <w:tcW w:w="852" w:type="dxa"/>
            <w:vAlign w:val="center"/>
          </w:tcPr>
          <w:p>
            <w:pPr>
              <w:pStyle w:val="61"/>
              <w:jc w:val="center"/>
              <w:rPr>
                <w:rFonts w:ascii="Times New Roman"/>
                <w:color w:val="auto"/>
                <w:sz w:val="24"/>
                <w:szCs w:val="24"/>
                <w:highlight w:val="none"/>
              </w:rPr>
            </w:pPr>
          </w:p>
        </w:tc>
        <w:tc>
          <w:tcPr>
            <w:tcW w:w="1564"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48" w:type="dxa"/>
            <w:vAlign w:val="center"/>
          </w:tcPr>
          <w:p>
            <w:pPr>
              <w:pStyle w:val="61"/>
              <w:jc w:val="center"/>
              <w:rPr>
                <w:rFonts w:ascii="Times New Roman"/>
                <w:color w:val="auto"/>
                <w:sz w:val="24"/>
                <w:szCs w:val="24"/>
                <w:highlight w:val="none"/>
              </w:rPr>
            </w:pPr>
          </w:p>
        </w:tc>
        <w:tc>
          <w:tcPr>
            <w:tcW w:w="1020" w:type="dxa"/>
            <w:vAlign w:val="center"/>
          </w:tcPr>
          <w:p>
            <w:pPr>
              <w:pStyle w:val="61"/>
              <w:jc w:val="center"/>
              <w:rPr>
                <w:rFonts w:ascii="Times New Roman"/>
                <w:color w:val="auto"/>
                <w:sz w:val="24"/>
                <w:szCs w:val="24"/>
                <w:highlight w:val="none"/>
              </w:rPr>
            </w:pPr>
          </w:p>
        </w:tc>
        <w:tc>
          <w:tcPr>
            <w:tcW w:w="1136" w:type="dxa"/>
            <w:vAlign w:val="center"/>
          </w:tcPr>
          <w:p>
            <w:pPr>
              <w:pStyle w:val="61"/>
              <w:jc w:val="center"/>
              <w:rPr>
                <w:rFonts w:ascii="Times New Roman"/>
                <w:color w:val="auto"/>
                <w:sz w:val="24"/>
                <w:szCs w:val="24"/>
                <w:highlight w:val="none"/>
              </w:rPr>
            </w:pPr>
          </w:p>
        </w:tc>
        <w:tc>
          <w:tcPr>
            <w:tcW w:w="1416" w:type="dxa"/>
            <w:vAlign w:val="center"/>
          </w:tcPr>
          <w:p>
            <w:pPr>
              <w:pStyle w:val="61"/>
              <w:jc w:val="center"/>
              <w:rPr>
                <w:rFonts w:ascii="Times New Roman"/>
                <w:color w:val="auto"/>
                <w:sz w:val="24"/>
                <w:szCs w:val="24"/>
                <w:highlight w:val="none"/>
              </w:rPr>
            </w:pPr>
          </w:p>
        </w:tc>
        <w:tc>
          <w:tcPr>
            <w:tcW w:w="1277" w:type="dxa"/>
            <w:vAlign w:val="center"/>
          </w:tcPr>
          <w:p>
            <w:pPr>
              <w:pStyle w:val="61"/>
              <w:jc w:val="center"/>
              <w:rPr>
                <w:rFonts w:ascii="Times New Roman"/>
                <w:color w:val="auto"/>
                <w:sz w:val="24"/>
                <w:szCs w:val="24"/>
                <w:highlight w:val="none"/>
              </w:rPr>
            </w:pPr>
          </w:p>
        </w:tc>
        <w:tc>
          <w:tcPr>
            <w:tcW w:w="991" w:type="dxa"/>
            <w:vAlign w:val="center"/>
          </w:tcPr>
          <w:p>
            <w:pPr>
              <w:pStyle w:val="61"/>
              <w:jc w:val="center"/>
              <w:rPr>
                <w:rFonts w:ascii="Times New Roman"/>
                <w:color w:val="auto"/>
                <w:sz w:val="24"/>
                <w:szCs w:val="24"/>
                <w:highlight w:val="none"/>
              </w:rPr>
            </w:pPr>
          </w:p>
        </w:tc>
        <w:tc>
          <w:tcPr>
            <w:tcW w:w="852" w:type="dxa"/>
            <w:vAlign w:val="center"/>
          </w:tcPr>
          <w:p>
            <w:pPr>
              <w:pStyle w:val="61"/>
              <w:jc w:val="center"/>
              <w:rPr>
                <w:rFonts w:ascii="Times New Roman"/>
                <w:color w:val="auto"/>
                <w:sz w:val="24"/>
                <w:szCs w:val="24"/>
                <w:highlight w:val="none"/>
              </w:rPr>
            </w:pPr>
          </w:p>
        </w:tc>
        <w:tc>
          <w:tcPr>
            <w:tcW w:w="1564"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48" w:type="dxa"/>
            <w:vAlign w:val="center"/>
          </w:tcPr>
          <w:p>
            <w:pPr>
              <w:pStyle w:val="61"/>
              <w:jc w:val="center"/>
              <w:rPr>
                <w:rFonts w:ascii="Times New Roman"/>
                <w:color w:val="auto"/>
                <w:sz w:val="24"/>
                <w:szCs w:val="24"/>
                <w:highlight w:val="none"/>
              </w:rPr>
            </w:pPr>
          </w:p>
        </w:tc>
        <w:tc>
          <w:tcPr>
            <w:tcW w:w="1020" w:type="dxa"/>
            <w:vAlign w:val="center"/>
          </w:tcPr>
          <w:p>
            <w:pPr>
              <w:pStyle w:val="61"/>
              <w:jc w:val="center"/>
              <w:rPr>
                <w:rFonts w:ascii="Times New Roman"/>
                <w:color w:val="auto"/>
                <w:sz w:val="24"/>
                <w:szCs w:val="24"/>
                <w:highlight w:val="none"/>
              </w:rPr>
            </w:pPr>
          </w:p>
        </w:tc>
        <w:tc>
          <w:tcPr>
            <w:tcW w:w="1136" w:type="dxa"/>
            <w:vAlign w:val="center"/>
          </w:tcPr>
          <w:p>
            <w:pPr>
              <w:pStyle w:val="61"/>
              <w:jc w:val="center"/>
              <w:rPr>
                <w:rFonts w:ascii="Times New Roman"/>
                <w:color w:val="auto"/>
                <w:sz w:val="24"/>
                <w:szCs w:val="24"/>
                <w:highlight w:val="none"/>
              </w:rPr>
            </w:pPr>
          </w:p>
        </w:tc>
        <w:tc>
          <w:tcPr>
            <w:tcW w:w="1416" w:type="dxa"/>
            <w:vAlign w:val="center"/>
          </w:tcPr>
          <w:p>
            <w:pPr>
              <w:pStyle w:val="61"/>
              <w:jc w:val="center"/>
              <w:rPr>
                <w:rFonts w:ascii="Times New Roman"/>
                <w:color w:val="auto"/>
                <w:sz w:val="24"/>
                <w:szCs w:val="24"/>
                <w:highlight w:val="none"/>
              </w:rPr>
            </w:pPr>
          </w:p>
        </w:tc>
        <w:tc>
          <w:tcPr>
            <w:tcW w:w="1277" w:type="dxa"/>
            <w:vAlign w:val="center"/>
          </w:tcPr>
          <w:p>
            <w:pPr>
              <w:pStyle w:val="61"/>
              <w:jc w:val="center"/>
              <w:rPr>
                <w:rFonts w:ascii="Times New Roman"/>
                <w:color w:val="auto"/>
                <w:sz w:val="24"/>
                <w:szCs w:val="24"/>
                <w:highlight w:val="none"/>
              </w:rPr>
            </w:pPr>
          </w:p>
        </w:tc>
        <w:tc>
          <w:tcPr>
            <w:tcW w:w="991" w:type="dxa"/>
            <w:vAlign w:val="center"/>
          </w:tcPr>
          <w:p>
            <w:pPr>
              <w:pStyle w:val="61"/>
              <w:jc w:val="center"/>
              <w:rPr>
                <w:rFonts w:ascii="Times New Roman"/>
                <w:color w:val="auto"/>
                <w:sz w:val="24"/>
                <w:szCs w:val="24"/>
                <w:highlight w:val="none"/>
              </w:rPr>
            </w:pPr>
          </w:p>
        </w:tc>
        <w:tc>
          <w:tcPr>
            <w:tcW w:w="852" w:type="dxa"/>
            <w:vAlign w:val="center"/>
          </w:tcPr>
          <w:p>
            <w:pPr>
              <w:pStyle w:val="61"/>
              <w:jc w:val="center"/>
              <w:rPr>
                <w:rFonts w:ascii="Times New Roman"/>
                <w:color w:val="auto"/>
                <w:sz w:val="24"/>
                <w:szCs w:val="24"/>
                <w:highlight w:val="none"/>
              </w:rPr>
            </w:pPr>
          </w:p>
        </w:tc>
        <w:tc>
          <w:tcPr>
            <w:tcW w:w="1564"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48" w:type="dxa"/>
            <w:vAlign w:val="center"/>
          </w:tcPr>
          <w:p>
            <w:pPr>
              <w:pStyle w:val="61"/>
              <w:jc w:val="center"/>
              <w:rPr>
                <w:rFonts w:ascii="Times New Roman"/>
                <w:color w:val="auto"/>
                <w:sz w:val="24"/>
                <w:szCs w:val="24"/>
                <w:highlight w:val="none"/>
              </w:rPr>
            </w:pPr>
          </w:p>
        </w:tc>
        <w:tc>
          <w:tcPr>
            <w:tcW w:w="1020" w:type="dxa"/>
            <w:vAlign w:val="center"/>
          </w:tcPr>
          <w:p>
            <w:pPr>
              <w:pStyle w:val="61"/>
              <w:jc w:val="center"/>
              <w:rPr>
                <w:rFonts w:ascii="Times New Roman"/>
                <w:color w:val="auto"/>
                <w:sz w:val="24"/>
                <w:szCs w:val="24"/>
                <w:highlight w:val="none"/>
              </w:rPr>
            </w:pPr>
          </w:p>
        </w:tc>
        <w:tc>
          <w:tcPr>
            <w:tcW w:w="1136" w:type="dxa"/>
            <w:vAlign w:val="center"/>
          </w:tcPr>
          <w:p>
            <w:pPr>
              <w:pStyle w:val="61"/>
              <w:jc w:val="center"/>
              <w:rPr>
                <w:rFonts w:ascii="Times New Roman"/>
                <w:color w:val="auto"/>
                <w:sz w:val="24"/>
                <w:szCs w:val="24"/>
                <w:highlight w:val="none"/>
              </w:rPr>
            </w:pPr>
          </w:p>
        </w:tc>
        <w:tc>
          <w:tcPr>
            <w:tcW w:w="1416" w:type="dxa"/>
            <w:vAlign w:val="center"/>
          </w:tcPr>
          <w:p>
            <w:pPr>
              <w:pStyle w:val="61"/>
              <w:jc w:val="center"/>
              <w:rPr>
                <w:rFonts w:ascii="Times New Roman"/>
                <w:color w:val="auto"/>
                <w:sz w:val="24"/>
                <w:szCs w:val="24"/>
                <w:highlight w:val="none"/>
              </w:rPr>
            </w:pPr>
          </w:p>
        </w:tc>
        <w:tc>
          <w:tcPr>
            <w:tcW w:w="1277" w:type="dxa"/>
            <w:vAlign w:val="center"/>
          </w:tcPr>
          <w:p>
            <w:pPr>
              <w:pStyle w:val="61"/>
              <w:jc w:val="center"/>
              <w:rPr>
                <w:rFonts w:ascii="Times New Roman"/>
                <w:color w:val="auto"/>
                <w:sz w:val="24"/>
                <w:szCs w:val="24"/>
                <w:highlight w:val="none"/>
              </w:rPr>
            </w:pPr>
          </w:p>
        </w:tc>
        <w:tc>
          <w:tcPr>
            <w:tcW w:w="991" w:type="dxa"/>
            <w:vAlign w:val="center"/>
          </w:tcPr>
          <w:p>
            <w:pPr>
              <w:pStyle w:val="61"/>
              <w:jc w:val="center"/>
              <w:rPr>
                <w:rFonts w:ascii="Times New Roman"/>
                <w:color w:val="auto"/>
                <w:sz w:val="24"/>
                <w:szCs w:val="24"/>
                <w:highlight w:val="none"/>
              </w:rPr>
            </w:pPr>
          </w:p>
        </w:tc>
        <w:tc>
          <w:tcPr>
            <w:tcW w:w="852" w:type="dxa"/>
            <w:vAlign w:val="center"/>
          </w:tcPr>
          <w:p>
            <w:pPr>
              <w:pStyle w:val="61"/>
              <w:jc w:val="center"/>
              <w:rPr>
                <w:rFonts w:ascii="Times New Roman"/>
                <w:color w:val="auto"/>
                <w:sz w:val="24"/>
                <w:szCs w:val="24"/>
                <w:highlight w:val="none"/>
              </w:rPr>
            </w:pPr>
          </w:p>
        </w:tc>
        <w:tc>
          <w:tcPr>
            <w:tcW w:w="1564"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48" w:type="dxa"/>
            <w:vAlign w:val="center"/>
          </w:tcPr>
          <w:p>
            <w:pPr>
              <w:pStyle w:val="61"/>
              <w:jc w:val="center"/>
              <w:rPr>
                <w:rFonts w:ascii="Times New Roman"/>
                <w:color w:val="auto"/>
                <w:sz w:val="24"/>
                <w:szCs w:val="24"/>
                <w:highlight w:val="none"/>
              </w:rPr>
            </w:pPr>
          </w:p>
        </w:tc>
        <w:tc>
          <w:tcPr>
            <w:tcW w:w="1020" w:type="dxa"/>
            <w:vAlign w:val="center"/>
          </w:tcPr>
          <w:p>
            <w:pPr>
              <w:pStyle w:val="61"/>
              <w:jc w:val="center"/>
              <w:rPr>
                <w:rFonts w:ascii="Times New Roman"/>
                <w:color w:val="auto"/>
                <w:sz w:val="24"/>
                <w:szCs w:val="24"/>
                <w:highlight w:val="none"/>
              </w:rPr>
            </w:pPr>
          </w:p>
        </w:tc>
        <w:tc>
          <w:tcPr>
            <w:tcW w:w="1136" w:type="dxa"/>
            <w:vAlign w:val="center"/>
          </w:tcPr>
          <w:p>
            <w:pPr>
              <w:pStyle w:val="61"/>
              <w:jc w:val="center"/>
              <w:rPr>
                <w:rFonts w:ascii="Times New Roman"/>
                <w:color w:val="auto"/>
                <w:sz w:val="24"/>
                <w:szCs w:val="24"/>
                <w:highlight w:val="none"/>
              </w:rPr>
            </w:pPr>
          </w:p>
        </w:tc>
        <w:tc>
          <w:tcPr>
            <w:tcW w:w="1416" w:type="dxa"/>
            <w:vAlign w:val="center"/>
          </w:tcPr>
          <w:p>
            <w:pPr>
              <w:pStyle w:val="61"/>
              <w:jc w:val="center"/>
              <w:rPr>
                <w:rFonts w:ascii="Times New Roman"/>
                <w:color w:val="auto"/>
                <w:sz w:val="24"/>
                <w:szCs w:val="24"/>
                <w:highlight w:val="none"/>
              </w:rPr>
            </w:pPr>
          </w:p>
        </w:tc>
        <w:tc>
          <w:tcPr>
            <w:tcW w:w="1277" w:type="dxa"/>
            <w:vAlign w:val="center"/>
          </w:tcPr>
          <w:p>
            <w:pPr>
              <w:pStyle w:val="61"/>
              <w:jc w:val="center"/>
              <w:rPr>
                <w:rFonts w:ascii="Times New Roman"/>
                <w:color w:val="auto"/>
                <w:sz w:val="24"/>
                <w:szCs w:val="24"/>
                <w:highlight w:val="none"/>
              </w:rPr>
            </w:pPr>
          </w:p>
        </w:tc>
        <w:tc>
          <w:tcPr>
            <w:tcW w:w="991" w:type="dxa"/>
            <w:vAlign w:val="center"/>
          </w:tcPr>
          <w:p>
            <w:pPr>
              <w:pStyle w:val="61"/>
              <w:jc w:val="center"/>
              <w:rPr>
                <w:rFonts w:ascii="Times New Roman"/>
                <w:color w:val="auto"/>
                <w:sz w:val="24"/>
                <w:szCs w:val="24"/>
                <w:highlight w:val="none"/>
              </w:rPr>
            </w:pPr>
          </w:p>
        </w:tc>
        <w:tc>
          <w:tcPr>
            <w:tcW w:w="852" w:type="dxa"/>
            <w:vAlign w:val="center"/>
          </w:tcPr>
          <w:p>
            <w:pPr>
              <w:pStyle w:val="61"/>
              <w:jc w:val="center"/>
              <w:rPr>
                <w:rFonts w:ascii="Times New Roman"/>
                <w:color w:val="auto"/>
                <w:sz w:val="24"/>
                <w:szCs w:val="24"/>
                <w:highlight w:val="none"/>
              </w:rPr>
            </w:pPr>
          </w:p>
        </w:tc>
        <w:tc>
          <w:tcPr>
            <w:tcW w:w="1564"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48" w:type="dxa"/>
            <w:vAlign w:val="center"/>
          </w:tcPr>
          <w:p>
            <w:pPr>
              <w:pStyle w:val="61"/>
              <w:jc w:val="center"/>
              <w:rPr>
                <w:rFonts w:ascii="Times New Roman"/>
                <w:color w:val="auto"/>
                <w:sz w:val="24"/>
                <w:szCs w:val="24"/>
                <w:highlight w:val="none"/>
              </w:rPr>
            </w:pPr>
          </w:p>
        </w:tc>
        <w:tc>
          <w:tcPr>
            <w:tcW w:w="1020" w:type="dxa"/>
            <w:vAlign w:val="center"/>
          </w:tcPr>
          <w:p>
            <w:pPr>
              <w:pStyle w:val="61"/>
              <w:jc w:val="center"/>
              <w:rPr>
                <w:rFonts w:ascii="Times New Roman"/>
                <w:color w:val="auto"/>
                <w:sz w:val="24"/>
                <w:szCs w:val="24"/>
                <w:highlight w:val="none"/>
              </w:rPr>
            </w:pPr>
          </w:p>
        </w:tc>
        <w:tc>
          <w:tcPr>
            <w:tcW w:w="1136" w:type="dxa"/>
            <w:vAlign w:val="center"/>
          </w:tcPr>
          <w:p>
            <w:pPr>
              <w:pStyle w:val="61"/>
              <w:jc w:val="center"/>
              <w:rPr>
                <w:rFonts w:ascii="Times New Roman"/>
                <w:color w:val="auto"/>
                <w:sz w:val="24"/>
                <w:szCs w:val="24"/>
                <w:highlight w:val="none"/>
              </w:rPr>
            </w:pPr>
          </w:p>
        </w:tc>
        <w:tc>
          <w:tcPr>
            <w:tcW w:w="1416" w:type="dxa"/>
            <w:vAlign w:val="center"/>
          </w:tcPr>
          <w:p>
            <w:pPr>
              <w:pStyle w:val="61"/>
              <w:jc w:val="center"/>
              <w:rPr>
                <w:rFonts w:ascii="Times New Roman"/>
                <w:color w:val="auto"/>
                <w:sz w:val="24"/>
                <w:szCs w:val="24"/>
                <w:highlight w:val="none"/>
              </w:rPr>
            </w:pPr>
          </w:p>
        </w:tc>
        <w:tc>
          <w:tcPr>
            <w:tcW w:w="1277" w:type="dxa"/>
            <w:vAlign w:val="center"/>
          </w:tcPr>
          <w:p>
            <w:pPr>
              <w:pStyle w:val="61"/>
              <w:jc w:val="center"/>
              <w:rPr>
                <w:rFonts w:ascii="Times New Roman"/>
                <w:color w:val="auto"/>
                <w:sz w:val="24"/>
                <w:szCs w:val="24"/>
                <w:highlight w:val="none"/>
              </w:rPr>
            </w:pPr>
          </w:p>
        </w:tc>
        <w:tc>
          <w:tcPr>
            <w:tcW w:w="991" w:type="dxa"/>
            <w:vAlign w:val="center"/>
          </w:tcPr>
          <w:p>
            <w:pPr>
              <w:pStyle w:val="61"/>
              <w:jc w:val="center"/>
              <w:rPr>
                <w:rFonts w:ascii="Times New Roman"/>
                <w:color w:val="auto"/>
                <w:sz w:val="24"/>
                <w:szCs w:val="24"/>
                <w:highlight w:val="none"/>
              </w:rPr>
            </w:pPr>
          </w:p>
        </w:tc>
        <w:tc>
          <w:tcPr>
            <w:tcW w:w="852" w:type="dxa"/>
            <w:vAlign w:val="center"/>
          </w:tcPr>
          <w:p>
            <w:pPr>
              <w:pStyle w:val="61"/>
              <w:jc w:val="center"/>
              <w:rPr>
                <w:rFonts w:ascii="Times New Roman"/>
                <w:color w:val="auto"/>
                <w:sz w:val="24"/>
                <w:szCs w:val="24"/>
                <w:highlight w:val="none"/>
              </w:rPr>
            </w:pPr>
          </w:p>
        </w:tc>
        <w:tc>
          <w:tcPr>
            <w:tcW w:w="1564"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04" w:type="dxa"/>
            <w:gridSpan w:val="3"/>
            <w:vAlign w:val="center"/>
          </w:tcPr>
          <w:p>
            <w:pPr>
              <w:pStyle w:val="61"/>
              <w:spacing w:before="11"/>
              <w:jc w:val="center"/>
              <w:rPr>
                <w:color w:val="auto"/>
                <w:sz w:val="24"/>
                <w:szCs w:val="24"/>
                <w:highlight w:val="none"/>
              </w:rPr>
            </w:pPr>
          </w:p>
          <w:p>
            <w:pPr>
              <w:pStyle w:val="61"/>
              <w:ind w:left="107"/>
              <w:jc w:val="center"/>
              <w:rPr>
                <w:color w:val="auto"/>
                <w:sz w:val="24"/>
                <w:szCs w:val="24"/>
                <w:highlight w:val="none"/>
              </w:rPr>
            </w:pPr>
            <w:r>
              <w:rPr>
                <w:color w:val="auto"/>
                <w:sz w:val="24"/>
                <w:szCs w:val="24"/>
                <w:highlight w:val="none"/>
              </w:rPr>
              <w:t>最高投标限价：</w:t>
            </w:r>
          </w:p>
        </w:tc>
        <w:tc>
          <w:tcPr>
            <w:tcW w:w="6100" w:type="dxa"/>
            <w:gridSpan w:val="5"/>
            <w:vAlign w:val="center"/>
          </w:tcPr>
          <w:p>
            <w:pPr>
              <w:pStyle w:val="61"/>
              <w:jc w:val="center"/>
              <w:rPr>
                <w:rFonts w:ascii="Times New Roman"/>
                <w:color w:val="auto"/>
                <w:sz w:val="24"/>
                <w:szCs w:val="24"/>
                <w:highlight w:val="none"/>
              </w:rPr>
            </w:pPr>
          </w:p>
        </w:tc>
      </w:tr>
    </w:tbl>
    <w:p>
      <w:pPr>
        <w:pStyle w:val="15"/>
        <w:rPr>
          <w:color w:val="auto"/>
          <w:sz w:val="22"/>
          <w:highlight w:val="none"/>
        </w:rPr>
      </w:pPr>
    </w:p>
    <w:p>
      <w:pPr>
        <w:pStyle w:val="15"/>
        <w:rPr>
          <w:color w:val="auto"/>
          <w:sz w:val="22"/>
          <w:highlight w:val="none"/>
        </w:rPr>
      </w:pPr>
    </w:p>
    <w:p>
      <w:pPr>
        <w:pStyle w:val="15"/>
        <w:tabs>
          <w:tab w:val="left" w:pos="2444"/>
          <w:tab w:val="left" w:pos="3237"/>
          <w:tab w:val="left" w:pos="4859"/>
          <w:tab w:val="left" w:pos="5546"/>
          <w:tab w:val="left" w:pos="7169"/>
        </w:tabs>
        <w:spacing w:before="163"/>
        <w:ind w:left="400"/>
        <w:rPr>
          <w:rFonts w:ascii="Times New Roman" w:eastAsia="Times New Roman"/>
          <w:color w:val="auto"/>
          <w:sz w:val="24"/>
          <w:szCs w:val="24"/>
          <w:highlight w:val="none"/>
        </w:rPr>
      </w:pPr>
      <w:r>
        <w:rPr>
          <w:color w:val="auto"/>
          <w:sz w:val="24"/>
          <w:szCs w:val="24"/>
          <w:highlight w:val="none"/>
        </w:rPr>
        <w:t>招标人代表：</w:t>
      </w:r>
      <w:r>
        <w:rPr>
          <w:color w:val="auto"/>
          <w:sz w:val="24"/>
          <w:szCs w:val="24"/>
          <w:highlight w:val="none"/>
          <w:u w:val="single"/>
        </w:rPr>
        <w:tab/>
      </w:r>
      <w:r>
        <w:rPr>
          <w:color w:val="auto"/>
          <w:sz w:val="24"/>
          <w:szCs w:val="24"/>
          <w:highlight w:val="none"/>
        </w:rPr>
        <w:tab/>
      </w:r>
      <w:r>
        <w:rPr>
          <w:color w:val="auto"/>
          <w:sz w:val="24"/>
          <w:szCs w:val="24"/>
          <w:highlight w:val="none"/>
        </w:rPr>
        <w:t>记录人：</w:t>
      </w:r>
      <w:r>
        <w:rPr>
          <w:color w:val="auto"/>
          <w:sz w:val="24"/>
          <w:szCs w:val="24"/>
          <w:highlight w:val="none"/>
          <w:u w:val="single"/>
        </w:rPr>
        <w:tab/>
      </w:r>
      <w:r>
        <w:rPr>
          <w:color w:val="auto"/>
          <w:sz w:val="24"/>
          <w:szCs w:val="24"/>
          <w:highlight w:val="none"/>
        </w:rPr>
        <w:tab/>
      </w:r>
      <w:r>
        <w:rPr>
          <w:color w:val="auto"/>
          <w:sz w:val="24"/>
          <w:szCs w:val="24"/>
          <w:highlight w:val="none"/>
        </w:rPr>
        <w:t>监标人：</w:t>
      </w:r>
      <w:r>
        <w:rPr>
          <w:rFonts w:ascii="Times New Roman" w:eastAsia="Times New Roman"/>
          <w:color w:val="auto"/>
          <w:sz w:val="24"/>
          <w:szCs w:val="24"/>
          <w:highlight w:val="none"/>
          <w:u w:val="single"/>
        </w:rPr>
        <w:tab/>
      </w:r>
    </w:p>
    <w:p>
      <w:pPr>
        <w:pStyle w:val="15"/>
        <w:spacing w:before="4"/>
        <w:rPr>
          <w:rFonts w:ascii="Times New Roman"/>
          <w:color w:val="auto"/>
          <w:sz w:val="24"/>
          <w:szCs w:val="24"/>
          <w:highlight w:val="none"/>
        </w:rPr>
      </w:pPr>
    </w:p>
    <w:p>
      <w:pPr>
        <w:pStyle w:val="15"/>
        <w:tabs>
          <w:tab w:val="left" w:pos="6943"/>
          <w:tab w:val="left" w:pos="7889"/>
          <w:tab w:val="left" w:pos="8833"/>
        </w:tabs>
        <w:spacing w:before="72"/>
        <w:ind w:left="6207"/>
        <w:rPr>
          <w:color w:val="auto"/>
          <w:highlight w:val="none"/>
        </w:rPr>
      </w:pPr>
      <w:r>
        <w:rPr>
          <w:rFonts w:ascii="Times New Roman" w:eastAsia="Times New Roman"/>
          <w:color w:val="auto"/>
          <w:sz w:val="24"/>
          <w:szCs w:val="24"/>
          <w:highlight w:val="none"/>
          <w:u w:val="single"/>
        </w:rPr>
        <w:tab/>
      </w:r>
      <w:r>
        <w:rPr>
          <w:color w:val="auto"/>
          <w:sz w:val="24"/>
          <w:szCs w:val="24"/>
          <w:highlight w:val="none"/>
        </w:rPr>
        <w:t>年</w:t>
      </w:r>
      <w:r>
        <w:rPr>
          <w:color w:val="auto"/>
          <w:sz w:val="24"/>
          <w:szCs w:val="24"/>
          <w:highlight w:val="none"/>
          <w:u w:val="single"/>
        </w:rPr>
        <w:tab/>
      </w:r>
      <w:r>
        <w:rPr>
          <w:color w:val="auto"/>
          <w:sz w:val="24"/>
          <w:szCs w:val="24"/>
          <w:highlight w:val="none"/>
        </w:rPr>
        <w:t>月</w:t>
      </w:r>
      <w:r>
        <w:rPr>
          <w:color w:val="auto"/>
          <w:sz w:val="24"/>
          <w:szCs w:val="24"/>
          <w:highlight w:val="none"/>
          <w:u w:val="single"/>
        </w:rPr>
        <w:tab/>
      </w:r>
      <w:r>
        <w:rPr>
          <w:color w:val="auto"/>
          <w:sz w:val="24"/>
          <w:szCs w:val="24"/>
          <w:highlight w:val="none"/>
        </w:rPr>
        <w:t>日</w:t>
      </w:r>
    </w:p>
    <w:p>
      <w:pPr>
        <w:rPr>
          <w:color w:val="auto"/>
          <w:highlight w:val="none"/>
        </w:rPr>
        <w:sectPr>
          <w:type w:val="continuous"/>
          <w:pgSz w:w="11907" w:h="16839"/>
          <w:pgMar w:top="1417" w:right="1587" w:bottom="1417" w:left="1587" w:header="0" w:footer="841" w:gutter="0"/>
          <w:pgNumType w:fmt="decimal"/>
          <w:cols w:space="720" w:num="1"/>
        </w:sectPr>
      </w:pPr>
    </w:p>
    <w:p>
      <w:pPr>
        <w:widowControl/>
        <w:autoSpaceDE/>
        <w:autoSpaceDN/>
        <w:rPr>
          <w:color w:val="auto"/>
          <w:sz w:val="28"/>
          <w:szCs w:val="28"/>
          <w:highlight w:val="none"/>
        </w:rPr>
      </w:pPr>
      <w:bookmarkStart w:id="128" w:name="_bookmark76"/>
      <w:bookmarkEnd w:id="128"/>
      <w:r>
        <w:rPr>
          <w:color w:val="auto"/>
          <w:highlight w:val="none"/>
        </w:rPr>
        <w:br w:type="page"/>
      </w:r>
    </w:p>
    <w:p>
      <w:pPr>
        <w:pStyle w:val="57"/>
        <w:spacing w:before="43"/>
        <w:ind w:left="537" w:firstLine="0"/>
        <w:rPr>
          <w:color w:val="auto"/>
          <w:highlight w:val="none"/>
        </w:rPr>
      </w:pPr>
      <w:r>
        <w:rPr>
          <w:color w:val="auto"/>
          <w:highlight w:val="none"/>
        </w:rPr>
        <w:t>附件二：问题澄清通知</w:t>
      </w:r>
    </w:p>
    <w:p>
      <w:pPr>
        <w:pStyle w:val="15"/>
        <w:rPr>
          <w:color w:val="auto"/>
          <w:sz w:val="20"/>
          <w:highlight w:val="none"/>
        </w:rPr>
      </w:pPr>
    </w:p>
    <w:p>
      <w:pPr>
        <w:pStyle w:val="15"/>
        <w:rPr>
          <w:color w:val="auto"/>
          <w:sz w:val="20"/>
          <w:highlight w:val="none"/>
        </w:rPr>
      </w:pPr>
    </w:p>
    <w:p>
      <w:pPr>
        <w:pStyle w:val="15"/>
        <w:rPr>
          <w:color w:val="auto"/>
          <w:sz w:val="20"/>
          <w:highlight w:val="none"/>
        </w:rPr>
      </w:pPr>
    </w:p>
    <w:p>
      <w:pPr>
        <w:pStyle w:val="15"/>
        <w:spacing w:before="11"/>
        <w:rPr>
          <w:color w:val="auto"/>
          <w:sz w:val="15"/>
          <w:highlight w:val="none"/>
        </w:rPr>
      </w:pPr>
    </w:p>
    <w:p>
      <w:pPr>
        <w:spacing w:before="62"/>
        <w:ind w:right="293"/>
        <w:jc w:val="center"/>
        <w:rPr>
          <w:color w:val="auto"/>
          <w:sz w:val="28"/>
          <w:highlight w:val="none"/>
        </w:rPr>
      </w:pPr>
      <w:r>
        <w:rPr>
          <w:color w:val="auto"/>
          <w:sz w:val="28"/>
          <w:highlight w:val="none"/>
        </w:rPr>
        <w:t>问题澄清通知</w:t>
      </w:r>
    </w:p>
    <w:p>
      <w:pPr>
        <w:pStyle w:val="15"/>
        <w:tabs>
          <w:tab w:val="left" w:pos="2937"/>
        </w:tabs>
        <w:spacing w:before="152"/>
        <w:ind w:right="300"/>
        <w:jc w:val="center"/>
        <w:rPr>
          <w:color w:val="auto"/>
          <w:sz w:val="24"/>
          <w:szCs w:val="24"/>
          <w:highlight w:val="none"/>
        </w:rPr>
      </w:pPr>
      <w:r>
        <w:rPr>
          <w:color w:val="auto"/>
          <w:sz w:val="24"/>
          <w:szCs w:val="24"/>
          <w:highlight w:val="none"/>
        </w:rPr>
        <w:t>（编号：</w:t>
      </w:r>
      <w:r>
        <w:rPr>
          <w:color w:val="auto"/>
          <w:sz w:val="24"/>
          <w:szCs w:val="24"/>
          <w:highlight w:val="none"/>
          <w:u w:val="single"/>
        </w:rPr>
        <w:tab/>
      </w:r>
      <w:r>
        <w:rPr>
          <w:color w:val="auto"/>
          <w:sz w:val="24"/>
          <w:szCs w:val="24"/>
          <w:highlight w:val="none"/>
        </w:rPr>
        <w:t>）</w:t>
      </w:r>
    </w:p>
    <w:p>
      <w:pPr>
        <w:pStyle w:val="15"/>
        <w:rPr>
          <w:color w:val="auto"/>
          <w:sz w:val="24"/>
          <w:szCs w:val="24"/>
          <w:highlight w:val="none"/>
        </w:rPr>
      </w:pPr>
    </w:p>
    <w:p>
      <w:pPr>
        <w:pStyle w:val="15"/>
        <w:spacing w:before="6"/>
        <w:rPr>
          <w:color w:val="auto"/>
          <w:sz w:val="24"/>
          <w:szCs w:val="24"/>
          <w:highlight w:val="none"/>
        </w:rPr>
      </w:pPr>
    </w:p>
    <w:p>
      <w:pPr>
        <w:pStyle w:val="15"/>
        <w:tabs>
          <w:tab w:val="left" w:pos="2605"/>
        </w:tabs>
        <w:spacing w:before="78"/>
        <w:ind w:left="400"/>
        <w:rPr>
          <w:color w:val="auto"/>
          <w:sz w:val="24"/>
          <w:szCs w:val="24"/>
          <w:highlight w:val="none"/>
        </w:rPr>
      </w:pPr>
      <w:r>
        <w:rPr>
          <w:rFonts w:ascii="Times New Roman" w:eastAsia="Times New Roman"/>
          <w:color w:val="auto"/>
          <w:sz w:val="24"/>
          <w:szCs w:val="24"/>
          <w:highlight w:val="none"/>
          <w:u w:val="single"/>
        </w:rPr>
        <w:tab/>
      </w:r>
      <w:r>
        <w:rPr>
          <w:color w:val="auto"/>
          <w:sz w:val="24"/>
          <w:szCs w:val="24"/>
          <w:highlight w:val="none"/>
        </w:rPr>
        <w:t>（投标人名称）：</w:t>
      </w:r>
    </w:p>
    <w:p>
      <w:pPr>
        <w:pStyle w:val="15"/>
        <w:rPr>
          <w:color w:val="auto"/>
          <w:sz w:val="24"/>
          <w:szCs w:val="24"/>
          <w:highlight w:val="none"/>
        </w:rPr>
      </w:pPr>
    </w:p>
    <w:p>
      <w:pPr>
        <w:pStyle w:val="15"/>
        <w:spacing w:before="3"/>
        <w:rPr>
          <w:color w:val="auto"/>
          <w:sz w:val="24"/>
          <w:szCs w:val="24"/>
          <w:highlight w:val="none"/>
        </w:rPr>
      </w:pPr>
    </w:p>
    <w:p>
      <w:pPr>
        <w:pStyle w:val="15"/>
        <w:spacing w:before="72" w:line="391" w:lineRule="auto"/>
        <w:ind w:left="400" w:right="694" w:firstLine="422"/>
        <w:rPr>
          <w:color w:val="auto"/>
          <w:sz w:val="24"/>
          <w:szCs w:val="24"/>
          <w:highlight w:val="none"/>
        </w:rPr>
      </w:pPr>
      <w:r>
        <w:rPr>
          <w:color w:val="auto"/>
          <w:sz w:val="24"/>
          <w:szCs w:val="24"/>
          <w:highlight w:val="none"/>
        </w:rPr>
        <w:t>评标委员会对你方的投标文件进行了仔细的审查，现需你方对下列问题以书面形式予以澄清、说明或补正：</w:t>
      </w:r>
    </w:p>
    <w:p>
      <w:pPr>
        <w:pStyle w:val="15"/>
        <w:rPr>
          <w:color w:val="auto"/>
          <w:sz w:val="24"/>
          <w:szCs w:val="24"/>
          <w:highlight w:val="none"/>
        </w:rPr>
      </w:pPr>
    </w:p>
    <w:p>
      <w:pPr>
        <w:pStyle w:val="15"/>
        <w:spacing w:before="8"/>
        <w:rPr>
          <w:color w:val="auto"/>
          <w:sz w:val="24"/>
          <w:szCs w:val="24"/>
          <w:highlight w:val="none"/>
        </w:rPr>
      </w:pPr>
    </w:p>
    <w:p>
      <w:pPr>
        <w:pStyle w:val="15"/>
        <w:ind w:left="822"/>
        <w:rPr>
          <w:rFonts w:ascii="Times New Roman"/>
          <w:color w:val="auto"/>
          <w:sz w:val="24"/>
          <w:szCs w:val="24"/>
          <w:highlight w:val="none"/>
        </w:rPr>
      </w:pPr>
      <w:r>
        <w:rPr>
          <w:rFonts w:ascii="Times New Roman"/>
          <w:color w:val="auto"/>
          <w:sz w:val="24"/>
          <w:szCs w:val="24"/>
          <w:highlight w:val="none"/>
        </w:rPr>
        <w:t>1.</w:t>
      </w:r>
    </w:p>
    <w:p>
      <w:pPr>
        <w:pStyle w:val="15"/>
        <w:spacing w:before="2"/>
        <w:rPr>
          <w:rFonts w:ascii="Times New Roman"/>
          <w:color w:val="auto"/>
          <w:sz w:val="24"/>
          <w:szCs w:val="24"/>
          <w:highlight w:val="none"/>
        </w:rPr>
      </w:pPr>
    </w:p>
    <w:p>
      <w:pPr>
        <w:pStyle w:val="15"/>
        <w:ind w:left="822"/>
        <w:rPr>
          <w:rFonts w:ascii="Times New Roman"/>
          <w:color w:val="auto"/>
          <w:sz w:val="24"/>
          <w:szCs w:val="24"/>
          <w:highlight w:val="none"/>
        </w:rPr>
      </w:pPr>
      <w:r>
        <w:rPr>
          <w:rFonts w:ascii="Times New Roman"/>
          <w:color w:val="auto"/>
          <w:sz w:val="24"/>
          <w:szCs w:val="24"/>
          <w:highlight w:val="none"/>
        </w:rPr>
        <w:t>2.</w:t>
      </w:r>
    </w:p>
    <w:p>
      <w:pPr>
        <w:pStyle w:val="15"/>
        <w:spacing w:before="5"/>
        <w:rPr>
          <w:rFonts w:ascii="Times New Roman"/>
          <w:color w:val="auto"/>
          <w:sz w:val="24"/>
          <w:szCs w:val="24"/>
          <w:highlight w:val="none"/>
        </w:rPr>
      </w:pPr>
    </w:p>
    <w:p>
      <w:pPr>
        <w:pStyle w:val="15"/>
        <w:ind w:left="928"/>
        <w:rPr>
          <w:rFonts w:ascii="Times New Roman"/>
          <w:color w:val="auto"/>
          <w:sz w:val="24"/>
          <w:szCs w:val="24"/>
          <w:highlight w:val="none"/>
        </w:rPr>
      </w:pPr>
      <w:r>
        <w:rPr>
          <w:rFonts w:ascii="Times New Roman"/>
          <w:color w:val="auto"/>
          <w:sz w:val="24"/>
          <w:szCs w:val="24"/>
          <w:highlight w:val="none"/>
        </w:rPr>
        <w:t>......</w:t>
      </w:r>
    </w:p>
    <w:p>
      <w:pPr>
        <w:pStyle w:val="15"/>
        <w:rPr>
          <w:rFonts w:ascii="Times New Roman"/>
          <w:color w:val="auto"/>
          <w:sz w:val="24"/>
          <w:szCs w:val="24"/>
          <w:highlight w:val="none"/>
        </w:rPr>
      </w:pPr>
    </w:p>
    <w:p>
      <w:pPr>
        <w:pStyle w:val="15"/>
        <w:spacing w:before="2"/>
        <w:rPr>
          <w:rFonts w:ascii="Times New Roman"/>
          <w:color w:val="auto"/>
          <w:sz w:val="24"/>
          <w:szCs w:val="24"/>
          <w:highlight w:val="none"/>
        </w:rPr>
      </w:pPr>
    </w:p>
    <w:p>
      <w:pPr>
        <w:pStyle w:val="15"/>
        <w:tabs>
          <w:tab w:val="left" w:pos="4903"/>
          <w:tab w:val="left" w:pos="5849"/>
          <w:tab w:val="left" w:pos="6794"/>
          <w:tab w:val="left" w:pos="7738"/>
        </w:tabs>
        <w:ind w:left="806"/>
        <w:rPr>
          <w:color w:val="auto"/>
          <w:sz w:val="24"/>
          <w:szCs w:val="24"/>
          <w:highlight w:val="none"/>
        </w:rPr>
      </w:pPr>
      <w:r>
        <w:rPr>
          <w:color w:val="auto"/>
          <w:sz w:val="24"/>
          <w:szCs w:val="24"/>
          <w:highlight w:val="none"/>
        </w:rPr>
        <w:t>请将上述问题的澄清、说明或补正于</w:t>
      </w:r>
      <w:r>
        <w:rPr>
          <w:color w:val="auto"/>
          <w:sz w:val="24"/>
          <w:szCs w:val="24"/>
          <w:highlight w:val="none"/>
          <w:u w:val="single"/>
        </w:rPr>
        <w:tab/>
      </w:r>
      <w:r>
        <w:rPr>
          <w:color w:val="auto"/>
          <w:sz w:val="24"/>
          <w:szCs w:val="24"/>
          <w:highlight w:val="none"/>
        </w:rPr>
        <w:t>年</w:t>
      </w:r>
      <w:r>
        <w:rPr>
          <w:color w:val="auto"/>
          <w:sz w:val="24"/>
          <w:szCs w:val="24"/>
          <w:highlight w:val="none"/>
          <w:u w:val="single"/>
        </w:rPr>
        <w:tab/>
      </w:r>
      <w:r>
        <w:rPr>
          <w:color w:val="auto"/>
          <w:sz w:val="24"/>
          <w:szCs w:val="24"/>
          <w:highlight w:val="none"/>
        </w:rPr>
        <w:t>月</w:t>
      </w:r>
      <w:r>
        <w:rPr>
          <w:color w:val="auto"/>
          <w:sz w:val="24"/>
          <w:szCs w:val="24"/>
          <w:highlight w:val="none"/>
          <w:u w:val="single"/>
        </w:rPr>
        <w:tab/>
      </w:r>
      <w:r>
        <w:rPr>
          <w:color w:val="auto"/>
          <w:sz w:val="24"/>
          <w:szCs w:val="24"/>
          <w:highlight w:val="none"/>
        </w:rPr>
        <w:t>日</w:t>
      </w:r>
      <w:r>
        <w:rPr>
          <w:color w:val="auto"/>
          <w:sz w:val="24"/>
          <w:szCs w:val="24"/>
          <w:highlight w:val="none"/>
          <w:u w:val="single"/>
        </w:rPr>
        <w:tab/>
      </w:r>
      <w:r>
        <w:rPr>
          <w:color w:val="auto"/>
          <w:sz w:val="24"/>
          <w:szCs w:val="24"/>
          <w:highlight w:val="none"/>
        </w:rPr>
        <w:t>时前递交至</w:t>
      </w:r>
    </w:p>
    <w:p>
      <w:pPr>
        <w:pStyle w:val="15"/>
        <w:tabs>
          <w:tab w:val="left" w:pos="3340"/>
          <w:tab w:val="left" w:pos="7596"/>
        </w:tabs>
        <w:spacing w:before="173"/>
        <w:ind w:left="400"/>
        <w:rPr>
          <w:color w:val="auto"/>
          <w:sz w:val="24"/>
          <w:szCs w:val="24"/>
          <w:highlight w:val="none"/>
        </w:rPr>
      </w:pPr>
      <w:r>
        <w:rPr>
          <w:rFonts w:ascii="Times New Roman" w:eastAsia="Times New Roman"/>
          <w:color w:val="auto"/>
          <w:sz w:val="24"/>
          <w:szCs w:val="24"/>
          <w:highlight w:val="none"/>
          <w:u w:val="single"/>
        </w:rPr>
        <w:tab/>
      </w:r>
      <w:r>
        <w:rPr>
          <w:color w:val="auto"/>
          <w:sz w:val="24"/>
          <w:szCs w:val="24"/>
          <w:highlight w:val="none"/>
        </w:rPr>
        <w:t>（详细地址）或传真至</w:t>
      </w:r>
      <w:r>
        <w:rPr>
          <w:color w:val="auto"/>
          <w:sz w:val="24"/>
          <w:szCs w:val="24"/>
          <w:highlight w:val="none"/>
          <w:u w:val="single"/>
        </w:rPr>
        <w:tab/>
      </w:r>
      <w:r>
        <w:rPr>
          <w:color w:val="auto"/>
          <w:sz w:val="24"/>
          <w:szCs w:val="24"/>
          <w:highlight w:val="none"/>
        </w:rPr>
        <w:t>（传真号码）或</w:t>
      </w:r>
    </w:p>
    <w:p>
      <w:pPr>
        <w:pStyle w:val="15"/>
        <w:tabs>
          <w:tab w:val="left" w:pos="7438"/>
          <w:tab w:val="left" w:pos="8384"/>
        </w:tabs>
        <w:spacing w:before="170"/>
        <w:ind w:left="400"/>
        <w:rPr>
          <w:color w:val="auto"/>
          <w:sz w:val="24"/>
          <w:szCs w:val="24"/>
          <w:highlight w:val="none"/>
        </w:rPr>
      </w:pPr>
      <w:r>
        <w:rPr>
          <w:color w:val="auto"/>
          <w:sz w:val="24"/>
          <w:szCs w:val="24"/>
          <w:highlight w:val="none"/>
        </w:rPr>
        <w:t>通过下载招标文件的电子招标交易平台上传。采用传真方式的，应在</w:t>
      </w:r>
      <w:r>
        <w:rPr>
          <w:color w:val="auto"/>
          <w:sz w:val="24"/>
          <w:szCs w:val="24"/>
          <w:highlight w:val="none"/>
          <w:u w:val="single"/>
        </w:rPr>
        <w:tab/>
      </w:r>
      <w:r>
        <w:rPr>
          <w:color w:val="auto"/>
          <w:sz w:val="24"/>
          <w:szCs w:val="24"/>
          <w:highlight w:val="none"/>
        </w:rPr>
        <w:t>年</w:t>
      </w:r>
      <w:r>
        <w:rPr>
          <w:color w:val="auto"/>
          <w:sz w:val="24"/>
          <w:szCs w:val="24"/>
          <w:highlight w:val="none"/>
          <w:u w:val="single"/>
        </w:rPr>
        <w:tab/>
      </w:r>
      <w:r>
        <w:rPr>
          <w:color w:val="auto"/>
          <w:sz w:val="24"/>
          <w:szCs w:val="24"/>
          <w:highlight w:val="none"/>
        </w:rPr>
        <w:t>月</w:t>
      </w:r>
    </w:p>
    <w:p>
      <w:pPr>
        <w:pStyle w:val="15"/>
        <w:tabs>
          <w:tab w:val="left" w:pos="1137"/>
          <w:tab w:val="left" w:pos="2082"/>
          <w:tab w:val="left" w:pos="5969"/>
        </w:tabs>
        <w:spacing w:before="170"/>
        <w:ind w:left="400"/>
        <w:rPr>
          <w:color w:val="auto"/>
          <w:sz w:val="24"/>
          <w:szCs w:val="24"/>
          <w:highlight w:val="none"/>
        </w:rPr>
      </w:pPr>
      <w:r>
        <w:rPr>
          <w:rFonts w:ascii="Times New Roman" w:eastAsia="Times New Roman"/>
          <w:color w:val="auto"/>
          <w:sz w:val="24"/>
          <w:szCs w:val="24"/>
          <w:highlight w:val="none"/>
          <w:u w:val="single"/>
        </w:rPr>
        <w:tab/>
      </w:r>
      <w:r>
        <w:rPr>
          <w:color w:val="auto"/>
          <w:sz w:val="24"/>
          <w:szCs w:val="24"/>
          <w:highlight w:val="none"/>
        </w:rPr>
        <w:t>日</w:t>
      </w:r>
      <w:r>
        <w:rPr>
          <w:color w:val="auto"/>
          <w:sz w:val="24"/>
          <w:szCs w:val="24"/>
          <w:highlight w:val="none"/>
          <w:u w:val="single"/>
        </w:rPr>
        <w:tab/>
      </w:r>
      <w:r>
        <w:rPr>
          <w:color w:val="auto"/>
          <w:sz w:val="24"/>
          <w:szCs w:val="24"/>
          <w:highlight w:val="none"/>
        </w:rPr>
        <w:t>时前将原件递交至</w:t>
      </w:r>
      <w:r>
        <w:rPr>
          <w:color w:val="auto"/>
          <w:sz w:val="24"/>
          <w:szCs w:val="24"/>
          <w:highlight w:val="none"/>
          <w:u w:val="single"/>
        </w:rPr>
        <w:tab/>
      </w:r>
      <w:r>
        <w:rPr>
          <w:color w:val="auto"/>
          <w:sz w:val="24"/>
          <w:szCs w:val="24"/>
          <w:highlight w:val="none"/>
        </w:rPr>
        <w:t>（详细地址）。</w:t>
      </w:r>
    </w:p>
    <w:p>
      <w:pPr>
        <w:pStyle w:val="15"/>
        <w:rPr>
          <w:color w:val="auto"/>
          <w:sz w:val="24"/>
          <w:szCs w:val="24"/>
          <w:highlight w:val="none"/>
        </w:rPr>
      </w:pPr>
    </w:p>
    <w:p>
      <w:pPr>
        <w:pStyle w:val="15"/>
        <w:rPr>
          <w:color w:val="auto"/>
          <w:sz w:val="24"/>
          <w:szCs w:val="24"/>
          <w:highlight w:val="none"/>
        </w:rPr>
      </w:pPr>
    </w:p>
    <w:p>
      <w:pPr>
        <w:pStyle w:val="15"/>
        <w:rPr>
          <w:color w:val="auto"/>
          <w:sz w:val="24"/>
          <w:szCs w:val="24"/>
          <w:highlight w:val="none"/>
        </w:rPr>
      </w:pPr>
    </w:p>
    <w:p>
      <w:pPr>
        <w:pStyle w:val="15"/>
        <w:rPr>
          <w:color w:val="auto"/>
          <w:sz w:val="24"/>
          <w:szCs w:val="24"/>
          <w:highlight w:val="none"/>
        </w:rPr>
      </w:pPr>
    </w:p>
    <w:p>
      <w:pPr>
        <w:pStyle w:val="15"/>
        <w:tabs>
          <w:tab w:val="left" w:pos="7332"/>
        </w:tabs>
        <w:spacing w:before="78"/>
        <w:ind w:left="2500"/>
        <w:rPr>
          <w:color w:val="auto"/>
          <w:sz w:val="24"/>
          <w:szCs w:val="24"/>
          <w:highlight w:val="none"/>
        </w:rPr>
      </w:pPr>
      <w:r>
        <w:rPr>
          <w:color w:val="auto"/>
          <w:sz w:val="24"/>
          <w:szCs w:val="24"/>
          <w:highlight w:val="none"/>
        </w:rPr>
        <w:t>评标委员会授权的招标人或招标代理机构：</w:t>
      </w:r>
      <w:r>
        <w:rPr>
          <w:color w:val="auto"/>
          <w:sz w:val="24"/>
          <w:szCs w:val="24"/>
          <w:highlight w:val="none"/>
          <w:u w:val="single"/>
        </w:rPr>
        <w:tab/>
      </w:r>
      <w:r>
        <w:rPr>
          <w:color w:val="auto"/>
          <w:sz w:val="24"/>
          <w:szCs w:val="24"/>
          <w:highlight w:val="none"/>
        </w:rPr>
        <w:t>（签字或盖章）</w:t>
      </w:r>
    </w:p>
    <w:p>
      <w:pPr>
        <w:pStyle w:val="15"/>
        <w:rPr>
          <w:color w:val="auto"/>
          <w:sz w:val="24"/>
          <w:szCs w:val="24"/>
          <w:highlight w:val="none"/>
        </w:rPr>
      </w:pPr>
    </w:p>
    <w:p>
      <w:pPr>
        <w:pStyle w:val="15"/>
        <w:spacing w:before="2"/>
        <w:rPr>
          <w:color w:val="auto"/>
          <w:sz w:val="24"/>
          <w:szCs w:val="24"/>
          <w:highlight w:val="none"/>
        </w:rPr>
      </w:pPr>
    </w:p>
    <w:p>
      <w:pPr>
        <w:pStyle w:val="15"/>
        <w:tabs>
          <w:tab w:val="left" w:pos="6103"/>
          <w:tab w:val="left" w:pos="7046"/>
          <w:tab w:val="left" w:pos="7992"/>
        </w:tabs>
        <w:spacing w:before="72"/>
        <w:ind w:left="5261"/>
        <w:rPr>
          <w:color w:val="auto"/>
          <w:sz w:val="24"/>
          <w:szCs w:val="24"/>
          <w:highlight w:val="none"/>
        </w:rPr>
      </w:pPr>
      <w:r>
        <w:rPr>
          <w:rFonts w:ascii="Times New Roman" w:eastAsia="Times New Roman"/>
          <w:color w:val="auto"/>
          <w:sz w:val="24"/>
          <w:szCs w:val="24"/>
          <w:highlight w:val="none"/>
          <w:u w:val="single"/>
        </w:rPr>
        <w:tab/>
      </w:r>
      <w:r>
        <w:rPr>
          <w:color w:val="auto"/>
          <w:sz w:val="24"/>
          <w:szCs w:val="24"/>
          <w:highlight w:val="none"/>
        </w:rPr>
        <w:t>年</w:t>
      </w:r>
      <w:r>
        <w:rPr>
          <w:color w:val="auto"/>
          <w:sz w:val="24"/>
          <w:szCs w:val="24"/>
          <w:highlight w:val="none"/>
          <w:u w:val="single"/>
        </w:rPr>
        <w:tab/>
      </w:r>
      <w:r>
        <w:rPr>
          <w:color w:val="auto"/>
          <w:sz w:val="24"/>
          <w:szCs w:val="24"/>
          <w:highlight w:val="none"/>
        </w:rPr>
        <w:t>月</w:t>
      </w:r>
      <w:r>
        <w:rPr>
          <w:color w:val="auto"/>
          <w:sz w:val="24"/>
          <w:szCs w:val="24"/>
          <w:highlight w:val="none"/>
          <w:u w:val="single"/>
        </w:rPr>
        <w:tab/>
      </w:r>
      <w:r>
        <w:rPr>
          <w:color w:val="auto"/>
          <w:sz w:val="24"/>
          <w:szCs w:val="24"/>
          <w:highlight w:val="none"/>
        </w:rPr>
        <w:t>日</w:t>
      </w:r>
    </w:p>
    <w:p>
      <w:pPr>
        <w:rPr>
          <w:color w:val="auto"/>
          <w:highlight w:val="none"/>
        </w:rPr>
        <w:sectPr>
          <w:type w:val="continuous"/>
          <w:pgSz w:w="11907" w:h="16839"/>
          <w:pgMar w:top="1417" w:right="1587" w:bottom="1417" w:left="1587" w:header="0" w:footer="841" w:gutter="0"/>
          <w:pgNumType w:fmt="decimal"/>
          <w:cols w:space="720" w:num="1"/>
        </w:sectPr>
      </w:pPr>
    </w:p>
    <w:p>
      <w:pPr>
        <w:widowControl/>
        <w:autoSpaceDE/>
        <w:autoSpaceDN/>
        <w:rPr>
          <w:color w:val="auto"/>
          <w:sz w:val="28"/>
          <w:szCs w:val="28"/>
          <w:highlight w:val="none"/>
        </w:rPr>
      </w:pPr>
      <w:bookmarkStart w:id="129" w:name="_bookmark77"/>
      <w:bookmarkEnd w:id="129"/>
      <w:r>
        <w:rPr>
          <w:color w:val="auto"/>
          <w:highlight w:val="none"/>
        </w:rPr>
        <w:br w:type="page"/>
      </w:r>
    </w:p>
    <w:p>
      <w:pPr>
        <w:pStyle w:val="57"/>
        <w:spacing w:before="43"/>
        <w:ind w:left="537" w:firstLine="0"/>
        <w:rPr>
          <w:color w:val="auto"/>
          <w:highlight w:val="none"/>
        </w:rPr>
      </w:pPr>
      <w:r>
        <w:rPr>
          <w:color w:val="auto"/>
          <w:highlight w:val="none"/>
        </w:rPr>
        <w:t>附件三：问题的澄清</w:t>
      </w:r>
    </w:p>
    <w:p>
      <w:pPr>
        <w:pStyle w:val="15"/>
        <w:rPr>
          <w:color w:val="auto"/>
          <w:sz w:val="20"/>
          <w:highlight w:val="none"/>
        </w:rPr>
      </w:pPr>
    </w:p>
    <w:p>
      <w:pPr>
        <w:pStyle w:val="15"/>
        <w:rPr>
          <w:color w:val="auto"/>
          <w:sz w:val="20"/>
          <w:highlight w:val="none"/>
        </w:rPr>
      </w:pPr>
    </w:p>
    <w:p>
      <w:pPr>
        <w:pStyle w:val="15"/>
        <w:rPr>
          <w:color w:val="auto"/>
          <w:sz w:val="20"/>
          <w:highlight w:val="none"/>
        </w:rPr>
      </w:pPr>
    </w:p>
    <w:p>
      <w:pPr>
        <w:spacing w:before="193"/>
        <w:ind w:right="296"/>
        <w:jc w:val="center"/>
        <w:rPr>
          <w:color w:val="auto"/>
          <w:sz w:val="28"/>
          <w:highlight w:val="none"/>
        </w:rPr>
      </w:pPr>
      <w:r>
        <w:rPr>
          <w:color w:val="auto"/>
          <w:sz w:val="28"/>
          <w:highlight w:val="none"/>
        </w:rPr>
        <w:t>问题的澄清</w:t>
      </w:r>
    </w:p>
    <w:p>
      <w:pPr>
        <w:pStyle w:val="15"/>
        <w:tabs>
          <w:tab w:val="left" w:pos="2966"/>
        </w:tabs>
        <w:spacing w:before="109"/>
        <w:ind w:left="585"/>
        <w:jc w:val="center"/>
        <w:rPr>
          <w:color w:val="auto"/>
          <w:sz w:val="24"/>
          <w:szCs w:val="24"/>
          <w:highlight w:val="none"/>
        </w:rPr>
      </w:pPr>
      <w:r>
        <w:rPr>
          <w:color w:val="auto"/>
          <w:sz w:val="24"/>
          <w:szCs w:val="24"/>
          <w:highlight w:val="none"/>
        </w:rPr>
        <w:t>（编号：</w:t>
      </w:r>
      <w:r>
        <w:rPr>
          <w:color w:val="auto"/>
          <w:sz w:val="24"/>
          <w:szCs w:val="24"/>
          <w:highlight w:val="none"/>
          <w:u w:val="single"/>
        </w:rPr>
        <w:tab/>
      </w:r>
      <w:r>
        <w:rPr>
          <w:color w:val="auto"/>
          <w:sz w:val="24"/>
          <w:szCs w:val="24"/>
          <w:highlight w:val="none"/>
        </w:rPr>
        <w:t>）</w:t>
      </w:r>
    </w:p>
    <w:p>
      <w:pPr>
        <w:pStyle w:val="15"/>
        <w:rPr>
          <w:color w:val="auto"/>
          <w:sz w:val="24"/>
          <w:szCs w:val="24"/>
          <w:highlight w:val="none"/>
        </w:rPr>
      </w:pPr>
    </w:p>
    <w:p>
      <w:pPr>
        <w:pStyle w:val="15"/>
        <w:spacing w:before="8"/>
        <w:rPr>
          <w:color w:val="auto"/>
          <w:sz w:val="24"/>
          <w:szCs w:val="24"/>
          <w:highlight w:val="none"/>
        </w:rPr>
      </w:pPr>
    </w:p>
    <w:p>
      <w:pPr>
        <w:pStyle w:val="15"/>
        <w:spacing w:before="72"/>
        <w:ind w:left="400"/>
        <w:rPr>
          <w:color w:val="auto"/>
          <w:sz w:val="24"/>
          <w:szCs w:val="24"/>
          <w:highlight w:val="none"/>
        </w:rPr>
      </w:pPr>
      <w:r>
        <w:rPr>
          <w:color w:val="auto"/>
          <w:sz w:val="24"/>
          <w:szCs w:val="24"/>
          <w:highlight w:val="none"/>
        </w:rPr>
        <w:t>评标委员会：</w:t>
      </w:r>
    </w:p>
    <w:p>
      <w:pPr>
        <w:pStyle w:val="15"/>
        <w:rPr>
          <w:color w:val="auto"/>
          <w:sz w:val="24"/>
          <w:szCs w:val="24"/>
          <w:highlight w:val="none"/>
        </w:rPr>
      </w:pPr>
    </w:p>
    <w:p>
      <w:pPr>
        <w:pStyle w:val="15"/>
        <w:spacing w:before="7"/>
        <w:rPr>
          <w:color w:val="auto"/>
          <w:sz w:val="24"/>
          <w:szCs w:val="24"/>
          <w:highlight w:val="none"/>
        </w:rPr>
      </w:pPr>
    </w:p>
    <w:p>
      <w:pPr>
        <w:pStyle w:val="15"/>
        <w:tabs>
          <w:tab w:val="left" w:pos="3760"/>
        </w:tabs>
        <w:ind w:left="822"/>
        <w:rPr>
          <w:color w:val="auto"/>
          <w:sz w:val="24"/>
          <w:szCs w:val="24"/>
          <w:highlight w:val="none"/>
        </w:rPr>
      </w:pPr>
      <w:r>
        <w:rPr>
          <w:color w:val="auto"/>
          <w:sz w:val="24"/>
          <w:szCs w:val="24"/>
          <w:highlight w:val="none"/>
        </w:rPr>
        <w:t>问题澄清通知（编号：</w:t>
      </w:r>
      <w:r>
        <w:rPr>
          <w:color w:val="auto"/>
          <w:sz w:val="24"/>
          <w:szCs w:val="24"/>
          <w:highlight w:val="none"/>
          <w:u w:val="single"/>
        </w:rPr>
        <w:tab/>
      </w:r>
      <w:r>
        <w:rPr>
          <w:color w:val="auto"/>
          <w:sz w:val="24"/>
          <w:szCs w:val="24"/>
          <w:highlight w:val="none"/>
        </w:rPr>
        <w:t>）已收悉，现澄清、说明或补正如下：</w:t>
      </w:r>
    </w:p>
    <w:p>
      <w:pPr>
        <w:pStyle w:val="15"/>
        <w:spacing w:before="187"/>
        <w:ind w:right="7305"/>
        <w:jc w:val="center"/>
        <w:rPr>
          <w:rFonts w:ascii="Times New Roman"/>
          <w:color w:val="auto"/>
          <w:sz w:val="24"/>
          <w:szCs w:val="24"/>
          <w:highlight w:val="none"/>
        </w:rPr>
      </w:pPr>
      <w:r>
        <w:rPr>
          <w:rFonts w:ascii="Times New Roman"/>
          <w:color w:val="auto"/>
          <w:sz w:val="24"/>
          <w:szCs w:val="24"/>
          <w:highlight w:val="none"/>
        </w:rPr>
        <w:t>1.</w:t>
      </w:r>
    </w:p>
    <w:p>
      <w:pPr>
        <w:pStyle w:val="15"/>
        <w:spacing w:before="198"/>
        <w:ind w:right="7305"/>
        <w:jc w:val="center"/>
        <w:rPr>
          <w:rFonts w:ascii="Times New Roman"/>
          <w:color w:val="auto"/>
          <w:sz w:val="24"/>
          <w:szCs w:val="24"/>
          <w:highlight w:val="none"/>
        </w:rPr>
      </w:pPr>
      <w:r>
        <w:rPr>
          <w:rFonts w:ascii="Times New Roman"/>
          <w:color w:val="auto"/>
          <w:sz w:val="24"/>
          <w:szCs w:val="24"/>
          <w:highlight w:val="none"/>
        </w:rPr>
        <w:t>2.</w:t>
      </w:r>
    </w:p>
    <w:p>
      <w:pPr>
        <w:pStyle w:val="15"/>
        <w:spacing w:before="197"/>
        <w:ind w:right="7410"/>
        <w:jc w:val="center"/>
        <w:rPr>
          <w:rFonts w:ascii="Times New Roman"/>
          <w:color w:val="auto"/>
          <w:sz w:val="24"/>
          <w:szCs w:val="24"/>
          <w:highlight w:val="none"/>
        </w:rPr>
      </w:pPr>
      <w:r>
        <w:rPr>
          <w:rFonts w:ascii="Times New Roman"/>
          <w:color w:val="auto"/>
          <w:sz w:val="24"/>
          <w:szCs w:val="24"/>
          <w:highlight w:val="none"/>
        </w:rPr>
        <w:t>.....</w:t>
      </w:r>
    </w:p>
    <w:p>
      <w:pPr>
        <w:pStyle w:val="15"/>
        <w:rPr>
          <w:rFonts w:ascii="Times New Roman"/>
          <w:color w:val="auto"/>
          <w:sz w:val="24"/>
          <w:szCs w:val="24"/>
          <w:highlight w:val="none"/>
        </w:rPr>
      </w:pPr>
    </w:p>
    <w:p>
      <w:pPr>
        <w:pStyle w:val="15"/>
        <w:rPr>
          <w:rFonts w:ascii="Times New Roman"/>
          <w:color w:val="auto"/>
          <w:sz w:val="24"/>
          <w:szCs w:val="24"/>
          <w:highlight w:val="none"/>
        </w:rPr>
      </w:pPr>
    </w:p>
    <w:p>
      <w:pPr>
        <w:pStyle w:val="15"/>
        <w:rPr>
          <w:rFonts w:ascii="Times New Roman"/>
          <w:color w:val="auto"/>
          <w:sz w:val="24"/>
          <w:szCs w:val="24"/>
          <w:highlight w:val="none"/>
        </w:rPr>
      </w:pPr>
    </w:p>
    <w:p>
      <w:pPr>
        <w:pStyle w:val="15"/>
        <w:rPr>
          <w:rFonts w:ascii="Times New Roman"/>
          <w:color w:val="auto"/>
          <w:sz w:val="24"/>
          <w:szCs w:val="24"/>
          <w:highlight w:val="none"/>
        </w:rPr>
      </w:pPr>
    </w:p>
    <w:p>
      <w:pPr>
        <w:pStyle w:val="15"/>
        <w:rPr>
          <w:rFonts w:ascii="Times New Roman"/>
          <w:color w:val="auto"/>
          <w:sz w:val="24"/>
          <w:szCs w:val="24"/>
          <w:highlight w:val="none"/>
        </w:rPr>
      </w:pPr>
    </w:p>
    <w:p>
      <w:pPr>
        <w:pStyle w:val="15"/>
        <w:rPr>
          <w:rFonts w:ascii="Times New Roman"/>
          <w:color w:val="auto"/>
          <w:sz w:val="24"/>
          <w:szCs w:val="24"/>
          <w:highlight w:val="none"/>
        </w:rPr>
      </w:pPr>
    </w:p>
    <w:p>
      <w:pPr>
        <w:pStyle w:val="15"/>
        <w:spacing w:before="1" w:line="391" w:lineRule="auto"/>
        <w:ind w:left="400" w:right="694" w:firstLine="419"/>
        <w:rPr>
          <w:color w:val="auto"/>
          <w:sz w:val="24"/>
          <w:szCs w:val="24"/>
          <w:highlight w:val="none"/>
        </w:rPr>
      </w:pPr>
      <w:r>
        <w:rPr>
          <w:color w:val="auto"/>
          <w:sz w:val="24"/>
          <w:szCs w:val="24"/>
          <w:highlight w:val="none"/>
        </w:rPr>
        <w:t>上述问题澄清、说明或补正，不改变我方投标文件的实质性内容，构成我方投标文件的组成部分。</w:t>
      </w:r>
    </w:p>
    <w:p>
      <w:pPr>
        <w:pStyle w:val="15"/>
        <w:rPr>
          <w:color w:val="auto"/>
          <w:sz w:val="24"/>
          <w:szCs w:val="24"/>
          <w:highlight w:val="none"/>
        </w:rPr>
      </w:pPr>
    </w:p>
    <w:p>
      <w:pPr>
        <w:pStyle w:val="15"/>
        <w:rPr>
          <w:color w:val="auto"/>
          <w:sz w:val="24"/>
          <w:szCs w:val="24"/>
          <w:highlight w:val="none"/>
        </w:rPr>
      </w:pPr>
    </w:p>
    <w:p>
      <w:pPr>
        <w:pStyle w:val="15"/>
        <w:spacing w:before="10"/>
        <w:rPr>
          <w:color w:val="auto"/>
          <w:sz w:val="24"/>
          <w:szCs w:val="24"/>
          <w:highlight w:val="none"/>
        </w:rPr>
      </w:pPr>
    </w:p>
    <w:p>
      <w:pPr>
        <w:pStyle w:val="15"/>
        <w:tabs>
          <w:tab w:val="left" w:pos="7682"/>
        </w:tabs>
        <w:ind w:left="3343"/>
        <w:rPr>
          <w:color w:val="auto"/>
          <w:sz w:val="24"/>
          <w:szCs w:val="24"/>
          <w:highlight w:val="none"/>
        </w:rPr>
      </w:pPr>
      <w:r>
        <w:rPr>
          <w:color w:val="auto"/>
          <w:sz w:val="24"/>
          <w:szCs w:val="24"/>
          <w:highlight w:val="none"/>
        </w:rPr>
        <w:t>投标人：（盖单位章）</w:t>
      </w:r>
    </w:p>
    <w:p>
      <w:pPr>
        <w:pStyle w:val="15"/>
        <w:spacing w:before="12"/>
        <w:rPr>
          <w:color w:val="auto"/>
          <w:sz w:val="24"/>
          <w:szCs w:val="24"/>
          <w:highlight w:val="none"/>
        </w:rPr>
      </w:pPr>
    </w:p>
    <w:p>
      <w:pPr>
        <w:pStyle w:val="15"/>
        <w:tabs>
          <w:tab w:val="left" w:pos="8204"/>
        </w:tabs>
        <w:spacing w:before="71"/>
        <w:ind w:left="3341"/>
        <w:rPr>
          <w:color w:val="auto"/>
          <w:sz w:val="24"/>
          <w:szCs w:val="24"/>
          <w:highlight w:val="none"/>
        </w:rPr>
      </w:pPr>
      <w:r>
        <w:rPr>
          <w:color w:val="auto"/>
          <w:sz w:val="24"/>
          <w:szCs w:val="24"/>
          <w:highlight w:val="none"/>
        </w:rPr>
        <w:t>法定代表人（单位负责人）或其委托代理人</w:t>
      </w:r>
      <w:r>
        <w:rPr>
          <w:color w:val="auto"/>
          <w:sz w:val="24"/>
          <w:szCs w:val="24"/>
          <w:highlight w:val="none"/>
          <w:u w:val="single"/>
        </w:rPr>
        <w:t>：</w:t>
      </w:r>
      <w:r>
        <w:rPr>
          <w:color w:val="auto"/>
          <w:sz w:val="24"/>
          <w:szCs w:val="24"/>
          <w:highlight w:val="none"/>
          <w:u w:val="single"/>
        </w:rPr>
        <w:tab/>
      </w:r>
      <w:r>
        <w:rPr>
          <w:color w:val="auto"/>
          <w:sz w:val="24"/>
          <w:szCs w:val="24"/>
          <w:highlight w:val="none"/>
          <w:u w:val="single"/>
        </w:rPr>
        <w:t>（</w:t>
      </w:r>
      <w:r>
        <w:rPr>
          <w:color w:val="auto"/>
          <w:sz w:val="24"/>
          <w:szCs w:val="24"/>
          <w:highlight w:val="none"/>
        </w:rPr>
        <w:t>签字）</w:t>
      </w:r>
    </w:p>
    <w:p>
      <w:pPr>
        <w:pStyle w:val="15"/>
        <w:rPr>
          <w:color w:val="auto"/>
          <w:sz w:val="24"/>
          <w:szCs w:val="24"/>
          <w:highlight w:val="none"/>
        </w:rPr>
      </w:pPr>
    </w:p>
    <w:p>
      <w:pPr>
        <w:pStyle w:val="15"/>
        <w:rPr>
          <w:color w:val="auto"/>
          <w:sz w:val="24"/>
          <w:szCs w:val="24"/>
          <w:highlight w:val="none"/>
        </w:rPr>
      </w:pPr>
    </w:p>
    <w:p>
      <w:pPr>
        <w:pStyle w:val="15"/>
        <w:spacing w:before="4"/>
        <w:rPr>
          <w:color w:val="auto"/>
          <w:sz w:val="24"/>
          <w:szCs w:val="24"/>
          <w:highlight w:val="none"/>
        </w:rPr>
      </w:pPr>
    </w:p>
    <w:p>
      <w:pPr>
        <w:pStyle w:val="15"/>
        <w:tabs>
          <w:tab w:val="left" w:pos="6734"/>
          <w:tab w:val="left" w:pos="7783"/>
          <w:tab w:val="left" w:pos="8833"/>
        </w:tabs>
        <w:spacing w:before="72"/>
        <w:ind w:left="5895"/>
        <w:rPr>
          <w:color w:val="auto"/>
          <w:highlight w:val="none"/>
        </w:rPr>
      </w:pPr>
      <w:r>
        <w:rPr>
          <w:rFonts w:ascii="Times New Roman" w:eastAsia="Times New Roman"/>
          <w:color w:val="auto"/>
          <w:sz w:val="24"/>
          <w:szCs w:val="24"/>
          <w:highlight w:val="none"/>
          <w:u w:val="single"/>
        </w:rPr>
        <w:tab/>
      </w:r>
      <w:r>
        <w:rPr>
          <w:color w:val="auto"/>
          <w:sz w:val="24"/>
          <w:szCs w:val="24"/>
          <w:highlight w:val="none"/>
        </w:rPr>
        <w:t>年</w:t>
      </w:r>
      <w:r>
        <w:rPr>
          <w:color w:val="auto"/>
          <w:sz w:val="24"/>
          <w:szCs w:val="24"/>
          <w:highlight w:val="none"/>
          <w:u w:val="single"/>
        </w:rPr>
        <w:tab/>
      </w:r>
      <w:r>
        <w:rPr>
          <w:color w:val="auto"/>
          <w:sz w:val="24"/>
          <w:szCs w:val="24"/>
          <w:highlight w:val="none"/>
        </w:rPr>
        <w:t>月</w:t>
      </w:r>
      <w:r>
        <w:rPr>
          <w:color w:val="auto"/>
          <w:sz w:val="24"/>
          <w:szCs w:val="24"/>
          <w:highlight w:val="none"/>
          <w:u w:val="single"/>
        </w:rPr>
        <w:tab/>
      </w:r>
      <w:r>
        <w:rPr>
          <w:color w:val="auto"/>
          <w:sz w:val="24"/>
          <w:szCs w:val="24"/>
          <w:highlight w:val="none"/>
        </w:rPr>
        <w:t>日</w:t>
      </w:r>
    </w:p>
    <w:p>
      <w:pPr>
        <w:rPr>
          <w:color w:val="auto"/>
          <w:highlight w:val="none"/>
        </w:rPr>
        <w:sectPr>
          <w:type w:val="continuous"/>
          <w:pgSz w:w="11907" w:h="16839"/>
          <w:pgMar w:top="1417" w:right="1587" w:bottom="1417" w:left="1587" w:header="0" w:footer="841" w:gutter="0"/>
          <w:pgNumType w:fmt="decimal"/>
          <w:cols w:space="720" w:num="1"/>
        </w:sectPr>
      </w:pPr>
    </w:p>
    <w:p>
      <w:pPr>
        <w:widowControl/>
        <w:autoSpaceDE/>
        <w:autoSpaceDN/>
        <w:rPr>
          <w:color w:val="auto"/>
          <w:sz w:val="28"/>
          <w:szCs w:val="28"/>
          <w:highlight w:val="none"/>
        </w:rPr>
      </w:pPr>
      <w:bookmarkStart w:id="130" w:name="_bookmark78"/>
      <w:bookmarkEnd w:id="130"/>
      <w:r>
        <w:rPr>
          <w:color w:val="auto"/>
          <w:highlight w:val="none"/>
        </w:rPr>
        <w:br w:type="page"/>
      </w:r>
    </w:p>
    <w:p>
      <w:pPr>
        <w:pStyle w:val="57"/>
        <w:spacing w:before="43"/>
        <w:ind w:left="537" w:firstLine="0"/>
        <w:rPr>
          <w:color w:val="auto"/>
          <w:highlight w:val="none"/>
        </w:rPr>
      </w:pPr>
      <w:r>
        <w:rPr>
          <w:color w:val="auto"/>
          <w:highlight w:val="none"/>
        </w:rPr>
        <w:t>附件四：中标通知书</w:t>
      </w:r>
    </w:p>
    <w:p>
      <w:pPr>
        <w:pStyle w:val="15"/>
        <w:rPr>
          <w:color w:val="auto"/>
          <w:sz w:val="20"/>
          <w:highlight w:val="none"/>
        </w:rPr>
      </w:pPr>
    </w:p>
    <w:p>
      <w:pPr>
        <w:pStyle w:val="15"/>
        <w:rPr>
          <w:color w:val="auto"/>
          <w:sz w:val="20"/>
          <w:highlight w:val="none"/>
        </w:rPr>
      </w:pPr>
    </w:p>
    <w:p>
      <w:pPr>
        <w:pStyle w:val="15"/>
        <w:rPr>
          <w:color w:val="auto"/>
          <w:sz w:val="20"/>
          <w:highlight w:val="none"/>
        </w:rPr>
      </w:pPr>
    </w:p>
    <w:p>
      <w:pPr>
        <w:spacing w:before="193"/>
        <w:ind w:right="296"/>
        <w:jc w:val="center"/>
        <w:rPr>
          <w:color w:val="auto"/>
          <w:sz w:val="28"/>
          <w:highlight w:val="none"/>
        </w:rPr>
      </w:pPr>
      <w:r>
        <w:rPr>
          <w:color w:val="auto"/>
          <w:sz w:val="28"/>
          <w:highlight w:val="none"/>
        </w:rPr>
        <w:t>中标通知书</w:t>
      </w:r>
    </w:p>
    <w:p>
      <w:pPr>
        <w:pStyle w:val="15"/>
        <w:rPr>
          <w:color w:val="auto"/>
          <w:sz w:val="28"/>
          <w:highlight w:val="none"/>
        </w:rPr>
      </w:pPr>
    </w:p>
    <w:p>
      <w:pPr>
        <w:pStyle w:val="15"/>
        <w:tabs>
          <w:tab w:val="left" w:pos="2920"/>
        </w:tabs>
        <w:spacing w:before="185"/>
        <w:ind w:left="400"/>
        <w:rPr>
          <w:color w:val="auto"/>
          <w:sz w:val="24"/>
          <w:szCs w:val="24"/>
          <w:highlight w:val="none"/>
        </w:rPr>
      </w:pPr>
      <w:r>
        <w:rPr>
          <w:rFonts w:ascii="Times New Roman" w:eastAsia="Times New Roman"/>
          <w:color w:val="auto"/>
          <w:sz w:val="24"/>
          <w:szCs w:val="24"/>
          <w:highlight w:val="none"/>
          <w:u w:val="single"/>
        </w:rPr>
        <w:tab/>
      </w:r>
      <w:r>
        <w:rPr>
          <w:color w:val="auto"/>
          <w:sz w:val="24"/>
          <w:szCs w:val="24"/>
          <w:highlight w:val="none"/>
        </w:rPr>
        <w:t>（中标人名称）：</w:t>
      </w:r>
    </w:p>
    <w:p>
      <w:pPr>
        <w:pStyle w:val="15"/>
        <w:rPr>
          <w:color w:val="auto"/>
          <w:sz w:val="24"/>
          <w:szCs w:val="24"/>
          <w:highlight w:val="none"/>
        </w:rPr>
      </w:pPr>
    </w:p>
    <w:p>
      <w:pPr>
        <w:pStyle w:val="15"/>
        <w:spacing w:before="9"/>
        <w:rPr>
          <w:color w:val="auto"/>
          <w:sz w:val="24"/>
          <w:szCs w:val="24"/>
          <w:highlight w:val="none"/>
        </w:rPr>
      </w:pPr>
    </w:p>
    <w:p>
      <w:pPr>
        <w:pStyle w:val="15"/>
        <w:spacing w:before="1" w:line="391" w:lineRule="auto"/>
        <w:ind w:left="400" w:right="694" w:firstLine="419"/>
        <w:rPr>
          <w:color w:val="auto"/>
          <w:sz w:val="24"/>
          <w:szCs w:val="24"/>
          <w:highlight w:val="none"/>
        </w:rPr>
      </w:pPr>
      <w:r>
        <w:rPr>
          <w:color w:val="auto"/>
          <w:sz w:val="24"/>
          <w:szCs w:val="24"/>
          <w:highlight w:val="none"/>
        </w:rPr>
        <w:t>你方于</w:t>
      </w:r>
      <w:r>
        <w:rPr>
          <w:color w:val="auto"/>
          <w:sz w:val="24"/>
          <w:szCs w:val="24"/>
          <w:highlight w:val="none"/>
          <w:u w:val="single"/>
        </w:rPr>
        <w:tab/>
      </w:r>
      <w:r>
        <w:rPr>
          <w:color w:val="auto"/>
          <w:sz w:val="24"/>
          <w:szCs w:val="24"/>
          <w:highlight w:val="none"/>
          <w:u w:val="single"/>
        </w:rPr>
        <w:t>（投标日期）</w:t>
      </w:r>
      <w:r>
        <w:rPr>
          <w:color w:val="auto"/>
          <w:sz w:val="24"/>
          <w:szCs w:val="24"/>
          <w:highlight w:val="none"/>
        </w:rPr>
        <w:t>所递交的</w:t>
      </w:r>
      <w:r>
        <w:rPr>
          <w:color w:val="auto"/>
          <w:sz w:val="24"/>
          <w:szCs w:val="24"/>
          <w:highlight w:val="none"/>
          <w:u w:val="single"/>
        </w:rPr>
        <w:tab/>
      </w:r>
      <w:r>
        <w:rPr>
          <w:color w:val="auto"/>
          <w:sz w:val="24"/>
          <w:szCs w:val="24"/>
          <w:highlight w:val="none"/>
          <w:u w:val="single"/>
        </w:rPr>
        <w:t>（项目名称）</w:t>
      </w:r>
      <w:r>
        <w:rPr>
          <w:color w:val="auto"/>
          <w:sz w:val="24"/>
          <w:szCs w:val="24"/>
          <w:highlight w:val="none"/>
        </w:rPr>
        <w:t>设备采购</w:t>
      </w:r>
    </w:p>
    <w:p>
      <w:pPr>
        <w:pStyle w:val="15"/>
        <w:spacing w:before="1" w:line="391" w:lineRule="auto"/>
        <w:ind w:left="400" w:right="694" w:firstLine="419"/>
        <w:rPr>
          <w:color w:val="auto"/>
          <w:sz w:val="24"/>
          <w:szCs w:val="24"/>
          <w:highlight w:val="none"/>
        </w:rPr>
      </w:pPr>
      <w:r>
        <w:rPr>
          <w:color w:val="auto"/>
          <w:sz w:val="24"/>
          <w:szCs w:val="24"/>
          <w:highlight w:val="none"/>
        </w:rPr>
        <w:t>招标的投标文件已被我方接受，被确定为中标人。中标价：</w:t>
      </w:r>
      <w:r>
        <w:rPr>
          <w:rFonts w:hint="eastAsia"/>
          <w:color w:val="auto"/>
          <w:sz w:val="24"/>
          <w:szCs w:val="24"/>
          <w:highlight w:val="none"/>
          <w:u w:val="single"/>
          <w:lang w:val="en-US"/>
        </w:rPr>
        <w:t xml:space="preserve">    元</w:t>
      </w:r>
      <w:r>
        <w:rPr>
          <w:color w:val="auto"/>
          <w:sz w:val="24"/>
          <w:szCs w:val="24"/>
          <w:highlight w:val="none"/>
        </w:rPr>
        <w:t>。</w:t>
      </w:r>
    </w:p>
    <w:p>
      <w:pPr>
        <w:pStyle w:val="15"/>
        <w:spacing w:before="1" w:line="391" w:lineRule="auto"/>
        <w:ind w:left="400" w:right="694" w:firstLine="419"/>
        <w:rPr>
          <w:color w:val="auto"/>
          <w:sz w:val="24"/>
          <w:szCs w:val="24"/>
          <w:highlight w:val="none"/>
        </w:rPr>
      </w:pPr>
      <w:r>
        <w:rPr>
          <w:color w:val="auto"/>
          <w:sz w:val="24"/>
          <w:szCs w:val="24"/>
          <w:highlight w:val="none"/>
        </w:rPr>
        <w:t>请你方在接到本通知书后的</w:t>
      </w:r>
      <w:r>
        <w:rPr>
          <w:color w:val="auto"/>
          <w:sz w:val="24"/>
          <w:szCs w:val="24"/>
          <w:highlight w:val="none"/>
          <w:u w:val="single"/>
        </w:rPr>
        <w:tab/>
      </w:r>
      <w:r>
        <w:rPr>
          <w:color w:val="auto"/>
          <w:sz w:val="24"/>
          <w:szCs w:val="24"/>
          <w:highlight w:val="none"/>
          <w:u w:val="single"/>
        </w:rPr>
        <w:t>日</w:t>
      </w:r>
      <w:r>
        <w:rPr>
          <w:color w:val="auto"/>
          <w:sz w:val="24"/>
          <w:szCs w:val="24"/>
          <w:highlight w:val="none"/>
        </w:rPr>
        <w:t>内到</w:t>
      </w:r>
      <w:r>
        <w:rPr>
          <w:color w:val="auto"/>
          <w:sz w:val="24"/>
          <w:szCs w:val="24"/>
          <w:highlight w:val="none"/>
          <w:u w:val="single"/>
        </w:rPr>
        <w:t>（指定地点）</w:t>
      </w:r>
      <w:r>
        <w:rPr>
          <w:color w:val="auto"/>
          <w:sz w:val="24"/>
          <w:szCs w:val="24"/>
          <w:highlight w:val="none"/>
        </w:rPr>
        <w:t>与我方签订设备采购合同，并按招标文件第二章“投标人须知”第7.6款规定向我方提交履约保证金。</w:t>
      </w:r>
    </w:p>
    <w:p>
      <w:pPr>
        <w:pStyle w:val="15"/>
        <w:spacing w:before="1"/>
        <w:ind w:left="822"/>
        <w:rPr>
          <w:color w:val="auto"/>
          <w:sz w:val="24"/>
          <w:szCs w:val="24"/>
          <w:highlight w:val="none"/>
        </w:rPr>
      </w:pPr>
      <w:r>
        <w:rPr>
          <w:color w:val="auto"/>
          <w:sz w:val="24"/>
          <w:szCs w:val="24"/>
          <w:highlight w:val="none"/>
        </w:rPr>
        <w:t>特此通知。</w:t>
      </w:r>
    </w:p>
    <w:p>
      <w:pPr>
        <w:pStyle w:val="15"/>
        <w:rPr>
          <w:color w:val="auto"/>
          <w:sz w:val="24"/>
          <w:szCs w:val="24"/>
          <w:highlight w:val="none"/>
        </w:rPr>
      </w:pPr>
    </w:p>
    <w:p>
      <w:pPr>
        <w:pStyle w:val="15"/>
        <w:rPr>
          <w:color w:val="auto"/>
          <w:sz w:val="24"/>
          <w:szCs w:val="24"/>
          <w:highlight w:val="none"/>
        </w:rPr>
      </w:pPr>
    </w:p>
    <w:p>
      <w:pPr>
        <w:pStyle w:val="15"/>
        <w:tabs>
          <w:tab w:val="left" w:pos="7524"/>
        </w:tabs>
        <w:spacing w:before="179"/>
        <w:ind w:left="3638"/>
        <w:rPr>
          <w:color w:val="auto"/>
          <w:sz w:val="24"/>
          <w:szCs w:val="24"/>
          <w:highlight w:val="none"/>
        </w:rPr>
      </w:pPr>
      <w:r>
        <w:rPr>
          <w:color w:val="auto"/>
          <w:sz w:val="24"/>
          <w:szCs w:val="24"/>
          <w:highlight w:val="none"/>
        </w:rPr>
        <w:t>招标人：</w:t>
      </w:r>
      <w:r>
        <w:rPr>
          <w:color w:val="auto"/>
          <w:sz w:val="24"/>
          <w:szCs w:val="24"/>
          <w:highlight w:val="none"/>
          <w:u w:val="single"/>
        </w:rPr>
        <w:tab/>
      </w:r>
      <w:r>
        <w:rPr>
          <w:color w:val="auto"/>
          <w:sz w:val="24"/>
          <w:szCs w:val="24"/>
          <w:highlight w:val="none"/>
        </w:rPr>
        <w:t>（盖单位章）</w:t>
      </w:r>
    </w:p>
    <w:p>
      <w:pPr>
        <w:pStyle w:val="15"/>
        <w:rPr>
          <w:color w:val="auto"/>
          <w:sz w:val="24"/>
          <w:szCs w:val="24"/>
          <w:highlight w:val="none"/>
        </w:rPr>
      </w:pPr>
    </w:p>
    <w:p>
      <w:pPr>
        <w:pStyle w:val="15"/>
        <w:tabs>
          <w:tab w:val="left" w:pos="7838"/>
        </w:tabs>
        <w:spacing w:before="79"/>
        <w:ind w:left="3638"/>
        <w:rPr>
          <w:color w:val="auto"/>
          <w:sz w:val="24"/>
          <w:szCs w:val="24"/>
          <w:highlight w:val="none"/>
        </w:rPr>
      </w:pPr>
      <w:r>
        <w:rPr>
          <w:color w:val="auto"/>
          <w:sz w:val="24"/>
          <w:szCs w:val="24"/>
          <w:highlight w:val="none"/>
        </w:rPr>
        <w:t>法定代表人（单位负责人：）</w:t>
      </w:r>
      <w:r>
        <w:rPr>
          <w:rFonts w:ascii="Times New Roman" w:eastAsia="Times New Roman"/>
          <w:color w:val="auto"/>
          <w:sz w:val="24"/>
          <w:szCs w:val="24"/>
          <w:highlight w:val="none"/>
          <w:u w:val="single"/>
        </w:rPr>
        <w:tab/>
      </w:r>
      <w:r>
        <w:rPr>
          <w:color w:val="auto"/>
          <w:sz w:val="24"/>
          <w:szCs w:val="24"/>
          <w:highlight w:val="none"/>
        </w:rPr>
        <w:t>（签字）</w:t>
      </w:r>
    </w:p>
    <w:p>
      <w:pPr>
        <w:pStyle w:val="15"/>
        <w:spacing w:before="7"/>
        <w:rPr>
          <w:color w:val="auto"/>
          <w:sz w:val="24"/>
          <w:szCs w:val="24"/>
          <w:highlight w:val="none"/>
        </w:rPr>
      </w:pPr>
    </w:p>
    <w:p>
      <w:pPr>
        <w:pStyle w:val="15"/>
        <w:tabs>
          <w:tab w:val="left" w:pos="5971"/>
          <w:tab w:val="left" w:pos="6917"/>
          <w:tab w:val="left" w:pos="7860"/>
        </w:tabs>
        <w:spacing w:before="72"/>
        <w:ind w:left="5234"/>
        <w:rPr>
          <w:color w:val="auto"/>
          <w:sz w:val="24"/>
          <w:szCs w:val="24"/>
          <w:highlight w:val="none"/>
        </w:rPr>
      </w:pPr>
      <w:r>
        <w:rPr>
          <w:rFonts w:ascii="Times New Roman" w:eastAsia="Times New Roman"/>
          <w:color w:val="auto"/>
          <w:sz w:val="24"/>
          <w:szCs w:val="24"/>
          <w:highlight w:val="none"/>
          <w:u w:val="single"/>
        </w:rPr>
        <w:tab/>
      </w:r>
      <w:r>
        <w:rPr>
          <w:color w:val="auto"/>
          <w:sz w:val="24"/>
          <w:szCs w:val="24"/>
          <w:highlight w:val="none"/>
        </w:rPr>
        <w:t>年</w:t>
      </w:r>
      <w:r>
        <w:rPr>
          <w:color w:val="auto"/>
          <w:sz w:val="24"/>
          <w:szCs w:val="24"/>
          <w:highlight w:val="none"/>
          <w:u w:val="single"/>
        </w:rPr>
        <w:tab/>
      </w:r>
      <w:r>
        <w:rPr>
          <w:color w:val="auto"/>
          <w:sz w:val="24"/>
          <w:szCs w:val="24"/>
          <w:highlight w:val="none"/>
        </w:rPr>
        <w:t>月</w:t>
      </w:r>
      <w:r>
        <w:rPr>
          <w:color w:val="auto"/>
          <w:sz w:val="24"/>
          <w:szCs w:val="24"/>
          <w:highlight w:val="none"/>
          <w:u w:val="single"/>
        </w:rPr>
        <w:tab/>
      </w:r>
      <w:r>
        <w:rPr>
          <w:color w:val="auto"/>
          <w:sz w:val="24"/>
          <w:szCs w:val="24"/>
          <w:highlight w:val="none"/>
        </w:rPr>
        <w:t>日</w:t>
      </w:r>
    </w:p>
    <w:p>
      <w:pPr>
        <w:rPr>
          <w:color w:val="auto"/>
          <w:sz w:val="24"/>
          <w:szCs w:val="24"/>
          <w:highlight w:val="none"/>
        </w:rPr>
        <w:sectPr>
          <w:type w:val="continuous"/>
          <w:pgSz w:w="11907" w:h="16839"/>
          <w:pgMar w:top="1417" w:right="1587" w:bottom="1417" w:left="1587" w:header="0" w:footer="841" w:gutter="0"/>
          <w:pgNumType w:fmt="decimal"/>
          <w:cols w:space="720" w:num="1"/>
          <w:docGrid w:linePitch="299" w:charSpace="0"/>
        </w:sectPr>
      </w:pPr>
    </w:p>
    <w:p>
      <w:pPr>
        <w:widowControl/>
        <w:autoSpaceDE/>
        <w:autoSpaceDN/>
        <w:rPr>
          <w:color w:val="auto"/>
          <w:sz w:val="28"/>
          <w:szCs w:val="28"/>
          <w:highlight w:val="none"/>
        </w:rPr>
      </w:pPr>
      <w:bookmarkStart w:id="131" w:name="_bookmark79"/>
      <w:bookmarkEnd w:id="131"/>
      <w:r>
        <w:rPr>
          <w:color w:val="auto"/>
          <w:highlight w:val="none"/>
        </w:rPr>
        <w:br w:type="page"/>
      </w:r>
    </w:p>
    <w:p>
      <w:pPr>
        <w:pStyle w:val="57"/>
        <w:spacing w:before="43"/>
        <w:ind w:left="537" w:firstLine="0"/>
        <w:rPr>
          <w:color w:val="auto"/>
          <w:highlight w:val="none"/>
        </w:rPr>
      </w:pPr>
      <w:r>
        <w:rPr>
          <w:color w:val="auto"/>
          <w:highlight w:val="none"/>
        </w:rPr>
        <w:t>附件五：中标结果通知书</w:t>
      </w:r>
    </w:p>
    <w:p>
      <w:pPr>
        <w:pStyle w:val="15"/>
        <w:rPr>
          <w:color w:val="auto"/>
          <w:sz w:val="20"/>
          <w:highlight w:val="none"/>
        </w:rPr>
      </w:pPr>
    </w:p>
    <w:p>
      <w:pPr>
        <w:pStyle w:val="15"/>
        <w:rPr>
          <w:color w:val="auto"/>
          <w:sz w:val="20"/>
          <w:highlight w:val="none"/>
        </w:rPr>
      </w:pPr>
    </w:p>
    <w:p>
      <w:pPr>
        <w:pStyle w:val="15"/>
        <w:rPr>
          <w:color w:val="auto"/>
          <w:sz w:val="20"/>
          <w:highlight w:val="none"/>
        </w:rPr>
      </w:pPr>
    </w:p>
    <w:p>
      <w:pPr>
        <w:spacing w:before="193"/>
        <w:ind w:right="296"/>
        <w:jc w:val="center"/>
        <w:rPr>
          <w:color w:val="auto"/>
          <w:sz w:val="28"/>
          <w:highlight w:val="none"/>
        </w:rPr>
      </w:pPr>
      <w:r>
        <w:rPr>
          <w:b/>
          <w:bCs/>
          <w:color w:val="auto"/>
          <w:sz w:val="28"/>
          <w:highlight w:val="none"/>
        </w:rPr>
        <w:t>中标结果通知书</w:t>
      </w:r>
    </w:p>
    <w:p>
      <w:pPr>
        <w:pStyle w:val="15"/>
        <w:rPr>
          <w:color w:val="auto"/>
          <w:sz w:val="28"/>
          <w:highlight w:val="none"/>
        </w:rPr>
      </w:pPr>
    </w:p>
    <w:p>
      <w:pPr>
        <w:pStyle w:val="15"/>
        <w:tabs>
          <w:tab w:val="left" w:pos="2605"/>
        </w:tabs>
        <w:spacing w:before="185"/>
        <w:ind w:left="400"/>
        <w:rPr>
          <w:color w:val="auto"/>
          <w:sz w:val="24"/>
          <w:szCs w:val="24"/>
          <w:highlight w:val="none"/>
        </w:rPr>
      </w:pPr>
      <w:r>
        <w:rPr>
          <w:rFonts w:ascii="Times New Roman" w:eastAsia="Times New Roman"/>
          <w:color w:val="auto"/>
          <w:sz w:val="24"/>
          <w:szCs w:val="24"/>
          <w:highlight w:val="none"/>
          <w:u w:val="single"/>
        </w:rPr>
        <w:tab/>
      </w:r>
      <w:r>
        <w:rPr>
          <w:color w:val="auto"/>
          <w:sz w:val="24"/>
          <w:szCs w:val="24"/>
          <w:highlight w:val="none"/>
        </w:rPr>
        <w:t>（未中标人名称）：</w:t>
      </w:r>
    </w:p>
    <w:p>
      <w:pPr>
        <w:pStyle w:val="15"/>
        <w:rPr>
          <w:color w:val="auto"/>
          <w:sz w:val="24"/>
          <w:szCs w:val="24"/>
          <w:highlight w:val="none"/>
        </w:rPr>
      </w:pPr>
    </w:p>
    <w:p>
      <w:pPr>
        <w:pStyle w:val="15"/>
        <w:spacing w:before="9"/>
        <w:rPr>
          <w:color w:val="auto"/>
          <w:sz w:val="24"/>
          <w:szCs w:val="24"/>
          <w:highlight w:val="none"/>
        </w:rPr>
      </w:pPr>
    </w:p>
    <w:p>
      <w:pPr>
        <w:pStyle w:val="15"/>
        <w:keepNext w:val="0"/>
        <w:keepLines w:val="0"/>
        <w:pageBreakBefore w:val="0"/>
        <w:widowControl w:val="0"/>
        <w:tabs>
          <w:tab w:val="left" w:pos="2822"/>
          <w:tab w:val="left" w:pos="5145"/>
          <w:tab w:val="left" w:pos="8626"/>
        </w:tabs>
        <w:kinsoku/>
        <w:wordWrap w:val="0"/>
        <w:overflowPunct/>
        <w:topLinePunct w:val="0"/>
        <w:autoSpaceDE w:val="0"/>
        <w:autoSpaceDN w:val="0"/>
        <w:bidi w:val="0"/>
        <w:adjustRightInd/>
        <w:snapToGrid/>
        <w:spacing w:line="360" w:lineRule="auto"/>
        <w:ind w:left="0" w:firstLine="480" w:firstLineChars="200"/>
        <w:textAlignment w:val="auto"/>
        <w:rPr>
          <w:color w:val="auto"/>
          <w:sz w:val="24"/>
          <w:szCs w:val="24"/>
          <w:highlight w:val="none"/>
        </w:rPr>
      </w:pPr>
      <w:r>
        <w:rPr>
          <w:color w:val="auto"/>
          <w:sz w:val="24"/>
          <w:szCs w:val="24"/>
          <w:highlight w:val="none"/>
        </w:rPr>
        <w:t>我方已接受</w:t>
      </w:r>
      <w:r>
        <w:rPr>
          <w:color w:val="auto"/>
          <w:sz w:val="24"/>
          <w:szCs w:val="24"/>
          <w:highlight w:val="none"/>
          <w:u w:val="single"/>
        </w:rPr>
        <w:tab/>
      </w:r>
      <w:r>
        <w:rPr>
          <w:color w:val="auto"/>
          <w:sz w:val="24"/>
          <w:szCs w:val="24"/>
          <w:highlight w:val="none"/>
          <w:u w:val="single"/>
        </w:rPr>
        <w:t>（</w:t>
      </w:r>
      <w:r>
        <w:rPr>
          <w:color w:val="auto"/>
          <w:sz w:val="24"/>
          <w:szCs w:val="24"/>
          <w:highlight w:val="none"/>
        </w:rPr>
        <w:t>中标人名称）于</w:t>
      </w:r>
      <w:r>
        <w:rPr>
          <w:color w:val="auto"/>
          <w:sz w:val="24"/>
          <w:szCs w:val="24"/>
          <w:highlight w:val="none"/>
          <w:u w:val="single"/>
        </w:rPr>
        <w:tab/>
      </w:r>
      <w:r>
        <w:rPr>
          <w:color w:val="auto"/>
          <w:sz w:val="24"/>
          <w:szCs w:val="24"/>
          <w:highlight w:val="none"/>
          <w:u w:val="single"/>
        </w:rPr>
        <w:t>（</w:t>
      </w:r>
      <w:r>
        <w:rPr>
          <w:color w:val="auto"/>
          <w:sz w:val="24"/>
          <w:szCs w:val="24"/>
          <w:highlight w:val="none"/>
        </w:rPr>
        <w:t>投标日期）所递交的</w:t>
      </w:r>
      <w:r>
        <w:rPr>
          <w:color w:val="auto"/>
          <w:sz w:val="24"/>
          <w:szCs w:val="24"/>
          <w:highlight w:val="none"/>
          <w:u w:val="single"/>
        </w:rPr>
        <w:tab/>
      </w:r>
      <w:r>
        <w:rPr>
          <w:color w:val="auto"/>
          <w:sz w:val="24"/>
          <w:szCs w:val="24"/>
          <w:highlight w:val="none"/>
          <w:u w:val="single"/>
        </w:rPr>
        <w:t>（</w:t>
      </w:r>
      <w:r>
        <w:rPr>
          <w:color w:val="auto"/>
          <w:sz w:val="24"/>
          <w:szCs w:val="24"/>
          <w:highlight w:val="none"/>
        </w:rPr>
        <w:t>项目名称）设备采购招标的投标文件，确定</w:t>
      </w:r>
      <w:r>
        <w:rPr>
          <w:color w:val="auto"/>
          <w:sz w:val="24"/>
          <w:szCs w:val="24"/>
          <w:highlight w:val="none"/>
          <w:u w:val="single"/>
        </w:rPr>
        <w:tab/>
      </w:r>
      <w:r>
        <w:rPr>
          <w:color w:val="auto"/>
          <w:sz w:val="24"/>
          <w:szCs w:val="24"/>
          <w:highlight w:val="none"/>
        </w:rPr>
        <w:t>（中标人名称）为中标人。</w:t>
      </w:r>
    </w:p>
    <w:p>
      <w:pPr>
        <w:pStyle w:val="15"/>
        <w:keepNext w:val="0"/>
        <w:keepLines w:val="0"/>
        <w:pageBreakBefore w:val="0"/>
        <w:widowControl w:val="0"/>
        <w:kinsoku/>
        <w:wordWrap w:val="0"/>
        <w:overflowPunct/>
        <w:topLinePunct w:val="0"/>
        <w:autoSpaceDE w:val="0"/>
        <w:autoSpaceDN w:val="0"/>
        <w:bidi w:val="0"/>
        <w:adjustRightInd/>
        <w:snapToGrid/>
        <w:spacing w:line="360" w:lineRule="auto"/>
        <w:ind w:left="0" w:firstLine="480" w:firstLineChars="200"/>
        <w:textAlignment w:val="auto"/>
        <w:rPr>
          <w:color w:val="auto"/>
          <w:sz w:val="24"/>
          <w:szCs w:val="24"/>
          <w:highlight w:val="none"/>
        </w:rPr>
      </w:pPr>
      <w:r>
        <w:rPr>
          <w:color w:val="auto"/>
          <w:sz w:val="24"/>
          <w:szCs w:val="24"/>
          <w:highlight w:val="none"/>
        </w:rPr>
        <w:t>感谢你单位对招标项目的参与！</w:t>
      </w:r>
    </w:p>
    <w:p>
      <w:pPr>
        <w:pStyle w:val="15"/>
        <w:rPr>
          <w:color w:val="auto"/>
          <w:sz w:val="24"/>
          <w:szCs w:val="24"/>
          <w:highlight w:val="none"/>
        </w:rPr>
      </w:pPr>
    </w:p>
    <w:p>
      <w:pPr>
        <w:pStyle w:val="15"/>
        <w:rPr>
          <w:color w:val="auto"/>
          <w:sz w:val="24"/>
          <w:szCs w:val="24"/>
          <w:highlight w:val="none"/>
        </w:rPr>
      </w:pPr>
    </w:p>
    <w:p>
      <w:pPr>
        <w:pStyle w:val="15"/>
        <w:rPr>
          <w:color w:val="auto"/>
          <w:sz w:val="24"/>
          <w:szCs w:val="24"/>
          <w:highlight w:val="none"/>
        </w:rPr>
      </w:pPr>
    </w:p>
    <w:p>
      <w:pPr>
        <w:pStyle w:val="15"/>
        <w:rPr>
          <w:color w:val="auto"/>
          <w:sz w:val="24"/>
          <w:szCs w:val="24"/>
          <w:highlight w:val="none"/>
        </w:rPr>
      </w:pPr>
    </w:p>
    <w:p>
      <w:pPr>
        <w:pStyle w:val="15"/>
        <w:rPr>
          <w:color w:val="auto"/>
          <w:sz w:val="24"/>
          <w:szCs w:val="24"/>
          <w:highlight w:val="none"/>
        </w:rPr>
      </w:pPr>
    </w:p>
    <w:p>
      <w:pPr>
        <w:pStyle w:val="15"/>
        <w:spacing w:before="6"/>
        <w:rPr>
          <w:color w:val="auto"/>
          <w:sz w:val="24"/>
          <w:szCs w:val="24"/>
          <w:highlight w:val="none"/>
        </w:rPr>
      </w:pPr>
    </w:p>
    <w:p>
      <w:pPr>
        <w:pStyle w:val="15"/>
        <w:tabs>
          <w:tab w:val="left" w:pos="6384"/>
        </w:tabs>
        <w:spacing w:before="1"/>
        <w:ind w:left="3446"/>
        <w:rPr>
          <w:color w:val="auto"/>
          <w:sz w:val="24"/>
          <w:szCs w:val="24"/>
          <w:highlight w:val="none"/>
        </w:rPr>
      </w:pPr>
      <w:r>
        <w:rPr>
          <w:color w:val="auto"/>
          <w:sz w:val="24"/>
          <w:szCs w:val="24"/>
          <w:highlight w:val="none"/>
        </w:rPr>
        <w:t>招标人：</w:t>
      </w:r>
      <w:r>
        <w:rPr>
          <w:color w:val="auto"/>
          <w:sz w:val="24"/>
          <w:szCs w:val="24"/>
          <w:highlight w:val="none"/>
          <w:u w:val="single"/>
        </w:rPr>
        <w:tab/>
      </w:r>
      <w:r>
        <w:rPr>
          <w:color w:val="auto"/>
          <w:sz w:val="24"/>
          <w:szCs w:val="24"/>
          <w:highlight w:val="none"/>
        </w:rPr>
        <w:t>（盖单位章）</w:t>
      </w:r>
    </w:p>
    <w:p>
      <w:pPr>
        <w:pStyle w:val="15"/>
        <w:rPr>
          <w:color w:val="auto"/>
          <w:sz w:val="24"/>
          <w:szCs w:val="24"/>
          <w:highlight w:val="none"/>
        </w:rPr>
      </w:pPr>
    </w:p>
    <w:p>
      <w:pPr>
        <w:pStyle w:val="15"/>
        <w:rPr>
          <w:color w:val="auto"/>
          <w:sz w:val="24"/>
          <w:szCs w:val="24"/>
          <w:highlight w:val="none"/>
        </w:rPr>
      </w:pPr>
    </w:p>
    <w:p>
      <w:pPr>
        <w:pStyle w:val="15"/>
        <w:tabs>
          <w:tab w:val="left" w:pos="631"/>
          <w:tab w:val="left" w:pos="1471"/>
          <w:tab w:val="left" w:pos="2311"/>
        </w:tabs>
        <w:spacing w:before="71"/>
        <w:ind w:right="697"/>
        <w:jc w:val="right"/>
        <w:rPr>
          <w:color w:val="auto"/>
          <w:highlight w:val="none"/>
        </w:rPr>
      </w:pPr>
      <w:r>
        <w:rPr>
          <w:rFonts w:ascii="Times New Roman" w:eastAsia="Times New Roman"/>
          <w:color w:val="auto"/>
          <w:sz w:val="24"/>
          <w:szCs w:val="24"/>
          <w:highlight w:val="none"/>
          <w:u w:val="single"/>
        </w:rPr>
        <w:tab/>
      </w:r>
      <w:r>
        <w:rPr>
          <w:color w:val="auto"/>
          <w:sz w:val="24"/>
          <w:szCs w:val="24"/>
          <w:highlight w:val="none"/>
        </w:rPr>
        <w:t>年</w:t>
      </w:r>
      <w:r>
        <w:rPr>
          <w:color w:val="auto"/>
          <w:sz w:val="24"/>
          <w:szCs w:val="24"/>
          <w:highlight w:val="none"/>
          <w:u w:val="single"/>
        </w:rPr>
        <w:tab/>
      </w:r>
      <w:r>
        <w:rPr>
          <w:color w:val="auto"/>
          <w:sz w:val="24"/>
          <w:szCs w:val="24"/>
          <w:highlight w:val="none"/>
        </w:rPr>
        <w:t>月</w:t>
      </w:r>
      <w:r>
        <w:rPr>
          <w:color w:val="auto"/>
          <w:sz w:val="24"/>
          <w:szCs w:val="24"/>
          <w:highlight w:val="none"/>
          <w:u w:val="single"/>
        </w:rPr>
        <w:tab/>
      </w:r>
      <w:r>
        <w:rPr>
          <w:color w:val="auto"/>
          <w:sz w:val="24"/>
          <w:szCs w:val="24"/>
          <w:highlight w:val="none"/>
        </w:rPr>
        <w:t>日</w:t>
      </w:r>
    </w:p>
    <w:p>
      <w:pPr>
        <w:jc w:val="right"/>
        <w:rPr>
          <w:color w:val="auto"/>
          <w:highlight w:val="none"/>
        </w:rPr>
        <w:sectPr>
          <w:type w:val="continuous"/>
          <w:pgSz w:w="11907" w:h="16839"/>
          <w:pgMar w:top="1417" w:right="1587" w:bottom="1417" w:left="1587" w:header="0" w:footer="841" w:gutter="0"/>
          <w:pgNumType w:fmt="decimal"/>
          <w:cols w:space="720" w:num="1"/>
        </w:sectPr>
      </w:pPr>
    </w:p>
    <w:p>
      <w:pPr>
        <w:widowControl/>
        <w:autoSpaceDE/>
        <w:autoSpaceDN/>
        <w:rPr>
          <w:color w:val="auto"/>
          <w:sz w:val="28"/>
          <w:szCs w:val="28"/>
          <w:highlight w:val="none"/>
        </w:rPr>
      </w:pPr>
      <w:bookmarkStart w:id="132" w:name="_bookmark80"/>
      <w:bookmarkEnd w:id="132"/>
      <w:r>
        <w:rPr>
          <w:color w:val="auto"/>
          <w:highlight w:val="none"/>
        </w:rPr>
        <w:br w:type="page"/>
      </w:r>
    </w:p>
    <w:p>
      <w:pPr>
        <w:pStyle w:val="57"/>
        <w:spacing w:before="43"/>
        <w:ind w:left="537" w:firstLine="0"/>
        <w:rPr>
          <w:color w:val="auto"/>
          <w:highlight w:val="none"/>
        </w:rPr>
      </w:pPr>
      <w:r>
        <w:rPr>
          <w:color w:val="auto"/>
          <w:highlight w:val="none"/>
        </w:rPr>
        <w:t>附件六：确认通知</w:t>
      </w:r>
    </w:p>
    <w:p>
      <w:pPr>
        <w:pStyle w:val="15"/>
        <w:rPr>
          <w:color w:val="auto"/>
          <w:sz w:val="20"/>
          <w:highlight w:val="none"/>
        </w:rPr>
      </w:pPr>
    </w:p>
    <w:p>
      <w:pPr>
        <w:pStyle w:val="15"/>
        <w:rPr>
          <w:color w:val="auto"/>
          <w:sz w:val="20"/>
          <w:highlight w:val="none"/>
        </w:rPr>
      </w:pPr>
    </w:p>
    <w:p>
      <w:pPr>
        <w:pStyle w:val="15"/>
        <w:rPr>
          <w:color w:val="auto"/>
          <w:sz w:val="20"/>
          <w:highlight w:val="none"/>
        </w:rPr>
      </w:pPr>
    </w:p>
    <w:p>
      <w:pPr>
        <w:spacing w:before="193"/>
        <w:ind w:right="297"/>
        <w:jc w:val="center"/>
        <w:rPr>
          <w:color w:val="auto"/>
          <w:sz w:val="28"/>
          <w:highlight w:val="none"/>
        </w:rPr>
      </w:pPr>
      <w:r>
        <w:rPr>
          <w:b/>
          <w:bCs/>
          <w:color w:val="auto"/>
          <w:sz w:val="28"/>
          <w:highlight w:val="none"/>
        </w:rPr>
        <w:t>确认通知</w:t>
      </w:r>
    </w:p>
    <w:p>
      <w:pPr>
        <w:pStyle w:val="15"/>
        <w:rPr>
          <w:color w:val="auto"/>
          <w:sz w:val="28"/>
          <w:highlight w:val="none"/>
        </w:rPr>
      </w:pPr>
    </w:p>
    <w:p>
      <w:pPr>
        <w:pStyle w:val="15"/>
        <w:tabs>
          <w:tab w:val="left" w:pos="2605"/>
        </w:tabs>
        <w:spacing w:before="185"/>
        <w:ind w:left="400"/>
        <w:rPr>
          <w:color w:val="auto"/>
          <w:sz w:val="24"/>
          <w:szCs w:val="24"/>
          <w:highlight w:val="none"/>
        </w:rPr>
      </w:pPr>
      <w:r>
        <w:rPr>
          <w:rFonts w:ascii="Times New Roman" w:eastAsia="Times New Roman"/>
          <w:color w:val="auto"/>
          <w:sz w:val="24"/>
          <w:szCs w:val="24"/>
          <w:highlight w:val="none"/>
          <w:u w:val="single"/>
        </w:rPr>
        <w:tab/>
      </w:r>
      <w:r>
        <w:rPr>
          <w:color w:val="auto"/>
          <w:sz w:val="24"/>
          <w:szCs w:val="24"/>
          <w:highlight w:val="none"/>
        </w:rPr>
        <w:t>（招标人名称）：</w:t>
      </w:r>
    </w:p>
    <w:p>
      <w:pPr>
        <w:pStyle w:val="15"/>
        <w:rPr>
          <w:color w:val="auto"/>
          <w:sz w:val="24"/>
          <w:szCs w:val="24"/>
          <w:highlight w:val="none"/>
        </w:rPr>
      </w:pPr>
    </w:p>
    <w:p>
      <w:pPr>
        <w:pStyle w:val="15"/>
        <w:spacing w:before="9"/>
        <w:rPr>
          <w:color w:val="auto"/>
          <w:sz w:val="24"/>
          <w:szCs w:val="24"/>
          <w:highlight w:val="none"/>
        </w:rPr>
      </w:pPr>
    </w:p>
    <w:p>
      <w:pPr>
        <w:pStyle w:val="15"/>
        <w:tabs>
          <w:tab w:val="left" w:pos="2193"/>
          <w:tab w:val="left" w:pos="3141"/>
          <w:tab w:val="left" w:pos="4092"/>
          <w:tab w:val="left" w:pos="4555"/>
          <w:tab w:val="left" w:pos="5501"/>
          <w:tab w:val="left" w:pos="5885"/>
          <w:tab w:val="left" w:pos="6446"/>
        </w:tabs>
        <w:spacing w:before="78" w:line="391" w:lineRule="auto"/>
        <w:ind w:left="400" w:right="693" w:firstLine="419"/>
        <w:rPr>
          <w:color w:val="auto"/>
          <w:sz w:val="24"/>
          <w:szCs w:val="24"/>
          <w:highlight w:val="none"/>
        </w:rPr>
      </w:pPr>
      <w:r>
        <w:rPr>
          <w:color w:val="auto"/>
          <w:sz w:val="24"/>
          <w:szCs w:val="24"/>
          <w:highlight w:val="none"/>
        </w:rPr>
        <w:t>你方于</w:t>
      </w:r>
      <w:r>
        <w:rPr>
          <w:color w:val="auto"/>
          <w:sz w:val="24"/>
          <w:szCs w:val="24"/>
          <w:highlight w:val="none"/>
          <w:u w:val="single"/>
        </w:rPr>
        <w:tab/>
      </w:r>
      <w:r>
        <w:rPr>
          <w:color w:val="auto"/>
          <w:sz w:val="24"/>
          <w:szCs w:val="24"/>
          <w:highlight w:val="none"/>
        </w:rPr>
        <w:t>年</w:t>
      </w:r>
      <w:r>
        <w:rPr>
          <w:color w:val="auto"/>
          <w:sz w:val="24"/>
          <w:szCs w:val="24"/>
          <w:highlight w:val="none"/>
          <w:u w:val="single"/>
        </w:rPr>
        <w:tab/>
      </w:r>
      <w:r>
        <w:rPr>
          <w:color w:val="auto"/>
          <w:sz w:val="24"/>
          <w:szCs w:val="24"/>
          <w:highlight w:val="none"/>
        </w:rPr>
        <w:t>月</w:t>
      </w:r>
      <w:r>
        <w:rPr>
          <w:color w:val="auto"/>
          <w:sz w:val="24"/>
          <w:szCs w:val="24"/>
          <w:highlight w:val="none"/>
          <w:u w:val="single"/>
        </w:rPr>
        <w:tab/>
      </w:r>
      <w:r>
        <w:rPr>
          <w:color w:val="auto"/>
          <w:sz w:val="24"/>
          <w:szCs w:val="24"/>
          <w:highlight w:val="none"/>
        </w:rPr>
        <w:t>日发出的</w:t>
      </w:r>
      <w:r>
        <w:rPr>
          <w:color w:val="auto"/>
          <w:sz w:val="24"/>
          <w:szCs w:val="24"/>
          <w:highlight w:val="none"/>
          <w:u w:val="single"/>
        </w:rPr>
        <w:tab/>
      </w:r>
      <w:r>
        <w:rPr>
          <w:color w:val="auto"/>
          <w:sz w:val="24"/>
          <w:szCs w:val="24"/>
          <w:highlight w:val="none"/>
          <w:u w:val="single"/>
        </w:rPr>
        <w:tab/>
      </w:r>
      <w:r>
        <w:rPr>
          <w:color w:val="auto"/>
          <w:sz w:val="24"/>
          <w:szCs w:val="24"/>
          <w:highlight w:val="none"/>
        </w:rPr>
        <w:t>（项目名称）设备采购招标关于</w:t>
      </w:r>
      <w:r>
        <w:rPr>
          <w:color w:val="auto"/>
          <w:sz w:val="24"/>
          <w:szCs w:val="24"/>
          <w:highlight w:val="none"/>
          <w:u w:val="single"/>
        </w:rPr>
        <w:t>招标文件的</w:t>
      </w:r>
      <w:r>
        <w:rPr>
          <w:rFonts w:hint="eastAsia"/>
          <w:color w:val="auto"/>
          <w:sz w:val="24"/>
          <w:szCs w:val="24"/>
          <w:highlight w:val="none"/>
          <w:u w:val="single"/>
        </w:rPr>
        <w:t>澄清</w:t>
      </w:r>
      <w:r>
        <w:rPr>
          <w:rFonts w:ascii="Times New Roman" w:eastAsia="Times New Roman"/>
          <w:color w:val="auto"/>
          <w:sz w:val="24"/>
          <w:szCs w:val="24"/>
          <w:highlight w:val="none"/>
          <w:u w:val="single"/>
        </w:rPr>
        <w:t>/</w:t>
      </w:r>
      <w:r>
        <w:rPr>
          <w:color w:val="auto"/>
          <w:sz w:val="24"/>
          <w:szCs w:val="24"/>
          <w:highlight w:val="none"/>
          <w:u w:val="single"/>
        </w:rPr>
        <w:t>修改</w:t>
      </w:r>
      <w:r>
        <w:rPr>
          <w:color w:val="auto"/>
          <w:sz w:val="24"/>
          <w:szCs w:val="24"/>
          <w:highlight w:val="none"/>
        </w:rPr>
        <w:t>的通知，我方已于</w:t>
      </w:r>
      <w:r>
        <w:rPr>
          <w:color w:val="auto"/>
          <w:sz w:val="24"/>
          <w:szCs w:val="24"/>
          <w:highlight w:val="none"/>
          <w:u w:val="single"/>
        </w:rPr>
        <w:tab/>
      </w:r>
      <w:r>
        <w:rPr>
          <w:color w:val="auto"/>
          <w:sz w:val="24"/>
          <w:szCs w:val="24"/>
          <w:highlight w:val="none"/>
          <w:u w:val="single"/>
        </w:rPr>
        <w:tab/>
      </w:r>
      <w:r>
        <w:rPr>
          <w:color w:val="auto"/>
          <w:sz w:val="24"/>
          <w:szCs w:val="24"/>
          <w:highlight w:val="none"/>
        </w:rPr>
        <w:t>年</w:t>
      </w:r>
      <w:r>
        <w:rPr>
          <w:color w:val="auto"/>
          <w:sz w:val="24"/>
          <w:szCs w:val="24"/>
          <w:highlight w:val="none"/>
          <w:u w:val="single"/>
        </w:rPr>
        <w:tab/>
      </w:r>
      <w:r>
        <w:rPr>
          <w:color w:val="auto"/>
          <w:sz w:val="24"/>
          <w:szCs w:val="24"/>
          <w:highlight w:val="none"/>
        </w:rPr>
        <w:t>月</w:t>
      </w:r>
      <w:r>
        <w:rPr>
          <w:color w:val="auto"/>
          <w:sz w:val="24"/>
          <w:szCs w:val="24"/>
          <w:highlight w:val="none"/>
          <w:u w:val="single"/>
        </w:rPr>
        <w:tab/>
      </w:r>
      <w:r>
        <w:rPr>
          <w:color w:val="auto"/>
          <w:sz w:val="24"/>
          <w:szCs w:val="24"/>
          <w:highlight w:val="none"/>
          <w:u w:val="single"/>
        </w:rPr>
        <w:tab/>
      </w:r>
      <w:r>
        <w:rPr>
          <w:color w:val="auto"/>
          <w:sz w:val="24"/>
          <w:szCs w:val="24"/>
          <w:highlight w:val="none"/>
        </w:rPr>
        <w:t>日收到。</w:t>
      </w:r>
    </w:p>
    <w:p>
      <w:pPr>
        <w:pStyle w:val="15"/>
        <w:spacing w:before="1"/>
        <w:ind w:left="822"/>
        <w:rPr>
          <w:color w:val="auto"/>
          <w:sz w:val="24"/>
          <w:szCs w:val="24"/>
          <w:highlight w:val="none"/>
        </w:rPr>
      </w:pPr>
      <w:r>
        <w:rPr>
          <w:color w:val="auto"/>
          <w:sz w:val="24"/>
          <w:szCs w:val="24"/>
          <w:highlight w:val="none"/>
        </w:rPr>
        <w:t>特此确认。</w:t>
      </w:r>
    </w:p>
    <w:p>
      <w:pPr>
        <w:pStyle w:val="15"/>
        <w:rPr>
          <w:color w:val="auto"/>
          <w:sz w:val="24"/>
          <w:szCs w:val="24"/>
          <w:highlight w:val="none"/>
        </w:rPr>
      </w:pPr>
    </w:p>
    <w:p>
      <w:pPr>
        <w:pStyle w:val="15"/>
        <w:rPr>
          <w:color w:val="auto"/>
          <w:sz w:val="24"/>
          <w:szCs w:val="24"/>
          <w:highlight w:val="none"/>
        </w:rPr>
      </w:pPr>
    </w:p>
    <w:p>
      <w:pPr>
        <w:pStyle w:val="15"/>
        <w:spacing w:before="11"/>
        <w:rPr>
          <w:color w:val="auto"/>
          <w:sz w:val="24"/>
          <w:szCs w:val="24"/>
          <w:highlight w:val="none"/>
        </w:rPr>
      </w:pPr>
    </w:p>
    <w:p>
      <w:pPr>
        <w:pStyle w:val="15"/>
        <w:tabs>
          <w:tab w:val="left" w:pos="7433"/>
        </w:tabs>
        <w:spacing w:before="79"/>
        <w:ind w:left="2815"/>
        <w:rPr>
          <w:color w:val="auto"/>
          <w:sz w:val="24"/>
          <w:szCs w:val="24"/>
          <w:highlight w:val="none"/>
        </w:rPr>
      </w:pPr>
      <w:r>
        <w:rPr>
          <w:color w:val="auto"/>
          <w:sz w:val="24"/>
          <w:szCs w:val="24"/>
          <w:highlight w:val="none"/>
        </w:rPr>
        <w:t>投标人：</w:t>
      </w:r>
      <w:r>
        <w:rPr>
          <w:color w:val="auto"/>
          <w:sz w:val="24"/>
          <w:szCs w:val="24"/>
          <w:highlight w:val="none"/>
          <w:u w:val="single"/>
        </w:rPr>
        <w:tab/>
      </w:r>
      <w:r>
        <w:rPr>
          <w:color w:val="auto"/>
          <w:sz w:val="24"/>
          <w:szCs w:val="24"/>
          <w:highlight w:val="none"/>
        </w:rPr>
        <w:t>（盖单位章）</w:t>
      </w:r>
    </w:p>
    <w:p>
      <w:pPr>
        <w:pStyle w:val="15"/>
        <w:spacing w:before="5"/>
        <w:rPr>
          <w:color w:val="auto"/>
          <w:sz w:val="24"/>
          <w:szCs w:val="24"/>
          <w:highlight w:val="none"/>
        </w:rPr>
      </w:pPr>
    </w:p>
    <w:p>
      <w:pPr>
        <w:pStyle w:val="15"/>
        <w:tabs>
          <w:tab w:val="left" w:pos="7646"/>
        </w:tabs>
        <w:spacing w:before="78"/>
        <w:ind w:left="2815"/>
        <w:rPr>
          <w:color w:val="auto"/>
          <w:sz w:val="24"/>
          <w:szCs w:val="24"/>
          <w:highlight w:val="none"/>
        </w:rPr>
      </w:pPr>
      <w:r>
        <w:rPr>
          <w:color w:val="auto"/>
          <w:sz w:val="24"/>
          <w:szCs w:val="24"/>
          <w:highlight w:val="none"/>
        </w:rPr>
        <w:t>法定代表人（单位负责人）或委托代理人：</w:t>
      </w:r>
      <w:r>
        <w:rPr>
          <w:color w:val="auto"/>
          <w:sz w:val="24"/>
          <w:szCs w:val="24"/>
          <w:highlight w:val="none"/>
          <w:u w:val="single"/>
        </w:rPr>
        <w:tab/>
      </w:r>
      <w:r>
        <w:rPr>
          <w:color w:val="auto"/>
          <w:sz w:val="24"/>
          <w:szCs w:val="24"/>
          <w:highlight w:val="none"/>
        </w:rPr>
        <w:t>（签字）</w:t>
      </w:r>
    </w:p>
    <w:p>
      <w:pPr>
        <w:pStyle w:val="15"/>
        <w:rPr>
          <w:color w:val="auto"/>
          <w:sz w:val="24"/>
          <w:szCs w:val="24"/>
          <w:highlight w:val="none"/>
        </w:rPr>
      </w:pPr>
    </w:p>
    <w:p>
      <w:pPr>
        <w:pStyle w:val="15"/>
        <w:rPr>
          <w:color w:val="auto"/>
          <w:sz w:val="24"/>
          <w:szCs w:val="24"/>
          <w:highlight w:val="none"/>
        </w:rPr>
      </w:pPr>
    </w:p>
    <w:p>
      <w:pPr>
        <w:pStyle w:val="15"/>
        <w:spacing w:before="6"/>
        <w:rPr>
          <w:color w:val="auto"/>
          <w:sz w:val="24"/>
          <w:szCs w:val="24"/>
          <w:highlight w:val="none"/>
        </w:rPr>
      </w:pPr>
    </w:p>
    <w:p>
      <w:pPr>
        <w:pStyle w:val="15"/>
        <w:tabs>
          <w:tab w:val="left" w:pos="6943"/>
          <w:tab w:val="left" w:pos="7889"/>
          <w:tab w:val="left" w:pos="8833"/>
        </w:tabs>
        <w:spacing w:before="72"/>
        <w:ind w:left="6207"/>
        <w:rPr>
          <w:color w:val="auto"/>
          <w:sz w:val="24"/>
          <w:szCs w:val="24"/>
          <w:highlight w:val="none"/>
        </w:rPr>
      </w:pPr>
      <w:r>
        <w:rPr>
          <w:rFonts w:ascii="Times New Roman" w:eastAsia="Times New Roman"/>
          <w:color w:val="auto"/>
          <w:sz w:val="24"/>
          <w:szCs w:val="24"/>
          <w:highlight w:val="none"/>
          <w:u w:val="single"/>
        </w:rPr>
        <w:tab/>
      </w:r>
      <w:r>
        <w:rPr>
          <w:color w:val="auto"/>
          <w:sz w:val="24"/>
          <w:szCs w:val="24"/>
          <w:highlight w:val="none"/>
        </w:rPr>
        <w:t>年</w:t>
      </w:r>
      <w:r>
        <w:rPr>
          <w:color w:val="auto"/>
          <w:sz w:val="24"/>
          <w:szCs w:val="24"/>
          <w:highlight w:val="none"/>
          <w:u w:val="single"/>
        </w:rPr>
        <w:tab/>
      </w:r>
      <w:r>
        <w:rPr>
          <w:color w:val="auto"/>
          <w:sz w:val="24"/>
          <w:szCs w:val="24"/>
          <w:highlight w:val="none"/>
        </w:rPr>
        <w:t>月</w:t>
      </w:r>
      <w:r>
        <w:rPr>
          <w:color w:val="auto"/>
          <w:sz w:val="24"/>
          <w:szCs w:val="24"/>
          <w:highlight w:val="none"/>
          <w:u w:val="single"/>
        </w:rPr>
        <w:tab/>
      </w:r>
      <w:r>
        <w:rPr>
          <w:color w:val="auto"/>
          <w:sz w:val="24"/>
          <w:szCs w:val="24"/>
          <w:highlight w:val="none"/>
        </w:rPr>
        <w:t>日</w:t>
      </w:r>
    </w:p>
    <w:p>
      <w:pPr>
        <w:rPr>
          <w:color w:val="auto"/>
          <w:highlight w:val="none"/>
        </w:rPr>
        <w:sectPr>
          <w:type w:val="continuous"/>
          <w:pgSz w:w="11907" w:h="16839"/>
          <w:pgMar w:top="1417" w:right="1587" w:bottom="1417" w:left="1587" w:header="0" w:footer="841" w:gutter="0"/>
          <w:pgNumType w:fmt="decimal"/>
          <w:cols w:space="720" w:num="1"/>
          <w:docGrid w:linePitch="299" w:charSpace="0"/>
        </w:sectPr>
      </w:pPr>
    </w:p>
    <w:p>
      <w:pPr>
        <w:widowControl/>
        <w:autoSpaceDE/>
        <w:autoSpaceDN/>
        <w:rPr>
          <w:rFonts w:cs="Microsoft JhengHei"/>
          <w:b/>
          <w:bCs/>
          <w:color w:val="auto"/>
          <w:sz w:val="44"/>
          <w:szCs w:val="44"/>
          <w:highlight w:val="none"/>
        </w:rPr>
      </w:pPr>
      <w:bookmarkStart w:id="133" w:name="_bookmark81"/>
      <w:bookmarkEnd w:id="133"/>
      <w:bookmarkStart w:id="134" w:name="_Toc29357"/>
      <w:bookmarkStart w:id="135" w:name="_Toc116892713"/>
      <w:r>
        <w:rPr>
          <w:color w:val="auto"/>
          <w:highlight w:val="none"/>
        </w:rPr>
        <w:br w:type="page"/>
      </w:r>
    </w:p>
    <w:p>
      <w:pPr>
        <w:pStyle w:val="55"/>
        <w:spacing w:line="675" w:lineRule="exact"/>
        <w:jc w:val="center"/>
        <w:outlineLvl w:val="0"/>
        <w:rPr>
          <w:rFonts w:ascii="宋体" w:hAnsi="宋体" w:eastAsia="宋体"/>
          <w:color w:val="auto"/>
          <w:highlight w:val="none"/>
        </w:rPr>
      </w:pPr>
      <w:bookmarkStart w:id="136" w:name="_Toc18475"/>
      <w:bookmarkStart w:id="137" w:name="_Toc23991"/>
      <w:r>
        <w:rPr>
          <w:rFonts w:ascii="宋体" w:hAnsi="宋体" w:eastAsia="宋体"/>
          <w:color w:val="auto"/>
          <w:highlight w:val="none"/>
        </w:rPr>
        <w:t>第三章评标办法（综合评估法）</w:t>
      </w:r>
      <w:bookmarkEnd w:id="134"/>
      <w:bookmarkEnd w:id="135"/>
      <w:bookmarkEnd w:id="136"/>
      <w:bookmarkEnd w:id="137"/>
    </w:p>
    <w:p>
      <w:pPr>
        <w:pStyle w:val="56"/>
        <w:spacing w:beforeLines="50" w:afterLines="50"/>
        <w:ind w:left="0" w:firstLine="0"/>
        <w:jc w:val="center"/>
        <w:rPr>
          <w:rFonts w:ascii="宋体" w:hAnsi="宋体" w:eastAsia="宋体"/>
          <w:color w:val="auto"/>
          <w:highlight w:val="none"/>
        </w:rPr>
      </w:pPr>
      <w:bookmarkStart w:id="138" w:name="_bookmark82"/>
      <w:bookmarkEnd w:id="138"/>
      <w:r>
        <w:rPr>
          <w:rFonts w:ascii="宋体" w:hAnsi="宋体" w:eastAsia="宋体"/>
          <w:color w:val="auto"/>
          <w:highlight w:val="none"/>
        </w:rPr>
        <w:t>评标办法前附表</w:t>
      </w:r>
    </w:p>
    <w:tbl>
      <w:tblPr>
        <w:tblStyle w:val="29"/>
        <w:tblW w:w="92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147"/>
        <w:gridCol w:w="709"/>
        <w:gridCol w:w="1984"/>
        <w:gridCol w:w="5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1560" w:type="dxa"/>
            <w:gridSpan w:val="3"/>
            <w:tcBorders>
              <w:tl2br w:val="nil"/>
              <w:tr2bl w:val="nil"/>
            </w:tcBorders>
          </w:tcPr>
          <w:p>
            <w:pPr>
              <w:pStyle w:val="61"/>
              <w:spacing w:line="440" w:lineRule="exact"/>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条款号</w:t>
            </w:r>
          </w:p>
        </w:tc>
        <w:tc>
          <w:tcPr>
            <w:tcW w:w="1984" w:type="dxa"/>
            <w:tcBorders>
              <w:tl2br w:val="nil"/>
              <w:tr2bl w:val="nil"/>
            </w:tcBorders>
          </w:tcPr>
          <w:p>
            <w:pPr>
              <w:pStyle w:val="61"/>
              <w:spacing w:line="440" w:lineRule="exact"/>
              <w:ind w:left="62" w:right="52"/>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评审因素</w:t>
            </w:r>
          </w:p>
        </w:tc>
        <w:tc>
          <w:tcPr>
            <w:tcW w:w="5749" w:type="dxa"/>
            <w:tcBorders>
              <w:tl2br w:val="nil"/>
              <w:tr2bl w:val="nil"/>
            </w:tcBorders>
          </w:tcPr>
          <w:p>
            <w:pPr>
              <w:pStyle w:val="61"/>
              <w:spacing w:line="440" w:lineRule="exact"/>
              <w:ind w:left="1690" w:right="1680"/>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jc w:val="center"/>
        </w:trPr>
        <w:tc>
          <w:tcPr>
            <w:tcW w:w="704" w:type="dxa"/>
            <w:vMerge w:val="restart"/>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2.1.1</w:t>
            </w:r>
          </w:p>
        </w:tc>
        <w:tc>
          <w:tcPr>
            <w:tcW w:w="856" w:type="dxa"/>
            <w:gridSpan w:val="2"/>
            <w:vMerge w:val="restart"/>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形式评审标准</w:t>
            </w:r>
          </w:p>
        </w:tc>
        <w:tc>
          <w:tcPr>
            <w:tcW w:w="1984" w:type="dxa"/>
            <w:tcBorders>
              <w:tl2br w:val="nil"/>
              <w:tr2bl w:val="nil"/>
            </w:tcBorders>
            <w:vAlign w:val="center"/>
          </w:tcPr>
          <w:p>
            <w:pPr>
              <w:pStyle w:val="61"/>
              <w:spacing w:line="440" w:lineRule="exact"/>
              <w:ind w:left="63"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投标人名称</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与营业执照、资质证书一致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3" w:hRule="atLeast"/>
          <w:jc w:val="center"/>
        </w:trPr>
        <w:tc>
          <w:tcPr>
            <w:tcW w:w="704" w:type="dxa"/>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left="62" w:right="52"/>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投标函签字盖章</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有法定代表人（单位负责人）或其委托代理人签字或加盖单位章。由法定代表人（单位负责人）签字的，应附法定代表人（单位负责人）身份证明，由代理人签字的，应附授权委托书，身份证明或授权委托书应符合第六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704" w:type="dxa"/>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left="62" w:right="52"/>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投标文件格式</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符合第六章“投标文件格式”的规定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704" w:type="dxa"/>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spacing w:line="400" w:lineRule="exact"/>
              <w:ind w:left="187" w:leftChars="85"/>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报价唯一</w:t>
            </w:r>
          </w:p>
        </w:tc>
        <w:tc>
          <w:tcPr>
            <w:tcW w:w="5749" w:type="dxa"/>
            <w:tcBorders>
              <w:tl2br w:val="nil"/>
              <w:tr2bl w:val="nil"/>
            </w:tcBorders>
            <w:vAlign w:val="center"/>
          </w:tcPr>
          <w:p>
            <w:pPr>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704" w:type="dxa"/>
            <w:vMerge w:val="restart"/>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2.1.2</w:t>
            </w:r>
          </w:p>
        </w:tc>
        <w:tc>
          <w:tcPr>
            <w:tcW w:w="856" w:type="dxa"/>
            <w:gridSpan w:val="2"/>
            <w:vMerge w:val="restart"/>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资格评审标准</w:t>
            </w:r>
          </w:p>
        </w:tc>
        <w:tc>
          <w:tcPr>
            <w:tcW w:w="1984" w:type="dxa"/>
            <w:tcBorders>
              <w:tl2br w:val="nil"/>
              <w:tr2bl w:val="nil"/>
            </w:tcBorders>
            <w:vAlign w:val="center"/>
          </w:tcPr>
          <w:p>
            <w:pPr>
              <w:pStyle w:val="61"/>
              <w:spacing w:line="440" w:lineRule="exact"/>
              <w:ind w:right="175"/>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营业执照和组织机构代码证</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符合第二章“投标人须知”第 3.5.1 项规定，具备有效的营业执照和组织机构代码证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704" w:type="dxa"/>
            <w:vMerge w:val="continue"/>
            <w:tcBorders>
              <w:tl2br w:val="nil"/>
              <w:tr2bl w:val="nil"/>
            </w:tcBorders>
          </w:tcPr>
          <w:p>
            <w:pPr>
              <w:spacing w:line="440" w:lineRule="exact"/>
              <w:jc w:val="center"/>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资质要求</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704" w:type="dxa"/>
            <w:vMerge w:val="continue"/>
            <w:tcBorders>
              <w:tl2br w:val="nil"/>
              <w:tr2bl w:val="nil"/>
            </w:tcBorders>
          </w:tcPr>
          <w:p>
            <w:pPr>
              <w:spacing w:line="440" w:lineRule="exact"/>
              <w:jc w:val="center"/>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财务要求</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704" w:type="dxa"/>
            <w:vMerge w:val="continue"/>
            <w:tcBorders>
              <w:tl2br w:val="nil"/>
              <w:tr2bl w:val="nil"/>
            </w:tcBorders>
          </w:tcPr>
          <w:p>
            <w:pPr>
              <w:spacing w:line="440" w:lineRule="exact"/>
              <w:jc w:val="center"/>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业绩要求</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704" w:type="dxa"/>
            <w:vMerge w:val="continue"/>
            <w:tcBorders>
              <w:tl2br w:val="nil"/>
              <w:tr2bl w:val="nil"/>
            </w:tcBorders>
          </w:tcPr>
          <w:p>
            <w:pPr>
              <w:spacing w:line="440" w:lineRule="exact"/>
              <w:jc w:val="center"/>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信誉要求</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704" w:type="dxa"/>
            <w:vMerge w:val="continue"/>
            <w:tcBorders>
              <w:tl2br w:val="nil"/>
              <w:tr2bl w:val="nil"/>
            </w:tcBorders>
          </w:tcPr>
          <w:p>
            <w:pPr>
              <w:spacing w:line="440" w:lineRule="exact"/>
              <w:jc w:val="center"/>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其他要求</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jc w:val="center"/>
        </w:trPr>
        <w:tc>
          <w:tcPr>
            <w:tcW w:w="704" w:type="dxa"/>
            <w:vMerge w:val="continue"/>
            <w:tcBorders>
              <w:tl2br w:val="nil"/>
              <w:tr2bl w:val="nil"/>
            </w:tcBorders>
          </w:tcPr>
          <w:p>
            <w:pPr>
              <w:spacing w:line="440" w:lineRule="exact"/>
              <w:jc w:val="center"/>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right="52"/>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不存在禁止投标的情形</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不存在第二章“投标人须知”第 1.4.3 项规定的任何一种情形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704" w:type="dxa"/>
            <w:vMerge w:val="restart"/>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2.1.3</w:t>
            </w:r>
          </w:p>
        </w:tc>
        <w:tc>
          <w:tcPr>
            <w:tcW w:w="856" w:type="dxa"/>
            <w:gridSpan w:val="2"/>
            <w:vMerge w:val="restart"/>
            <w:tcBorders>
              <w:tl2br w:val="nil"/>
              <w:tr2bl w:val="nil"/>
            </w:tcBorders>
            <w:vAlign w:val="center"/>
          </w:tcPr>
          <w:p>
            <w:pPr>
              <w:pStyle w:val="61"/>
              <w:spacing w:line="440" w:lineRule="exact"/>
              <w:ind w:left="244" w:right="127" w:hanging="104"/>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响应性评审标准</w:t>
            </w:r>
          </w:p>
        </w:tc>
        <w:tc>
          <w:tcPr>
            <w:tcW w:w="1984" w:type="dxa"/>
            <w:tcBorders>
              <w:tl2br w:val="nil"/>
              <w:tr2bl w:val="nil"/>
            </w:tcBorders>
            <w:vAlign w:val="center"/>
          </w:tcPr>
          <w:p>
            <w:pPr>
              <w:pStyle w:val="61"/>
              <w:spacing w:line="440" w:lineRule="exact"/>
              <w:ind w:left="63"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投标报价</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符合第二章“投标人须知”第 3.2 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704" w:type="dxa"/>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left="63"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投标内容</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符合第二章“投标人须知”第 1.3.1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704" w:type="dxa"/>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left="62" w:right="52"/>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交货期</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符合第二章“投标人须知”第 1.3.2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704" w:type="dxa"/>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left="63"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交货地点</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符合第二章“投标人须知”第 1.3.3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704" w:type="dxa"/>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left="62" w:right="52"/>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技术性能指标</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符合第二章“投标人须知”第 1.3.4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704" w:type="dxa"/>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left="63"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投标有效期</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符合第二章“投标人须知”第 3.3.1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704" w:type="dxa"/>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left="63"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投标保证金</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符合第二章“投标人须知”第 3.4.1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704" w:type="dxa"/>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left="63"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权利义务</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符合第二章“投标人须知”第 1.11.1 项规定和第四章“合同条款及格式”中的实质性要求和条件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704" w:type="dxa"/>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856"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投标设备及技术服务和质保期服务</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符合第五章“供货要求”中的实质性要求和条件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1560" w:type="dxa"/>
            <w:gridSpan w:val="3"/>
            <w:tcBorders>
              <w:tl2br w:val="nil"/>
              <w:tr2bl w:val="nil"/>
            </w:tcBorders>
          </w:tcPr>
          <w:p>
            <w:pPr>
              <w:pStyle w:val="61"/>
              <w:spacing w:line="440" w:lineRule="exact"/>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条款号</w:t>
            </w:r>
          </w:p>
        </w:tc>
        <w:tc>
          <w:tcPr>
            <w:tcW w:w="1984" w:type="dxa"/>
            <w:tcBorders>
              <w:tl2br w:val="nil"/>
              <w:tr2bl w:val="nil"/>
            </w:tcBorders>
          </w:tcPr>
          <w:p>
            <w:pPr>
              <w:pStyle w:val="61"/>
              <w:spacing w:line="440" w:lineRule="exact"/>
              <w:ind w:left="62" w:right="52"/>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条款内容</w:t>
            </w:r>
          </w:p>
        </w:tc>
        <w:tc>
          <w:tcPr>
            <w:tcW w:w="5749" w:type="dxa"/>
            <w:tcBorders>
              <w:tl2br w:val="nil"/>
              <w:tr2bl w:val="nil"/>
            </w:tcBorders>
          </w:tcPr>
          <w:p>
            <w:pPr>
              <w:pStyle w:val="61"/>
              <w:spacing w:line="460" w:lineRule="exact"/>
              <w:ind w:left="110" w:leftChars="50"/>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jc w:val="center"/>
        </w:trPr>
        <w:tc>
          <w:tcPr>
            <w:tcW w:w="1560" w:type="dxa"/>
            <w:gridSpan w:val="3"/>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2.2.1</w:t>
            </w:r>
          </w:p>
        </w:tc>
        <w:tc>
          <w:tcPr>
            <w:tcW w:w="1984" w:type="dxa"/>
            <w:tcBorders>
              <w:tl2br w:val="nil"/>
              <w:tr2bl w:val="nil"/>
            </w:tcBorders>
            <w:vAlign w:val="center"/>
          </w:tcPr>
          <w:p>
            <w:pPr>
              <w:pStyle w:val="61"/>
              <w:spacing w:line="440" w:lineRule="exact"/>
              <w:ind w:left="63"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分值构成</w:t>
            </w:r>
          </w:p>
          <w:p>
            <w:pPr>
              <w:pStyle w:val="61"/>
              <w:spacing w:line="440" w:lineRule="exact"/>
              <w:ind w:left="63"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（总分100分）</w:t>
            </w:r>
          </w:p>
        </w:tc>
        <w:tc>
          <w:tcPr>
            <w:tcW w:w="5749" w:type="dxa"/>
            <w:tcBorders>
              <w:tl2br w:val="nil"/>
              <w:tr2bl w:val="nil"/>
            </w:tcBorders>
            <w:vAlign w:val="center"/>
          </w:tcPr>
          <w:p>
            <w:pPr>
              <w:pStyle w:val="61"/>
              <w:tabs>
                <w:tab w:val="left" w:pos="1894"/>
              </w:tabs>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商务部分：</w:t>
            </w:r>
            <w:r>
              <w:rPr>
                <w:rFonts w:hint="eastAsia" w:ascii="Times New Roman" w:hAnsi="Times New Roman" w:cs="Times New Roman"/>
                <w:color w:val="auto"/>
                <w:sz w:val="24"/>
                <w:szCs w:val="24"/>
                <w:highlight w:val="none"/>
                <w:u w:val="single"/>
                <w:lang w:val="en-US"/>
              </w:rPr>
              <w:t>9</w:t>
            </w:r>
            <w:r>
              <w:rPr>
                <w:rFonts w:ascii="Times New Roman" w:hAnsi="Times New Roman" w:cs="Times New Roman"/>
                <w:color w:val="auto"/>
                <w:sz w:val="24"/>
                <w:szCs w:val="24"/>
                <w:highlight w:val="none"/>
              </w:rPr>
              <w:t>分</w:t>
            </w:r>
          </w:p>
          <w:p>
            <w:pPr>
              <w:pStyle w:val="61"/>
              <w:tabs>
                <w:tab w:val="left" w:pos="1894"/>
              </w:tabs>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技术部分：</w:t>
            </w:r>
            <w:r>
              <w:rPr>
                <w:rFonts w:hint="eastAsia" w:ascii="Times New Roman" w:hAnsi="Times New Roman" w:cs="Times New Roman"/>
                <w:color w:val="auto"/>
                <w:sz w:val="24"/>
                <w:szCs w:val="24"/>
                <w:highlight w:val="none"/>
                <w:u w:val="single"/>
                <w:lang w:val="en-US"/>
              </w:rPr>
              <w:t>61</w:t>
            </w:r>
            <w:r>
              <w:rPr>
                <w:rFonts w:ascii="Times New Roman" w:hAnsi="Times New Roman" w:cs="Times New Roman"/>
                <w:color w:val="auto"/>
                <w:sz w:val="24"/>
                <w:szCs w:val="24"/>
                <w:highlight w:val="none"/>
              </w:rPr>
              <w:t>分</w:t>
            </w:r>
          </w:p>
          <w:p>
            <w:pPr>
              <w:pStyle w:val="61"/>
              <w:tabs>
                <w:tab w:val="left" w:pos="1894"/>
              </w:tabs>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投标报价：</w:t>
            </w:r>
            <w:r>
              <w:rPr>
                <w:rFonts w:ascii="Times New Roman" w:hAnsi="Times New Roman" w:cs="Times New Roman"/>
                <w:color w:val="auto"/>
                <w:sz w:val="24"/>
                <w:szCs w:val="24"/>
                <w:highlight w:val="none"/>
                <w:u w:val="single"/>
                <w:lang w:val="en-US"/>
              </w:rPr>
              <w:t>30</w:t>
            </w:r>
            <w:r>
              <w:rPr>
                <w:rFonts w:ascii="Times New Roman" w:hAnsi="Times New Roman" w:cs="Times New Roman"/>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1" w:hRule="atLeast"/>
          <w:jc w:val="center"/>
        </w:trPr>
        <w:tc>
          <w:tcPr>
            <w:tcW w:w="1560" w:type="dxa"/>
            <w:gridSpan w:val="3"/>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2.2.2</w:t>
            </w:r>
          </w:p>
        </w:tc>
        <w:tc>
          <w:tcPr>
            <w:tcW w:w="1984" w:type="dxa"/>
            <w:tcBorders>
              <w:tl2br w:val="nil"/>
              <w:tr2bl w:val="nil"/>
            </w:tcBorders>
            <w:vAlign w:val="center"/>
          </w:tcPr>
          <w:p>
            <w:pPr>
              <w:pStyle w:val="61"/>
              <w:spacing w:line="440" w:lineRule="exact"/>
              <w:ind w:left="63"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评标基准价计算方法</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通过形式评审、资格评审、响应性评审的所有投标人报价的算术平均值即为评标基准价（如果有效报价超过5家(不含)时，去掉1个最高值和1个最低值后取平均）。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jc w:val="center"/>
        </w:trPr>
        <w:tc>
          <w:tcPr>
            <w:tcW w:w="1560" w:type="dxa"/>
            <w:gridSpan w:val="3"/>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2.2.3</w:t>
            </w:r>
          </w:p>
        </w:tc>
        <w:tc>
          <w:tcPr>
            <w:tcW w:w="1984" w:type="dxa"/>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投标报价的偏差率计算公式</w:t>
            </w:r>
          </w:p>
        </w:tc>
        <w:tc>
          <w:tcPr>
            <w:tcW w:w="5749" w:type="dxa"/>
            <w:tcBorders>
              <w:tl2br w:val="nil"/>
              <w:tr2bl w:val="nil"/>
            </w:tcBorders>
            <w:vAlign w:val="center"/>
          </w:tcPr>
          <w:p>
            <w:pPr>
              <w:pStyle w:val="61"/>
              <w:spacing w:line="46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偏差率=100%×（投标人报价－评标基准价）/评标基准价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jc w:val="center"/>
        </w:trPr>
        <w:tc>
          <w:tcPr>
            <w:tcW w:w="1560" w:type="dxa"/>
            <w:gridSpan w:val="3"/>
            <w:tcBorders>
              <w:tl2br w:val="nil"/>
              <w:tr2bl w:val="nil"/>
            </w:tcBorders>
          </w:tcPr>
          <w:p>
            <w:pPr>
              <w:pStyle w:val="61"/>
              <w:spacing w:line="440" w:lineRule="exact"/>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条款号</w:t>
            </w:r>
          </w:p>
        </w:tc>
        <w:tc>
          <w:tcPr>
            <w:tcW w:w="1984" w:type="dxa"/>
            <w:tcBorders>
              <w:tl2br w:val="nil"/>
              <w:tr2bl w:val="nil"/>
            </w:tcBorders>
          </w:tcPr>
          <w:p>
            <w:pPr>
              <w:pStyle w:val="61"/>
              <w:spacing w:line="440" w:lineRule="exact"/>
              <w:ind w:left="62" w:right="52"/>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评分因素</w:t>
            </w:r>
          </w:p>
        </w:tc>
        <w:tc>
          <w:tcPr>
            <w:tcW w:w="5749" w:type="dxa"/>
            <w:tcBorders>
              <w:tl2br w:val="nil"/>
              <w:tr2bl w:val="nil"/>
            </w:tcBorders>
          </w:tcPr>
          <w:p>
            <w:pPr>
              <w:pStyle w:val="61"/>
              <w:spacing w:line="460" w:lineRule="exact"/>
              <w:ind w:left="110" w:leftChars="50"/>
              <w:jc w:val="center"/>
              <w:rPr>
                <w:rFonts w:ascii="Times New Roman" w:hAnsi="Times New Roman" w:cs="Times New Roman"/>
                <w:b/>
                <w:color w:val="auto"/>
                <w:sz w:val="24"/>
                <w:szCs w:val="24"/>
                <w:highlight w:val="none"/>
              </w:rPr>
            </w:pPr>
            <w:r>
              <w:rPr>
                <w:rFonts w:ascii="Times New Roman" w:hAnsi="Times New Roman" w:cs="Times New Roman"/>
                <w:b/>
                <w:color w:val="auto"/>
                <w:sz w:val="24"/>
                <w:szCs w:val="24"/>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jc w:val="center"/>
        </w:trPr>
        <w:tc>
          <w:tcPr>
            <w:tcW w:w="851" w:type="dxa"/>
            <w:gridSpan w:val="2"/>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2.2.4（1）</w:t>
            </w:r>
          </w:p>
        </w:tc>
        <w:tc>
          <w:tcPr>
            <w:tcW w:w="709" w:type="dxa"/>
            <w:tcBorders>
              <w:tl2br w:val="nil"/>
              <w:tr2bl w:val="nil"/>
            </w:tcBorders>
            <w:vAlign w:val="center"/>
          </w:tcPr>
          <w:p>
            <w:pPr>
              <w:pStyle w:val="61"/>
              <w:spacing w:line="440" w:lineRule="exact"/>
              <w:ind w:right="127"/>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商务评分标准</w:t>
            </w:r>
          </w:p>
        </w:tc>
        <w:tc>
          <w:tcPr>
            <w:tcW w:w="1984" w:type="dxa"/>
            <w:tcBorders>
              <w:tl2br w:val="nil"/>
              <w:tr2bl w:val="nil"/>
            </w:tcBorders>
            <w:vAlign w:val="center"/>
          </w:tcPr>
          <w:p>
            <w:pPr>
              <w:pStyle w:val="61"/>
              <w:spacing w:line="440" w:lineRule="exact"/>
              <w:ind w:left="63"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企业业绩</w:t>
            </w:r>
          </w:p>
          <w:p>
            <w:pPr>
              <w:pStyle w:val="61"/>
              <w:spacing w:line="440" w:lineRule="exact"/>
              <w:ind w:left="63"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rPr>
              <w:t>9</w:t>
            </w:r>
            <w:r>
              <w:rPr>
                <w:rFonts w:ascii="Times New Roman" w:hAnsi="Times New Roman" w:cs="Times New Roman"/>
                <w:color w:val="auto"/>
                <w:sz w:val="24"/>
                <w:szCs w:val="24"/>
                <w:highlight w:val="none"/>
              </w:rPr>
              <w:t>分）</w:t>
            </w:r>
          </w:p>
        </w:tc>
        <w:tc>
          <w:tcPr>
            <w:tcW w:w="5749" w:type="dxa"/>
            <w:tcBorders>
              <w:tl2br w:val="nil"/>
              <w:tr2bl w:val="nil"/>
            </w:tcBorders>
            <w:vAlign w:val="center"/>
          </w:tcPr>
          <w:p>
            <w:pPr>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投标人自2021年1月1日起至今，承接过类似业绩的，每提供一项得</w:t>
            </w:r>
            <w:r>
              <w:rPr>
                <w:rFonts w:hint="eastAsia" w:ascii="Times New Roman" w:hAnsi="Times New Roman" w:cs="Times New Roman"/>
                <w:color w:val="auto"/>
                <w:sz w:val="24"/>
                <w:szCs w:val="24"/>
                <w:highlight w:val="none"/>
                <w:lang w:val="en-US"/>
              </w:rPr>
              <w:t>3</w:t>
            </w:r>
            <w:r>
              <w:rPr>
                <w:rFonts w:ascii="Times New Roman" w:hAnsi="Times New Roman" w:cs="Times New Roman"/>
                <w:color w:val="auto"/>
                <w:sz w:val="24"/>
                <w:szCs w:val="24"/>
                <w:highlight w:val="none"/>
              </w:rPr>
              <w:t>分，本项满分</w:t>
            </w:r>
            <w:r>
              <w:rPr>
                <w:rFonts w:hint="eastAsia" w:ascii="Times New Roman" w:hAnsi="Times New Roman" w:cs="Times New Roman"/>
                <w:color w:val="auto"/>
                <w:sz w:val="24"/>
                <w:szCs w:val="24"/>
                <w:highlight w:val="none"/>
                <w:lang w:val="en-US"/>
              </w:rPr>
              <w:t>9</w:t>
            </w:r>
            <w:r>
              <w:rPr>
                <w:rFonts w:ascii="Times New Roman" w:hAnsi="Times New Roman" w:cs="Times New Roman"/>
                <w:color w:val="auto"/>
                <w:sz w:val="24"/>
                <w:szCs w:val="24"/>
                <w:highlight w:val="none"/>
              </w:rPr>
              <w:t>分。</w:t>
            </w:r>
          </w:p>
          <w:p>
            <w:pPr>
              <w:adjustRightInd w:val="0"/>
              <w:snapToGrid w:val="0"/>
              <w:spacing w:line="440" w:lineRule="exact"/>
              <w:ind w:left="110" w:leftChars="50"/>
              <w:rPr>
                <w:rFonts w:ascii="Times New Roman" w:hAnsi="Times New Roman" w:cs="Times New Roman"/>
                <w:bCs/>
                <w:color w:val="auto"/>
                <w:sz w:val="24"/>
                <w:szCs w:val="24"/>
                <w:highlight w:val="none"/>
              </w:rPr>
            </w:pPr>
            <w:r>
              <w:rPr>
                <w:rFonts w:ascii="Times New Roman" w:hAnsi="Times New Roman" w:cs="Times New Roman"/>
                <w:color w:val="auto"/>
                <w:sz w:val="24"/>
                <w:szCs w:val="24"/>
                <w:highlight w:val="none"/>
              </w:rPr>
              <w:t>证明材料：投标文件内需提供合同协议书等复印件并加盖公章，评审认定时间以合同签订时间为准，不提供或不符合的不得分。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851" w:type="dxa"/>
            <w:gridSpan w:val="2"/>
            <w:vMerge w:val="restart"/>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2.2.4（2）</w:t>
            </w:r>
          </w:p>
        </w:tc>
        <w:tc>
          <w:tcPr>
            <w:tcW w:w="709" w:type="dxa"/>
            <w:vMerge w:val="restart"/>
            <w:tcBorders>
              <w:tl2br w:val="nil"/>
              <w:tr2bl w:val="nil"/>
            </w:tcBorders>
            <w:vAlign w:val="center"/>
          </w:tcPr>
          <w:p>
            <w:pPr>
              <w:pStyle w:val="61"/>
              <w:spacing w:line="440" w:lineRule="exact"/>
              <w:ind w:left="141" w:right="127"/>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技术评分标准</w:t>
            </w:r>
          </w:p>
        </w:tc>
        <w:tc>
          <w:tcPr>
            <w:tcW w:w="1984" w:type="dxa"/>
            <w:tcBorders>
              <w:tl2br w:val="nil"/>
              <w:tr2bl w:val="nil"/>
            </w:tcBorders>
            <w:vAlign w:val="center"/>
          </w:tcPr>
          <w:p>
            <w:pPr>
              <w:adjustRightInd w:val="0"/>
              <w:snapToGrid w:val="0"/>
              <w:spacing w:line="440" w:lineRule="exact"/>
              <w:ind w:left="110" w:leftChars="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技术参数</w:t>
            </w:r>
          </w:p>
          <w:p>
            <w:pPr>
              <w:adjustRightInd w:val="0"/>
              <w:snapToGrid w:val="0"/>
              <w:spacing w:line="440" w:lineRule="exact"/>
              <w:ind w:left="110" w:leftChars="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（5分）</w:t>
            </w:r>
          </w:p>
        </w:tc>
        <w:tc>
          <w:tcPr>
            <w:tcW w:w="5749" w:type="dxa"/>
            <w:tcBorders>
              <w:tl2br w:val="nil"/>
              <w:tr2bl w:val="nil"/>
            </w:tcBorders>
            <w:vAlign w:val="center"/>
          </w:tcPr>
          <w:p>
            <w:pPr>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由评委根据投标人响应满足招标文件第五章“供货要求”采购清单内标“▲”的技术参数情况打分：完全响应或优于招标文件技术参数要求者得5分，一项不满足指标项者扣1分，扣完为止。</w:t>
            </w:r>
          </w:p>
          <w:p>
            <w:pPr>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证明材料：投标文件内需提供重要技术条款响应承诺函，承诺中标后1年内实现关键指标，不提供承诺函不得分。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jc w:val="center"/>
        </w:trPr>
        <w:tc>
          <w:tcPr>
            <w:tcW w:w="851" w:type="dxa"/>
            <w:gridSpan w:val="2"/>
            <w:vMerge w:val="continue"/>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p>
        </w:tc>
        <w:tc>
          <w:tcPr>
            <w:tcW w:w="709" w:type="dxa"/>
            <w:vMerge w:val="continue"/>
            <w:tcBorders>
              <w:tl2br w:val="nil"/>
              <w:tr2bl w:val="nil"/>
            </w:tcBorders>
            <w:vAlign w:val="center"/>
          </w:tcPr>
          <w:p>
            <w:pPr>
              <w:pStyle w:val="61"/>
              <w:spacing w:line="440" w:lineRule="exact"/>
              <w:ind w:left="141" w:right="127"/>
              <w:jc w:val="center"/>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left="63"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对项目的整体理解及重难点分析</w:t>
            </w:r>
          </w:p>
          <w:p>
            <w:pPr>
              <w:pStyle w:val="61"/>
              <w:spacing w:line="440" w:lineRule="exact"/>
              <w:ind w:left="63" w:right="50"/>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rPr>
              <w:t>10</w:t>
            </w:r>
            <w:r>
              <w:rPr>
                <w:rFonts w:ascii="Times New Roman" w:hAnsi="Times New Roman" w:cs="Times New Roman"/>
                <w:color w:val="auto"/>
                <w:sz w:val="24"/>
                <w:szCs w:val="24"/>
                <w:highlight w:val="none"/>
              </w:rPr>
              <w:t>分）</w:t>
            </w:r>
          </w:p>
        </w:tc>
        <w:tc>
          <w:tcPr>
            <w:tcW w:w="5749" w:type="dxa"/>
            <w:tcBorders>
              <w:tl2br w:val="nil"/>
              <w:tr2bl w:val="nil"/>
            </w:tcBorders>
          </w:tcPr>
          <w:p>
            <w:pPr>
              <w:adjustRightInd w:val="0"/>
              <w:snapToGrid w:val="0"/>
              <w:spacing w:line="440" w:lineRule="exact"/>
              <w:ind w:left="110" w:leftChars="50"/>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根据投标人</w:t>
            </w:r>
            <w:r>
              <w:rPr>
                <w:rFonts w:ascii="Times New Roman" w:hAnsi="Times New Roman" w:cs="Times New Roman"/>
                <w:color w:val="auto"/>
                <w:sz w:val="24"/>
                <w:szCs w:val="24"/>
                <w:highlight w:val="none"/>
              </w:rPr>
              <w:t>对项目的整体理解及重难点分析进行综合评比，从</w:t>
            </w:r>
            <w:r>
              <w:rPr>
                <w:rFonts w:ascii="Times New Roman" w:hAnsi="Times New Roman" w:cs="Times New Roman"/>
                <w:color w:val="auto"/>
                <w:sz w:val="24"/>
                <w:szCs w:val="24"/>
                <w:highlight w:val="none"/>
                <w:lang w:val="en-US"/>
              </w:rPr>
              <w:t>对本项目的建设背景、目标、任务及重难点进行分析深浅程度，结合项目需求，对造波方式进行比选，对标国内外成熟稳定案例，是否能充分考虑能真实模拟并覆盖海域复杂的风浪流海洋环境，是否给出造波方式对比及相关佐证分析材料等方面理解的透彻程度、阐述的清晰程度以及造波方式对比分析准备合理性。</w:t>
            </w:r>
            <w:r>
              <w:rPr>
                <w:rFonts w:ascii="Times New Roman" w:hAnsi="Times New Roman" w:cs="Times New Roman"/>
                <w:color w:val="auto"/>
                <w:sz w:val="24"/>
                <w:szCs w:val="24"/>
                <w:highlight w:val="none"/>
              </w:rPr>
              <w:t>优得</w:t>
            </w:r>
            <w:r>
              <w:rPr>
                <w:rFonts w:hint="eastAsia" w:ascii="Times New Roman" w:hAnsi="Times New Roman" w:cs="Times New Roman"/>
                <w:color w:val="auto"/>
                <w:sz w:val="24"/>
                <w:szCs w:val="24"/>
                <w:highlight w:val="none"/>
                <w:lang w:val="en-US"/>
              </w:rPr>
              <w:t>6</w:t>
            </w:r>
            <w:r>
              <w:rPr>
                <w:rFonts w:ascii="Times New Roman" w:hAnsi="Times New Roman" w:cs="Times New Roman"/>
                <w:color w:val="auto"/>
                <w:sz w:val="24"/>
                <w:szCs w:val="24"/>
                <w:highlight w:val="none"/>
              </w:rPr>
              <w:t>.1-</w:t>
            </w:r>
            <w:r>
              <w:rPr>
                <w:rFonts w:hint="eastAsia" w:ascii="Times New Roman" w:hAnsi="Times New Roman" w:cs="Times New Roman"/>
                <w:color w:val="auto"/>
                <w:sz w:val="24"/>
                <w:szCs w:val="24"/>
                <w:highlight w:val="none"/>
                <w:lang w:val="en-US"/>
              </w:rPr>
              <w:t>10</w:t>
            </w:r>
            <w:r>
              <w:rPr>
                <w:rFonts w:ascii="Times New Roman" w:hAnsi="Times New Roman" w:cs="Times New Roman"/>
                <w:color w:val="auto"/>
                <w:sz w:val="24"/>
                <w:szCs w:val="24"/>
                <w:highlight w:val="none"/>
              </w:rPr>
              <w:t>.0分，良得</w:t>
            </w:r>
            <w:r>
              <w:rPr>
                <w:rFonts w:hint="eastAsia" w:ascii="Times New Roman" w:hAnsi="Times New Roman" w:cs="Times New Roman"/>
                <w:color w:val="auto"/>
                <w:sz w:val="24"/>
                <w:szCs w:val="24"/>
                <w:highlight w:val="none"/>
                <w:lang w:val="en-US"/>
              </w:rPr>
              <w:t>3</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rPr>
              <w:t>1</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rPr>
              <w:t>6</w:t>
            </w:r>
            <w:r>
              <w:rPr>
                <w:rFonts w:ascii="Times New Roman" w:hAnsi="Times New Roman" w:cs="Times New Roman"/>
                <w:color w:val="auto"/>
                <w:sz w:val="24"/>
                <w:szCs w:val="24"/>
                <w:highlight w:val="none"/>
              </w:rPr>
              <w:t>.0分，一般得0-</w:t>
            </w:r>
            <w:r>
              <w:rPr>
                <w:rFonts w:hint="eastAsia" w:ascii="Times New Roman" w:hAnsi="Times New Roman" w:cs="Times New Roman"/>
                <w:color w:val="auto"/>
                <w:sz w:val="24"/>
                <w:szCs w:val="24"/>
                <w:highlight w:val="none"/>
                <w:lang w:val="en-US"/>
              </w:rPr>
              <w:t>3</w:t>
            </w:r>
            <w:r>
              <w:rPr>
                <w:rFonts w:ascii="Times New Roman" w:hAnsi="Times New Roman" w:cs="Times New Roman"/>
                <w:color w:val="auto"/>
                <w:sz w:val="24"/>
                <w:szCs w:val="24"/>
                <w:highlight w:val="none"/>
              </w:rPr>
              <w:t>分，无此项内容不得分。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2" w:hRule="atLeast"/>
          <w:jc w:val="center"/>
        </w:trPr>
        <w:tc>
          <w:tcPr>
            <w:tcW w:w="851" w:type="dxa"/>
            <w:gridSpan w:val="2"/>
            <w:vMerge w:val="continue"/>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p>
        </w:tc>
        <w:tc>
          <w:tcPr>
            <w:tcW w:w="709" w:type="dxa"/>
            <w:vMerge w:val="continue"/>
            <w:tcBorders>
              <w:tl2br w:val="nil"/>
              <w:tr2bl w:val="nil"/>
            </w:tcBorders>
            <w:vAlign w:val="center"/>
          </w:tcPr>
          <w:p>
            <w:pPr>
              <w:pStyle w:val="61"/>
              <w:spacing w:line="440" w:lineRule="exact"/>
              <w:ind w:left="141" w:right="127"/>
              <w:jc w:val="center"/>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ind w:left="63" w:right="50"/>
              <w:jc w:val="center"/>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实施</w:t>
            </w:r>
            <w:r>
              <w:rPr>
                <w:rFonts w:ascii="Times New Roman" w:hAnsi="Times New Roman" w:cs="Times New Roman"/>
                <w:color w:val="auto"/>
                <w:sz w:val="24"/>
                <w:szCs w:val="24"/>
                <w:highlight w:val="none"/>
              </w:rPr>
              <w:t>方案及技术方案（18分）</w:t>
            </w:r>
          </w:p>
        </w:tc>
        <w:tc>
          <w:tcPr>
            <w:tcW w:w="5749" w:type="dxa"/>
            <w:tcBorders>
              <w:tl2br w:val="nil"/>
              <w:tr2bl w:val="nil"/>
            </w:tcBorders>
          </w:tcPr>
          <w:p>
            <w:pPr>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w:t>
            </w:r>
            <w:r>
              <w:rPr>
                <w:rFonts w:hint="eastAsia" w:ascii="Times New Roman" w:hAnsi="Times New Roman" w:cs="Times New Roman"/>
                <w:color w:val="auto"/>
                <w:sz w:val="24"/>
                <w:szCs w:val="24"/>
                <w:highlight w:val="none"/>
              </w:rPr>
              <w:t>实施</w:t>
            </w:r>
            <w:r>
              <w:rPr>
                <w:rFonts w:ascii="Times New Roman" w:hAnsi="Times New Roman" w:cs="Times New Roman"/>
                <w:color w:val="auto"/>
                <w:sz w:val="24"/>
                <w:szCs w:val="24"/>
                <w:highlight w:val="none"/>
              </w:rPr>
              <w:t>方案：（6分）</w:t>
            </w:r>
          </w:p>
          <w:p>
            <w:pPr>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根据投标人提供的项目实施方</w:t>
            </w:r>
            <w:r>
              <w:rPr>
                <w:rFonts w:hint="eastAsia" w:ascii="Times New Roman" w:hAnsi="Times New Roman" w:cs="Times New Roman"/>
                <w:color w:val="auto"/>
                <w:sz w:val="24"/>
                <w:szCs w:val="24"/>
                <w:highlight w:val="none"/>
                <w:lang w:eastAsia="zh-CN"/>
              </w:rPr>
              <w:t>案</w:t>
            </w:r>
            <w:r>
              <w:rPr>
                <w:rFonts w:ascii="Times New Roman" w:hAnsi="Times New Roman" w:cs="Times New Roman"/>
                <w:color w:val="auto"/>
                <w:sz w:val="24"/>
                <w:szCs w:val="24"/>
                <w:highlight w:val="none"/>
              </w:rPr>
              <w:t>进行综合比较，方案案清晰合理，施工组织方案科学、详尽，各工作流程衔接有序，运行流畅；进度安排科学、明确，进度保障措施明确可行；质量管理与保障措施科学、明确，实用可行，可以完全保证本项目的建设质量；环保、消防、职业安全和卫生措施对施工安全的范围和内容明确全面、相关措施合理、完善，环境保护管理资源配置合理、措施科学可行，优得4.1-6.0分，良得2.</w:t>
            </w:r>
            <w:r>
              <w:rPr>
                <w:rFonts w:hint="eastAsia" w:ascii="Times New Roman" w:hAnsi="Times New Roman" w:cs="Times New Roman"/>
                <w:color w:val="auto"/>
                <w:sz w:val="24"/>
                <w:szCs w:val="24"/>
                <w:highlight w:val="none"/>
                <w:lang w:val="en-US"/>
              </w:rPr>
              <w:t>1-</w:t>
            </w:r>
            <w:r>
              <w:rPr>
                <w:rFonts w:ascii="Times New Roman" w:hAnsi="Times New Roman" w:cs="Times New Roman"/>
                <w:color w:val="auto"/>
                <w:sz w:val="24"/>
                <w:szCs w:val="24"/>
                <w:highlight w:val="none"/>
              </w:rPr>
              <w:t>4.0分，一般得0-2</w:t>
            </w:r>
            <w:r>
              <w:rPr>
                <w:rFonts w:hint="eastAsia" w:ascii="Times New Roman" w:hAnsi="Times New Roman" w:cs="Times New Roman"/>
                <w:color w:val="auto"/>
                <w:sz w:val="24"/>
                <w:szCs w:val="24"/>
                <w:highlight w:val="none"/>
                <w:lang w:val="en-US"/>
              </w:rPr>
              <w:t>.0</w:t>
            </w:r>
            <w:r>
              <w:rPr>
                <w:rFonts w:ascii="Times New Roman" w:hAnsi="Times New Roman" w:cs="Times New Roman"/>
                <w:color w:val="auto"/>
                <w:sz w:val="24"/>
                <w:szCs w:val="24"/>
                <w:highlight w:val="none"/>
              </w:rPr>
              <w:t>分，无此项内容不得分。</w:t>
            </w:r>
          </w:p>
          <w:p>
            <w:pPr>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2、技术方案：（12分）</w:t>
            </w:r>
          </w:p>
          <w:p>
            <w:pPr>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投标人应提供符合招标需求的设计方案。方案应包括项目设计总体思路，总体结构设计、软件设计思路</w:t>
            </w:r>
            <w:r>
              <w:rPr>
                <w:rFonts w:hint="eastAsia" w:ascii="Times New Roman" w:hAnsi="Times New Roman" w:cs="Times New Roman"/>
                <w:color w:val="auto"/>
                <w:sz w:val="24"/>
                <w:szCs w:val="24"/>
                <w:highlight w:val="none"/>
                <w:lang w:eastAsia="zh-CN"/>
              </w:rPr>
              <w:t>、分项技术方案</w:t>
            </w:r>
            <w:r>
              <w:rPr>
                <w:rFonts w:ascii="Times New Roman" w:hAnsi="Times New Roman" w:cs="Times New Roman"/>
                <w:color w:val="auto"/>
                <w:sz w:val="24"/>
                <w:szCs w:val="24"/>
                <w:highlight w:val="none"/>
              </w:rPr>
              <w:t>等。从技术方案的合理性，可行性，前瞻性，先进性评分，优得8.1-12.0分，良得4.1-8.0分，一般得0-4.0分，无此内容不得分。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51" w:type="dxa"/>
            <w:gridSpan w:val="2"/>
            <w:vMerge w:val="continue"/>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p>
        </w:tc>
        <w:tc>
          <w:tcPr>
            <w:tcW w:w="709" w:type="dxa"/>
            <w:vMerge w:val="continue"/>
            <w:tcBorders>
              <w:tl2br w:val="nil"/>
              <w:tr2bl w:val="nil"/>
            </w:tcBorders>
            <w:vAlign w:val="center"/>
          </w:tcPr>
          <w:p>
            <w:pPr>
              <w:pStyle w:val="61"/>
              <w:spacing w:line="440" w:lineRule="exact"/>
              <w:ind w:left="141" w:right="127"/>
              <w:jc w:val="center"/>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培训方案及售后服务</w:t>
            </w:r>
          </w:p>
          <w:p>
            <w:pPr>
              <w:pStyle w:val="61"/>
              <w:spacing w:line="440" w:lineRule="exact"/>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w:t>
            </w:r>
            <w:r>
              <w:rPr>
                <w:rFonts w:hint="eastAsia" w:ascii="Times New Roman" w:hAnsi="Times New Roman" w:cs="Times New Roman"/>
                <w:color w:val="auto"/>
                <w:sz w:val="24"/>
                <w:szCs w:val="24"/>
                <w:highlight w:val="none"/>
                <w:lang w:val="en-US"/>
              </w:rPr>
              <w:t>8</w:t>
            </w:r>
            <w:r>
              <w:rPr>
                <w:rFonts w:ascii="Times New Roman" w:hAnsi="Times New Roman" w:cs="Times New Roman"/>
                <w:color w:val="auto"/>
                <w:sz w:val="24"/>
                <w:szCs w:val="24"/>
                <w:highlight w:val="none"/>
              </w:rPr>
              <w:t>分）</w:t>
            </w:r>
          </w:p>
        </w:tc>
        <w:tc>
          <w:tcPr>
            <w:tcW w:w="5749" w:type="dxa"/>
            <w:tcBorders>
              <w:tl2br w:val="nil"/>
              <w:tr2bl w:val="nil"/>
            </w:tcBorders>
            <w:vAlign w:val="center"/>
          </w:tcPr>
          <w:p>
            <w:pPr>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1、培训方案：（</w:t>
            </w:r>
            <w:r>
              <w:rPr>
                <w:rFonts w:hint="eastAsia" w:ascii="Times New Roman" w:hAnsi="Times New Roman" w:cs="Times New Roman"/>
                <w:color w:val="auto"/>
                <w:sz w:val="24"/>
                <w:szCs w:val="24"/>
                <w:highlight w:val="none"/>
                <w:lang w:val="en-US"/>
              </w:rPr>
              <w:t>9</w:t>
            </w:r>
            <w:r>
              <w:rPr>
                <w:rFonts w:ascii="Times New Roman" w:hAnsi="Times New Roman" w:cs="Times New Roman"/>
                <w:color w:val="auto"/>
                <w:sz w:val="24"/>
                <w:szCs w:val="24"/>
                <w:highlight w:val="none"/>
              </w:rPr>
              <w:t>分）</w:t>
            </w:r>
          </w:p>
          <w:p>
            <w:pPr>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人在质保期内，提供聚波池的技术原理、设备构成、设备操作、设备运维等技术培训方案。方案包括培训目标、培训内容、培训计划等，培训方案应能明确培训课时、培训地点、培训人数、师资力量、培训费用等细节。培训方案优得</w:t>
            </w:r>
            <w:r>
              <w:rPr>
                <w:rFonts w:hint="eastAsia" w:ascii="Times New Roman" w:hAnsi="Times New Roman" w:cs="Times New Roman"/>
                <w:color w:val="auto"/>
                <w:sz w:val="24"/>
                <w:szCs w:val="24"/>
                <w:highlight w:val="none"/>
                <w:lang w:val="en-US"/>
              </w:rPr>
              <w:t>6</w:t>
            </w:r>
            <w:r>
              <w:rPr>
                <w:rFonts w:ascii="Times New Roman" w:hAnsi="Times New Roman" w:cs="Times New Roman"/>
                <w:color w:val="auto"/>
                <w:sz w:val="24"/>
                <w:szCs w:val="24"/>
                <w:highlight w:val="none"/>
              </w:rPr>
              <w:t>.1-</w:t>
            </w:r>
            <w:r>
              <w:rPr>
                <w:rFonts w:hint="eastAsia" w:ascii="Times New Roman" w:hAnsi="Times New Roman" w:cs="Times New Roman"/>
                <w:color w:val="auto"/>
                <w:sz w:val="24"/>
                <w:szCs w:val="24"/>
                <w:highlight w:val="none"/>
                <w:lang w:val="en-US"/>
              </w:rPr>
              <w:t>9</w:t>
            </w:r>
            <w:r>
              <w:rPr>
                <w:rFonts w:ascii="Times New Roman" w:hAnsi="Times New Roman" w:cs="Times New Roman"/>
                <w:color w:val="auto"/>
                <w:sz w:val="24"/>
                <w:szCs w:val="24"/>
                <w:highlight w:val="none"/>
              </w:rPr>
              <w:t>.0分，良得</w:t>
            </w:r>
            <w:r>
              <w:rPr>
                <w:rFonts w:hint="eastAsia" w:ascii="Times New Roman" w:hAnsi="Times New Roman" w:cs="Times New Roman"/>
                <w:color w:val="auto"/>
                <w:sz w:val="24"/>
                <w:szCs w:val="24"/>
                <w:highlight w:val="none"/>
                <w:lang w:val="en-US"/>
              </w:rPr>
              <w:t>3.1</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rPr>
              <w:t>6</w:t>
            </w:r>
            <w:r>
              <w:rPr>
                <w:rFonts w:ascii="Times New Roman" w:hAnsi="Times New Roman" w:cs="Times New Roman"/>
                <w:color w:val="auto"/>
                <w:sz w:val="24"/>
                <w:szCs w:val="24"/>
                <w:highlight w:val="none"/>
              </w:rPr>
              <w:t>.0分，一般得0-</w:t>
            </w:r>
            <w:r>
              <w:rPr>
                <w:rFonts w:hint="eastAsia" w:ascii="Times New Roman" w:hAnsi="Times New Roman" w:cs="Times New Roman"/>
                <w:color w:val="auto"/>
                <w:sz w:val="24"/>
                <w:szCs w:val="24"/>
                <w:highlight w:val="none"/>
                <w:lang w:val="en-US"/>
              </w:rPr>
              <w:t>3.0</w:t>
            </w:r>
            <w:r>
              <w:rPr>
                <w:rFonts w:ascii="Times New Roman" w:hAnsi="Times New Roman" w:cs="Times New Roman"/>
                <w:color w:val="auto"/>
                <w:sz w:val="24"/>
                <w:szCs w:val="24"/>
                <w:highlight w:val="none"/>
              </w:rPr>
              <w:t>分，无此项内容不得分</w:t>
            </w:r>
          </w:p>
          <w:p>
            <w:pPr>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2、售后、运维服务承诺：（</w:t>
            </w:r>
            <w:r>
              <w:rPr>
                <w:rFonts w:hint="eastAsia" w:ascii="Times New Roman" w:hAnsi="Times New Roman" w:cs="Times New Roman"/>
                <w:color w:val="auto"/>
                <w:sz w:val="24"/>
                <w:szCs w:val="24"/>
                <w:highlight w:val="none"/>
                <w:lang w:val="en-US"/>
              </w:rPr>
              <w:t>9</w:t>
            </w:r>
            <w:r>
              <w:rPr>
                <w:rFonts w:ascii="Times New Roman" w:hAnsi="Times New Roman" w:cs="Times New Roman"/>
                <w:color w:val="auto"/>
                <w:sz w:val="24"/>
                <w:szCs w:val="24"/>
                <w:highlight w:val="none"/>
              </w:rPr>
              <w:t>分）</w:t>
            </w:r>
          </w:p>
          <w:p>
            <w:pPr>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根据各投标人针对本项目提供的售后</w:t>
            </w:r>
            <w:r>
              <w:rPr>
                <w:rFonts w:hint="eastAsia" w:ascii="Times New Roman" w:hAnsi="Times New Roman" w:cs="Times New Roman"/>
                <w:color w:val="auto"/>
                <w:sz w:val="24"/>
                <w:szCs w:val="24"/>
                <w:highlight w:val="none"/>
              </w:rPr>
              <w:t>及</w:t>
            </w:r>
            <w:r>
              <w:rPr>
                <w:rFonts w:ascii="Times New Roman" w:hAnsi="Times New Roman" w:cs="Times New Roman"/>
                <w:color w:val="auto"/>
                <w:sz w:val="24"/>
                <w:szCs w:val="24"/>
                <w:highlight w:val="none"/>
              </w:rPr>
              <w:t>运维服务方案进行比较，</w:t>
            </w:r>
            <w:r>
              <w:rPr>
                <w:rFonts w:hint="eastAsia" w:ascii="Times New Roman" w:hAnsi="Times New Roman" w:cs="Times New Roman"/>
                <w:color w:val="auto"/>
                <w:sz w:val="24"/>
                <w:szCs w:val="24"/>
                <w:highlight w:val="none"/>
              </w:rPr>
              <w:t>方案包括售后服务承诺、</w:t>
            </w:r>
            <w:r>
              <w:rPr>
                <w:rFonts w:ascii="Times New Roman" w:hAnsi="Times New Roman" w:cs="Times New Roman"/>
                <w:color w:val="auto"/>
                <w:sz w:val="24"/>
                <w:szCs w:val="24"/>
                <w:highlight w:val="none"/>
              </w:rPr>
              <w:t>服务</w:t>
            </w:r>
            <w:r>
              <w:rPr>
                <w:rFonts w:hint="eastAsia" w:ascii="Times New Roman" w:hAnsi="Times New Roman" w:cs="Times New Roman"/>
                <w:color w:val="auto"/>
                <w:sz w:val="24"/>
                <w:szCs w:val="24"/>
                <w:highlight w:val="none"/>
              </w:rPr>
              <w:t>标准、响应时间、运维计划、运维团队等。售后、运维方案</w:t>
            </w:r>
            <w:r>
              <w:rPr>
                <w:rFonts w:ascii="Times New Roman" w:hAnsi="Times New Roman" w:cs="Times New Roman"/>
                <w:color w:val="auto"/>
                <w:sz w:val="24"/>
                <w:szCs w:val="24"/>
                <w:highlight w:val="none"/>
              </w:rPr>
              <w:t>优得</w:t>
            </w:r>
            <w:r>
              <w:rPr>
                <w:rFonts w:hint="eastAsia" w:ascii="Times New Roman" w:hAnsi="Times New Roman" w:cs="Times New Roman"/>
                <w:color w:val="auto"/>
                <w:sz w:val="24"/>
                <w:szCs w:val="24"/>
                <w:highlight w:val="none"/>
                <w:lang w:val="en-US"/>
              </w:rPr>
              <w:t>6</w:t>
            </w:r>
            <w:r>
              <w:rPr>
                <w:rFonts w:hint="eastAsia" w:ascii="Times New Roman" w:hAnsi="Times New Roman" w:cs="Times New Roman"/>
                <w:color w:val="auto"/>
                <w:sz w:val="24"/>
                <w:szCs w:val="24"/>
                <w:highlight w:val="none"/>
              </w:rPr>
              <w:t>.1</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rPr>
              <w:t>9</w:t>
            </w:r>
            <w:r>
              <w:rPr>
                <w:rFonts w:ascii="Times New Roman" w:hAnsi="Times New Roman" w:cs="Times New Roman"/>
                <w:color w:val="auto"/>
                <w:sz w:val="24"/>
                <w:szCs w:val="24"/>
                <w:highlight w:val="none"/>
              </w:rPr>
              <w:t>.0分，良得</w:t>
            </w:r>
            <w:r>
              <w:rPr>
                <w:rFonts w:hint="eastAsia" w:ascii="Times New Roman" w:hAnsi="Times New Roman" w:cs="Times New Roman"/>
                <w:color w:val="auto"/>
                <w:sz w:val="24"/>
                <w:szCs w:val="24"/>
                <w:highlight w:val="none"/>
                <w:lang w:val="en-US"/>
              </w:rPr>
              <w:t>3</w:t>
            </w:r>
            <w:r>
              <w:rPr>
                <w:rFonts w:hint="eastAsia" w:ascii="Times New Roman" w:hAnsi="Times New Roman" w:cs="Times New Roman"/>
                <w:color w:val="auto"/>
                <w:sz w:val="24"/>
                <w:szCs w:val="24"/>
                <w:highlight w:val="none"/>
              </w:rPr>
              <w:t>.1</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rPr>
              <w:t>6</w:t>
            </w:r>
            <w:r>
              <w:rPr>
                <w:rFonts w:ascii="Times New Roman" w:hAnsi="Times New Roman" w:cs="Times New Roman"/>
                <w:color w:val="auto"/>
                <w:sz w:val="24"/>
                <w:szCs w:val="24"/>
                <w:highlight w:val="none"/>
              </w:rPr>
              <w:t>.0分，一般得0-</w:t>
            </w:r>
            <w:r>
              <w:rPr>
                <w:rFonts w:hint="eastAsia" w:ascii="Times New Roman" w:hAnsi="Times New Roman" w:cs="Times New Roman"/>
                <w:color w:val="auto"/>
                <w:sz w:val="24"/>
                <w:szCs w:val="24"/>
                <w:highlight w:val="none"/>
                <w:lang w:val="en-US"/>
              </w:rPr>
              <w:t>3</w:t>
            </w:r>
            <w:r>
              <w:rPr>
                <w:rFonts w:ascii="Times New Roman" w:hAnsi="Times New Roman" w:cs="Times New Roman"/>
                <w:color w:val="auto"/>
                <w:sz w:val="24"/>
                <w:szCs w:val="24"/>
                <w:highlight w:val="none"/>
              </w:rPr>
              <w:t>.0分，无此内容不得分。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851" w:type="dxa"/>
            <w:gridSpan w:val="2"/>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709" w:type="dxa"/>
            <w:vMerge w:val="continue"/>
            <w:tcBorders>
              <w:tl2br w:val="nil"/>
              <w:tr2bl w:val="nil"/>
            </w:tcBorders>
          </w:tcPr>
          <w:p>
            <w:pPr>
              <w:spacing w:line="440" w:lineRule="exact"/>
              <w:rPr>
                <w:rFonts w:ascii="Times New Roman" w:hAnsi="Times New Roman" w:cs="Times New Roman"/>
                <w:color w:val="auto"/>
                <w:sz w:val="24"/>
                <w:szCs w:val="24"/>
                <w:highlight w:val="none"/>
              </w:rPr>
            </w:pPr>
          </w:p>
        </w:tc>
        <w:tc>
          <w:tcPr>
            <w:tcW w:w="1984" w:type="dxa"/>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技术支持及成果转化（10分）</w:t>
            </w:r>
          </w:p>
        </w:tc>
        <w:tc>
          <w:tcPr>
            <w:tcW w:w="5749" w:type="dxa"/>
            <w:tcBorders>
              <w:tl2br w:val="nil"/>
              <w:tr2bl w:val="nil"/>
            </w:tcBorders>
            <w:vAlign w:val="center"/>
          </w:tcPr>
          <w:p>
            <w:pPr>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1、技术支持：（</w:t>
            </w:r>
            <w:r>
              <w:rPr>
                <w:rFonts w:hint="eastAsia" w:ascii="Times New Roman" w:hAnsi="Times New Roman" w:cs="Times New Roman"/>
                <w:color w:val="auto"/>
                <w:sz w:val="24"/>
                <w:szCs w:val="24"/>
                <w:highlight w:val="none"/>
                <w:lang w:val="en-US"/>
              </w:rPr>
              <w:t>6</w:t>
            </w:r>
            <w:r>
              <w:rPr>
                <w:rFonts w:ascii="Times New Roman" w:hAnsi="Times New Roman" w:cs="Times New Roman"/>
                <w:color w:val="auto"/>
                <w:sz w:val="24"/>
                <w:szCs w:val="24"/>
                <w:highlight w:val="none"/>
              </w:rPr>
              <w:t>分）</w:t>
            </w:r>
          </w:p>
          <w:p>
            <w:pPr>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投标人应分析设备运行环境特点，列出易损的核心构件的备品备件清单（如投标人无法承担备品费用，应在技术响应表中说明）。备品备件清单内容考虑全面，符合运行维护实际情况，优得</w:t>
            </w:r>
            <w:r>
              <w:rPr>
                <w:rFonts w:hint="eastAsia" w:ascii="Times New Roman" w:hAnsi="Times New Roman" w:cs="Times New Roman"/>
                <w:color w:val="auto"/>
                <w:sz w:val="24"/>
                <w:szCs w:val="24"/>
                <w:highlight w:val="none"/>
                <w:lang w:val="en-US"/>
              </w:rPr>
              <w:t>4</w:t>
            </w:r>
            <w:r>
              <w:rPr>
                <w:rFonts w:ascii="Times New Roman" w:hAnsi="Times New Roman" w:cs="Times New Roman"/>
                <w:color w:val="auto"/>
                <w:sz w:val="24"/>
                <w:szCs w:val="24"/>
                <w:highlight w:val="none"/>
              </w:rPr>
              <w:t>.1-</w:t>
            </w:r>
            <w:r>
              <w:rPr>
                <w:rFonts w:hint="eastAsia" w:ascii="Times New Roman" w:hAnsi="Times New Roman" w:cs="Times New Roman"/>
                <w:color w:val="auto"/>
                <w:sz w:val="24"/>
                <w:szCs w:val="24"/>
                <w:highlight w:val="none"/>
                <w:lang w:val="en-US"/>
              </w:rPr>
              <w:t>6</w:t>
            </w:r>
            <w:r>
              <w:rPr>
                <w:rFonts w:ascii="Times New Roman" w:hAnsi="Times New Roman" w:cs="Times New Roman"/>
                <w:color w:val="auto"/>
                <w:sz w:val="24"/>
                <w:szCs w:val="24"/>
                <w:highlight w:val="none"/>
              </w:rPr>
              <w:t xml:space="preserve">.0分，良得 </w:t>
            </w:r>
            <w:r>
              <w:rPr>
                <w:rFonts w:hint="eastAsia" w:ascii="Times New Roman" w:hAnsi="Times New Roman" w:cs="Times New Roman"/>
                <w:color w:val="auto"/>
                <w:sz w:val="24"/>
                <w:szCs w:val="24"/>
                <w:highlight w:val="none"/>
                <w:lang w:val="en-US"/>
              </w:rPr>
              <w:t>2.1</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rPr>
              <w:t>4</w:t>
            </w:r>
            <w:r>
              <w:rPr>
                <w:rFonts w:ascii="Times New Roman" w:hAnsi="Times New Roman" w:cs="Times New Roman"/>
                <w:color w:val="auto"/>
                <w:sz w:val="24"/>
                <w:szCs w:val="24"/>
                <w:highlight w:val="none"/>
              </w:rPr>
              <w:t>.0分，一般得0-</w:t>
            </w:r>
            <w:r>
              <w:rPr>
                <w:rFonts w:hint="eastAsia" w:ascii="Times New Roman" w:hAnsi="Times New Roman" w:cs="Times New Roman"/>
                <w:color w:val="auto"/>
                <w:sz w:val="24"/>
                <w:szCs w:val="24"/>
                <w:highlight w:val="none"/>
                <w:lang w:val="en-US"/>
              </w:rPr>
              <w:t>2.0</w:t>
            </w:r>
            <w:r>
              <w:rPr>
                <w:rFonts w:ascii="Times New Roman" w:hAnsi="Times New Roman" w:cs="Times New Roman"/>
                <w:color w:val="auto"/>
                <w:sz w:val="24"/>
                <w:szCs w:val="24"/>
                <w:highlight w:val="none"/>
              </w:rPr>
              <w:t>分，无此项内容不得分。</w:t>
            </w:r>
          </w:p>
          <w:p>
            <w:pPr>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2、成果转化：（</w:t>
            </w:r>
            <w:r>
              <w:rPr>
                <w:rFonts w:hint="eastAsia" w:ascii="Times New Roman" w:hAnsi="Times New Roman" w:cs="Times New Roman"/>
                <w:color w:val="auto"/>
                <w:sz w:val="24"/>
                <w:szCs w:val="24"/>
                <w:highlight w:val="none"/>
                <w:lang w:val="en-US"/>
              </w:rPr>
              <w:t>4</w:t>
            </w:r>
            <w:r>
              <w:rPr>
                <w:rFonts w:ascii="Times New Roman" w:hAnsi="Times New Roman" w:cs="Times New Roman"/>
                <w:color w:val="auto"/>
                <w:sz w:val="24"/>
                <w:szCs w:val="24"/>
                <w:highlight w:val="none"/>
              </w:rPr>
              <w:t>分）</w:t>
            </w:r>
          </w:p>
          <w:p>
            <w:pPr>
              <w:pStyle w:val="15"/>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（1）投标人应给出承诺函，承诺在中标</w:t>
            </w:r>
            <w:r>
              <w:rPr>
                <w:rFonts w:hint="eastAsia" w:ascii="Times New Roman" w:hAnsi="Times New Roman" w:cs="Times New Roman"/>
                <w:color w:val="auto"/>
                <w:sz w:val="24"/>
                <w:szCs w:val="24"/>
                <w:highlight w:val="none"/>
                <w:lang w:eastAsia="zh-CN"/>
              </w:rPr>
              <w:t>后</w:t>
            </w:r>
            <w:r>
              <w:rPr>
                <w:rFonts w:ascii="Times New Roman" w:hAnsi="Times New Roman" w:cs="Times New Roman"/>
                <w:color w:val="auto"/>
                <w:sz w:val="24"/>
                <w:szCs w:val="24"/>
                <w:highlight w:val="none"/>
              </w:rPr>
              <w:t>3年内，在招标人认可的前提下，协助业主申报聚波池的相关标准一项。</w:t>
            </w:r>
          </w:p>
          <w:p>
            <w:pPr>
              <w:pStyle w:val="15"/>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（2）投标人应给出承诺函，承诺在中标</w:t>
            </w:r>
            <w:r>
              <w:rPr>
                <w:rFonts w:hint="eastAsia" w:ascii="Times New Roman" w:hAnsi="Times New Roman" w:cs="Times New Roman"/>
                <w:color w:val="auto"/>
                <w:sz w:val="24"/>
                <w:szCs w:val="24"/>
                <w:highlight w:val="none"/>
                <w:lang w:eastAsia="zh-CN"/>
              </w:rPr>
              <w:t>后</w:t>
            </w:r>
            <w:r>
              <w:rPr>
                <w:rFonts w:ascii="Times New Roman" w:hAnsi="Times New Roman" w:cs="Times New Roman"/>
                <w:color w:val="auto"/>
                <w:sz w:val="24"/>
                <w:szCs w:val="24"/>
                <w:highlight w:val="none"/>
              </w:rPr>
              <w:t>3年内，在招标人认可的前提下，协助业主申报省部级以上科技发明或科技进步奖一项。</w:t>
            </w:r>
          </w:p>
          <w:p>
            <w:pPr>
              <w:pStyle w:val="15"/>
              <w:adjustRightInd w:val="0"/>
              <w:snapToGrid w:val="0"/>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评审依据：根据以上内容提供响应承诺函，每有一个承诺函得2分，无承诺函不得分。本项满分4分。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1" w:hRule="atLeast"/>
          <w:jc w:val="center"/>
        </w:trPr>
        <w:tc>
          <w:tcPr>
            <w:tcW w:w="851" w:type="dxa"/>
            <w:gridSpan w:val="2"/>
            <w:tcBorders>
              <w:tl2br w:val="nil"/>
              <w:tr2bl w:val="nil"/>
            </w:tcBorders>
            <w:vAlign w:val="center"/>
          </w:tcPr>
          <w:p>
            <w:pPr>
              <w:pStyle w:val="61"/>
              <w:spacing w:line="440" w:lineRule="exact"/>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2.2.4（3）</w:t>
            </w:r>
          </w:p>
        </w:tc>
        <w:tc>
          <w:tcPr>
            <w:tcW w:w="709" w:type="dxa"/>
            <w:tcBorders>
              <w:tl2br w:val="nil"/>
              <w:tr2bl w:val="nil"/>
            </w:tcBorders>
            <w:vAlign w:val="center"/>
          </w:tcPr>
          <w:p>
            <w:pPr>
              <w:pStyle w:val="61"/>
              <w:spacing w:line="440" w:lineRule="exact"/>
              <w:ind w:left="141" w:right="127"/>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投标报价评分标准</w:t>
            </w:r>
          </w:p>
        </w:tc>
        <w:tc>
          <w:tcPr>
            <w:tcW w:w="1984" w:type="dxa"/>
            <w:tcBorders>
              <w:tl2br w:val="nil"/>
              <w:tr2bl w:val="nil"/>
            </w:tcBorders>
            <w:vAlign w:val="center"/>
          </w:tcPr>
          <w:p>
            <w:pPr>
              <w:pStyle w:val="61"/>
              <w:spacing w:line="440" w:lineRule="exact"/>
              <w:ind w:left="62" w:right="52"/>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报价得分（</w:t>
            </w:r>
            <w:r>
              <w:rPr>
                <w:rFonts w:ascii="Times New Roman" w:hAnsi="Times New Roman" w:cs="Times New Roman"/>
                <w:color w:val="auto"/>
                <w:sz w:val="24"/>
                <w:szCs w:val="24"/>
                <w:highlight w:val="none"/>
                <w:lang w:val="en-US"/>
              </w:rPr>
              <w:t>30</w:t>
            </w:r>
            <w:r>
              <w:rPr>
                <w:rFonts w:ascii="Times New Roman" w:hAnsi="Times New Roman" w:cs="Times New Roman"/>
                <w:color w:val="auto"/>
                <w:sz w:val="24"/>
                <w:szCs w:val="24"/>
                <w:highlight w:val="none"/>
              </w:rPr>
              <w:t>分）</w:t>
            </w:r>
          </w:p>
        </w:tc>
        <w:tc>
          <w:tcPr>
            <w:tcW w:w="5749" w:type="dxa"/>
            <w:tcBorders>
              <w:tl2br w:val="nil"/>
              <w:tr2bl w:val="nil"/>
            </w:tcBorders>
            <w:vAlign w:val="center"/>
          </w:tcPr>
          <w:p>
            <w:pPr>
              <w:pStyle w:val="61"/>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评标价得分计算公式示例：</w:t>
            </w:r>
          </w:p>
          <w:p>
            <w:pPr>
              <w:pStyle w:val="61"/>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（1）如果投标人的评标价＞评标基准价，则评标价得分=F-偏差率×100×E1；E1=0.2</w:t>
            </w:r>
          </w:p>
          <w:p>
            <w:pPr>
              <w:pStyle w:val="61"/>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（2）如果投标人的评标价≤评标基准价，则评标价得分=F</w:t>
            </w:r>
            <w:r>
              <w:rPr>
                <w:rFonts w:ascii="Times New Roman" w:hAnsi="Times New Roman" w:cs="Times New Roman"/>
                <w:color w:val="auto"/>
                <w:sz w:val="24"/>
                <w:szCs w:val="24"/>
                <w:highlight w:val="none"/>
                <w:lang w:val="en-US"/>
              </w:rPr>
              <w:t>-</w:t>
            </w:r>
            <w:r>
              <w:rPr>
                <w:rFonts w:ascii="Times New Roman" w:hAnsi="Times New Roman" w:cs="Times New Roman"/>
                <w:color w:val="auto"/>
                <w:sz w:val="24"/>
                <w:szCs w:val="24"/>
                <w:highlight w:val="none"/>
              </w:rPr>
              <w:t>偏差率×100×E2；E2=0.1</w:t>
            </w:r>
          </w:p>
          <w:p>
            <w:pPr>
              <w:pStyle w:val="61"/>
              <w:spacing w:line="440" w:lineRule="exact"/>
              <w:ind w:left="110" w:leftChars="5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其中：F为投标报价满分值；E1是评标价每高于评标基准价一个百分点的扣分值；E2是评标价每低于评标基准价一个百分点的扣分值。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9293" w:type="dxa"/>
            <w:gridSpan w:val="5"/>
            <w:tcBorders>
              <w:tl2br w:val="nil"/>
              <w:tr2bl w:val="nil"/>
            </w:tcBorders>
            <w:vAlign w:val="center"/>
          </w:tcPr>
          <w:p>
            <w:pPr>
              <w:rPr>
                <w:rFonts w:ascii="Times New Roman" w:hAnsi="Times New Roman" w:cs="Times New Roman"/>
                <w:color w:val="auto"/>
                <w:sz w:val="24"/>
                <w:szCs w:val="24"/>
                <w:highlight w:val="none"/>
              </w:rPr>
            </w:pPr>
            <w:r>
              <w:rPr>
                <w:rFonts w:ascii="Times New Roman" w:hAnsi="Times New Roman" w:cs="Times New Roman"/>
                <w:b/>
                <w:bCs/>
                <w:color w:val="auto"/>
                <w:sz w:val="24"/>
                <w:szCs w:val="24"/>
                <w:highlight w:val="none"/>
              </w:rPr>
              <w:t>投标人得分</w:t>
            </w:r>
            <w:r>
              <w:rPr>
                <w:rFonts w:ascii="Times New Roman" w:hAnsi="Times New Roman" w:cs="Times New Roman"/>
                <w:b/>
                <w:bCs/>
                <w:color w:val="auto"/>
                <w:sz w:val="24"/>
                <w:szCs w:val="24"/>
                <w:highlight w:val="none"/>
                <w:lang w:val="en-US"/>
              </w:rPr>
              <w:t>=技术评审得分+商务评审得分+报价得分</w:t>
            </w:r>
          </w:p>
        </w:tc>
      </w:tr>
    </w:tbl>
    <w:p>
      <w:pPr>
        <w:pStyle w:val="56"/>
        <w:tabs>
          <w:tab w:val="left" w:pos="802"/>
        </w:tabs>
        <w:spacing w:line="600" w:lineRule="exact"/>
        <w:ind w:left="0" w:firstLine="0"/>
        <w:rPr>
          <w:rFonts w:ascii="宋体" w:hAnsi="宋体" w:eastAsia="宋体"/>
          <w:color w:val="auto"/>
          <w:highlight w:val="none"/>
        </w:rPr>
      </w:pPr>
      <w:r>
        <w:rPr>
          <w:rFonts w:hint="eastAsia" w:ascii="宋体" w:hAnsi="宋体" w:eastAsia="宋体"/>
          <w:color w:val="auto"/>
          <w:highlight w:val="none"/>
        </w:rPr>
        <w:t>1.</w:t>
      </w:r>
      <w:r>
        <w:rPr>
          <w:rFonts w:ascii="宋体" w:hAnsi="宋体" w:eastAsia="宋体"/>
          <w:color w:val="auto"/>
          <w:highlight w:val="none"/>
        </w:rPr>
        <w:t>评标方法</w:t>
      </w:r>
    </w:p>
    <w:p>
      <w:pPr>
        <w:pStyle w:val="15"/>
        <w:spacing w:line="460" w:lineRule="exact"/>
        <w:ind w:firstLine="480" w:firstLineChars="200"/>
        <w:jc w:val="both"/>
        <w:rPr>
          <w:color w:val="auto"/>
          <w:sz w:val="24"/>
          <w:szCs w:val="24"/>
          <w:highlight w:val="none"/>
        </w:rPr>
      </w:pPr>
      <w:r>
        <w:rPr>
          <w:rFonts w:hint="eastAsia"/>
          <w:color w:val="auto"/>
          <w:sz w:val="24"/>
          <w:szCs w:val="24"/>
          <w:highlight w:val="none"/>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pPr>
        <w:pStyle w:val="56"/>
        <w:tabs>
          <w:tab w:val="left" w:pos="802"/>
        </w:tabs>
        <w:spacing w:line="600" w:lineRule="exact"/>
        <w:ind w:left="0" w:firstLine="0"/>
        <w:rPr>
          <w:rFonts w:ascii="宋体" w:hAnsi="宋体" w:eastAsia="宋体"/>
          <w:color w:val="auto"/>
          <w:highlight w:val="none"/>
        </w:rPr>
      </w:pPr>
      <w:bookmarkStart w:id="139" w:name="_bookmark84"/>
      <w:bookmarkEnd w:id="139"/>
      <w:r>
        <w:rPr>
          <w:rFonts w:hint="eastAsia" w:ascii="宋体" w:hAnsi="宋体" w:eastAsia="宋体"/>
          <w:color w:val="auto"/>
          <w:highlight w:val="none"/>
        </w:rPr>
        <w:t>2.</w:t>
      </w:r>
      <w:r>
        <w:rPr>
          <w:rFonts w:ascii="宋体" w:hAnsi="宋体" w:eastAsia="宋体"/>
          <w:color w:val="auto"/>
          <w:highlight w:val="none"/>
        </w:rPr>
        <w:t>评审标准</w:t>
      </w:r>
    </w:p>
    <w:p>
      <w:pPr>
        <w:pStyle w:val="57"/>
        <w:numPr>
          <w:ilvl w:val="1"/>
          <w:numId w:val="3"/>
        </w:numPr>
        <w:tabs>
          <w:tab w:val="left" w:pos="1027"/>
        </w:tabs>
        <w:spacing w:line="560" w:lineRule="exact"/>
        <w:ind w:left="0" w:firstLine="0"/>
        <w:rPr>
          <w:b/>
          <w:color w:val="auto"/>
          <w:sz w:val="24"/>
          <w:szCs w:val="24"/>
          <w:highlight w:val="none"/>
        </w:rPr>
      </w:pPr>
      <w:bookmarkStart w:id="140" w:name="_bookmark85"/>
      <w:bookmarkEnd w:id="140"/>
      <w:r>
        <w:rPr>
          <w:rFonts w:hint="eastAsia"/>
          <w:b/>
          <w:color w:val="auto"/>
          <w:sz w:val="24"/>
          <w:szCs w:val="24"/>
          <w:highlight w:val="none"/>
        </w:rPr>
        <w:t xml:space="preserve">2.1 </w:t>
      </w:r>
      <w:r>
        <w:rPr>
          <w:b/>
          <w:color w:val="auto"/>
          <w:sz w:val="24"/>
          <w:szCs w:val="24"/>
          <w:highlight w:val="none"/>
        </w:rPr>
        <w:t>初步评审标准</w:t>
      </w:r>
    </w:p>
    <w:p>
      <w:pPr>
        <w:pStyle w:val="15"/>
        <w:spacing w:line="460" w:lineRule="exact"/>
        <w:ind w:firstLine="480" w:firstLineChars="200"/>
        <w:jc w:val="both"/>
        <w:rPr>
          <w:color w:val="auto"/>
          <w:sz w:val="24"/>
          <w:szCs w:val="24"/>
          <w:highlight w:val="none"/>
        </w:rPr>
      </w:pPr>
      <w:r>
        <w:rPr>
          <w:rFonts w:hint="eastAsia"/>
          <w:color w:val="auto"/>
          <w:sz w:val="24"/>
          <w:szCs w:val="24"/>
          <w:highlight w:val="none"/>
        </w:rPr>
        <w:t xml:space="preserve">2.1.1 </w:t>
      </w:r>
      <w:r>
        <w:rPr>
          <w:color w:val="auto"/>
          <w:sz w:val="24"/>
          <w:szCs w:val="24"/>
          <w:highlight w:val="none"/>
        </w:rPr>
        <w:t>形式评审标准：见评标办法前附表。</w:t>
      </w:r>
    </w:p>
    <w:p>
      <w:pPr>
        <w:pStyle w:val="15"/>
        <w:spacing w:line="460" w:lineRule="exact"/>
        <w:ind w:firstLine="480" w:firstLineChars="200"/>
        <w:jc w:val="both"/>
        <w:rPr>
          <w:color w:val="auto"/>
          <w:sz w:val="24"/>
          <w:szCs w:val="24"/>
          <w:highlight w:val="none"/>
        </w:rPr>
      </w:pPr>
      <w:r>
        <w:rPr>
          <w:rFonts w:hint="eastAsia"/>
          <w:color w:val="auto"/>
          <w:sz w:val="24"/>
          <w:szCs w:val="24"/>
          <w:highlight w:val="none"/>
        </w:rPr>
        <w:t xml:space="preserve">2.1.2 </w:t>
      </w:r>
      <w:r>
        <w:rPr>
          <w:color w:val="auto"/>
          <w:sz w:val="24"/>
          <w:szCs w:val="24"/>
          <w:highlight w:val="none"/>
        </w:rPr>
        <w:t>资格评审标准：见评标办法前附表。</w:t>
      </w:r>
    </w:p>
    <w:p>
      <w:pPr>
        <w:pStyle w:val="15"/>
        <w:spacing w:line="460" w:lineRule="exact"/>
        <w:ind w:firstLine="480" w:firstLineChars="200"/>
        <w:jc w:val="both"/>
        <w:rPr>
          <w:color w:val="auto"/>
          <w:highlight w:val="none"/>
        </w:rPr>
      </w:pPr>
      <w:r>
        <w:rPr>
          <w:rFonts w:hint="eastAsia"/>
          <w:color w:val="auto"/>
          <w:sz w:val="24"/>
          <w:szCs w:val="24"/>
          <w:highlight w:val="none"/>
        </w:rPr>
        <w:t xml:space="preserve">2.1.3 </w:t>
      </w:r>
      <w:r>
        <w:rPr>
          <w:color w:val="auto"/>
          <w:sz w:val="24"/>
          <w:szCs w:val="24"/>
          <w:highlight w:val="none"/>
        </w:rPr>
        <w:t>响应性评审标准：见评标办法前附表。</w:t>
      </w:r>
    </w:p>
    <w:p>
      <w:pPr>
        <w:pStyle w:val="57"/>
        <w:numPr>
          <w:ilvl w:val="1"/>
          <w:numId w:val="3"/>
        </w:numPr>
        <w:tabs>
          <w:tab w:val="left" w:pos="1027"/>
        </w:tabs>
        <w:spacing w:line="560" w:lineRule="exact"/>
        <w:ind w:left="0" w:firstLine="0"/>
        <w:rPr>
          <w:b/>
          <w:color w:val="auto"/>
          <w:sz w:val="24"/>
          <w:szCs w:val="24"/>
          <w:highlight w:val="none"/>
        </w:rPr>
      </w:pPr>
      <w:bookmarkStart w:id="141" w:name="_bookmark86"/>
      <w:bookmarkEnd w:id="141"/>
      <w:r>
        <w:rPr>
          <w:rFonts w:hint="eastAsia"/>
          <w:b/>
          <w:color w:val="auto"/>
          <w:sz w:val="24"/>
          <w:szCs w:val="24"/>
          <w:highlight w:val="none"/>
        </w:rPr>
        <w:t xml:space="preserve">2.2 </w:t>
      </w:r>
      <w:r>
        <w:rPr>
          <w:b/>
          <w:color w:val="auto"/>
          <w:sz w:val="24"/>
          <w:szCs w:val="24"/>
          <w:highlight w:val="none"/>
        </w:rPr>
        <w:t>分值构成与评分标准</w:t>
      </w:r>
    </w:p>
    <w:p>
      <w:pPr>
        <w:pStyle w:val="15"/>
        <w:spacing w:line="460" w:lineRule="exact"/>
        <w:ind w:firstLine="480" w:firstLineChars="200"/>
        <w:jc w:val="both"/>
        <w:rPr>
          <w:color w:val="auto"/>
          <w:sz w:val="24"/>
          <w:szCs w:val="24"/>
          <w:highlight w:val="none"/>
        </w:rPr>
      </w:pPr>
      <w:r>
        <w:rPr>
          <w:rFonts w:hint="eastAsia"/>
          <w:color w:val="auto"/>
          <w:sz w:val="24"/>
          <w:szCs w:val="24"/>
          <w:highlight w:val="none"/>
        </w:rPr>
        <w:t xml:space="preserve">2.2.1 </w:t>
      </w:r>
      <w:r>
        <w:rPr>
          <w:color w:val="auto"/>
          <w:sz w:val="24"/>
          <w:szCs w:val="24"/>
          <w:highlight w:val="none"/>
        </w:rPr>
        <w:t>分值构成</w:t>
      </w:r>
    </w:p>
    <w:p>
      <w:pPr>
        <w:pStyle w:val="15"/>
        <w:spacing w:line="460" w:lineRule="exact"/>
        <w:ind w:firstLine="480" w:firstLineChars="200"/>
        <w:jc w:val="both"/>
        <w:rPr>
          <w:color w:val="auto"/>
          <w:sz w:val="24"/>
          <w:szCs w:val="24"/>
          <w:highlight w:val="none"/>
        </w:rPr>
      </w:pPr>
      <w:r>
        <w:rPr>
          <w:color w:val="auto"/>
          <w:sz w:val="24"/>
          <w:szCs w:val="24"/>
          <w:highlight w:val="none"/>
        </w:rPr>
        <w:t>（1）商务部分：见评标办法前附表；</w:t>
      </w:r>
    </w:p>
    <w:p>
      <w:pPr>
        <w:pStyle w:val="15"/>
        <w:spacing w:line="460" w:lineRule="exact"/>
        <w:ind w:firstLine="480" w:firstLineChars="200"/>
        <w:jc w:val="both"/>
        <w:rPr>
          <w:color w:val="auto"/>
          <w:sz w:val="24"/>
          <w:szCs w:val="24"/>
          <w:highlight w:val="none"/>
        </w:rPr>
      </w:pPr>
      <w:r>
        <w:rPr>
          <w:color w:val="auto"/>
          <w:sz w:val="24"/>
          <w:szCs w:val="24"/>
          <w:highlight w:val="none"/>
        </w:rPr>
        <w:t>（2）技术部分：见评标办法前附表；</w:t>
      </w:r>
    </w:p>
    <w:p>
      <w:pPr>
        <w:pStyle w:val="15"/>
        <w:spacing w:line="460" w:lineRule="exact"/>
        <w:ind w:firstLine="480" w:firstLineChars="200"/>
        <w:jc w:val="both"/>
        <w:rPr>
          <w:color w:val="auto"/>
          <w:sz w:val="24"/>
          <w:szCs w:val="24"/>
          <w:highlight w:val="none"/>
        </w:rPr>
      </w:pPr>
      <w:r>
        <w:rPr>
          <w:color w:val="auto"/>
          <w:sz w:val="24"/>
          <w:szCs w:val="24"/>
          <w:highlight w:val="none"/>
        </w:rPr>
        <w:t>（3）投标报价：见评标办法前附表；</w:t>
      </w:r>
    </w:p>
    <w:p>
      <w:pPr>
        <w:pStyle w:val="15"/>
        <w:spacing w:line="460" w:lineRule="exact"/>
        <w:ind w:firstLine="480" w:firstLineChars="200"/>
        <w:jc w:val="both"/>
        <w:rPr>
          <w:color w:val="auto"/>
          <w:sz w:val="24"/>
          <w:szCs w:val="24"/>
          <w:highlight w:val="none"/>
        </w:rPr>
      </w:pPr>
      <w:r>
        <w:rPr>
          <w:color w:val="auto"/>
          <w:sz w:val="24"/>
          <w:szCs w:val="24"/>
          <w:highlight w:val="none"/>
        </w:rPr>
        <w:t>（4）其他评分因素：见评标办法前附表。</w:t>
      </w:r>
    </w:p>
    <w:p>
      <w:pPr>
        <w:pStyle w:val="15"/>
        <w:spacing w:line="460" w:lineRule="exact"/>
        <w:ind w:firstLine="480" w:firstLineChars="200"/>
        <w:jc w:val="both"/>
        <w:rPr>
          <w:color w:val="auto"/>
          <w:sz w:val="24"/>
          <w:szCs w:val="24"/>
          <w:highlight w:val="none"/>
        </w:rPr>
      </w:pPr>
      <w:r>
        <w:rPr>
          <w:rFonts w:hint="eastAsia"/>
          <w:color w:val="auto"/>
          <w:sz w:val="24"/>
          <w:szCs w:val="24"/>
          <w:highlight w:val="none"/>
        </w:rPr>
        <w:t xml:space="preserve">2.2.2 </w:t>
      </w:r>
      <w:r>
        <w:rPr>
          <w:color w:val="auto"/>
          <w:sz w:val="24"/>
          <w:szCs w:val="24"/>
          <w:highlight w:val="none"/>
        </w:rPr>
        <w:t>评标基准价计算</w:t>
      </w:r>
    </w:p>
    <w:p>
      <w:pPr>
        <w:pStyle w:val="15"/>
        <w:spacing w:line="460" w:lineRule="exact"/>
        <w:ind w:firstLine="480" w:firstLineChars="200"/>
        <w:jc w:val="both"/>
        <w:rPr>
          <w:color w:val="auto"/>
          <w:sz w:val="24"/>
          <w:szCs w:val="24"/>
          <w:highlight w:val="none"/>
        </w:rPr>
      </w:pPr>
      <w:r>
        <w:rPr>
          <w:color w:val="auto"/>
          <w:sz w:val="24"/>
          <w:szCs w:val="24"/>
          <w:highlight w:val="none"/>
        </w:rPr>
        <w:t>评标基准价计算方法：见评标办法前附表。</w:t>
      </w:r>
    </w:p>
    <w:p>
      <w:pPr>
        <w:pStyle w:val="15"/>
        <w:spacing w:line="460" w:lineRule="exact"/>
        <w:ind w:firstLine="480" w:firstLineChars="200"/>
        <w:jc w:val="both"/>
        <w:rPr>
          <w:color w:val="auto"/>
          <w:sz w:val="24"/>
          <w:szCs w:val="24"/>
          <w:highlight w:val="none"/>
        </w:rPr>
      </w:pPr>
      <w:r>
        <w:rPr>
          <w:rFonts w:hint="eastAsia"/>
          <w:color w:val="auto"/>
          <w:sz w:val="24"/>
          <w:szCs w:val="24"/>
          <w:highlight w:val="none"/>
        </w:rPr>
        <w:t xml:space="preserve">2.2.3 </w:t>
      </w:r>
      <w:r>
        <w:rPr>
          <w:color w:val="auto"/>
          <w:sz w:val="24"/>
          <w:szCs w:val="24"/>
          <w:highlight w:val="none"/>
        </w:rPr>
        <w:t>投标报价的偏差率计算</w:t>
      </w:r>
    </w:p>
    <w:p>
      <w:pPr>
        <w:pStyle w:val="15"/>
        <w:spacing w:line="460" w:lineRule="exact"/>
        <w:ind w:firstLine="480" w:firstLineChars="200"/>
        <w:jc w:val="both"/>
        <w:rPr>
          <w:color w:val="auto"/>
          <w:sz w:val="24"/>
          <w:szCs w:val="24"/>
          <w:highlight w:val="none"/>
        </w:rPr>
      </w:pPr>
      <w:r>
        <w:rPr>
          <w:color w:val="auto"/>
          <w:sz w:val="24"/>
          <w:szCs w:val="24"/>
          <w:highlight w:val="none"/>
        </w:rPr>
        <w:t>投标报价的偏差率计算公式：见评标办法前附表。</w:t>
      </w:r>
    </w:p>
    <w:p>
      <w:pPr>
        <w:pStyle w:val="15"/>
        <w:spacing w:line="460" w:lineRule="exact"/>
        <w:ind w:firstLine="480" w:firstLineChars="200"/>
        <w:jc w:val="both"/>
        <w:rPr>
          <w:color w:val="auto"/>
          <w:sz w:val="24"/>
          <w:szCs w:val="24"/>
          <w:highlight w:val="none"/>
        </w:rPr>
      </w:pPr>
      <w:r>
        <w:rPr>
          <w:rFonts w:hint="eastAsia"/>
          <w:color w:val="auto"/>
          <w:sz w:val="24"/>
          <w:szCs w:val="24"/>
          <w:highlight w:val="none"/>
        </w:rPr>
        <w:t xml:space="preserve">2.2.4 </w:t>
      </w:r>
      <w:r>
        <w:rPr>
          <w:color w:val="auto"/>
          <w:sz w:val="24"/>
          <w:szCs w:val="24"/>
          <w:highlight w:val="none"/>
        </w:rPr>
        <w:t>评分标准</w:t>
      </w:r>
    </w:p>
    <w:p>
      <w:pPr>
        <w:pStyle w:val="15"/>
        <w:spacing w:line="460" w:lineRule="exact"/>
        <w:ind w:firstLine="480" w:firstLineChars="200"/>
        <w:jc w:val="both"/>
        <w:rPr>
          <w:color w:val="auto"/>
          <w:sz w:val="24"/>
          <w:szCs w:val="24"/>
          <w:highlight w:val="none"/>
        </w:rPr>
      </w:pPr>
      <w:r>
        <w:rPr>
          <w:color w:val="auto"/>
          <w:sz w:val="24"/>
          <w:szCs w:val="24"/>
          <w:highlight w:val="none"/>
        </w:rPr>
        <w:t>（1）商务评分标准：见评标办法前附表；</w:t>
      </w:r>
    </w:p>
    <w:p>
      <w:pPr>
        <w:pStyle w:val="15"/>
        <w:spacing w:line="460" w:lineRule="exact"/>
        <w:ind w:firstLine="480" w:firstLineChars="200"/>
        <w:jc w:val="both"/>
        <w:rPr>
          <w:color w:val="auto"/>
          <w:sz w:val="24"/>
          <w:szCs w:val="24"/>
          <w:highlight w:val="none"/>
        </w:rPr>
      </w:pPr>
      <w:r>
        <w:rPr>
          <w:color w:val="auto"/>
          <w:sz w:val="24"/>
          <w:szCs w:val="24"/>
          <w:highlight w:val="none"/>
        </w:rPr>
        <w:t>（2）技术评分标准：见评标办法前附表；</w:t>
      </w:r>
    </w:p>
    <w:p>
      <w:pPr>
        <w:pStyle w:val="15"/>
        <w:spacing w:line="460" w:lineRule="exact"/>
        <w:ind w:firstLine="480" w:firstLineChars="200"/>
        <w:jc w:val="both"/>
        <w:rPr>
          <w:color w:val="auto"/>
          <w:sz w:val="24"/>
          <w:szCs w:val="24"/>
          <w:highlight w:val="none"/>
        </w:rPr>
      </w:pPr>
      <w:r>
        <w:rPr>
          <w:color w:val="auto"/>
          <w:sz w:val="24"/>
          <w:szCs w:val="24"/>
          <w:highlight w:val="none"/>
        </w:rPr>
        <w:t>（3）投标报价评分标准：见评标办法前附表；</w:t>
      </w:r>
    </w:p>
    <w:p>
      <w:pPr>
        <w:pStyle w:val="15"/>
        <w:spacing w:line="460" w:lineRule="exact"/>
        <w:ind w:firstLine="480" w:firstLineChars="200"/>
        <w:jc w:val="both"/>
        <w:rPr>
          <w:color w:val="auto"/>
          <w:highlight w:val="none"/>
        </w:rPr>
      </w:pPr>
      <w:r>
        <w:rPr>
          <w:color w:val="auto"/>
          <w:sz w:val="24"/>
          <w:szCs w:val="24"/>
          <w:highlight w:val="none"/>
        </w:rPr>
        <w:t>（4）其他因素评分标准：见评标办法前附表。</w:t>
      </w:r>
    </w:p>
    <w:p>
      <w:pPr>
        <w:pStyle w:val="56"/>
        <w:tabs>
          <w:tab w:val="left" w:pos="802"/>
        </w:tabs>
        <w:spacing w:line="600" w:lineRule="exact"/>
        <w:ind w:left="0" w:firstLine="0"/>
        <w:rPr>
          <w:rFonts w:ascii="宋体" w:hAnsi="宋体" w:eastAsia="宋体"/>
          <w:color w:val="auto"/>
          <w:highlight w:val="none"/>
        </w:rPr>
      </w:pPr>
      <w:bookmarkStart w:id="142" w:name="_bookmark87"/>
      <w:bookmarkEnd w:id="142"/>
      <w:r>
        <w:rPr>
          <w:rFonts w:hint="eastAsia" w:ascii="宋体" w:hAnsi="宋体" w:eastAsia="宋体"/>
          <w:color w:val="auto"/>
          <w:highlight w:val="none"/>
        </w:rPr>
        <w:t>3.</w:t>
      </w:r>
      <w:r>
        <w:rPr>
          <w:rFonts w:ascii="宋体" w:hAnsi="宋体" w:eastAsia="宋体"/>
          <w:color w:val="auto"/>
          <w:highlight w:val="none"/>
        </w:rPr>
        <w:t>评标程序</w:t>
      </w:r>
    </w:p>
    <w:p>
      <w:pPr>
        <w:pStyle w:val="57"/>
        <w:numPr>
          <w:ilvl w:val="1"/>
          <w:numId w:val="3"/>
        </w:numPr>
        <w:tabs>
          <w:tab w:val="left" w:pos="1027"/>
        </w:tabs>
        <w:spacing w:line="560" w:lineRule="exact"/>
        <w:ind w:left="0" w:firstLine="0"/>
        <w:rPr>
          <w:color w:val="auto"/>
          <w:sz w:val="29"/>
          <w:highlight w:val="none"/>
        </w:rPr>
      </w:pPr>
      <w:bookmarkStart w:id="143" w:name="_bookmark88"/>
      <w:bookmarkEnd w:id="143"/>
      <w:r>
        <w:rPr>
          <w:rFonts w:hint="eastAsia"/>
          <w:b/>
          <w:color w:val="auto"/>
          <w:sz w:val="24"/>
          <w:szCs w:val="24"/>
          <w:highlight w:val="none"/>
        </w:rPr>
        <w:t xml:space="preserve">3.1 </w:t>
      </w:r>
      <w:r>
        <w:rPr>
          <w:b/>
          <w:color w:val="auto"/>
          <w:sz w:val="24"/>
          <w:szCs w:val="24"/>
          <w:highlight w:val="none"/>
        </w:rPr>
        <w:t>初步评审</w:t>
      </w:r>
    </w:p>
    <w:p>
      <w:pPr>
        <w:pStyle w:val="15"/>
        <w:spacing w:line="460" w:lineRule="exact"/>
        <w:ind w:firstLine="480" w:firstLineChars="200"/>
        <w:jc w:val="both"/>
        <w:rPr>
          <w:color w:val="auto"/>
          <w:sz w:val="24"/>
          <w:szCs w:val="24"/>
          <w:highlight w:val="none"/>
        </w:rPr>
      </w:pPr>
      <w:r>
        <w:rPr>
          <w:rFonts w:hint="eastAsia"/>
          <w:color w:val="auto"/>
          <w:sz w:val="24"/>
          <w:szCs w:val="24"/>
          <w:highlight w:val="none"/>
        </w:rPr>
        <w:t xml:space="preserve">3.1.1 </w:t>
      </w:r>
      <w:r>
        <w:rPr>
          <w:color w:val="auto"/>
          <w:sz w:val="24"/>
          <w:szCs w:val="24"/>
          <w:highlight w:val="none"/>
        </w:rPr>
        <w:t>评标委员会可以要求投标人提交第二章“投标人须知”规定的有关证明和证件的原件，以便核验。评标委员会依据本章第2.1 规定的标准对投标文件进行初步评审。有一项不符合评审标准的，评标委员会应当否决其投标。</w:t>
      </w:r>
    </w:p>
    <w:p>
      <w:pPr>
        <w:pStyle w:val="15"/>
        <w:spacing w:line="460" w:lineRule="exact"/>
        <w:ind w:firstLine="480" w:firstLineChars="200"/>
        <w:jc w:val="both"/>
        <w:rPr>
          <w:color w:val="auto"/>
          <w:sz w:val="24"/>
          <w:szCs w:val="24"/>
          <w:highlight w:val="none"/>
        </w:rPr>
      </w:pPr>
      <w:r>
        <w:rPr>
          <w:rFonts w:hint="eastAsia"/>
          <w:color w:val="auto"/>
          <w:sz w:val="24"/>
          <w:szCs w:val="24"/>
          <w:highlight w:val="none"/>
        </w:rPr>
        <w:t xml:space="preserve">3.1.2 </w:t>
      </w:r>
      <w:r>
        <w:rPr>
          <w:color w:val="auto"/>
          <w:sz w:val="24"/>
          <w:szCs w:val="24"/>
          <w:highlight w:val="none"/>
        </w:rPr>
        <w:t>投标人有以下情形之一的，评标委员会应当否决其投标：</w:t>
      </w:r>
    </w:p>
    <w:p>
      <w:pPr>
        <w:pStyle w:val="15"/>
        <w:spacing w:line="460" w:lineRule="exact"/>
        <w:ind w:firstLine="480" w:firstLineChars="200"/>
        <w:jc w:val="both"/>
        <w:rPr>
          <w:color w:val="auto"/>
          <w:sz w:val="24"/>
          <w:szCs w:val="24"/>
          <w:highlight w:val="none"/>
        </w:rPr>
      </w:pPr>
      <w:r>
        <w:rPr>
          <w:color w:val="auto"/>
          <w:sz w:val="24"/>
          <w:szCs w:val="24"/>
          <w:highlight w:val="none"/>
        </w:rPr>
        <w:t>（1）投标文件没有对招标文件的实质性要求和条件作出响应，或者对招标文件的偏差超出招标文件规定的偏差范围或最高项数；</w:t>
      </w:r>
    </w:p>
    <w:p>
      <w:pPr>
        <w:pStyle w:val="15"/>
        <w:spacing w:line="460" w:lineRule="exact"/>
        <w:ind w:firstLine="480" w:firstLineChars="200"/>
        <w:jc w:val="both"/>
        <w:rPr>
          <w:color w:val="auto"/>
          <w:sz w:val="24"/>
          <w:szCs w:val="24"/>
          <w:highlight w:val="none"/>
        </w:rPr>
      </w:pPr>
      <w:r>
        <w:rPr>
          <w:color w:val="auto"/>
          <w:sz w:val="24"/>
          <w:szCs w:val="24"/>
          <w:highlight w:val="none"/>
        </w:rPr>
        <w:t>（2）有串通投标、弄虚作假、行贿等违法行为。</w:t>
      </w:r>
    </w:p>
    <w:p>
      <w:pPr>
        <w:pStyle w:val="15"/>
        <w:spacing w:line="460" w:lineRule="exact"/>
        <w:ind w:firstLine="480" w:firstLineChars="200"/>
        <w:jc w:val="both"/>
        <w:rPr>
          <w:color w:val="auto"/>
          <w:sz w:val="24"/>
          <w:szCs w:val="24"/>
          <w:highlight w:val="none"/>
        </w:rPr>
      </w:pPr>
      <w:r>
        <w:rPr>
          <w:rFonts w:hint="eastAsia"/>
          <w:color w:val="auto"/>
          <w:sz w:val="24"/>
          <w:szCs w:val="24"/>
          <w:highlight w:val="none"/>
        </w:rPr>
        <w:t xml:space="preserve">3.1.3 </w:t>
      </w:r>
      <w:r>
        <w:rPr>
          <w:color w:val="auto"/>
          <w:sz w:val="24"/>
          <w:szCs w:val="24"/>
          <w:highlight w:val="none"/>
        </w:rPr>
        <w:t>投标报价有算术错误及其他错误的，评标委员会按以下原则要求投标人对投标报价进行修正，并要求投标人书面澄清确认。投标人拒不澄清确认的，评标委员会应当否决其投标：</w:t>
      </w:r>
    </w:p>
    <w:p>
      <w:pPr>
        <w:pStyle w:val="15"/>
        <w:spacing w:line="460" w:lineRule="exact"/>
        <w:ind w:firstLine="480" w:firstLineChars="200"/>
        <w:jc w:val="both"/>
        <w:rPr>
          <w:color w:val="auto"/>
          <w:sz w:val="24"/>
          <w:szCs w:val="24"/>
          <w:highlight w:val="none"/>
        </w:rPr>
      </w:pPr>
      <w:r>
        <w:rPr>
          <w:color w:val="auto"/>
          <w:sz w:val="24"/>
          <w:szCs w:val="24"/>
          <w:highlight w:val="none"/>
        </w:rPr>
        <w:t>（1）投标文件中的大写金额与小写金额不一致的，以大写金额为准；</w:t>
      </w:r>
    </w:p>
    <w:p>
      <w:pPr>
        <w:pStyle w:val="15"/>
        <w:spacing w:line="460" w:lineRule="exact"/>
        <w:ind w:firstLine="480" w:firstLineChars="200"/>
        <w:jc w:val="both"/>
        <w:rPr>
          <w:color w:val="auto"/>
          <w:sz w:val="24"/>
          <w:szCs w:val="24"/>
          <w:highlight w:val="none"/>
        </w:rPr>
      </w:pPr>
      <w:r>
        <w:rPr>
          <w:color w:val="auto"/>
          <w:sz w:val="24"/>
          <w:szCs w:val="24"/>
          <w:highlight w:val="none"/>
        </w:rPr>
        <w:t>（2）总价金额与单价金额不一致的，以单价金额为准，但单价金额小数点有明显错误的除外；</w:t>
      </w:r>
    </w:p>
    <w:p>
      <w:pPr>
        <w:pStyle w:val="15"/>
        <w:spacing w:line="460" w:lineRule="exact"/>
        <w:ind w:firstLine="480" w:firstLineChars="200"/>
        <w:jc w:val="both"/>
        <w:rPr>
          <w:color w:val="auto"/>
          <w:sz w:val="24"/>
          <w:szCs w:val="24"/>
          <w:highlight w:val="none"/>
        </w:rPr>
      </w:pPr>
      <w:r>
        <w:rPr>
          <w:color w:val="auto"/>
          <w:sz w:val="24"/>
          <w:szCs w:val="24"/>
          <w:highlight w:val="none"/>
        </w:rPr>
        <w:t>（3）投标报价为各分项报价金额之和，投标报价与分项报价的合价不一致的，应以各分项合价累计数为准，修正投标报价；</w:t>
      </w:r>
    </w:p>
    <w:p>
      <w:pPr>
        <w:pStyle w:val="15"/>
        <w:spacing w:line="460" w:lineRule="exact"/>
        <w:ind w:firstLine="480" w:firstLineChars="200"/>
        <w:jc w:val="both"/>
        <w:rPr>
          <w:color w:val="auto"/>
          <w:highlight w:val="none"/>
        </w:rPr>
      </w:pPr>
      <w:r>
        <w:rPr>
          <w:color w:val="auto"/>
          <w:sz w:val="24"/>
          <w:szCs w:val="24"/>
          <w:highlight w:val="none"/>
        </w:rPr>
        <w:t>（4）如果分项报价中存在缺漏项，则视为缺漏项价格已包含在其他分项报价之中。</w:t>
      </w:r>
    </w:p>
    <w:p>
      <w:pPr>
        <w:pStyle w:val="57"/>
        <w:numPr>
          <w:ilvl w:val="1"/>
          <w:numId w:val="3"/>
        </w:numPr>
        <w:tabs>
          <w:tab w:val="left" w:pos="1027"/>
        </w:tabs>
        <w:spacing w:line="560" w:lineRule="exact"/>
        <w:ind w:left="0" w:firstLine="0"/>
        <w:rPr>
          <w:b/>
          <w:color w:val="auto"/>
          <w:sz w:val="24"/>
          <w:szCs w:val="24"/>
          <w:highlight w:val="none"/>
        </w:rPr>
      </w:pPr>
      <w:bookmarkStart w:id="144" w:name="_bookmark89"/>
      <w:bookmarkEnd w:id="144"/>
      <w:r>
        <w:rPr>
          <w:rFonts w:hint="eastAsia"/>
          <w:b/>
          <w:color w:val="auto"/>
          <w:sz w:val="24"/>
          <w:szCs w:val="24"/>
          <w:highlight w:val="none"/>
        </w:rPr>
        <w:t xml:space="preserve">3.2 </w:t>
      </w:r>
      <w:r>
        <w:rPr>
          <w:b/>
          <w:color w:val="auto"/>
          <w:sz w:val="24"/>
          <w:szCs w:val="24"/>
          <w:highlight w:val="none"/>
        </w:rPr>
        <w:t>详细评审</w:t>
      </w:r>
    </w:p>
    <w:p>
      <w:pPr>
        <w:pStyle w:val="15"/>
        <w:spacing w:line="460" w:lineRule="exact"/>
        <w:ind w:firstLine="480" w:firstLineChars="200"/>
        <w:jc w:val="both"/>
        <w:rPr>
          <w:color w:val="auto"/>
          <w:sz w:val="24"/>
          <w:szCs w:val="24"/>
          <w:highlight w:val="none"/>
        </w:rPr>
      </w:pPr>
      <w:r>
        <w:rPr>
          <w:rFonts w:hint="eastAsia"/>
          <w:color w:val="auto"/>
          <w:sz w:val="24"/>
          <w:szCs w:val="24"/>
          <w:highlight w:val="none"/>
        </w:rPr>
        <w:t xml:space="preserve">3.2.1 </w:t>
      </w:r>
      <w:r>
        <w:rPr>
          <w:color w:val="auto"/>
          <w:sz w:val="24"/>
          <w:szCs w:val="24"/>
          <w:highlight w:val="none"/>
        </w:rPr>
        <w:t>评标委员会按本章第2.2款规定的量化因素和分值进行打分，并计算出综合评估得分。</w:t>
      </w:r>
    </w:p>
    <w:p>
      <w:pPr>
        <w:pStyle w:val="15"/>
        <w:spacing w:line="460" w:lineRule="exact"/>
        <w:ind w:firstLine="480" w:firstLineChars="200"/>
        <w:jc w:val="both"/>
        <w:rPr>
          <w:color w:val="auto"/>
          <w:sz w:val="24"/>
          <w:szCs w:val="24"/>
          <w:highlight w:val="none"/>
        </w:rPr>
      </w:pPr>
      <w:r>
        <w:rPr>
          <w:color w:val="auto"/>
          <w:sz w:val="24"/>
          <w:szCs w:val="24"/>
          <w:highlight w:val="none"/>
        </w:rPr>
        <w:t>（1）按本章第 2.2.4（1）目规定的评审因素和分值对商务部分计算出得分A；</w:t>
      </w:r>
    </w:p>
    <w:p>
      <w:pPr>
        <w:pStyle w:val="15"/>
        <w:spacing w:line="460" w:lineRule="exact"/>
        <w:ind w:firstLine="480" w:firstLineChars="200"/>
        <w:jc w:val="both"/>
        <w:rPr>
          <w:color w:val="auto"/>
          <w:sz w:val="24"/>
          <w:szCs w:val="24"/>
          <w:highlight w:val="none"/>
        </w:rPr>
      </w:pPr>
      <w:r>
        <w:rPr>
          <w:color w:val="auto"/>
          <w:sz w:val="24"/>
          <w:szCs w:val="24"/>
          <w:highlight w:val="none"/>
        </w:rPr>
        <w:t>（2）按本章第 2.2.4（2）目规定的评审因素和分值对技术部分计算出得分B；</w:t>
      </w:r>
    </w:p>
    <w:p>
      <w:pPr>
        <w:pStyle w:val="15"/>
        <w:spacing w:line="460" w:lineRule="exact"/>
        <w:ind w:firstLine="480" w:firstLineChars="200"/>
        <w:jc w:val="both"/>
        <w:rPr>
          <w:color w:val="auto"/>
          <w:sz w:val="24"/>
          <w:szCs w:val="24"/>
          <w:highlight w:val="none"/>
        </w:rPr>
      </w:pPr>
      <w:r>
        <w:rPr>
          <w:color w:val="auto"/>
          <w:sz w:val="24"/>
          <w:szCs w:val="24"/>
          <w:highlight w:val="none"/>
        </w:rPr>
        <w:t>（3）按本章第 2.2.4（3）目规定的评审因素和分值对投标报价计算出得分C；</w:t>
      </w:r>
    </w:p>
    <w:p>
      <w:pPr>
        <w:pStyle w:val="15"/>
        <w:spacing w:line="460" w:lineRule="exact"/>
        <w:ind w:firstLine="480" w:firstLineChars="200"/>
        <w:jc w:val="both"/>
        <w:rPr>
          <w:color w:val="auto"/>
          <w:sz w:val="24"/>
          <w:szCs w:val="24"/>
          <w:highlight w:val="none"/>
        </w:rPr>
      </w:pPr>
      <w:r>
        <w:rPr>
          <w:color w:val="auto"/>
          <w:sz w:val="24"/>
          <w:szCs w:val="24"/>
          <w:highlight w:val="none"/>
        </w:rPr>
        <w:t>（4）按本章第 2.2.4（4）目规定的评审因素和分值对其他部分计算出得分D</w:t>
      </w:r>
      <w:r>
        <w:rPr>
          <w:rFonts w:hint="eastAsia"/>
          <w:color w:val="auto"/>
          <w:sz w:val="24"/>
          <w:szCs w:val="24"/>
          <w:highlight w:val="none"/>
        </w:rPr>
        <w:t>（无此部分评审则不加）</w:t>
      </w:r>
      <w:r>
        <w:rPr>
          <w:color w:val="auto"/>
          <w:sz w:val="24"/>
          <w:szCs w:val="24"/>
          <w:highlight w:val="none"/>
        </w:rPr>
        <w:t>。</w:t>
      </w:r>
    </w:p>
    <w:p>
      <w:pPr>
        <w:pStyle w:val="15"/>
        <w:spacing w:line="460" w:lineRule="exact"/>
        <w:ind w:firstLine="480" w:firstLineChars="200"/>
        <w:jc w:val="both"/>
        <w:rPr>
          <w:color w:val="auto"/>
          <w:sz w:val="24"/>
          <w:szCs w:val="24"/>
          <w:highlight w:val="none"/>
        </w:rPr>
      </w:pPr>
      <w:r>
        <w:rPr>
          <w:rFonts w:hint="eastAsia"/>
          <w:color w:val="auto"/>
          <w:sz w:val="24"/>
          <w:szCs w:val="24"/>
          <w:highlight w:val="none"/>
        </w:rPr>
        <w:t>3.2.2</w:t>
      </w:r>
      <w:r>
        <w:rPr>
          <w:color w:val="auto"/>
          <w:sz w:val="24"/>
          <w:szCs w:val="24"/>
          <w:highlight w:val="none"/>
        </w:rPr>
        <w:t>评分分值计算保留小数点后两位，小数点后第三位“四舍五入”。</w:t>
      </w:r>
    </w:p>
    <w:p>
      <w:pPr>
        <w:pStyle w:val="15"/>
        <w:spacing w:line="460" w:lineRule="exact"/>
        <w:ind w:firstLine="480" w:firstLineChars="200"/>
        <w:jc w:val="both"/>
        <w:rPr>
          <w:color w:val="auto"/>
          <w:sz w:val="24"/>
          <w:szCs w:val="24"/>
          <w:highlight w:val="none"/>
        </w:rPr>
      </w:pPr>
      <w:r>
        <w:rPr>
          <w:rFonts w:hint="eastAsia"/>
          <w:color w:val="auto"/>
          <w:sz w:val="24"/>
          <w:szCs w:val="24"/>
          <w:highlight w:val="none"/>
        </w:rPr>
        <w:t>3.2.3</w:t>
      </w:r>
      <w:r>
        <w:rPr>
          <w:color w:val="auto"/>
          <w:sz w:val="24"/>
          <w:szCs w:val="24"/>
          <w:highlight w:val="none"/>
        </w:rPr>
        <w:t>投标人得分=A+B+C+D</w:t>
      </w:r>
      <w:r>
        <w:rPr>
          <w:rFonts w:hint="eastAsia"/>
          <w:color w:val="auto"/>
          <w:sz w:val="24"/>
          <w:szCs w:val="24"/>
          <w:highlight w:val="none"/>
        </w:rPr>
        <w:t>（无此部分评审则不加）</w:t>
      </w:r>
      <w:r>
        <w:rPr>
          <w:color w:val="auto"/>
          <w:sz w:val="24"/>
          <w:szCs w:val="24"/>
          <w:highlight w:val="none"/>
        </w:rPr>
        <w:t>。</w:t>
      </w:r>
    </w:p>
    <w:p>
      <w:pPr>
        <w:pStyle w:val="15"/>
        <w:spacing w:line="460" w:lineRule="exact"/>
        <w:ind w:firstLine="480" w:firstLineChars="200"/>
        <w:jc w:val="both"/>
        <w:rPr>
          <w:color w:val="auto"/>
          <w:highlight w:val="none"/>
        </w:rPr>
      </w:pPr>
      <w:r>
        <w:rPr>
          <w:rFonts w:hint="eastAsia"/>
          <w:color w:val="auto"/>
          <w:sz w:val="24"/>
          <w:szCs w:val="24"/>
          <w:highlight w:val="none"/>
        </w:rPr>
        <w:t>3.2.4</w:t>
      </w:r>
      <w:r>
        <w:rPr>
          <w:color w:val="auto"/>
          <w:sz w:val="24"/>
          <w:szCs w:val="24"/>
          <w:highlight w:val="none"/>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bookmarkStart w:id="145" w:name="_bookmark90"/>
      <w:bookmarkEnd w:id="145"/>
    </w:p>
    <w:p>
      <w:pPr>
        <w:pStyle w:val="57"/>
        <w:numPr>
          <w:ilvl w:val="1"/>
          <w:numId w:val="3"/>
        </w:numPr>
        <w:tabs>
          <w:tab w:val="left" w:pos="1027"/>
        </w:tabs>
        <w:spacing w:line="560" w:lineRule="exact"/>
        <w:ind w:left="0" w:firstLine="0"/>
        <w:rPr>
          <w:b/>
          <w:color w:val="auto"/>
          <w:sz w:val="24"/>
          <w:szCs w:val="24"/>
          <w:highlight w:val="none"/>
        </w:rPr>
      </w:pPr>
      <w:r>
        <w:rPr>
          <w:rFonts w:hint="eastAsia"/>
          <w:b/>
          <w:color w:val="auto"/>
          <w:sz w:val="24"/>
          <w:szCs w:val="24"/>
          <w:highlight w:val="none"/>
        </w:rPr>
        <w:t xml:space="preserve">3.3 </w:t>
      </w:r>
      <w:r>
        <w:rPr>
          <w:b/>
          <w:color w:val="auto"/>
          <w:sz w:val="24"/>
          <w:szCs w:val="24"/>
          <w:highlight w:val="none"/>
        </w:rPr>
        <w:t>投标文件的澄清</w:t>
      </w:r>
    </w:p>
    <w:p>
      <w:pPr>
        <w:pStyle w:val="15"/>
        <w:spacing w:line="460" w:lineRule="exact"/>
        <w:ind w:firstLine="480" w:firstLineChars="200"/>
        <w:jc w:val="both"/>
        <w:rPr>
          <w:color w:val="auto"/>
          <w:sz w:val="24"/>
          <w:szCs w:val="24"/>
          <w:highlight w:val="none"/>
        </w:rPr>
      </w:pPr>
      <w:r>
        <w:rPr>
          <w:rFonts w:hint="eastAsia"/>
          <w:color w:val="auto"/>
          <w:sz w:val="24"/>
          <w:szCs w:val="24"/>
          <w:highlight w:val="none"/>
        </w:rPr>
        <w:t xml:space="preserve">3.3.1 </w:t>
      </w:r>
      <w:r>
        <w:rPr>
          <w:color w:val="auto"/>
          <w:sz w:val="24"/>
          <w:szCs w:val="24"/>
          <w:highlight w:val="none"/>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15"/>
        <w:spacing w:line="460" w:lineRule="exact"/>
        <w:ind w:firstLine="480" w:firstLineChars="200"/>
        <w:jc w:val="both"/>
        <w:rPr>
          <w:color w:val="auto"/>
          <w:sz w:val="24"/>
          <w:szCs w:val="24"/>
          <w:highlight w:val="none"/>
        </w:rPr>
      </w:pPr>
      <w:r>
        <w:rPr>
          <w:rFonts w:hint="eastAsia"/>
          <w:color w:val="auto"/>
          <w:sz w:val="24"/>
          <w:szCs w:val="24"/>
          <w:highlight w:val="none"/>
        </w:rPr>
        <w:t xml:space="preserve">3.3.2 </w:t>
      </w:r>
      <w:r>
        <w:rPr>
          <w:color w:val="auto"/>
          <w:sz w:val="24"/>
          <w:szCs w:val="24"/>
          <w:highlight w:val="none"/>
        </w:rPr>
        <w:t>澄清、说明或补正不得超出投标文件的范围且不得改变投标文件的实质性内容，并构成投标文件的组成部分。</w:t>
      </w:r>
    </w:p>
    <w:p>
      <w:pPr>
        <w:pStyle w:val="15"/>
        <w:spacing w:line="460" w:lineRule="exact"/>
        <w:ind w:firstLine="480" w:firstLineChars="200"/>
        <w:jc w:val="both"/>
        <w:rPr>
          <w:color w:val="auto"/>
          <w:highlight w:val="none"/>
        </w:rPr>
      </w:pPr>
      <w:r>
        <w:rPr>
          <w:rFonts w:hint="eastAsia"/>
          <w:color w:val="auto"/>
          <w:sz w:val="24"/>
          <w:szCs w:val="24"/>
          <w:highlight w:val="none"/>
        </w:rPr>
        <w:t xml:space="preserve">3.3.3 </w:t>
      </w:r>
      <w:r>
        <w:rPr>
          <w:color w:val="auto"/>
          <w:sz w:val="24"/>
          <w:szCs w:val="24"/>
          <w:highlight w:val="none"/>
        </w:rPr>
        <w:t>评标委员会对投标人提交的澄清、说明或补正有疑问的，可以要求投标人进一步澄清、说明或补正，直至满足评标委员会的要求。</w:t>
      </w:r>
    </w:p>
    <w:p>
      <w:pPr>
        <w:pStyle w:val="57"/>
        <w:numPr>
          <w:ilvl w:val="1"/>
          <w:numId w:val="3"/>
        </w:numPr>
        <w:tabs>
          <w:tab w:val="left" w:pos="1027"/>
        </w:tabs>
        <w:spacing w:line="560" w:lineRule="exact"/>
        <w:ind w:left="0" w:firstLine="0"/>
        <w:rPr>
          <w:b/>
          <w:color w:val="auto"/>
          <w:sz w:val="24"/>
          <w:szCs w:val="24"/>
          <w:highlight w:val="none"/>
        </w:rPr>
      </w:pPr>
      <w:bookmarkStart w:id="146" w:name="_bookmark91"/>
      <w:bookmarkEnd w:id="146"/>
      <w:r>
        <w:rPr>
          <w:rFonts w:hint="eastAsia"/>
          <w:b/>
          <w:color w:val="auto"/>
          <w:sz w:val="24"/>
          <w:szCs w:val="24"/>
          <w:highlight w:val="none"/>
        </w:rPr>
        <w:t xml:space="preserve">3.4 </w:t>
      </w:r>
      <w:r>
        <w:rPr>
          <w:b/>
          <w:color w:val="auto"/>
          <w:sz w:val="24"/>
          <w:szCs w:val="24"/>
          <w:highlight w:val="none"/>
        </w:rPr>
        <w:t>评标结果</w:t>
      </w:r>
    </w:p>
    <w:p>
      <w:pPr>
        <w:pStyle w:val="15"/>
        <w:spacing w:line="460" w:lineRule="exact"/>
        <w:ind w:firstLine="480" w:firstLineChars="200"/>
        <w:jc w:val="both"/>
        <w:rPr>
          <w:color w:val="auto"/>
          <w:sz w:val="24"/>
          <w:szCs w:val="24"/>
          <w:highlight w:val="none"/>
        </w:rPr>
      </w:pPr>
      <w:r>
        <w:rPr>
          <w:rFonts w:hint="eastAsia"/>
          <w:color w:val="auto"/>
          <w:sz w:val="24"/>
          <w:szCs w:val="24"/>
          <w:highlight w:val="none"/>
        </w:rPr>
        <w:t xml:space="preserve">3.4.1 </w:t>
      </w:r>
      <w:r>
        <w:rPr>
          <w:color w:val="auto"/>
          <w:sz w:val="24"/>
          <w:szCs w:val="24"/>
          <w:highlight w:val="none"/>
        </w:rPr>
        <w:t>除第二章“投标人须知”前附表授权直接确定中标人外，评标委员会按照得分由高到低的顺序推荐中标候选人，并标明排序。</w:t>
      </w:r>
    </w:p>
    <w:p>
      <w:pPr>
        <w:pStyle w:val="15"/>
        <w:spacing w:line="460" w:lineRule="exact"/>
        <w:ind w:firstLine="480" w:firstLineChars="200"/>
        <w:jc w:val="both"/>
        <w:rPr>
          <w:color w:val="auto"/>
          <w:highlight w:val="none"/>
        </w:rPr>
        <w:sectPr>
          <w:type w:val="continuous"/>
          <w:pgSz w:w="11907" w:h="16839"/>
          <w:pgMar w:top="1134" w:right="1533" w:bottom="1134" w:left="1531" w:header="0" w:footer="841" w:gutter="0"/>
          <w:pgNumType w:fmt="decimal"/>
          <w:cols w:space="720" w:num="1"/>
          <w:docGrid w:linePitch="299" w:charSpace="0"/>
        </w:sectPr>
      </w:pPr>
      <w:r>
        <w:rPr>
          <w:rFonts w:hint="eastAsia"/>
          <w:color w:val="auto"/>
          <w:sz w:val="24"/>
          <w:szCs w:val="24"/>
          <w:highlight w:val="none"/>
        </w:rPr>
        <w:t xml:space="preserve">3.4.2 </w:t>
      </w:r>
      <w:r>
        <w:rPr>
          <w:color w:val="auto"/>
          <w:sz w:val="24"/>
          <w:szCs w:val="24"/>
          <w:highlight w:val="none"/>
        </w:rPr>
        <w:t>评标委员会完成评标后，应当向招标人提交书面评标报告和中标候选人名单。</w:t>
      </w:r>
    </w:p>
    <w:p>
      <w:pPr>
        <w:pStyle w:val="55"/>
        <w:spacing w:line="675" w:lineRule="exact"/>
        <w:jc w:val="center"/>
        <w:outlineLvl w:val="0"/>
        <w:rPr>
          <w:rFonts w:ascii="宋体" w:hAnsi="宋体" w:eastAsia="宋体"/>
          <w:color w:val="auto"/>
          <w:highlight w:val="none"/>
        </w:rPr>
        <w:sectPr>
          <w:headerReference r:id="rId8" w:type="default"/>
          <w:footerReference r:id="rId9" w:type="even"/>
          <w:footnotePr>
            <w:numRestart w:val="eachPage"/>
          </w:footnotePr>
          <w:type w:val="continuous"/>
          <w:pgSz w:w="11907" w:h="16839"/>
          <w:pgMar w:top="1418" w:right="1286" w:bottom="1418" w:left="1440" w:header="851" w:footer="851" w:gutter="0"/>
          <w:pgNumType w:fmt="decimal" w:chapStyle="1"/>
          <w:cols w:space="720" w:num="1"/>
          <w:docGrid w:type="lines" w:linePitch="312" w:charSpace="0"/>
        </w:sectPr>
      </w:pPr>
      <w:bookmarkStart w:id="147" w:name="_Toc17894"/>
      <w:bookmarkStart w:id="148" w:name="_Toc116892714"/>
    </w:p>
    <w:p>
      <w:pPr>
        <w:pStyle w:val="55"/>
        <w:spacing w:line="675" w:lineRule="exact"/>
        <w:jc w:val="center"/>
        <w:outlineLvl w:val="0"/>
        <w:rPr>
          <w:rFonts w:ascii="宋体" w:hAnsi="宋体" w:eastAsia="宋体"/>
          <w:color w:val="auto"/>
          <w:highlight w:val="none"/>
        </w:rPr>
      </w:pPr>
    </w:p>
    <w:p>
      <w:pPr>
        <w:pStyle w:val="55"/>
        <w:spacing w:line="675" w:lineRule="exact"/>
        <w:jc w:val="center"/>
        <w:outlineLvl w:val="0"/>
        <w:rPr>
          <w:rFonts w:ascii="宋体" w:hAnsi="宋体" w:eastAsia="宋体"/>
          <w:color w:val="auto"/>
          <w:highlight w:val="none"/>
        </w:rPr>
      </w:pPr>
    </w:p>
    <w:p>
      <w:pPr>
        <w:pStyle w:val="55"/>
        <w:spacing w:line="675" w:lineRule="exact"/>
        <w:jc w:val="center"/>
        <w:outlineLvl w:val="0"/>
        <w:rPr>
          <w:rFonts w:ascii="宋体" w:hAnsi="宋体" w:eastAsia="宋体"/>
          <w:color w:val="auto"/>
          <w:highlight w:val="none"/>
        </w:rPr>
      </w:pPr>
    </w:p>
    <w:p>
      <w:pPr>
        <w:pStyle w:val="55"/>
        <w:spacing w:line="675" w:lineRule="exact"/>
        <w:jc w:val="center"/>
        <w:outlineLvl w:val="0"/>
        <w:rPr>
          <w:rFonts w:ascii="宋体" w:hAnsi="宋体" w:eastAsia="宋体"/>
          <w:color w:val="auto"/>
          <w:highlight w:val="none"/>
          <w:lang w:val="en-US"/>
        </w:rPr>
      </w:pPr>
      <w:bookmarkStart w:id="149" w:name="_Toc16671"/>
      <w:bookmarkStart w:id="150" w:name="_Toc11911"/>
      <w:r>
        <w:rPr>
          <w:rFonts w:ascii="宋体" w:hAnsi="宋体" w:eastAsia="宋体"/>
          <w:color w:val="auto"/>
          <w:highlight w:val="none"/>
        </w:rPr>
        <w:t>第四章合同条款及</w:t>
      </w:r>
      <w:r>
        <w:rPr>
          <w:rFonts w:hint="eastAsia" w:ascii="宋体" w:hAnsi="宋体" w:eastAsia="宋体"/>
          <w:color w:val="auto"/>
          <w:highlight w:val="none"/>
          <w:lang w:val="en-US"/>
        </w:rPr>
        <w:t>格式</w:t>
      </w:r>
      <w:bookmarkEnd w:id="147"/>
      <w:bookmarkEnd w:id="148"/>
      <w:bookmarkEnd w:id="149"/>
      <w:bookmarkEnd w:id="150"/>
    </w:p>
    <w:p>
      <w:pPr>
        <w:autoSpaceDE/>
        <w:autoSpaceDN/>
        <w:spacing w:line="360" w:lineRule="auto"/>
        <w:rPr>
          <w:rFonts w:ascii="楷体_GB2312" w:hAnsi="华文楷体" w:eastAsia="楷体_GB2312"/>
          <w:color w:val="auto"/>
          <w:sz w:val="32"/>
          <w:szCs w:val="32"/>
          <w:highlight w:val="none"/>
        </w:rPr>
      </w:pPr>
    </w:p>
    <w:p>
      <w:pPr>
        <w:rPr>
          <w:color w:val="auto"/>
          <w:highlight w:val="none"/>
        </w:rPr>
      </w:pPr>
    </w:p>
    <w:p>
      <w:pP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spacing w:line="360" w:lineRule="auto"/>
        <w:ind w:firstLine="883" w:firstLineChars="200"/>
        <w:jc w:val="center"/>
        <w:rPr>
          <w:b/>
          <w:bCs/>
          <w:color w:val="auto"/>
          <w:sz w:val="44"/>
          <w:szCs w:val="44"/>
          <w:highlight w:val="none"/>
        </w:rPr>
      </w:pPr>
      <w:r>
        <w:rPr>
          <w:rFonts w:hint="eastAsia"/>
          <w:b/>
          <w:bCs/>
          <w:color w:val="auto"/>
          <w:sz w:val="44"/>
          <w:szCs w:val="44"/>
          <w:highlight w:val="none"/>
        </w:rPr>
        <w:t>设备采购合同</w:t>
      </w:r>
    </w:p>
    <w:p>
      <w:pPr>
        <w:spacing w:line="360" w:lineRule="auto"/>
        <w:ind w:firstLine="480" w:firstLineChars="200"/>
        <w:rPr>
          <w:rFonts w:ascii="华文仿宋" w:hAnsi="华文仿宋" w:eastAsia="华文仿宋"/>
          <w:color w:val="auto"/>
          <w:sz w:val="24"/>
          <w:highlight w:val="none"/>
        </w:rPr>
      </w:pPr>
    </w:p>
    <w:p>
      <w:pPr>
        <w:pStyle w:val="2"/>
        <w:ind w:firstLine="0" w:firstLineChars="0"/>
        <w:rPr>
          <w:rFonts w:ascii="华文仿宋" w:hAnsi="华文仿宋" w:eastAsia="华文仿宋"/>
          <w:color w:val="auto"/>
          <w:highlight w:val="none"/>
        </w:rPr>
      </w:pPr>
    </w:p>
    <w:p>
      <w:pPr>
        <w:pStyle w:val="2"/>
        <w:rPr>
          <w:rFonts w:ascii="华文仿宋" w:hAnsi="华文仿宋" w:eastAsia="华文仿宋"/>
          <w:color w:val="auto"/>
          <w:highlight w:val="none"/>
        </w:rPr>
      </w:pPr>
    </w:p>
    <w:p>
      <w:pPr>
        <w:pStyle w:val="2"/>
        <w:rPr>
          <w:rFonts w:ascii="华文仿宋" w:hAnsi="华文仿宋" w:eastAsia="华文仿宋"/>
          <w:color w:val="auto"/>
          <w:highlight w:val="none"/>
        </w:rPr>
      </w:pPr>
    </w:p>
    <w:p>
      <w:pPr>
        <w:pStyle w:val="2"/>
        <w:rPr>
          <w:rFonts w:ascii="华文仿宋" w:hAnsi="华文仿宋" w:eastAsia="华文仿宋"/>
          <w:color w:val="auto"/>
          <w:highlight w:val="none"/>
        </w:rPr>
      </w:pPr>
    </w:p>
    <w:p>
      <w:pPr>
        <w:pStyle w:val="2"/>
        <w:rPr>
          <w:rFonts w:ascii="华文仿宋" w:hAnsi="华文仿宋" w:eastAsia="华文仿宋"/>
          <w:color w:val="auto"/>
          <w:highlight w:val="none"/>
        </w:rPr>
      </w:pPr>
    </w:p>
    <w:p>
      <w:pPr>
        <w:rPr>
          <w:color w:val="auto"/>
          <w:highlight w:val="none"/>
        </w:rPr>
      </w:pPr>
    </w:p>
    <w:p>
      <w:pPr>
        <w:pStyle w:val="2"/>
        <w:rPr>
          <w:rFonts w:ascii="华文仿宋" w:hAnsi="华文仿宋" w:eastAsia="华文仿宋"/>
          <w:color w:val="auto"/>
          <w:highlight w:val="none"/>
        </w:rPr>
      </w:pPr>
    </w:p>
    <w:p>
      <w:pPr>
        <w:pStyle w:val="2"/>
        <w:rPr>
          <w:rFonts w:ascii="华文仿宋" w:hAnsi="华文仿宋" w:eastAsia="华文仿宋"/>
          <w:color w:val="auto"/>
          <w:highlight w:val="none"/>
        </w:rPr>
      </w:pPr>
    </w:p>
    <w:p>
      <w:pPr>
        <w:pStyle w:val="96"/>
        <w:spacing w:line="480" w:lineRule="auto"/>
        <w:ind w:left="37" w:firstLine="1285" w:firstLineChars="400"/>
        <w:rPr>
          <w:rFonts w:ascii="宋体" w:hAnsi="宋体"/>
          <w:b/>
          <w:color w:val="auto"/>
          <w:sz w:val="32"/>
          <w:szCs w:val="32"/>
          <w:highlight w:val="none"/>
          <w:u w:val="single"/>
        </w:rPr>
      </w:pPr>
      <w:r>
        <w:rPr>
          <w:rFonts w:hint="eastAsia" w:ascii="宋体" w:hAnsi="宋体"/>
          <w:b/>
          <w:color w:val="auto"/>
          <w:sz w:val="32"/>
          <w:szCs w:val="32"/>
          <w:highlight w:val="none"/>
        </w:rPr>
        <w:t xml:space="preserve">项目名称： </w:t>
      </w:r>
    </w:p>
    <w:p>
      <w:pPr>
        <w:spacing w:line="480" w:lineRule="auto"/>
        <w:ind w:firstLine="1285" w:firstLineChars="400"/>
        <w:rPr>
          <w:b/>
          <w:bCs/>
          <w:color w:val="auto"/>
          <w:sz w:val="32"/>
          <w:szCs w:val="32"/>
          <w:highlight w:val="none"/>
          <w:u w:val="single"/>
        </w:rPr>
      </w:pPr>
      <w:r>
        <w:rPr>
          <w:rFonts w:hint="eastAsia"/>
          <w:b/>
          <w:color w:val="auto"/>
          <w:sz w:val="32"/>
          <w:szCs w:val="32"/>
          <w:highlight w:val="none"/>
        </w:rPr>
        <w:t>甲   方：</w:t>
      </w:r>
    </w:p>
    <w:p>
      <w:pPr>
        <w:spacing w:line="480" w:lineRule="auto"/>
        <w:ind w:firstLine="1285" w:firstLineChars="400"/>
        <w:rPr>
          <w:b/>
          <w:color w:val="auto"/>
          <w:sz w:val="32"/>
          <w:szCs w:val="32"/>
          <w:highlight w:val="none"/>
          <w:u w:val="single"/>
        </w:rPr>
      </w:pPr>
      <w:r>
        <w:rPr>
          <w:rFonts w:hint="eastAsia"/>
          <w:b/>
          <w:color w:val="auto"/>
          <w:sz w:val="32"/>
          <w:szCs w:val="32"/>
          <w:highlight w:val="none"/>
        </w:rPr>
        <w:t>乙   方：</w:t>
      </w:r>
    </w:p>
    <w:p>
      <w:pPr>
        <w:spacing w:line="360" w:lineRule="auto"/>
        <w:ind w:firstLine="1285" w:firstLineChars="400"/>
        <w:rPr>
          <w:b/>
          <w:color w:val="auto"/>
          <w:sz w:val="32"/>
          <w:szCs w:val="32"/>
          <w:highlight w:val="none"/>
          <w:u w:val="single"/>
        </w:rPr>
      </w:pPr>
      <w:r>
        <w:rPr>
          <w:rFonts w:hint="eastAsia"/>
          <w:b/>
          <w:color w:val="auto"/>
          <w:sz w:val="32"/>
          <w:szCs w:val="32"/>
          <w:highlight w:val="none"/>
        </w:rPr>
        <w:t>签订地点</w:t>
      </w:r>
      <w:r>
        <w:rPr>
          <w:b/>
          <w:color w:val="auto"/>
          <w:sz w:val="32"/>
          <w:szCs w:val="32"/>
          <w:highlight w:val="none"/>
        </w:rPr>
        <w:t>：</w:t>
      </w:r>
      <w:r>
        <w:rPr>
          <w:rFonts w:hint="eastAsia"/>
          <w:b/>
          <w:color w:val="auto"/>
          <w:sz w:val="32"/>
          <w:szCs w:val="32"/>
          <w:highlight w:val="none"/>
          <w:u w:val="single"/>
        </w:rPr>
        <w:t>三亚崖州湾科技城</w:t>
      </w:r>
    </w:p>
    <w:p>
      <w:pPr>
        <w:spacing w:line="360" w:lineRule="auto"/>
        <w:ind w:firstLine="1285" w:firstLineChars="400"/>
        <w:rPr>
          <w:b/>
          <w:bCs/>
          <w:color w:val="auto"/>
          <w:sz w:val="32"/>
          <w:szCs w:val="32"/>
          <w:highlight w:val="none"/>
        </w:rPr>
      </w:pPr>
      <w:r>
        <w:rPr>
          <w:rFonts w:hint="eastAsia"/>
          <w:b/>
          <w:color w:val="auto"/>
          <w:sz w:val="32"/>
          <w:szCs w:val="32"/>
          <w:highlight w:val="none"/>
        </w:rPr>
        <w:t>签订日期：     年    月    日</w:t>
      </w:r>
    </w:p>
    <w:p>
      <w:pPr>
        <w:spacing w:line="360" w:lineRule="auto"/>
        <w:ind w:firstLine="641" w:firstLineChars="200"/>
        <w:jc w:val="center"/>
        <w:rPr>
          <w:rFonts w:ascii="华文仿宋" w:hAnsi="华文仿宋" w:eastAsia="华文仿宋"/>
          <w:b/>
          <w:bCs/>
          <w:color w:val="auto"/>
          <w:sz w:val="32"/>
          <w:szCs w:val="32"/>
          <w:highlight w:val="none"/>
        </w:rPr>
        <w:sectPr>
          <w:headerReference r:id="rId10" w:type="default"/>
          <w:footerReference r:id="rId11" w:type="default"/>
          <w:type w:val="continuous"/>
          <w:pgSz w:w="11906" w:h="16838"/>
          <w:pgMar w:top="1440" w:right="1080" w:bottom="1440" w:left="1080" w:header="851" w:footer="992" w:gutter="0"/>
          <w:pgNumType w:fmt="decimal"/>
          <w:cols w:space="720" w:num="1"/>
          <w:docGrid w:type="lines" w:linePitch="312" w:charSpace="0"/>
        </w:sectPr>
      </w:pPr>
    </w:p>
    <w:p>
      <w:pPr>
        <w:spacing w:line="360" w:lineRule="auto"/>
        <w:ind w:firstLine="643" w:firstLineChars="200"/>
        <w:jc w:val="center"/>
        <w:rPr>
          <w:b/>
          <w:bCs/>
          <w:color w:val="auto"/>
          <w:sz w:val="32"/>
          <w:szCs w:val="32"/>
          <w:highlight w:val="none"/>
        </w:rPr>
      </w:pPr>
      <w:r>
        <w:rPr>
          <w:rFonts w:hint="eastAsia"/>
          <w:b/>
          <w:bCs/>
          <w:color w:val="auto"/>
          <w:sz w:val="32"/>
          <w:szCs w:val="32"/>
          <w:highlight w:val="none"/>
        </w:rPr>
        <w:t>设备采购合同</w:t>
      </w:r>
    </w:p>
    <w:p>
      <w:pPr>
        <w:autoSpaceDE/>
        <w:autoSpaceDN/>
        <w:spacing w:line="360" w:lineRule="auto"/>
        <w:rPr>
          <w:color w:val="auto"/>
          <w:sz w:val="24"/>
          <w:szCs w:val="24"/>
          <w:highlight w:val="none"/>
        </w:rPr>
      </w:pPr>
      <w:r>
        <w:rPr>
          <w:rFonts w:hint="eastAsia"/>
          <w:color w:val="auto"/>
          <w:sz w:val="24"/>
          <w:szCs w:val="24"/>
          <w:highlight w:val="none"/>
          <w:lang w:val="en-US"/>
        </w:rPr>
        <w:t>甲</w:t>
      </w:r>
      <w:r>
        <w:rPr>
          <w:rFonts w:hint="eastAsia"/>
          <w:color w:val="auto"/>
          <w:sz w:val="24"/>
          <w:szCs w:val="24"/>
          <w:highlight w:val="none"/>
        </w:rPr>
        <w:t>方：</w:t>
      </w:r>
    </w:p>
    <w:p>
      <w:pPr>
        <w:pStyle w:val="2"/>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统一社会信用代码：</w:t>
      </w:r>
    </w:p>
    <w:p>
      <w:pPr>
        <w:autoSpaceDE/>
        <w:autoSpaceDN/>
        <w:spacing w:line="360" w:lineRule="auto"/>
        <w:rPr>
          <w:color w:val="auto"/>
          <w:sz w:val="24"/>
          <w:szCs w:val="24"/>
          <w:highlight w:val="none"/>
        </w:rPr>
      </w:pPr>
      <w:r>
        <w:rPr>
          <w:rFonts w:hint="eastAsia"/>
          <w:color w:val="auto"/>
          <w:sz w:val="24"/>
          <w:szCs w:val="24"/>
          <w:highlight w:val="none"/>
        </w:rPr>
        <w:t>法定代表人：</w:t>
      </w:r>
    </w:p>
    <w:p>
      <w:pPr>
        <w:autoSpaceDE/>
        <w:autoSpaceDN/>
        <w:spacing w:line="360" w:lineRule="auto"/>
        <w:rPr>
          <w:color w:val="auto"/>
          <w:sz w:val="24"/>
          <w:szCs w:val="24"/>
          <w:highlight w:val="none"/>
          <w:u w:val="single"/>
          <w:lang w:val="en-US"/>
        </w:rPr>
      </w:pPr>
      <w:r>
        <w:rPr>
          <w:rFonts w:hint="eastAsia"/>
          <w:color w:val="auto"/>
          <w:sz w:val="24"/>
          <w:szCs w:val="24"/>
          <w:highlight w:val="none"/>
          <w:lang w:val="en-US"/>
        </w:rPr>
        <w:t>住所</w:t>
      </w:r>
      <w:r>
        <w:rPr>
          <w:rFonts w:hint="eastAsia"/>
          <w:color w:val="auto"/>
          <w:sz w:val="24"/>
          <w:szCs w:val="24"/>
          <w:highlight w:val="none"/>
        </w:rPr>
        <w:t>：</w:t>
      </w:r>
    </w:p>
    <w:p>
      <w:pPr>
        <w:pStyle w:val="96"/>
        <w:ind w:left="37"/>
        <w:rPr>
          <w:color w:val="auto"/>
          <w:highlight w:val="none"/>
        </w:rPr>
      </w:pPr>
      <w:r>
        <w:rPr>
          <w:rFonts w:hint="eastAsia" w:ascii="宋体" w:hAnsi="宋体"/>
          <w:color w:val="auto"/>
          <w:kern w:val="18"/>
          <w:sz w:val="24"/>
          <w:highlight w:val="none"/>
        </w:rPr>
        <w:t>电话：</w:t>
      </w:r>
    </w:p>
    <w:p>
      <w:pPr>
        <w:autoSpaceDE/>
        <w:autoSpaceDN/>
        <w:spacing w:line="360" w:lineRule="auto"/>
        <w:rPr>
          <w:color w:val="auto"/>
          <w:sz w:val="24"/>
          <w:szCs w:val="24"/>
          <w:highlight w:val="none"/>
        </w:rPr>
      </w:pPr>
    </w:p>
    <w:p>
      <w:pPr>
        <w:autoSpaceDE/>
        <w:autoSpaceDN/>
        <w:spacing w:line="360" w:lineRule="auto"/>
        <w:rPr>
          <w:color w:val="auto"/>
          <w:sz w:val="24"/>
          <w:szCs w:val="24"/>
          <w:highlight w:val="none"/>
        </w:rPr>
      </w:pPr>
      <w:r>
        <w:rPr>
          <w:rFonts w:hint="eastAsia"/>
          <w:color w:val="auto"/>
          <w:sz w:val="24"/>
          <w:szCs w:val="24"/>
          <w:highlight w:val="none"/>
        </w:rPr>
        <w:t>乙方：</w:t>
      </w:r>
    </w:p>
    <w:p>
      <w:pPr>
        <w:pStyle w:val="2"/>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统一社会信用代码：</w:t>
      </w:r>
    </w:p>
    <w:p>
      <w:pPr>
        <w:autoSpaceDE/>
        <w:autoSpaceDN/>
        <w:spacing w:line="360" w:lineRule="auto"/>
        <w:rPr>
          <w:color w:val="auto"/>
          <w:sz w:val="24"/>
          <w:szCs w:val="24"/>
          <w:highlight w:val="none"/>
        </w:rPr>
      </w:pPr>
      <w:r>
        <w:rPr>
          <w:rFonts w:hint="eastAsia"/>
          <w:color w:val="auto"/>
          <w:sz w:val="24"/>
          <w:szCs w:val="24"/>
          <w:highlight w:val="none"/>
        </w:rPr>
        <w:t>法定代表人：</w:t>
      </w:r>
    </w:p>
    <w:p>
      <w:pPr>
        <w:autoSpaceDE/>
        <w:autoSpaceDN/>
        <w:spacing w:line="360" w:lineRule="auto"/>
        <w:rPr>
          <w:color w:val="auto"/>
          <w:sz w:val="24"/>
          <w:szCs w:val="24"/>
          <w:highlight w:val="none"/>
          <w:u w:val="single"/>
          <w:lang w:val="en-US"/>
        </w:rPr>
      </w:pPr>
      <w:r>
        <w:rPr>
          <w:rFonts w:hint="eastAsia"/>
          <w:color w:val="auto"/>
          <w:sz w:val="24"/>
          <w:szCs w:val="24"/>
          <w:highlight w:val="none"/>
          <w:lang w:val="en-US"/>
        </w:rPr>
        <w:t>住所</w:t>
      </w:r>
      <w:r>
        <w:rPr>
          <w:rFonts w:hint="eastAsia"/>
          <w:color w:val="auto"/>
          <w:sz w:val="24"/>
          <w:szCs w:val="24"/>
          <w:highlight w:val="none"/>
        </w:rPr>
        <w:t>：</w:t>
      </w:r>
    </w:p>
    <w:p>
      <w:pPr>
        <w:pStyle w:val="96"/>
        <w:ind w:left="37"/>
        <w:rPr>
          <w:color w:val="auto"/>
          <w:highlight w:val="none"/>
        </w:rPr>
      </w:pPr>
      <w:r>
        <w:rPr>
          <w:rFonts w:hint="eastAsia" w:ascii="宋体" w:hAnsi="宋体"/>
          <w:color w:val="auto"/>
          <w:kern w:val="18"/>
          <w:sz w:val="24"/>
          <w:highlight w:val="none"/>
        </w:rPr>
        <w:t>电话：</w:t>
      </w:r>
    </w:p>
    <w:p>
      <w:pPr>
        <w:spacing w:line="360" w:lineRule="auto"/>
        <w:ind w:firstLine="480" w:firstLineChars="200"/>
        <w:rPr>
          <w:color w:val="auto"/>
          <w:sz w:val="24"/>
          <w:szCs w:val="24"/>
          <w:highlight w:val="none"/>
        </w:rPr>
      </w:pPr>
    </w:p>
    <w:p>
      <w:pPr>
        <w:spacing w:line="360" w:lineRule="auto"/>
        <w:ind w:firstLine="480" w:firstLineChars="200"/>
        <w:rPr>
          <w:color w:val="auto"/>
          <w:sz w:val="24"/>
          <w:szCs w:val="24"/>
          <w:highlight w:val="none"/>
        </w:rPr>
      </w:pPr>
      <w:r>
        <w:rPr>
          <w:rFonts w:hint="eastAsia"/>
          <w:color w:val="auto"/>
          <w:sz w:val="24"/>
          <w:szCs w:val="24"/>
          <w:highlight w:val="none"/>
        </w:rPr>
        <w:t>甲乙双方依照《中华人民共和国民法典》及其他有关法律、行政法规，遵循平等、自愿、公平和诚实信用的原则，就【</w:t>
      </w:r>
      <w:r>
        <w:rPr>
          <w:rFonts w:hint="eastAsia"/>
          <w:bCs/>
          <w:color w:val="auto"/>
          <w:sz w:val="24"/>
          <w:szCs w:val="24"/>
          <w:highlight w:val="none"/>
          <w:u w:val="single"/>
        </w:rPr>
        <w:t xml:space="preserve">          】</w:t>
      </w:r>
      <w:r>
        <w:rPr>
          <w:rFonts w:hint="eastAsia"/>
          <w:bCs/>
          <w:color w:val="auto"/>
          <w:sz w:val="24"/>
          <w:szCs w:val="24"/>
          <w:highlight w:val="none"/>
        </w:rPr>
        <w:t>设备采购项目的相关事项</w:t>
      </w:r>
      <w:r>
        <w:rPr>
          <w:rFonts w:hint="eastAsia"/>
          <w:color w:val="auto"/>
          <w:sz w:val="24"/>
          <w:szCs w:val="24"/>
          <w:highlight w:val="none"/>
        </w:rPr>
        <w:t>协商一致，订立本合同。</w:t>
      </w:r>
    </w:p>
    <w:p>
      <w:pPr>
        <w:spacing w:line="360" w:lineRule="auto"/>
        <w:rPr>
          <w:b/>
          <w:bCs/>
          <w:color w:val="auto"/>
          <w:sz w:val="24"/>
          <w:szCs w:val="24"/>
          <w:highlight w:val="none"/>
        </w:rPr>
      </w:pPr>
      <w:r>
        <w:rPr>
          <w:rFonts w:hint="eastAsia"/>
          <w:b/>
          <w:bCs/>
          <w:color w:val="auto"/>
          <w:sz w:val="24"/>
          <w:szCs w:val="24"/>
          <w:highlight w:val="none"/>
        </w:rPr>
        <w:t>一、采购项目内容</w:t>
      </w:r>
    </w:p>
    <w:p>
      <w:pPr>
        <w:spacing w:line="360" w:lineRule="auto"/>
        <w:ind w:firstLine="480" w:firstLineChars="200"/>
        <w:rPr>
          <w:color w:val="auto"/>
          <w:sz w:val="24"/>
          <w:szCs w:val="24"/>
          <w:highlight w:val="none"/>
        </w:rPr>
      </w:pPr>
      <w:r>
        <w:rPr>
          <w:rFonts w:hint="eastAsia"/>
          <w:color w:val="auto"/>
          <w:sz w:val="24"/>
          <w:szCs w:val="24"/>
          <w:highlight w:val="none"/>
        </w:rPr>
        <w:t>1、采购内容：【          】，设备名称及其数量、价格、规格、品牌型号详见附件1《设备清单总表》。</w:t>
      </w:r>
    </w:p>
    <w:p>
      <w:pPr>
        <w:spacing w:line="360" w:lineRule="auto"/>
        <w:ind w:firstLine="480" w:firstLineChars="200"/>
        <w:rPr>
          <w:color w:val="auto"/>
          <w:sz w:val="24"/>
          <w:szCs w:val="24"/>
          <w:highlight w:val="none"/>
        </w:rPr>
      </w:pPr>
      <w:r>
        <w:rPr>
          <w:rFonts w:hint="eastAsia"/>
          <w:color w:val="auto"/>
          <w:sz w:val="24"/>
          <w:szCs w:val="24"/>
          <w:highlight w:val="none"/>
        </w:rPr>
        <w:t>2、乙方提供的设备规格、数量及质量（包括各种零部件、附件、备品备件）应当满足甲方要求，应当符合国家标准、地方标准以及本产品的出厂标准，应当达到乙方投标文件及澄清文件中的技术标准。设备型号、品牌、规格、配置参数、质保期等详见招标文件、投标文件。</w:t>
      </w:r>
    </w:p>
    <w:p>
      <w:pPr>
        <w:spacing w:line="360" w:lineRule="auto"/>
        <w:ind w:firstLine="480" w:firstLineChars="200"/>
        <w:rPr>
          <w:color w:val="auto"/>
          <w:sz w:val="24"/>
          <w:szCs w:val="24"/>
          <w:highlight w:val="none"/>
          <w:lang w:val="en-US"/>
        </w:rPr>
      </w:pPr>
      <w:r>
        <w:rPr>
          <w:rFonts w:hint="eastAsia"/>
          <w:color w:val="auto"/>
          <w:sz w:val="24"/>
          <w:szCs w:val="24"/>
          <w:highlight w:val="none"/>
          <w:lang w:val="en-US"/>
        </w:rPr>
        <w:t>3、</w:t>
      </w:r>
      <w:r>
        <w:rPr>
          <w:rFonts w:hint="eastAsia"/>
          <w:color w:val="auto"/>
          <w:sz w:val="24"/>
          <w:szCs w:val="24"/>
          <w:highlight w:val="none"/>
        </w:rPr>
        <w:t>禁止转分包：乙方应自行履行本合同项下的权利义务，禁止转包；未经甲方书面同意</w:t>
      </w:r>
      <w:r>
        <w:rPr>
          <w:color w:val="auto"/>
          <w:sz w:val="24"/>
          <w:szCs w:val="24"/>
          <w:highlight w:val="none"/>
        </w:rPr>
        <w:t>，不得分包。</w:t>
      </w:r>
    </w:p>
    <w:p>
      <w:pPr>
        <w:spacing w:line="360" w:lineRule="auto"/>
        <w:rPr>
          <w:b/>
          <w:bCs/>
          <w:color w:val="auto"/>
          <w:sz w:val="24"/>
          <w:szCs w:val="24"/>
          <w:highlight w:val="none"/>
          <w:lang w:val="en-US"/>
        </w:rPr>
      </w:pPr>
      <w:r>
        <w:rPr>
          <w:rFonts w:hint="eastAsia"/>
          <w:b/>
          <w:bCs/>
          <w:color w:val="auto"/>
          <w:sz w:val="24"/>
          <w:szCs w:val="24"/>
          <w:highlight w:val="none"/>
        </w:rPr>
        <w:t>二、合同价款及支付方式</w:t>
      </w:r>
    </w:p>
    <w:p>
      <w:pPr>
        <w:spacing w:line="360" w:lineRule="auto"/>
        <w:ind w:firstLine="482" w:firstLineChars="200"/>
        <w:rPr>
          <w:b/>
          <w:bCs/>
          <w:color w:val="auto"/>
          <w:sz w:val="24"/>
          <w:szCs w:val="24"/>
          <w:highlight w:val="none"/>
        </w:rPr>
      </w:pPr>
      <w:r>
        <w:rPr>
          <w:rFonts w:hint="eastAsia"/>
          <w:b/>
          <w:bCs/>
          <w:color w:val="auto"/>
          <w:sz w:val="24"/>
          <w:szCs w:val="24"/>
          <w:highlight w:val="none"/>
        </w:rPr>
        <w:t>1、合同价款</w:t>
      </w:r>
    </w:p>
    <w:p>
      <w:pPr>
        <w:spacing w:line="360" w:lineRule="auto"/>
        <w:ind w:firstLine="480" w:firstLineChars="200"/>
        <w:rPr>
          <w:color w:val="auto"/>
          <w:sz w:val="24"/>
          <w:szCs w:val="24"/>
          <w:highlight w:val="none"/>
        </w:rPr>
      </w:pPr>
      <w:r>
        <w:rPr>
          <w:rFonts w:hint="eastAsia"/>
          <w:color w:val="auto"/>
          <w:sz w:val="24"/>
          <w:szCs w:val="24"/>
          <w:highlight w:val="none"/>
        </w:rPr>
        <w:t>（1）本项目总价包含购买货物（</w:t>
      </w:r>
      <w:r>
        <w:rPr>
          <w:rFonts w:hint="eastAsia"/>
          <w:color w:val="auto"/>
          <w:sz w:val="24"/>
          <w:szCs w:val="24"/>
          <w:highlight w:val="none"/>
          <w:lang w:val="en-US"/>
        </w:rPr>
        <w:t>含</w:t>
      </w:r>
      <w:r>
        <w:rPr>
          <w:rFonts w:hint="eastAsia"/>
          <w:color w:val="auto"/>
          <w:sz w:val="24"/>
          <w:szCs w:val="24"/>
          <w:highlight w:val="none"/>
        </w:rPr>
        <w:t>进口设备及国产设备）及售后服务所发生的所有费用，包括但不限于成本、产品设计费、制造费、包装费、运输费、运输保险费、卸货吊装到最终交货地的费用、</w:t>
      </w:r>
      <w:r>
        <w:rPr>
          <w:rFonts w:hint="eastAsia"/>
          <w:color w:val="auto"/>
          <w:sz w:val="24"/>
          <w:szCs w:val="24"/>
          <w:highlight w:val="none"/>
          <w:lang w:val="en-US"/>
        </w:rPr>
        <w:t>搬运费、</w:t>
      </w:r>
      <w:r>
        <w:rPr>
          <w:rFonts w:hint="eastAsia"/>
          <w:color w:val="auto"/>
          <w:sz w:val="24"/>
          <w:szCs w:val="24"/>
          <w:highlight w:val="none"/>
        </w:rPr>
        <w:t>配套资料费用、安装调试费用（</w:t>
      </w:r>
      <w:r>
        <w:rPr>
          <w:rFonts w:hint="eastAsia"/>
          <w:color w:val="auto"/>
          <w:sz w:val="24"/>
          <w:szCs w:val="24"/>
          <w:highlight w:val="none"/>
          <w:lang w:val="en-US"/>
        </w:rPr>
        <w:t>含调试所需的水、电、电梯</w:t>
      </w:r>
      <w:r>
        <w:rPr>
          <w:rFonts w:hint="eastAsia"/>
          <w:color w:val="auto"/>
          <w:sz w:val="24"/>
          <w:szCs w:val="24"/>
          <w:highlight w:val="none"/>
        </w:rPr>
        <w:t>）、技术服务费、培训费、产品现场保管费、</w:t>
      </w:r>
      <w:r>
        <w:rPr>
          <w:rFonts w:hint="eastAsia"/>
          <w:color w:val="auto"/>
          <w:sz w:val="24"/>
          <w:szCs w:val="24"/>
          <w:highlight w:val="none"/>
          <w:lang w:val="en-US"/>
        </w:rPr>
        <w:t>包装垃圾清运费</w:t>
      </w:r>
      <w:r>
        <w:rPr>
          <w:rFonts w:hint="eastAsia"/>
          <w:color w:val="auto"/>
          <w:sz w:val="24"/>
          <w:szCs w:val="24"/>
          <w:highlight w:val="none"/>
        </w:rPr>
        <w:t>、项目验收时的试剂耗材费用和强制性第三方监督检验机构费用、免费保修期的售后维护费用等。</w:t>
      </w:r>
    </w:p>
    <w:p>
      <w:pPr>
        <w:pStyle w:val="2"/>
        <w:spacing w:line="360" w:lineRule="auto"/>
        <w:ind w:firstLine="480"/>
        <w:rPr>
          <w:rFonts w:ascii="宋体" w:hAnsi="宋体" w:cs="宋体"/>
          <w:snapToGrid w:val="0"/>
          <w:color w:val="auto"/>
          <w:kern w:val="0"/>
          <w:sz w:val="24"/>
          <w:highlight w:val="none"/>
          <w:lang w:val="zh-CN" w:bidi="zh-CN"/>
        </w:rPr>
      </w:pPr>
      <w:r>
        <w:rPr>
          <w:rFonts w:hint="eastAsia" w:ascii="宋体" w:hAnsi="宋体" w:cs="宋体"/>
          <w:snapToGrid w:val="0"/>
          <w:color w:val="auto"/>
          <w:kern w:val="0"/>
          <w:sz w:val="24"/>
          <w:highlight w:val="none"/>
          <w:lang w:val="zh-CN" w:bidi="zh-CN"/>
        </w:rPr>
        <w:t>（2）本项目合同总金额：人民币***（¥***元），包括：</w:t>
      </w:r>
    </w:p>
    <w:p>
      <w:pPr>
        <w:pStyle w:val="2"/>
        <w:spacing w:line="360" w:lineRule="auto"/>
        <w:ind w:firstLine="480"/>
        <w:rPr>
          <w:rFonts w:ascii="宋体" w:hAnsi="宋体" w:cs="宋体"/>
          <w:snapToGrid w:val="0"/>
          <w:color w:val="auto"/>
          <w:kern w:val="0"/>
          <w:sz w:val="24"/>
          <w:highlight w:val="none"/>
          <w:lang w:val="zh-CN" w:bidi="zh-CN"/>
        </w:rPr>
      </w:pPr>
      <w:r>
        <w:rPr>
          <w:rFonts w:hint="eastAsia" w:ascii="宋体" w:hAnsi="宋体" w:cs="宋体"/>
          <w:snapToGrid w:val="0"/>
          <w:color w:val="auto"/>
          <w:kern w:val="0"/>
          <w:sz w:val="24"/>
          <w:highlight w:val="none"/>
          <w:lang w:bidi="zh-CN"/>
        </w:rPr>
        <w:t>1</w:t>
      </w:r>
      <w:r>
        <w:rPr>
          <w:rFonts w:hint="eastAsia" w:ascii="宋体" w:hAnsi="宋体" w:cs="宋体"/>
          <w:snapToGrid w:val="0"/>
          <w:color w:val="auto"/>
          <w:kern w:val="0"/>
          <w:sz w:val="24"/>
          <w:highlight w:val="none"/>
          <w:lang w:val="zh-CN" w:bidi="zh-CN"/>
        </w:rPr>
        <w:t>）进口设备（国内采购）含税金额为人民币（大写）：*****（¥******元）,其中,不含税价人民币（大写）：*********（¥********元），增值税为人民币（大写）:***********（¥********元），增值税税率为*%。如果因国家税法相关规定增值税税率变动，本合同含税金额不变（不含税价和增值税予以相应调整），并按含税金额作为付款依据。（详见附件</w:t>
      </w:r>
      <w:r>
        <w:rPr>
          <w:rFonts w:hint="eastAsia" w:ascii="宋体" w:hAnsi="宋体" w:cs="宋体"/>
          <w:snapToGrid w:val="0"/>
          <w:color w:val="auto"/>
          <w:kern w:val="0"/>
          <w:sz w:val="24"/>
          <w:highlight w:val="none"/>
          <w:lang w:bidi="zh-CN"/>
        </w:rPr>
        <w:t>2</w:t>
      </w:r>
      <w:r>
        <w:rPr>
          <w:rFonts w:hint="eastAsia" w:ascii="宋体" w:hAnsi="宋体" w:cs="宋体"/>
          <w:snapToGrid w:val="0"/>
          <w:color w:val="auto"/>
          <w:kern w:val="0"/>
          <w:sz w:val="24"/>
          <w:highlight w:val="none"/>
          <w:lang w:val="zh-CN" w:bidi="zh-CN"/>
        </w:rPr>
        <w:t>《进口设备（国内采购）清单》）</w:t>
      </w:r>
    </w:p>
    <w:p>
      <w:pPr>
        <w:spacing w:line="360" w:lineRule="auto"/>
        <w:ind w:firstLine="480" w:firstLineChars="200"/>
        <w:rPr>
          <w:color w:val="auto"/>
          <w:sz w:val="24"/>
          <w:szCs w:val="24"/>
          <w:highlight w:val="none"/>
        </w:rPr>
      </w:pPr>
      <w:r>
        <w:rPr>
          <w:rFonts w:hint="eastAsia"/>
          <w:color w:val="auto"/>
          <w:sz w:val="24"/>
          <w:szCs w:val="24"/>
          <w:highlight w:val="none"/>
          <w:lang w:val="en-US"/>
        </w:rPr>
        <w:t>2</w:t>
      </w:r>
      <w:r>
        <w:rPr>
          <w:rFonts w:hint="eastAsia"/>
          <w:color w:val="auto"/>
          <w:sz w:val="24"/>
          <w:szCs w:val="24"/>
          <w:highlight w:val="none"/>
        </w:rPr>
        <w:t>）国产设备（含税）为人民币（大写）：*****（¥******元）,其中,不含税价人民币（大写）：*********（¥********元），增值税为人民币（大写）:***********（¥********元），增值税税率为*%。如果因国家税法相关规定增值税税率变动，本合同含税金额不变（不含税价和增值税予以相应调整），并按含税金额作为付款依据。（详见附件</w:t>
      </w:r>
      <w:r>
        <w:rPr>
          <w:rFonts w:hint="eastAsia"/>
          <w:color w:val="auto"/>
          <w:sz w:val="24"/>
          <w:szCs w:val="24"/>
          <w:highlight w:val="none"/>
          <w:lang w:val="en-US"/>
        </w:rPr>
        <w:t>3</w:t>
      </w:r>
      <w:r>
        <w:rPr>
          <w:rFonts w:hint="eastAsia"/>
          <w:color w:val="auto"/>
          <w:sz w:val="24"/>
          <w:szCs w:val="24"/>
          <w:highlight w:val="none"/>
        </w:rPr>
        <w:t>《国产设备清单》）</w:t>
      </w:r>
    </w:p>
    <w:p>
      <w:pPr>
        <w:spacing w:line="360" w:lineRule="auto"/>
        <w:ind w:firstLine="482" w:firstLineChars="200"/>
        <w:rPr>
          <w:b/>
          <w:bCs/>
          <w:color w:val="auto"/>
          <w:sz w:val="24"/>
          <w:szCs w:val="24"/>
          <w:highlight w:val="none"/>
        </w:rPr>
      </w:pPr>
      <w:r>
        <w:rPr>
          <w:rFonts w:hint="eastAsia"/>
          <w:b/>
          <w:bCs/>
          <w:color w:val="auto"/>
          <w:sz w:val="24"/>
          <w:szCs w:val="24"/>
          <w:highlight w:val="none"/>
        </w:rPr>
        <w:t>2、支付方式</w:t>
      </w:r>
    </w:p>
    <w:p>
      <w:pPr>
        <w:spacing w:line="360" w:lineRule="auto"/>
        <w:ind w:firstLine="480" w:firstLineChars="200"/>
        <w:rPr>
          <w:color w:val="auto"/>
          <w:sz w:val="24"/>
          <w:szCs w:val="24"/>
          <w:highlight w:val="none"/>
        </w:rPr>
      </w:pPr>
      <w:r>
        <w:rPr>
          <w:rFonts w:hint="eastAsia"/>
          <w:color w:val="auto"/>
          <w:sz w:val="24"/>
          <w:szCs w:val="24"/>
          <w:highlight w:val="none"/>
        </w:rPr>
        <w:t>2.1预付款：在本合同生效后，乙方向甲方提交一份生效的合同原件及乙方向甲方提供与支付预付款金额一致、符合甲方要求的发票，甲方支付30%预付款给乙方，即人民币（大写）***（¥***元）。</w:t>
      </w:r>
    </w:p>
    <w:p>
      <w:pPr>
        <w:spacing w:line="360" w:lineRule="auto"/>
        <w:ind w:firstLine="480" w:firstLineChars="200"/>
        <w:rPr>
          <w:color w:val="auto"/>
          <w:highlight w:val="none"/>
          <w:lang w:val="en-US"/>
        </w:rPr>
      </w:pPr>
      <w:r>
        <w:rPr>
          <w:rFonts w:hint="eastAsia"/>
          <w:snapToGrid w:val="0"/>
          <w:color w:val="auto"/>
          <w:sz w:val="24"/>
          <w:szCs w:val="24"/>
          <w:highlight w:val="none"/>
        </w:rPr>
        <w:t>关于预付款的支付，甲乙双方还须遵守如下约定：①在签订合同后支付预付款</w:t>
      </w:r>
      <w:r>
        <w:rPr>
          <w:rFonts w:hint="eastAsia"/>
          <w:snapToGrid w:val="0"/>
          <w:color w:val="auto"/>
          <w:sz w:val="24"/>
          <w:szCs w:val="24"/>
          <w:highlight w:val="none"/>
          <w:lang w:val="en-US"/>
        </w:rPr>
        <w:t>前</w:t>
      </w:r>
      <w:r>
        <w:rPr>
          <w:rFonts w:hint="eastAsia"/>
          <w:snapToGrid w:val="0"/>
          <w:color w:val="auto"/>
          <w:sz w:val="24"/>
          <w:szCs w:val="24"/>
          <w:highlight w:val="none"/>
        </w:rPr>
        <w:t>，乙方须按甲方事先认可的格式向甲方递交一份无条件兑付的和不可撤销的，并由国有或国有参股银行出具的与预付款金额相同预付款银行保函（</w:t>
      </w:r>
      <w:r>
        <w:rPr>
          <w:rFonts w:hint="eastAsia"/>
          <w:snapToGrid w:val="0"/>
          <w:color w:val="auto"/>
          <w:sz w:val="24"/>
          <w:szCs w:val="24"/>
          <w:highlight w:val="none"/>
          <w:lang w:val="en-US"/>
        </w:rPr>
        <w:t>附件4《预付款担保格式》）</w:t>
      </w:r>
      <w:r>
        <w:rPr>
          <w:rFonts w:hint="eastAsia"/>
          <w:snapToGrid w:val="0"/>
          <w:color w:val="auto"/>
          <w:sz w:val="24"/>
          <w:szCs w:val="24"/>
          <w:highlight w:val="none"/>
        </w:rPr>
        <w:t>。如因预付款审批原因导致支付延迟的，甲方的支付时限相应顺延且不承担违约责任。</w:t>
      </w:r>
      <w:r>
        <w:rPr>
          <w:rFonts w:hint="eastAsia"/>
          <w:color w:val="auto"/>
          <w:sz w:val="24"/>
          <w:szCs w:val="24"/>
          <w:highlight w:val="none"/>
        </w:rPr>
        <w:t>预付款担保期限</w:t>
      </w:r>
      <w:r>
        <w:rPr>
          <w:rFonts w:hint="eastAsia"/>
          <w:snapToGrid w:val="0"/>
          <w:color w:val="auto"/>
          <w:sz w:val="24"/>
          <w:szCs w:val="24"/>
          <w:highlight w:val="none"/>
        </w:rPr>
        <w:t>自预付款支付给乙方之日起</w:t>
      </w:r>
      <w:r>
        <w:rPr>
          <w:rFonts w:hint="eastAsia"/>
          <w:color w:val="auto"/>
          <w:sz w:val="24"/>
          <w:szCs w:val="24"/>
          <w:highlight w:val="none"/>
        </w:rPr>
        <w:t>至乙方所提交的与支付预付款等额的设备到货并经甲方签收确认之日止。</w:t>
      </w:r>
      <w:r>
        <w:rPr>
          <w:rFonts w:hint="eastAsia"/>
          <w:color w:val="auto"/>
          <w:sz w:val="24"/>
          <w:szCs w:val="24"/>
          <w:highlight w:val="none"/>
          <w:lang w:val="en-US"/>
        </w:rPr>
        <w:t>如在甲方同意下，</w:t>
      </w:r>
      <w:r>
        <w:rPr>
          <w:rFonts w:hint="eastAsia"/>
          <w:color w:val="auto"/>
          <w:sz w:val="24"/>
          <w:szCs w:val="24"/>
          <w:highlight w:val="none"/>
        </w:rPr>
        <w:t>乙方开具</w:t>
      </w:r>
      <w:r>
        <w:rPr>
          <w:rFonts w:hint="eastAsia"/>
          <w:color w:val="auto"/>
          <w:sz w:val="24"/>
          <w:szCs w:val="24"/>
          <w:highlight w:val="none"/>
          <w:lang w:val="en-US"/>
        </w:rPr>
        <w:t>了</w:t>
      </w:r>
      <w:r>
        <w:rPr>
          <w:rFonts w:hint="eastAsia"/>
          <w:color w:val="auto"/>
          <w:sz w:val="24"/>
          <w:szCs w:val="24"/>
          <w:highlight w:val="none"/>
        </w:rPr>
        <w:t>固定期限</w:t>
      </w:r>
      <w:r>
        <w:rPr>
          <w:rFonts w:hint="eastAsia"/>
          <w:color w:val="auto"/>
          <w:sz w:val="24"/>
          <w:szCs w:val="24"/>
          <w:highlight w:val="none"/>
          <w:lang w:val="en-US"/>
        </w:rPr>
        <w:t>的</w:t>
      </w:r>
      <w:r>
        <w:rPr>
          <w:rFonts w:hint="eastAsia"/>
          <w:color w:val="auto"/>
          <w:sz w:val="24"/>
          <w:szCs w:val="24"/>
          <w:highlight w:val="none"/>
        </w:rPr>
        <w:t>预付款保函，且与预付款等额的设备全部或部分到货延期的，乙方应在截止预付款担保到期前</w:t>
      </w:r>
      <w:r>
        <w:rPr>
          <w:rFonts w:hint="eastAsia"/>
          <w:color w:val="auto"/>
          <w:sz w:val="24"/>
          <w:szCs w:val="24"/>
          <w:highlight w:val="none"/>
          <w:lang w:val="en-US"/>
        </w:rPr>
        <w:t>14日</w:t>
      </w:r>
      <w:r>
        <w:rPr>
          <w:rFonts w:hint="eastAsia"/>
          <w:color w:val="auto"/>
          <w:sz w:val="24"/>
          <w:szCs w:val="24"/>
          <w:highlight w:val="none"/>
        </w:rPr>
        <w:t>内重新开具与</w:t>
      </w:r>
      <w:r>
        <w:rPr>
          <w:rFonts w:hint="eastAsia"/>
          <w:color w:val="auto"/>
          <w:sz w:val="24"/>
          <w:szCs w:val="24"/>
          <w:highlight w:val="none"/>
          <w:lang w:val="en-US"/>
        </w:rPr>
        <w:t>未到货设备的预付款金额</w:t>
      </w:r>
      <w:r>
        <w:rPr>
          <w:rFonts w:hint="eastAsia"/>
          <w:color w:val="auto"/>
          <w:sz w:val="24"/>
          <w:szCs w:val="24"/>
          <w:highlight w:val="none"/>
        </w:rPr>
        <w:t>相同的预付款银行保函。有效期自原保函到期之日起至预付款等额的设备到货并经甲方签收确认之日止，保函格式等其他要求与前述一致。如乙方不开具或逾期开具预付款保函的，视乙方违约，甲方有权拒绝支付剩余设备款项，并按合同总金额的10%向乙方追究违约责任。</w:t>
      </w:r>
    </w:p>
    <w:p>
      <w:pPr>
        <w:spacing w:line="360" w:lineRule="auto"/>
        <w:ind w:firstLine="480" w:firstLineChars="200"/>
        <w:rPr>
          <w:snapToGrid w:val="0"/>
          <w:color w:val="auto"/>
          <w:sz w:val="24"/>
          <w:szCs w:val="24"/>
          <w:highlight w:val="none"/>
        </w:rPr>
      </w:pPr>
      <w:r>
        <w:rPr>
          <w:rFonts w:hint="eastAsia"/>
          <w:snapToGrid w:val="0"/>
          <w:color w:val="auto"/>
          <w:sz w:val="24"/>
          <w:szCs w:val="24"/>
          <w:highlight w:val="none"/>
        </w:rPr>
        <w:t>乙方可选择不申请预付款，按进度款申请支付。</w:t>
      </w:r>
    </w:p>
    <w:p>
      <w:pPr>
        <w:spacing w:line="360" w:lineRule="auto"/>
        <w:ind w:firstLine="480" w:firstLineChars="200"/>
        <w:rPr>
          <w:snapToGrid w:val="0"/>
          <w:color w:val="auto"/>
          <w:sz w:val="24"/>
          <w:szCs w:val="24"/>
          <w:highlight w:val="none"/>
        </w:rPr>
      </w:pPr>
      <w:r>
        <w:rPr>
          <w:rFonts w:hint="eastAsia"/>
          <w:snapToGrid w:val="0"/>
          <w:color w:val="auto"/>
          <w:sz w:val="24"/>
          <w:szCs w:val="24"/>
          <w:highlight w:val="none"/>
        </w:rPr>
        <w:t>②如乙方不申请预付款，可不提供预付款担保，甲方不予支付预付款，双方按本合同约定的下阶段进度款支付条件办理合同款项支付。</w:t>
      </w:r>
    </w:p>
    <w:p>
      <w:pPr>
        <w:spacing w:line="360" w:lineRule="auto"/>
        <w:ind w:firstLine="480"/>
        <w:rPr>
          <w:color w:val="auto"/>
          <w:sz w:val="24"/>
          <w:szCs w:val="24"/>
          <w:highlight w:val="none"/>
        </w:rPr>
      </w:pPr>
      <w:r>
        <w:rPr>
          <w:rFonts w:hint="eastAsia"/>
          <w:snapToGrid w:val="0"/>
          <w:color w:val="auto"/>
          <w:sz w:val="24"/>
          <w:szCs w:val="24"/>
          <w:highlight w:val="none"/>
        </w:rPr>
        <w:t>③进口设备（国内采购）和国产设备须提供与支付相应设备预付款金额一致的增值税专用发票。</w:t>
      </w:r>
      <w:r>
        <w:rPr>
          <w:rFonts w:hint="eastAsia"/>
          <w:color w:val="auto"/>
          <w:sz w:val="24"/>
          <w:szCs w:val="24"/>
          <w:highlight w:val="none"/>
        </w:rPr>
        <w:t>发票开具相关事宜，以甲方财务要求为准。</w:t>
      </w:r>
    </w:p>
    <w:p>
      <w:pPr>
        <w:spacing w:line="360" w:lineRule="auto"/>
        <w:ind w:firstLine="480" w:firstLineChars="200"/>
        <w:rPr>
          <w:color w:val="auto"/>
          <w:sz w:val="24"/>
          <w:szCs w:val="24"/>
          <w:highlight w:val="none"/>
        </w:rPr>
      </w:pPr>
      <w:r>
        <w:rPr>
          <w:rFonts w:hint="eastAsia"/>
          <w:color w:val="auto"/>
          <w:sz w:val="24"/>
          <w:szCs w:val="24"/>
          <w:highlight w:val="none"/>
        </w:rPr>
        <w:t>2.</w:t>
      </w:r>
      <w:r>
        <w:rPr>
          <w:color w:val="auto"/>
          <w:sz w:val="24"/>
          <w:szCs w:val="24"/>
          <w:highlight w:val="none"/>
        </w:rPr>
        <w:t xml:space="preserve">2 </w:t>
      </w:r>
      <w:r>
        <w:rPr>
          <w:rFonts w:hint="eastAsia"/>
          <w:color w:val="auto"/>
          <w:sz w:val="24"/>
          <w:szCs w:val="24"/>
          <w:highlight w:val="none"/>
        </w:rPr>
        <w:t>甲乙双方根据到货设备种类及到货情况的不同选择以下一种进度款的支付方式履行</w:t>
      </w:r>
      <w:r>
        <w:rPr>
          <w:color w:val="auto"/>
          <w:sz w:val="24"/>
          <w:szCs w:val="24"/>
          <w:highlight w:val="none"/>
        </w:rPr>
        <w:t>：</w:t>
      </w:r>
    </w:p>
    <w:p>
      <w:pPr>
        <w:spacing w:line="360" w:lineRule="auto"/>
        <w:ind w:firstLine="480" w:firstLineChars="200"/>
        <w:rPr>
          <w:color w:val="auto"/>
          <w:sz w:val="24"/>
          <w:szCs w:val="24"/>
          <w:highlight w:val="none"/>
        </w:rPr>
      </w:pPr>
      <w:r>
        <w:rPr>
          <w:rFonts w:hint="eastAsia"/>
          <w:color w:val="auto"/>
          <w:sz w:val="24"/>
          <w:szCs w:val="24"/>
          <w:highlight w:val="none"/>
        </w:rPr>
        <w:sym w:font="Wingdings" w:char="00A8"/>
      </w:r>
      <w:r>
        <w:rPr>
          <w:rFonts w:hint="eastAsia"/>
          <w:color w:val="auto"/>
          <w:sz w:val="24"/>
          <w:szCs w:val="24"/>
          <w:highlight w:val="none"/>
        </w:rPr>
        <w:t>进度款：乙方提供的设备全部到货安装调试合格并经甲方</w:t>
      </w:r>
      <w:r>
        <w:rPr>
          <w:rFonts w:hint="eastAsia"/>
          <w:color w:val="auto"/>
          <w:sz w:val="24"/>
          <w:szCs w:val="24"/>
          <w:highlight w:val="none"/>
          <w:lang w:val="en-US"/>
        </w:rPr>
        <w:t>最终</w:t>
      </w:r>
      <w:r>
        <w:rPr>
          <w:rFonts w:hint="eastAsia"/>
          <w:color w:val="auto"/>
          <w:sz w:val="24"/>
          <w:szCs w:val="24"/>
          <w:highlight w:val="none"/>
        </w:rPr>
        <w:t>验收确认后，甲方向乙方支付至合同总金额的97%，同时乙方向甲方提供发票应累计达合同总金额的100%（含预付款、本次支付金额和质保金金额）。</w:t>
      </w:r>
    </w:p>
    <w:p>
      <w:pPr>
        <w:pStyle w:val="96"/>
        <w:ind w:left="37"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sym w:font="Wingdings" w:char="00A8"/>
      </w:r>
      <w:r>
        <w:rPr>
          <w:rFonts w:hint="eastAsia" w:ascii="宋体" w:hAnsi="宋体" w:cs="宋体"/>
          <w:color w:val="auto"/>
          <w:sz w:val="24"/>
          <w:szCs w:val="24"/>
          <w:highlight w:val="none"/>
        </w:rPr>
        <w:t>进度款：分批次提供设备进度款（1）</w:t>
      </w:r>
    </w:p>
    <w:p>
      <w:pPr>
        <w:pStyle w:val="96"/>
        <w:ind w:left="37"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乙方分批提供设备的，每一批次设备到货安装调试运行并经甲方最终验收合格，乙方向甲方提交与该批次提供设备合同金额一致的发票，甲方向乙方支付至该批次设备金额的97%（若按合同约定已申请支付30%预付款，累计到货金额需大于整体合同金额的30%预付款后再支付剩余到货设备进度款）。</w:t>
      </w:r>
    </w:p>
    <w:p>
      <w:pPr>
        <w:pStyle w:val="96"/>
        <w:ind w:left="37"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sym w:font="Wingdings" w:char="00A8"/>
      </w:r>
      <w:r>
        <w:rPr>
          <w:rFonts w:hint="eastAsia" w:ascii="宋体" w:hAnsi="宋体" w:cs="宋体"/>
          <w:color w:val="auto"/>
          <w:sz w:val="24"/>
          <w:szCs w:val="24"/>
          <w:highlight w:val="none"/>
        </w:rPr>
        <w:t>进度款：分批次提供设备（2）</w:t>
      </w:r>
    </w:p>
    <w:p>
      <w:pPr>
        <w:pStyle w:val="96"/>
        <w:ind w:left="37"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乙方分批提供设备的，每一批次设备到货至经甲方认可的存放地并经甲方签收确认后，乙方向甲方提交与该批次设备合同金额一致的发票，甲方向乙方支付至该批次设备合同金额80%的货款（若按合同约定已申请支付30%预付款，累计到货金额需大于整体合同金额的30%预付款后再支付剩余到货设备进度款）；每一批次设备安装调试运行并经甲方最终验收合格后，甲方向乙方支付至该批次设备金额的97%（若按合同约定已申请支付30%预付款，累计到货金额需大于整体合同金额的30%预付款后再支付剩余到货设备进度款）。</w:t>
      </w:r>
    </w:p>
    <w:p>
      <w:pPr>
        <w:spacing w:line="360" w:lineRule="auto"/>
        <w:ind w:firstLine="480" w:firstLineChars="200"/>
        <w:rPr>
          <w:color w:val="auto"/>
          <w:sz w:val="24"/>
          <w:szCs w:val="24"/>
          <w:highlight w:val="none"/>
        </w:rPr>
      </w:pPr>
      <w:r>
        <w:rPr>
          <w:rFonts w:hint="eastAsia"/>
          <w:color w:val="auto"/>
          <w:sz w:val="24"/>
          <w:szCs w:val="24"/>
          <w:highlight w:val="none"/>
        </w:rPr>
        <w:t>2.3剩余3%的价款作为质保金，按本合同附件1《设备清单总表》中约定的各设备质保期，待各设备质保结束后无质量问题，无扣除款项，甲方无息向乙方支付相应设备费尾款。</w:t>
      </w:r>
    </w:p>
    <w:p>
      <w:pPr>
        <w:spacing w:line="360" w:lineRule="auto"/>
        <w:ind w:firstLine="480" w:firstLineChars="200"/>
        <w:rPr>
          <w:color w:val="auto"/>
          <w:sz w:val="24"/>
          <w:szCs w:val="24"/>
          <w:highlight w:val="none"/>
        </w:rPr>
      </w:pPr>
      <w:r>
        <w:rPr>
          <w:rFonts w:hint="eastAsia"/>
          <w:color w:val="auto"/>
          <w:sz w:val="24"/>
          <w:szCs w:val="24"/>
          <w:highlight w:val="none"/>
        </w:rPr>
        <w:t>2.4每次付款前，乙方需提交符合甲方要求的付款材料，经甲方审核确认后30日内办理相应款项支付。如乙方怠于履行提交符合甲方要求的付款材料的义务，导致甲方未能按约定付款时间付款的，不视为甲方违约；如乙方不履行提交符合甲方要求的付款材料的义务，甲方有权拒绝付款。</w:t>
      </w:r>
      <w:r>
        <w:rPr>
          <w:rFonts w:hint="eastAsia"/>
          <w:color w:val="auto"/>
          <w:sz w:val="24"/>
          <w:szCs w:val="24"/>
          <w:highlight w:val="none"/>
          <w:lang w:val="en-US"/>
        </w:rPr>
        <w:t>但因政府相关主管部门资金审批、资金拨付或甲方资金申请、资金到位、审批程序或融资款项审批</w:t>
      </w:r>
      <w:r>
        <w:rPr>
          <w:color w:val="auto"/>
          <w:sz w:val="24"/>
          <w:szCs w:val="24"/>
          <w:highlight w:val="none"/>
          <w:lang w:val="en-US"/>
        </w:rPr>
        <w:t>、</w:t>
      </w:r>
      <w:r>
        <w:rPr>
          <w:rFonts w:hint="eastAsia"/>
          <w:color w:val="auto"/>
          <w:sz w:val="24"/>
          <w:szCs w:val="24"/>
          <w:highlight w:val="none"/>
          <w:lang w:val="en-US"/>
        </w:rPr>
        <w:t>放款等原因致使甲方无法按本合同约定期限进行支付，甲方的支付时限相应顺延，且乙方理解并同意不追究甲方未按期付款的责任。</w:t>
      </w:r>
    </w:p>
    <w:p>
      <w:pPr>
        <w:spacing w:line="360" w:lineRule="auto"/>
        <w:ind w:firstLine="480" w:firstLineChars="200"/>
        <w:rPr>
          <w:color w:val="auto"/>
          <w:sz w:val="24"/>
          <w:szCs w:val="24"/>
          <w:highlight w:val="none"/>
        </w:rPr>
      </w:pPr>
      <w:r>
        <w:rPr>
          <w:rFonts w:hint="eastAsia"/>
          <w:color w:val="auto"/>
          <w:sz w:val="24"/>
          <w:szCs w:val="24"/>
          <w:highlight w:val="none"/>
        </w:rPr>
        <w:t>3、关于支付方式的约定：甲方可以采用包括但不限于现金、转账、银行承兑汇票、商业承兑汇票、国内信用证、保理、供应链融资等多种方式付款。如甲方通过票据、保理、供应链融资支付，乙方需配合甲方根据金融机构的要求，完善并出具相关文件、材料等。</w:t>
      </w:r>
      <w:r>
        <w:rPr>
          <w:rFonts w:hint="eastAsia"/>
          <w:color w:val="auto"/>
          <w:sz w:val="24"/>
          <w:szCs w:val="24"/>
          <w:highlight w:val="none"/>
          <w:lang w:val="en-US"/>
        </w:rPr>
        <w:t>如产生相关费用，双方另行协商。</w:t>
      </w:r>
    </w:p>
    <w:p>
      <w:pPr>
        <w:spacing w:line="360" w:lineRule="auto"/>
        <w:ind w:firstLine="482" w:firstLineChars="200"/>
        <w:rPr>
          <w:b/>
          <w:bCs/>
          <w:color w:val="auto"/>
          <w:sz w:val="24"/>
          <w:szCs w:val="24"/>
          <w:highlight w:val="none"/>
        </w:rPr>
      </w:pPr>
      <w:r>
        <w:rPr>
          <w:rFonts w:hint="eastAsia"/>
          <w:b/>
          <w:bCs/>
          <w:color w:val="auto"/>
          <w:sz w:val="24"/>
          <w:szCs w:val="24"/>
          <w:highlight w:val="none"/>
        </w:rPr>
        <w:t>4、增值税发票开票信息</w:t>
      </w:r>
    </w:p>
    <w:p>
      <w:pPr>
        <w:adjustRightInd w:val="0"/>
        <w:spacing w:line="360" w:lineRule="auto"/>
        <w:ind w:firstLine="480" w:firstLineChars="200"/>
        <w:rPr>
          <w:color w:val="auto"/>
          <w:sz w:val="24"/>
          <w:szCs w:val="24"/>
          <w:highlight w:val="none"/>
        </w:rPr>
      </w:pPr>
      <w:r>
        <w:rPr>
          <w:rFonts w:hint="eastAsia"/>
          <w:color w:val="auto"/>
          <w:sz w:val="24"/>
          <w:szCs w:val="24"/>
          <w:highlight w:val="none"/>
        </w:rPr>
        <w:t>（1）甲方开票信息：</w:t>
      </w:r>
    </w:p>
    <w:p>
      <w:pPr>
        <w:adjustRightInd w:val="0"/>
        <w:spacing w:line="360" w:lineRule="auto"/>
        <w:ind w:firstLine="480" w:firstLineChars="200"/>
        <w:rPr>
          <w:color w:val="auto"/>
          <w:sz w:val="24"/>
          <w:szCs w:val="24"/>
          <w:highlight w:val="none"/>
        </w:rPr>
      </w:pPr>
      <w:r>
        <w:rPr>
          <w:rFonts w:hint="eastAsia"/>
          <w:color w:val="auto"/>
          <w:sz w:val="24"/>
          <w:szCs w:val="24"/>
          <w:highlight w:val="none"/>
        </w:rPr>
        <w:t>公司名称：【      】</w:t>
      </w:r>
    </w:p>
    <w:p>
      <w:pPr>
        <w:adjustRightInd w:val="0"/>
        <w:spacing w:line="360" w:lineRule="auto"/>
        <w:ind w:firstLine="480" w:firstLineChars="200"/>
        <w:rPr>
          <w:color w:val="auto"/>
          <w:sz w:val="24"/>
          <w:szCs w:val="24"/>
          <w:highlight w:val="none"/>
        </w:rPr>
      </w:pPr>
      <w:r>
        <w:rPr>
          <w:rFonts w:hint="eastAsia"/>
          <w:color w:val="auto"/>
          <w:sz w:val="24"/>
          <w:szCs w:val="24"/>
          <w:highlight w:val="none"/>
        </w:rPr>
        <w:t>统一社会信用代码：【       】</w:t>
      </w:r>
    </w:p>
    <w:p>
      <w:pPr>
        <w:adjustRightInd w:val="0"/>
        <w:spacing w:line="360" w:lineRule="auto"/>
        <w:ind w:firstLine="480" w:firstLineChars="200"/>
        <w:rPr>
          <w:color w:val="auto"/>
          <w:sz w:val="24"/>
          <w:szCs w:val="24"/>
          <w:highlight w:val="none"/>
        </w:rPr>
      </w:pPr>
      <w:r>
        <w:rPr>
          <w:rFonts w:hint="eastAsia"/>
          <w:color w:val="auto"/>
          <w:sz w:val="24"/>
          <w:szCs w:val="24"/>
          <w:highlight w:val="none"/>
        </w:rPr>
        <w:t>税务登记地址：【        】</w:t>
      </w:r>
    </w:p>
    <w:p>
      <w:pPr>
        <w:adjustRightInd w:val="0"/>
        <w:spacing w:line="360" w:lineRule="auto"/>
        <w:ind w:firstLine="480" w:firstLineChars="200"/>
        <w:rPr>
          <w:color w:val="auto"/>
          <w:sz w:val="24"/>
          <w:szCs w:val="24"/>
          <w:highlight w:val="none"/>
        </w:rPr>
      </w:pPr>
      <w:r>
        <w:rPr>
          <w:rFonts w:hint="eastAsia"/>
          <w:color w:val="auto"/>
          <w:sz w:val="24"/>
          <w:szCs w:val="24"/>
          <w:highlight w:val="none"/>
        </w:rPr>
        <w:t>电话号码：【        】</w:t>
      </w:r>
    </w:p>
    <w:p>
      <w:pPr>
        <w:adjustRightInd w:val="0"/>
        <w:spacing w:line="360" w:lineRule="auto"/>
        <w:ind w:firstLine="480" w:firstLineChars="200"/>
        <w:rPr>
          <w:color w:val="auto"/>
          <w:sz w:val="24"/>
          <w:szCs w:val="24"/>
          <w:highlight w:val="none"/>
        </w:rPr>
      </w:pPr>
      <w:r>
        <w:rPr>
          <w:rFonts w:hint="eastAsia"/>
          <w:color w:val="auto"/>
          <w:sz w:val="24"/>
          <w:szCs w:val="24"/>
          <w:highlight w:val="none"/>
        </w:rPr>
        <w:t>开户行：【        】</w:t>
      </w:r>
    </w:p>
    <w:p>
      <w:pPr>
        <w:adjustRightInd w:val="0"/>
        <w:spacing w:line="360" w:lineRule="auto"/>
        <w:ind w:firstLine="480" w:firstLineChars="200"/>
        <w:rPr>
          <w:color w:val="auto"/>
          <w:sz w:val="24"/>
          <w:szCs w:val="24"/>
          <w:highlight w:val="none"/>
        </w:rPr>
      </w:pPr>
      <w:r>
        <w:rPr>
          <w:rFonts w:hint="eastAsia"/>
          <w:color w:val="auto"/>
          <w:sz w:val="24"/>
          <w:szCs w:val="24"/>
          <w:highlight w:val="none"/>
        </w:rPr>
        <w:t>账号：【        】</w:t>
      </w:r>
    </w:p>
    <w:p>
      <w:pPr>
        <w:adjustRightInd w:val="0"/>
        <w:spacing w:line="360" w:lineRule="auto"/>
        <w:ind w:firstLine="480" w:firstLineChars="200"/>
        <w:rPr>
          <w:color w:val="auto"/>
          <w:sz w:val="24"/>
          <w:szCs w:val="24"/>
          <w:highlight w:val="none"/>
        </w:rPr>
      </w:pPr>
      <w:r>
        <w:rPr>
          <w:rFonts w:hint="eastAsia"/>
          <w:color w:val="auto"/>
          <w:sz w:val="24"/>
          <w:szCs w:val="24"/>
          <w:highlight w:val="none"/>
        </w:rPr>
        <w:t>（2）乙方开票信息：</w:t>
      </w:r>
    </w:p>
    <w:p>
      <w:pPr>
        <w:adjustRightInd w:val="0"/>
        <w:spacing w:line="360" w:lineRule="auto"/>
        <w:ind w:firstLine="480" w:firstLineChars="200"/>
        <w:rPr>
          <w:color w:val="auto"/>
          <w:sz w:val="24"/>
          <w:szCs w:val="24"/>
          <w:highlight w:val="none"/>
        </w:rPr>
      </w:pPr>
      <w:r>
        <w:rPr>
          <w:rFonts w:hint="eastAsia"/>
          <w:color w:val="auto"/>
          <w:sz w:val="24"/>
          <w:szCs w:val="24"/>
          <w:highlight w:val="none"/>
        </w:rPr>
        <w:t>公司名称：【      】</w:t>
      </w:r>
    </w:p>
    <w:p>
      <w:pPr>
        <w:adjustRightInd w:val="0"/>
        <w:spacing w:line="360" w:lineRule="auto"/>
        <w:ind w:firstLine="480" w:firstLineChars="200"/>
        <w:rPr>
          <w:color w:val="auto"/>
          <w:sz w:val="24"/>
          <w:szCs w:val="24"/>
          <w:highlight w:val="none"/>
        </w:rPr>
      </w:pPr>
      <w:r>
        <w:rPr>
          <w:rFonts w:hint="eastAsia"/>
          <w:color w:val="auto"/>
          <w:sz w:val="24"/>
          <w:szCs w:val="24"/>
          <w:highlight w:val="none"/>
        </w:rPr>
        <w:t>统一社会信用代码：【       】</w:t>
      </w:r>
    </w:p>
    <w:p>
      <w:pPr>
        <w:adjustRightInd w:val="0"/>
        <w:spacing w:line="360" w:lineRule="auto"/>
        <w:ind w:firstLine="480" w:firstLineChars="200"/>
        <w:rPr>
          <w:color w:val="auto"/>
          <w:sz w:val="24"/>
          <w:szCs w:val="24"/>
          <w:highlight w:val="none"/>
        </w:rPr>
      </w:pPr>
      <w:r>
        <w:rPr>
          <w:rFonts w:hint="eastAsia"/>
          <w:color w:val="auto"/>
          <w:sz w:val="24"/>
          <w:szCs w:val="24"/>
          <w:highlight w:val="none"/>
        </w:rPr>
        <w:t>税务登记地址：【        】</w:t>
      </w:r>
    </w:p>
    <w:p>
      <w:pPr>
        <w:adjustRightInd w:val="0"/>
        <w:spacing w:line="360" w:lineRule="auto"/>
        <w:ind w:firstLine="480" w:firstLineChars="200"/>
        <w:rPr>
          <w:color w:val="auto"/>
          <w:sz w:val="24"/>
          <w:szCs w:val="24"/>
          <w:highlight w:val="none"/>
        </w:rPr>
      </w:pPr>
      <w:r>
        <w:rPr>
          <w:rFonts w:hint="eastAsia"/>
          <w:color w:val="auto"/>
          <w:sz w:val="24"/>
          <w:szCs w:val="24"/>
          <w:highlight w:val="none"/>
        </w:rPr>
        <w:t>电话号码：【        】</w:t>
      </w:r>
    </w:p>
    <w:p>
      <w:pPr>
        <w:adjustRightInd w:val="0"/>
        <w:spacing w:line="360" w:lineRule="auto"/>
        <w:ind w:firstLine="480" w:firstLineChars="200"/>
        <w:rPr>
          <w:color w:val="auto"/>
          <w:sz w:val="24"/>
          <w:szCs w:val="24"/>
          <w:highlight w:val="none"/>
        </w:rPr>
      </w:pPr>
      <w:r>
        <w:rPr>
          <w:rFonts w:hint="eastAsia"/>
          <w:color w:val="auto"/>
          <w:sz w:val="24"/>
          <w:szCs w:val="24"/>
          <w:highlight w:val="none"/>
        </w:rPr>
        <w:t>开户行：【        】</w:t>
      </w:r>
    </w:p>
    <w:p>
      <w:pPr>
        <w:adjustRightInd w:val="0"/>
        <w:spacing w:line="360" w:lineRule="auto"/>
        <w:ind w:firstLine="480" w:firstLineChars="200"/>
        <w:rPr>
          <w:color w:val="auto"/>
          <w:sz w:val="24"/>
          <w:szCs w:val="24"/>
          <w:highlight w:val="none"/>
        </w:rPr>
      </w:pPr>
      <w:r>
        <w:rPr>
          <w:rFonts w:hint="eastAsia"/>
          <w:color w:val="auto"/>
          <w:sz w:val="24"/>
          <w:szCs w:val="24"/>
          <w:highlight w:val="none"/>
        </w:rPr>
        <w:t>账号：【        】</w:t>
      </w:r>
    </w:p>
    <w:p>
      <w:pPr>
        <w:adjustRightInd w:val="0"/>
        <w:spacing w:line="360" w:lineRule="auto"/>
        <w:ind w:firstLine="480" w:firstLineChars="200"/>
        <w:rPr>
          <w:color w:val="auto"/>
          <w:sz w:val="24"/>
          <w:szCs w:val="24"/>
          <w:highlight w:val="none"/>
        </w:rPr>
      </w:pPr>
      <w:r>
        <w:rPr>
          <w:rFonts w:hint="eastAsia"/>
          <w:color w:val="auto"/>
          <w:sz w:val="24"/>
          <w:szCs w:val="24"/>
          <w:highlight w:val="none"/>
        </w:rPr>
        <w:t>5、自预付款对应价值产品经甲方</w:t>
      </w:r>
      <w:r>
        <w:rPr>
          <w:rFonts w:hint="eastAsia"/>
          <w:color w:val="auto"/>
          <w:sz w:val="24"/>
          <w:szCs w:val="24"/>
          <w:highlight w:val="none"/>
          <w:lang w:val="en-US"/>
        </w:rPr>
        <w:t>最终</w:t>
      </w:r>
      <w:r>
        <w:rPr>
          <w:rFonts w:hint="eastAsia"/>
          <w:color w:val="auto"/>
          <w:sz w:val="24"/>
          <w:szCs w:val="24"/>
          <w:highlight w:val="none"/>
        </w:rPr>
        <w:t>验收完毕，甲方向乙方支付的预付款转为货款。</w:t>
      </w:r>
    </w:p>
    <w:p>
      <w:pPr>
        <w:pStyle w:val="96"/>
        <w:ind w:left="37"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若乙方存在延迟发货、交货、货物权利及质量瑕疵或其他违约行为的，甲方有权从当期应支付的款项中扣除相关违约金及赔偿费用，并保留追究乙方责任的其他权利。</w:t>
      </w:r>
    </w:p>
    <w:p>
      <w:pPr>
        <w:spacing w:line="360" w:lineRule="auto"/>
        <w:rPr>
          <w:b/>
          <w:bCs/>
          <w:color w:val="auto"/>
          <w:sz w:val="24"/>
          <w:szCs w:val="24"/>
          <w:highlight w:val="none"/>
        </w:rPr>
      </w:pPr>
      <w:r>
        <w:rPr>
          <w:rFonts w:hint="eastAsia"/>
          <w:b/>
          <w:bCs/>
          <w:color w:val="auto"/>
          <w:sz w:val="24"/>
          <w:szCs w:val="24"/>
          <w:highlight w:val="none"/>
        </w:rPr>
        <w:t>三、 货物包装</w:t>
      </w:r>
    </w:p>
    <w:p>
      <w:pPr>
        <w:pStyle w:val="96"/>
        <w:ind w:left="37"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乙方应提供货物运至合同约定的最终目的地所需要的包装并承担由此产生的人工、材料等所有费用，以防止货物在转运中损坏或变质。这类包装应采取国家或专业标准，包括防潮、防晒、防锈、防腐蚀、防震动及防止其他损坏的必要措施，从而保证货物能够经受多次搬运、装卸及长途运输。包装不符合标准或约定，造成货物毁损灭失或其他后果的，由乙方承担相应的责任。</w:t>
      </w:r>
    </w:p>
    <w:p>
      <w:pPr>
        <w:spacing w:line="360" w:lineRule="auto"/>
        <w:ind w:firstLine="480" w:firstLineChars="200"/>
        <w:rPr>
          <w:color w:val="auto"/>
          <w:sz w:val="24"/>
          <w:szCs w:val="24"/>
          <w:highlight w:val="none"/>
        </w:rPr>
      </w:pPr>
      <w:r>
        <w:rPr>
          <w:rFonts w:hint="eastAsia"/>
          <w:color w:val="auto"/>
          <w:sz w:val="24"/>
          <w:szCs w:val="24"/>
          <w:highlight w:val="none"/>
        </w:rPr>
        <w:t>2、除非甲方特别要求外，本合同项下所有货物的包装内外均不作任何标识，无图案、无文字，乙方交付的货物本身除产品出厂时按照出厂标准所附的产品型号、品牌标识外，不附任何标识。乙方违反的，甲方有权拒收货物，并要求乙方更换至甲方验收通过或退货。</w:t>
      </w:r>
    </w:p>
    <w:p>
      <w:pPr>
        <w:spacing w:line="360" w:lineRule="auto"/>
        <w:ind w:firstLine="480" w:firstLineChars="200"/>
        <w:rPr>
          <w:color w:val="auto"/>
          <w:sz w:val="24"/>
          <w:szCs w:val="24"/>
          <w:highlight w:val="none"/>
        </w:rPr>
      </w:pPr>
      <w:r>
        <w:rPr>
          <w:rFonts w:hint="eastAsia"/>
          <w:color w:val="auto"/>
          <w:sz w:val="24"/>
          <w:szCs w:val="24"/>
          <w:highlight w:val="none"/>
        </w:rPr>
        <w:t>3、甲乙双方确认，全部包装或包装的任一部分均应满足中国动植物卫生检验检疫法律法规的规定。如果包装为木制包装，则乙方需证明外箱上已有IPPC标识，如果包装为非木制包装的，则需提供由制造商出具的非木制包装证明。</w:t>
      </w:r>
    </w:p>
    <w:p>
      <w:pPr>
        <w:spacing w:line="360" w:lineRule="auto"/>
        <w:rPr>
          <w:b/>
          <w:bCs/>
          <w:color w:val="auto"/>
          <w:sz w:val="24"/>
          <w:szCs w:val="24"/>
          <w:highlight w:val="none"/>
        </w:rPr>
      </w:pPr>
      <w:r>
        <w:rPr>
          <w:rFonts w:hint="eastAsia"/>
          <w:b/>
          <w:bCs/>
          <w:color w:val="auto"/>
          <w:sz w:val="24"/>
          <w:szCs w:val="24"/>
          <w:highlight w:val="none"/>
        </w:rPr>
        <w:t>四、货物交付</w:t>
      </w:r>
    </w:p>
    <w:p>
      <w:pPr>
        <w:spacing w:line="360" w:lineRule="auto"/>
        <w:ind w:firstLine="480" w:firstLineChars="200"/>
        <w:rPr>
          <w:color w:val="auto"/>
          <w:sz w:val="24"/>
          <w:szCs w:val="24"/>
          <w:highlight w:val="none"/>
        </w:rPr>
      </w:pPr>
      <w:r>
        <w:rPr>
          <w:rFonts w:hint="eastAsia"/>
          <w:color w:val="auto"/>
          <w:sz w:val="24"/>
          <w:szCs w:val="24"/>
          <w:highlight w:val="none"/>
        </w:rPr>
        <w:t>1、交付期限：自合同签订后，</w:t>
      </w:r>
      <w:r>
        <w:rPr>
          <w:rFonts w:hint="eastAsia"/>
          <w:color w:val="auto"/>
          <w:sz w:val="24"/>
          <w:szCs w:val="24"/>
          <w:highlight w:val="none"/>
          <w:u w:val="single"/>
        </w:rPr>
        <w:t>本协议项下所约定的设备按本合同附件1《设备清单总表》约定的期限</w:t>
      </w:r>
      <w:r>
        <w:rPr>
          <w:rFonts w:hint="eastAsia"/>
          <w:color w:val="auto"/>
          <w:sz w:val="24"/>
          <w:szCs w:val="24"/>
          <w:highlight w:val="none"/>
        </w:rPr>
        <w:t>交付并安装调试完毕。</w:t>
      </w:r>
    </w:p>
    <w:p>
      <w:pPr>
        <w:spacing w:line="360" w:lineRule="auto"/>
        <w:ind w:firstLine="480" w:firstLineChars="200"/>
        <w:rPr>
          <w:color w:val="auto"/>
          <w:sz w:val="24"/>
          <w:szCs w:val="24"/>
          <w:highlight w:val="none"/>
        </w:rPr>
      </w:pPr>
      <w:r>
        <w:rPr>
          <w:rFonts w:hint="eastAsia"/>
          <w:color w:val="auto"/>
          <w:sz w:val="24"/>
          <w:szCs w:val="24"/>
          <w:highlight w:val="none"/>
        </w:rPr>
        <w:t>2、交付地点：【海南省三亚崖州湾科技城】，具体由甲方指定，交付地点有变更的，甲方需提前三日通知乙方。</w:t>
      </w:r>
    </w:p>
    <w:p>
      <w:pPr>
        <w:spacing w:line="360" w:lineRule="auto"/>
        <w:ind w:firstLine="480" w:firstLineChars="200"/>
        <w:rPr>
          <w:color w:val="auto"/>
          <w:sz w:val="24"/>
          <w:szCs w:val="24"/>
          <w:highlight w:val="none"/>
        </w:rPr>
      </w:pPr>
      <w:r>
        <w:rPr>
          <w:rFonts w:hint="eastAsia"/>
          <w:color w:val="auto"/>
          <w:sz w:val="24"/>
          <w:szCs w:val="24"/>
          <w:highlight w:val="none"/>
        </w:rPr>
        <w:t>3、甲方按本合同附件1《设备清单总表》组织货物验收，未按本合同约定或未经甲方同意，乙方擅自分批交付导致的货物临时储存、货物毁损及甲方因乙方分批交付而增加的一切费用由乙方承担，甲方概不负责。</w:t>
      </w:r>
    </w:p>
    <w:p>
      <w:pPr>
        <w:spacing w:line="360" w:lineRule="auto"/>
        <w:ind w:firstLine="480" w:firstLineChars="200"/>
        <w:rPr>
          <w:color w:val="auto"/>
          <w:sz w:val="24"/>
          <w:szCs w:val="24"/>
          <w:highlight w:val="none"/>
        </w:rPr>
      </w:pPr>
      <w:r>
        <w:rPr>
          <w:rFonts w:hint="eastAsia"/>
          <w:color w:val="auto"/>
          <w:sz w:val="24"/>
          <w:szCs w:val="24"/>
          <w:highlight w:val="none"/>
        </w:rPr>
        <w:t>4、本合同签订后，</w:t>
      </w:r>
      <w:r>
        <w:rPr>
          <w:rFonts w:hint="eastAsia"/>
          <w:color w:val="auto"/>
          <w:sz w:val="24"/>
          <w:szCs w:val="24"/>
          <w:highlight w:val="none"/>
          <w:u w:val="single"/>
        </w:rPr>
        <w:t>在本合同附件1《设备清单总表》约定的交付及安装调试期限到期前10日</w:t>
      </w:r>
      <w:r>
        <w:rPr>
          <w:rFonts w:hint="eastAsia"/>
          <w:color w:val="auto"/>
          <w:sz w:val="24"/>
          <w:szCs w:val="24"/>
          <w:highlight w:val="none"/>
        </w:rPr>
        <w:t>内，乙方应备货完毕，在收到甲方交货通知后【10】个日历天内，将货物运至甲方指定地点交付；甲方未通知乙方交货的，乙方应自行将货物交付至交付地点并考虑运输时耗；无论如何，在本合同签订后，</w:t>
      </w:r>
      <w:r>
        <w:rPr>
          <w:rFonts w:hint="eastAsia"/>
          <w:color w:val="auto"/>
          <w:sz w:val="24"/>
          <w:szCs w:val="24"/>
          <w:highlight w:val="none"/>
          <w:u w:val="single"/>
        </w:rPr>
        <w:t>在本合同附件1《设备清单总表》约定的交付及安装调试期限</w:t>
      </w:r>
      <w:r>
        <w:rPr>
          <w:rFonts w:hint="eastAsia"/>
          <w:color w:val="auto"/>
          <w:sz w:val="24"/>
          <w:szCs w:val="24"/>
          <w:highlight w:val="none"/>
        </w:rPr>
        <w:t>前，乙方保证货物全部交付、安装调试完毕。</w:t>
      </w:r>
      <w:r>
        <w:rPr>
          <w:rFonts w:hint="eastAsia"/>
          <w:color w:val="auto"/>
          <w:sz w:val="24"/>
          <w:szCs w:val="24"/>
          <w:highlight w:val="none"/>
          <w:lang w:val="en-US"/>
        </w:rPr>
        <w:t>确因甲方原因导致乙方无法按时交货的，经甲方审核确认后，到货时间相应顺延，具体交货时间，双方另行协商。</w:t>
      </w:r>
    </w:p>
    <w:p>
      <w:pPr>
        <w:spacing w:line="360" w:lineRule="auto"/>
        <w:ind w:firstLine="480" w:firstLineChars="200"/>
        <w:rPr>
          <w:color w:val="auto"/>
          <w:sz w:val="24"/>
          <w:szCs w:val="24"/>
          <w:highlight w:val="none"/>
        </w:rPr>
      </w:pPr>
      <w:r>
        <w:rPr>
          <w:rFonts w:hint="eastAsia"/>
          <w:color w:val="auto"/>
          <w:sz w:val="24"/>
          <w:szCs w:val="24"/>
          <w:highlight w:val="none"/>
        </w:rPr>
        <w:t>5、乙方因交付货物产生的保险、仓储、运输等一切费用概由乙方承担。</w:t>
      </w:r>
    </w:p>
    <w:p>
      <w:pPr>
        <w:spacing w:line="360" w:lineRule="auto"/>
        <w:ind w:firstLine="480" w:firstLineChars="200"/>
        <w:rPr>
          <w:color w:val="auto"/>
          <w:sz w:val="24"/>
          <w:szCs w:val="24"/>
          <w:highlight w:val="none"/>
        </w:rPr>
      </w:pPr>
      <w:r>
        <w:rPr>
          <w:rFonts w:hint="eastAsia"/>
          <w:color w:val="auto"/>
          <w:sz w:val="24"/>
          <w:szCs w:val="24"/>
          <w:highlight w:val="none"/>
        </w:rPr>
        <w:t>6、乙方误发、多发的货物，甲方不承担保管责任，相关货物基于乙方请求，甲方同意接收的，发生损害甲方概不负责，甲方免于承担因其保管相关货物而遭受的一切追责（包括保管不当、重大过失等），因保管相关货物而产生的费用，甲方有权从合同价款中扣除。</w:t>
      </w:r>
    </w:p>
    <w:p>
      <w:pPr>
        <w:spacing w:line="360" w:lineRule="auto"/>
        <w:ind w:firstLine="480" w:firstLineChars="200"/>
        <w:rPr>
          <w:color w:val="auto"/>
          <w:sz w:val="24"/>
          <w:szCs w:val="24"/>
          <w:highlight w:val="none"/>
        </w:rPr>
      </w:pPr>
      <w:r>
        <w:rPr>
          <w:rFonts w:hint="eastAsia"/>
          <w:color w:val="auto"/>
          <w:sz w:val="24"/>
          <w:szCs w:val="24"/>
          <w:highlight w:val="none"/>
        </w:rPr>
        <w:t>7、乙方应于交货日两周之前，通过电话或传真的方式通知甲方，通知内容包括合同号、合同设备的名称、数量、估计总重量与总体积，安装培训所需要的硬件条件以及预计交货日期等。甲方在收到乙方通知后，应在约定交货时间前向乙方确认货物存放地点并准备好该设备安装培训所需要的相关条件。</w:t>
      </w:r>
    </w:p>
    <w:p>
      <w:pPr>
        <w:spacing w:line="360" w:lineRule="auto"/>
        <w:ind w:firstLine="480" w:firstLineChars="200"/>
        <w:rPr>
          <w:color w:val="auto"/>
          <w:sz w:val="24"/>
          <w:szCs w:val="24"/>
          <w:highlight w:val="none"/>
        </w:rPr>
      </w:pPr>
      <w:r>
        <w:rPr>
          <w:rFonts w:hint="eastAsia"/>
          <w:color w:val="auto"/>
          <w:sz w:val="24"/>
          <w:szCs w:val="24"/>
          <w:highlight w:val="none"/>
        </w:rPr>
        <w:t>8、如中标设备出现停产、更新换代等情况，乙方须向甲方提供停产（或更换）说明，并保证所替代的设备品牌、规格、质量、功能等不低于原中标设备。更换的设备质保期、价款支付、验收等应与原中标设备一致。</w:t>
      </w:r>
    </w:p>
    <w:p>
      <w:pPr>
        <w:spacing w:line="360" w:lineRule="auto"/>
        <w:rPr>
          <w:b/>
          <w:bCs/>
          <w:color w:val="auto"/>
          <w:sz w:val="24"/>
          <w:szCs w:val="24"/>
          <w:highlight w:val="none"/>
        </w:rPr>
      </w:pPr>
      <w:r>
        <w:rPr>
          <w:rFonts w:hint="eastAsia"/>
          <w:b/>
          <w:bCs/>
          <w:color w:val="auto"/>
          <w:sz w:val="24"/>
          <w:szCs w:val="24"/>
          <w:highlight w:val="none"/>
        </w:rPr>
        <w:t>五、质量与</w:t>
      </w:r>
      <w:r>
        <w:rPr>
          <w:rFonts w:hint="eastAsia"/>
          <w:b/>
          <w:bCs/>
          <w:color w:val="auto"/>
          <w:sz w:val="24"/>
          <w:szCs w:val="24"/>
          <w:highlight w:val="none"/>
          <w:lang w:val="en-US"/>
        </w:rPr>
        <w:t>初步</w:t>
      </w:r>
      <w:r>
        <w:rPr>
          <w:rFonts w:hint="eastAsia"/>
          <w:b/>
          <w:bCs/>
          <w:color w:val="auto"/>
          <w:sz w:val="24"/>
          <w:szCs w:val="24"/>
          <w:highlight w:val="none"/>
        </w:rPr>
        <w:t>验收</w:t>
      </w:r>
    </w:p>
    <w:p>
      <w:pPr>
        <w:spacing w:line="360" w:lineRule="auto"/>
        <w:ind w:firstLine="480" w:firstLineChars="200"/>
        <w:rPr>
          <w:color w:val="auto"/>
          <w:sz w:val="24"/>
          <w:szCs w:val="24"/>
          <w:highlight w:val="none"/>
        </w:rPr>
      </w:pPr>
      <w:r>
        <w:rPr>
          <w:rFonts w:hint="eastAsia"/>
          <w:color w:val="auto"/>
          <w:sz w:val="24"/>
          <w:szCs w:val="24"/>
          <w:highlight w:val="none"/>
        </w:rPr>
        <w:t>1、甲方应按照国家、地方和行业有关标准及本合同约定、招投标文件的技术要求等进行验收，乙方必须提供完整、合格、有效的产品出厂文件及有关货物资格证明文件。货物到达甲方指定地点后，甲方做初步的规格型号、数量、外观等的验收，但该</w:t>
      </w:r>
      <w:r>
        <w:rPr>
          <w:rFonts w:hint="eastAsia"/>
          <w:color w:val="auto"/>
          <w:sz w:val="24"/>
          <w:szCs w:val="24"/>
          <w:highlight w:val="none"/>
          <w:lang w:val="en-US"/>
        </w:rPr>
        <w:t>初步</w:t>
      </w:r>
      <w:r>
        <w:rPr>
          <w:rFonts w:hint="eastAsia"/>
          <w:color w:val="auto"/>
          <w:sz w:val="24"/>
          <w:szCs w:val="24"/>
          <w:highlight w:val="none"/>
        </w:rPr>
        <w:t>验收合格不应视为货物内在品质的合格，也不能因此免除乙方的质量保证义务。（验收：本文的“验收”是指对乙方提供的货物进行现场接收、安装调试无明显的质量问题后的正式认证货物规格、型号、数量、外观、基本性能等环节。）</w:t>
      </w:r>
    </w:p>
    <w:p>
      <w:pPr>
        <w:spacing w:line="360" w:lineRule="auto"/>
        <w:ind w:firstLine="480" w:firstLineChars="200"/>
        <w:rPr>
          <w:color w:val="auto"/>
          <w:sz w:val="24"/>
          <w:szCs w:val="24"/>
          <w:highlight w:val="none"/>
        </w:rPr>
      </w:pPr>
      <w:r>
        <w:rPr>
          <w:rFonts w:hint="eastAsia"/>
          <w:color w:val="auto"/>
          <w:sz w:val="24"/>
          <w:szCs w:val="24"/>
          <w:highlight w:val="none"/>
        </w:rPr>
        <w:t>2、乙方保证合同项下的所有货物均由优质材料和标准工艺制成，亦即无设计、材料和工艺方面的缺陷，该货物需为未曾使用的全新设备，且完全符合本合同约定的质量、规格、性能，保证在正确安装、正常使用和维修的情况下，具备正常性能。</w:t>
      </w:r>
    </w:p>
    <w:p>
      <w:pPr>
        <w:spacing w:line="360" w:lineRule="auto"/>
        <w:ind w:firstLine="480" w:firstLineChars="200"/>
        <w:rPr>
          <w:color w:val="auto"/>
          <w:sz w:val="24"/>
          <w:szCs w:val="24"/>
          <w:highlight w:val="none"/>
        </w:rPr>
      </w:pPr>
      <w:r>
        <w:rPr>
          <w:rFonts w:hint="eastAsia"/>
          <w:color w:val="auto"/>
          <w:sz w:val="24"/>
          <w:szCs w:val="24"/>
          <w:highlight w:val="none"/>
        </w:rPr>
        <w:t>3、乙方提供的货物的主要配置、技术状态或质量标准不符合前述要求的，甲方可拒收货物。甲方拒收货物的，标的物毁损、丢失及产生一切相关费用的风险皆由乙方承担。</w:t>
      </w:r>
    </w:p>
    <w:p>
      <w:pPr>
        <w:spacing w:line="360" w:lineRule="auto"/>
        <w:ind w:firstLine="480" w:firstLineChars="200"/>
        <w:rPr>
          <w:color w:val="auto"/>
          <w:sz w:val="24"/>
          <w:szCs w:val="24"/>
          <w:highlight w:val="none"/>
        </w:rPr>
      </w:pPr>
      <w:r>
        <w:rPr>
          <w:rFonts w:hint="eastAsia"/>
          <w:color w:val="auto"/>
          <w:sz w:val="24"/>
          <w:szCs w:val="24"/>
          <w:highlight w:val="none"/>
        </w:rPr>
        <w:t>4、乙方保证其提供的所有货物均是全新生产制造的，产品质量、规格均符合本合同约定，产品适用于甲方既定用途，因货物本身适用条件（地点、气候）等原因导致货物未达到甲方要求的使用性能的，甲方有权拒收货物，已经接收的，甲方有权要求乙方更换、退货退款，因货物退换产生的毁损、丢失及产生的其他一切费用的风险由乙方承担；乙方对所交付货物享有完全无瑕疵的所有权，所交付的货物上不存在任何未曾向甲方书面明示的权利瑕疵，如抵押权、质押权、留置权等。</w:t>
      </w:r>
    </w:p>
    <w:p>
      <w:pPr>
        <w:spacing w:line="360" w:lineRule="auto"/>
        <w:ind w:firstLine="480" w:firstLineChars="200"/>
        <w:rPr>
          <w:color w:val="auto"/>
          <w:sz w:val="24"/>
          <w:szCs w:val="24"/>
          <w:highlight w:val="none"/>
        </w:rPr>
      </w:pPr>
      <w:r>
        <w:rPr>
          <w:color w:val="auto"/>
          <w:sz w:val="24"/>
          <w:szCs w:val="24"/>
          <w:highlight w:val="none"/>
        </w:rPr>
        <w:t>5</w:t>
      </w:r>
      <w:r>
        <w:rPr>
          <w:rFonts w:hint="eastAsia"/>
          <w:color w:val="auto"/>
          <w:sz w:val="24"/>
          <w:szCs w:val="24"/>
          <w:highlight w:val="none"/>
        </w:rPr>
        <w:t>、</w:t>
      </w:r>
      <w:r>
        <w:rPr>
          <w:rFonts w:hint="eastAsia"/>
          <w:color w:val="auto"/>
          <w:sz w:val="24"/>
          <w:szCs w:val="24"/>
          <w:highlight w:val="none"/>
          <w:lang w:val="en-US"/>
        </w:rPr>
        <w:t>初步</w:t>
      </w:r>
      <w:r>
        <w:rPr>
          <w:rFonts w:hint="eastAsia"/>
          <w:color w:val="auto"/>
          <w:sz w:val="24"/>
          <w:szCs w:val="24"/>
          <w:highlight w:val="none"/>
        </w:rPr>
        <w:t>验收注意事项：乙方必须在甲方在场的情况下当场拆封合同项下的所有货物的包装，并将发票原件、质保卡、使用说明书、设备总装配图（如有）、出场检验报告（如有）、质量合格证、随机配件等交甲方签收。验收后双方在《验收报告》上签字盖章，该报告作为甲方向乙方因短少、缺陷、或其他与合同不符合情形索赔的有效证据。</w:t>
      </w:r>
    </w:p>
    <w:p>
      <w:pPr>
        <w:pStyle w:val="96"/>
        <w:ind w:left="37"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6、初步验收过程中如产生争议，双方应采取有效措施保护现场，并通过协商解决，协商不成的按本合同相关规定执行。</w:t>
      </w:r>
    </w:p>
    <w:p>
      <w:pPr>
        <w:spacing w:line="360" w:lineRule="auto"/>
        <w:rPr>
          <w:b/>
          <w:bCs/>
          <w:color w:val="auto"/>
          <w:sz w:val="24"/>
          <w:szCs w:val="24"/>
          <w:highlight w:val="none"/>
          <w:lang w:val="en-US"/>
        </w:rPr>
      </w:pPr>
      <w:r>
        <w:rPr>
          <w:rFonts w:hint="eastAsia"/>
          <w:b/>
          <w:bCs/>
          <w:color w:val="auto"/>
          <w:sz w:val="24"/>
          <w:szCs w:val="24"/>
          <w:highlight w:val="none"/>
        </w:rPr>
        <w:t>六、检验、安装、调试、</w:t>
      </w:r>
      <w:r>
        <w:rPr>
          <w:rFonts w:hint="eastAsia"/>
          <w:b/>
          <w:bCs/>
          <w:color w:val="auto"/>
          <w:sz w:val="24"/>
          <w:szCs w:val="24"/>
          <w:highlight w:val="none"/>
          <w:lang w:val="en-US"/>
        </w:rPr>
        <w:t>最终验收</w:t>
      </w:r>
    </w:p>
    <w:p>
      <w:pPr>
        <w:tabs>
          <w:tab w:val="left" w:pos="3060"/>
        </w:tabs>
        <w:spacing w:line="360" w:lineRule="auto"/>
        <w:ind w:firstLine="480" w:firstLineChars="200"/>
        <w:rPr>
          <w:color w:val="auto"/>
          <w:sz w:val="24"/>
          <w:szCs w:val="24"/>
          <w:highlight w:val="none"/>
        </w:rPr>
      </w:pPr>
      <w:r>
        <w:rPr>
          <w:rFonts w:hint="eastAsia"/>
          <w:color w:val="auto"/>
          <w:sz w:val="24"/>
          <w:szCs w:val="24"/>
          <w:highlight w:val="none"/>
        </w:rPr>
        <w:t>1、甲方有权派遣检验人员到乙方或制造商处会同乙方检验人员对设备的制造过程和质量进行监督检验，但该行为并不代替或解除乙方对产品质量的责任。</w:t>
      </w:r>
    </w:p>
    <w:p>
      <w:pPr>
        <w:spacing w:line="360" w:lineRule="auto"/>
        <w:ind w:firstLine="480" w:firstLineChars="200"/>
        <w:rPr>
          <w:color w:val="auto"/>
          <w:sz w:val="24"/>
          <w:szCs w:val="24"/>
          <w:highlight w:val="none"/>
        </w:rPr>
      </w:pPr>
      <w:r>
        <w:rPr>
          <w:rFonts w:hint="eastAsia"/>
          <w:color w:val="auto"/>
          <w:sz w:val="24"/>
          <w:szCs w:val="24"/>
          <w:highlight w:val="none"/>
        </w:rPr>
        <w:t>2、乙方应在甲方</w:t>
      </w:r>
      <w:r>
        <w:rPr>
          <w:rFonts w:hint="eastAsia"/>
          <w:color w:val="auto"/>
          <w:sz w:val="24"/>
          <w:szCs w:val="24"/>
          <w:highlight w:val="none"/>
          <w:lang w:val="en-US"/>
        </w:rPr>
        <w:t>初步</w:t>
      </w:r>
      <w:r>
        <w:rPr>
          <w:rFonts w:hint="eastAsia"/>
          <w:color w:val="auto"/>
          <w:sz w:val="24"/>
          <w:szCs w:val="24"/>
          <w:highlight w:val="none"/>
        </w:rPr>
        <w:t>验收后对设备进行安装与调试，以达到合同约定的要求和标准，并保证设备的正常运转。甲方在安装与调试过程中应提供必要的协助和配合。乙方在安装与调试过程中应提供必要的配套设备，如必要的（</w:t>
      </w:r>
      <w:r>
        <w:rPr>
          <w:rFonts w:hint="eastAsia"/>
          <w:color w:val="auto"/>
          <w:sz w:val="24"/>
          <w:szCs w:val="24"/>
          <w:highlight w:val="none"/>
          <w:lang w:val="en-US"/>
        </w:rPr>
        <w:t>包括但不限于</w:t>
      </w:r>
      <w:r>
        <w:rPr>
          <w:rFonts w:hint="eastAsia"/>
          <w:color w:val="auto"/>
          <w:sz w:val="24"/>
          <w:szCs w:val="24"/>
          <w:highlight w:val="none"/>
        </w:rPr>
        <w:t>）电脑、空气压缩机及其他必要的配套设备，</w:t>
      </w:r>
      <w:r>
        <w:rPr>
          <w:rFonts w:hint="eastAsia"/>
          <w:color w:val="auto"/>
          <w:sz w:val="24"/>
          <w:szCs w:val="24"/>
          <w:highlight w:val="none"/>
          <w:lang w:val="en-US"/>
        </w:rPr>
        <w:t>该配套设备如为设备运行的必要条件，则该配套设备由乙方提供，在设备验收时与主设备一同移交甲方，乙方不对配套设备另行收费</w:t>
      </w:r>
      <w:r>
        <w:rPr>
          <w:rFonts w:hint="eastAsia"/>
          <w:color w:val="auto"/>
          <w:sz w:val="24"/>
          <w:szCs w:val="24"/>
          <w:highlight w:val="none"/>
        </w:rPr>
        <w:t>。</w:t>
      </w:r>
    </w:p>
    <w:p>
      <w:pPr>
        <w:pStyle w:val="98"/>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3、安装工作完全符合合同要求和标准，并且单机试车成功，双方代表可在当日现场签署安装验收单。但不免除乙方在安装调试过程中和质量保证期内所应承担的责任。</w:t>
      </w:r>
    </w:p>
    <w:p>
      <w:pPr>
        <w:pStyle w:val="98"/>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4、设备整机经联运测试完全符合约定的技术指标，经双方代表签字确认后，即完成了对全部设备的最后验收。</w:t>
      </w:r>
    </w:p>
    <w:p>
      <w:pPr>
        <w:pStyle w:val="98"/>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5、在安装调试期间，如果乙方提供设备、材料有缺陷或由于乙方技术人员的指导错误或乙方提供的技术资料、图纸、说明书的错误造成甲方设备、材料损坏，乙方应采取必要的补救措施，并赔偿甲方的损失。</w:t>
      </w:r>
    </w:p>
    <w:p>
      <w:pPr>
        <w:pStyle w:val="2"/>
        <w:spacing w:line="360" w:lineRule="auto"/>
        <w:ind w:firstLine="480"/>
        <w:rPr>
          <w:rFonts w:ascii="宋体" w:hAnsi="宋体" w:cs="宋体"/>
          <w:color w:val="auto"/>
          <w:sz w:val="24"/>
          <w:highlight w:val="none"/>
        </w:rPr>
      </w:pPr>
      <w:r>
        <w:rPr>
          <w:rFonts w:hint="eastAsia" w:ascii="宋体" w:hAnsi="宋体" w:cs="宋体"/>
          <w:color w:val="auto"/>
          <w:sz w:val="24"/>
          <w:highlight w:val="none"/>
        </w:rPr>
        <w:t>6、涉及仪器设备需与实验室基础设施（水、电、通风等）接驳的，乙方应做好专项深化设计工作。</w:t>
      </w:r>
    </w:p>
    <w:p>
      <w:pPr>
        <w:tabs>
          <w:tab w:val="left" w:pos="3060"/>
        </w:tabs>
        <w:spacing w:line="360" w:lineRule="auto"/>
        <w:ind w:firstLine="480" w:firstLineChars="200"/>
        <w:rPr>
          <w:color w:val="auto"/>
          <w:sz w:val="24"/>
          <w:szCs w:val="24"/>
          <w:highlight w:val="none"/>
        </w:rPr>
      </w:pPr>
      <w:r>
        <w:rPr>
          <w:rFonts w:hint="eastAsia"/>
          <w:color w:val="auto"/>
          <w:sz w:val="24"/>
          <w:szCs w:val="24"/>
          <w:highlight w:val="none"/>
          <w:lang w:val="en-US"/>
        </w:rPr>
        <w:t>7</w:t>
      </w:r>
      <w:r>
        <w:rPr>
          <w:rFonts w:hint="eastAsia"/>
          <w:color w:val="auto"/>
          <w:sz w:val="24"/>
          <w:szCs w:val="24"/>
          <w:highlight w:val="none"/>
        </w:rPr>
        <w:t>、如果任何被检验的货物不能满足规格的要求，甲方可以拒绝接收该货物，乙方应按甲方要求及时更换，或者免费进行必要的修理以满足本合同的要求，对此甲方具有选择权。</w:t>
      </w:r>
    </w:p>
    <w:p>
      <w:pPr>
        <w:pStyle w:val="96"/>
        <w:ind w:left="37"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8、本合同项下设备在安装、调试过程中的有关安全、安装措施及工人工伤问题由乙方自行负责，其一切责任与甲方无关。</w:t>
      </w:r>
    </w:p>
    <w:p>
      <w:pPr>
        <w:pStyle w:val="96"/>
        <w:ind w:left="37"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9、乙方应当负责安装现场各类废弃物的清场及所有不安全因素的警示，若乙方未按照约定进行清场或进行警示，由此造成的损失由乙方承担。</w:t>
      </w:r>
    </w:p>
    <w:p>
      <w:pPr>
        <w:pStyle w:val="96"/>
        <w:ind w:left="37"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10、乙方应当负责安装现场所有材料的保管及未验收移交前的成品保护，保护期间发生损坏的，由乙方自费修理。</w:t>
      </w:r>
    </w:p>
    <w:p>
      <w:pPr>
        <w:pStyle w:val="96"/>
        <w:ind w:left="37"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如涉及特殊设备，乙方须充分考虑设备对环境质量的影响，办理环境影响评价等必要的报批手续（如有），确保设备可正常使用。因编制环境影响评价报告及相关报批手续产生的费用由乙方承担，不再另行计取。</w:t>
      </w:r>
    </w:p>
    <w:p>
      <w:pPr>
        <w:spacing w:line="360" w:lineRule="auto"/>
        <w:rPr>
          <w:b/>
          <w:bCs/>
          <w:color w:val="auto"/>
          <w:sz w:val="24"/>
          <w:szCs w:val="24"/>
          <w:highlight w:val="none"/>
        </w:rPr>
      </w:pPr>
      <w:r>
        <w:rPr>
          <w:rFonts w:hint="eastAsia"/>
          <w:b/>
          <w:bCs/>
          <w:color w:val="auto"/>
          <w:sz w:val="24"/>
          <w:szCs w:val="24"/>
          <w:highlight w:val="none"/>
        </w:rPr>
        <w:t>七、售后质保服务</w:t>
      </w:r>
    </w:p>
    <w:p>
      <w:pPr>
        <w:spacing w:line="360" w:lineRule="auto"/>
        <w:ind w:firstLine="480" w:firstLineChars="200"/>
        <w:rPr>
          <w:color w:val="auto"/>
          <w:sz w:val="24"/>
          <w:szCs w:val="24"/>
          <w:highlight w:val="none"/>
        </w:rPr>
      </w:pPr>
      <w:r>
        <w:rPr>
          <w:rFonts w:hint="eastAsia"/>
          <w:color w:val="auto"/>
          <w:sz w:val="24"/>
          <w:szCs w:val="24"/>
          <w:highlight w:val="none"/>
        </w:rPr>
        <w:t>1、自全部货物</w:t>
      </w:r>
      <w:r>
        <w:rPr>
          <w:rFonts w:hint="eastAsia"/>
          <w:color w:val="auto"/>
          <w:sz w:val="24"/>
          <w:szCs w:val="24"/>
          <w:highlight w:val="none"/>
          <w:lang w:val="en-US"/>
        </w:rPr>
        <w:t>最终</w:t>
      </w:r>
      <w:r>
        <w:rPr>
          <w:rFonts w:hint="eastAsia"/>
          <w:color w:val="auto"/>
          <w:sz w:val="24"/>
          <w:szCs w:val="24"/>
          <w:highlight w:val="none"/>
        </w:rPr>
        <w:t>验收合格之日起，乙方提供【本合同附件1《设备清单总表》约定】的产品质保期质保服务。货物质保期内货物出现的质量问题，甲方有权向乙方提出索赔，并要求乙方进行退换货或保修处理，相关费用由乙方自行承担，甲方要求退换货的，自接到甲方通知后【7】日内，乙方无条件配合甲方进行退换货处理（更换货物质量标准不低于本合同约定标准），因乙方货物本身质量问题造成甲方其他损失的，甲方有权要求乙方予以赔偿；货物质保期外提供有偿维保服务，乙方承诺只收取适当材料及人工费用。</w:t>
      </w:r>
    </w:p>
    <w:p>
      <w:pPr>
        <w:spacing w:line="360" w:lineRule="auto"/>
        <w:ind w:firstLine="480" w:firstLineChars="200"/>
        <w:rPr>
          <w:color w:val="auto"/>
          <w:sz w:val="24"/>
          <w:szCs w:val="24"/>
          <w:highlight w:val="none"/>
        </w:rPr>
      </w:pPr>
      <w:r>
        <w:rPr>
          <w:rFonts w:hint="eastAsia"/>
          <w:color w:val="auto"/>
          <w:sz w:val="24"/>
          <w:szCs w:val="24"/>
          <w:highlight w:val="none"/>
        </w:rPr>
        <w:t>2、乙方应在</w:t>
      </w:r>
      <w:r>
        <w:rPr>
          <w:rFonts w:hint="eastAsia"/>
          <w:color w:val="auto"/>
          <w:sz w:val="24"/>
          <w:szCs w:val="24"/>
          <w:highlight w:val="none"/>
          <w:lang w:val="en-US"/>
        </w:rPr>
        <w:t>甲方</w:t>
      </w:r>
      <w:r>
        <w:rPr>
          <w:rFonts w:hint="eastAsia"/>
          <w:color w:val="auto"/>
          <w:sz w:val="24"/>
          <w:szCs w:val="24"/>
          <w:highlight w:val="none"/>
        </w:rPr>
        <w:t>设备存放地为本合同所有设备配备常用、易损的零件和配件，并具有专职的售后维修人员，保证售后维修的及时、快捷。保证在接到故障电话后，【1】小时内响应，在【4】小时内派出有能力的维修人员赶到甲方现场进行零件更换及维修处理。12小时内检测出故障，并于【48】小时内修复完成。乙方在货物交付时需向甲方提供专职售后维修人员的名单及联系方式。</w:t>
      </w:r>
    </w:p>
    <w:p>
      <w:pPr>
        <w:spacing w:line="360" w:lineRule="auto"/>
        <w:ind w:firstLine="480" w:firstLineChars="200"/>
        <w:rPr>
          <w:color w:val="auto"/>
          <w:sz w:val="24"/>
          <w:szCs w:val="24"/>
          <w:highlight w:val="none"/>
        </w:rPr>
      </w:pPr>
      <w:r>
        <w:rPr>
          <w:rFonts w:hint="eastAsia"/>
          <w:color w:val="auto"/>
          <w:sz w:val="24"/>
          <w:szCs w:val="24"/>
          <w:highlight w:val="none"/>
        </w:rPr>
        <w:t>3、甲方应尽快以书面形式通知乙方在质量保证期内所发现的缺陷。乙方收到通知后应在本合同约定的时间内及时免费维修或更换有缺陷的货物或部件，并承担由此发生的所有相关费用。</w:t>
      </w:r>
    </w:p>
    <w:p>
      <w:pPr>
        <w:spacing w:line="360" w:lineRule="auto"/>
        <w:ind w:firstLine="480" w:firstLineChars="200"/>
        <w:rPr>
          <w:color w:val="auto"/>
          <w:sz w:val="24"/>
          <w:szCs w:val="24"/>
          <w:highlight w:val="none"/>
        </w:rPr>
      </w:pPr>
      <w:r>
        <w:rPr>
          <w:rFonts w:hint="eastAsia"/>
          <w:color w:val="auto"/>
          <w:sz w:val="24"/>
          <w:szCs w:val="24"/>
          <w:highlight w:val="none"/>
        </w:rPr>
        <w:t>4、如果乙方收到通知后在合同规定的时间内没有及时维修、重作、更换以弥补缺陷，甲方可采取必要的补救措施，但其风险和费用将由乙方承担，甲方根据合同约定对乙方行使的其他权利不受影响。</w:t>
      </w:r>
    </w:p>
    <w:p>
      <w:pPr>
        <w:spacing w:line="360" w:lineRule="auto"/>
        <w:ind w:firstLine="480" w:firstLineChars="200"/>
        <w:rPr>
          <w:color w:val="auto"/>
          <w:sz w:val="24"/>
          <w:szCs w:val="24"/>
          <w:highlight w:val="none"/>
        </w:rPr>
      </w:pPr>
      <w:r>
        <w:rPr>
          <w:rFonts w:hint="eastAsia"/>
          <w:color w:val="auto"/>
          <w:sz w:val="24"/>
          <w:szCs w:val="24"/>
          <w:highlight w:val="none"/>
        </w:rPr>
        <w:t>5、免费提供现场培训及相关技术咨询、指导及安装调试以及设备正常运行所必须的相关服务。其中，培训内容应包括技术原理、操作、日常基本维护与保养。产品验收合格后【14】日内，乙方至少组织【1】次培训会，使参加培训的人员能独立使用相关设备，同时能独立处理常见性故障。甲方有其他特殊培训要求的，乙方无条件配合。</w:t>
      </w:r>
    </w:p>
    <w:p>
      <w:pPr>
        <w:spacing w:line="360" w:lineRule="auto"/>
        <w:ind w:firstLine="480" w:firstLineChars="200"/>
        <w:rPr>
          <w:color w:val="auto"/>
          <w:sz w:val="24"/>
          <w:szCs w:val="24"/>
          <w:highlight w:val="none"/>
        </w:rPr>
      </w:pPr>
      <w:r>
        <w:rPr>
          <w:rFonts w:hint="eastAsia"/>
          <w:color w:val="auto"/>
          <w:sz w:val="24"/>
          <w:szCs w:val="24"/>
          <w:highlight w:val="none"/>
        </w:rPr>
        <w:t>6、乙方须为甲方提供全部货物的安装、调试、使用、维修和保养所需的足够的技术文件（如有）包括但不限于图纸、手册和技术资料。</w:t>
      </w:r>
    </w:p>
    <w:p>
      <w:pPr>
        <w:spacing w:line="360" w:lineRule="auto"/>
        <w:ind w:firstLine="480" w:firstLineChars="200"/>
        <w:rPr>
          <w:color w:val="auto"/>
          <w:sz w:val="24"/>
          <w:szCs w:val="24"/>
          <w:highlight w:val="none"/>
        </w:rPr>
      </w:pPr>
      <w:r>
        <w:rPr>
          <w:rFonts w:hint="eastAsia"/>
          <w:color w:val="auto"/>
          <w:sz w:val="24"/>
          <w:szCs w:val="24"/>
          <w:highlight w:val="none"/>
        </w:rPr>
        <w:t>7、质保期内，乙方未按前款规定提供培训、指导、咨询服务或产品有质量问题的，甲方有权视情节严重程度每次扣除不超过质保金的20%，直至质保金无可扣除余额。</w:t>
      </w:r>
    </w:p>
    <w:p>
      <w:pPr>
        <w:spacing w:line="360" w:lineRule="auto"/>
        <w:ind w:firstLine="480" w:firstLineChars="200"/>
        <w:rPr>
          <w:color w:val="auto"/>
          <w:sz w:val="24"/>
          <w:szCs w:val="24"/>
          <w:highlight w:val="none"/>
        </w:rPr>
      </w:pPr>
      <w:r>
        <w:rPr>
          <w:rFonts w:hint="eastAsia"/>
          <w:color w:val="auto"/>
          <w:sz w:val="24"/>
          <w:szCs w:val="24"/>
          <w:highlight w:val="none"/>
        </w:rPr>
        <w:t>8、甲乙双方对货物质量承担责任有异议的，任一方可将本合同项下货物提交甲方所在地权威机构进行检验，检验结果作为最终评判产品质量责任的标准。</w:t>
      </w:r>
    </w:p>
    <w:p>
      <w:pPr>
        <w:pStyle w:val="2"/>
        <w:rPr>
          <w:rFonts w:ascii="宋体" w:hAnsi="宋体" w:cs="宋体"/>
          <w:color w:val="auto"/>
          <w:highlight w:val="none"/>
        </w:rPr>
      </w:pPr>
      <w:r>
        <w:rPr>
          <w:rFonts w:hint="eastAsia" w:ascii="宋体" w:hAnsi="宋体" w:cs="宋体"/>
          <w:color w:val="auto"/>
          <w:highlight w:val="none"/>
        </w:rPr>
        <w:t>9、本合同所有设备整机质保期依据附件1《设备清单总表》约定，设备的主要部件的质保期应按投标文件约定、厂家设备质保期，自设备</w:t>
      </w:r>
      <w:r>
        <w:rPr>
          <w:rFonts w:hint="eastAsia" w:ascii="宋体" w:hAnsi="宋体" w:cs="宋体"/>
          <w:color w:val="auto"/>
          <w:sz w:val="24"/>
          <w:highlight w:val="none"/>
        </w:rPr>
        <w:t>最终</w:t>
      </w:r>
      <w:r>
        <w:rPr>
          <w:rFonts w:hint="eastAsia" w:ascii="宋体" w:hAnsi="宋体" w:cs="宋体"/>
          <w:color w:val="auto"/>
          <w:highlight w:val="none"/>
        </w:rPr>
        <w:t>验收合格之日起计算，在质保期内设备的主要部件、配件出现质量问题，乙方有义务协助甲方向厂家进行退换货或保修处理，因此产生的运费、维修费、保险费等相关费用均由乙方承担。</w:t>
      </w:r>
    </w:p>
    <w:p>
      <w:pPr>
        <w:spacing w:line="360" w:lineRule="auto"/>
        <w:rPr>
          <w:b/>
          <w:bCs/>
          <w:color w:val="auto"/>
          <w:sz w:val="24"/>
          <w:szCs w:val="24"/>
          <w:highlight w:val="none"/>
        </w:rPr>
      </w:pPr>
      <w:r>
        <w:rPr>
          <w:rFonts w:hint="eastAsia"/>
          <w:b/>
          <w:bCs/>
          <w:color w:val="auto"/>
          <w:sz w:val="24"/>
          <w:szCs w:val="24"/>
          <w:highlight w:val="none"/>
        </w:rPr>
        <w:t>八、知识产权</w:t>
      </w:r>
    </w:p>
    <w:p>
      <w:pPr>
        <w:spacing w:line="360" w:lineRule="auto"/>
        <w:ind w:firstLine="480" w:firstLineChars="200"/>
        <w:rPr>
          <w:b/>
          <w:bCs/>
          <w:color w:val="auto"/>
          <w:sz w:val="24"/>
          <w:szCs w:val="24"/>
          <w:highlight w:val="none"/>
        </w:rPr>
      </w:pPr>
      <w:r>
        <w:rPr>
          <w:rFonts w:hint="eastAsia"/>
          <w:color w:val="auto"/>
          <w:sz w:val="24"/>
          <w:szCs w:val="24"/>
          <w:highlight w:val="none"/>
        </w:rPr>
        <w:t>1、乙方应保证，甲方在中华人民共和国使用该货物或货物的任何一部分时，免受第三方提出的侵犯其专利权、商标权、工业设计权或其他知识产权的起诉。</w:t>
      </w:r>
    </w:p>
    <w:p>
      <w:pPr>
        <w:spacing w:line="360" w:lineRule="auto"/>
        <w:ind w:firstLine="480" w:firstLineChars="200"/>
        <w:rPr>
          <w:color w:val="auto"/>
          <w:sz w:val="24"/>
          <w:szCs w:val="24"/>
          <w:highlight w:val="none"/>
        </w:rPr>
      </w:pPr>
      <w:r>
        <w:rPr>
          <w:rFonts w:hint="eastAsia"/>
          <w:color w:val="auto"/>
          <w:sz w:val="24"/>
          <w:szCs w:val="24"/>
          <w:highlight w:val="none"/>
        </w:rPr>
        <w:t>2、因乙方提供的货物存在前款知识产权瑕疵或纠纷的，乙方须与第三方协商解决并承担一切法律责任和费用。如果设备或设备的任何部分，因最终裁决构成侵权，其使用被予以限制，乙方应自担费用并主动采取措施保障甲方：或为甲方获取继续使用受指控侵权的货物或货物的某一部分的权利，由此产生的费用由乙方自行承担；或采用不存在侵权风险的同等技术水平的货物进行替换。</w:t>
      </w:r>
    </w:p>
    <w:p>
      <w:pPr>
        <w:spacing w:line="360" w:lineRule="auto"/>
        <w:rPr>
          <w:b/>
          <w:bCs/>
          <w:color w:val="auto"/>
          <w:sz w:val="24"/>
          <w:szCs w:val="24"/>
          <w:highlight w:val="none"/>
        </w:rPr>
      </w:pPr>
      <w:r>
        <w:rPr>
          <w:rFonts w:hint="eastAsia"/>
          <w:b/>
          <w:bCs/>
          <w:color w:val="auto"/>
          <w:sz w:val="24"/>
          <w:szCs w:val="24"/>
          <w:highlight w:val="none"/>
        </w:rPr>
        <w:t>九、违约责任</w:t>
      </w:r>
    </w:p>
    <w:p>
      <w:pPr>
        <w:spacing w:line="360" w:lineRule="auto"/>
        <w:ind w:firstLine="480" w:firstLineChars="200"/>
        <w:rPr>
          <w:color w:val="auto"/>
          <w:sz w:val="24"/>
          <w:szCs w:val="24"/>
          <w:highlight w:val="none"/>
        </w:rPr>
      </w:pPr>
      <w:r>
        <w:rPr>
          <w:rFonts w:hint="eastAsia"/>
          <w:color w:val="auto"/>
          <w:sz w:val="24"/>
          <w:szCs w:val="24"/>
          <w:highlight w:val="none"/>
        </w:rPr>
        <w:t>1、乙方所供的货物品种、规格以及其它外部质量不符合合同约定，甲方有权拒收货物并要求乙方免费更换，乙方应负责更换并承担因更换而导致的货物运输、甲方组织验收等一切费用并承担货物在运输过程中毁损灭失的风险。因更换、甲方拒收而造成逾期交货，按本合同第九条第</w:t>
      </w:r>
      <w:r>
        <w:rPr>
          <w:rFonts w:hint="eastAsia"/>
          <w:color w:val="auto"/>
          <w:sz w:val="24"/>
          <w:szCs w:val="24"/>
          <w:highlight w:val="none"/>
          <w:lang w:val="en-US"/>
        </w:rPr>
        <w:t>2</w:t>
      </w:r>
      <w:r>
        <w:rPr>
          <w:rFonts w:hint="eastAsia"/>
          <w:color w:val="auto"/>
          <w:sz w:val="24"/>
          <w:szCs w:val="24"/>
          <w:highlight w:val="none"/>
        </w:rPr>
        <w:t>款约定的逾期交货处理。</w:t>
      </w:r>
    </w:p>
    <w:p>
      <w:pPr>
        <w:spacing w:line="360" w:lineRule="auto"/>
        <w:ind w:firstLine="480" w:firstLineChars="200"/>
        <w:rPr>
          <w:color w:val="auto"/>
          <w:sz w:val="24"/>
          <w:szCs w:val="24"/>
          <w:highlight w:val="none"/>
        </w:rPr>
      </w:pPr>
      <w:r>
        <w:rPr>
          <w:rFonts w:hint="eastAsia"/>
          <w:color w:val="auto"/>
          <w:sz w:val="24"/>
          <w:szCs w:val="24"/>
          <w:highlight w:val="none"/>
        </w:rPr>
        <w:t>2、乙方未在本合同约定的交付期限内履行交付、安装、调试义务的，每逾期一日，按照合同总价款的【0.01】%支付违约金（违约金累加计算），或甲方有权视乙方违约情节要求乙方按照逾期履约设备金额的【3】%支付违约金。乙方逾期交付超过【</w:t>
      </w:r>
      <w:r>
        <w:rPr>
          <w:rFonts w:hint="eastAsia"/>
          <w:color w:val="auto"/>
          <w:sz w:val="24"/>
          <w:szCs w:val="24"/>
          <w:highlight w:val="none"/>
          <w:lang w:val="en-US"/>
        </w:rPr>
        <w:t>30</w:t>
      </w:r>
      <w:r>
        <w:rPr>
          <w:rFonts w:hint="eastAsia"/>
          <w:color w:val="auto"/>
          <w:sz w:val="24"/>
          <w:szCs w:val="24"/>
          <w:highlight w:val="none"/>
        </w:rPr>
        <w:t>】日的，甲方有权解除合同，并要求乙方一次性支付合同总金额【10】%的违约金，违约金不足以赔偿因逾期交付给甲方造成的全部损失的还应就不足部分进行赔偿。该损失包括但不限于甲方为执行本合同在国内和国外发生的费用、第三方因交付期和/或产品质量问题向甲方提出的索赔和/或罚款（如有）以及甲方为解决这方面的问题而发生的其他费用；因甲方原因及不可抗力导致的逾期，乙方不承担责任，但乙方需对此提供证明并防止损害扩大。</w:t>
      </w:r>
    </w:p>
    <w:p>
      <w:pPr>
        <w:pStyle w:val="96"/>
        <w:ind w:left="37"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乙方转包及违法分包合同的，甲方有权立即解除合同，要求乙方返还已经支付的合同价款，并要求乙方按照本合同价款的【10】%一次性支付违约金，违约金不足以弥补甲方损失的，乙方还应就不足部分予以赔偿。</w:t>
      </w:r>
    </w:p>
    <w:p>
      <w:pPr>
        <w:spacing w:line="360" w:lineRule="auto"/>
        <w:ind w:firstLine="480" w:firstLineChars="200"/>
        <w:rPr>
          <w:color w:val="auto"/>
          <w:sz w:val="24"/>
          <w:szCs w:val="24"/>
          <w:highlight w:val="none"/>
        </w:rPr>
      </w:pPr>
      <w:r>
        <w:rPr>
          <w:rFonts w:hint="eastAsia"/>
          <w:color w:val="auto"/>
          <w:sz w:val="24"/>
          <w:szCs w:val="24"/>
          <w:highlight w:val="none"/>
        </w:rPr>
        <w:t>4、乙方交付货物的质量不符合本合同约定的质量标准的，甲方有权解除合同或要求乙方免费（含装卸、运输、保险、税费、调试、验收等相关费用）更换符合本合同及招标文件约定的质量标准的货物，同时乙方须向甲方一次性支付该批更换设备金额【10】%的违约金，违约金不足以弥补甲方损失的，乙方还应就不足部分赔偿。如甲方不同意乙方更换货物，甲方可选择退货并要求乙方一次性支付该批更换设备金额【5】%的违约金，因退货发生的费用由乙方承担，如甲方已支付货款，在收到甲方要求退款的通知后3日内乙方应将已收取的全部货款退还甲方，并承担资金占用期间甲方的利息损失（按贷款期间</w:t>
      </w:r>
      <w:r>
        <w:rPr>
          <w:rFonts w:hint="eastAsia"/>
          <w:color w:val="auto"/>
          <w:sz w:val="24"/>
          <w:szCs w:val="24"/>
          <w:highlight w:val="none"/>
          <w:lang w:val="en-US"/>
        </w:rPr>
        <w:t>中国</w:t>
      </w:r>
      <w:r>
        <w:rPr>
          <w:rFonts w:hint="eastAsia"/>
          <w:color w:val="auto"/>
          <w:sz w:val="24"/>
          <w:szCs w:val="24"/>
          <w:highlight w:val="none"/>
        </w:rPr>
        <w:t>人民银行</w:t>
      </w:r>
      <w:r>
        <w:rPr>
          <w:rFonts w:hint="eastAsia"/>
          <w:color w:val="auto"/>
          <w:sz w:val="24"/>
          <w:szCs w:val="24"/>
          <w:highlight w:val="none"/>
          <w:lang w:val="en-US"/>
        </w:rPr>
        <w:t>授权全国银行间同业拆借中心公布的</w:t>
      </w:r>
      <w:r>
        <w:rPr>
          <w:rFonts w:hint="eastAsia"/>
          <w:color w:val="auto"/>
          <w:sz w:val="24"/>
          <w:szCs w:val="24"/>
          <w:highlight w:val="none"/>
        </w:rPr>
        <w:t>一年期</w:t>
      </w:r>
      <w:r>
        <w:rPr>
          <w:rFonts w:hint="eastAsia"/>
          <w:color w:val="auto"/>
          <w:sz w:val="24"/>
          <w:szCs w:val="24"/>
          <w:highlight w:val="none"/>
          <w:lang w:val="en-US"/>
        </w:rPr>
        <w:t>贷款市场报价利率即LPR</w:t>
      </w:r>
      <w:r>
        <w:rPr>
          <w:rFonts w:hint="eastAsia"/>
          <w:color w:val="auto"/>
          <w:sz w:val="24"/>
          <w:szCs w:val="24"/>
          <w:highlight w:val="none"/>
        </w:rPr>
        <w:t>计算），如因退货给甲方造成其他损失的，乙方还应承担赔偿责任。</w:t>
      </w:r>
    </w:p>
    <w:p>
      <w:pPr>
        <w:pStyle w:val="96"/>
        <w:ind w:left="37" w:firstLine="480"/>
        <w:rPr>
          <w:rFonts w:ascii="宋体" w:hAnsi="宋体" w:cs="宋体"/>
          <w:color w:val="auto"/>
          <w:sz w:val="24"/>
          <w:szCs w:val="24"/>
          <w:highlight w:val="none"/>
        </w:rPr>
      </w:pPr>
      <w:r>
        <w:rPr>
          <w:rFonts w:hint="eastAsia" w:ascii="宋体" w:hAnsi="宋体" w:cs="宋体"/>
          <w:color w:val="auto"/>
          <w:sz w:val="24"/>
          <w:szCs w:val="24"/>
          <w:highlight w:val="none"/>
        </w:rPr>
        <w:t>5、乙方所提供的设备到货后，经甲方验收发现与投标文件或本合同约定的设备型号、品牌、参数不一致的，甲方有权拒收，且要求乙方按合同约定的设备供货，同时乙方应承担因此导致设备逾期供货的违约责任。如乙方确实无法满足合同条件，甲方有权将该设备从总合同价款中剔除，并要求乙方按照相应违约设备金额的【3】%支付违约金。如甲方已支付相应设备款，乙方须无条件返还甲方。因此给甲方造成其他损失的，乙方还应承担赔偿责任。</w:t>
      </w:r>
    </w:p>
    <w:p>
      <w:pPr>
        <w:pStyle w:val="96"/>
        <w:ind w:left="37" w:firstLine="480"/>
        <w:rPr>
          <w:rFonts w:ascii="宋体" w:hAnsi="宋体" w:cs="宋体"/>
          <w:color w:val="auto"/>
          <w:sz w:val="24"/>
          <w:szCs w:val="24"/>
          <w:highlight w:val="none"/>
        </w:rPr>
      </w:pPr>
      <w:r>
        <w:rPr>
          <w:rFonts w:hint="eastAsia" w:ascii="宋体" w:hAnsi="宋体" w:cs="宋体"/>
          <w:color w:val="auto"/>
          <w:sz w:val="24"/>
          <w:szCs w:val="24"/>
          <w:highlight w:val="none"/>
        </w:rPr>
        <w:t>6、因乙方原因导致仪器设备安装完成后与实验室基础设施无法正常接驳使用，甲方有权每次按相应违约设备金额的【5】%要求乙方支付违约金。</w:t>
      </w:r>
    </w:p>
    <w:p>
      <w:pPr>
        <w:pStyle w:val="96"/>
        <w:ind w:left="37" w:firstLine="480"/>
        <w:rPr>
          <w:rFonts w:ascii="宋体" w:hAnsi="宋体" w:cs="宋体"/>
          <w:color w:val="auto"/>
          <w:sz w:val="24"/>
          <w:szCs w:val="24"/>
          <w:highlight w:val="none"/>
        </w:rPr>
      </w:pPr>
      <w:r>
        <w:rPr>
          <w:rFonts w:hint="eastAsia" w:ascii="宋体" w:hAnsi="宋体" w:cs="宋体"/>
          <w:color w:val="auto"/>
          <w:sz w:val="24"/>
          <w:szCs w:val="24"/>
          <w:highlight w:val="none"/>
        </w:rPr>
        <w:t>7、乙方违反本合同第七条第2款的相关约定，甲方有权每次按相应违约设备金额的【1】%要求乙方支付违约金。</w:t>
      </w:r>
    </w:p>
    <w:p>
      <w:pPr>
        <w:pStyle w:val="96"/>
        <w:ind w:left="37" w:firstLine="480"/>
        <w:rPr>
          <w:rFonts w:ascii="宋体" w:hAnsi="宋体" w:cs="宋体"/>
          <w:color w:val="auto"/>
          <w:sz w:val="24"/>
          <w:szCs w:val="24"/>
          <w:highlight w:val="none"/>
        </w:rPr>
      </w:pPr>
      <w:r>
        <w:rPr>
          <w:rFonts w:hint="eastAsia" w:ascii="宋体" w:hAnsi="宋体" w:cs="宋体"/>
          <w:color w:val="auto"/>
          <w:sz w:val="24"/>
          <w:szCs w:val="24"/>
          <w:highlight w:val="none"/>
        </w:rPr>
        <w:t>8、乙方应保证投标文件的准确性，本合同附件1《设备清单总表》设备名称、型号、品牌、参数等内容及合同约定的相关要求须与投标文件内容一致。因乙方原因使投标文件内容有误或乙方填写合同信息有误，导致本合同约定的设备相关内容与实际应采购设备不一致，甲方有权拒收出现问题的相应设备及不支付相应设备款项。如甲方已支付相应设备款，乙方须无条件返还甲方。甲方有权要求乙方按相应设备金额的【5】%要求乙方支付违约金。因此给甲方造成其他损失的，乙方还应承担赔偿责任。</w:t>
      </w:r>
    </w:p>
    <w:p>
      <w:pPr>
        <w:pStyle w:val="96"/>
        <w:ind w:left="37" w:firstLine="480"/>
        <w:rPr>
          <w:rFonts w:ascii="宋体" w:hAnsi="宋体" w:cs="宋体"/>
          <w:color w:val="auto"/>
          <w:sz w:val="24"/>
          <w:szCs w:val="24"/>
          <w:highlight w:val="none"/>
        </w:rPr>
      </w:pPr>
      <w:r>
        <w:rPr>
          <w:rFonts w:hint="eastAsia" w:ascii="宋体" w:hAnsi="宋体" w:cs="宋体"/>
          <w:color w:val="auto"/>
          <w:sz w:val="24"/>
          <w:szCs w:val="24"/>
          <w:highlight w:val="none"/>
        </w:rPr>
        <w:t>9、乙方向甲方做出的承诺（如有），应当严格执行，如甲方发现存在未按承诺履约行为，甲方有权要求乙方按照合同价款的【10】%支付违约金。</w:t>
      </w:r>
    </w:p>
    <w:p>
      <w:pPr>
        <w:pStyle w:val="96"/>
        <w:ind w:left="37" w:firstLine="480"/>
        <w:rPr>
          <w:rFonts w:ascii="宋体" w:hAnsi="宋体" w:cs="宋体"/>
          <w:color w:val="auto"/>
          <w:sz w:val="24"/>
          <w:szCs w:val="24"/>
          <w:highlight w:val="none"/>
        </w:rPr>
      </w:pPr>
      <w:r>
        <w:rPr>
          <w:rFonts w:hint="eastAsia" w:ascii="宋体" w:hAnsi="宋体" w:cs="宋体"/>
          <w:color w:val="auto"/>
          <w:sz w:val="24"/>
          <w:szCs w:val="24"/>
          <w:highlight w:val="none"/>
        </w:rPr>
        <w:t>10、乙方违反本合同任何一条款均构成违约，除按照相应条款规定承担责任外，甲方有权视乙方违约情节按照不超过相应违约设备金额的【10】%要求乙方支付违约金，乙方存在多种违约行为的违约条款可以叠加适用，违约金最高为相应违约设备金额的30%</w:t>
      </w:r>
      <w:r>
        <w:rPr>
          <w:rFonts w:ascii="宋体" w:hAnsi="宋体" w:cs="宋体"/>
          <w:color w:val="auto"/>
          <w:sz w:val="24"/>
          <w:szCs w:val="24"/>
          <w:highlight w:val="none"/>
        </w:rPr>
        <w:t>（</w:t>
      </w:r>
      <w:r>
        <w:rPr>
          <w:rFonts w:hint="eastAsia" w:ascii="宋体" w:hAnsi="宋体" w:cs="宋体"/>
          <w:color w:val="auto"/>
          <w:sz w:val="24"/>
          <w:szCs w:val="24"/>
          <w:highlight w:val="none"/>
        </w:rPr>
        <w:t>不包括承担赔偿责任部分）。甲方有权将乙方按照本合同约定应当承担的违约金在甲方应付的款项中扣除。</w:t>
      </w:r>
    </w:p>
    <w:p>
      <w:pPr>
        <w:spacing w:line="360" w:lineRule="auto"/>
        <w:ind w:firstLine="480" w:firstLineChars="200"/>
        <w:rPr>
          <w:color w:val="auto"/>
          <w:sz w:val="24"/>
          <w:szCs w:val="24"/>
          <w:highlight w:val="none"/>
          <w:lang w:val="en-US"/>
        </w:rPr>
      </w:pPr>
      <w:r>
        <w:rPr>
          <w:rFonts w:hint="eastAsia"/>
          <w:color w:val="auto"/>
          <w:sz w:val="24"/>
          <w:szCs w:val="24"/>
          <w:highlight w:val="none"/>
          <w:lang w:val="en-US"/>
        </w:rPr>
        <w:t>11、甲方有权根据《国务院办公厅关于加快推进社会信用体系建设构建以信用为基础的新型监管机制的指导意见（国办发〔2019〕35号）》《海南省建筑市场信用管理办法》《三亚崖州湾科技城工程建设领域信用分级分类管理实施细则》及甲方发布的《三亚崖州湾科技城开发建设有限公司建设项目合同供应商履约管理办法》等相关文件对乙方的合同履约情况进行综合评价，乙方应重视履约评价工作，及时、如实配合甲方完成合同履约评价。如乙方违反上述规范性文件或者制度，甲方有权追究乙方相应法律责任。</w:t>
      </w:r>
    </w:p>
    <w:p>
      <w:pPr>
        <w:pStyle w:val="96"/>
        <w:ind w:left="37" w:firstLine="480"/>
        <w:rPr>
          <w:color w:val="auto"/>
          <w:highlight w:val="none"/>
        </w:rPr>
      </w:pPr>
      <w:r>
        <w:rPr>
          <w:rFonts w:hint="eastAsia"/>
          <w:color w:val="auto"/>
          <w:sz w:val="24"/>
          <w:szCs w:val="24"/>
          <w:highlight w:val="none"/>
        </w:rPr>
        <w:t>12、如因乙方违约导致甲方解除合同的，乙方除按照如上约定承担相应的违约责任外，若乙方已经交付设备的，甲方有权要求乙方在收到甲方解除通知之日起三日内自行运回设备，并承担相应的费用（包括但不限于运费、拆除费、另行采购的费用、增加的采购价款、维护该产品的费用等）。乙方逾期运回设备的，甲方不负责保管，由此产生的损失由乙方自行承担，且甲方有权要求乙方承担场地占用费。如甲方已支付货款的，在收到甲方要求退款的通知后3日内乙方应将已收取的全部货款退还甲方，并承担资金占用期间甲方的利息损失（按贷款期间中国人民银行授权全国银行间同业拆借中心公布的一年期贷款市场报价利率即LPR计算），如因退货给甲方造成其他损失的，乙方还应承担赔偿责任。</w:t>
      </w:r>
    </w:p>
    <w:p>
      <w:pPr>
        <w:spacing w:line="360" w:lineRule="auto"/>
        <w:rPr>
          <w:b/>
          <w:bCs/>
          <w:color w:val="auto"/>
          <w:sz w:val="24"/>
          <w:szCs w:val="24"/>
          <w:highlight w:val="none"/>
        </w:rPr>
      </w:pPr>
      <w:bookmarkStart w:id="151" w:name="_Hlk33828570"/>
      <w:r>
        <w:rPr>
          <w:rFonts w:hint="eastAsia"/>
          <w:b/>
          <w:bCs/>
          <w:color w:val="auto"/>
          <w:sz w:val="24"/>
          <w:szCs w:val="24"/>
          <w:highlight w:val="none"/>
        </w:rPr>
        <w:t>十、不可抗力</w:t>
      </w:r>
    </w:p>
    <w:p>
      <w:pPr>
        <w:pStyle w:val="95"/>
        <w:widowControl/>
        <w:tabs>
          <w:tab w:val="left" w:pos="1260"/>
        </w:tabs>
        <w:adjustRightInd w:val="0"/>
        <w:snapToGrid w:val="0"/>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本合同所称的不可抗力指订立本合同时无法预见、不能避免并不能克服的客观情况，包括但不限于自然灾害、战争、游行示威、罢工、政府法令、贸易壁垒以及因世卫组织或国家卫健委宣布的大流行病或其他烈性传染疾病导致的封锁等。</w:t>
      </w:r>
    </w:p>
    <w:p>
      <w:pPr>
        <w:pStyle w:val="95"/>
        <w:widowControl/>
        <w:tabs>
          <w:tab w:val="left" w:pos="1260"/>
        </w:tabs>
        <w:adjustRightInd w:val="0"/>
        <w:snapToGrid w:val="0"/>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发生不可抗力后合同中止履行，双方互不追究违约责任，待不可抗力消失后由双方协商本合同的履行情况。遭受不可抗力的一方应在具备通讯条件后三日内通知另一方，并提供有关不可抗力存在的证明文件。</w:t>
      </w:r>
    </w:p>
    <w:p>
      <w:pPr>
        <w:spacing w:line="360" w:lineRule="auto"/>
        <w:rPr>
          <w:b/>
          <w:bCs/>
          <w:color w:val="auto"/>
          <w:sz w:val="24"/>
          <w:szCs w:val="24"/>
          <w:highlight w:val="none"/>
        </w:rPr>
      </w:pPr>
      <w:r>
        <w:rPr>
          <w:rFonts w:hint="eastAsia"/>
          <w:b/>
          <w:bCs/>
          <w:color w:val="auto"/>
          <w:sz w:val="24"/>
          <w:szCs w:val="24"/>
          <w:highlight w:val="none"/>
        </w:rPr>
        <w:t>十一、合同的修改、变更和解除</w:t>
      </w:r>
    </w:p>
    <w:p>
      <w:pPr>
        <w:pStyle w:val="95"/>
        <w:widowControl/>
        <w:tabs>
          <w:tab w:val="left" w:pos="1260"/>
        </w:tabs>
        <w:adjustRightInd w:val="0"/>
        <w:snapToGrid w:val="0"/>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1、本合同的任何修改、变更应经协议双方另行协商，并就修改、变更事项共同签署书面协议后方可生效。</w:t>
      </w:r>
    </w:p>
    <w:p>
      <w:pPr>
        <w:pStyle w:val="95"/>
        <w:widowControl/>
        <w:tabs>
          <w:tab w:val="left" w:pos="1260"/>
        </w:tabs>
        <w:adjustRightInd w:val="0"/>
        <w:snapToGrid w:val="0"/>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2、除本合同另有约定外，本合同在下列情况下解除：（1）经双方当事人协商一致解除；（2）因不可抗力，造成本合同无法履行。</w:t>
      </w:r>
    </w:p>
    <w:p>
      <w:pPr>
        <w:pStyle w:val="95"/>
        <w:widowControl/>
        <w:tabs>
          <w:tab w:val="left" w:pos="1260"/>
        </w:tabs>
        <w:adjustRightInd w:val="0"/>
        <w:snapToGrid w:val="0"/>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3、按照本条约定解除合同的，提出解除合同的一方应当以书面形式通知另一方，通知在到达另一方时生效。</w:t>
      </w:r>
    </w:p>
    <w:p>
      <w:pPr>
        <w:pStyle w:val="95"/>
        <w:widowControl/>
        <w:tabs>
          <w:tab w:val="left" w:pos="1260"/>
        </w:tabs>
        <w:adjustRightInd w:val="0"/>
        <w:snapToGrid w:val="0"/>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4、本合同被解除后，不影响守约方要求违约方支付违约金和赔偿损失的权利。</w:t>
      </w:r>
    </w:p>
    <w:p>
      <w:pPr>
        <w:pStyle w:val="95"/>
        <w:widowControl/>
        <w:tabs>
          <w:tab w:val="left" w:pos="1260"/>
        </w:tabs>
        <w:adjustRightInd w:val="0"/>
        <w:snapToGrid w:val="0"/>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5、非经本合同双方协商一致并达成书面协议，任何</w:t>
      </w:r>
      <w:bookmarkEnd w:id="151"/>
      <w:bookmarkStart w:id="152" w:name="_Hlk33828604"/>
      <w:r>
        <w:rPr>
          <w:rFonts w:hint="eastAsia" w:ascii="宋体" w:hAnsi="宋体" w:cs="宋体"/>
          <w:color w:val="auto"/>
          <w:sz w:val="24"/>
          <w:szCs w:val="24"/>
          <w:highlight w:val="none"/>
        </w:rPr>
        <w:t>一方不得转让其在本合同项下全部或部分的权利义务。</w:t>
      </w:r>
      <w:bookmarkEnd w:id="152"/>
    </w:p>
    <w:p>
      <w:pPr>
        <w:pStyle w:val="95"/>
        <w:widowControl/>
        <w:tabs>
          <w:tab w:val="left" w:pos="1260"/>
        </w:tabs>
        <w:adjustRightInd w:val="0"/>
        <w:snapToGrid w:val="0"/>
        <w:spacing w:line="360" w:lineRule="auto"/>
        <w:ind w:firstLine="0" w:firstLineChars="0"/>
        <w:rPr>
          <w:rFonts w:ascii="宋体" w:hAnsi="宋体" w:cs="宋体"/>
          <w:b/>
          <w:bCs/>
          <w:color w:val="auto"/>
          <w:sz w:val="24"/>
          <w:szCs w:val="24"/>
          <w:highlight w:val="none"/>
        </w:rPr>
      </w:pPr>
      <w:r>
        <w:rPr>
          <w:rFonts w:hint="eastAsia" w:ascii="宋体" w:hAnsi="宋体" w:cs="宋体"/>
          <w:b/>
          <w:bCs/>
          <w:color w:val="auto"/>
          <w:sz w:val="24"/>
          <w:szCs w:val="24"/>
          <w:highlight w:val="none"/>
        </w:rPr>
        <w:t>十二、保密条款</w:t>
      </w:r>
    </w:p>
    <w:p>
      <w:pPr>
        <w:spacing w:line="360" w:lineRule="auto"/>
        <w:ind w:firstLine="480" w:firstLineChars="200"/>
        <w:rPr>
          <w:color w:val="auto"/>
          <w:sz w:val="24"/>
          <w:szCs w:val="24"/>
          <w:highlight w:val="none"/>
        </w:rPr>
      </w:pPr>
      <w:r>
        <w:rPr>
          <w:rFonts w:hint="eastAsia"/>
          <w:color w:val="auto"/>
          <w:sz w:val="24"/>
          <w:szCs w:val="24"/>
          <w:highlight w:val="none"/>
        </w:rPr>
        <w:t>1、本合同项下拥有信息的一方根据本合同向另一方提供的信息，包括但不限于技术性信息、商业性信息、文件、程序、计划、技术、图表、模型、参数、数据、标准、专有技术、业务或业务运作方法以及其他专有信息，本合同的条款和与本合同有关的其他商业信息和技术信息（以下统称“保密信息”），只能由接受方及其人员为本合同目的而使用。除本合同另有规定外，对于提供方提供的任何保密信息，未经提供方的书面同意，接受方及其知悉保密信息的人员均不得直接或间接地以任何方式提供或披露给任何“第三方”。</w:t>
      </w:r>
    </w:p>
    <w:p>
      <w:pPr>
        <w:spacing w:line="360" w:lineRule="auto"/>
        <w:ind w:firstLine="480" w:firstLineChars="200"/>
        <w:rPr>
          <w:color w:val="auto"/>
          <w:sz w:val="24"/>
          <w:szCs w:val="24"/>
          <w:highlight w:val="none"/>
        </w:rPr>
      </w:pPr>
      <w:r>
        <w:rPr>
          <w:rFonts w:hint="eastAsia"/>
          <w:color w:val="auto"/>
          <w:sz w:val="24"/>
          <w:szCs w:val="24"/>
          <w:highlight w:val="none"/>
        </w:rPr>
        <w:t>2、提供方向接受方提供或披露的保密信息，仅可由接受方为执行本合同需要披露给指定的雇员，并且仅在为执行本合同所需的范围内进行该等披露；但是，接受方在采取一切合理的预防措施之前，不得向其雇员披露任何保密信息，该等预防措施包括但不限于告知该等雇员将要披露信息的保密性质，由该等雇员做出至少与本合同保密义务一样严格的保密承诺等，以防止该等雇员为个人利益而使用保密信息或向任何第三方做出未经授权的任何披露。</w:t>
      </w:r>
    </w:p>
    <w:p>
      <w:pPr>
        <w:spacing w:line="360" w:lineRule="auto"/>
        <w:ind w:firstLine="480" w:firstLineChars="200"/>
        <w:rPr>
          <w:color w:val="auto"/>
          <w:sz w:val="24"/>
          <w:szCs w:val="24"/>
          <w:highlight w:val="none"/>
        </w:rPr>
      </w:pPr>
      <w:r>
        <w:rPr>
          <w:rFonts w:hint="eastAsia"/>
          <w:color w:val="auto"/>
          <w:sz w:val="24"/>
          <w:szCs w:val="24"/>
          <w:highlight w:val="none"/>
        </w:rPr>
        <w:t>3、接受方的正式书面授权委托的律师、会计师、承包商和顾问等专业人员为提供专业协助而需要了解保密信息时，接受方可向其披露保密信息，但是，其应要求上述人员签订保密合同或按照有关职业道德标准履行保密义务。</w:t>
      </w:r>
    </w:p>
    <w:p>
      <w:pPr>
        <w:spacing w:line="360" w:lineRule="auto"/>
        <w:ind w:firstLine="480" w:firstLineChars="200"/>
        <w:rPr>
          <w:color w:val="auto"/>
          <w:sz w:val="24"/>
          <w:szCs w:val="24"/>
          <w:highlight w:val="none"/>
        </w:rPr>
      </w:pPr>
      <w:r>
        <w:rPr>
          <w:rFonts w:hint="eastAsia"/>
          <w:color w:val="auto"/>
          <w:sz w:val="24"/>
          <w:szCs w:val="24"/>
          <w:highlight w:val="none"/>
        </w:rPr>
        <w:t>4、如相关政府部门或监管机构按法律、行政法规的具体规定和法定程序要求接受方披露任何保密信息，接受方可在该政府部门或机构要求的范围内做出披露而无需承担本合同项下的责任。但前提是，该接受方应立即将需披露的信息书面通知提供方，以便提供方采取必要的保护措施，且该等通知应尽可能在信息披露前做出，并且接受方应尽商业上合理的努力确保该等被披露的信息获得有关政府机关或机构的保密待遇。</w:t>
      </w:r>
    </w:p>
    <w:p>
      <w:pPr>
        <w:spacing w:line="360" w:lineRule="auto"/>
        <w:ind w:firstLine="480" w:firstLineChars="200"/>
        <w:rPr>
          <w:color w:val="auto"/>
          <w:sz w:val="24"/>
          <w:szCs w:val="24"/>
          <w:highlight w:val="none"/>
        </w:rPr>
      </w:pPr>
      <w:r>
        <w:rPr>
          <w:rFonts w:hint="eastAsia"/>
          <w:color w:val="auto"/>
          <w:sz w:val="24"/>
          <w:szCs w:val="24"/>
          <w:highlight w:val="none"/>
        </w:rPr>
        <w:t>5、保密期限：永久。</w:t>
      </w:r>
    </w:p>
    <w:p>
      <w:pPr>
        <w:spacing w:line="360" w:lineRule="auto"/>
        <w:ind w:firstLine="480" w:firstLineChars="200"/>
        <w:rPr>
          <w:color w:val="auto"/>
          <w:sz w:val="24"/>
          <w:szCs w:val="24"/>
          <w:highlight w:val="none"/>
        </w:rPr>
      </w:pPr>
      <w:r>
        <w:rPr>
          <w:rFonts w:hint="eastAsia"/>
          <w:color w:val="auto"/>
          <w:sz w:val="24"/>
          <w:szCs w:val="24"/>
          <w:highlight w:val="none"/>
        </w:rPr>
        <w:t>6、本条规定的保密义务对以下信息不适用：</w:t>
      </w:r>
    </w:p>
    <w:p>
      <w:pPr>
        <w:spacing w:line="360" w:lineRule="auto"/>
        <w:ind w:firstLine="480" w:firstLineChars="200"/>
        <w:rPr>
          <w:color w:val="auto"/>
          <w:sz w:val="24"/>
          <w:szCs w:val="24"/>
          <w:highlight w:val="none"/>
        </w:rPr>
      </w:pPr>
      <w:r>
        <w:rPr>
          <w:rFonts w:hint="eastAsia"/>
          <w:color w:val="auto"/>
          <w:sz w:val="24"/>
          <w:szCs w:val="24"/>
          <w:highlight w:val="none"/>
        </w:rPr>
        <w:t>（1）在一方披露时，已经是公众所知的信息，或者在披露后，并非由于接受方、雇员、律师、会计师、承包商、顾问或者其他人员的过失而成为公众所知的信息；</w:t>
      </w:r>
    </w:p>
    <w:p>
      <w:pPr>
        <w:spacing w:line="360" w:lineRule="auto"/>
        <w:ind w:firstLine="480" w:firstLineChars="200"/>
        <w:rPr>
          <w:color w:val="auto"/>
          <w:sz w:val="24"/>
          <w:szCs w:val="24"/>
          <w:highlight w:val="none"/>
        </w:rPr>
      </w:pPr>
      <w:r>
        <w:rPr>
          <w:rFonts w:hint="eastAsia"/>
          <w:color w:val="auto"/>
          <w:sz w:val="24"/>
          <w:szCs w:val="24"/>
          <w:highlight w:val="none"/>
        </w:rPr>
        <w:t>（2）有书面证据证明在披露时已经由接受方掌握的信息，而且信息并非直接或间接来自提供方；</w:t>
      </w:r>
    </w:p>
    <w:p>
      <w:pPr>
        <w:spacing w:line="360" w:lineRule="auto"/>
        <w:ind w:firstLine="480" w:firstLineChars="200"/>
        <w:rPr>
          <w:color w:val="auto"/>
          <w:sz w:val="24"/>
          <w:szCs w:val="24"/>
          <w:highlight w:val="none"/>
        </w:rPr>
      </w:pPr>
      <w:r>
        <w:rPr>
          <w:rFonts w:hint="eastAsia"/>
          <w:color w:val="auto"/>
          <w:sz w:val="24"/>
          <w:szCs w:val="24"/>
          <w:highlight w:val="none"/>
        </w:rPr>
        <w:t>（3）有书面证据证明第三方已向接受方披露的信息，而该第三方并不负有保密义务，并且有权做出披露。</w:t>
      </w:r>
    </w:p>
    <w:p>
      <w:pPr>
        <w:spacing w:line="360" w:lineRule="auto"/>
        <w:ind w:firstLine="480" w:firstLineChars="200"/>
        <w:rPr>
          <w:color w:val="auto"/>
          <w:sz w:val="24"/>
          <w:szCs w:val="24"/>
          <w:highlight w:val="none"/>
        </w:rPr>
      </w:pPr>
      <w:r>
        <w:rPr>
          <w:rFonts w:hint="eastAsia"/>
          <w:color w:val="auto"/>
          <w:sz w:val="24"/>
          <w:szCs w:val="24"/>
          <w:highlight w:val="none"/>
        </w:rPr>
        <w:t>7、当本合同解除或终止时，接受方应立即停止使用且不得许可第三方使用提供方的保密信息，同时，接受方应按照提供方的书面要求，将提供方提供的保密信息退还提供方或予以删除或销毁。</w:t>
      </w:r>
    </w:p>
    <w:p>
      <w:pPr>
        <w:spacing w:line="360" w:lineRule="auto"/>
        <w:rPr>
          <w:b/>
          <w:bCs/>
          <w:color w:val="auto"/>
          <w:spacing w:val="-8"/>
          <w:sz w:val="24"/>
          <w:szCs w:val="24"/>
          <w:highlight w:val="none"/>
        </w:rPr>
      </w:pPr>
      <w:r>
        <w:rPr>
          <w:rFonts w:hint="eastAsia"/>
          <w:b/>
          <w:bCs/>
          <w:color w:val="auto"/>
          <w:spacing w:val="-8"/>
          <w:sz w:val="24"/>
          <w:szCs w:val="24"/>
          <w:highlight w:val="none"/>
        </w:rPr>
        <w:t>十三、通知与送达</w:t>
      </w:r>
    </w:p>
    <w:p>
      <w:pPr>
        <w:spacing w:line="360" w:lineRule="auto"/>
        <w:ind w:firstLine="448" w:firstLineChars="200"/>
        <w:rPr>
          <w:color w:val="auto"/>
          <w:spacing w:val="-8"/>
          <w:sz w:val="24"/>
          <w:szCs w:val="24"/>
          <w:highlight w:val="none"/>
        </w:rPr>
      </w:pPr>
      <w:r>
        <w:rPr>
          <w:rFonts w:hint="eastAsia"/>
          <w:color w:val="auto"/>
          <w:spacing w:val="-8"/>
          <w:sz w:val="24"/>
          <w:szCs w:val="24"/>
          <w:highlight w:val="none"/>
        </w:rPr>
        <w:t>1、合同双方同意，与本合同有关的任何通知，以书面方式送达方为有效。书面形式包括但不限于：传真、快递、电子邮件。上述通知视为在下列时间送达：以传真发送的，在该传真成功发送并由收件方收到之日；以快递或专人发送的，在收件人收到该通知之日；以电子邮件发出的，在电子邮件成功发出之后即为送达。</w:t>
      </w:r>
    </w:p>
    <w:p>
      <w:pPr>
        <w:spacing w:line="360" w:lineRule="auto"/>
        <w:ind w:firstLine="448" w:firstLineChars="200"/>
        <w:rPr>
          <w:color w:val="auto"/>
          <w:spacing w:val="-8"/>
          <w:sz w:val="24"/>
          <w:szCs w:val="24"/>
          <w:highlight w:val="none"/>
        </w:rPr>
      </w:pPr>
      <w:r>
        <w:rPr>
          <w:rFonts w:hint="eastAsia"/>
          <w:color w:val="auto"/>
          <w:spacing w:val="-8"/>
          <w:sz w:val="24"/>
          <w:szCs w:val="24"/>
          <w:highlight w:val="none"/>
        </w:rPr>
        <w:t>2、通知送达下列地点或传至下列传真号码或发至下列电子信箱视为有效送达。如任何一方的地址有变更时，需在变更前十日以书面形式通知对方。因迟延通知而造成的损失，由过错方承担责任。</w:t>
      </w:r>
    </w:p>
    <w:p>
      <w:pPr>
        <w:spacing w:line="360" w:lineRule="auto"/>
        <w:ind w:firstLine="448" w:firstLineChars="200"/>
        <w:rPr>
          <w:color w:val="auto"/>
          <w:spacing w:val="-8"/>
          <w:sz w:val="24"/>
          <w:szCs w:val="24"/>
          <w:highlight w:val="none"/>
        </w:rPr>
      </w:pPr>
      <w:r>
        <w:rPr>
          <w:rFonts w:hint="eastAsia"/>
          <w:color w:val="auto"/>
          <w:spacing w:val="-8"/>
          <w:sz w:val="24"/>
          <w:szCs w:val="24"/>
          <w:highlight w:val="none"/>
        </w:rPr>
        <w:t>甲方：【】</w:t>
      </w:r>
    </w:p>
    <w:p>
      <w:pPr>
        <w:spacing w:line="360" w:lineRule="auto"/>
        <w:ind w:firstLine="448" w:firstLineChars="200"/>
        <w:rPr>
          <w:color w:val="auto"/>
          <w:spacing w:val="-8"/>
          <w:sz w:val="24"/>
          <w:szCs w:val="24"/>
          <w:highlight w:val="none"/>
        </w:rPr>
      </w:pPr>
      <w:r>
        <w:rPr>
          <w:rFonts w:hint="eastAsia"/>
          <w:color w:val="auto"/>
          <w:spacing w:val="-8"/>
          <w:sz w:val="24"/>
          <w:szCs w:val="24"/>
          <w:highlight w:val="none"/>
        </w:rPr>
        <w:t>联系人姓名：【】</w:t>
      </w:r>
    </w:p>
    <w:p>
      <w:pPr>
        <w:spacing w:line="360" w:lineRule="auto"/>
        <w:ind w:firstLine="448" w:firstLineChars="200"/>
        <w:rPr>
          <w:color w:val="auto"/>
          <w:spacing w:val="-8"/>
          <w:sz w:val="24"/>
          <w:szCs w:val="24"/>
          <w:highlight w:val="none"/>
        </w:rPr>
      </w:pPr>
      <w:r>
        <w:rPr>
          <w:rFonts w:hint="eastAsia"/>
          <w:color w:val="auto"/>
          <w:spacing w:val="-8"/>
          <w:sz w:val="24"/>
          <w:szCs w:val="24"/>
          <w:highlight w:val="none"/>
        </w:rPr>
        <w:t>联系电话：【】</w:t>
      </w:r>
    </w:p>
    <w:p>
      <w:pPr>
        <w:spacing w:line="360" w:lineRule="auto"/>
        <w:ind w:firstLine="448" w:firstLineChars="200"/>
        <w:rPr>
          <w:color w:val="auto"/>
          <w:spacing w:val="-8"/>
          <w:sz w:val="24"/>
          <w:szCs w:val="24"/>
          <w:highlight w:val="none"/>
        </w:rPr>
      </w:pPr>
      <w:r>
        <w:rPr>
          <w:rFonts w:hint="eastAsia"/>
          <w:color w:val="auto"/>
          <w:spacing w:val="-8"/>
          <w:sz w:val="24"/>
          <w:szCs w:val="24"/>
          <w:highlight w:val="none"/>
        </w:rPr>
        <w:t>通讯地址：【】</w:t>
      </w:r>
    </w:p>
    <w:p>
      <w:pPr>
        <w:pStyle w:val="96"/>
        <w:ind w:left="37"/>
        <w:rPr>
          <w:rFonts w:ascii="宋体" w:hAnsi="宋体" w:cs="宋体"/>
          <w:color w:val="auto"/>
          <w:sz w:val="24"/>
          <w:szCs w:val="24"/>
          <w:highlight w:val="none"/>
        </w:rPr>
      </w:pPr>
    </w:p>
    <w:p>
      <w:pPr>
        <w:spacing w:line="360" w:lineRule="auto"/>
        <w:ind w:firstLine="448" w:firstLineChars="200"/>
        <w:rPr>
          <w:color w:val="auto"/>
          <w:spacing w:val="-8"/>
          <w:sz w:val="24"/>
          <w:szCs w:val="24"/>
          <w:highlight w:val="none"/>
        </w:rPr>
      </w:pPr>
      <w:r>
        <w:rPr>
          <w:rFonts w:hint="eastAsia"/>
          <w:color w:val="auto"/>
          <w:spacing w:val="-8"/>
          <w:sz w:val="24"/>
          <w:szCs w:val="24"/>
          <w:highlight w:val="none"/>
        </w:rPr>
        <w:t>乙方：【】</w:t>
      </w:r>
    </w:p>
    <w:p>
      <w:pPr>
        <w:spacing w:line="360" w:lineRule="auto"/>
        <w:ind w:firstLine="448" w:firstLineChars="200"/>
        <w:rPr>
          <w:color w:val="auto"/>
          <w:spacing w:val="-8"/>
          <w:sz w:val="24"/>
          <w:szCs w:val="24"/>
          <w:highlight w:val="none"/>
        </w:rPr>
      </w:pPr>
      <w:r>
        <w:rPr>
          <w:rFonts w:hint="eastAsia"/>
          <w:color w:val="auto"/>
          <w:spacing w:val="-8"/>
          <w:sz w:val="24"/>
          <w:szCs w:val="24"/>
          <w:highlight w:val="none"/>
        </w:rPr>
        <w:t>联系人姓名：【】</w:t>
      </w:r>
    </w:p>
    <w:p>
      <w:pPr>
        <w:spacing w:line="360" w:lineRule="auto"/>
        <w:ind w:firstLine="448" w:firstLineChars="200"/>
        <w:rPr>
          <w:color w:val="auto"/>
          <w:spacing w:val="-8"/>
          <w:sz w:val="24"/>
          <w:szCs w:val="24"/>
          <w:highlight w:val="none"/>
        </w:rPr>
      </w:pPr>
      <w:r>
        <w:rPr>
          <w:rFonts w:hint="eastAsia"/>
          <w:color w:val="auto"/>
          <w:spacing w:val="-8"/>
          <w:sz w:val="24"/>
          <w:szCs w:val="24"/>
          <w:highlight w:val="none"/>
        </w:rPr>
        <w:t>联系电话：【】</w:t>
      </w:r>
    </w:p>
    <w:p>
      <w:pPr>
        <w:spacing w:line="360" w:lineRule="auto"/>
        <w:ind w:firstLine="448" w:firstLineChars="200"/>
        <w:rPr>
          <w:color w:val="auto"/>
          <w:spacing w:val="-8"/>
          <w:sz w:val="24"/>
          <w:szCs w:val="24"/>
          <w:highlight w:val="none"/>
        </w:rPr>
      </w:pPr>
      <w:r>
        <w:rPr>
          <w:rFonts w:hint="eastAsia"/>
          <w:color w:val="auto"/>
          <w:spacing w:val="-8"/>
          <w:sz w:val="24"/>
          <w:szCs w:val="24"/>
          <w:highlight w:val="none"/>
        </w:rPr>
        <w:t>通讯地址：【】</w:t>
      </w:r>
    </w:p>
    <w:p>
      <w:pPr>
        <w:spacing w:line="360" w:lineRule="auto"/>
        <w:rPr>
          <w:b/>
          <w:bCs/>
          <w:color w:val="auto"/>
          <w:sz w:val="24"/>
          <w:szCs w:val="24"/>
          <w:highlight w:val="none"/>
        </w:rPr>
      </w:pPr>
      <w:r>
        <w:rPr>
          <w:rFonts w:hint="eastAsia"/>
          <w:b/>
          <w:bCs/>
          <w:color w:val="auto"/>
          <w:sz w:val="24"/>
          <w:szCs w:val="24"/>
          <w:highlight w:val="none"/>
        </w:rPr>
        <w:t>十四、争议解决</w:t>
      </w:r>
    </w:p>
    <w:p>
      <w:pPr>
        <w:tabs>
          <w:tab w:val="left" w:pos="720"/>
        </w:tabs>
        <w:spacing w:line="360" w:lineRule="auto"/>
        <w:ind w:firstLine="448" w:firstLineChars="200"/>
        <w:rPr>
          <w:color w:val="auto"/>
          <w:sz w:val="24"/>
          <w:szCs w:val="24"/>
          <w:highlight w:val="none"/>
        </w:rPr>
      </w:pPr>
      <w:r>
        <w:rPr>
          <w:rFonts w:hint="eastAsia"/>
          <w:color w:val="auto"/>
          <w:spacing w:val="-8"/>
          <w:sz w:val="24"/>
          <w:szCs w:val="24"/>
          <w:highlight w:val="none"/>
        </w:rPr>
        <w:t>本合同未尽事宜或双方因履行本合同而发生的争议</w:t>
      </w:r>
      <w:r>
        <w:rPr>
          <w:rFonts w:hint="eastAsia"/>
          <w:color w:val="auto"/>
          <w:sz w:val="24"/>
          <w:szCs w:val="24"/>
          <w:highlight w:val="none"/>
        </w:rPr>
        <w:t>，应协商解决，当协商解决不成时，合同任何一方均可依法向甲方住所地人民法院提起诉讼。因一方违约、侵权等行为致使对方采取诉讼方式维护权利，败诉方应承担对方因此遭受的一切损失，包括但不限于律师费、诉讼费、保全费</w:t>
      </w:r>
      <w:r>
        <w:rPr>
          <w:color w:val="auto"/>
          <w:sz w:val="24"/>
          <w:szCs w:val="24"/>
          <w:highlight w:val="none"/>
        </w:rPr>
        <w:t>、</w:t>
      </w:r>
      <w:r>
        <w:rPr>
          <w:rFonts w:hint="eastAsia"/>
          <w:color w:val="auto"/>
          <w:sz w:val="24"/>
          <w:szCs w:val="24"/>
          <w:highlight w:val="none"/>
          <w:lang w:val="en-US"/>
        </w:rPr>
        <w:t>保全担保费、</w:t>
      </w:r>
      <w:r>
        <w:rPr>
          <w:rFonts w:hint="eastAsia"/>
          <w:color w:val="auto"/>
          <w:sz w:val="24"/>
          <w:szCs w:val="24"/>
          <w:highlight w:val="none"/>
        </w:rPr>
        <w:t>鉴定费、公证认证费</w:t>
      </w:r>
      <w:r>
        <w:rPr>
          <w:color w:val="auto"/>
          <w:sz w:val="24"/>
          <w:szCs w:val="24"/>
          <w:highlight w:val="none"/>
        </w:rPr>
        <w:t>、</w:t>
      </w:r>
      <w:r>
        <w:rPr>
          <w:rFonts w:hint="eastAsia"/>
          <w:color w:val="auto"/>
          <w:sz w:val="24"/>
          <w:szCs w:val="24"/>
          <w:highlight w:val="none"/>
        </w:rPr>
        <w:t>差旅费、翻译费、评估费、调查费、商检费等合理费用。</w:t>
      </w:r>
    </w:p>
    <w:p>
      <w:pPr>
        <w:spacing w:line="360" w:lineRule="auto"/>
        <w:rPr>
          <w:b/>
          <w:bCs/>
          <w:color w:val="auto"/>
          <w:sz w:val="24"/>
          <w:szCs w:val="24"/>
          <w:highlight w:val="none"/>
        </w:rPr>
      </w:pPr>
      <w:r>
        <w:rPr>
          <w:rFonts w:hint="eastAsia"/>
          <w:b/>
          <w:bCs/>
          <w:color w:val="auto"/>
          <w:sz w:val="24"/>
          <w:szCs w:val="24"/>
          <w:highlight w:val="none"/>
        </w:rPr>
        <w:t>十五、其他</w:t>
      </w:r>
    </w:p>
    <w:p>
      <w:pPr>
        <w:spacing w:line="360" w:lineRule="auto"/>
        <w:ind w:firstLine="448" w:firstLineChars="200"/>
        <w:rPr>
          <w:color w:val="auto"/>
          <w:spacing w:val="-8"/>
          <w:sz w:val="24"/>
          <w:szCs w:val="24"/>
          <w:highlight w:val="none"/>
        </w:rPr>
      </w:pPr>
      <w:r>
        <w:rPr>
          <w:rFonts w:hint="eastAsia"/>
          <w:color w:val="auto"/>
          <w:spacing w:val="-8"/>
          <w:sz w:val="24"/>
          <w:szCs w:val="24"/>
          <w:highlight w:val="none"/>
        </w:rPr>
        <w:t>1、本合同及其附件未经双方书面同意不得修订。对于本合同未包括的事项，双方应在协商基础上签订补充协议。补充协议应成为本合同的组成部分，补充合同与原合同约定不一致的，应以补充合同为准。</w:t>
      </w:r>
    </w:p>
    <w:p>
      <w:pPr>
        <w:spacing w:line="360" w:lineRule="auto"/>
        <w:ind w:firstLine="448" w:firstLineChars="200"/>
        <w:rPr>
          <w:color w:val="auto"/>
          <w:spacing w:val="-8"/>
          <w:sz w:val="24"/>
          <w:szCs w:val="24"/>
          <w:highlight w:val="none"/>
        </w:rPr>
      </w:pPr>
      <w:r>
        <w:rPr>
          <w:rFonts w:hint="eastAsia"/>
          <w:color w:val="auto"/>
          <w:spacing w:val="-8"/>
          <w:sz w:val="24"/>
          <w:szCs w:val="24"/>
          <w:highlight w:val="none"/>
        </w:rPr>
        <w:t>2、双方的联系人和通信地址以本合同中确定的为准，任何一方的联系人和通信地址的变更应以书面方式通知对方，否则对方按照本合同确定的联系人和通信地址所递交文件视为已经送达。</w:t>
      </w:r>
    </w:p>
    <w:p>
      <w:pPr>
        <w:spacing w:line="360" w:lineRule="auto"/>
        <w:ind w:firstLine="448" w:firstLineChars="200"/>
        <w:rPr>
          <w:color w:val="auto"/>
          <w:spacing w:val="-8"/>
          <w:sz w:val="24"/>
          <w:szCs w:val="24"/>
          <w:highlight w:val="none"/>
        </w:rPr>
      </w:pPr>
      <w:r>
        <w:rPr>
          <w:rFonts w:hint="eastAsia"/>
          <w:color w:val="auto"/>
          <w:spacing w:val="-8"/>
          <w:sz w:val="24"/>
          <w:szCs w:val="24"/>
          <w:highlight w:val="none"/>
        </w:rPr>
        <w:t>3、本合同一式</w:t>
      </w:r>
      <w:r>
        <w:rPr>
          <w:rFonts w:hint="eastAsia"/>
          <w:color w:val="auto"/>
          <w:spacing w:val="-8"/>
          <w:sz w:val="24"/>
          <w:szCs w:val="24"/>
          <w:highlight w:val="none"/>
          <w:u w:val="single"/>
        </w:rPr>
        <w:t xml:space="preserve"> 捌 </w:t>
      </w:r>
      <w:r>
        <w:rPr>
          <w:rFonts w:hint="eastAsia"/>
          <w:color w:val="auto"/>
          <w:spacing w:val="-8"/>
          <w:sz w:val="24"/>
          <w:szCs w:val="24"/>
          <w:highlight w:val="none"/>
        </w:rPr>
        <w:t xml:space="preserve">份，甲方执 </w:t>
      </w:r>
      <w:r>
        <w:rPr>
          <w:rFonts w:hint="eastAsia"/>
          <w:color w:val="auto"/>
          <w:spacing w:val="-8"/>
          <w:sz w:val="24"/>
          <w:szCs w:val="24"/>
          <w:highlight w:val="none"/>
          <w:u w:val="single"/>
        </w:rPr>
        <w:t xml:space="preserve">  肆  </w:t>
      </w:r>
      <w:r>
        <w:rPr>
          <w:rFonts w:hint="eastAsia"/>
          <w:color w:val="auto"/>
          <w:spacing w:val="-8"/>
          <w:sz w:val="24"/>
          <w:szCs w:val="24"/>
          <w:highlight w:val="none"/>
        </w:rPr>
        <w:t>份、乙方执</w:t>
      </w:r>
      <w:r>
        <w:rPr>
          <w:rFonts w:hint="eastAsia"/>
          <w:color w:val="auto"/>
          <w:spacing w:val="-8"/>
          <w:sz w:val="24"/>
          <w:szCs w:val="24"/>
          <w:highlight w:val="none"/>
          <w:u w:val="single"/>
        </w:rPr>
        <w:t xml:space="preserve">  肆  </w:t>
      </w:r>
      <w:r>
        <w:rPr>
          <w:rFonts w:hint="eastAsia"/>
          <w:color w:val="auto"/>
          <w:spacing w:val="-8"/>
          <w:sz w:val="24"/>
          <w:szCs w:val="24"/>
          <w:highlight w:val="none"/>
        </w:rPr>
        <w:t>份，具有同等法律效力，经双方签字盖章后生效。（以下无正文）</w:t>
      </w:r>
    </w:p>
    <w:p>
      <w:pPr>
        <w:spacing w:line="360" w:lineRule="auto"/>
        <w:ind w:firstLine="448" w:firstLineChars="200"/>
        <w:rPr>
          <w:color w:val="auto"/>
          <w:sz w:val="24"/>
          <w:szCs w:val="24"/>
          <w:highlight w:val="none"/>
        </w:rPr>
      </w:pPr>
      <w:r>
        <w:rPr>
          <w:rFonts w:hint="eastAsia"/>
          <w:color w:val="auto"/>
          <w:spacing w:val="-8"/>
          <w:sz w:val="24"/>
          <w:szCs w:val="24"/>
          <w:highlight w:val="none"/>
          <w:lang w:val="en-US"/>
        </w:rPr>
        <w:t>附件:1.</w:t>
      </w:r>
      <w:r>
        <w:rPr>
          <w:rFonts w:hint="eastAsia"/>
          <w:color w:val="auto"/>
          <w:sz w:val="24"/>
          <w:szCs w:val="24"/>
          <w:highlight w:val="none"/>
        </w:rPr>
        <w:t>设备清单总表；</w:t>
      </w:r>
      <w:r>
        <w:rPr>
          <w:rFonts w:hint="eastAsia"/>
          <w:color w:val="auto"/>
          <w:sz w:val="24"/>
          <w:szCs w:val="24"/>
          <w:highlight w:val="none"/>
          <w:lang w:val="en-US"/>
        </w:rPr>
        <w:t>2.</w:t>
      </w:r>
      <w:r>
        <w:rPr>
          <w:rFonts w:hint="eastAsia"/>
          <w:color w:val="auto"/>
          <w:sz w:val="24"/>
          <w:szCs w:val="24"/>
          <w:highlight w:val="none"/>
        </w:rPr>
        <w:t>进口设备（国内采购）清单；</w:t>
      </w:r>
      <w:r>
        <w:rPr>
          <w:rFonts w:hint="eastAsia"/>
          <w:color w:val="auto"/>
          <w:sz w:val="24"/>
          <w:szCs w:val="24"/>
          <w:highlight w:val="none"/>
          <w:lang w:val="en-US"/>
        </w:rPr>
        <w:t>3.</w:t>
      </w:r>
      <w:r>
        <w:rPr>
          <w:rFonts w:hint="eastAsia"/>
          <w:color w:val="auto"/>
          <w:sz w:val="24"/>
          <w:szCs w:val="24"/>
          <w:highlight w:val="none"/>
        </w:rPr>
        <w:t>国产设备清单；</w:t>
      </w:r>
      <w:r>
        <w:rPr>
          <w:rFonts w:hint="eastAsia"/>
          <w:color w:val="auto"/>
          <w:sz w:val="24"/>
          <w:szCs w:val="24"/>
          <w:highlight w:val="none"/>
          <w:lang w:val="en-US"/>
        </w:rPr>
        <w:t>4.</w:t>
      </w:r>
      <w:r>
        <w:rPr>
          <w:rFonts w:hint="eastAsia"/>
          <w:color w:val="auto"/>
          <w:sz w:val="24"/>
          <w:szCs w:val="24"/>
          <w:highlight w:val="none"/>
        </w:rPr>
        <w:t>不可撤销预付款保函（</w:t>
      </w:r>
      <w:r>
        <w:rPr>
          <w:rFonts w:hint="eastAsia"/>
          <w:color w:val="auto"/>
          <w:sz w:val="24"/>
          <w:szCs w:val="24"/>
          <w:highlight w:val="none"/>
          <w:lang w:val="en-US"/>
        </w:rPr>
        <w:t>参考格式</w:t>
      </w:r>
      <w:r>
        <w:rPr>
          <w:rFonts w:hint="eastAsia"/>
          <w:color w:val="auto"/>
          <w:sz w:val="24"/>
          <w:szCs w:val="24"/>
          <w:highlight w:val="none"/>
        </w:rPr>
        <w:t>）</w:t>
      </w:r>
    </w:p>
    <w:p>
      <w:pPr>
        <w:spacing w:line="360" w:lineRule="auto"/>
        <w:ind w:firstLine="448" w:firstLineChars="200"/>
        <w:rPr>
          <w:color w:val="auto"/>
          <w:spacing w:val="-8"/>
          <w:sz w:val="24"/>
          <w:szCs w:val="24"/>
          <w:highlight w:val="none"/>
        </w:rPr>
      </w:pPr>
      <w:r>
        <w:rPr>
          <w:color w:val="auto"/>
          <w:spacing w:val="-8"/>
          <w:sz w:val="24"/>
          <w:szCs w:val="24"/>
          <w:highlight w:val="none"/>
        </w:rPr>
        <w:br w:type="page"/>
      </w:r>
    </w:p>
    <w:p>
      <w:pPr>
        <w:widowControl/>
        <w:spacing w:line="360" w:lineRule="auto"/>
        <w:jc w:val="center"/>
        <w:rPr>
          <w:color w:val="auto"/>
          <w:spacing w:val="-8"/>
          <w:sz w:val="24"/>
          <w:szCs w:val="24"/>
          <w:highlight w:val="none"/>
        </w:rPr>
      </w:pPr>
      <w:r>
        <w:rPr>
          <w:rFonts w:hint="eastAsia"/>
          <w:color w:val="auto"/>
          <w:spacing w:val="-8"/>
          <w:sz w:val="24"/>
          <w:szCs w:val="24"/>
          <w:highlight w:val="none"/>
        </w:rPr>
        <w:t>（本页无正文，为【】</w:t>
      </w:r>
      <w:r>
        <w:rPr>
          <w:rFonts w:hint="eastAsia"/>
          <w:color w:val="auto"/>
          <w:spacing w:val="-8"/>
          <w:sz w:val="24"/>
          <w:szCs w:val="24"/>
          <w:highlight w:val="none"/>
          <w:lang w:val="en-US"/>
        </w:rPr>
        <w:t>设备采购合同</w:t>
      </w:r>
      <w:r>
        <w:rPr>
          <w:rFonts w:hint="eastAsia"/>
          <w:color w:val="auto"/>
          <w:spacing w:val="-8"/>
          <w:sz w:val="24"/>
          <w:szCs w:val="24"/>
          <w:highlight w:val="none"/>
        </w:rPr>
        <w:t>签署页）</w:t>
      </w:r>
    </w:p>
    <w:p>
      <w:pPr>
        <w:spacing w:line="360" w:lineRule="auto"/>
        <w:rPr>
          <w:color w:val="auto"/>
          <w:sz w:val="24"/>
          <w:szCs w:val="24"/>
          <w:highlight w:val="none"/>
        </w:rPr>
      </w:pPr>
    </w:p>
    <w:p>
      <w:pPr>
        <w:pStyle w:val="2"/>
        <w:ind w:firstLine="480"/>
        <w:rPr>
          <w:rFonts w:ascii="宋体" w:hAnsi="宋体" w:cs="宋体"/>
          <w:color w:val="auto"/>
          <w:sz w:val="24"/>
          <w:highlight w:val="none"/>
        </w:rPr>
      </w:pPr>
    </w:p>
    <w:p>
      <w:pPr>
        <w:rPr>
          <w:color w:val="auto"/>
          <w:highlight w:val="none"/>
        </w:rPr>
      </w:pPr>
    </w:p>
    <w:p>
      <w:pPr>
        <w:spacing w:line="360" w:lineRule="auto"/>
        <w:rPr>
          <w:color w:val="auto"/>
          <w:sz w:val="24"/>
          <w:szCs w:val="24"/>
          <w:highlight w:val="none"/>
        </w:rPr>
      </w:pPr>
      <w:r>
        <w:rPr>
          <w:rFonts w:hint="eastAsia"/>
          <w:color w:val="auto"/>
          <w:sz w:val="24"/>
          <w:szCs w:val="24"/>
          <w:highlight w:val="none"/>
        </w:rPr>
        <w:t>甲方：（盖章）</w:t>
      </w:r>
    </w:p>
    <w:p>
      <w:pPr>
        <w:spacing w:line="360" w:lineRule="auto"/>
        <w:rPr>
          <w:color w:val="auto"/>
          <w:sz w:val="24"/>
          <w:szCs w:val="24"/>
          <w:highlight w:val="none"/>
        </w:rPr>
      </w:pPr>
      <w:r>
        <w:rPr>
          <w:rFonts w:hint="eastAsia"/>
          <w:color w:val="auto"/>
          <w:sz w:val="24"/>
          <w:szCs w:val="24"/>
          <w:highlight w:val="none"/>
        </w:rPr>
        <w:t>法定代表人/委托代理人：（签章）</w:t>
      </w:r>
    </w:p>
    <w:p>
      <w:pPr>
        <w:spacing w:line="360" w:lineRule="auto"/>
        <w:rPr>
          <w:color w:val="auto"/>
          <w:sz w:val="24"/>
          <w:szCs w:val="24"/>
          <w:highlight w:val="none"/>
        </w:rPr>
      </w:pPr>
    </w:p>
    <w:p>
      <w:pPr>
        <w:spacing w:line="360" w:lineRule="auto"/>
        <w:rPr>
          <w:color w:val="auto"/>
          <w:sz w:val="24"/>
          <w:szCs w:val="24"/>
          <w:highlight w:val="none"/>
        </w:rPr>
      </w:pPr>
    </w:p>
    <w:p>
      <w:pPr>
        <w:pStyle w:val="2"/>
        <w:ind w:firstLine="480"/>
        <w:rPr>
          <w:rFonts w:ascii="宋体" w:hAnsi="宋体" w:cs="宋体"/>
          <w:color w:val="auto"/>
          <w:sz w:val="24"/>
          <w:highlight w:val="none"/>
        </w:rPr>
      </w:pPr>
    </w:p>
    <w:p>
      <w:pPr>
        <w:rPr>
          <w:color w:val="auto"/>
          <w:highlight w:val="none"/>
        </w:rPr>
      </w:pPr>
    </w:p>
    <w:p>
      <w:pPr>
        <w:spacing w:line="360" w:lineRule="auto"/>
        <w:rPr>
          <w:color w:val="auto"/>
          <w:sz w:val="24"/>
          <w:szCs w:val="24"/>
          <w:highlight w:val="none"/>
        </w:rPr>
      </w:pPr>
      <w:r>
        <w:rPr>
          <w:rFonts w:hint="eastAsia"/>
          <w:color w:val="auto"/>
          <w:sz w:val="24"/>
          <w:szCs w:val="24"/>
          <w:highlight w:val="none"/>
        </w:rPr>
        <w:t>乙方：（盖章）</w:t>
      </w:r>
    </w:p>
    <w:p>
      <w:pPr>
        <w:spacing w:line="360" w:lineRule="auto"/>
        <w:rPr>
          <w:color w:val="auto"/>
          <w:sz w:val="24"/>
          <w:szCs w:val="24"/>
          <w:highlight w:val="none"/>
        </w:rPr>
      </w:pPr>
      <w:r>
        <w:rPr>
          <w:rFonts w:hint="eastAsia"/>
          <w:color w:val="auto"/>
          <w:sz w:val="24"/>
          <w:szCs w:val="24"/>
          <w:highlight w:val="none"/>
        </w:rPr>
        <w:t>法定代表人/委托代理人：（签章）</w:t>
      </w:r>
    </w:p>
    <w:p>
      <w:pPr>
        <w:spacing w:line="360" w:lineRule="auto"/>
        <w:rPr>
          <w:color w:val="auto"/>
          <w:sz w:val="24"/>
          <w:szCs w:val="24"/>
          <w:highlight w:val="none"/>
          <w:lang w:val="en-US"/>
        </w:rPr>
      </w:pPr>
    </w:p>
    <w:p>
      <w:pPr>
        <w:spacing w:line="360" w:lineRule="auto"/>
        <w:rPr>
          <w:color w:val="auto"/>
          <w:sz w:val="24"/>
          <w:szCs w:val="24"/>
          <w:highlight w:val="none"/>
        </w:rPr>
      </w:pPr>
      <w:r>
        <w:rPr>
          <w:rFonts w:hint="eastAsia"/>
          <w:color w:val="auto"/>
          <w:sz w:val="24"/>
          <w:szCs w:val="24"/>
          <w:highlight w:val="none"/>
          <w:lang w:val="en-US"/>
        </w:rPr>
        <w:t>签约时间</w:t>
      </w:r>
      <w:r>
        <w:rPr>
          <w:rFonts w:hint="eastAsia"/>
          <w:color w:val="auto"/>
          <w:sz w:val="24"/>
          <w:szCs w:val="24"/>
          <w:highlight w:val="none"/>
        </w:rPr>
        <w:t>：</w:t>
      </w:r>
      <w:r>
        <w:rPr>
          <w:rFonts w:hint="eastAsia"/>
          <w:color w:val="auto"/>
          <w:sz w:val="24"/>
          <w:szCs w:val="24"/>
          <w:highlight w:val="none"/>
          <w:lang w:val="en-US"/>
        </w:rPr>
        <w:t xml:space="preserve">    年      月      日 （由最后盖章一方填写）</w:t>
      </w:r>
    </w:p>
    <w:p>
      <w:pPr>
        <w:spacing w:line="360" w:lineRule="auto"/>
        <w:rPr>
          <w:color w:val="auto"/>
          <w:sz w:val="24"/>
          <w:szCs w:val="24"/>
          <w:highlight w:val="none"/>
        </w:rPr>
        <w:sectPr>
          <w:footerReference r:id="rId12" w:type="default"/>
          <w:pgSz w:w="11906" w:h="16838"/>
          <w:pgMar w:top="1440" w:right="1701" w:bottom="1440" w:left="1701" w:header="851" w:footer="992" w:gutter="0"/>
          <w:pgNumType w:fmt="decimal"/>
          <w:cols w:space="720" w:num="1"/>
          <w:docGrid w:type="lines" w:linePitch="312" w:charSpace="0"/>
        </w:sectPr>
      </w:pPr>
    </w:p>
    <w:p>
      <w:pPr>
        <w:spacing w:line="360" w:lineRule="auto"/>
        <w:rPr>
          <w:color w:val="auto"/>
          <w:sz w:val="24"/>
          <w:szCs w:val="24"/>
          <w:highlight w:val="none"/>
        </w:rPr>
      </w:pPr>
      <w:r>
        <w:rPr>
          <w:rFonts w:hint="eastAsia"/>
          <w:color w:val="auto"/>
          <w:sz w:val="24"/>
          <w:szCs w:val="24"/>
          <w:highlight w:val="none"/>
        </w:rPr>
        <w:t>附件1：设备清单总表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430"/>
        <w:gridCol w:w="1050"/>
        <w:gridCol w:w="1065"/>
        <w:gridCol w:w="1080"/>
        <w:gridCol w:w="1530"/>
        <w:gridCol w:w="1080"/>
        <w:gridCol w:w="1275"/>
        <w:gridCol w:w="1080"/>
        <w:gridCol w:w="135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序号</w:t>
            </w:r>
          </w:p>
        </w:tc>
        <w:tc>
          <w:tcPr>
            <w:tcW w:w="2430"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货物名称</w:t>
            </w:r>
          </w:p>
        </w:tc>
        <w:tc>
          <w:tcPr>
            <w:tcW w:w="1050"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型号</w:t>
            </w:r>
          </w:p>
        </w:tc>
        <w:tc>
          <w:tcPr>
            <w:tcW w:w="1065"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品牌</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制造商</w:t>
            </w:r>
          </w:p>
        </w:tc>
        <w:tc>
          <w:tcPr>
            <w:tcW w:w="1530" w:type="dxa"/>
            <w:tcBorders>
              <w:top w:val="single" w:color="auto" w:sz="4" w:space="0"/>
              <w:left w:val="single" w:color="auto" w:sz="4" w:space="0"/>
              <w:bottom w:val="single" w:color="auto" w:sz="4" w:space="0"/>
              <w:right w:val="single" w:color="auto" w:sz="4" w:space="0"/>
            </w:tcBorders>
            <w:noWrap/>
            <w:vAlign w:val="center"/>
          </w:tcPr>
          <w:p>
            <w:pPr>
              <w:autoSpaceDE/>
              <w:autoSpaceDN/>
              <w:rPr>
                <w:b/>
                <w:bCs/>
                <w:color w:val="auto"/>
                <w:sz w:val="21"/>
                <w:szCs w:val="21"/>
                <w:highlight w:val="none"/>
              </w:rPr>
            </w:pPr>
            <w:r>
              <w:rPr>
                <w:rFonts w:hint="eastAsia"/>
                <w:b/>
                <w:bCs/>
                <w:color w:val="auto"/>
                <w:sz w:val="21"/>
                <w:szCs w:val="21"/>
                <w:highlight w:val="none"/>
              </w:rPr>
              <w:t>国家或地区（原产地）</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数量/台（套）</w:t>
            </w: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单价（元）</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总价（元）</w:t>
            </w:r>
          </w:p>
        </w:tc>
        <w:tc>
          <w:tcPr>
            <w:tcW w:w="1359"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交付及安装调试期限</w:t>
            </w:r>
          </w:p>
          <w:p>
            <w:pPr>
              <w:autoSpaceDE/>
              <w:autoSpaceDN/>
              <w:jc w:val="center"/>
              <w:rPr>
                <w:b/>
                <w:bCs/>
                <w:color w:val="auto"/>
                <w:sz w:val="21"/>
                <w:szCs w:val="21"/>
                <w:highlight w:val="none"/>
              </w:rPr>
            </w:pPr>
            <w:r>
              <w:rPr>
                <w:rFonts w:hint="eastAsia"/>
                <w:color w:val="auto"/>
                <w:sz w:val="21"/>
                <w:szCs w:val="21"/>
                <w:highlight w:val="none"/>
              </w:rPr>
              <w:t>（合同生效之日起算）</w:t>
            </w:r>
          </w:p>
        </w:tc>
        <w:tc>
          <w:tcPr>
            <w:tcW w:w="1165"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质保期</w:t>
            </w:r>
          </w:p>
          <w:p>
            <w:pPr>
              <w:autoSpaceDE/>
              <w:autoSpaceDN/>
              <w:jc w:val="center"/>
              <w:rPr>
                <w:b/>
                <w:bCs/>
                <w:color w:val="auto"/>
                <w:sz w:val="21"/>
                <w:szCs w:val="21"/>
                <w:highlight w:val="none"/>
              </w:rPr>
            </w:pPr>
            <w:r>
              <w:rPr>
                <w:rFonts w:hint="eastAsia"/>
                <w:color w:val="auto"/>
                <w:sz w:val="21"/>
                <w:szCs w:val="21"/>
                <w:highlight w:val="none"/>
              </w:rPr>
              <w:t>（验收合格之日起算）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1</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2</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3</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4</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5</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6</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7</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1"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r>
              <w:rPr>
                <w:rFonts w:hint="eastAsia"/>
                <w:color w:val="auto"/>
                <w:sz w:val="21"/>
                <w:szCs w:val="21"/>
                <w:highlight w:val="none"/>
              </w:rPr>
              <w:t>总价</w:t>
            </w:r>
          </w:p>
        </w:tc>
        <w:tc>
          <w:tcPr>
            <w:tcW w:w="9634" w:type="dxa"/>
            <w:gridSpan w:val="8"/>
            <w:tcBorders>
              <w:top w:val="single" w:color="auto" w:sz="4" w:space="0"/>
              <w:left w:val="single" w:color="auto" w:sz="4" w:space="0"/>
              <w:bottom w:val="single" w:color="auto" w:sz="4" w:space="0"/>
              <w:right w:val="single" w:color="auto" w:sz="4" w:space="0"/>
            </w:tcBorders>
            <w:noWrap/>
          </w:tcPr>
          <w:p>
            <w:pPr>
              <w:spacing w:line="360" w:lineRule="auto"/>
              <w:rPr>
                <w:color w:val="auto"/>
                <w:sz w:val="21"/>
                <w:szCs w:val="21"/>
                <w:highlight w:val="none"/>
              </w:rPr>
            </w:pPr>
            <w:r>
              <w:rPr>
                <w:rFonts w:hint="eastAsia"/>
                <w:color w:val="auto"/>
                <w:sz w:val="21"/>
                <w:szCs w:val="21"/>
                <w:highlight w:val="none"/>
              </w:rPr>
              <w:t>人民币（大写）：</w:t>
            </w:r>
          </w:p>
          <w:p>
            <w:pPr>
              <w:spacing w:line="360" w:lineRule="auto"/>
              <w:ind w:firstLine="480"/>
              <w:rPr>
                <w:color w:val="auto"/>
                <w:sz w:val="21"/>
                <w:szCs w:val="21"/>
                <w:highlight w:val="none"/>
              </w:rPr>
            </w:pPr>
            <w:r>
              <w:rPr>
                <w:rFonts w:ascii="Arial" w:hAnsi="Arial" w:cs="Arial"/>
                <w:color w:val="auto"/>
                <w:sz w:val="21"/>
                <w:szCs w:val="21"/>
                <w:highlight w:val="none"/>
              </w:rPr>
              <w:t>¥</w:t>
            </w:r>
            <w:r>
              <w:rPr>
                <w:rFonts w:hint="eastAsia"/>
                <w:color w:val="auto"/>
                <w:sz w:val="21"/>
                <w:szCs w:val="21"/>
                <w:highlight w:val="none"/>
              </w:rPr>
              <w:t>：</w:t>
            </w:r>
          </w:p>
        </w:tc>
      </w:tr>
    </w:tbl>
    <w:p>
      <w:pPr>
        <w:pStyle w:val="2"/>
        <w:rPr>
          <w:rFonts w:ascii="宋体" w:hAnsi="宋体" w:cs="宋体"/>
          <w:color w:val="auto"/>
          <w:highlight w:val="none"/>
        </w:rPr>
      </w:pPr>
    </w:p>
    <w:p>
      <w:pPr>
        <w:pStyle w:val="96"/>
        <w:ind w:left="37"/>
        <w:rPr>
          <w:rFonts w:ascii="宋体" w:hAnsi="宋体" w:cs="宋体"/>
          <w:color w:val="auto"/>
          <w:sz w:val="24"/>
          <w:szCs w:val="24"/>
          <w:highlight w:val="none"/>
        </w:rPr>
      </w:pPr>
    </w:p>
    <w:p>
      <w:pPr>
        <w:pStyle w:val="96"/>
        <w:ind w:left="37"/>
        <w:rPr>
          <w:rFonts w:ascii="宋体" w:hAnsi="宋体" w:cs="宋体"/>
          <w:color w:val="auto"/>
          <w:sz w:val="24"/>
          <w:szCs w:val="24"/>
          <w:highlight w:val="none"/>
        </w:rPr>
      </w:pPr>
    </w:p>
    <w:p>
      <w:pPr>
        <w:pStyle w:val="96"/>
        <w:ind w:left="37"/>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附件2：进口设备（国内采购）清单</w:t>
      </w:r>
    </w:p>
    <w:p>
      <w:pPr>
        <w:pStyle w:val="96"/>
        <w:ind w:left="37"/>
        <w:rPr>
          <w:rFonts w:ascii="宋体" w:hAnsi="宋体" w:cs="宋体"/>
          <w:color w:val="auto"/>
          <w:sz w:val="24"/>
          <w:szCs w:val="24"/>
          <w:highlight w:val="none"/>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430"/>
        <w:gridCol w:w="1050"/>
        <w:gridCol w:w="1065"/>
        <w:gridCol w:w="1080"/>
        <w:gridCol w:w="1530"/>
        <w:gridCol w:w="1080"/>
        <w:gridCol w:w="1275"/>
        <w:gridCol w:w="1080"/>
        <w:gridCol w:w="135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序号</w:t>
            </w:r>
          </w:p>
        </w:tc>
        <w:tc>
          <w:tcPr>
            <w:tcW w:w="2430"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货物名称</w:t>
            </w:r>
          </w:p>
        </w:tc>
        <w:tc>
          <w:tcPr>
            <w:tcW w:w="1050"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型号</w:t>
            </w:r>
          </w:p>
        </w:tc>
        <w:tc>
          <w:tcPr>
            <w:tcW w:w="1065"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品牌</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制造商</w:t>
            </w:r>
          </w:p>
        </w:tc>
        <w:tc>
          <w:tcPr>
            <w:tcW w:w="1530" w:type="dxa"/>
            <w:tcBorders>
              <w:top w:val="single" w:color="auto" w:sz="4" w:space="0"/>
              <w:left w:val="single" w:color="auto" w:sz="4" w:space="0"/>
              <w:bottom w:val="single" w:color="auto" w:sz="4" w:space="0"/>
              <w:right w:val="single" w:color="auto" w:sz="4" w:space="0"/>
            </w:tcBorders>
            <w:noWrap/>
            <w:vAlign w:val="center"/>
          </w:tcPr>
          <w:p>
            <w:pPr>
              <w:autoSpaceDE/>
              <w:autoSpaceDN/>
              <w:rPr>
                <w:b/>
                <w:bCs/>
                <w:color w:val="auto"/>
                <w:sz w:val="21"/>
                <w:szCs w:val="21"/>
                <w:highlight w:val="none"/>
              </w:rPr>
            </w:pPr>
            <w:r>
              <w:rPr>
                <w:rFonts w:hint="eastAsia"/>
                <w:b/>
                <w:bCs/>
                <w:color w:val="auto"/>
                <w:sz w:val="21"/>
                <w:szCs w:val="21"/>
                <w:highlight w:val="none"/>
              </w:rPr>
              <w:t>国家或地区（原产地）</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数量/台（套）</w:t>
            </w: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单价（元）</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总价（元）</w:t>
            </w:r>
          </w:p>
        </w:tc>
        <w:tc>
          <w:tcPr>
            <w:tcW w:w="1359"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交付及安装调试期限</w:t>
            </w:r>
          </w:p>
          <w:p>
            <w:pPr>
              <w:autoSpaceDE/>
              <w:autoSpaceDN/>
              <w:jc w:val="center"/>
              <w:rPr>
                <w:b/>
                <w:bCs/>
                <w:color w:val="auto"/>
                <w:sz w:val="21"/>
                <w:szCs w:val="21"/>
                <w:highlight w:val="none"/>
              </w:rPr>
            </w:pPr>
            <w:r>
              <w:rPr>
                <w:rFonts w:hint="eastAsia"/>
                <w:color w:val="auto"/>
                <w:sz w:val="21"/>
                <w:szCs w:val="21"/>
                <w:highlight w:val="none"/>
              </w:rPr>
              <w:t>（合同生效之日起算）</w:t>
            </w:r>
          </w:p>
        </w:tc>
        <w:tc>
          <w:tcPr>
            <w:tcW w:w="1165"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质保期</w:t>
            </w:r>
          </w:p>
          <w:p>
            <w:pPr>
              <w:autoSpaceDE/>
              <w:autoSpaceDN/>
              <w:jc w:val="center"/>
              <w:rPr>
                <w:b/>
                <w:bCs/>
                <w:color w:val="auto"/>
                <w:sz w:val="21"/>
                <w:szCs w:val="21"/>
                <w:highlight w:val="none"/>
              </w:rPr>
            </w:pPr>
            <w:r>
              <w:rPr>
                <w:rFonts w:hint="eastAsia"/>
                <w:color w:val="auto"/>
                <w:sz w:val="21"/>
                <w:szCs w:val="21"/>
                <w:highlight w:val="none"/>
              </w:rPr>
              <w:t>（验收合格之日起算）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1</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2</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3</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4</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5</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6</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7</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1"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r>
              <w:rPr>
                <w:rFonts w:hint="eastAsia"/>
                <w:color w:val="auto"/>
                <w:sz w:val="21"/>
                <w:szCs w:val="21"/>
                <w:highlight w:val="none"/>
              </w:rPr>
              <w:t>总价</w:t>
            </w:r>
          </w:p>
        </w:tc>
        <w:tc>
          <w:tcPr>
            <w:tcW w:w="9634" w:type="dxa"/>
            <w:gridSpan w:val="8"/>
            <w:tcBorders>
              <w:top w:val="single" w:color="auto" w:sz="4" w:space="0"/>
              <w:left w:val="single" w:color="auto" w:sz="4" w:space="0"/>
              <w:bottom w:val="single" w:color="auto" w:sz="4" w:space="0"/>
              <w:right w:val="single" w:color="auto" w:sz="4" w:space="0"/>
            </w:tcBorders>
            <w:noWrap/>
          </w:tcPr>
          <w:p>
            <w:pPr>
              <w:spacing w:line="360" w:lineRule="auto"/>
              <w:rPr>
                <w:color w:val="auto"/>
                <w:sz w:val="21"/>
                <w:szCs w:val="21"/>
                <w:highlight w:val="none"/>
              </w:rPr>
            </w:pPr>
            <w:r>
              <w:rPr>
                <w:rFonts w:hint="eastAsia"/>
                <w:color w:val="auto"/>
                <w:sz w:val="21"/>
                <w:szCs w:val="21"/>
                <w:highlight w:val="none"/>
              </w:rPr>
              <w:t>人民币（大写）：</w:t>
            </w:r>
          </w:p>
          <w:p>
            <w:pPr>
              <w:spacing w:line="360" w:lineRule="auto"/>
              <w:ind w:firstLine="480"/>
              <w:rPr>
                <w:color w:val="auto"/>
                <w:sz w:val="21"/>
                <w:szCs w:val="21"/>
                <w:highlight w:val="none"/>
              </w:rPr>
            </w:pPr>
            <w:r>
              <w:rPr>
                <w:rFonts w:ascii="Arial" w:hAnsi="Arial" w:cs="Arial"/>
                <w:color w:val="auto"/>
                <w:sz w:val="21"/>
                <w:szCs w:val="21"/>
                <w:highlight w:val="none"/>
              </w:rPr>
              <w:t>¥</w:t>
            </w:r>
            <w:r>
              <w:rPr>
                <w:rFonts w:hint="eastAsia"/>
                <w:color w:val="auto"/>
                <w:sz w:val="21"/>
                <w:szCs w:val="21"/>
                <w:highlight w:val="none"/>
              </w:rPr>
              <w:t>：</w:t>
            </w:r>
          </w:p>
        </w:tc>
      </w:tr>
    </w:tbl>
    <w:p>
      <w:pPr>
        <w:pStyle w:val="96"/>
        <w:ind w:left="37"/>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附件3：国产设备清单</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430"/>
        <w:gridCol w:w="1050"/>
        <w:gridCol w:w="1065"/>
        <w:gridCol w:w="1080"/>
        <w:gridCol w:w="1530"/>
        <w:gridCol w:w="1080"/>
        <w:gridCol w:w="1275"/>
        <w:gridCol w:w="1080"/>
        <w:gridCol w:w="135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序号</w:t>
            </w:r>
          </w:p>
        </w:tc>
        <w:tc>
          <w:tcPr>
            <w:tcW w:w="2430"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货物名称</w:t>
            </w:r>
          </w:p>
        </w:tc>
        <w:tc>
          <w:tcPr>
            <w:tcW w:w="1050"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型号</w:t>
            </w:r>
          </w:p>
        </w:tc>
        <w:tc>
          <w:tcPr>
            <w:tcW w:w="1065"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品牌</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制造商</w:t>
            </w:r>
          </w:p>
        </w:tc>
        <w:tc>
          <w:tcPr>
            <w:tcW w:w="1530" w:type="dxa"/>
            <w:tcBorders>
              <w:top w:val="single" w:color="auto" w:sz="4" w:space="0"/>
              <w:left w:val="single" w:color="auto" w:sz="4" w:space="0"/>
              <w:bottom w:val="single" w:color="auto" w:sz="4" w:space="0"/>
              <w:right w:val="single" w:color="auto" w:sz="4" w:space="0"/>
            </w:tcBorders>
            <w:noWrap/>
            <w:vAlign w:val="center"/>
          </w:tcPr>
          <w:p>
            <w:pPr>
              <w:autoSpaceDE/>
              <w:autoSpaceDN/>
              <w:rPr>
                <w:b/>
                <w:bCs/>
                <w:color w:val="auto"/>
                <w:sz w:val="21"/>
                <w:szCs w:val="21"/>
                <w:highlight w:val="none"/>
              </w:rPr>
            </w:pPr>
            <w:r>
              <w:rPr>
                <w:rFonts w:hint="eastAsia"/>
                <w:b/>
                <w:bCs/>
                <w:color w:val="auto"/>
                <w:sz w:val="21"/>
                <w:szCs w:val="21"/>
                <w:highlight w:val="none"/>
              </w:rPr>
              <w:t>国家或地区（原产地）</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数量/台（套）</w:t>
            </w: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单价（元）</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总价（元）</w:t>
            </w:r>
          </w:p>
        </w:tc>
        <w:tc>
          <w:tcPr>
            <w:tcW w:w="1359"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交付及安装调试期限</w:t>
            </w:r>
          </w:p>
          <w:p>
            <w:pPr>
              <w:autoSpaceDE/>
              <w:autoSpaceDN/>
              <w:jc w:val="center"/>
              <w:rPr>
                <w:b/>
                <w:bCs/>
                <w:color w:val="auto"/>
                <w:sz w:val="21"/>
                <w:szCs w:val="21"/>
                <w:highlight w:val="none"/>
              </w:rPr>
            </w:pPr>
            <w:r>
              <w:rPr>
                <w:rFonts w:hint="eastAsia"/>
                <w:color w:val="auto"/>
                <w:sz w:val="21"/>
                <w:szCs w:val="21"/>
                <w:highlight w:val="none"/>
              </w:rPr>
              <w:t>（合同生效之日起算）</w:t>
            </w:r>
          </w:p>
        </w:tc>
        <w:tc>
          <w:tcPr>
            <w:tcW w:w="1165" w:type="dxa"/>
            <w:tcBorders>
              <w:top w:val="single" w:color="auto" w:sz="4" w:space="0"/>
              <w:left w:val="single" w:color="auto" w:sz="4" w:space="0"/>
              <w:bottom w:val="single" w:color="auto" w:sz="4" w:space="0"/>
              <w:right w:val="single" w:color="auto" w:sz="4" w:space="0"/>
            </w:tcBorders>
            <w:noWrap/>
            <w:vAlign w:val="center"/>
          </w:tcPr>
          <w:p>
            <w:pPr>
              <w:autoSpaceDE/>
              <w:autoSpaceDN/>
              <w:jc w:val="center"/>
              <w:rPr>
                <w:b/>
                <w:bCs/>
                <w:color w:val="auto"/>
                <w:sz w:val="21"/>
                <w:szCs w:val="21"/>
                <w:highlight w:val="none"/>
              </w:rPr>
            </w:pPr>
            <w:r>
              <w:rPr>
                <w:rFonts w:hint="eastAsia"/>
                <w:b/>
                <w:bCs/>
                <w:color w:val="auto"/>
                <w:sz w:val="21"/>
                <w:szCs w:val="21"/>
                <w:highlight w:val="none"/>
              </w:rPr>
              <w:t>质保期</w:t>
            </w:r>
          </w:p>
          <w:p>
            <w:pPr>
              <w:autoSpaceDE/>
              <w:autoSpaceDN/>
              <w:jc w:val="center"/>
              <w:rPr>
                <w:b/>
                <w:bCs/>
                <w:color w:val="auto"/>
                <w:sz w:val="21"/>
                <w:szCs w:val="21"/>
                <w:highlight w:val="none"/>
              </w:rPr>
            </w:pPr>
            <w:r>
              <w:rPr>
                <w:rFonts w:hint="eastAsia"/>
                <w:color w:val="auto"/>
                <w:sz w:val="21"/>
                <w:szCs w:val="21"/>
                <w:highlight w:val="none"/>
              </w:rPr>
              <w:t>（验收合格之日起算）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1</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2</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3</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4</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5</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6</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r>
              <w:rPr>
                <w:rFonts w:hint="eastAsia"/>
                <w:color w:val="auto"/>
                <w:sz w:val="21"/>
                <w:szCs w:val="21"/>
                <w:highlight w:val="none"/>
              </w:rPr>
              <w:t>7</w:t>
            </w:r>
          </w:p>
        </w:tc>
        <w:tc>
          <w:tcPr>
            <w:tcW w:w="2430" w:type="dxa"/>
            <w:tcBorders>
              <w:top w:val="single" w:color="auto" w:sz="4" w:space="0"/>
              <w:left w:val="single" w:color="auto" w:sz="4" w:space="0"/>
              <w:bottom w:val="single" w:color="auto" w:sz="4" w:space="0"/>
              <w:right w:val="single" w:color="auto" w:sz="4" w:space="0"/>
            </w:tcBorders>
            <w:noWrap/>
          </w:tcPr>
          <w:p>
            <w:pPr>
              <w:widowControl/>
              <w:spacing w:line="360" w:lineRule="auto"/>
              <w:textAlignment w:val="top"/>
              <w:rPr>
                <w:color w:val="auto"/>
                <w:sz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widowControl/>
              <w:spacing w:line="360" w:lineRule="auto"/>
              <w:jc w:val="center"/>
              <w:textAlignment w:val="center"/>
              <w:rPr>
                <w:color w:val="auto"/>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359"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c>
          <w:tcPr>
            <w:tcW w:w="1165" w:type="dxa"/>
            <w:tcBorders>
              <w:top w:val="single" w:color="auto" w:sz="4" w:space="0"/>
              <w:left w:val="single" w:color="auto" w:sz="4" w:space="0"/>
              <w:bottom w:val="single" w:color="auto" w:sz="4" w:space="0"/>
              <w:right w:val="single" w:color="auto" w:sz="4" w:space="0"/>
            </w:tcBorders>
            <w:noWrap/>
          </w:tcPr>
          <w:p>
            <w:pPr>
              <w:pStyle w:val="16"/>
              <w:spacing w:line="360" w:lineRule="auto"/>
              <w:jc w:val="left"/>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1"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color w:val="auto"/>
                <w:sz w:val="21"/>
                <w:szCs w:val="21"/>
                <w:highlight w:val="none"/>
              </w:rPr>
            </w:pPr>
            <w:r>
              <w:rPr>
                <w:rFonts w:hint="eastAsia"/>
                <w:color w:val="auto"/>
                <w:sz w:val="21"/>
                <w:szCs w:val="21"/>
                <w:highlight w:val="none"/>
              </w:rPr>
              <w:t>总价</w:t>
            </w:r>
          </w:p>
        </w:tc>
        <w:tc>
          <w:tcPr>
            <w:tcW w:w="9634" w:type="dxa"/>
            <w:gridSpan w:val="8"/>
            <w:tcBorders>
              <w:top w:val="single" w:color="auto" w:sz="4" w:space="0"/>
              <w:left w:val="single" w:color="auto" w:sz="4" w:space="0"/>
              <w:bottom w:val="single" w:color="auto" w:sz="4" w:space="0"/>
              <w:right w:val="single" w:color="auto" w:sz="4" w:space="0"/>
            </w:tcBorders>
            <w:noWrap/>
          </w:tcPr>
          <w:p>
            <w:pPr>
              <w:spacing w:line="360" w:lineRule="auto"/>
              <w:rPr>
                <w:color w:val="auto"/>
                <w:sz w:val="21"/>
                <w:szCs w:val="21"/>
                <w:highlight w:val="none"/>
              </w:rPr>
            </w:pPr>
            <w:r>
              <w:rPr>
                <w:rFonts w:hint="eastAsia"/>
                <w:color w:val="auto"/>
                <w:sz w:val="21"/>
                <w:szCs w:val="21"/>
                <w:highlight w:val="none"/>
              </w:rPr>
              <w:t>人民币（大写）：</w:t>
            </w:r>
          </w:p>
          <w:p>
            <w:pPr>
              <w:spacing w:line="360" w:lineRule="auto"/>
              <w:ind w:firstLine="480"/>
              <w:rPr>
                <w:color w:val="auto"/>
                <w:sz w:val="21"/>
                <w:szCs w:val="21"/>
                <w:highlight w:val="none"/>
              </w:rPr>
            </w:pPr>
            <w:r>
              <w:rPr>
                <w:rFonts w:ascii="Arial" w:hAnsi="Arial" w:cs="Arial"/>
                <w:color w:val="auto"/>
                <w:sz w:val="21"/>
                <w:szCs w:val="21"/>
                <w:highlight w:val="none"/>
              </w:rPr>
              <w:t>¥</w:t>
            </w:r>
            <w:r>
              <w:rPr>
                <w:rFonts w:hint="eastAsia"/>
                <w:color w:val="auto"/>
                <w:sz w:val="21"/>
                <w:szCs w:val="21"/>
                <w:highlight w:val="none"/>
              </w:rPr>
              <w:t>：</w:t>
            </w:r>
          </w:p>
        </w:tc>
      </w:tr>
    </w:tbl>
    <w:p>
      <w:pPr>
        <w:pStyle w:val="96"/>
        <w:ind w:left="37"/>
        <w:rPr>
          <w:rFonts w:ascii="宋体" w:hAnsi="宋体" w:cs="宋体"/>
          <w:color w:val="auto"/>
          <w:sz w:val="24"/>
          <w:szCs w:val="24"/>
          <w:highlight w:val="none"/>
        </w:rPr>
      </w:pPr>
    </w:p>
    <w:p>
      <w:pPr>
        <w:pStyle w:val="96"/>
        <w:ind w:left="37"/>
        <w:rPr>
          <w:rFonts w:ascii="宋体" w:hAnsi="宋体" w:cs="宋体"/>
          <w:color w:val="auto"/>
          <w:sz w:val="24"/>
          <w:szCs w:val="24"/>
          <w:highlight w:val="none"/>
        </w:rPr>
        <w:sectPr>
          <w:pgSz w:w="16838" w:h="11906" w:orient="landscape"/>
          <w:pgMar w:top="1083" w:right="1440" w:bottom="1083" w:left="1440" w:header="851" w:footer="992" w:gutter="0"/>
          <w:pgNumType w:fmt="decimal"/>
          <w:cols w:space="720" w:num="1"/>
          <w:docGrid w:type="lines" w:linePitch="314" w:charSpace="0"/>
        </w:sectPr>
      </w:pPr>
    </w:p>
    <w:p>
      <w:pPr>
        <w:spacing w:line="360" w:lineRule="auto"/>
        <w:rPr>
          <w:color w:val="auto"/>
          <w:sz w:val="24"/>
          <w:szCs w:val="24"/>
          <w:highlight w:val="none"/>
          <w:lang w:val="en-US"/>
        </w:rPr>
      </w:pPr>
      <w:bookmarkStart w:id="153" w:name="_Toc14321"/>
      <w:bookmarkStart w:id="154" w:name="_Toc1463"/>
      <w:bookmarkStart w:id="155" w:name="_Toc29743"/>
      <w:bookmarkStart w:id="156" w:name="_Toc9330"/>
      <w:bookmarkStart w:id="157" w:name="_Toc25610"/>
      <w:bookmarkStart w:id="158" w:name="_Toc7173"/>
      <w:bookmarkStart w:id="159" w:name="_Toc423336350"/>
      <w:bookmarkStart w:id="160" w:name="_Toc27164"/>
      <w:bookmarkStart w:id="161" w:name="_Toc8433"/>
      <w:bookmarkStart w:id="162" w:name="_Toc19970"/>
      <w:bookmarkStart w:id="163" w:name="_Toc1029"/>
      <w:bookmarkStart w:id="164" w:name="_Toc5771"/>
      <w:r>
        <w:rPr>
          <w:rFonts w:hint="eastAsia"/>
          <w:color w:val="auto"/>
          <w:sz w:val="24"/>
          <w:szCs w:val="24"/>
          <w:highlight w:val="none"/>
          <w:lang w:val="en-US"/>
        </w:rPr>
        <w:t>附件4</w:t>
      </w:r>
    </w:p>
    <w:p>
      <w:pPr>
        <w:spacing w:line="360" w:lineRule="auto"/>
        <w:jc w:val="center"/>
        <w:rPr>
          <w:b/>
          <w:bCs/>
          <w:color w:val="auto"/>
          <w:sz w:val="24"/>
          <w:szCs w:val="24"/>
          <w:highlight w:val="none"/>
        </w:rPr>
      </w:pPr>
      <w:r>
        <w:rPr>
          <w:rFonts w:hint="eastAsia"/>
          <w:b/>
          <w:bCs/>
          <w:color w:val="auto"/>
          <w:sz w:val="24"/>
          <w:szCs w:val="24"/>
          <w:highlight w:val="none"/>
        </w:rPr>
        <w:t>不可撤销</w:t>
      </w:r>
      <w:bookmarkStart w:id="165" w:name="_Toc196800141"/>
      <w:bookmarkStart w:id="166" w:name="_Toc160508259"/>
      <w:bookmarkStart w:id="167" w:name="_Toc24924"/>
      <w:bookmarkStart w:id="168" w:name="_Toc160511773"/>
      <w:bookmarkStart w:id="169" w:name="_Toc2668"/>
      <w:r>
        <w:rPr>
          <w:rFonts w:hint="eastAsia"/>
          <w:b/>
          <w:bCs/>
          <w:color w:val="auto"/>
          <w:sz w:val="24"/>
          <w:szCs w:val="24"/>
          <w:highlight w:val="none"/>
        </w:rPr>
        <w:t>预付款保函</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Fonts w:hint="eastAsia"/>
          <w:b/>
          <w:bCs/>
          <w:color w:val="auto"/>
          <w:sz w:val="24"/>
          <w:szCs w:val="24"/>
          <w:highlight w:val="none"/>
        </w:rPr>
        <w:t>（</w:t>
      </w:r>
      <w:r>
        <w:rPr>
          <w:rFonts w:hint="eastAsia"/>
          <w:b/>
          <w:bCs/>
          <w:color w:val="auto"/>
          <w:sz w:val="24"/>
          <w:szCs w:val="24"/>
          <w:highlight w:val="none"/>
          <w:lang w:val="en-US"/>
        </w:rPr>
        <w:t>参考格式</w:t>
      </w:r>
      <w:r>
        <w:rPr>
          <w:rFonts w:hint="eastAsia"/>
          <w:b/>
          <w:bCs/>
          <w:color w:val="auto"/>
          <w:sz w:val="24"/>
          <w:szCs w:val="24"/>
          <w:highlight w:val="none"/>
        </w:rPr>
        <w:t>）</w:t>
      </w:r>
    </w:p>
    <w:p>
      <w:pPr>
        <w:spacing w:line="360" w:lineRule="auto"/>
        <w:jc w:val="center"/>
        <w:rPr>
          <w:b/>
          <w:bCs/>
          <w:color w:val="auto"/>
          <w:sz w:val="24"/>
          <w:szCs w:val="24"/>
          <w:highlight w:val="none"/>
        </w:rPr>
      </w:pPr>
    </w:p>
    <w:p>
      <w:pPr>
        <w:pStyle w:val="16"/>
        <w:spacing w:line="360" w:lineRule="auto"/>
        <w:ind w:firstLine="5280" w:firstLineChars="2200"/>
        <w:rPr>
          <w:rFonts w:hAnsi="宋体" w:cs="宋体"/>
          <w:color w:val="auto"/>
          <w:sz w:val="24"/>
          <w:highlight w:val="none"/>
          <w:u w:val="single"/>
        </w:rPr>
      </w:pPr>
      <w:r>
        <w:rPr>
          <w:rFonts w:hint="eastAsia" w:hAnsi="宋体" w:cs="宋体"/>
          <w:color w:val="auto"/>
          <w:sz w:val="24"/>
          <w:highlight w:val="none"/>
        </w:rPr>
        <w:t>保函编号：</w:t>
      </w:r>
    </w:p>
    <w:p>
      <w:pPr>
        <w:pStyle w:val="2"/>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致：（下称受益人）</w:t>
      </w:r>
    </w:p>
    <w:p>
      <w:pPr>
        <w:pStyle w:val="2"/>
        <w:spacing w:line="360" w:lineRule="auto"/>
        <w:ind w:firstLine="480"/>
        <w:rPr>
          <w:rFonts w:ascii="宋体" w:hAnsi="宋体" w:cs="宋体"/>
          <w:color w:val="auto"/>
          <w:sz w:val="24"/>
          <w:highlight w:val="none"/>
          <w:u w:val="single"/>
        </w:rPr>
      </w:pPr>
      <w:r>
        <w:rPr>
          <w:rFonts w:hint="eastAsia" w:ascii="宋体" w:hAnsi="宋体" w:cs="宋体"/>
          <w:color w:val="auto"/>
          <w:sz w:val="24"/>
          <w:highlight w:val="none"/>
        </w:rPr>
        <w:t>根据受益人与（申请人名称）于年月日所签订的***项目</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AUTOTEXT  input331 \* MERGEFORMAT </w:instrText>
      </w:r>
      <w:r>
        <w:rPr>
          <w:rFonts w:hint="eastAsia" w:ascii="宋体" w:hAnsi="宋体" w:cs="宋体"/>
          <w:color w:val="auto"/>
          <w:sz w:val="24"/>
          <w:highlight w:val="none"/>
        </w:rPr>
        <w:fldChar w:fldCharType="end"/>
      </w:r>
      <w:r>
        <w:rPr>
          <w:rFonts w:hint="eastAsia" w:ascii="宋体" w:hAnsi="宋体" w:cs="宋体"/>
          <w:color w:val="auto"/>
          <w:sz w:val="24"/>
          <w:highlight w:val="none"/>
        </w:rPr>
        <w:t>《 *** 合同》第款，申请人在取得预付款前，应向受益人提交与预付款等额的、金额为人民币（大写：）的预付款保函。我方已接受申请人的请求就申请人按照上述合同约定使用并按期退还预付款向受益人出具如下不可撤销、见索即付保函：</w:t>
      </w:r>
    </w:p>
    <w:p>
      <w:pPr>
        <w:pStyle w:val="2"/>
        <w:spacing w:line="360" w:lineRule="auto"/>
        <w:ind w:firstLine="480"/>
        <w:rPr>
          <w:rFonts w:ascii="宋体" w:hAnsi="宋体" w:cs="宋体"/>
          <w:color w:val="auto"/>
          <w:sz w:val="24"/>
          <w:highlight w:val="none"/>
        </w:rPr>
      </w:pPr>
      <w:r>
        <w:rPr>
          <w:rFonts w:hint="eastAsia" w:ascii="宋体" w:hAnsi="宋体" w:cs="宋体"/>
          <w:color w:val="auto"/>
          <w:sz w:val="24"/>
          <w:highlight w:val="none"/>
        </w:rPr>
        <w:t>一、保函金额</w:t>
      </w:r>
    </w:p>
    <w:p>
      <w:pPr>
        <w:pStyle w:val="2"/>
        <w:spacing w:line="360" w:lineRule="auto"/>
        <w:ind w:firstLine="480"/>
        <w:rPr>
          <w:rFonts w:ascii="宋体" w:hAnsi="宋体" w:cs="宋体"/>
          <w:color w:val="auto"/>
          <w:sz w:val="24"/>
          <w:highlight w:val="none"/>
        </w:rPr>
      </w:pPr>
      <w:r>
        <w:rPr>
          <w:rFonts w:hint="eastAsia" w:ascii="宋体" w:hAnsi="宋体" w:cs="宋体"/>
          <w:color w:val="auto"/>
          <w:sz w:val="24"/>
          <w:highlight w:val="none"/>
        </w:rPr>
        <w:t>1、本保函的担保金额为人民币（大写：）。</w:t>
      </w:r>
    </w:p>
    <w:p>
      <w:pPr>
        <w:pStyle w:val="2"/>
        <w:spacing w:line="360" w:lineRule="auto"/>
        <w:ind w:firstLine="480"/>
        <w:rPr>
          <w:rFonts w:ascii="宋体" w:hAnsi="宋体" w:cs="宋体"/>
          <w:color w:val="auto"/>
          <w:sz w:val="24"/>
          <w:highlight w:val="none"/>
        </w:rPr>
      </w:pPr>
      <w:r>
        <w:rPr>
          <w:rFonts w:hint="eastAsia" w:ascii="宋体" w:hAnsi="宋体" w:cs="宋体"/>
          <w:color w:val="auto"/>
          <w:sz w:val="24"/>
          <w:highlight w:val="none"/>
        </w:rPr>
        <w:t>二、有效期</w:t>
      </w:r>
    </w:p>
    <w:p>
      <w:pPr>
        <w:pStyle w:val="2"/>
        <w:spacing w:line="360" w:lineRule="auto"/>
        <w:ind w:firstLine="480"/>
        <w:rPr>
          <w:rFonts w:ascii="宋体" w:hAnsi="宋体" w:cs="宋体"/>
          <w:color w:val="auto"/>
          <w:sz w:val="24"/>
          <w:highlight w:val="none"/>
        </w:rPr>
      </w:pPr>
      <w:r>
        <w:rPr>
          <w:rFonts w:hint="eastAsia" w:ascii="宋体" w:hAnsi="宋体" w:cs="宋体"/>
          <w:color w:val="auto"/>
          <w:sz w:val="24"/>
          <w:highlight w:val="none"/>
        </w:rPr>
        <w:t>本保函的有效期自本保函签发且申请人收到预付款之日起至申请人所提交的与支付预付款等额的设备到货并经受益人签收确认之日止。</w:t>
      </w:r>
    </w:p>
    <w:p>
      <w:pPr>
        <w:pStyle w:val="2"/>
        <w:spacing w:line="360" w:lineRule="auto"/>
        <w:ind w:firstLine="480"/>
        <w:rPr>
          <w:rFonts w:ascii="宋体" w:hAnsi="宋体" w:cs="宋体"/>
          <w:color w:val="auto"/>
          <w:sz w:val="24"/>
          <w:highlight w:val="none"/>
        </w:rPr>
      </w:pPr>
      <w:r>
        <w:rPr>
          <w:rFonts w:hint="eastAsia" w:ascii="宋体" w:hAnsi="宋体" w:cs="宋体"/>
          <w:color w:val="auto"/>
          <w:sz w:val="24"/>
          <w:highlight w:val="none"/>
        </w:rPr>
        <w:t>三、代偿安排</w:t>
      </w:r>
    </w:p>
    <w:p>
      <w:pPr>
        <w:pStyle w:val="2"/>
        <w:spacing w:line="360" w:lineRule="auto"/>
        <w:ind w:firstLine="480"/>
        <w:rPr>
          <w:rFonts w:ascii="宋体" w:hAnsi="宋体" w:cs="宋体"/>
          <w:color w:val="auto"/>
          <w:sz w:val="24"/>
          <w:highlight w:val="none"/>
        </w:rPr>
      </w:pPr>
      <w:r>
        <w:rPr>
          <w:rFonts w:hint="eastAsia" w:ascii="宋体" w:hAnsi="宋体" w:cs="宋体"/>
          <w:color w:val="auto"/>
          <w:sz w:val="24"/>
          <w:highlight w:val="none"/>
        </w:rPr>
        <w:t>1、我方作为开立人，当受益人提出要求时无条件地、不可撤销地立即支付上述担保金限额范围内的任何数量的款额给受益人，我方无权拒绝也不要求你方出具证明、陈述理由、或先向申请人及任何第三方提出此项要求，不主张申请人有权对受益人主张的任何抗辩，不主张任何对受益人的抵销权，并在收到你方书面索赔通知后的</w:t>
      </w:r>
      <w:r>
        <w:rPr>
          <w:rFonts w:hint="eastAsia" w:ascii="宋体" w:hAnsi="宋体" w:cs="宋体"/>
          <w:color w:val="auto"/>
          <w:sz w:val="24"/>
          <w:highlight w:val="none"/>
          <w:u w:val="single"/>
        </w:rPr>
        <w:t>30</w:t>
      </w:r>
      <w:r>
        <w:rPr>
          <w:rFonts w:hint="eastAsia" w:ascii="宋体" w:hAnsi="宋体" w:cs="宋体"/>
          <w:color w:val="auto"/>
          <w:sz w:val="24"/>
          <w:highlight w:val="none"/>
        </w:rPr>
        <w:t>日内支付你方所要求的金额，绝不拖延。</w:t>
      </w:r>
    </w:p>
    <w:p>
      <w:pPr>
        <w:pStyle w:val="2"/>
        <w:spacing w:line="360" w:lineRule="auto"/>
        <w:ind w:firstLine="480"/>
        <w:rPr>
          <w:rFonts w:ascii="宋体" w:hAnsi="宋体" w:cs="宋体"/>
          <w:color w:val="auto"/>
          <w:sz w:val="24"/>
          <w:highlight w:val="none"/>
        </w:rPr>
      </w:pPr>
      <w:r>
        <w:rPr>
          <w:rFonts w:hint="eastAsia" w:ascii="宋体" w:hAnsi="宋体" w:cs="宋体"/>
          <w:color w:val="auto"/>
          <w:sz w:val="24"/>
          <w:highlight w:val="none"/>
        </w:rPr>
        <w:t>2、受益人的付款要求送达至本保函中确认的我方通讯地址即视为送达，如我方通讯地址变更，我方有义务及时将变更后的地址书面告知受益人，否则应视为受益人已向我方发出付款要求的书面通知。</w:t>
      </w:r>
    </w:p>
    <w:p>
      <w:pPr>
        <w:pStyle w:val="2"/>
        <w:spacing w:line="360" w:lineRule="auto"/>
        <w:ind w:firstLine="480"/>
        <w:rPr>
          <w:rFonts w:ascii="宋体" w:hAnsi="宋体" w:cs="宋体"/>
          <w:color w:val="auto"/>
          <w:sz w:val="24"/>
          <w:highlight w:val="none"/>
        </w:rPr>
      </w:pPr>
      <w:r>
        <w:rPr>
          <w:rFonts w:hint="eastAsia" w:ascii="宋体" w:hAnsi="宋体" w:cs="宋体"/>
          <w:color w:val="auto"/>
          <w:sz w:val="24"/>
          <w:highlight w:val="none"/>
        </w:rPr>
        <w:t>四、在受益人和申请人之间的合同条件、合同项下或合同文件发生变化、补充或修改，或受益人对申请人合同义务、责任的豁免，或受益人和申请人及任何其他第三人之间产生争议或纠纷，我方承担本保函的责任也不改变；上述变化、补充或修改等情况也无须通知我方。</w:t>
      </w:r>
    </w:p>
    <w:p>
      <w:pPr>
        <w:spacing w:line="360" w:lineRule="auto"/>
        <w:ind w:firstLine="480" w:firstLineChars="200"/>
        <w:rPr>
          <w:color w:val="auto"/>
          <w:sz w:val="24"/>
          <w:szCs w:val="24"/>
          <w:highlight w:val="none"/>
        </w:rPr>
      </w:pPr>
      <w:r>
        <w:rPr>
          <w:rFonts w:hint="eastAsia"/>
          <w:color w:val="auto"/>
          <w:sz w:val="24"/>
          <w:szCs w:val="24"/>
          <w:highlight w:val="none"/>
        </w:rPr>
        <w:t>五、本保函为：</w:t>
      </w:r>
    </w:p>
    <w:p>
      <w:pPr>
        <w:spacing w:line="360" w:lineRule="auto"/>
        <w:ind w:firstLine="480" w:firstLineChars="200"/>
        <w:rPr>
          <w:color w:val="auto"/>
          <w:sz w:val="24"/>
          <w:szCs w:val="24"/>
          <w:highlight w:val="none"/>
        </w:rPr>
      </w:pPr>
      <w:r>
        <w:rPr>
          <w:rFonts w:hint="eastAsia"/>
          <w:color w:val="auto"/>
          <w:sz w:val="24"/>
          <w:szCs w:val="24"/>
          <w:highlight w:val="none"/>
        </w:rPr>
        <w:sym w:font="Wingdings" w:char="00A8"/>
      </w:r>
      <w:r>
        <w:rPr>
          <w:rFonts w:hint="eastAsia"/>
          <w:color w:val="auto"/>
          <w:sz w:val="24"/>
          <w:szCs w:val="24"/>
          <w:highlight w:val="none"/>
        </w:rPr>
        <w:t>可转让保函，若受益人转让本保函项下之权益，应书面通知我方以确定受让本保函项下之权益的指定受益人。</w:t>
      </w:r>
    </w:p>
    <w:p>
      <w:pPr>
        <w:spacing w:line="360" w:lineRule="auto"/>
        <w:ind w:firstLine="480" w:firstLineChars="200"/>
        <w:rPr>
          <w:color w:val="auto"/>
          <w:sz w:val="24"/>
          <w:szCs w:val="24"/>
          <w:highlight w:val="none"/>
        </w:rPr>
      </w:pPr>
      <w:r>
        <w:rPr>
          <w:rFonts w:hint="eastAsia"/>
          <w:color w:val="auto"/>
          <w:sz w:val="24"/>
          <w:szCs w:val="24"/>
          <w:highlight w:val="none"/>
        </w:rPr>
        <w:sym w:font="Wingdings" w:char="00A8"/>
      </w:r>
      <w:r>
        <w:rPr>
          <w:rFonts w:hint="eastAsia"/>
          <w:color w:val="auto"/>
          <w:sz w:val="24"/>
          <w:szCs w:val="24"/>
          <w:highlight w:val="none"/>
        </w:rPr>
        <w:t>不可转让保函。</w:t>
      </w:r>
    </w:p>
    <w:p>
      <w:pPr>
        <w:pStyle w:val="2"/>
        <w:spacing w:line="360" w:lineRule="auto"/>
        <w:ind w:firstLine="480"/>
        <w:rPr>
          <w:rFonts w:ascii="宋体" w:hAnsi="宋体" w:cs="宋体"/>
          <w:color w:val="auto"/>
          <w:sz w:val="24"/>
          <w:highlight w:val="none"/>
        </w:rPr>
      </w:pPr>
      <w:r>
        <w:rPr>
          <w:rFonts w:hint="eastAsia" w:ascii="宋体" w:hAnsi="宋体" w:cs="宋体"/>
          <w:color w:val="auto"/>
          <w:sz w:val="24"/>
          <w:highlight w:val="none"/>
        </w:rPr>
        <w:t>六、因本保函发生的纠纷，由受益人与我方协商解决，协商不成的，通过诉讼程序解决，诉讼管辖地法院为受益人住所地人民法院。本保函的履行、解释、争议解决等均适用中华人民共和国法律。</w:t>
      </w:r>
    </w:p>
    <w:p>
      <w:pPr>
        <w:adjustRightInd w:val="0"/>
        <w:snapToGrid w:val="0"/>
        <w:spacing w:line="360" w:lineRule="auto"/>
        <w:ind w:firstLine="480" w:firstLineChars="200"/>
        <w:rPr>
          <w:color w:val="auto"/>
          <w:sz w:val="24"/>
          <w:szCs w:val="24"/>
          <w:highlight w:val="none"/>
        </w:rPr>
      </w:pPr>
      <w:r>
        <w:rPr>
          <w:rFonts w:hint="eastAsia"/>
          <w:color w:val="auto"/>
          <w:sz w:val="24"/>
          <w:szCs w:val="24"/>
          <w:highlight w:val="none"/>
        </w:rPr>
        <w:t>七、本保函自我方</w:t>
      </w:r>
      <w:r>
        <w:rPr>
          <w:rFonts w:hint="eastAsia"/>
          <w:color w:val="auto"/>
          <w:kern w:val="2"/>
          <w:sz w:val="24"/>
          <w:szCs w:val="24"/>
          <w:highlight w:val="none"/>
          <w:lang w:val="en-US"/>
        </w:rPr>
        <w:t>负责人</w:t>
      </w:r>
      <w:r>
        <w:rPr>
          <w:rFonts w:hint="eastAsia"/>
          <w:color w:val="auto"/>
          <w:sz w:val="24"/>
          <w:szCs w:val="24"/>
          <w:highlight w:val="none"/>
        </w:rPr>
        <w:t>（或其授权代理人）签字并加盖公章之日起生效。本保函以中文文本为准，涂改无效。</w:t>
      </w:r>
    </w:p>
    <w:p>
      <w:pPr>
        <w:pStyle w:val="2"/>
        <w:spacing w:line="360" w:lineRule="auto"/>
        <w:ind w:firstLine="480"/>
        <w:rPr>
          <w:rFonts w:ascii="宋体" w:hAnsi="宋体" w:cs="宋体"/>
          <w:color w:val="auto"/>
          <w:sz w:val="24"/>
          <w:highlight w:val="none"/>
        </w:rPr>
      </w:pPr>
    </w:p>
    <w:p>
      <w:pPr>
        <w:spacing w:line="360" w:lineRule="auto"/>
        <w:ind w:left="480"/>
        <w:rPr>
          <w:color w:val="auto"/>
          <w:sz w:val="24"/>
          <w:szCs w:val="24"/>
          <w:highlight w:val="none"/>
        </w:rPr>
      </w:pPr>
      <w:r>
        <w:rPr>
          <w:rFonts w:hint="eastAsia"/>
          <w:color w:val="auto"/>
          <w:sz w:val="24"/>
          <w:szCs w:val="24"/>
          <w:highlight w:val="none"/>
        </w:rPr>
        <w:t>开立人：                                                   (盖章)</w:t>
      </w:r>
    </w:p>
    <w:p>
      <w:pPr>
        <w:spacing w:line="360" w:lineRule="auto"/>
        <w:ind w:left="480"/>
        <w:rPr>
          <w:color w:val="auto"/>
          <w:sz w:val="24"/>
          <w:szCs w:val="24"/>
          <w:highlight w:val="none"/>
        </w:rPr>
      </w:pPr>
      <w:r>
        <w:rPr>
          <w:rFonts w:hint="eastAsia"/>
          <w:color w:val="auto"/>
          <w:kern w:val="2"/>
          <w:sz w:val="24"/>
          <w:szCs w:val="24"/>
          <w:highlight w:val="none"/>
          <w:lang w:val="en-US"/>
        </w:rPr>
        <w:t>负责人</w:t>
      </w:r>
      <w:r>
        <w:rPr>
          <w:rFonts w:hint="eastAsia"/>
          <w:color w:val="auto"/>
          <w:sz w:val="24"/>
          <w:szCs w:val="24"/>
          <w:highlight w:val="none"/>
        </w:rPr>
        <w:t xml:space="preserve">或其授权委托代理人(签字或盖章)：                       </w:t>
      </w:r>
    </w:p>
    <w:p>
      <w:pPr>
        <w:spacing w:line="360" w:lineRule="auto"/>
        <w:ind w:left="480"/>
        <w:rPr>
          <w:color w:val="auto"/>
          <w:sz w:val="24"/>
          <w:szCs w:val="24"/>
          <w:highlight w:val="none"/>
        </w:rPr>
      </w:pPr>
      <w:r>
        <w:rPr>
          <w:rFonts w:hint="eastAsia"/>
          <w:color w:val="auto"/>
          <w:sz w:val="24"/>
          <w:szCs w:val="24"/>
          <w:highlight w:val="none"/>
        </w:rPr>
        <w:t xml:space="preserve">单位地址：                                                        </w:t>
      </w:r>
    </w:p>
    <w:p>
      <w:pPr>
        <w:spacing w:line="360" w:lineRule="auto"/>
        <w:ind w:left="480"/>
        <w:rPr>
          <w:color w:val="auto"/>
          <w:sz w:val="24"/>
          <w:szCs w:val="24"/>
          <w:highlight w:val="none"/>
        </w:rPr>
      </w:pPr>
      <w:r>
        <w:rPr>
          <w:rFonts w:hint="eastAsia"/>
          <w:color w:val="auto"/>
          <w:sz w:val="24"/>
          <w:szCs w:val="24"/>
          <w:highlight w:val="none"/>
        </w:rPr>
        <w:t xml:space="preserve">邮政编码：           电话：                 传真：                </w:t>
      </w:r>
    </w:p>
    <w:p>
      <w:pPr>
        <w:spacing w:line="360" w:lineRule="auto"/>
        <w:ind w:left="480"/>
        <w:rPr>
          <w:color w:val="auto"/>
          <w:sz w:val="24"/>
          <w:szCs w:val="24"/>
          <w:highlight w:val="none"/>
        </w:rPr>
      </w:pPr>
      <w:r>
        <w:rPr>
          <w:rFonts w:hint="eastAsia"/>
          <w:color w:val="auto"/>
          <w:sz w:val="24"/>
          <w:szCs w:val="24"/>
          <w:highlight w:val="none"/>
        </w:rPr>
        <w:t>日期：          年      月      日</w:t>
      </w:r>
    </w:p>
    <w:p>
      <w:pPr>
        <w:spacing w:line="360" w:lineRule="auto"/>
        <w:ind w:firstLine="480" w:firstLineChars="200"/>
        <w:rPr>
          <w:rFonts w:asciiTheme="minorEastAsia" w:hAnsiTheme="minorEastAsia" w:eastAsiaTheme="minorEastAsia"/>
          <w:color w:val="auto"/>
          <w:sz w:val="21"/>
          <w:szCs w:val="21"/>
          <w:highlight w:val="none"/>
        </w:rPr>
      </w:pPr>
      <w:r>
        <w:rPr>
          <w:rFonts w:hint="eastAsia"/>
          <w:color w:val="auto"/>
          <w:sz w:val="24"/>
          <w:szCs w:val="24"/>
          <w:highlight w:val="none"/>
        </w:rPr>
        <w:t>（本保函为参考格式，最终以银行开具的经双方一致认可的保函格式为准）</w:t>
      </w:r>
    </w:p>
    <w:p>
      <w:pPr>
        <w:rPr>
          <w:color w:val="auto"/>
          <w:highlight w:val="none"/>
        </w:rPr>
      </w:pPr>
    </w:p>
    <w:p>
      <w:pPr>
        <w:pStyle w:val="55"/>
        <w:spacing w:line="675" w:lineRule="exact"/>
        <w:jc w:val="center"/>
        <w:outlineLvl w:val="0"/>
        <w:rPr>
          <w:rFonts w:ascii="宋体" w:hAnsi="宋体" w:eastAsia="宋体"/>
          <w:color w:val="auto"/>
          <w:highlight w:val="none"/>
          <w:lang w:val="en-US"/>
        </w:rPr>
      </w:pPr>
    </w:p>
    <w:p>
      <w:pPr>
        <w:rPr>
          <w:color w:val="auto"/>
          <w:highlight w:val="none"/>
        </w:rPr>
      </w:pPr>
    </w:p>
    <w:p>
      <w:pPr>
        <w:pStyle w:val="62"/>
        <w:rPr>
          <w:rFonts w:ascii="黑体" w:hAnsi="黑体" w:eastAsia="黑体"/>
          <w:color w:val="auto"/>
          <w:sz w:val="28"/>
          <w:szCs w:val="28"/>
          <w:highlight w:val="none"/>
        </w:rPr>
      </w:pPr>
    </w:p>
    <w:p>
      <w:pPr>
        <w:pStyle w:val="62"/>
        <w:rPr>
          <w:rFonts w:ascii="黑体" w:hAnsi="黑体" w:eastAsia="黑体"/>
          <w:color w:val="auto"/>
          <w:sz w:val="28"/>
          <w:szCs w:val="28"/>
          <w:highlight w:val="none"/>
        </w:rPr>
      </w:pPr>
    </w:p>
    <w:p>
      <w:pPr>
        <w:pStyle w:val="62"/>
        <w:rPr>
          <w:rFonts w:ascii="黑体" w:hAnsi="黑体" w:eastAsia="黑体"/>
          <w:color w:val="auto"/>
          <w:sz w:val="28"/>
          <w:szCs w:val="28"/>
          <w:highlight w:val="none"/>
        </w:rPr>
      </w:pPr>
    </w:p>
    <w:p>
      <w:pPr>
        <w:pStyle w:val="62"/>
        <w:rPr>
          <w:rFonts w:ascii="黑体" w:hAnsi="黑体" w:eastAsia="黑体"/>
          <w:color w:val="auto"/>
          <w:sz w:val="28"/>
          <w:szCs w:val="28"/>
          <w:highlight w:val="none"/>
        </w:rPr>
      </w:pPr>
    </w:p>
    <w:p>
      <w:pPr>
        <w:pStyle w:val="62"/>
        <w:rPr>
          <w:rFonts w:ascii="黑体" w:hAnsi="黑体" w:eastAsia="黑体"/>
          <w:color w:val="auto"/>
          <w:sz w:val="28"/>
          <w:szCs w:val="28"/>
          <w:highlight w:val="none"/>
        </w:rPr>
      </w:pPr>
    </w:p>
    <w:p>
      <w:pPr>
        <w:pStyle w:val="62"/>
        <w:rPr>
          <w:rFonts w:ascii="黑体" w:hAnsi="黑体" w:eastAsia="黑体"/>
          <w:color w:val="auto"/>
          <w:sz w:val="28"/>
          <w:szCs w:val="28"/>
          <w:highlight w:val="none"/>
        </w:rPr>
      </w:pPr>
    </w:p>
    <w:p>
      <w:pPr>
        <w:pStyle w:val="62"/>
        <w:rPr>
          <w:rFonts w:ascii="黑体" w:hAnsi="黑体" w:eastAsia="黑体"/>
          <w:color w:val="auto"/>
          <w:sz w:val="28"/>
          <w:szCs w:val="28"/>
          <w:highlight w:val="none"/>
        </w:rPr>
      </w:pPr>
    </w:p>
    <w:p>
      <w:pPr>
        <w:pStyle w:val="62"/>
        <w:rPr>
          <w:rFonts w:ascii="黑体" w:hAnsi="黑体" w:eastAsia="黑体"/>
          <w:color w:val="auto"/>
          <w:sz w:val="28"/>
          <w:szCs w:val="28"/>
          <w:highlight w:val="none"/>
        </w:rPr>
      </w:pPr>
    </w:p>
    <w:p>
      <w:pPr>
        <w:kinsoku w:val="0"/>
        <w:overflowPunct w:val="0"/>
        <w:adjustRightInd w:val="0"/>
        <w:spacing w:line="463" w:lineRule="exact"/>
        <w:jc w:val="center"/>
        <w:rPr>
          <w:rFonts w:ascii="Courier New" w:hAnsi="Courier New" w:eastAsia="Courier New" w:cs="Arial"/>
          <w:b/>
          <w:color w:val="auto"/>
          <w:sz w:val="32"/>
          <w:szCs w:val="32"/>
          <w:highlight w:val="none"/>
        </w:rPr>
      </w:pPr>
      <w:bookmarkStart w:id="170" w:name="_Toc503862153"/>
      <w:bookmarkStart w:id="171" w:name="_Toc503861797"/>
    </w:p>
    <w:p>
      <w:pPr>
        <w:kinsoku w:val="0"/>
        <w:overflowPunct w:val="0"/>
        <w:adjustRightInd w:val="0"/>
        <w:spacing w:line="463" w:lineRule="exact"/>
        <w:jc w:val="center"/>
        <w:rPr>
          <w:rFonts w:ascii="Courier New" w:hAnsi="Courier New" w:eastAsia="Courier New" w:cs="Arial"/>
          <w:b/>
          <w:color w:val="auto"/>
          <w:sz w:val="32"/>
          <w:szCs w:val="32"/>
          <w:highlight w:val="none"/>
        </w:rPr>
      </w:pPr>
    </w:p>
    <w:p>
      <w:pPr>
        <w:kinsoku w:val="0"/>
        <w:overflowPunct w:val="0"/>
        <w:adjustRightInd w:val="0"/>
        <w:spacing w:line="463" w:lineRule="exact"/>
        <w:jc w:val="center"/>
        <w:rPr>
          <w:rFonts w:ascii="Courier New" w:hAnsi="Courier New" w:eastAsia="Courier New" w:cs="Arial"/>
          <w:b/>
          <w:color w:val="auto"/>
          <w:sz w:val="32"/>
          <w:szCs w:val="32"/>
          <w:highlight w:val="none"/>
        </w:rPr>
      </w:pPr>
    </w:p>
    <w:p>
      <w:pPr>
        <w:kinsoku w:val="0"/>
        <w:overflowPunct w:val="0"/>
        <w:adjustRightInd w:val="0"/>
        <w:spacing w:line="463" w:lineRule="exact"/>
        <w:jc w:val="center"/>
        <w:rPr>
          <w:rFonts w:ascii="Courier New" w:hAnsi="Courier New" w:eastAsia="Courier New" w:cs="Arial"/>
          <w:b/>
          <w:color w:val="auto"/>
          <w:sz w:val="32"/>
          <w:szCs w:val="32"/>
          <w:highlight w:val="none"/>
        </w:rPr>
      </w:pPr>
    </w:p>
    <w:p>
      <w:pPr>
        <w:kinsoku w:val="0"/>
        <w:overflowPunct w:val="0"/>
        <w:adjustRightInd w:val="0"/>
        <w:spacing w:line="463" w:lineRule="exact"/>
        <w:jc w:val="center"/>
        <w:rPr>
          <w:rFonts w:ascii="Courier New" w:hAnsi="Courier New" w:eastAsia="Courier New" w:cs="Arial"/>
          <w:b/>
          <w:color w:val="auto"/>
          <w:sz w:val="32"/>
          <w:szCs w:val="32"/>
          <w:highlight w:val="none"/>
        </w:rPr>
      </w:pPr>
    </w:p>
    <w:p>
      <w:pPr>
        <w:kinsoku w:val="0"/>
        <w:overflowPunct w:val="0"/>
        <w:adjustRightInd w:val="0"/>
        <w:spacing w:line="463" w:lineRule="exact"/>
        <w:jc w:val="center"/>
        <w:rPr>
          <w:rFonts w:ascii="Courier New" w:hAnsi="Courier New" w:eastAsia="Courier New" w:cs="Arial"/>
          <w:b/>
          <w:color w:val="auto"/>
          <w:sz w:val="32"/>
          <w:szCs w:val="32"/>
          <w:highlight w:val="none"/>
        </w:rPr>
      </w:pPr>
    </w:p>
    <w:p>
      <w:pPr>
        <w:kinsoku w:val="0"/>
        <w:overflowPunct w:val="0"/>
        <w:adjustRightInd w:val="0"/>
        <w:spacing w:line="463" w:lineRule="exact"/>
        <w:jc w:val="center"/>
        <w:outlineLvl w:val="2"/>
        <w:rPr>
          <w:color w:val="auto"/>
          <w:sz w:val="21"/>
          <w:szCs w:val="21"/>
          <w:highlight w:val="none"/>
        </w:rPr>
      </w:pPr>
      <w:bookmarkStart w:id="172" w:name="_Toc32150"/>
      <w:bookmarkStart w:id="173" w:name="_Toc29471"/>
      <w:bookmarkStart w:id="174" w:name="_Toc26141"/>
      <w:r>
        <w:rPr>
          <w:rFonts w:hint="eastAsia" w:ascii="黑体" w:hAnsi="黑体" w:eastAsia="黑体" w:cs="Microsoft JhengHei"/>
          <w:b/>
          <w:color w:val="auto"/>
          <w:sz w:val="32"/>
          <w:szCs w:val="32"/>
          <w:highlight w:val="none"/>
        </w:rPr>
        <w:br w:type="page"/>
      </w:r>
      <w:bookmarkEnd w:id="170"/>
      <w:bookmarkEnd w:id="171"/>
      <w:bookmarkEnd w:id="172"/>
      <w:bookmarkEnd w:id="173"/>
      <w:bookmarkEnd w:id="174"/>
      <w:bookmarkStart w:id="175" w:name="5.包装、标记、运输和交付"/>
      <w:bookmarkEnd w:id="175"/>
      <w:bookmarkStart w:id="176" w:name="16._不可抗力"/>
      <w:bookmarkEnd w:id="176"/>
      <w:bookmarkStart w:id="177" w:name="1.3_合同文件的优先顺序"/>
      <w:bookmarkEnd w:id="177"/>
      <w:bookmarkStart w:id="178" w:name="第二节专用合同条款"/>
      <w:bookmarkEnd w:id="178"/>
      <w:bookmarkStart w:id="179" w:name="3.3__买方扣款的权利"/>
      <w:bookmarkEnd w:id="179"/>
      <w:bookmarkStart w:id="180" w:name="1.1.1__合同"/>
      <w:bookmarkEnd w:id="180"/>
      <w:bookmarkStart w:id="181" w:name="3.2_合同价款的支付"/>
      <w:bookmarkEnd w:id="181"/>
      <w:bookmarkStart w:id="182" w:name="1.7_转让"/>
      <w:bookmarkEnd w:id="182"/>
      <w:bookmarkStart w:id="183" w:name="6.3_考核"/>
      <w:bookmarkEnd w:id="183"/>
      <w:bookmarkStart w:id="184" w:name="2.__合同范围"/>
      <w:bookmarkEnd w:id="184"/>
      <w:bookmarkStart w:id="185" w:name="4.1_监造"/>
      <w:bookmarkEnd w:id="185"/>
      <w:bookmarkStart w:id="186" w:name="1.1.13__工程"/>
      <w:bookmarkEnd w:id="186"/>
      <w:bookmarkStart w:id="187" w:name="6.4_验收"/>
      <w:bookmarkEnd w:id="187"/>
      <w:bookmarkStart w:id="188" w:name="3.1__合同价格"/>
      <w:bookmarkEnd w:id="188"/>
      <w:bookmarkStart w:id="189" w:name="1.1.2__合同当事人"/>
      <w:bookmarkEnd w:id="189"/>
      <w:bookmarkStart w:id="190" w:name="9.__质保期服务"/>
      <w:bookmarkEnd w:id="190"/>
      <w:bookmarkStart w:id="191" w:name="10._履约保证金"/>
      <w:bookmarkEnd w:id="191"/>
      <w:bookmarkStart w:id="192" w:name="6.2__安装、调试"/>
      <w:bookmarkEnd w:id="192"/>
      <w:bookmarkStart w:id="193" w:name="6.1__开箱检验"/>
      <w:bookmarkEnd w:id="193"/>
      <w:bookmarkStart w:id="194" w:name="page69"/>
      <w:bookmarkEnd w:id="194"/>
      <w:bookmarkStart w:id="195" w:name="5.1_包装"/>
      <w:bookmarkEnd w:id="195"/>
      <w:bookmarkStart w:id="196" w:name="7.__技术服务"/>
      <w:bookmarkEnd w:id="196"/>
      <w:bookmarkStart w:id="197" w:name="第三节合同附件格式"/>
      <w:bookmarkEnd w:id="197"/>
      <w:bookmarkStart w:id="198" w:name="1.2__语言文字"/>
      <w:bookmarkEnd w:id="198"/>
      <w:bookmarkStart w:id="199" w:name="8.__质量保证期"/>
      <w:bookmarkEnd w:id="199"/>
      <w:bookmarkStart w:id="200" w:name="14._违约责任"/>
      <w:bookmarkEnd w:id="200"/>
      <w:bookmarkStart w:id="201" w:name="_bookmark103"/>
      <w:bookmarkEnd w:id="201"/>
      <w:bookmarkStart w:id="202" w:name="15._合同的解除"/>
      <w:bookmarkEnd w:id="202"/>
      <w:bookmarkStart w:id="203" w:name="1.1__词语定义"/>
      <w:bookmarkEnd w:id="203"/>
      <w:bookmarkStart w:id="204" w:name="3.__合同价格与支付"/>
      <w:bookmarkEnd w:id="204"/>
      <w:bookmarkStart w:id="205" w:name="11._保证"/>
      <w:bookmarkEnd w:id="205"/>
      <w:bookmarkStart w:id="206" w:name="6.__开箱检验、安装、调试、考核、验收"/>
      <w:bookmarkEnd w:id="206"/>
      <w:bookmarkStart w:id="207" w:name="1.1.3__合同价格"/>
      <w:bookmarkEnd w:id="207"/>
      <w:bookmarkStart w:id="208" w:name="5.2_标记"/>
      <w:bookmarkEnd w:id="208"/>
      <w:bookmarkStart w:id="209" w:name="17._争议的解决"/>
      <w:bookmarkEnd w:id="209"/>
      <w:bookmarkStart w:id="210" w:name="12._知识产权"/>
      <w:bookmarkEnd w:id="210"/>
      <w:bookmarkStart w:id="211" w:name="4.2__交货前检验"/>
      <w:bookmarkEnd w:id="211"/>
      <w:bookmarkStart w:id="212" w:name="4.__监造及交货前检验"/>
      <w:bookmarkEnd w:id="212"/>
      <w:bookmarkStart w:id="213" w:name="5.4_交付"/>
      <w:bookmarkEnd w:id="213"/>
      <w:bookmarkStart w:id="214" w:name="13._保密"/>
      <w:bookmarkEnd w:id="214"/>
      <w:bookmarkStart w:id="215" w:name="1.6__联合体"/>
      <w:bookmarkEnd w:id="215"/>
      <w:bookmarkStart w:id="216" w:name="1.4_合同的生效及变更"/>
      <w:bookmarkEnd w:id="216"/>
      <w:bookmarkStart w:id="217" w:name="1.5_联络"/>
      <w:bookmarkEnd w:id="217"/>
      <w:bookmarkStart w:id="218" w:name="5.3_运输"/>
      <w:bookmarkEnd w:id="218"/>
      <w:bookmarkStart w:id="219" w:name="_Toc116892715"/>
      <w:bookmarkStart w:id="220" w:name="_Toc11696"/>
    </w:p>
    <w:p>
      <w:pPr>
        <w:pStyle w:val="55"/>
        <w:spacing w:line="675" w:lineRule="exact"/>
        <w:jc w:val="center"/>
        <w:outlineLvl w:val="0"/>
        <w:rPr>
          <w:rFonts w:ascii="宋体" w:hAnsi="宋体" w:eastAsia="宋体"/>
          <w:color w:val="auto"/>
          <w:highlight w:val="none"/>
        </w:rPr>
        <w:sectPr>
          <w:headerReference r:id="rId13" w:type="default"/>
          <w:footerReference r:id="rId14" w:type="default"/>
          <w:type w:val="continuous"/>
          <w:pgSz w:w="11907" w:h="16839" w:orient="landscape"/>
          <w:pgMar w:top="1417" w:right="1701" w:bottom="1417" w:left="1701" w:header="0" w:footer="841" w:gutter="0"/>
          <w:pgNumType w:fmt="decimal"/>
          <w:cols w:space="720" w:num="1"/>
          <w:docGrid w:linePitch="299" w:charSpace="0"/>
        </w:sectPr>
      </w:pPr>
    </w:p>
    <w:p>
      <w:pPr>
        <w:pStyle w:val="55"/>
        <w:spacing w:line="675" w:lineRule="exact"/>
        <w:jc w:val="center"/>
        <w:outlineLvl w:val="0"/>
        <w:rPr>
          <w:rFonts w:ascii="宋体" w:hAnsi="宋体" w:eastAsia="宋体"/>
          <w:color w:val="auto"/>
          <w:highlight w:val="none"/>
        </w:rPr>
      </w:pPr>
      <w:bookmarkStart w:id="221" w:name="_Toc31006"/>
      <w:bookmarkStart w:id="222" w:name="_Toc20383"/>
      <w:r>
        <w:rPr>
          <w:rFonts w:ascii="宋体" w:hAnsi="宋体" w:eastAsia="宋体"/>
          <w:color w:val="auto"/>
          <w:highlight w:val="none"/>
        </w:rPr>
        <w:t>第五章供货要求</w:t>
      </w:r>
      <w:bookmarkEnd w:id="219"/>
      <w:bookmarkEnd w:id="220"/>
      <w:bookmarkEnd w:id="221"/>
      <w:bookmarkEnd w:id="222"/>
    </w:p>
    <w:p>
      <w:pPr>
        <w:rPr>
          <w:b/>
          <w:color w:val="auto"/>
          <w:sz w:val="24"/>
          <w:highlight w:val="none"/>
        </w:rPr>
      </w:pPr>
    </w:p>
    <w:p>
      <w:pPr>
        <w:spacing w:beforeLines="50" w:afterLines="50" w:line="360" w:lineRule="auto"/>
        <w:rPr>
          <w:b/>
          <w:color w:val="auto"/>
          <w:sz w:val="24"/>
          <w:highlight w:val="none"/>
          <w:lang w:val="en-US"/>
        </w:rPr>
      </w:pPr>
      <w:r>
        <w:rPr>
          <w:rFonts w:hint="eastAsia"/>
          <w:b/>
          <w:color w:val="auto"/>
          <w:sz w:val="24"/>
          <w:highlight w:val="none"/>
          <w:lang w:val="en-US"/>
        </w:rPr>
        <w:t>一、货物需求一览表</w:t>
      </w:r>
    </w:p>
    <w:tbl>
      <w:tblPr>
        <w:tblStyle w:val="29"/>
        <w:tblW w:w="90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0"/>
        <w:gridCol w:w="1217"/>
        <w:gridCol w:w="2662"/>
        <w:gridCol w:w="1090"/>
        <w:gridCol w:w="2003"/>
        <w:gridCol w:w="1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tcBorders>
              <w:tl2br w:val="nil"/>
              <w:tr2bl w:val="nil"/>
            </w:tcBorders>
            <w:noWrap/>
            <w:vAlign w:val="center"/>
          </w:tcPr>
          <w:p>
            <w:pPr>
              <w:widowControl/>
              <w:jc w:val="center"/>
              <w:textAlignment w:val="center"/>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lang w:val="en-US"/>
              </w:rPr>
              <w:t>序号</w:t>
            </w:r>
          </w:p>
        </w:tc>
        <w:tc>
          <w:tcPr>
            <w:tcW w:w="3879" w:type="dxa"/>
            <w:gridSpan w:val="2"/>
            <w:tcBorders>
              <w:tl2br w:val="nil"/>
              <w:tr2bl w:val="nil"/>
            </w:tcBorders>
            <w:noWrap/>
            <w:vAlign w:val="center"/>
          </w:tcPr>
          <w:p>
            <w:pPr>
              <w:widowControl/>
              <w:jc w:val="center"/>
              <w:textAlignment w:val="center"/>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lang w:val="en-US"/>
              </w:rPr>
              <w:t>系统/设备名称</w:t>
            </w:r>
          </w:p>
        </w:tc>
        <w:tc>
          <w:tcPr>
            <w:tcW w:w="1090" w:type="dxa"/>
            <w:tcBorders>
              <w:tl2br w:val="nil"/>
              <w:tr2bl w:val="nil"/>
            </w:tcBorders>
            <w:noWrap/>
            <w:vAlign w:val="center"/>
          </w:tcPr>
          <w:p>
            <w:pPr>
              <w:widowControl/>
              <w:jc w:val="center"/>
              <w:textAlignment w:val="center"/>
              <w:rPr>
                <w:rFonts w:ascii="Times New Roman" w:hAnsi="Times New Roman" w:cs="Times New Roman"/>
                <w:b/>
                <w:bCs/>
                <w:color w:val="auto"/>
                <w:sz w:val="24"/>
                <w:szCs w:val="24"/>
                <w:highlight w:val="none"/>
              </w:rPr>
            </w:pPr>
            <w:r>
              <w:rPr>
                <w:rFonts w:ascii="Times New Roman" w:hAnsi="Times New Roman" w:cs="Times New Roman"/>
                <w:b/>
                <w:bCs/>
                <w:color w:val="auto"/>
                <w:sz w:val="24"/>
                <w:szCs w:val="24"/>
                <w:highlight w:val="none"/>
                <w:lang w:val="en-US"/>
              </w:rPr>
              <w:t>数量</w:t>
            </w:r>
            <w:r>
              <w:rPr>
                <w:rFonts w:ascii="Times New Roman" w:hAnsi="Times New Roman" w:cs="Times New Roman"/>
                <w:b/>
                <w:bCs/>
                <w:color w:val="auto"/>
                <w:sz w:val="24"/>
                <w:szCs w:val="24"/>
                <w:highlight w:val="none"/>
                <w:lang w:val="en-US"/>
              </w:rPr>
              <w:br w:type="textWrapping"/>
            </w:r>
            <w:r>
              <w:rPr>
                <w:rFonts w:ascii="Times New Roman" w:hAnsi="Times New Roman" w:cs="Times New Roman"/>
                <w:b/>
                <w:bCs/>
                <w:color w:val="auto"/>
                <w:sz w:val="24"/>
                <w:szCs w:val="24"/>
                <w:highlight w:val="none"/>
                <w:lang w:val="en-US"/>
              </w:rPr>
              <w:t>(台/套)</w:t>
            </w:r>
          </w:p>
        </w:tc>
        <w:tc>
          <w:tcPr>
            <w:tcW w:w="2003" w:type="dxa"/>
            <w:tcBorders>
              <w:tl2br w:val="nil"/>
              <w:tr2bl w:val="nil"/>
            </w:tcBorders>
            <w:noWrap/>
            <w:vAlign w:val="center"/>
          </w:tcPr>
          <w:p>
            <w:pPr>
              <w:widowControl/>
              <w:jc w:val="center"/>
              <w:textAlignment w:val="center"/>
              <w:rPr>
                <w:rFonts w:ascii="Times New Roman" w:hAnsi="Times New Roman" w:cs="Times New Roman"/>
                <w:b/>
                <w:bCs/>
                <w:color w:val="auto"/>
                <w:sz w:val="24"/>
                <w:szCs w:val="24"/>
                <w:highlight w:val="none"/>
                <w:lang w:val="en-US"/>
              </w:rPr>
            </w:pPr>
            <w:r>
              <w:rPr>
                <w:rFonts w:ascii="Times New Roman" w:hAnsi="Times New Roman" w:cs="Times New Roman"/>
                <w:b/>
                <w:bCs/>
                <w:color w:val="auto"/>
                <w:sz w:val="24"/>
                <w:szCs w:val="24"/>
                <w:highlight w:val="none"/>
                <w:lang w:val="en-US"/>
              </w:rPr>
              <w:t>简要技术规格</w:t>
            </w:r>
          </w:p>
        </w:tc>
        <w:tc>
          <w:tcPr>
            <w:tcW w:w="1290" w:type="dxa"/>
            <w:tcBorders>
              <w:tl2br w:val="nil"/>
              <w:tr2bl w:val="nil"/>
            </w:tcBorders>
            <w:noWrap/>
            <w:vAlign w:val="center"/>
          </w:tcPr>
          <w:p>
            <w:pPr>
              <w:widowControl/>
              <w:jc w:val="center"/>
              <w:textAlignment w:val="center"/>
              <w:rPr>
                <w:rFonts w:ascii="Times New Roman" w:hAnsi="Times New Roman" w:cs="Times New Roman"/>
                <w:b/>
                <w:bCs/>
                <w:color w:val="auto"/>
                <w:sz w:val="24"/>
                <w:szCs w:val="24"/>
                <w:highlight w:val="none"/>
                <w:lang w:val="en-US"/>
              </w:rPr>
            </w:pPr>
            <w:r>
              <w:rPr>
                <w:rFonts w:ascii="Times New Roman" w:hAnsi="Times New Roman" w:cs="Times New Roman"/>
                <w:b/>
                <w:bCs/>
                <w:color w:val="auto"/>
                <w:sz w:val="24"/>
                <w:szCs w:val="24"/>
                <w:highlight w:val="none"/>
                <w:lang w:val="en-US"/>
              </w:rPr>
              <w:t>交货期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restart"/>
            <w:tcBorders>
              <w:tl2br w:val="nil"/>
              <w:tr2bl w:val="nil"/>
            </w:tcBorders>
            <w:noWrap/>
            <w:vAlign w:val="center"/>
          </w:tcPr>
          <w:p>
            <w:pPr>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1</w:t>
            </w:r>
          </w:p>
        </w:tc>
        <w:tc>
          <w:tcPr>
            <w:tcW w:w="1217" w:type="dxa"/>
            <w:vMerge w:val="restart"/>
            <w:tcBorders>
              <w:right w:val="single" w:color="auto" w:sz="4" w:space="0"/>
              <w:tl2br w:val="nil"/>
              <w:tr2bl w:val="nil"/>
            </w:tcBorders>
            <w:noWrap/>
            <w:vAlign w:val="center"/>
          </w:tcPr>
          <w:p>
            <w:pPr>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中控系统</w:t>
            </w:r>
          </w:p>
        </w:tc>
        <w:tc>
          <w:tcPr>
            <w:tcW w:w="2662" w:type="dxa"/>
            <w:tcBorders>
              <w:top w:val="single" w:color="auto" w:sz="4" w:space="0"/>
              <w:left w:val="single" w:color="auto" w:sz="4" w:space="0"/>
              <w:bottom w:val="single" w:color="auto" w:sz="4" w:space="0"/>
              <w:tl2br w:val="nil"/>
              <w:tr2bl w:val="nil"/>
            </w:tcBorders>
            <w:noWrap/>
            <w:vAlign w:val="center"/>
          </w:tcPr>
          <w:p>
            <w:pPr>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 xml:space="preserve">大屏拼接显示系统 </w:t>
            </w:r>
          </w:p>
        </w:tc>
        <w:tc>
          <w:tcPr>
            <w:tcW w:w="10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1套</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bottom w:val="single" w:color="auto" w:sz="4" w:space="0"/>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1217" w:type="dxa"/>
            <w:vMerge w:val="continue"/>
            <w:tcBorders>
              <w:right w:val="single" w:color="auto" w:sz="4" w:space="0"/>
              <w:tl2br w:val="nil"/>
              <w:tr2bl w:val="nil"/>
            </w:tcBorders>
            <w:noWrap/>
            <w:vAlign w:val="center"/>
          </w:tcPr>
          <w:p>
            <w:pPr>
              <w:jc w:val="center"/>
              <w:rPr>
                <w:rFonts w:ascii="Times New Roman" w:hAnsi="Times New Roman" w:cs="Times New Roman"/>
                <w:color w:val="auto"/>
                <w:sz w:val="24"/>
                <w:szCs w:val="24"/>
                <w:highlight w:val="none"/>
              </w:rPr>
            </w:pPr>
          </w:p>
        </w:tc>
        <w:tc>
          <w:tcPr>
            <w:tcW w:w="2662" w:type="dxa"/>
            <w:tcBorders>
              <w:top w:val="single" w:color="auto" w:sz="4" w:space="0"/>
              <w:left w:val="single" w:color="auto" w:sz="4" w:space="0"/>
              <w:tl2br w:val="nil"/>
              <w:tr2bl w:val="nil"/>
            </w:tcBorders>
            <w:noWrap/>
            <w:vAlign w:val="center"/>
          </w:tcPr>
          <w:p>
            <w:pPr>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 xml:space="preserve">中控室控制设备及线缆敷设 </w:t>
            </w:r>
          </w:p>
        </w:tc>
        <w:tc>
          <w:tcPr>
            <w:tcW w:w="10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1套</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op w:val="single" w:color="auto" w:sz="4" w:space="0"/>
              <w:bottom w:val="single" w:color="auto" w:sz="4" w:space="0"/>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restart"/>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lang w:val="en-US"/>
              </w:rPr>
              <w:t>2</w:t>
            </w:r>
          </w:p>
        </w:tc>
        <w:tc>
          <w:tcPr>
            <w:tcW w:w="1217" w:type="dxa"/>
            <w:vMerge w:val="restart"/>
            <w:tcBorders>
              <w:right w:val="single" w:color="auto" w:sz="4" w:space="0"/>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造波系统</w:t>
            </w:r>
          </w:p>
        </w:tc>
        <w:tc>
          <w:tcPr>
            <w:tcW w:w="2662" w:type="dxa"/>
            <w:tcBorders>
              <w:left w:val="single" w:color="auto" w:sz="4" w:space="0"/>
              <w:bottom w:val="single" w:color="auto" w:sz="4" w:space="0"/>
              <w:tl2br w:val="nil"/>
              <w:tr2bl w:val="nil"/>
            </w:tcBorders>
            <w:noWrap/>
            <w:vAlign w:val="center"/>
          </w:tcPr>
          <w:p>
            <w:pPr>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 xml:space="preserve">造波组件 </w:t>
            </w:r>
          </w:p>
        </w:tc>
        <w:tc>
          <w:tcPr>
            <w:tcW w:w="1090" w:type="dxa"/>
            <w:tcBorders>
              <w:tl2br w:val="nil"/>
              <w:tr2bl w:val="nil"/>
            </w:tcBorders>
            <w:noWrap/>
            <w:vAlign w:val="center"/>
          </w:tcPr>
          <w:p>
            <w:pPr>
              <w:pStyle w:val="15"/>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132套</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op w:val="single" w:color="auto" w:sz="4" w:space="0"/>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continue"/>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p>
        </w:tc>
        <w:tc>
          <w:tcPr>
            <w:tcW w:w="1217" w:type="dxa"/>
            <w:vMerge w:val="continue"/>
            <w:tcBorders>
              <w:right w:val="single" w:color="auto" w:sz="4" w:space="0"/>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p>
        </w:tc>
        <w:tc>
          <w:tcPr>
            <w:tcW w:w="2662" w:type="dxa"/>
            <w:tcBorders>
              <w:left w:val="single" w:color="auto" w:sz="4" w:space="0"/>
              <w:bottom w:val="single" w:color="auto" w:sz="4" w:space="0"/>
              <w:tl2br w:val="nil"/>
              <w:tr2bl w:val="nil"/>
            </w:tcBorders>
            <w:noWrap/>
            <w:vAlign w:val="center"/>
          </w:tcPr>
          <w:p>
            <w:pPr>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 xml:space="preserve">造波控制单元 </w:t>
            </w:r>
          </w:p>
        </w:tc>
        <w:tc>
          <w:tcPr>
            <w:tcW w:w="1090" w:type="dxa"/>
            <w:tcBorders>
              <w:tl2br w:val="nil"/>
              <w:tr2bl w:val="nil"/>
            </w:tcBorders>
            <w:noWrap/>
            <w:vAlign w:val="center"/>
          </w:tcPr>
          <w:p>
            <w:pPr>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132套 </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continue"/>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p>
        </w:tc>
        <w:tc>
          <w:tcPr>
            <w:tcW w:w="1217" w:type="dxa"/>
            <w:vMerge w:val="continue"/>
            <w:tcBorders>
              <w:right w:val="single" w:color="auto" w:sz="4" w:space="0"/>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p>
        </w:tc>
        <w:tc>
          <w:tcPr>
            <w:tcW w:w="2662" w:type="dxa"/>
            <w:tcBorders>
              <w:left w:val="single" w:color="auto" w:sz="4" w:space="0"/>
              <w:bottom w:val="single" w:color="auto" w:sz="4" w:space="0"/>
              <w:tl2br w:val="nil"/>
              <w:tr2bl w:val="nil"/>
            </w:tcBorders>
            <w:noWrap/>
            <w:vAlign w:val="center"/>
          </w:tcPr>
          <w:p>
            <w:pPr>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 xml:space="preserve">波高采集单元 </w:t>
            </w:r>
          </w:p>
        </w:tc>
        <w:tc>
          <w:tcPr>
            <w:tcW w:w="1090" w:type="dxa"/>
            <w:tcBorders>
              <w:tl2br w:val="nil"/>
              <w:tr2bl w:val="nil"/>
            </w:tcBorders>
            <w:noWrap/>
            <w:vAlign w:val="center"/>
          </w:tcPr>
          <w:p>
            <w:pPr>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132套 </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continue"/>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p>
        </w:tc>
        <w:tc>
          <w:tcPr>
            <w:tcW w:w="1217" w:type="dxa"/>
            <w:vMerge w:val="continue"/>
            <w:tcBorders>
              <w:right w:val="single" w:color="auto" w:sz="4" w:space="0"/>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p>
        </w:tc>
        <w:tc>
          <w:tcPr>
            <w:tcW w:w="2662" w:type="dxa"/>
            <w:tcBorders>
              <w:left w:val="single" w:color="auto" w:sz="4" w:space="0"/>
              <w:bottom w:val="single" w:color="auto" w:sz="4" w:space="0"/>
              <w:tl2br w:val="nil"/>
              <w:tr2bl w:val="nil"/>
            </w:tcBorders>
            <w:noWrap/>
            <w:vAlign w:val="center"/>
          </w:tcPr>
          <w:p>
            <w:pPr>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 xml:space="preserve">造波控制软件 </w:t>
            </w:r>
          </w:p>
        </w:tc>
        <w:tc>
          <w:tcPr>
            <w:tcW w:w="1090" w:type="dxa"/>
            <w:tcBorders>
              <w:tl2br w:val="nil"/>
              <w:tr2bl w:val="nil"/>
            </w:tcBorders>
            <w:noWrap/>
            <w:vAlign w:val="center"/>
          </w:tcPr>
          <w:p>
            <w:pPr>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1套 </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bottom w:val="single" w:color="auto" w:sz="4" w:space="0"/>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1217" w:type="dxa"/>
            <w:vMerge w:val="continue"/>
            <w:tcBorders>
              <w:right w:val="single" w:color="auto" w:sz="4" w:space="0"/>
              <w:tl2br w:val="nil"/>
              <w:tr2bl w:val="nil"/>
            </w:tcBorders>
            <w:noWrap/>
            <w:vAlign w:val="center"/>
          </w:tcPr>
          <w:p>
            <w:pPr>
              <w:jc w:val="center"/>
              <w:rPr>
                <w:rFonts w:ascii="Times New Roman" w:hAnsi="Times New Roman" w:cs="Times New Roman"/>
                <w:color w:val="auto"/>
                <w:sz w:val="24"/>
                <w:szCs w:val="24"/>
                <w:highlight w:val="none"/>
              </w:rPr>
            </w:pPr>
          </w:p>
        </w:tc>
        <w:tc>
          <w:tcPr>
            <w:tcW w:w="2662" w:type="dxa"/>
            <w:tcBorders>
              <w:top w:val="single" w:color="auto" w:sz="4" w:space="0"/>
              <w:left w:val="single" w:color="auto" w:sz="4" w:space="0"/>
              <w:bottom w:val="single" w:color="auto" w:sz="4" w:space="0"/>
              <w:tl2br w:val="nil"/>
              <w:tr2bl w:val="nil"/>
            </w:tcBorders>
            <w:noWrap/>
            <w:vAlign w:val="center"/>
          </w:tcPr>
          <w:p>
            <w:pPr>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 xml:space="preserve">消能装置 </w:t>
            </w:r>
          </w:p>
        </w:tc>
        <w:tc>
          <w:tcPr>
            <w:tcW w:w="1090" w:type="dxa"/>
            <w:tcBorders>
              <w:tl2br w:val="nil"/>
              <w:tr2bl w:val="nil"/>
            </w:tcBorders>
            <w:noWrap/>
            <w:vAlign w:val="center"/>
          </w:tcPr>
          <w:p>
            <w:pPr>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1套 </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op w:val="single" w:color="auto" w:sz="4" w:space="0"/>
              <w:bottom w:val="single" w:color="auto" w:sz="4" w:space="0"/>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1217" w:type="dxa"/>
            <w:vMerge w:val="continue"/>
            <w:tcBorders>
              <w:bottom w:val="single" w:color="auto" w:sz="4" w:space="0"/>
              <w:right w:val="single" w:color="auto" w:sz="4" w:space="0"/>
              <w:tl2br w:val="nil"/>
              <w:tr2bl w:val="nil"/>
            </w:tcBorders>
            <w:noWrap/>
            <w:vAlign w:val="center"/>
          </w:tcPr>
          <w:p>
            <w:pPr>
              <w:jc w:val="center"/>
              <w:rPr>
                <w:rFonts w:ascii="Times New Roman" w:hAnsi="Times New Roman" w:cs="Times New Roman"/>
                <w:color w:val="auto"/>
                <w:sz w:val="24"/>
                <w:szCs w:val="24"/>
                <w:highlight w:val="none"/>
              </w:rPr>
            </w:pPr>
          </w:p>
        </w:tc>
        <w:tc>
          <w:tcPr>
            <w:tcW w:w="2662" w:type="dxa"/>
            <w:tcBorders>
              <w:top w:val="single" w:color="auto" w:sz="4" w:space="0"/>
              <w:left w:val="single" w:color="auto" w:sz="4" w:space="0"/>
              <w:bottom w:val="single" w:color="auto" w:sz="4" w:space="0"/>
              <w:tl2br w:val="nil"/>
              <w:tr2bl w:val="nil"/>
            </w:tcBorders>
            <w:noWrap/>
            <w:vAlign w:val="center"/>
          </w:tcPr>
          <w:p>
            <w:pPr>
              <w:pStyle w:val="15"/>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安全防护装置</w:t>
            </w:r>
          </w:p>
        </w:tc>
        <w:tc>
          <w:tcPr>
            <w:tcW w:w="1090" w:type="dxa"/>
            <w:tcBorders>
              <w:tl2br w:val="nil"/>
              <w:tr2bl w:val="nil"/>
            </w:tcBorders>
            <w:noWrap/>
            <w:vAlign w:val="center"/>
          </w:tcPr>
          <w:p>
            <w:pPr>
              <w:pStyle w:val="15"/>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1套</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op w:val="single" w:color="auto" w:sz="4" w:space="0"/>
              <w:bottom w:val="single" w:color="auto" w:sz="4" w:space="0"/>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restart"/>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rPr>
              <w:t>3</w:t>
            </w:r>
          </w:p>
        </w:tc>
        <w:tc>
          <w:tcPr>
            <w:tcW w:w="1217" w:type="dxa"/>
            <w:vMerge w:val="restart"/>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造流系统 </w:t>
            </w:r>
          </w:p>
        </w:tc>
        <w:tc>
          <w:tcPr>
            <w:tcW w:w="2662" w:type="dxa"/>
            <w:tcBorders>
              <w:tl2br w:val="nil"/>
              <w:tr2bl w:val="nil"/>
            </w:tcBorders>
            <w:noWrap/>
            <w:vAlign w:val="center"/>
          </w:tcPr>
          <w:p>
            <w:pPr>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造流组件 </w:t>
            </w:r>
          </w:p>
        </w:tc>
        <w:tc>
          <w:tcPr>
            <w:tcW w:w="1090" w:type="dxa"/>
            <w:tcBorders>
              <w:tl2br w:val="nil"/>
              <w:tr2bl w:val="nil"/>
            </w:tcBorders>
            <w:noWrap/>
            <w:vAlign w:val="center"/>
          </w:tcPr>
          <w:p>
            <w:pPr>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18套 </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op w:val="single" w:color="auto" w:sz="4" w:space="0"/>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1217"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2662" w:type="dxa"/>
            <w:tcBorders>
              <w:tl2br w:val="nil"/>
              <w:tr2bl w:val="nil"/>
            </w:tcBorders>
            <w:noWrap/>
            <w:vAlign w:val="center"/>
          </w:tcPr>
          <w:p>
            <w:pPr>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造流控制柜</w:t>
            </w:r>
          </w:p>
        </w:tc>
        <w:tc>
          <w:tcPr>
            <w:tcW w:w="1090" w:type="dxa"/>
            <w:tcBorders>
              <w:tl2br w:val="nil"/>
              <w:tr2bl w:val="nil"/>
            </w:tcBorders>
            <w:noWrap/>
            <w:vAlign w:val="center"/>
          </w:tcPr>
          <w:p>
            <w:pPr>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1套</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1217"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2662" w:type="dxa"/>
            <w:tcBorders>
              <w:tl2br w:val="nil"/>
              <w:tr2bl w:val="nil"/>
            </w:tcBorders>
            <w:noWrap/>
            <w:vAlign w:val="center"/>
          </w:tcPr>
          <w:p>
            <w:pPr>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造流控制软件</w:t>
            </w:r>
          </w:p>
        </w:tc>
        <w:tc>
          <w:tcPr>
            <w:tcW w:w="1090" w:type="dxa"/>
            <w:tcBorders>
              <w:tl2br w:val="nil"/>
              <w:tr2bl w:val="nil"/>
            </w:tcBorders>
            <w:noWrap/>
            <w:vAlign w:val="center"/>
          </w:tcPr>
          <w:p>
            <w:pPr>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1套</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restart"/>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rPr>
              <w:t>4</w:t>
            </w:r>
          </w:p>
        </w:tc>
        <w:tc>
          <w:tcPr>
            <w:tcW w:w="1217" w:type="dxa"/>
            <w:vMerge w:val="restart"/>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风阵系统改造 </w:t>
            </w:r>
          </w:p>
        </w:tc>
        <w:tc>
          <w:tcPr>
            <w:tcW w:w="2662" w:type="dxa"/>
            <w:tcBorders>
              <w:tl2br w:val="nil"/>
              <w:tr2bl w:val="nil"/>
            </w:tcBorders>
            <w:noWrap/>
            <w:vAlign w:val="center"/>
          </w:tcPr>
          <w:p>
            <w:pPr>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风阵改造</w:t>
            </w:r>
          </w:p>
        </w:tc>
        <w:tc>
          <w:tcPr>
            <w:tcW w:w="1090" w:type="dxa"/>
            <w:tcBorders>
              <w:tl2br w:val="nil"/>
              <w:tr2bl w:val="nil"/>
            </w:tcBorders>
            <w:noWrap/>
            <w:vAlign w:val="center"/>
          </w:tcPr>
          <w:p>
            <w:pPr>
              <w:pStyle w:val="15"/>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1套</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1217"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2662" w:type="dxa"/>
            <w:tcBorders>
              <w:tl2br w:val="nil"/>
              <w:tr2bl w:val="nil"/>
            </w:tcBorders>
            <w:noWrap/>
            <w:vAlign w:val="center"/>
          </w:tcPr>
          <w:p>
            <w:pPr>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造风控制柜改造</w:t>
            </w:r>
          </w:p>
        </w:tc>
        <w:tc>
          <w:tcPr>
            <w:tcW w:w="1090" w:type="dxa"/>
            <w:tcBorders>
              <w:tl2br w:val="nil"/>
              <w:tr2bl w:val="nil"/>
            </w:tcBorders>
            <w:noWrap/>
            <w:vAlign w:val="center"/>
          </w:tcPr>
          <w:p>
            <w:pPr>
              <w:pStyle w:val="15"/>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1套</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1217"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2662" w:type="dxa"/>
            <w:tcBorders>
              <w:tl2br w:val="nil"/>
              <w:tr2bl w:val="nil"/>
            </w:tcBorders>
            <w:noWrap/>
            <w:vAlign w:val="center"/>
          </w:tcPr>
          <w:p>
            <w:pPr>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造风控制软件改造</w:t>
            </w:r>
          </w:p>
        </w:tc>
        <w:tc>
          <w:tcPr>
            <w:tcW w:w="1090" w:type="dxa"/>
            <w:tcBorders>
              <w:tl2br w:val="nil"/>
              <w:tr2bl w:val="nil"/>
            </w:tcBorders>
            <w:noWrap/>
            <w:vAlign w:val="center"/>
          </w:tcPr>
          <w:p>
            <w:pPr>
              <w:pStyle w:val="15"/>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1套</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1217"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2662" w:type="dxa"/>
            <w:tcBorders>
              <w:tl2br w:val="nil"/>
              <w:tr2bl w:val="nil"/>
            </w:tcBorders>
            <w:noWrap/>
            <w:vAlign w:val="center"/>
          </w:tcPr>
          <w:p>
            <w:pPr>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风阵搭载测车改造</w:t>
            </w:r>
          </w:p>
        </w:tc>
        <w:tc>
          <w:tcPr>
            <w:tcW w:w="1090" w:type="dxa"/>
            <w:tcBorders>
              <w:tl2br w:val="nil"/>
              <w:tr2bl w:val="nil"/>
            </w:tcBorders>
            <w:noWrap/>
            <w:vAlign w:val="center"/>
          </w:tcPr>
          <w:p>
            <w:pPr>
              <w:pStyle w:val="15"/>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1套</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rPr>
              <w:t>5</w:t>
            </w:r>
          </w:p>
        </w:tc>
        <w:tc>
          <w:tcPr>
            <w:tcW w:w="3879" w:type="dxa"/>
            <w:gridSpan w:val="2"/>
            <w:tcBorders>
              <w:tl2br w:val="nil"/>
              <w:tr2bl w:val="nil"/>
            </w:tcBorders>
            <w:noWrap/>
            <w:vAlign w:val="center"/>
          </w:tcPr>
          <w:p>
            <w:pPr>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多功能测车系统改造</w:t>
            </w:r>
          </w:p>
        </w:tc>
        <w:tc>
          <w:tcPr>
            <w:tcW w:w="1090" w:type="dxa"/>
            <w:tcBorders>
              <w:tl2br w:val="nil"/>
              <w:tr2bl w:val="nil"/>
            </w:tcBorders>
            <w:noWrap/>
            <w:vAlign w:val="center"/>
          </w:tcPr>
          <w:p>
            <w:pPr>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1套</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6</w:t>
            </w:r>
          </w:p>
        </w:tc>
        <w:tc>
          <w:tcPr>
            <w:tcW w:w="3879" w:type="dxa"/>
            <w:gridSpan w:val="2"/>
            <w:tcBorders>
              <w:tl2br w:val="nil"/>
              <w:tr2bl w:val="nil"/>
            </w:tcBorders>
            <w:noWrap/>
            <w:vAlign w:val="center"/>
          </w:tcPr>
          <w:p>
            <w:pPr>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 xml:space="preserve">水下升降平台 </w:t>
            </w:r>
          </w:p>
        </w:tc>
        <w:tc>
          <w:tcPr>
            <w:tcW w:w="1090" w:type="dxa"/>
            <w:tcBorders>
              <w:tl2br w:val="nil"/>
              <w:tr2bl w:val="nil"/>
            </w:tcBorders>
            <w:noWrap/>
            <w:vAlign w:val="center"/>
          </w:tcPr>
          <w:p>
            <w:pPr>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1套</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7</w:t>
            </w:r>
          </w:p>
        </w:tc>
        <w:tc>
          <w:tcPr>
            <w:tcW w:w="3879" w:type="dxa"/>
            <w:gridSpan w:val="2"/>
            <w:tcBorders>
              <w:tl2br w:val="nil"/>
              <w:tr2bl w:val="nil"/>
            </w:tcBorders>
            <w:noWrap/>
            <w:vAlign w:val="center"/>
          </w:tcPr>
          <w:p>
            <w:pPr>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 xml:space="preserve">工艺提升泵站系统 </w:t>
            </w:r>
          </w:p>
        </w:tc>
        <w:tc>
          <w:tcPr>
            <w:tcW w:w="1090" w:type="dxa"/>
            <w:tcBorders>
              <w:tl2br w:val="nil"/>
              <w:tr2bl w:val="nil"/>
            </w:tcBorders>
            <w:noWrap/>
            <w:vAlign w:val="center"/>
          </w:tcPr>
          <w:p>
            <w:pPr>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1套</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8</w:t>
            </w:r>
          </w:p>
        </w:tc>
        <w:tc>
          <w:tcPr>
            <w:tcW w:w="3879" w:type="dxa"/>
            <w:gridSpan w:val="2"/>
            <w:tcBorders>
              <w:tl2br w:val="nil"/>
              <w:tr2bl w:val="nil"/>
            </w:tcBorders>
            <w:noWrap/>
            <w:vAlign w:val="center"/>
          </w:tcPr>
          <w:p>
            <w:pPr>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 xml:space="preserve">工艺提升泵站供电系统 </w:t>
            </w:r>
          </w:p>
        </w:tc>
        <w:tc>
          <w:tcPr>
            <w:tcW w:w="1090" w:type="dxa"/>
            <w:tcBorders>
              <w:tl2br w:val="nil"/>
              <w:tr2bl w:val="nil"/>
            </w:tcBorders>
            <w:noWrap/>
            <w:vAlign w:val="center"/>
          </w:tcPr>
          <w:p>
            <w:pPr>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1套</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restart"/>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rPr>
              <w:t>9</w:t>
            </w:r>
          </w:p>
        </w:tc>
        <w:tc>
          <w:tcPr>
            <w:tcW w:w="1217" w:type="dxa"/>
            <w:vMerge w:val="restart"/>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实验量测仪器</w:t>
            </w:r>
          </w:p>
        </w:tc>
        <w:tc>
          <w:tcPr>
            <w:tcW w:w="2662" w:type="dxa"/>
            <w:tcBorders>
              <w:tl2br w:val="nil"/>
              <w:tr2bl w:val="nil"/>
            </w:tcBorders>
            <w:noWrap/>
            <w:vAlign w:val="center"/>
          </w:tcPr>
          <w:p>
            <w:pPr>
              <w:pStyle w:val="15"/>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流速流向传感器 </w:t>
            </w:r>
          </w:p>
        </w:tc>
        <w:tc>
          <w:tcPr>
            <w:tcW w:w="1090" w:type="dxa"/>
            <w:tcBorders>
              <w:tl2br w:val="nil"/>
              <w:tr2bl w:val="nil"/>
            </w:tcBorders>
            <w:noWrap/>
            <w:vAlign w:val="center"/>
          </w:tcPr>
          <w:p>
            <w:pPr>
              <w:pStyle w:val="15"/>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 个</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1217"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2662" w:type="dxa"/>
            <w:tcBorders>
              <w:tl2br w:val="nil"/>
              <w:tr2bl w:val="nil"/>
            </w:tcBorders>
            <w:noWrap/>
            <w:vAlign w:val="center"/>
          </w:tcPr>
          <w:p>
            <w:pPr>
              <w:pStyle w:val="15"/>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风速风向传感器 </w:t>
            </w:r>
          </w:p>
        </w:tc>
        <w:tc>
          <w:tcPr>
            <w:tcW w:w="1090" w:type="dxa"/>
            <w:tcBorders>
              <w:tl2br w:val="nil"/>
              <w:tr2bl w:val="nil"/>
            </w:tcBorders>
            <w:noWrap/>
            <w:vAlign w:val="center"/>
          </w:tcPr>
          <w:p>
            <w:pPr>
              <w:pStyle w:val="15"/>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4个</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1217"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2662" w:type="dxa"/>
            <w:tcBorders>
              <w:tl2br w:val="nil"/>
              <w:tr2bl w:val="nil"/>
            </w:tcBorders>
            <w:noWrap/>
            <w:vAlign w:val="center"/>
          </w:tcPr>
          <w:p>
            <w:pPr>
              <w:pStyle w:val="15"/>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 xml:space="preserve">波高采集仪 </w:t>
            </w:r>
          </w:p>
        </w:tc>
        <w:tc>
          <w:tcPr>
            <w:tcW w:w="1090" w:type="dxa"/>
            <w:tcBorders>
              <w:tl2br w:val="nil"/>
              <w:tr2bl w:val="nil"/>
            </w:tcBorders>
            <w:noWrap/>
            <w:vAlign w:val="center"/>
          </w:tcPr>
          <w:p>
            <w:pPr>
              <w:pStyle w:val="15"/>
              <w:widowControl/>
              <w:jc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rPr>
              <w:t>2台</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1217" w:type="dxa"/>
            <w:vMerge w:val="continue"/>
            <w:tcBorders>
              <w:tl2br w:val="nil"/>
              <w:tr2bl w:val="nil"/>
            </w:tcBorders>
            <w:noWrap/>
            <w:vAlign w:val="center"/>
          </w:tcPr>
          <w:p>
            <w:pPr>
              <w:jc w:val="center"/>
              <w:rPr>
                <w:rFonts w:ascii="Times New Roman" w:hAnsi="Times New Roman" w:cs="Times New Roman"/>
                <w:color w:val="auto"/>
                <w:sz w:val="24"/>
                <w:szCs w:val="24"/>
                <w:highlight w:val="none"/>
              </w:rPr>
            </w:pPr>
          </w:p>
        </w:tc>
        <w:tc>
          <w:tcPr>
            <w:tcW w:w="2662" w:type="dxa"/>
            <w:tcBorders>
              <w:tl2br w:val="nil"/>
              <w:tr2bl w:val="nil"/>
            </w:tcBorders>
            <w:noWrap/>
            <w:vAlign w:val="center"/>
          </w:tcPr>
          <w:p>
            <w:pPr>
              <w:pStyle w:val="15"/>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波高传感器</w:t>
            </w:r>
          </w:p>
        </w:tc>
        <w:tc>
          <w:tcPr>
            <w:tcW w:w="1090" w:type="dxa"/>
            <w:tcBorders>
              <w:tl2br w:val="nil"/>
              <w:tr2bl w:val="nil"/>
            </w:tcBorders>
            <w:noWrap/>
            <w:vAlign w:val="center"/>
          </w:tcPr>
          <w:p>
            <w:pPr>
              <w:pStyle w:val="15"/>
              <w:widowControl/>
              <w:jc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70根</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4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10</w:t>
            </w:r>
          </w:p>
        </w:tc>
        <w:tc>
          <w:tcPr>
            <w:tcW w:w="3879" w:type="dxa"/>
            <w:gridSpan w:val="2"/>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水质净化设备</w:t>
            </w:r>
          </w:p>
        </w:tc>
        <w:tc>
          <w:tcPr>
            <w:tcW w:w="10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1套</w:t>
            </w:r>
          </w:p>
        </w:tc>
        <w:tc>
          <w:tcPr>
            <w:tcW w:w="2003"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ascii="Times New Roman" w:hAnsi="Times New Roman" w:cs="Times New Roman"/>
                <w:color w:val="auto"/>
                <w:sz w:val="24"/>
                <w:szCs w:val="24"/>
                <w:highlight w:val="none"/>
                <w:lang w:val="en-US"/>
              </w:rPr>
              <w:t>具体参数详见招标文件</w:t>
            </w:r>
          </w:p>
        </w:tc>
        <w:tc>
          <w:tcPr>
            <w:tcW w:w="1290" w:type="dxa"/>
            <w:tcBorders>
              <w:tl2br w:val="nil"/>
              <w:tr2bl w:val="nil"/>
            </w:tcBorders>
            <w:noWrap/>
            <w:vAlign w:val="center"/>
          </w:tcPr>
          <w:p>
            <w:pPr>
              <w:widowControl/>
              <w:jc w:val="center"/>
              <w:textAlignment w:val="center"/>
              <w:rPr>
                <w:rFonts w:ascii="Times New Roman" w:hAnsi="Times New Roman" w:cs="Times New Roman"/>
                <w:color w:val="auto"/>
                <w:sz w:val="24"/>
                <w:szCs w:val="24"/>
                <w:highlight w:val="none"/>
                <w:lang w:val="en-US"/>
              </w:rPr>
            </w:pPr>
            <w:r>
              <w:rPr>
                <w:rFonts w:hint="eastAsia" w:ascii="Times New Roman" w:hAnsi="Times New Roman" w:cs="Times New Roman"/>
                <w:color w:val="auto"/>
                <w:sz w:val="24"/>
                <w:szCs w:val="24"/>
                <w:highlight w:val="none"/>
                <w:lang w:val="en-US"/>
              </w:rPr>
              <w:t>9个月</w:t>
            </w:r>
          </w:p>
        </w:tc>
      </w:tr>
    </w:tbl>
    <w:p>
      <w:pPr>
        <w:pStyle w:val="2"/>
        <w:ind w:firstLine="0" w:firstLineChars="0"/>
        <w:rPr>
          <w:b/>
          <w:color w:val="auto"/>
          <w:sz w:val="24"/>
          <w:highlight w:val="none"/>
        </w:rPr>
      </w:pPr>
    </w:p>
    <w:p>
      <w:pPr>
        <w:rPr>
          <w:b/>
          <w:color w:val="auto"/>
          <w:sz w:val="24"/>
          <w:szCs w:val="24"/>
          <w:highlight w:val="none"/>
        </w:rPr>
      </w:pPr>
      <w:r>
        <w:rPr>
          <w:rFonts w:hint="eastAsia"/>
          <w:b/>
          <w:color w:val="auto"/>
          <w:sz w:val="24"/>
          <w:szCs w:val="24"/>
          <w:highlight w:val="none"/>
          <w:lang w:val="en-US"/>
        </w:rPr>
        <w:t>二、</w:t>
      </w:r>
      <w:r>
        <w:rPr>
          <w:rFonts w:hint="eastAsia"/>
          <w:b/>
          <w:color w:val="auto"/>
          <w:sz w:val="24"/>
          <w:szCs w:val="24"/>
          <w:highlight w:val="none"/>
        </w:rPr>
        <w:t>技术参数</w:t>
      </w:r>
    </w:p>
    <w:p>
      <w:pPr>
        <w:pStyle w:val="2"/>
        <w:spacing w:line="360" w:lineRule="auto"/>
        <w:ind w:firstLine="482"/>
        <w:rPr>
          <w:rFonts w:ascii="宋体" w:hAnsi="宋体" w:cs="宋体"/>
          <w:b/>
          <w:color w:val="auto"/>
          <w:sz w:val="24"/>
          <w:highlight w:val="none"/>
        </w:rPr>
      </w:pPr>
    </w:p>
    <w:p>
      <w:pPr>
        <w:pStyle w:val="2"/>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 xml:space="preserve">1、中控系统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1.1基本要求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系统主要由大屏拼接显示系统、中控室控制设备及线缆敷设两部分，系统功能主要实现对聚波水池造波系统、造流系统、造风系统、升降平台以及相关测量仪器的控制、数据获取、数据显示、数据存储。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1.2 技术指标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以下为基本要求，供货商提供的仪器设备技术指标不能低于下列要求。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（1）大屏拼接显示系统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1）由液晶显示单元、综合图像拼接处理器、拼接控制软件、挂墙支架、控制系统及线缆组成。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2）液晶显示单元：55寸3×2（3行2列），拼接缝隙不大于3.5mm，屏幕比例：16：9，单屏分辨率：1920*1080，亮度：500CD/M2；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3）综合图像拼接处理器：辅助执行大屏专用控制矩阵、可实现 2 路复合视频输入，1路VGA输入，1路HDMI接口，1路DVI输入，信号在大屏上，快速单屏显示，全屏显示，组合显示，不同信号单屏显示或任意画面组合显示。屏体供电，图像驱动与3D滤波技术等功能整合集成模块；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4）拼接控制软件：专业拼接控制软件，控制显示模式；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5）挂墙支架：定制；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6）控制系统：一路高清视频输入，多路视频输出；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7）线缆：大屏控制线、电源线、高清线材。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（2）中控室控制设备及线缆敷设</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1）包括线缆、桥架及线管、接地、抗静电地板、控制台1套（整体尺寸不小于 1.5m*2m）(宽*高)、货架2套。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2）32寸液晶显示器4台、工控机1台、数据服务器1台及控制中心柜；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3）可利用已配备的计算机集群进行数据存储；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4）配备UPS1套。 </w:t>
      </w:r>
    </w:p>
    <w:p>
      <w:pPr>
        <w:pStyle w:val="2"/>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2、造波系统</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2.1 基本要求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系统主要由造波组件、造波控制单元、波高采集单元和造波控制软件 4个部分组成，系统实现造波板在外部驱动的推动下协调运动，使造波板附近水体运动产生波浪场。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2.2 技术指标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以下为基本要求，供货商提供的仪器设备技术指标不能低于下列要求。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（1）造波板组件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1）▲造波方式选择应对标国内外成熟稳定案例进行，需充分考虑能真实模拟并覆盖海域复杂的风浪流海洋环境的造波方式，给出造波方式对比及相关佐证分析材料。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2）造波板平面上总体呈圆型布置，造波单元共计132个，能造出不同周期和波高的规则波，能够输入波浪 谱和方向谱造出不规则波浪；造波系统除了能模拟常规波形外，还能模拟一些极端波浪，例如聚焦波等；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3）造波板具有压浪防溅功能；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4）造波板结构在运动范围内有机械限位和机械缓冲保护装置；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（2）造波机控制单元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1）▲为保障造波机整体运行稳定性强、各模块组件间匹配度高，以及快速响应的售后服务，伺服电机、驱动器及总线控制须选用国际知名品牌（如倍福或同档次）。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2）上位机控制计算机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上位机控制单元采用工业控制计算机；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CPU 不低于 Intel® CoreTM i7、3.4GHz；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硬盘容量不低于 2TB；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内存不低于 16 GB DDR4-RAM。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3）伺服电机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伺服电机采用多圈或绝对值编码器；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伺服电机的额定功率不大于 10kw；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伺服电机的额定转速不低于 1500 转/分。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4）伺服驱动器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伺服驱动器支持 EtherCAT 总线等多种总线形式；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伺服运动分辨率：支持 16 位分辨率编码器；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配备寻零、行程保护、故障检测及显示、紧急停车等安全措施；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采用上下位机网络通信方式进行伺服系统的控制及故障与信息监视，方便用户的使用。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5）高速伺服控制系统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▲控制器选用国际知名品牌，控制器可实现不少于132根伺服轴的同步和位置控制；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不低于1.5GHz频率的Intel处理器，不少于2Cores，带Windows系统，存储空间不低于8G；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如采用多个下位机控制器方案，需具备控制器同步功能，同步误差不高于 30微秒；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采用上下位机网络通信方式进行造波机控制及故障与信息监视；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具有C++和 LabVIEW 等高级语言调用接口，方便进行程序设计；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6）总线模块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支持Ethernet、SERCOS和CAN工业控制总线协议、具有模拟量和数字量输入输出接口，支持多圈绝对值编码器的方式进行运动控制；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支持工业以太网EtherCAT通信接口，同时具备标准以太网接口。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7）造波控制柜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控制柜材质：SPCC；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防护等级：不低于 IP44；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造波控制柜须包含除湿防盐控制装置。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盘厂柜、核心电器元件选用施耐德同等档次品牌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（3）波高采集单元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1）最大波高：1.2m；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2）测量精度：±0.35mm；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3）采集频率：100Hz（波高 0.6m 以下）；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4）数据采集器：Ethernet接口；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5）系统软件：采集数据显示：表格、曲线显示；数据分析：支持波形分析；数据输出：支持 txt、csv 多种格式。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（4）造波控制软件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1）软件功能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造波软件需至少包含波浪模拟、波谱修正、数据分析、自定义接口等功能；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具体功能如下：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造波模拟：可实现单峰、多峰、旋转、图形类等聚焦波模拟；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波谱修正功能包括：不规则波波谱自动修正功能；多向不规则波频谱和方向分布自动修正功能；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数据分析功能包括：统计特征参数分析程序、波动过程极值统计分析程序、波动过程频谱分析及各种谱相关特征参数分析程序、入反射波浪分离程序、多向不规则波方向谱分析程序；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自定义接口包括：① 自定义波谱：用户按照指定文件格式，输入任意波浪谱数据，造波软件自动离散为控制造波机的波列数据，控制造波机运行；② 自定义数据处理：采集的数据文件，存为标准格式，用户可按自己的需要进行后续的各种特殊数据分析；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2）全向聚焦波合成及控制算法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要求采用全向聚焦波合成及控制算法，适应不规则复杂造波边界，通过控制造波板的运动，实现不规则、多向、非线性、极端瞬变等复杂波浪的模拟。对于造波机的波高、周期等主要参数指标，需结合水池实际情况进行设计。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聚焦波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▲对聚焦位置、高度、陡度、圆度、垂直度等参数均可设定；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▲可实现单峰、多峰、旋转、图形类等聚焦波；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最大波高（含射流）：不小于 10m。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规则波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可实现正弦波、椭余波等规则波；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最大波高：不低于 0.7m（水深 2.0m 时，对应周期 2.0~2.4s）；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波浪周期范围：0.5~3.0s；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波高变化范围：0.02~0.6m；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波高误差：≤5%；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周期误差：≤4%；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波高稳定性和重复性误差：≤3%；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周期的稳定性和重复性：≤3%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波向角变化范围：0~360°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不规则波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可实现规范谱、JONSWAP 谱、P-M 谱、B-M 谱、用户自定义谱等多种不规则波浪谱；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最大有效波高：≥0.5m（水深 2.0m 时）；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波高有效值误差：≤5%；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谱峰周期误差：≤5%；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能量误差：≤8%；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波高有效值重复性误差：≤3%；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谱峰周期重复性误差：≤3%；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波向角变化范围：0~360°；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波向角的误差：≤3°。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3）全向吸收式波浪算法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采用全向吸收式波浪算法，通过造波板运动位置模式，实现造波板运动全局信息反馈，高效主动吸收较宽频率范围的反射波浪。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▲采用“全向吸收式波浪算法，实现对任何频率类型的反射波吸收；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对于周期区间（1.0s~2.5s）内的规则波，吸收率不低于 90%，不规则波无反射吸收率不低于 70%；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吸收式造波控制软件与波浪生成软件兼容。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（5）沿水池四周配备消能装置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消能装置由钢框架和消能盲沟组成。钢框架需采用304材质。消能盲沟采用原生塑料，不易碎，绿色环保，需采用特殊孔隙设计满足消波需求，有效地消减反射回来的波浪。</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（6）水池周围布置防护装置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防护装置由不锈钢框架和防护网组成。钢框架需采用304材质。防护网采用尼龙材质，耐磨耐老化，看冲击力强，每平米不小于80kg。</w:t>
      </w:r>
    </w:p>
    <w:p>
      <w:pPr>
        <w:pStyle w:val="2"/>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 xml:space="preserve">3、造流系统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3.1 基本要求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系统主要由造流组件、造流控制柜、造流控制软件及供回水组件组成，圆形造流系统沿水池下部呈圆形对称布置，实现有效的目标流速控制和精准的流向控制，满足对自然界中复杂水流的模拟。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3.2 技术指标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以下为基本要求，供货商提供的仪器设备技术指标不能低于下列要求。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（1）造流组件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1）由★双向贯流泵（需要生产厂家授权书）、变频器、导流装置、均流装置、造流控制柜等核心部件组成；</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2）造流单元数量：18个；</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3）单个造流单元流量：3m</w:t>
      </w:r>
      <w:r>
        <w:rPr>
          <w:rFonts w:hint="eastAsia" w:ascii="宋体" w:hAnsi="宋体" w:cs="宋体"/>
          <w:bCs/>
          <w:color w:val="auto"/>
          <w:sz w:val="24"/>
          <w:highlight w:val="none"/>
          <w:vertAlign w:val="superscript"/>
        </w:rPr>
        <w:t>3</w:t>
      </w:r>
      <w:r>
        <w:rPr>
          <w:rFonts w:hint="eastAsia" w:ascii="宋体" w:hAnsi="宋体" w:cs="宋体"/>
          <w:bCs/>
          <w:color w:val="auto"/>
          <w:sz w:val="24"/>
          <w:highlight w:val="none"/>
        </w:rPr>
        <w:t>/s；</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4）▲流速范围：0~0.7m/s（2m水深）；0~1m/s（1米水深）；0~1.8m/s（0.7 米水深）；</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5）造流方向：0~360°；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6）导流装置，可保证水流能够以平滑、稳定的流态进入水池；稳流装置，可保证水流进入水池试验段时流态分布均匀。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（2）造流控制柜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1）控制柜材质：SPCC；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2）防护等级：不低于 IP44；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3）造流控制柜须包含除湿防盐控制装置；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4）盘厂柜、核心电器元件选用施耐德同等档次品牌。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（3）造流控制软件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控制方式采用流速流向仪+变频器闭环方式，通过实时采集流速值，计算机根据控制算法结果，通过变频器直接控制水泵的电机，然后调节加在电机上的交流电压频率来改变电机的运行速度，从而调节水泵的进出水流量，达到造流的目的。</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1）实现稳定造流控制，可实现均匀流、发散流、收敛流、往复流等复杂流态；</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2）▲流速控制精度：≤3%；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3）目标流速调节时间：≤60s；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4）软件功能：包含标定模块、通讯模块、控制模块、设备管理模块、数据管理模块等功能模块。</w:t>
      </w:r>
    </w:p>
    <w:p>
      <w:pPr>
        <w:pStyle w:val="2"/>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 xml:space="preserve">4、风阵系统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4.1 基本要求</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风阵系统主要由风阵、风速仪、造风控制柜及造风控制软件等组成，实现模拟近远海定常风与非定常（瞬态）风。可用于海洋浮体在风力作用下的运动规律和动力响应分析，较长刚体或船模系泊作业稳定性研究与分析。由于风阵及造风控制柜已到货，要求对风阵及造风控制柜原有机械结构维护升级，并进行防腐除盐处理，对电气控制单元进行重新设计及改造，使得风阵系统达到以下技术指标要求。</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4.2 技术指标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以下为基本要求，供货商改造后的仪器设备技术指标不能低于下列要求。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（1）风阵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1）风机数量：16台（4*4风阵）；</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2）单台风机出口风量：≥15000m³/h；</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3）风机采用双向防爆设计；</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4）具备风速变频控制；</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5）风阵风速范围：0~10m/s（风阵前 1m）；</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6）可调式导风板调节角度：左右0~45°，上下 ~45°；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7）可升降行程：大于2m。</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（2）风阵搭载测车</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1）用于搭载风阵系统，可沿轨道进行移动；</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2）测桥纵向移动速度（沿轨道方向）：可达到30cm/s；</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3）测车横向移动范围：≥20m，定位精度：≤1cm；</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（3）造风控制柜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1）控制柜材质：SPCC；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2）防护等级：不低于 IP44；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3）造流控制柜须包含除湿防盐控制装置；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4）盘厂柜、核心电器元件选用施耐德同等档次品牌。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（4）造风控制软件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1）可模拟定常(稳态)风；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2）▲风速控制精度：≤5%；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3）目标风速调节时间：≤60s；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4）软件功能：包括接状态控制、当前风量控制、目标风量控制以及造风系统启动、停止功能模块。 </w:t>
      </w:r>
    </w:p>
    <w:p>
      <w:pPr>
        <w:pStyle w:val="2"/>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 xml:space="preserve">5、多功能测车系统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5.1 基本要求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多功能测车系统主要由走台、横向轨道、横向运动结构、垂向运动结构、纵向行走机构与纵向轨道等核心部件组成，测车系统可以进行三维移动，可实现测量仪器的自动定位功能，两台多功能测桥，可实现双桥配合完成复杂水工模型或监测设备的搭载实验。由于多功能测车系统已到货，要求对多功能测车系统原有机械结构维护升级，并进行防腐除盐处理，对电气控制单元进行重新设计及改造，使得多功能测车系统达到以下技术指标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5.2 技术指标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以下为基本要求，供货商提供的仪器设备技术指标不能低于下列要求。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（1）测桥功能：可实现行走、精确定位、驻车、实验人员行走观测、仪器设备安装固定等；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（2）测桥整体尺寸：不小于 28m×1.2m×2m（长×宽×高）；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（3）测桥纵向移动速度（沿轨道方向）：可达到 30cm/s；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（4）多功能搭载平台：可实现横向及垂向移动；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（5）搭载平台横向移动范围：≥20m，定位精度：≤1cm；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（6）搭载平台垂向移动范围：≥2.5m，定位精度：≤1cm；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（7）搭载平台载重：≥1.0t；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（8）具备远程控制及现地控制功能；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（9）测车控制柜须包含除湿防盐控制装置，盘厂柜、核心电器元件选用施耐德同等档次品牌；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（10）须提供测车受力情况计算书。 </w:t>
      </w:r>
    </w:p>
    <w:p>
      <w:pPr>
        <w:pStyle w:val="2"/>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6、★水下升降平台（需要生产厂家授权书）</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6.1 基本要求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主要由工平台框架、工作台、液压系统等组等核心部件组成（包括但不限于以上部件），平台采用剪叉式升降结构，传动方式采用液压油缸结构，通过外置液压泵站向油缸内供油，实现搭载平台的升降。平台上 可安装试验模型、试验设备，通过调节升降高度，来模拟不同水深下的试验需求。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6.2 技术指标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以下为基本要求，供货商提供的仪器设备技术指标不能低于下列要求。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（1）平台直径：10m；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（2）平台材质：316L不锈钢；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（3）平台升降行程：5m；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（4）平台额定载重：10t；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（5）传动方式：采用液压传动方式；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（6）▲具备远程控制及现地控制功能；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（7）升降平台控制柜须包含除湿防盐控制装置，盘厂柜、核心电器元件选用施耐德同等档次品牌；</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（8）平台顶面预设检修孔。</w:t>
      </w:r>
    </w:p>
    <w:p>
      <w:pPr>
        <w:pStyle w:val="2"/>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 xml:space="preserve">7、工艺提升泵站系统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主要由水泵、阀门、管路组成。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以下为基本要求，供货商提供的仪器设备技术指标不能低于下列要求。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（1）供水水泵:流量≥800m³/h；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（2）排水水泵:流量≥800m³/h；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（3）管道:不锈钢管道；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（4）阀门:开关型电动阀门； </w:t>
      </w:r>
    </w:p>
    <w:p>
      <w:pPr>
        <w:pStyle w:val="2"/>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 xml:space="preserve">8、工艺提升泵站供电系统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主要由水泵控制箱、电源箱、线缆组成。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以下为基本要求，供货商提供的仪器设备技术指标不能低于下列要求。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（1）水泵控制柜：变频控制，支持 RS485 通信；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（2）泵房电源箱：适配水泵，配套元器件；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（3）供电电缆：铠装线缆；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（4）信号电缆：双绞屏蔽信号线； </w:t>
      </w:r>
    </w:p>
    <w:p>
      <w:pPr>
        <w:pStyle w:val="2"/>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 xml:space="preserve">9、实验量测仪器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9.1 流速流向传感器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技术指标：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以下为基本要求，供货商提供的仪器设备技术指标不能低于下列要求。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流速测量范围：0~3m/s；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测量精度：1%±1cm/s；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采样频率：最高 50Hz。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9.2 风速风向传感器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技术指标：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以下为基本要求，供货商提供的仪器设备技术指标不能低于下列要求。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（1）风速：0～15m/s；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（2）风向：0~359°；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（3）精度：风速±(0.2m/s±0.02*v)(v 为真实风速)；风向±3°；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（4）分辨率：风速 0.01 m/s；风向 1°；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（5）通讯模块：无线通讯；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（6）系统软件：软件平台对数据进行分析展示。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9.3 波高测量系统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主要由波高采集仪和波高传感器组成。</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技术指标：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以下为基本要求，供货商提供的仪器设备技术指标不能低于下列要求。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波高传感器：</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（1）波高量程：0.01-1.20m；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（2）测量精度：±0.35mm；</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波高采集仪：</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（1）采集通道：32路；</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（2）采集频率：100Hz；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（3）通信接口：以太网；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（4）系统软件：采集数据显示：表格、曲线显示；数据分析：支持波形分析；数据输出：支持 txt、csv 多种格式。</w:t>
      </w:r>
    </w:p>
    <w:p>
      <w:pPr>
        <w:pStyle w:val="2"/>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10、水质净化设备</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技术指标：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 xml:space="preserve">以下为基本要求，供货商提供的仪器设备技术指标不能低于下列要求。 </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（1）BODs&lt;6mg/L；</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（2）SS&lt;10 mg/L；</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（3）浊度≤5NTU；</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（4）粪大肠菌群≤2000；</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（5）叶绿素≤0.001 mg/L；</w:t>
      </w:r>
    </w:p>
    <w:p>
      <w:pPr>
        <w:pStyle w:val="2"/>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（6）可保证池水每7天循环一次。</w:t>
      </w:r>
    </w:p>
    <w:p>
      <w:pPr>
        <w:spacing w:beforeLines="50" w:afterLines="50" w:line="360" w:lineRule="auto"/>
        <w:rPr>
          <w:b/>
          <w:color w:val="auto"/>
          <w:sz w:val="24"/>
          <w:szCs w:val="24"/>
          <w:highlight w:val="none"/>
          <w:lang w:val="en-US"/>
        </w:rPr>
      </w:pPr>
      <w:r>
        <w:rPr>
          <w:rFonts w:hint="eastAsia"/>
          <w:b/>
          <w:color w:val="auto"/>
          <w:sz w:val="24"/>
          <w:szCs w:val="24"/>
          <w:highlight w:val="none"/>
          <w:lang w:val="en-US"/>
        </w:rPr>
        <w:t xml:space="preserve">三、质保运维及增值服务要求 </w:t>
      </w:r>
    </w:p>
    <w:p>
      <w:pPr>
        <w:pStyle w:val="2"/>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 xml:space="preserve">1、质保要求 </w:t>
      </w:r>
    </w:p>
    <w:p>
      <w:pPr>
        <w:spacing w:line="360" w:lineRule="auto"/>
        <w:ind w:firstLine="480" w:firstLineChars="200"/>
        <w:jc w:val="both"/>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质保时间：项目终验通过后免费质保不低于1年。</w:t>
      </w:r>
    </w:p>
    <w:p>
      <w:pPr>
        <w:spacing w:line="360" w:lineRule="auto"/>
        <w:ind w:firstLine="480" w:firstLineChars="200"/>
        <w:jc w:val="both"/>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质保内容：质保期内硬件故障免费维修或更换，软件系统终身免费升级。 </w:t>
      </w:r>
    </w:p>
    <w:p>
      <w:pPr>
        <w:pStyle w:val="2"/>
        <w:spacing w:line="360" w:lineRule="auto"/>
        <w:ind w:firstLine="482"/>
        <w:rPr>
          <w:rFonts w:ascii="宋体" w:hAnsi="宋体" w:cs="宋体"/>
          <w:b/>
          <w:color w:val="auto"/>
          <w:sz w:val="24"/>
          <w:highlight w:val="none"/>
        </w:rPr>
      </w:pPr>
      <w:r>
        <w:rPr>
          <w:rFonts w:hint="eastAsia" w:ascii="宋体" w:hAnsi="宋体" w:cs="宋体"/>
          <w:b/>
          <w:color w:val="auto"/>
          <w:sz w:val="24"/>
          <w:highlight w:val="none"/>
        </w:rPr>
        <w:t>2、增值服务要求</w:t>
      </w:r>
    </w:p>
    <w:p>
      <w:pPr>
        <w:spacing w:line="360" w:lineRule="auto"/>
        <w:ind w:firstLine="480" w:firstLineChars="200"/>
        <w:jc w:val="both"/>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服务内容：投标人自行拟定服务内容，包括但不限于协助业主进行海南省级奖项申报及相关标准申报等。</w:t>
      </w:r>
    </w:p>
    <w:p>
      <w:pPr>
        <w:spacing w:beforeLines="50" w:afterLines="50" w:line="360" w:lineRule="auto"/>
        <w:rPr>
          <w:b/>
          <w:color w:val="auto"/>
          <w:sz w:val="24"/>
          <w:szCs w:val="24"/>
          <w:highlight w:val="none"/>
          <w:lang w:val="en-US"/>
        </w:rPr>
      </w:pPr>
      <w:r>
        <w:rPr>
          <w:rFonts w:hint="eastAsia"/>
          <w:b/>
          <w:color w:val="auto"/>
          <w:sz w:val="24"/>
          <w:szCs w:val="24"/>
          <w:highlight w:val="none"/>
          <w:lang w:val="en-US"/>
        </w:rPr>
        <w:t>四、备品备件要求</w:t>
      </w:r>
    </w:p>
    <w:p>
      <w:pPr>
        <w:spacing w:line="360" w:lineRule="auto"/>
        <w:ind w:firstLine="480" w:firstLineChars="200"/>
        <w:jc w:val="both"/>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备品备件：投标人根据项目实际需求对易损件、核心部件、工具等提供备品备件。</w:t>
      </w:r>
    </w:p>
    <w:p>
      <w:pPr>
        <w:spacing w:beforeLines="50" w:afterLines="50" w:line="360" w:lineRule="auto"/>
        <w:rPr>
          <w:b/>
          <w:color w:val="auto"/>
          <w:sz w:val="24"/>
          <w:szCs w:val="24"/>
          <w:highlight w:val="none"/>
          <w:lang w:val="en-US"/>
        </w:rPr>
      </w:pPr>
      <w:r>
        <w:rPr>
          <w:rFonts w:hint="eastAsia"/>
          <w:b/>
          <w:color w:val="auto"/>
          <w:sz w:val="24"/>
          <w:szCs w:val="24"/>
          <w:highlight w:val="none"/>
          <w:lang w:val="en-US"/>
        </w:rPr>
        <w:t>五、工期要求</w:t>
      </w:r>
    </w:p>
    <w:p>
      <w:pPr>
        <w:spacing w:line="360" w:lineRule="auto"/>
        <w:ind w:firstLine="480" w:firstLineChars="200"/>
        <w:jc w:val="both"/>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工期时间：合同签订后30日内完成深化设计，合同签定后9个月内全部安装完毕，在施工过程中应满足总包的施工进度计划。</w:t>
      </w:r>
    </w:p>
    <w:p>
      <w:pPr>
        <w:rPr>
          <w:color w:val="auto"/>
          <w:highlight w:val="none"/>
          <w:lang w:val="en-US" w:bidi="ar-SA"/>
        </w:rPr>
      </w:pPr>
    </w:p>
    <w:p>
      <w:pPr>
        <w:pStyle w:val="55"/>
        <w:spacing w:line="675" w:lineRule="exact"/>
        <w:jc w:val="center"/>
        <w:outlineLvl w:val="0"/>
        <w:rPr>
          <w:rFonts w:ascii="宋体" w:hAnsi="宋体" w:eastAsia="宋体"/>
          <w:color w:val="auto"/>
          <w:highlight w:val="none"/>
        </w:rPr>
      </w:pPr>
      <w:bookmarkStart w:id="223" w:name="_Toc116892716"/>
      <w:bookmarkStart w:id="224" w:name="_Toc21410"/>
      <w:bookmarkStart w:id="225" w:name="_Toc6579"/>
      <w:bookmarkStart w:id="226" w:name="_Toc24312"/>
    </w:p>
    <w:p>
      <w:pPr>
        <w:rPr>
          <w:rFonts w:ascii="宋体" w:hAnsi="宋体" w:eastAsia="宋体"/>
          <w:color w:val="auto"/>
          <w:highlight w:val="none"/>
        </w:rPr>
      </w:pPr>
      <w:r>
        <w:rPr>
          <w:rFonts w:ascii="宋体" w:hAnsi="宋体" w:eastAsia="宋体"/>
          <w:color w:val="auto"/>
          <w:highlight w:val="none"/>
        </w:rPr>
        <w:br w:type="page"/>
      </w:r>
    </w:p>
    <w:p>
      <w:pPr>
        <w:pStyle w:val="55"/>
        <w:spacing w:line="675" w:lineRule="exact"/>
        <w:jc w:val="center"/>
        <w:outlineLvl w:val="0"/>
        <w:rPr>
          <w:rFonts w:ascii="宋体" w:hAnsi="宋体" w:eastAsia="宋体"/>
          <w:color w:val="auto"/>
          <w:highlight w:val="none"/>
        </w:rPr>
      </w:pPr>
      <w:r>
        <w:rPr>
          <w:rFonts w:ascii="宋体" w:hAnsi="宋体" w:eastAsia="宋体"/>
          <w:color w:val="auto"/>
          <w:highlight w:val="none"/>
        </w:rPr>
        <w:t>第六章投标文件格式</w:t>
      </w:r>
      <w:bookmarkEnd w:id="223"/>
      <w:bookmarkEnd w:id="224"/>
      <w:bookmarkEnd w:id="225"/>
      <w:bookmarkEnd w:id="226"/>
    </w:p>
    <w:p>
      <w:pPr>
        <w:spacing w:line="683" w:lineRule="exact"/>
        <w:rPr>
          <w:color w:val="auto"/>
          <w:highlight w:val="none"/>
        </w:rPr>
        <w:sectPr>
          <w:pgSz w:w="11907" w:h="16839"/>
          <w:pgMar w:top="1417" w:right="1701" w:bottom="1417" w:left="1701" w:header="0" w:footer="841" w:gutter="0"/>
          <w:pgNumType w:fmt="decimal"/>
          <w:cols w:space="720" w:num="1"/>
        </w:sectPr>
      </w:pPr>
    </w:p>
    <w:p>
      <w:pPr>
        <w:rPr>
          <w:color w:val="auto"/>
          <w:highlight w:val="none"/>
        </w:rPr>
      </w:pPr>
    </w:p>
    <w:p>
      <w:pPr>
        <w:rPr>
          <w:color w:val="auto"/>
          <w:highlight w:val="none"/>
        </w:rPr>
      </w:pPr>
    </w:p>
    <w:p>
      <w:pPr>
        <w:rPr>
          <w:color w:val="auto"/>
          <w:highlight w:val="none"/>
        </w:rPr>
      </w:pPr>
    </w:p>
    <w:p>
      <w:pPr>
        <w:tabs>
          <w:tab w:val="left" w:pos="3319"/>
        </w:tabs>
        <w:spacing w:before="70"/>
        <w:jc w:val="center"/>
        <w:rPr>
          <w:color w:val="auto"/>
          <w:sz w:val="36"/>
          <w:highlight w:val="none"/>
        </w:rPr>
      </w:pPr>
      <w:r>
        <w:rPr>
          <w:color w:val="auto"/>
          <w:sz w:val="36"/>
          <w:highlight w:val="none"/>
        </w:rPr>
        <w:t>（项目名称）</w:t>
      </w:r>
    </w:p>
    <w:p>
      <w:pPr>
        <w:pStyle w:val="15"/>
        <w:rPr>
          <w:color w:val="auto"/>
          <w:sz w:val="20"/>
          <w:highlight w:val="none"/>
        </w:rPr>
      </w:pPr>
    </w:p>
    <w:p>
      <w:pPr>
        <w:pStyle w:val="15"/>
        <w:rPr>
          <w:color w:val="auto"/>
          <w:sz w:val="20"/>
          <w:highlight w:val="none"/>
        </w:rPr>
      </w:pPr>
    </w:p>
    <w:p>
      <w:pPr>
        <w:pStyle w:val="15"/>
        <w:rPr>
          <w:color w:val="auto"/>
          <w:sz w:val="20"/>
          <w:highlight w:val="none"/>
        </w:rPr>
      </w:pPr>
    </w:p>
    <w:p>
      <w:pPr>
        <w:pStyle w:val="15"/>
        <w:rPr>
          <w:color w:val="auto"/>
          <w:sz w:val="20"/>
          <w:highlight w:val="none"/>
        </w:rPr>
      </w:pPr>
    </w:p>
    <w:p>
      <w:pPr>
        <w:pStyle w:val="15"/>
        <w:rPr>
          <w:color w:val="auto"/>
          <w:sz w:val="20"/>
          <w:highlight w:val="none"/>
        </w:rPr>
      </w:pPr>
    </w:p>
    <w:p>
      <w:pPr>
        <w:pStyle w:val="15"/>
        <w:rPr>
          <w:color w:val="auto"/>
          <w:sz w:val="20"/>
          <w:highlight w:val="none"/>
        </w:rPr>
      </w:pPr>
    </w:p>
    <w:p>
      <w:pPr>
        <w:spacing w:before="209"/>
        <w:ind w:left="3511"/>
        <w:rPr>
          <w:b/>
          <w:color w:val="auto"/>
          <w:sz w:val="56"/>
          <w:highlight w:val="none"/>
        </w:rPr>
      </w:pPr>
      <w:r>
        <w:rPr>
          <w:b/>
          <w:color w:val="auto"/>
          <w:sz w:val="56"/>
          <w:highlight w:val="none"/>
        </w:rPr>
        <w:t>投 标 文 件</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15"/>
        <w:spacing w:before="3"/>
        <w:rPr>
          <w:color w:val="auto"/>
          <w:sz w:val="52"/>
          <w:highlight w:val="none"/>
        </w:rPr>
      </w:pPr>
    </w:p>
    <w:p>
      <w:pPr>
        <w:tabs>
          <w:tab w:val="left" w:pos="7262"/>
          <w:tab w:val="left" w:pos="7855"/>
        </w:tabs>
        <w:spacing w:line="364" w:lineRule="auto"/>
        <w:ind w:left="1521" w:right="761"/>
        <w:rPr>
          <w:color w:val="auto"/>
          <w:sz w:val="28"/>
          <w:highlight w:val="none"/>
        </w:rPr>
      </w:pPr>
      <w:r>
        <w:rPr>
          <w:color w:val="auto"/>
          <w:sz w:val="28"/>
          <w:highlight w:val="none"/>
        </w:rPr>
        <w:t>投标人：</w:t>
      </w:r>
      <w:r>
        <w:rPr>
          <w:color w:val="auto"/>
          <w:sz w:val="28"/>
          <w:highlight w:val="none"/>
          <w:u w:val="single"/>
        </w:rPr>
        <w:tab/>
      </w:r>
      <w:r>
        <w:rPr>
          <w:color w:val="auto"/>
          <w:sz w:val="28"/>
          <w:highlight w:val="none"/>
        </w:rPr>
        <w:t>（盖单位章） 法定代表人（单位负责人）或其委托代理人：</w:t>
      </w:r>
      <w:r>
        <w:rPr>
          <w:color w:val="auto"/>
          <w:sz w:val="28"/>
          <w:highlight w:val="none"/>
          <w:u w:val="single"/>
        </w:rPr>
        <w:tab/>
      </w:r>
      <w:r>
        <w:rPr>
          <w:color w:val="auto"/>
          <w:sz w:val="28"/>
          <w:highlight w:val="none"/>
          <w:u w:val="single"/>
        </w:rPr>
        <w:tab/>
      </w:r>
      <w:r>
        <w:rPr>
          <w:color w:val="auto"/>
          <w:sz w:val="28"/>
          <w:highlight w:val="none"/>
        </w:rPr>
        <w:t>（签字）</w:t>
      </w:r>
    </w:p>
    <w:p>
      <w:pPr>
        <w:pStyle w:val="15"/>
        <w:spacing w:before="5"/>
        <w:rPr>
          <w:color w:val="auto"/>
          <w:sz w:val="23"/>
          <w:highlight w:val="none"/>
        </w:rPr>
      </w:pPr>
    </w:p>
    <w:p>
      <w:pPr>
        <w:tabs>
          <w:tab w:val="left" w:pos="3931"/>
          <w:tab w:val="left" w:pos="4946"/>
          <w:tab w:val="left" w:pos="5962"/>
        </w:tabs>
        <w:spacing w:before="62"/>
        <w:ind w:left="3197"/>
        <w:rPr>
          <w:color w:val="auto"/>
          <w:sz w:val="28"/>
          <w:highlight w:val="none"/>
        </w:rPr>
      </w:pPr>
      <w:r>
        <w:rPr>
          <w:rFonts w:ascii="Times New Roman" w:eastAsia="Times New Roman"/>
          <w:color w:val="auto"/>
          <w:sz w:val="28"/>
          <w:highlight w:val="none"/>
          <w:u w:val="single"/>
        </w:rPr>
        <w:tab/>
      </w:r>
      <w:r>
        <w:rPr>
          <w:color w:val="auto"/>
          <w:sz w:val="28"/>
          <w:highlight w:val="none"/>
        </w:rPr>
        <w:t>年</w:t>
      </w:r>
      <w:r>
        <w:rPr>
          <w:color w:val="auto"/>
          <w:sz w:val="28"/>
          <w:highlight w:val="none"/>
          <w:u w:val="single"/>
        </w:rPr>
        <w:tab/>
      </w:r>
      <w:r>
        <w:rPr>
          <w:color w:val="auto"/>
          <w:sz w:val="28"/>
          <w:highlight w:val="none"/>
        </w:rPr>
        <w:t>月</w:t>
      </w:r>
      <w:r>
        <w:rPr>
          <w:color w:val="auto"/>
          <w:sz w:val="28"/>
          <w:highlight w:val="none"/>
          <w:u w:val="single"/>
        </w:rPr>
        <w:tab/>
      </w:r>
      <w:r>
        <w:rPr>
          <w:color w:val="auto"/>
          <w:sz w:val="28"/>
          <w:highlight w:val="none"/>
        </w:rPr>
        <w:t>日</w:t>
      </w:r>
    </w:p>
    <w:p>
      <w:pPr>
        <w:rPr>
          <w:color w:val="auto"/>
          <w:sz w:val="28"/>
          <w:highlight w:val="none"/>
        </w:rPr>
        <w:sectPr>
          <w:type w:val="continuous"/>
          <w:pgSz w:w="11907" w:h="16839"/>
          <w:pgMar w:top="1134" w:right="1134" w:bottom="1134" w:left="1134" w:header="0" w:footer="841" w:gutter="0"/>
          <w:pgNumType w:fmt="decimal"/>
          <w:cols w:space="720" w:num="1"/>
        </w:sectPr>
      </w:pPr>
    </w:p>
    <w:p>
      <w:pPr>
        <w:widowControl/>
        <w:autoSpaceDE/>
        <w:autoSpaceDN/>
        <w:rPr>
          <w:rFonts w:cs="Microsoft JhengHei"/>
          <w:b/>
          <w:bCs/>
          <w:color w:val="auto"/>
          <w:sz w:val="32"/>
          <w:szCs w:val="32"/>
          <w:highlight w:val="none"/>
        </w:rPr>
      </w:pPr>
      <w:r>
        <w:rPr>
          <w:color w:val="auto"/>
          <w:highlight w:val="none"/>
        </w:rPr>
        <w:br w:type="page"/>
      </w:r>
    </w:p>
    <w:p>
      <w:pPr>
        <w:pStyle w:val="56"/>
        <w:spacing w:line="525" w:lineRule="exact"/>
        <w:ind w:left="0" w:right="297" w:firstLine="0"/>
        <w:jc w:val="center"/>
        <w:rPr>
          <w:rFonts w:ascii="宋体" w:hAnsi="宋体" w:eastAsia="宋体"/>
          <w:color w:val="auto"/>
          <w:highlight w:val="none"/>
        </w:rPr>
      </w:pPr>
    </w:p>
    <w:p>
      <w:pPr>
        <w:pStyle w:val="56"/>
        <w:spacing w:line="525" w:lineRule="exact"/>
        <w:ind w:left="0" w:right="297" w:firstLine="0"/>
        <w:jc w:val="center"/>
        <w:rPr>
          <w:rFonts w:ascii="宋体" w:hAnsi="宋体" w:eastAsia="宋体"/>
          <w:color w:val="auto"/>
          <w:highlight w:val="none"/>
        </w:rPr>
      </w:pPr>
    </w:p>
    <w:p>
      <w:pPr>
        <w:pStyle w:val="56"/>
        <w:spacing w:line="525" w:lineRule="exact"/>
        <w:ind w:left="0" w:right="297" w:firstLine="0"/>
        <w:jc w:val="center"/>
        <w:rPr>
          <w:rFonts w:ascii="宋体" w:hAnsi="宋体" w:eastAsia="宋体"/>
          <w:color w:val="auto"/>
          <w:highlight w:val="none"/>
        </w:rPr>
      </w:pPr>
    </w:p>
    <w:p>
      <w:pPr>
        <w:pStyle w:val="56"/>
        <w:spacing w:line="525" w:lineRule="exact"/>
        <w:ind w:left="0" w:right="297" w:firstLine="0"/>
        <w:jc w:val="center"/>
        <w:rPr>
          <w:rFonts w:ascii="宋体" w:hAnsi="宋体" w:eastAsia="宋体"/>
          <w:color w:val="auto"/>
          <w:highlight w:val="none"/>
        </w:rPr>
      </w:pPr>
    </w:p>
    <w:p>
      <w:pPr>
        <w:pStyle w:val="56"/>
        <w:spacing w:line="525" w:lineRule="exact"/>
        <w:ind w:left="0" w:right="297" w:firstLine="0"/>
        <w:jc w:val="center"/>
        <w:rPr>
          <w:rFonts w:ascii="宋体" w:hAnsi="宋体" w:eastAsia="宋体"/>
          <w:color w:val="auto"/>
          <w:highlight w:val="none"/>
        </w:rPr>
      </w:pPr>
      <w:r>
        <w:rPr>
          <w:rFonts w:ascii="宋体" w:hAnsi="宋体" w:eastAsia="宋体"/>
          <w:color w:val="auto"/>
          <w:highlight w:val="none"/>
        </w:rPr>
        <w:t>目录</w:t>
      </w:r>
    </w:p>
    <w:p>
      <w:pPr>
        <w:pStyle w:val="15"/>
        <w:spacing w:line="460" w:lineRule="exact"/>
        <w:rPr>
          <w:color w:val="auto"/>
          <w:highlight w:val="none"/>
        </w:rPr>
      </w:pPr>
    </w:p>
    <w:p>
      <w:pPr>
        <w:pStyle w:val="15"/>
        <w:spacing w:line="480" w:lineRule="auto"/>
        <w:ind w:firstLine="480" w:firstLineChars="200"/>
        <w:rPr>
          <w:color w:val="auto"/>
          <w:sz w:val="24"/>
          <w:szCs w:val="24"/>
          <w:highlight w:val="none"/>
        </w:rPr>
      </w:pPr>
    </w:p>
    <w:p>
      <w:pPr>
        <w:pStyle w:val="16"/>
        <w:spacing w:line="480" w:lineRule="auto"/>
        <w:ind w:firstLine="480" w:firstLineChars="200"/>
        <w:rPr>
          <w:color w:val="auto"/>
          <w:sz w:val="24"/>
          <w:highlight w:val="none"/>
        </w:rPr>
      </w:pPr>
      <w:r>
        <w:rPr>
          <w:color w:val="auto"/>
          <w:sz w:val="24"/>
          <w:highlight w:val="none"/>
        </w:rPr>
        <w:t>一、投标函</w:t>
      </w:r>
    </w:p>
    <w:p>
      <w:pPr>
        <w:pStyle w:val="16"/>
        <w:spacing w:line="480" w:lineRule="auto"/>
        <w:ind w:firstLine="480" w:firstLineChars="200"/>
        <w:rPr>
          <w:color w:val="auto"/>
          <w:sz w:val="24"/>
          <w:highlight w:val="none"/>
        </w:rPr>
      </w:pPr>
      <w:r>
        <w:rPr>
          <w:color w:val="auto"/>
          <w:sz w:val="24"/>
          <w:highlight w:val="none"/>
        </w:rPr>
        <w:t>二、法定代表人（单位负责人）身份证明（适用于无委托代理人的情况）</w:t>
      </w:r>
    </w:p>
    <w:p>
      <w:pPr>
        <w:pStyle w:val="16"/>
        <w:spacing w:line="480" w:lineRule="auto"/>
        <w:ind w:firstLine="480" w:firstLineChars="200"/>
        <w:rPr>
          <w:color w:val="auto"/>
          <w:sz w:val="24"/>
          <w:highlight w:val="none"/>
        </w:rPr>
      </w:pPr>
      <w:r>
        <w:rPr>
          <w:color w:val="auto"/>
          <w:sz w:val="24"/>
          <w:highlight w:val="none"/>
        </w:rPr>
        <w:t>三、授权委托书（适用于有委托代理人的情况）</w:t>
      </w:r>
    </w:p>
    <w:p>
      <w:pPr>
        <w:pStyle w:val="16"/>
        <w:spacing w:line="480" w:lineRule="auto"/>
        <w:ind w:firstLine="480" w:firstLineChars="200"/>
        <w:rPr>
          <w:color w:val="auto"/>
          <w:sz w:val="24"/>
          <w:highlight w:val="none"/>
        </w:rPr>
      </w:pPr>
      <w:r>
        <w:rPr>
          <w:color w:val="auto"/>
          <w:sz w:val="24"/>
          <w:highlight w:val="none"/>
        </w:rPr>
        <w:t>四、联合体协议书（参考）</w:t>
      </w:r>
    </w:p>
    <w:p>
      <w:pPr>
        <w:pStyle w:val="16"/>
        <w:spacing w:line="480" w:lineRule="auto"/>
        <w:ind w:firstLine="480" w:firstLineChars="200"/>
        <w:rPr>
          <w:color w:val="auto"/>
          <w:sz w:val="24"/>
          <w:highlight w:val="none"/>
        </w:rPr>
      </w:pPr>
      <w:r>
        <w:rPr>
          <w:color w:val="auto"/>
          <w:sz w:val="24"/>
          <w:highlight w:val="none"/>
        </w:rPr>
        <w:t>五、投标保证金</w:t>
      </w:r>
    </w:p>
    <w:p>
      <w:pPr>
        <w:pStyle w:val="16"/>
        <w:spacing w:line="480" w:lineRule="auto"/>
        <w:ind w:firstLine="480" w:firstLineChars="200"/>
        <w:rPr>
          <w:color w:val="auto"/>
          <w:sz w:val="24"/>
          <w:highlight w:val="none"/>
        </w:rPr>
      </w:pPr>
      <w:r>
        <w:rPr>
          <w:color w:val="auto"/>
          <w:sz w:val="24"/>
          <w:highlight w:val="none"/>
        </w:rPr>
        <w:t>六、技术参数响应表</w:t>
      </w:r>
    </w:p>
    <w:p>
      <w:pPr>
        <w:pStyle w:val="16"/>
        <w:spacing w:line="480" w:lineRule="auto"/>
        <w:ind w:firstLine="480" w:firstLineChars="200"/>
        <w:rPr>
          <w:color w:val="auto"/>
          <w:sz w:val="24"/>
          <w:highlight w:val="none"/>
        </w:rPr>
      </w:pPr>
      <w:r>
        <w:rPr>
          <w:color w:val="auto"/>
          <w:sz w:val="24"/>
          <w:highlight w:val="none"/>
        </w:rPr>
        <w:t>七、分项报价表</w:t>
      </w:r>
    </w:p>
    <w:p>
      <w:pPr>
        <w:pStyle w:val="16"/>
        <w:spacing w:line="480" w:lineRule="auto"/>
        <w:ind w:firstLine="480" w:firstLineChars="200"/>
        <w:rPr>
          <w:color w:val="auto"/>
          <w:sz w:val="24"/>
          <w:highlight w:val="none"/>
        </w:rPr>
      </w:pPr>
      <w:r>
        <w:rPr>
          <w:color w:val="auto"/>
          <w:sz w:val="24"/>
          <w:highlight w:val="none"/>
        </w:rPr>
        <w:t>八、资格审查资料</w:t>
      </w:r>
    </w:p>
    <w:p>
      <w:pPr>
        <w:pStyle w:val="16"/>
        <w:spacing w:line="480" w:lineRule="auto"/>
        <w:ind w:firstLine="480" w:firstLineChars="200"/>
        <w:rPr>
          <w:color w:val="auto"/>
          <w:sz w:val="24"/>
          <w:highlight w:val="none"/>
        </w:rPr>
      </w:pPr>
      <w:r>
        <w:rPr>
          <w:color w:val="auto"/>
          <w:sz w:val="24"/>
          <w:highlight w:val="none"/>
        </w:rPr>
        <w:t>九、技术方案</w:t>
      </w:r>
    </w:p>
    <w:p>
      <w:pPr>
        <w:pStyle w:val="16"/>
        <w:spacing w:line="480" w:lineRule="auto"/>
        <w:ind w:firstLine="480" w:firstLineChars="200"/>
        <w:rPr>
          <w:color w:val="auto"/>
          <w:sz w:val="24"/>
          <w:highlight w:val="none"/>
        </w:rPr>
      </w:pPr>
      <w:r>
        <w:rPr>
          <w:color w:val="auto"/>
          <w:sz w:val="24"/>
          <w:highlight w:val="none"/>
        </w:rPr>
        <w:t>十、其他资料</w:t>
      </w:r>
    </w:p>
    <w:p>
      <w:pPr>
        <w:rPr>
          <w:color w:val="auto"/>
          <w:highlight w:val="none"/>
        </w:rPr>
      </w:pPr>
    </w:p>
    <w:p>
      <w:pPr>
        <w:rPr>
          <w:color w:val="auto"/>
          <w:highlight w:val="none"/>
        </w:rPr>
      </w:pPr>
      <w:r>
        <w:rPr>
          <w:color w:val="auto"/>
          <w:highlight w:val="none"/>
        </w:rPr>
        <w:br w:type="page"/>
      </w:r>
    </w:p>
    <w:p>
      <w:pPr>
        <w:pStyle w:val="56"/>
        <w:spacing w:line="525" w:lineRule="exact"/>
        <w:ind w:left="0" w:right="297" w:firstLine="0"/>
        <w:jc w:val="center"/>
        <w:rPr>
          <w:rFonts w:ascii="宋体" w:hAnsi="宋体" w:eastAsia="宋体" w:cs="宋体"/>
          <w:color w:val="auto"/>
          <w:highlight w:val="none"/>
        </w:rPr>
      </w:pPr>
      <w:r>
        <w:rPr>
          <w:rFonts w:hint="eastAsia" w:ascii="宋体" w:hAnsi="宋体" w:eastAsia="宋体" w:cs="宋体"/>
          <w:color w:val="auto"/>
          <w:highlight w:val="none"/>
        </w:rPr>
        <w:t>一、投标函</w:t>
      </w:r>
    </w:p>
    <w:p>
      <w:pPr>
        <w:pStyle w:val="15"/>
        <w:tabs>
          <w:tab w:val="left" w:pos="2291"/>
        </w:tabs>
        <w:spacing w:line="360" w:lineRule="auto"/>
        <w:ind w:firstLine="480" w:firstLineChars="200"/>
        <w:rPr>
          <w:color w:val="auto"/>
          <w:sz w:val="24"/>
          <w:szCs w:val="24"/>
          <w:highlight w:val="none"/>
        </w:rPr>
      </w:pPr>
    </w:p>
    <w:p>
      <w:pPr>
        <w:pStyle w:val="15"/>
        <w:tabs>
          <w:tab w:val="left" w:pos="2291"/>
        </w:tabs>
        <w:spacing w:line="360" w:lineRule="auto"/>
        <w:ind w:firstLine="480" w:firstLineChars="200"/>
        <w:rPr>
          <w:color w:val="auto"/>
          <w:sz w:val="24"/>
          <w:szCs w:val="24"/>
          <w:highlight w:val="none"/>
        </w:rPr>
      </w:pPr>
      <w:r>
        <w:rPr>
          <w:rFonts w:hint="eastAsia"/>
          <w:color w:val="auto"/>
          <w:sz w:val="24"/>
          <w:szCs w:val="24"/>
          <w:highlight w:val="none"/>
        </w:rPr>
        <w:t>（招标人名称）：</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1．我方已仔细研究了</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u w:val="single"/>
        </w:rPr>
        <w:tab/>
      </w:r>
      <w:r>
        <w:rPr>
          <w:rFonts w:hint="eastAsia"/>
          <w:color w:val="auto"/>
          <w:sz w:val="24"/>
          <w:szCs w:val="24"/>
          <w:highlight w:val="none"/>
        </w:rPr>
        <w:t>（项目名称）</w:t>
      </w:r>
      <w:r>
        <w:rPr>
          <w:rFonts w:hint="eastAsia"/>
          <w:color w:val="auto"/>
          <w:sz w:val="24"/>
          <w:szCs w:val="24"/>
          <w:highlight w:val="none"/>
          <w:u w:val="single"/>
        </w:rPr>
        <w:tab/>
      </w:r>
      <w:r>
        <w:rPr>
          <w:rFonts w:hint="eastAsia"/>
          <w:color w:val="auto"/>
          <w:sz w:val="24"/>
          <w:szCs w:val="24"/>
          <w:highlight w:val="none"/>
        </w:rPr>
        <w:t>标段招标文件的全部内容，愿意以人民币（大写）</w:t>
      </w:r>
      <w:r>
        <w:rPr>
          <w:rFonts w:hint="eastAsia"/>
          <w:color w:val="auto"/>
          <w:sz w:val="24"/>
          <w:szCs w:val="24"/>
          <w:highlight w:val="none"/>
          <w:u w:val="single"/>
        </w:rPr>
        <w:tab/>
      </w:r>
      <w:r>
        <w:rPr>
          <w:rFonts w:hint="eastAsia"/>
          <w:color w:val="auto"/>
          <w:sz w:val="24"/>
          <w:szCs w:val="24"/>
          <w:highlight w:val="none"/>
        </w:rPr>
        <w:t>（¥</w:t>
      </w:r>
      <w:r>
        <w:rPr>
          <w:rFonts w:hint="eastAsia"/>
          <w:color w:val="auto"/>
          <w:sz w:val="24"/>
          <w:szCs w:val="24"/>
          <w:highlight w:val="none"/>
          <w:u w:val="single"/>
        </w:rPr>
        <w:tab/>
      </w:r>
      <w:r>
        <w:rPr>
          <w:rFonts w:hint="eastAsia"/>
          <w:color w:val="auto"/>
          <w:sz w:val="24"/>
          <w:szCs w:val="24"/>
          <w:highlight w:val="none"/>
          <w:u w:val="single"/>
        </w:rPr>
        <w:tab/>
      </w:r>
      <w:r>
        <w:rPr>
          <w:rFonts w:hint="eastAsia"/>
          <w:color w:val="auto"/>
          <w:sz w:val="24"/>
          <w:szCs w:val="24"/>
          <w:highlight w:val="none"/>
        </w:rPr>
        <w:t>）的投标总报价（其中，增值税税率为</w:t>
      </w:r>
      <w:r>
        <w:rPr>
          <w:rFonts w:hint="eastAsia"/>
          <w:color w:val="auto"/>
          <w:sz w:val="24"/>
          <w:szCs w:val="24"/>
          <w:highlight w:val="none"/>
          <w:u w:val="single"/>
        </w:rPr>
        <w:tab/>
      </w:r>
      <w:r>
        <w:rPr>
          <w:rFonts w:hint="eastAsia"/>
          <w:color w:val="auto"/>
          <w:sz w:val="24"/>
          <w:szCs w:val="24"/>
          <w:highlight w:val="none"/>
        </w:rPr>
        <w:t>）参与本项目投标，质量要求：</w:t>
      </w:r>
      <w:r>
        <w:rPr>
          <w:rFonts w:hint="eastAsia"/>
          <w:color w:val="auto"/>
          <w:sz w:val="24"/>
          <w:szCs w:val="24"/>
          <w:highlight w:val="none"/>
          <w:u w:val="single"/>
        </w:rPr>
        <w:tab/>
      </w:r>
      <w:r>
        <w:rPr>
          <w:rFonts w:hint="eastAsia"/>
          <w:color w:val="auto"/>
          <w:sz w:val="24"/>
          <w:szCs w:val="24"/>
          <w:highlight w:val="none"/>
          <w:u w:val="single"/>
        </w:rPr>
        <w:tab/>
      </w:r>
      <w:r>
        <w:rPr>
          <w:rFonts w:hint="eastAsia"/>
          <w:color w:val="auto"/>
          <w:sz w:val="24"/>
          <w:szCs w:val="24"/>
          <w:highlight w:val="none"/>
        </w:rPr>
        <w:t>，</w:t>
      </w:r>
      <w:r>
        <w:rPr>
          <w:rFonts w:hint="eastAsia"/>
          <w:color w:val="auto"/>
          <w:sz w:val="24"/>
          <w:szCs w:val="24"/>
          <w:highlight w:val="none"/>
          <w:lang w:val="en-US"/>
        </w:rPr>
        <w:t>工期（供货期）：</w:t>
      </w:r>
      <w:r>
        <w:rPr>
          <w:rFonts w:hint="eastAsia"/>
          <w:color w:val="auto"/>
          <w:sz w:val="24"/>
          <w:szCs w:val="24"/>
          <w:highlight w:val="none"/>
          <w:u w:val="single"/>
        </w:rPr>
        <w:tab/>
      </w:r>
      <w:r>
        <w:rPr>
          <w:rFonts w:hint="eastAsia"/>
          <w:color w:val="auto"/>
          <w:sz w:val="24"/>
          <w:szCs w:val="24"/>
          <w:highlight w:val="none"/>
        </w:rPr>
        <w:t>。并按合同约定履行义务。</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2. 我方的投标文件包括下列内容：</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（1）投标函；</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（2）法定代表人（单位负责人）身份证明或授权委托书；</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（3）联合体协议书（如有）；</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（4）投标保证金（如有）；</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（5）商务和技术偏差表；</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（6）分项报价表；</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（7）资格审查资料；</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（8）技术方案；</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（9）其他资料；</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投标文件的上述组成部分如存在内容不一致的，以投标函为准。</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3．我方承诺除商务和技术偏差表列出的偏差外，我方响应招标文件的全部要求。</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4．我方承诺在招标文件规定的投标有效期内不撤销投标文件。</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5．如我方中标，我方承诺：</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（1）在收到中标通知书后，在中标通知书规定的期限内与你方签订合同；</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（2）在签订合同时不向你方提出附加条件；</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（3）按照招标文件要求提交履约保证金；</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（4）在合同约定的期限内完成合同规定的全部义务。</w:t>
      </w:r>
    </w:p>
    <w:p>
      <w:pPr>
        <w:pStyle w:val="15"/>
        <w:tabs>
          <w:tab w:val="left" w:pos="2712"/>
          <w:tab w:val="left" w:pos="4658"/>
          <w:tab w:val="left" w:pos="5157"/>
          <w:tab w:val="left" w:pos="6554"/>
        </w:tabs>
        <w:spacing w:line="360" w:lineRule="auto"/>
        <w:ind w:firstLine="480" w:firstLineChars="200"/>
        <w:jc w:val="both"/>
        <w:rPr>
          <w:color w:val="auto"/>
          <w:sz w:val="24"/>
          <w:szCs w:val="24"/>
          <w:highlight w:val="none"/>
        </w:rPr>
      </w:pPr>
      <w:r>
        <w:rPr>
          <w:rFonts w:hint="eastAsia"/>
          <w:color w:val="auto"/>
          <w:sz w:val="24"/>
          <w:szCs w:val="24"/>
          <w:highlight w:val="none"/>
        </w:rPr>
        <w:t>6．我方在此声明，所递交的投标文件及有关资料内容完整、真实和准确，且不存在第二章“投标人须知”第 1.4.3 项规定的任何一种情形。</w:t>
      </w:r>
    </w:p>
    <w:p>
      <w:pPr>
        <w:pStyle w:val="15"/>
        <w:tabs>
          <w:tab w:val="left" w:pos="4180"/>
        </w:tabs>
        <w:spacing w:line="360" w:lineRule="auto"/>
        <w:ind w:firstLine="480" w:firstLineChars="200"/>
        <w:rPr>
          <w:color w:val="auto"/>
          <w:sz w:val="24"/>
          <w:szCs w:val="24"/>
          <w:highlight w:val="none"/>
        </w:rPr>
      </w:pPr>
      <w:r>
        <w:rPr>
          <w:rFonts w:hint="eastAsia"/>
          <w:color w:val="auto"/>
          <w:sz w:val="24"/>
          <w:szCs w:val="24"/>
          <w:highlight w:val="none"/>
        </w:rPr>
        <w:t>7．</w:t>
      </w:r>
      <w:r>
        <w:rPr>
          <w:rFonts w:hint="eastAsia"/>
          <w:color w:val="auto"/>
          <w:sz w:val="24"/>
          <w:szCs w:val="24"/>
          <w:highlight w:val="none"/>
          <w:u w:val="single"/>
        </w:rPr>
        <w:tab/>
      </w:r>
      <w:r>
        <w:rPr>
          <w:rFonts w:hint="eastAsia"/>
          <w:color w:val="auto"/>
          <w:sz w:val="24"/>
          <w:szCs w:val="24"/>
          <w:highlight w:val="none"/>
        </w:rPr>
        <w:t>（其他补充说明）。</w:t>
      </w:r>
    </w:p>
    <w:p>
      <w:pPr>
        <w:pStyle w:val="15"/>
        <w:spacing w:line="360" w:lineRule="auto"/>
        <w:ind w:firstLine="480" w:firstLineChars="200"/>
        <w:rPr>
          <w:color w:val="auto"/>
          <w:sz w:val="24"/>
          <w:szCs w:val="24"/>
          <w:highlight w:val="none"/>
        </w:rPr>
      </w:pPr>
    </w:p>
    <w:p>
      <w:pPr>
        <w:pStyle w:val="15"/>
        <w:tabs>
          <w:tab w:val="left" w:pos="7541"/>
        </w:tabs>
        <w:spacing w:line="360" w:lineRule="auto"/>
        <w:ind w:firstLine="480" w:firstLineChars="200"/>
        <w:rPr>
          <w:color w:val="auto"/>
          <w:sz w:val="24"/>
          <w:szCs w:val="24"/>
          <w:highlight w:val="none"/>
        </w:rPr>
      </w:pPr>
      <w:r>
        <w:rPr>
          <w:rFonts w:hint="eastAsia"/>
          <w:color w:val="auto"/>
          <w:sz w:val="24"/>
          <w:szCs w:val="24"/>
          <w:highlight w:val="none"/>
        </w:rPr>
        <w:t>投 标 人：</w:t>
      </w:r>
      <w:r>
        <w:rPr>
          <w:rFonts w:hint="eastAsia"/>
          <w:color w:val="auto"/>
          <w:sz w:val="24"/>
          <w:szCs w:val="24"/>
          <w:highlight w:val="none"/>
          <w:u w:val="single"/>
        </w:rPr>
        <w:tab/>
      </w:r>
      <w:r>
        <w:rPr>
          <w:rFonts w:hint="eastAsia"/>
          <w:color w:val="auto"/>
          <w:sz w:val="24"/>
          <w:szCs w:val="24"/>
          <w:highlight w:val="none"/>
        </w:rPr>
        <w:t>（盖单位章）</w:t>
      </w:r>
    </w:p>
    <w:p>
      <w:pPr>
        <w:pStyle w:val="15"/>
        <w:tabs>
          <w:tab w:val="left" w:pos="7961"/>
        </w:tabs>
        <w:spacing w:line="360" w:lineRule="auto"/>
        <w:ind w:firstLine="480" w:firstLineChars="200"/>
        <w:rPr>
          <w:color w:val="auto"/>
          <w:sz w:val="24"/>
          <w:szCs w:val="24"/>
          <w:highlight w:val="none"/>
        </w:rPr>
      </w:pPr>
      <w:r>
        <w:rPr>
          <w:rFonts w:hint="eastAsia"/>
          <w:color w:val="auto"/>
          <w:sz w:val="24"/>
          <w:szCs w:val="24"/>
          <w:highlight w:val="none"/>
        </w:rPr>
        <w:t>法定代表人（单位负责人）或其委托代理人：</w:t>
      </w:r>
      <w:r>
        <w:rPr>
          <w:rFonts w:hint="eastAsia"/>
          <w:color w:val="auto"/>
          <w:sz w:val="24"/>
          <w:szCs w:val="24"/>
          <w:highlight w:val="none"/>
          <w:u w:val="single"/>
        </w:rPr>
        <w:tab/>
      </w:r>
      <w:r>
        <w:rPr>
          <w:rFonts w:hint="eastAsia"/>
          <w:color w:val="auto"/>
          <w:sz w:val="24"/>
          <w:szCs w:val="24"/>
          <w:highlight w:val="none"/>
        </w:rPr>
        <w:t>（签字）</w:t>
      </w:r>
    </w:p>
    <w:p>
      <w:pPr>
        <w:pStyle w:val="15"/>
        <w:tabs>
          <w:tab w:val="left" w:pos="3552"/>
          <w:tab w:val="left" w:pos="8849"/>
        </w:tabs>
        <w:spacing w:line="360" w:lineRule="auto"/>
        <w:ind w:firstLine="4838" w:firstLineChars="2016"/>
        <w:rPr>
          <w:color w:val="auto"/>
          <w:sz w:val="24"/>
          <w:szCs w:val="24"/>
          <w:highlight w:val="none"/>
        </w:rPr>
      </w:pPr>
      <w:r>
        <w:rPr>
          <w:rFonts w:hint="eastAsia"/>
          <w:color w:val="auto"/>
          <w:sz w:val="24"/>
          <w:szCs w:val="24"/>
          <w:highlight w:val="none"/>
        </w:rPr>
        <w:t>地址：</w:t>
      </w:r>
      <w:r>
        <w:rPr>
          <w:rFonts w:hint="eastAsia"/>
          <w:color w:val="auto"/>
          <w:sz w:val="24"/>
          <w:szCs w:val="24"/>
          <w:highlight w:val="none"/>
          <w:u w:val="single"/>
        </w:rPr>
        <w:tab/>
      </w:r>
    </w:p>
    <w:p>
      <w:pPr>
        <w:pStyle w:val="15"/>
        <w:tabs>
          <w:tab w:val="left" w:pos="3552"/>
          <w:tab w:val="left" w:pos="8849"/>
        </w:tabs>
        <w:spacing w:line="360" w:lineRule="auto"/>
        <w:ind w:firstLine="4838" w:firstLineChars="2016"/>
        <w:rPr>
          <w:color w:val="auto"/>
          <w:sz w:val="24"/>
          <w:szCs w:val="24"/>
          <w:highlight w:val="none"/>
        </w:rPr>
      </w:pPr>
      <w:r>
        <w:rPr>
          <w:rFonts w:hint="eastAsia"/>
          <w:color w:val="auto"/>
          <w:sz w:val="24"/>
          <w:szCs w:val="24"/>
          <w:highlight w:val="none"/>
        </w:rPr>
        <w:t>网址：</w:t>
      </w:r>
      <w:r>
        <w:rPr>
          <w:rFonts w:hint="eastAsia"/>
          <w:color w:val="auto"/>
          <w:sz w:val="24"/>
          <w:szCs w:val="24"/>
          <w:highlight w:val="none"/>
          <w:u w:val="single"/>
        </w:rPr>
        <w:tab/>
      </w:r>
    </w:p>
    <w:p>
      <w:pPr>
        <w:pStyle w:val="15"/>
        <w:tabs>
          <w:tab w:val="left" w:pos="3552"/>
          <w:tab w:val="left" w:pos="8849"/>
        </w:tabs>
        <w:spacing w:line="360" w:lineRule="auto"/>
        <w:ind w:firstLine="4838" w:firstLineChars="2016"/>
        <w:rPr>
          <w:color w:val="auto"/>
          <w:sz w:val="24"/>
          <w:szCs w:val="24"/>
          <w:highlight w:val="none"/>
        </w:rPr>
      </w:pPr>
      <w:r>
        <w:rPr>
          <w:rFonts w:hint="eastAsia"/>
          <w:color w:val="auto"/>
          <w:sz w:val="24"/>
          <w:szCs w:val="24"/>
          <w:highlight w:val="none"/>
        </w:rPr>
        <w:t>电话：</w:t>
      </w:r>
      <w:r>
        <w:rPr>
          <w:rFonts w:hint="eastAsia"/>
          <w:color w:val="auto"/>
          <w:sz w:val="24"/>
          <w:szCs w:val="24"/>
          <w:highlight w:val="none"/>
          <w:u w:val="single"/>
        </w:rPr>
        <w:tab/>
      </w:r>
    </w:p>
    <w:p>
      <w:pPr>
        <w:pStyle w:val="15"/>
        <w:tabs>
          <w:tab w:val="left" w:pos="3552"/>
          <w:tab w:val="left" w:pos="8849"/>
        </w:tabs>
        <w:spacing w:line="360" w:lineRule="auto"/>
        <w:ind w:firstLine="4838" w:firstLineChars="2016"/>
        <w:rPr>
          <w:color w:val="auto"/>
          <w:sz w:val="24"/>
          <w:szCs w:val="24"/>
          <w:highlight w:val="none"/>
        </w:rPr>
      </w:pPr>
      <w:r>
        <w:rPr>
          <w:rFonts w:hint="eastAsia"/>
          <w:color w:val="auto"/>
          <w:sz w:val="24"/>
          <w:szCs w:val="24"/>
          <w:highlight w:val="none"/>
        </w:rPr>
        <w:t>传真：</w:t>
      </w:r>
      <w:r>
        <w:rPr>
          <w:rFonts w:hint="eastAsia"/>
          <w:color w:val="auto"/>
          <w:sz w:val="24"/>
          <w:szCs w:val="24"/>
          <w:highlight w:val="none"/>
          <w:u w:val="single"/>
        </w:rPr>
        <w:tab/>
      </w:r>
    </w:p>
    <w:p>
      <w:pPr>
        <w:pStyle w:val="15"/>
        <w:tabs>
          <w:tab w:val="left" w:pos="8849"/>
        </w:tabs>
        <w:spacing w:line="360" w:lineRule="auto"/>
        <w:ind w:firstLine="4838" w:firstLineChars="2016"/>
        <w:rPr>
          <w:color w:val="auto"/>
          <w:sz w:val="24"/>
          <w:szCs w:val="24"/>
          <w:highlight w:val="none"/>
          <w:u w:val="single"/>
          <w:lang w:val="en-US"/>
        </w:rPr>
      </w:pPr>
      <w:r>
        <w:rPr>
          <w:rFonts w:hint="eastAsia"/>
          <w:color w:val="auto"/>
          <w:sz w:val="24"/>
          <w:szCs w:val="24"/>
          <w:highlight w:val="none"/>
        </w:rPr>
        <w:t>邮政编码：</w:t>
      </w:r>
      <w:r>
        <w:rPr>
          <w:rFonts w:hint="eastAsia"/>
          <w:color w:val="auto"/>
          <w:sz w:val="24"/>
          <w:szCs w:val="24"/>
          <w:highlight w:val="none"/>
          <w:u w:val="single"/>
        </w:rPr>
        <w:tab/>
      </w:r>
    </w:p>
    <w:p>
      <w:pPr>
        <w:pStyle w:val="15"/>
        <w:spacing w:line="360" w:lineRule="auto"/>
        <w:ind w:firstLine="480" w:firstLineChars="200"/>
        <w:rPr>
          <w:color w:val="auto"/>
          <w:sz w:val="24"/>
          <w:szCs w:val="24"/>
          <w:highlight w:val="none"/>
        </w:rPr>
      </w:pPr>
    </w:p>
    <w:p>
      <w:pPr>
        <w:pStyle w:val="15"/>
        <w:tabs>
          <w:tab w:val="left" w:pos="631"/>
          <w:tab w:val="left" w:pos="1471"/>
          <w:tab w:val="left" w:pos="2311"/>
        </w:tabs>
        <w:spacing w:line="360" w:lineRule="auto"/>
        <w:ind w:firstLine="480" w:firstLineChars="200"/>
        <w:jc w:val="right"/>
        <w:rPr>
          <w:color w:val="auto"/>
          <w:sz w:val="24"/>
          <w:szCs w:val="24"/>
          <w:highlight w:val="none"/>
        </w:rPr>
      </w:pPr>
      <w:r>
        <w:rPr>
          <w:rFonts w:hint="eastAsia"/>
          <w:color w:val="auto"/>
          <w:sz w:val="24"/>
          <w:szCs w:val="24"/>
          <w:highlight w:val="none"/>
          <w:u w:val="single"/>
        </w:rPr>
        <w:tab/>
      </w:r>
      <w:r>
        <w:rPr>
          <w:rFonts w:hint="eastAsia"/>
          <w:color w:val="auto"/>
          <w:sz w:val="24"/>
          <w:szCs w:val="24"/>
          <w:highlight w:val="none"/>
        </w:rPr>
        <w:t>年</w:t>
      </w:r>
      <w:r>
        <w:rPr>
          <w:rFonts w:hint="eastAsia"/>
          <w:color w:val="auto"/>
          <w:sz w:val="24"/>
          <w:szCs w:val="24"/>
          <w:highlight w:val="none"/>
          <w:u w:val="single"/>
        </w:rPr>
        <w:tab/>
      </w:r>
      <w:r>
        <w:rPr>
          <w:rFonts w:hint="eastAsia"/>
          <w:color w:val="auto"/>
          <w:sz w:val="24"/>
          <w:szCs w:val="24"/>
          <w:highlight w:val="none"/>
        </w:rPr>
        <w:t>月</w:t>
      </w:r>
      <w:r>
        <w:rPr>
          <w:rFonts w:hint="eastAsia"/>
          <w:color w:val="auto"/>
          <w:sz w:val="24"/>
          <w:szCs w:val="24"/>
          <w:highlight w:val="none"/>
          <w:u w:val="single"/>
        </w:rPr>
        <w:tab/>
      </w:r>
      <w:r>
        <w:rPr>
          <w:rFonts w:hint="eastAsia"/>
          <w:color w:val="auto"/>
          <w:sz w:val="24"/>
          <w:szCs w:val="24"/>
          <w:highlight w:val="none"/>
        </w:rPr>
        <w:t>日</w:t>
      </w:r>
    </w:p>
    <w:p>
      <w:pPr>
        <w:spacing w:line="360" w:lineRule="auto"/>
        <w:ind w:firstLine="480" w:firstLineChars="200"/>
        <w:jc w:val="right"/>
        <w:rPr>
          <w:color w:val="auto"/>
          <w:sz w:val="24"/>
          <w:szCs w:val="24"/>
          <w:highlight w:val="none"/>
        </w:rPr>
        <w:sectPr>
          <w:type w:val="continuous"/>
          <w:pgSz w:w="11907" w:h="16839"/>
          <w:pgMar w:top="1417" w:right="1701" w:bottom="1417" w:left="1701" w:header="0" w:footer="841" w:gutter="0"/>
          <w:pgNumType w:fmt="decimal"/>
          <w:cols w:space="720" w:num="1"/>
        </w:sectPr>
      </w:pPr>
    </w:p>
    <w:p>
      <w:pPr>
        <w:widowControl/>
        <w:autoSpaceDE/>
        <w:autoSpaceDN/>
        <w:rPr>
          <w:rFonts w:ascii="Microsoft JhengHei" w:hAnsi="Microsoft JhengHei" w:eastAsia="Microsoft JhengHei" w:cs="Microsoft JhengHei"/>
          <w:b/>
          <w:bCs/>
          <w:color w:val="auto"/>
          <w:sz w:val="32"/>
          <w:szCs w:val="32"/>
          <w:highlight w:val="none"/>
        </w:rPr>
      </w:pPr>
      <w:r>
        <w:rPr>
          <w:color w:val="auto"/>
          <w:highlight w:val="none"/>
        </w:rPr>
        <w:br w:type="page"/>
      </w:r>
    </w:p>
    <w:p>
      <w:pPr>
        <w:pStyle w:val="56"/>
        <w:spacing w:line="525" w:lineRule="exact"/>
        <w:ind w:left="1828" w:firstLine="0"/>
        <w:rPr>
          <w:rFonts w:ascii="宋体" w:hAnsi="宋体" w:eastAsia="宋体" w:cs="宋体"/>
          <w:color w:val="auto"/>
          <w:highlight w:val="none"/>
        </w:rPr>
      </w:pPr>
      <w:r>
        <w:rPr>
          <w:rFonts w:hint="eastAsia" w:ascii="宋体" w:hAnsi="宋体" w:eastAsia="宋体" w:cs="宋体"/>
          <w:color w:val="auto"/>
          <w:highlight w:val="none"/>
        </w:rPr>
        <w:t>二、法定代表人（单位负责人）身份证明</w:t>
      </w:r>
    </w:p>
    <w:p>
      <w:pPr>
        <w:pStyle w:val="15"/>
        <w:rPr>
          <w:rFonts w:ascii="Microsoft JhengHei"/>
          <w:b/>
          <w:color w:val="auto"/>
          <w:sz w:val="32"/>
          <w:highlight w:val="none"/>
        </w:rPr>
      </w:pPr>
    </w:p>
    <w:p>
      <w:pPr>
        <w:pStyle w:val="15"/>
        <w:rPr>
          <w:rFonts w:ascii="Microsoft JhengHei"/>
          <w:b/>
          <w:color w:val="auto"/>
          <w:sz w:val="32"/>
          <w:highlight w:val="none"/>
        </w:rPr>
      </w:pPr>
    </w:p>
    <w:p>
      <w:pPr>
        <w:pStyle w:val="15"/>
        <w:spacing w:before="3"/>
        <w:rPr>
          <w:rFonts w:ascii="Microsoft JhengHei"/>
          <w:b/>
          <w:color w:val="auto"/>
          <w:sz w:val="18"/>
          <w:highlight w:val="none"/>
        </w:rPr>
      </w:pPr>
    </w:p>
    <w:p>
      <w:pPr>
        <w:pStyle w:val="15"/>
        <w:tabs>
          <w:tab w:val="left" w:pos="4228"/>
        </w:tabs>
        <w:ind w:left="400"/>
        <w:rPr>
          <w:rFonts w:ascii="Times New Roman" w:eastAsia="Times New Roman"/>
          <w:color w:val="auto"/>
          <w:sz w:val="24"/>
          <w:szCs w:val="24"/>
          <w:highlight w:val="none"/>
        </w:rPr>
      </w:pPr>
      <w:r>
        <w:rPr>
          <w:color w:val="auto"/>
          <w:sz w:val="24"/>
          <w:szCs w:val="24"/>
          <w:highlight w:val="none"/>
        </w:rPr>
        <w:t>投标人名称：</w:t>
      </w:r>
      <w:r>
        <w:rPr>
          <w:rFonts w:ascii="Times New Roman" w:eastAsia="Times New Roman"/>
          <w:color w:val="auto"/>
          <w:sz w:val="24"/>
          <w:szCs w:val="24"/>
          <w:highlight w:val="none"/>
          <w:u w:val="single"/>
        </w:rPr>
        <w:tab/>
      </w:r>
    </w:p>
    <w:p>
      <w:pPr>
        <w:pStyle w:val="15"/>
        <w:tabs>
          <w:tab w:val="left" w:pos="2712"/>
          <w:tab w:val="left" w:pos="4183"/>
          <w:tab w:val="left" w:pos="5652"/>
          <w:tab w:val="left" w:pos="7169"/>
        </w:tabs>
        <w:spacing w:before="170"/>
        <w:ind w:left="400"/>
        <w:rPr>
          <w:color w:val="auto"/>
          <w:sz w:val="24"/>
          <w:szCs w:val="24"/>
          <w:highlight w:val="none"/>
          <w:u w:val="single"/>
        </w:rPr>
      </w:pPr>
      <w:r>
        <w:rPr>
          <w:color w:val="auto"/>
          <w:sz w:val="24"/>
          <w:szCs w:val="24"/>
          <w:highlight w:val="none"/>
        </w:rPr>
        <w:t>姓名：</w:t>
      </w:r>
      <w:r>
        <w:rPr>
          <w:color w:val="auto"/>
          <w:sz w:val="24"/>
          <w:szCs w:val="24"/>
          <w:highlight w:val="none"/>
          <w:u w:val="single"/>
        </w:rPr>
        <w:tab/>
      </w:r>
    </w:p>
    <w:p>
      <w:pPr>
        <w:pStyle w:val="15"/>
        <w:tabs>
          <w:tab w:val="left" w:pos="2712"/>
          <w:tab w:val="left" w:pos="4183"/>
          <w:tab w:val="left" w:pos="5652"/>
          <w:tab w:val="left" w:pos="7169"/>
        </w:tabs>
        <w:spacing w:before="170"/>
        <w:ind w:left="400"/>
        <w:rPr>
          <w:color w:val="auto"/>
          <w:sz w:val="24"/>
          <w:szCs w:val="24"/>
          <w:highlight w:val="none"/>
          <w:u w:val="single"/>
        </w:rPr>
      </w:pPr>
      <w:r>
        <w:rPr>
          <w:color w:val="auto"/>
          <w:sz w:val="24"/>
          <w:szCs w:val="24"/>
          <w:highlight w:val="none"/>
        </w:rPr>
        <w:t>性别：</w:t>
      </w:r>
      <w:r>
        <w:rPr>
          <w:color w:val="auto"/>
          <w:sz w:val="24"/>
          <w:szCs w:val="24"/>
          <w:highlight w:val="none"/>
          <w:u w:val="single"/>
        </w:rPr>
        <w:tab/>
      </w:r>
    </w:p>
    <w:p>
      <w:pPr>
        <w:pStyle w:val="15"/>
        <w:tabs>
          <w:tab w:val="left" w:pos="2712"/>
          <w:tab w:val="left" w:pos="4183"/>
          <w:tab w:val="left" w:pos="5652"/>
          <w:tab w:val="left" w:pos="7169"/>
        </w:tabs>
        <w:spacing w:before="170"/>
        <w:ind w:left="400"/>
        <w:rPr>
          <w:color w:val="auto"/>
          <w:sz w:val="24"/>
          <w:szCs w:val="24"/>
          <w:highlight w:val="none"/>
          <w:u w:val="single"/>
        </w:rPr>
      </w:pPr>
      <w:r>
        <w:rPr>
          <w:color w:val="auto"/>
          <w:sz w:val="24"/>
          <w:szCs w:val="24"/>
          <w:highlight w:val="none"/>
        </w:rPr>
        <w:t>年龄：</w:t>
      </w:r>
      <w:r>
        <w:rPr>
          <w:color w:val="auto"/>
          <w:sz w:val="24"/>
          <w:szCs w:val="24"/>
          <w:highlight w:val="none"/>
          <w:u w:val="single"/>
        </w:rPr>
        <w:tab/>
      </w:r>
    </w:p>
    <w:p>
      <w:pPr>
        <w:pStyle w:val="15"/>
        <w:tabs>
          <w:tab w:val="left" w:pos="2712"/>
          <w:tab w:val="left" w:pos="4183"/>
          <w:tab w:val="left" w:pos="5652"/>
          <w:tab w:val="left" w:pos="7169"/>
        </w:tabs>
        <w:spacing w:before="170"/>
        <w:ind w:left="400"/>
        <w:rPr>
          <w:rFonts w:ascii="Times New Roman" w:eastAsia="Times New Roman"/>
          <w:color w:val="auto"/>
          <w:sz w:val="24"/>
          <w:szCs w:val="24"/>
          <w:highlight w:val="none"/>
        </w:rPr>
      </w:pPr>
      <w:r>
        <w:rPr>
          <w:color w:val="auto"/>
          <w:sz w:val="24"/>
          <w:szCs w:val="24"/>
          <w:highlight w:val="none"/>
        </w:rPr>
        <w:t>职务：</w:t>
      </w:r>
      <w:r>
        <w:rPr>
          <w:rFonts w:ascii="Times New Roman" w:eastAsia="Times New Roman"/>
          <w:color w:val="auto"/>
          <w:sz w:val="24"/>
          <w:szCs w:val="24"/>
          <w:highlight w:val="none"/>
          <w:u w:val="single"/>
        </w:rPr>
        <w:tab/>
      </w:r>
    </w:p>
    <w:p>
      <w:pPr>
        <w:pStyle w:val="15"/>
        <w:tabs>
          <w:tab w:val="left" w:pos="3132"/>
        </w:tabs>
        <w:spacing w:before="173"/>
        <w:ind w:left="400"/>
        <w:rPr>
          <w:color w:val="auto"/>
          <w:sz w:val="24"/>
          <w:szCs w:val="24"/>
          <w:highlight w:val="none"/>
        </w:rPr>
      </w:pPr>
      <w:r>
        <w:rPr>
          <w:color w:val="auto"/>
          <w:sz w:val="24"/>
          <w:szCs w:val="24"/>
          <w:highlight w:val="none"/>
        </w:rPr>
        <w:t>系</w:t>
      </w:r>
      <w:r>
        <w:rPr>
          <w:color w:val="auto"/>
          <w:sz w:val="24"/>
          <w:szCs w:val="24"/>
          <w:highlight w:val="none"/>
          <w:u w:val="single"/>
        </w:rPr>
        <w:tab/>
      </w:r>
      <w:r>
        <w:rPr>
          <w:color w:val="auto"/>
          <w:sz w:val="24"/>
          <w:szCs w:val="24"/>
          <w:highlight w:val="none"/>
        </w:rPr>
        <w:t>（投标人名称）的法定代表人（单位负责人）。</w:t>
      </w:r>
    </w:p>
    <w:p>
      <w:pPr>
        <w:pStyle w:val="15"/>
        <w:spacing w:before="170"/>
        <w:ind w:left="820"/>
        <w:rPr>
          <w:color w:val="auto"/>
          <w:sz w:val="24"/>
          <w:szCs w:val="24"/>
          <w:highlight w:val="none"/>
        </w:rPr>
      </w:pPr>
      <w:r>
        <w:rPr>
          <w:color w:val="auto"/>
          <w:sz w:val="24"/>
          <w:szCs w:val="24"/>
          <w:highlight w:val="none"/>
        </w:rPr>
        <w:t>特此证明。</w:t>
      </w:r>
    </w:p>
    <w:p>
      <w:pPr>
        <w:pStyle w:val="15"/>
        <w:rPr>
          <w:color w:val="auto"/>
          <w:sz w:val="24"/>
          <w:szCs w:val="24"/>
          <w:highlight w:val="none"/>
        </w:rPr>
      </w:pPr>
    </w:p>
    <w:p>
      <w:pPr>
        <w:pStyle w:val="15"/>
        <w:spacing w:before="10"/>
        <w:rPr>
          <w:color w:val="auto"/>
          <w:sz w:val="24"/>
          <w:szCs w:val="24"/>
          <w:highlight w:val="none"/>
        </w:rPr>
      </w:pPr>
    </w:p>
    <w:p>
      <w:pPr>
        <w:pStyle w:val="15"/>
        <w:ind w:left="400"/>
        <w:rPr>
          <w:color w:val="auto"/>
          <w:sz w:val="24"/>
          <w:szCs w:val="24"/>
          <w:highlight w:val="none"/>
        </w:rPr>
      </w:pPr>
      <w:r>
        <w:rPr>
          <w:color w:val="auto"/>
          <w:sz w:val="24"/>
          <w:szCs w:val="24"/>
          <w:highlight w:val="none"/>
        </w:rPr>
        <w:t>附：法定代表人（单位负责人）身份证复印件。</w:t>
      </w:r>
    </w:p>
    <w:p>
      <w:pPr>
        <w:pStyle w:val="15"/>
        <w:rPr>
          <w:color w:val="auto"/>
          <w:sz w:val="24"/>
          <w:szCs w:val="24"/>
          <w:highlight w:val="none"/>
        </w:rPr>
      </w:pPr>
    </w:p>
    <w:p>
      <w:pPr>
        <w:pStyle w:val="15"/>
        <w:spacing w:before="7"/>
        <w:rPr>
          <w:color w:val="auto"/>
          <w:sz w:val="24"/>
          <w:szCs w:val="24"/>
          <w:highlight w:val="none"/>
        </w:rPr>
      </w:pPr>
    </w:p>
    <w:p>
      <w:pPr>
        <w:pStyle w:val="15"/>
        <w:ind w:left="400"/>
        <w:rPr>
          <w:color w:val="auto"/>
          <w:sz w:val="24"/>
          <w:szCs w:val="24"/>
          <w:highlight w:val="none"/>
        </w:rPr>
      </w:pPr>
      <w:r>
        <w:rPr>
          <w:color w:val="auto"/>
          <w:sz w:val="24"/>
          <w:szCs w:val="24"/>
          <w:highlight w:val="none"/>
        </w:rPr>
        <w:t>注：本身份证明需由投标人加盖单位公章。</w:t>
      </w:r>
    </w:p>
    <w:p>
      <w:pPr>
        <w:pStyle w:val="15"/>
        <w:rPr>
          <w:color w:val="auto"/>
          <w:sz w:val="24"/>
          <w:szCs w:val="24"/>
          <w:highlight w:val="none"/>
        </w:rPr>
      </w:pPr>
    </w:p>
    <w:p>
      <w:pPr>
        <w:pStyle w:val="15"/>
        <w:rPr>
          <w:color w:val="auto"/>
          <w:sz w:val="24"/>
          <w:szCs w:val="24"/>
          <w:highlight w:val="none"/>
        </w:rPr>
      </w:pPr>
    </w:p>
    <w:p>
      <w:pPr>
        <w:pStyle w:val="15"/>
        <w:rPr>
          <w:color w:val="auto"/>
          <w:sz w:val="24"/>
          <w:szCs w:val="24"/>
          <w:highlight w:val="none"/>
        </w:rPr>
      </w:pPr>
    </w:p>
    <w:p>
      <w:pPr>
        <w:pStyle w:val="15"/>
        <w:spacing w:before="1"/>
        <w:rPr>
          <w:color w:val="auto"/>
          <w:sz w:val="24"/>
          <w:szCs w:val="24"/>
          <w:highlight w:val="none"/>
        </w:rPr>
      </w:pPr>
    </w:p>
    <w:p>
      <w:pPr>
        <w:pStyle w:val="15"/>
        <w:tabs>
          <w:tab w:val="left" w:pos="6821"/>
        </w:tabs>
        <w:ind w:left="4512"/>
        <w:rPr>
          <w:color w:val="auto"/>
          <w:sz w:val="24"/>
          <w:szCs w:val="24"/>
          <w:highlight w:val="none"/>
        </w:rPr>
      </w:pPr>
      <w:r>
        <w:rPr>
          <w:color w:val="auto"/>
          <w:sz w:val="24"/>
          <w:szCs w:val="24"/>
          <w:highlight w:val="none"/>
        </w:rPr>
        <w:t>投标人：</w:t>
      </w:r>
      <w:r>
        <w:rPr>
          <w:color w:val="auto"/>
          <w:sz w:val="24"/>
          <w:szCs w:val="24"/>
          <w:highlight w:val="none"/>
          <w:u w:val="single"/>
        </w:rPr>
        <w:tab/>
      </w:r>
      <w:r>
        <w:rPr>
          <w:color w:val="auto"/>
          <w:sz w:val="24"/>
          <w:szCs w:val="24"/>
          <w:highlight w:val="none"/>
        </w:rPr>
        <w:t>（单位公章）</w:t>
      </w:r>
    </w:p>
    <w:p>
      <w:pPr>
        <w:pStyle w:val="15"/>
        <w:rPr>
          <w:color w:val="auto"/>
          <w:sz w:val="24"/>
          <w:szCs w:val="24"/>
          <w:highlight w:val="none"/>
        </w:rPr>
      </w:pPr>
    </w:p>
    <w:p>
      <w:pPr>
        <w:pStyle w:val="15"/>
        <w:spacing w:before="2"/>
        <w:rPr>
          <w:color w:val="auto"/>
          <w:sz w:val="24"/>
          <w:szCs w:val="24"/>
          <w:highlight w:val="none"/>
        </w:rPr>
      </w:pPr>
    </w:p>
    <w:p>
      <w:pPr>
        <w:pStyle w:val="15"/>
        <w:tabs>
          <w:tab w:val="left" w:pos="5652"/>
          <w:tab w:val="left" w:pos="6492"/>
          <w:tab w:val="left" w:pos="7332"/>
        </w:tabs>
        <w:spacing w:before="71"/>
        <w:ind w:left="5021"/>
        <w:rPr>
          <w:color w:val="auto"/>
          <w:highlight w:val="none"/>
        </w:rPr>
      </w:pPr>
      <w:r>
        <w:rPr>
          <w:rFonts w:ascii="Times New Roman" w:eastAsia="Times New Roman"/>
          <w:color w:val="auto"/>
          <w:sz w:val="24"/>
          <w:szCs w:val="24"/>
          <w:highlight w:val="none"/>
          <w:u w:val="single"/>
        </w:rPr>
        <w:tab/>
      </w:r>
      <w:r>
        <w:rPr>
          <w:color w:val="auto"/>
          <w:sz w:val="24"/>
          <w:szCs w:val="24"/>
          <w:highlight w:val="none"/>
        </w:rPr>
        <w:t>年</w:t>
      </w:r>
      <w:r>
        <w:rPr>
          <w:color w:val="auto"/>
          <w:sz w:val="24"/>
          <w:szCs w:val="24"/>
          <w:highlight w:val="none"/>
          <w:u w:val="single"/>
        </w:rPr>
        <w:tab/>
      </w:r>
      <w:r>
        <w:rPr>
          <w:color w:val="auto"/>
          <w:sz w:val="24"/>
          <w:szCs w:val="24"/>
          <w:highlight w:val="none"/>
        </w:rPr>
        <w:t>月</w:t>
      </w:r>
      <w:r>
        <w:rPr>
          <w:color w:val="auto"/>
          <w:sz w:val="24"/>
          <w:szCs w:val="24"/>
          <w:highlight w:val="none"/>
          <w:u w:val="single"/>
        </w:rPr>
        <w:tab/>
      </w:r>
      <w:r>
        <w:rPr>
          <w:color w:val="auto"/>
          <w:sz w:val="24"/>
          <w:szCs w:val="24"/>
          <w:highlight w:val="none"/>
        </w:rPr>
        <w:t>日</w:t>
      </w:r>
    </w:p>
    <w:p>
      <w:pPr>
        <w:rPr>
          <w:color w:val="auto"/>
          <w:highlight w:val="none"/>
        </w:rPr>
        <w:sectPr>
          <w:type w:val="continuous"/>
          <w:pgSz w:w="11907" w:h="16839"/>
          <w:pgMar w:top="1417" w:right="1701" w:bottom="1417" w:left="1701" w:header="0" w:footer="841" w:gutter="0"/>
          <w:pgNumType w:fmt="decimal"/>
          <w:cols w:space="720" w:num="1"/>
        </w:sectPr>
      </w:pPr>
    </w:p>
    <w:p>
      <w:pPr>
        <w:widowControl/>
        <w:autoSpaceDE/>
        <w:autoSpaceDN/>
        <w:rPr>
          <w:rFonts w:ascii="Microsoft JhengHei" w:hAnsi="Microsoft JhengHei" w:eastAsia="Microsoft JhengHei" w:cs="Microsoft JhengHei"/>
          <w:b/>
          <w:bCs/>
          <w:color w:val="auto"/>
          <w:sz w:val="32"/>
          <w:szCs w:val="32"/>
          <w:highlight w:val="none"/>
        </w:rPr>
      </w:pPr>
      <w:r>
        <w:rPr>
          <w:color w:val="auto"/>
          <w:highlight w:val="none"/>
        </w:rPr>
        <w:br w:type="page"/>
      </w:r>
    </w:p>
    <w:p>
      <w:pPr>
        <w:pStyle w:val="56"/>
        <w:spacing w:line="525" w:lineRule="exact"/>
        <w:ind w:left="0" w:right="299" w:firstLine="0"/>
        <w:jc w:val="center"/>
        <w:rPr>
          <w:color w:val="auto"/>
          <w:highlight w:val="none"/>
        </w:rPr>
      </w:pPr>
      <w:r>
        <w:rPr>
          <w:rFonts w:hint="eastAsia" w:ascii="宋体" w:hAnsi="宋体" w:eastAsia="宋体" w:cs="宋体"/>
          <w:color w:val="auto"/>
          <w:highlight w:val="none"/>
          <w:lang w:val="en-US"/>
        </w:rPr>
        <w:t>三</w:t>
      </w:r>
      <w:r>
        <w:rPr>
          <w:rFonts w:hint="eastAsia" w:ascii="宋体" w:hAnsi="宋体" w:eastAsia="宋体" w:cs="宋体"/>
          <w:color w:val="auto"/>
          <w:highlight w:val="none"/>
        </w:rPr>
        <w:t>、授权委托书</w:t>
      </w:r>
    </w:p>
    <w:p>
      <w:pPr>
        <w:pStyle w:val="15"/>
        <w:rPr>
          <w:rFonts w:ascii="Microsoft JhengHei"/>
          <w:b/>
          <w:color w:val="auto"/>
          <w:sz w:val="32"/>
          <w:highlight w:val="none"/>
        </w:rPr>
      </w:pPr>
    </w:p>
    <w:p>
      <w:pPr>
        <w:pStyle w:val="15"/>
        <w:spacing w:line="460" w:lineRule="exact"/>
        <w:ind w:firstLine="522" w:firstLineChars="200"/>
        <w:rPr>
          <w:rFonts w:ascii="Microsoft JhengHei"/>
          <w:b/>
          <w:color w:val="auto"/>
          <w:sz w:val="26"/>
          <w:highlight w:val="none"/>
        </w:rPr>
      </w:pPr>
    </w:p>
    <w:p>
      <w:pPr>
        <w:pStyle w:val="15"/>
        <w:tabs>
          <w:tab w:val="left" w:pos="2721"/>
          <w:tab w:val="left" w:pos="5885"/>
        </w:tabs>
        <w:spacing w:line="360" w:lineRule="auto"/>
        <w:ind w:firstLine="480" w:firstLineChars="200"/>
        <w:rPr>
          <w:color w:val="auto"/>
          <w:sz w:val="24"/>
          <w:szCs w:val="24"/>
          <w:highlight w:val="none"/>
        </w:rPr>
      </w:pPr>
      <w:r>
        <w:rPr>
          <w:color w:val="auto"/>
          <w:sz w:val="24"/>
          <w:szCs w:val="24"/>
          <w:highlight w:val="none"/>
        </w:rPr>
        <w:t>本人</w:t>
      </w:r>
      <w:r>
        <w:rPr>
          <w:color w:val="auto"/>
          <w:sz w:val="24"/>
          <w:szCs w:val="24"/>
          <w:highlight w:val="none"/>
          <w:u w:val="single"/>
        </w:rPr>
        <w:tab/>
      </w:r>
      <w:r>
        <w:rPr>
          <w:color w:val="auto"/>
          <w:sz w:val="24"/>
          <w:szCs w:val="24"/>
          <w:highlight w:val="none"/>
        </w:rPr>
        <w:t>（姓名）系</w:t>
      </w:r>
      <w:r>
        <w:rPr>
          <w:color w:val="auto"/>
          <w:sz w:val="24"/>
          <w:szCs w:val="24"/>
          <w:highlight w:val="none"/>
          <w:u w:val="single"/>
        </w:rPr>
        <w:tab/>
      </w:r>
      <w:r>
        <w:rPr>
          <w:color w:val="auto"/>
          <w:sz w:val="24"/>
          <w:szCs w:val="24"/>
          <w:highlight w:val="none"/>
        </w:rPr>
        <w:t>（投标人名称）的法定代表人（单位负责人），现委托</w:t>
      </w:r>
      <w:r>
        <w:rPr>
          <w:rFonts w:ascii="Times New Roman" w:eastAsia="Times New Roman"/>
          <w:color w:val="auto"/>
          <w:sz w:val="24"/>
          <w:szCs w:val="24"/>
          <w:highlight w:val="none"/>
          <w:u w:val="single"/>
        </w:rPr>
        <w:tab/>
      </w:r>
      <w:r>
        <w:rPr>
          <w:color w:val="auto"/>
          <w:sz w:val="24"/>
          <w:szCs w:val="24"/>
          <w:highlight w:val="none"/>
        </w:rPr>
        <w:t>（姓名）为我方代理人。代理人根据授权，以我方名义签署、澄清确认、递交、撤回、修改</w:t>
      </w:r>
      <w:r>
        <w:rPr>
          <w:color w:val="auto"/>
          <w:sz w:val="24"/>
          <w:szCs w:val="24"/>
          <w:highlight w:val="none"/>
          <w:u w:val="single"/>
        </w:rPr>
        <w:tab/>
      </w:r>
      <w:r>
        <w:rPr>
          <w:rFonts w:hint="eastAsia"/>
          <w:color w:val="auto"/>
          <w:sz w:val="24"/>
          <w:szCs w:val="24"/>
          <w:highlight w:val="none"/>
        </w:rPr>
        <w:t>（项目名称）</w:t>
      </w:r>
      <w:r>
        <w:rPr>
          <w:rFonts w:ascii="Times New Roman" w:hAnsi="Times New Roman" w:eastAsia="Times New Roman"/>
          <w:color w:val="auto"/>
          <w:sz w:val="24"/>
          <w:szCs w:val="24"/>
          <w:highlight w:val="none"/>
          <w:u w:val="single"/>
        </w:rPr>
        <w:tab/>
      </w:r>
      <w:r>
        <w:rPr>
          <w:rFonts w:hint="eastAsia"/>
          <w:color w:val="auto"/>
          <w:sz w:val="24"/>
          <w:szCs w:val="24"/>
          <w:highlight w:val="none"/>
        </w:rPr>
        <w:t>标段</w:t>
      </w:r>
      <w:r>
        <w:rPr>
          <w:color w:val="auto"/>
          <w:sz w:val="24"/>
          <w:szCs w:val="24"/>
          <w:highlight w:val="none"/>
        </w:rPr>
        <w:t>投标文件、签订合同和处理有关事宜，其法律后果由我方承担。</w:t>
      </w:r>
    </w:p>
    <w:p>
      <w:pPr>
        <w:pStyle w:val="15"/>
        <w:tabs>
          <w:tab w:val="left" w:pos="3866"/>
        </w:tabs>
        <w:spacing w:line="360" w:lineRule="auto"/>
        <w:ind w:firstLine="480" w:firstLineChars="200"/>
        <w:rPr>
          <w:color w:val="auto"/>
          <w:sz w:val="24"/>
          <w:szCs w:val="24"/>
          <w:highlight w:val="none"/>
        </w:rPr>
      </w:pPr>
      <w:r>
        <w:rPr>
          <w:color w:val="auto"/>
          <w:sz w:val="24"/>
          <w:szCs w:val="24"/>
          <w:highlight w:val="none"/>
        </w:rPr>
        <w:t>委托期限：</w:t>
      </w:r>
      <w:r>
        <w:rPr>
          <w:color w:val="auto"/>
          <w:sz w:val="24"/>
          <w:szCs w:val="24"/>
          <w:highlight w:val="none"/>
          <w:u w:val="single"/>
        </w:rPr>
        <w:tab/>
      </w:r>
      <w:r>
        <w:rPr>
          <w:color w:val="auto"/>
          <w:sz w:val="24"/>
          <w:szCs w:val="24"/>
          <w:highlight w:val="none"/>
        </w:rPr>
        <w:t>。</w:t>
      </w:r>
    </w:p>
    <w:p>
      <w:pPr>
        <w:pStyle w:val="15"/>
        <w:spacing w:line="360" w:lineRule="auto"/>
        <w:ind w:firstLine="480" w:firstLineChars="200"/>
        <w:rPr>
          <w:color w:val="auto"/>
          <w:sz w:val="24"/>
          <w:szCs w:val="24"/>
          <w:highlight w:val="none"/>
        </w:rPr>
      </w:pPr>
      <w:r>
        <w:rPr>
          <w:color w:val="auto"/>
          <w:sz w:val="24"/>
          <w:szCs w:val="24"/>
          <w:highlight w:val="none"/>
        </w:rPr>
        <w:t>代理人无转委托权。</w:t>
      </w:r>
    </w:p>
    <w:p>
      <w:pPr>
        <w:pStyle w:val="15"/>
        <w:spacing w:line="360" w:lineRule="auto"/>
        <w:ind w:firstLine="480" w:firstLineChars="200"/>
        <w:rPr>
          <w:color w:val="auto"/>
          <w:sz w:val="24"/>
          <w:szCs w:val="24"/>
          <w:highlight w:val="none"/>
        </w:rPr>
      </w:pPr>
    </w:p>
    <w:p>
      <w:pPr>
        <w:pStyle w:val="15"/>
        <w:spacing w:line="360" w:lineRule="auto"/>
        <w:ind w:firstLine="480" w:firstLineChars="200"/>
        <w:rPr>
          <w:color w:val="auto"/>
          <w:sz w:val="24"/>
          <w:szCs w:val="24"/>
          <w:highlight w:val="none"/>
        </w:rPr>
      </w:pPr>
    </w:p>
    <w:p>
      <w:pPr>
        <w:pStyle w:val="15"/>
        <w:spacing w:line="360" w:lineRule="auto"/>
        <w:ind w:firstLine="480" w:firstLineChars="200"/>
        <w:rPr>
          <w:color w:val="auto"/>
          <w:sz w:val="24"/>
          <w:szCs w:val="24"/>
          <w:highlight w:val="none"/>
        </w:rPr>
      </w:pPr>
      <w:r>
        <w:rPr>
          <w:color w:val="auto"/>
          <w:sz w:val="24"/>
          <w:szCs w:val="24"/>
          <w:highlight w:val="none"/>
        </w:rPr>
        <w:t>附：法定代表人（单位负责人）身份证复印件及委托代理人身份证复印件</w:t>
      </w:r>
    </w:p>
    <w:p>
      <w:pPr>
        <w:pStyle w:val="15"/>
        <w:spacing w:line="360" w:lineRule="auto"/>
        <w:ind w:firstLine="480" w:firstLineChars="200"/>
        <w:rPr>
          <w:color w:val="auto"/>
          <w:sz w:val="24"/>
          <w:szCs w:val="24"/>
          <w:highlight w:val="none"/>
        </w:rPr>
      </w:pPr>
    </w:p>
    <w:p>
      <w:pPr>
        <w:pStyle w:val="15"/>
        <w:spacing w:line="360" w:lineRule="auto"/>
        <w:ind w:firstLine="480" w:firstLineChars="200"/>
        <w:rPr>
          <w:color w:val="auto"/>
          <w:sz w:val="24"/>
          <w:szCs w:val="24"/>
          <w:highlight w:val="none"/>
        </w:rPr>
      </w:pPr>
      <w:r>
        <w:rPr>
          <w:color w:val="auto"/>
          <w:sz w:val="24"/>
          <w:szCs w:val="24"/>
          <w:highlight w:val="none"/>
        </w:rPr>
        <w:t>注：本授权委托书需由投标人加盖单位公章并由其法定代表人（单位负责人）和委托代理人签字。</w:t>
      </w:r>
    </w:p>
    <w:p>
      <w:pPr>
        <w:pStyle w:val="15"/>
        <w:rPr>
          <w:color w:val="auto"/>
          <w:sz w:val="24"/>
          <w:szCs w:val="24"/>
          <w:highlight w:val="none"/>
        </w:rPr>
      </w:pPr>
    </w:p>
    <w:p>
      <w:pPr>
        <w:pStyle w:val="15"/>
        <w:spacing w:before="7"/>
        <w:rPr>
          <w:color w:val="auto"/>
          <w:sz w:val="24"/>
          <w:szCs w:val="24"/>
          <w:highlight w:val="none"/>
        </w:rPr>
      </w:pPr>
    </w:p>
    <w:p>
      <w:pPr>
        <w:pStyle w:val="15"/>
        <w:tabs>
          <w:tab w:val="left" w:pos="3516"/>
          <w:tab w:val="left" w:pos="3936"/>
          <w:tab w:val="left" w:pos="7541"/>
        </w:tabs>
        <w:spacing w:line="360" w:lineRule="auto"/>
        <w:ind w:left="3093"/>
        <w:rPr>
          <w:color w:val="auto"/>
          <w:sz w:val="24"/>
          <w:szCs w:val="24"/>
          <w:highlight w:val="none"/>
        </w:rPr>
      </w:pPr>
      <w:r>
        <w:rPr>
          <w:color w:val="auto"/>
          <w:sz w:val="24"/>
          <w:szCs w:val="24"/>
          <w:highlight w:val="none"/>
        </w:rPr>
        <w:t>投</w:t>
      </w:r>
      <w:r>
        <w:rPr>
          <w:color w:val="auto"/>
          <w:sz w:val="24"/>
          <w:szCs w:val="24"/>
          <w:highlight w:val="none"/>
        </w:rPr>
        <w:tab/>
      </w:r>
      <w:r>
        <w:rPr>
          <w:color w:val="auto"/>
          <w:sz w:val="24"/>
          <w:szCs w:val="24"/>
          <w:highlight w:val="none"/>
        </w:rPr>
        <w:t>标</w:t>
      </w:r>
      <w:r>
        <w:rPr>
          <w:color w:val="auto"/>
          <w:sz w:val="24"/>
          <w:szCs w:val="24"/>
          <w:highlight w:val="none"/>
        </w:rPr>
        <w:tab/>
      </w:r>
      <w:r>
        <w:rPr>
          <w:color w:val="auto"/>
          <w:sz w:val="24"/>
          <w:szCs w:val="24"/>
          <w:highlight w:val="none"/>
        </w:rPr>
        <w:t>人：</w:t>
      </w:r>
      <w:r>
        <w:rPr>
          <w:color w:val="auto"/>
          <w:sz w:val="24"/>
          <w:szCs w:val="24"/>
          <w:highlight w:val="none"/>
          <w:u w:val="single"/>
        </w:rPr>
        <w:tab/>
      </w:r>
      <w:r>
        <w:rPr>
          <w:color w:val="auto"/>
          <w:sz w:val="24"/>
          <w:szCs w:val="24"/>
          <w:highlight w:val="none"/>
        </w:rPr>
        <w:t>（单位公章）</w:t>
      </w:r>
    </w:p>
    <w:p>
      <w:pPr>
        <w:pStyle w:val="15"/>
        <w:tabs>
          <w:tab w:val="left" w:pos="7961"/>
        </w:tabs>
        <w:spacing w:before="78" w:line="360" w:lineRule="auto"/>
        <w:ind w:left="3091"/>
        <w:rPr>
          <w:color w:val="auto"/>
          <w:sz w:val="24"/>
          <w:szCs w:val="24"/>
          <w:highlight w:val="none"/>
        </w:rPr>
      </w:pPr>
      <w:r>
        <w:rPr>
          <w:color w:val="auto"/>
          <w:sz w:val="24"/>
          <w:szCs w:val="24"/>
          <w:highlight w:val="none"/>
        </w:rPr>
        <w:t>法定代表人（单位负责人）：</w:t>
      </w:r>
      <w:r>
        <w:rPr>
          <w:rFonts w:ascii="Times New Roman" w:eastAsia="Times New Roman"/>
          <w:color w:val="auto"/>
          <w:sz w:val="24"/>
          <w:szCs w:val="24"/>
          <w:highlight w:val="none"/>
          <w:u w:val="single"/>
        </w:rPr>
        <w:tab/>
      </w:r>
      <w:r>
        <w:rPr>
          <w:color w:val="auto"/>
          <w:sz w:val="24"/>
          <w:szCs w:val="24"/>
          <w:highlight w:val="none"/>
        </w:rPr>
        <w:t>（签字）</w:t>
      </w:r>
    </w:p>
    <w:p>
      <w:pPr>
        <w:pStyle w:val="15"/>
        <w:tabs>
          <w:tab w:val="left" w:pos="8849"/>
        </w:tabs>
        <w:spacing w:before="79" w:line="360" w:lineRule="auto"/>
        <w:ind w:left="3093"/>
        <w:rPr>
          <w:rFonts w:ascii="Times New Roman" w:eastAsia="Times New Roman"/>
          <w:color w:val="auto"/>
          <w:sz w:val="24"/>
          <w:szCs w:val="24"/>
          <w:highlight w:val="none"/>
        </w:rPr>
      </w:pPr>
      <w:r>
        <w:rPr>
          <w:color w:val="auto"/>
          <w:sz w:val="24"/>
          <w:szCs w:val="24"/>
          <w:highlight w:val="none"/>
        </w:rPr>
        <w:t>身份证号码：</w:t>
      </w:r>
      <w:r>
        <w:rPr>
          <w:rFonts w:ascii="Times New Roman" w:eastAsia="Times New Roman"/>
          <w:color w:val="auto"/>
          <w:sz w:val="24"/>
          <w:szCs w:val="24"/>
          <w:highlight w:val="none"/>
          <w:u w:val="single"/>
        </w:rPr>
        <w:tab/>
      </w:r>
    </w:p>
    <w:p>
      <w:pPr>
        <w:pStyle w:val="15"/>
        <w:tabs>
          <w:tab w:val="left" w:pos="7961"/>
        </w:tabs>
        <w:spacing w:before="78" w:line="360" w:lineRule="auto"/>
        <w:ind w:left="3093"/>
        <w:rPr>
          <w:color w:val="auto"/>
          <w:sz w:val="24"/>
          <w:szCs w:val="24"/>
          <w:highlight w:val="none"/>
        </w:rPr>
      </w:pPr>
      <w:r>
        <w:rPr>
          <w:color w:val="auto"/>
          <w:sz w:val="24"/>
          <w:szCs w:val="24"/>
          <w:highlight w:val="none"/>
        </w:rPr>
        <w:t>委托代理人：</w:t>
      </w:r>
      <w:r>
        <w:rPr>
          <w:color w:val="auto"/>
          <w:sz w:val="24"/>
          <w:szCs w:val="24"/>
          <w:highlight w:val="none"/>
          <w:u w:val="single"/>
        </w:rPr>
        <w:tab/>
      </w:r>
      <w:r>
        <w:rPr>
          <w:color w:val="auto"/>
          <w:sz w:val="24"/>
          <w:szCs w:val="24"/>
          <w:highlight w:val="none"/>
        </w:rPr>
        <w:t>（签字）</w:t>
      </w:r>
    </w:p>
    <w:p>
      <w:pPr>
        <w:pStyle w:val="15"/>
        <w:tabs>
          <w:tab w:val="left" w:pos="8849"/>
        </w:tabs>
        <w:spacing w:before="78" w:line="360" w:lineRule="auto"/>
        <w:ind w:left="3093"/>
        <w:rPr>
          <w:rFonts w:ascii="Times New Roman" w:eastAsia="Times New Roman"/>
          <w:color w:val="auto"/>
          <w:sz w:val="24"/>
          <w:szCs w:val="24"/>
          <w:highlight w:val="none"/>
        </w:rPr>
      </w:pPr>
      <w:r>
        <w:rPr>
          <w:color w:val="auto"/>
          <w:sz w:val="24"/>
          <w:szCs w:val="24"/>
          <w:highlight w:val="none"/>
        </w:rPr>
        <w:t>身份证号码：</w:t>
      </w:r>
      <w:r>
        <w:rPr>
          <w:rFonts w:ascii="Times New Roman" w:eastAsia="Times New Roman"/>
          <w:color w:val="auto"/>
          <w:sz w:val="24"/>
          <w:szCs w:val="24"/>
          <w:highlight w:val="none"/>
          <w:u w:val="single"/>
        </w:rPr>
        <w:tab/>
      </w:r>
    </w:p>
    <w:p>
      <w:pPr>
        <w:pStyle w:val="15"/>
        <w:spacing w:before="2" w:line="360" w:lineRule="auto"/>
        <w:rPr>
          <w:rFonts w:ascii="Times New Roman"/>
          <w:color w:val="auto"/>
          <w:sz w:val="24"/>
          <w:szCs w:val="24"/>
          <w:highlight w:val="none"/>
        </w:rPr>
      </w:pPr>
    </w:p>
    <w:p>
      <w:pPr>
        <w:pStyle w:val="15"/>
        <w:tabs>
          <w:tab w:val="left" w:pos="6943"/>
          <w:tab w:val="left" w:pos="7889"/>
          <w:tab w:val="left" w:pos="8833"/>
        </w:tabs>
        <w:spacing w:before="72" w:line="360" w:lineRule="auto"/>
        <w:ind w:left="6207"/>
        <w:rPr>
          <w:color w:val="auto"/>
          <w:highlight w:val="none"/>
        </w:rPr>
      </w:pPr>
      <w:r>
        <w:rPr>
          <w:rFonts w:ascii="Times New Roman" w:eastAsia="Times New Roman"/>
          <w:color w:val="auto"/>
          <w:sz w:val="24"/>
          <w:szCs w:val="24"/>
          <w:highlight w:val="none"/>
          <w:u w:val="single"/>
        </w:rPr>
        <w:tab/>
      </w:r>
      <w:r>
        <w:rPr>
          <w:color w:val="auto"/>
          <w:sz w:val="24"/>
          <w:szCs w:val="24"/>
          <w:highlight w:val="none"/>
        </w:rPr>
        <w:t>年</w:t>
      </w:r>
      <w:r>
        <w:rPr>
          <w:color w:val="auto"/>
          <w:sz w:val="24"/>
          <w:szCs w:val="24"/>
          <w:highlight w:val="none"/>
          <w:u w:val="single"/>
        </w:rPr>
        <w:tab/>
      </w:r>
      <w:r>
        <w:rPr>
          <w:color w:val="auto"/>
          <w:sz w:val="24"/>
          <w:szCs w:val="24"/>
          <w:highlight w:val="none"/>
        </w:rPr>
        <w:t>月</w:t>
      </w:r>
      <w:r>
        <w:rPr>
          <w:color w:val="auto"/>
          <w:sz w:val="24"/>
          <w:szCs w:val="24"/>
          <w:highlight w:val="none"/>
          <w:u w:val="single"/>
        </w:rPr>
        <w:tab/>
      </w:r>
      <w:r>
        <w:rPr>
          <w:color w:val="auto"/>
          <w:sz w:val="24"/>
          <w:szCs w:val="24"/>
          <w:highlight w:val="none"/>
        </w:rPr>
        <w:t>日</w:t>
      </w:r>
    </w:p>
    <w:p>
      <w:pPr>
        <w:rPr>
          <w:color w:val="auto"/>
          <w:highlight w:val="none"/>
        </w:rPr>
        <w:sectPr>
          <w:type w:val="continuous"/>
          <w:pgSz w:w="11907" w:h="16839"/>
          <w:pgMar w:top="1417" w:right="1701" w:bottom="1417" w:left="1701" w:header="0" w:footer="841" w:gutter="0"/>
          <w:pgNumType w:fmt="decimal"/>
          <w:cols w:space="720" w:num="1"/>
        </w:sectPr>
      </w:pPr>
    </w:p>
    <w:p>
      <w:pPr>
        <w:widowControl/>
        <w:autoSpaceDE/>
        <w:autoSpaceDN/>
        <w:rPr>
          <w:rFonts w:ascii="Microsoft JhengHei" w:hAnsi="Microsoft JhengHei" w:eastAsia="Microsoft JhengHei" w:cs="Microsoft JhengHei"/>
          <w:b/>
          <w:bCs/>
          <w:color w:val="auto"/>
          <w:sz w:val="32"/>
          <w:szCs w:val="32"/>
          <w:highlight w:val="none"/>
        </w:rPr>
      </w:pPr>
      <w:r>
        <w:rPr>
          <w:color w:val="auto"/>
          <w:highlight w:val="none"/>
        </w:rPr>
        <w:br w:type="page"/>
      </w:r>
    </w:p>
    <w:p>
      <w:pPr>
        <w:pStyle w:val="56"/>
        <w:spacing w:line="525" w:lineRule="exact"/>
        <w:ind w:left="0" w:right="301" w:firstLine="0"/>
        <w:jc w:val="center"/>
        <w:rPr>
          <w:rFonts w:ascii="宋体" w:hAnsi="宋体" w:eastAsia="宋体" w:cs="宋体"/>
          <w:color w:val="auto"/>
          <w:highlight w:val="none"/>
        </w:rPr>
      </w:pPr>
      <w:r>
        <w:rPr>
          <w:rFonts w:hint="eastAsia" w:ascii="宋体" w:hAnsi="宋体" w:eastAsia="宋体" w:cs="宋体"/>
          <w:color w:val="auto"/>
          <w:highlight w:val="none"/>
          <w:lang w:val="en-US"/>
        </w:rPr>
        <w:t>四</w:t>
      </w:r>
      <w:r>
        <w:rPr>
          <w:rFonts w:hint="eastAsia" w:ascii="宋体" w:hAnsi="宋体" w:eastAsia="宋体" w:cs="宋体"/>
          <w:color w:val="auto"/>
          <w:highlight w:val="none"/>
        </w:rPr>
        <w:t>、联合体协议书（参考）</w:t>
      </w:r>
    </w:p>
    <w:p>
      <w:pPr>
        <w:pStyle w:val="15"/>
        <w:spacing w:before="5"/>
        <w:rPr>
          <w:rFonts w:ascii="Microsoft JhengHei"/>
          <w:b/>
          <w:color w:val="auto"/>
          <w:sz w:val="34"/>
          <w:highlight w:val="none"/>
        </w:rPr>
      </w:pPr>
    </w:p>
    <w:p>
      <w:pPr>
        <w:pStyle w:val="15"/>
        <w:tabs>
          <w:tab w:val="left" w:pos="2502"/>
          <w:tab w:val="left" w:pos="6300"/>
        </w:tabs>
        <w:spacing w:line="360" w:lineRule="auto"/>
        <w:ind w:firstLine="480" w:firstLineChars="200"/>
        <w:rPr>
          <w:color w:val="auto"/>
          <w:sz w:val="24"/>
          <w:szCs w:val="24"/>
          <w:highlight w:val="none"/>
        </w:rPr>
      </w:pPr>
      <w:r>
        <w:rPr>
          <w:rFonts w:hint="eastAsia"/>
          <w:color w:val="auto"/>
          <w:sz w:val="24"/>
          <w:szCs w:val="24"/>
          <w:highlight w:val="none"/>
          <w:u w:val="single"/>
        </w:rPr>
        <w:tab/>
      </w:r>
      <w:r>
        <w:rPr>
          <w:rFonts w:hint="eastAsia"/>
          <w:color w:val="auto"/>
          <w:sz w:val="24"/>
          <w:szCs w:val="24"/>
          <w:highlight w:val="none"/>
        </w:rPr>
        <w:t>（所有成员单位名称）自愿组成</w:t>
      </w:r>
      <w:r>
        <w:rPr>
          <w:rFonts w:hint="eastAsia"/>
          <w:color w:val="auto"/>
          <w:sz w:val="24"/>
          <w:szCs w:val="24"/>
          <w:highlight w:val="none"/>
          <w:u w:val="single"/>
        </w:rPr>
        <w:tab/>
      </w:r>
      <w:r>
        <w:rPr>
          <w:rFonts w:hint="eastAsia"/>
          <w:color w:val="auto"/>
          <w:sz w:val="24"/>
          <w:szCs w:val="24"/>
          <w:highlight w:val="none"/>
        </w:rPr>
        <w:t>（联合体名称）联合体，共同</w:t>
      </w:r>
    </w:p>
    <w:p>
      <w:pPr>
        <w:pStyle w:val="15"/>
        <w:tabs>
          <w:tab w:val="left" w:pos="2231"/>
        </w:tabs>
        <w:spacing w:line="360" w:lineRule="auto"/>
        <w:ind w:firstLine="480" w:firstLineChars="200"/>
        <w:rPr>
          <w:color w:val="auto"/>
          <w:sz w:val="24"/>
          <w:szCs w:val="24"/>
          <w:highlight w:val="none"/>
        </w:rPr>
      </w:pPr>
      <w:r>
        <w:rPr>
          <w:rFonts w:hint="eastAsia"/>
          <w:color w:val="auto"/>
          <w:sz w:val="24"/>
          <w:szCs w:val="24"/>
          <w:highlight w:val="none"/>
        </w:rPr>
        <w:t>参加</w:t>
      </w:r>
      <w:r>
        <w:rPr>
          <w:rFonts w:hint="eastAsia"/>
          <w:color w:val="auto"/>
          <w:sz w:val="24"/>
          <w:szCs w:val="24"/>
          <w:highlight w:val="none"/>
          <w:u w:val="single"/>
        </w:rPr>
        <w:tab/>
      </w:r>
      <w:r>
        <w:rPr>
          <w:rFonts w:hint="eastAsia"/>
          <w:color w:val="auto"/>
          <w:sz w:val="24"/>
          <w:szCs w:val="24"/>
          <w:highlight w:val="none"/>
          <w:u w:val="single"/>
        </w:rPr>
        <w:t>（</w:t>
      </w:r>
      <w:r>
        <w:rPr>
          <w:rFonts w:hint="eastAsia"/>
          <w:color w:val="auto"/>
          <w:sz w:val="24"/>
          <w:szCs w:val="24"/>
          <w:highlight w:val="none"/>
        </w:rPr>
        <w:t>项目名称）设备采购招标项目投标。现就联合体投标事宜订立如下协议。</w:t>
      </w:r>
    </w:p>
    <w:p>
      <w:pPr>
        <w:pStyle w:val="60"/>
        <w:numPr>
          <w:ilvl w:val="0"/>
          <w:numId w:val="4"/>
        </w:numPr>
        <w:tabs>
          <w:tab w:val="left" w:pos="1085"/>
          <w:tab w:val="left" w:pos="2973"/>
          <w:tab w:val="left" w:pos="5914"/>
        </w:tabs>
        <w:spacing w:line="360" w:lineRule="auto"/>
        <w:ind w:left="0" w:firstLine="480" w:firstLineChars="200"/>
        <w:rPr>
          <w:color w:val="auto"/>
          <w:sz w:val="24"/>
          <w:szCs w:val="24"/>
          <w:highlight w:val="none"/>
        </w:rPr>
      </w:pPr>
      <w:r>
        <w:rPr>
          <w:rFonts w:hint="eastAsia"/>
          <w:color w:val="auto"/>
          <w:sz w:val="24"/>
          <w:szCs w:val="24"/>
          <w:highlight w:val="none"/>
          <w:u w:val="single"/>
        </w:rPr>
        <w:tab/>
      </w:r>
      <w:r>
        <w:rPr>
          <w:rFonts w:hint="eastAsia"/>
          <w:color w:val="auto"/>
          <w:sz w:val="24"/>
          <w:szCs w:val="24"/>
          <w:highlight w:val="none"/>
        </w:rPr>
        <w:t>（某成员单位名称）为</w:t>
      </w:r>
      <w:r>
        <w:rPr>
          <w:rFonts w:hint="eastAsia"/>
          <w:color w:val="auto"/>
          <w:sz w:val="24"/>
          <w:szCs w:val="24"/>
          <w:highlight w:val="none"/>
          <w:u w:val="single"/>
        </w:rPr>
        <w:tab/>
      </w:r>
      <w:r>
        <w:rPr>
          <w:rFonts w:hint="eastAsia"/>
          <w:color w:val="auto"/>
          <w:sz w:val="24"/>
          <w:szCs w:val="24"/>
          <w:highlight w:val="none"/>
        </w:rPr>
        <w:t>（联合体名称）牵头人。</w:t>
      </w:r>
    </w:p>
    <w:p>
      <w:pPr>
        <w:pStyle w:val="60"/>
        <w:numPr>
          <w:ilvl w:val="0"/>
          <w:numId w:val="4"/>
        </w:numPr>
        <w:tabs>
          <w:tab w:val="left" w:pos="1085"/>
        </w:tabs>
        <w:spacing w:line="360" w:lineRule="auto"/>
        <w:ind w:left="0" w:firstLine="480" w:firstLineChars="200"/>
        <w:rPr>
          <w:color w:val="auto"/>
          <w:sz w:val="24"/>
          <w:szCs w:val="24"/>
          <w:highlight w:val="none"/>
        </w:rPr>
      </w:pPr>
      <w:r>
        <w:rPr>
          <w:rFonts w:hint="eastAsia"/>
          <w:color w:val="auto"/>
          <w:sz w:val="24"/>
          <w:szCs w:val="24"/>
          <w:highlight w:val="none"/>
        </w:rPr>
        <w:t>联合体各成员授权牵头人代表联合体参加投标活动，签署文件，提交和接收相关的资料、信息及指示，进行合同谈判活动，负责合同实施阶段的组织和协调工作，以及处理与本招标项目有关的一切事宜。</w:t>
      </w:r>
    </w:p>
    <w:p>
      <w:pPr>
        <w:pStyle w:val="60"/>
        <w:numPr>
          <w:ilvl w:val="0"/>
          <w:numId w:val="4"/>
        </w:numPr>
        <w:tabs>
          <w:tab w:val="left" w:pos="1085"/>
        </w:tabs>
        <w:spacing w:line="360" w:lineRule="auto"/>
        <w:ind w:left="0" w:firstLine="480" w:firstLineChars="200"/>
        <w:rPr>
          <w:color w:val="auto"/>
          <w:sz w:val="24"/>
          <w:szCs w:val="24"/>
          <w:highlight w:val="none"/>
        </w:rPr>
      </w:pPr>
      <w:r>
        <w:rPr>
          <w:rFonts w:hint="eastAsia"/>
          <w:color w:val="auto"/>
          <w:sz w:val="24"/>
          <w:szCs w:val="24"/>
          <w:highlight w:val="none"/>
        </w:rPr>
        <w:t>联合体牵头人在本项目中签署的一切文件和处理的一切事宜，联合体各成员均予以承认。联合体各成员将严格按照招标文件、投标文件和合同的要求全面履行义务，并向招标人承担连 带责任。</w:t>
      </w:r>
    </w:p>
    <w:p>
      <w:pPr>
        <w:pStyle w:val="60"/>
        <w:numPr>
          <w:ilvl w:val="0"/>
          <w:numId w:val="4"/>
        </w:numPr>
        <w:tabs>
          <w:tab w:val="left" w:pos="1085"/>
          <w:tab w:val="left" w:pos="9041"/>
        </w:tabs>
        <w:spacing w:line="360" w:lineRule="auto"/>
        <w:ind w:left="0" w:firstLine="480" w:firstLineChars="200"/>
        <w:rPr>
          <w:color w:val="auto"/>
          <w:sz w:val="24"/>
          <w:szCs w:val="24"/>
          <w:highlight w:val="none"/>
        </w:rPr>
      </w:pPr>
      <w:r>
        <w:rPr>
          <w:rFonts w:hint="eastAsia"/>
          <w:color w:val="auto"/>
          <w:sz w:val="24"/>
          <w:szCs w:val="24"/>
          <w:highlight w:val="none"/>
        </w:rPr>
        <w:t>联合体各成员单位内部的职责分工如下：</w:t>
      </w:r>
      <w:r>
        <w:rPr>
          <w:rFonts w:hint="eastAsia"/>
          <w:color w:val="auto"/>
          <w:sz w:val="24"/>
          <w:szCs w:val="24"/>
          <w:highlight w:val="none"/>
          <w:u w:val="single"/>
        </w:rPr>
        <w:tab/>
      </w:r>
      <w:r>
        <w:rPr>
          <w:rFonts w:hint="eastAsia"/>
          <w:color w:val="auto"/>
          <w:sz w:val="24"/>
          <w:szCs w:val="24"/>
          <w:highlight w:val="none"/>
        </w:rPr>
        <w:t>。</w:t>
      </w:r>
    </w:p>
    <w:p>
      <w:pPr>
        <w:pStyle w:val="60"/>
        <w:numPr>
          <w:ilvl w:val="0"/>
          <w:numId w:val="4"/>
        </w:numPr>
        <w:tabs>
          <w:tab w:val="left" w:pos="1085"/>
        </w:tabs>
        <w:spacing w:line="360" w:lineRule="auto"/>
        <w:ind w:left="0" w:firstLine="480" w:firstLineChars="200"/>
        <w:rPr>
          <w:color w:val="auto"/>
          <w:sz w:val="24"/>
          <w:szCs w:val="24"/>
          <w:highlight w:val="none"/>
        </w:rPr>
      </w:pPr>
      <w:r>
        <w:rPr>
          <w:rFonts w:hint="eastAsia"/>
          <w:color w:val="auto"/>
          <w:sz w:val="24"/>
          <w:szCs w:val="24"/>
          <w:highlight w:val="none"/>
        </w:rPr>
        <w:t>本协议书自所有成员单位法定代表人（单位负责人）或其委托代理人签字或盖单位章之日起生效，合同履行完毕后自动失效。</w:t>
      </w:r>
    </w:p>
    <w:p>
      <w:pPr>
        <w:pStyle w:val="60"/>
        <w:numPr>
          <w:ilvl w:val="0"/>
          <w:numId w:val="4"/>
        </w:numPr>
        <w:tabs>
          <w:tab w:val="left" w:pos="1085"/>
          <w:tab w:val="left" w:pos="2764"/>
        </w:tabs>
        <w:spacing w:line="360" w:lineRule="auto"/>
        <w:ind w:left="0" w:firstLine="480" w:firstLineChars="200"/>
        <w:rPr>
          <w:color w:val="auto"/>
          <w:sz w:val="24"/>
          <w:szCs w:val="24"/>
          <w:highlight w:val="none"/>
        </w:rPr>
      </w:pPr>
      <w:r>
        <w:rPr>
          <w:rFonts w:hint="eastAsia"/>
          <w:color w:val="auto"/>
          <w:sz w:val="24"/>
          <w:szCs w:val="24"/>
          <w:highlight w:val="none"/>
        </w:rPr>
        <w:t>本协议书一式</w:t>
      </w:r>
      <w:r>
        <w:rPr>
          <w:rFonts w:hint="eastAsia"/>
          <w:color w:val="auto"/>
          <w:sz w:val="24"/>
          <w:szCs w:val="24"/>
          <w:highlight w:val="none"/>
          <w:u w:val="single"/>
        </w:rPr>
        <w:tab/>
      </w:r>
      <w:r>
        <w:rPr>
          <w:rFonts w:hint="eastAsia"/>
          <w:color w:val="auto"/>
          <w:sz w:val="24"/>
          <w:szCs w:val="24"/>
          <w:highlight w:val="none"/>
        </w:rPr>
        <w:t>份，联合体成员和招标人各执一份。</w:t>
      </w:r>
    </w:p>
    <w:p>
      <w:pPr>
        <w:pStyle w:val="15"/>
        <w:spacing w:line="360" w:lineRule="auto"/>
        <w:ind w:firstLine="480" w:firstLineChars="200"/>
        <w:rPr>
          <w:color w:val="auto"/>
          <w:sz w:val="24"/>
          <w:szCs w:val="24"/>
          <w:highlight w:val="none"/>
        </w:rPr>
      </w:pPr>
    </w:p>
    <w:p>
      <w:pPr>
        <w:pStyle w:val="15"/>
        <w:spacing w:line="360" w:lineRule="auto"/>
        <w:ind w:firstLine="480" w:firstLineChars="200"/>
        <w:rPr>
          <w:color w:val="auto"/>
          <w:sz w:val="24"/>
          <w:szCs w:val="24"/>
          <w:highlight w:val="none"/>
        </w:rPr>
      </w:pPr>
      <w:r>
        <w:rPr>
          <w:rFonts w:hint="eastAsia"/>
          <w:color w:val="auto"/>
          <w:sz w:val="24"/>
          <w:szCs w:val="24"/>
          <w:highlight w:val="none"/>
        </w:rPr>
        <w:t>注：本协议书由法定代表人（单位负责人）签字的，应附法定代表人（单位负责人）身份证明；由委托代理人签字的，应附授权委托书。</w:t>
      </w:r>
    </w:p>
    <w:p>
      <w:pPr>
        <w:pStyle w:val="15"/>
        <w:tabs>
          <w:tab w:val="left" w:pos="7541"/>
        </w:tabs>
        <w:spacing w:line="360" w:lineRule="auto"/>
        <w:ind w:firstLine="480" w:firstLineChars="200"/>
        <w:rPr>
          <w:color w:val="auto"/>
          <w:sz w:val="24"/>
          <w:szCs w:val="24"/>
          <w:highlight w:val="none"/>
        </w:rPr>
      </w:pPr>
      <w:r>
        <w:rPr>
          <w:rFonts w:hint="eastAsia"/>
          <w:color w:val="auto"/>
          <w:sz w:val="24"/>
          <w:szCs w:val="24"/>
          <w:highlight w:val="none"/>
        </w:rPr>
        <w:t>联合体牵头人名称：</w:t>
      </w:r>
      <w:r>
        <w:rPr>
          <w:rFonts w:hint="eastAsia"/>
          <w:color w:val="auto"/>
          <w:sz w:val="24"/>
          <w:szCs w:val="24"/>
          <w:highlight w:val="none"/>
          <w:u w:val="single"/>
        </w:rPr>
        <w:tab/>
      </w:r>
      <w:r>
        <w:rPr>
          <w:rFonts w:hint="eastAsia"/>
          <w:color w:val="auto"/>
          <w:sz w:val="24"/>
          <w:szCs w:val="24"/>
          <w:highlight w:val="none"/>
        </w:rPr>
        <w:t>（盖单位章）</w:t>
      </w:r>
    </w:p>
    <w:p>
      <w:pPr>
        <w:pStyle w:val="15"/>
        <w:tabs>
          <w:tab w:val="left" w:pos="7961"/>
        </w:tabs>
        <w:spacing w:line="360" w:lineRule="auto"/>
        <w:ind w:firstLine="480" w:firstLineChars="200"/>
        <w:rPr>
          <w:color w:val="auto"/>
          <w:sz w:val="24"/>
          <w:szCs w:val="24"/>
          <w:highlight w:val="none"/>
        </w:rPr>
      </w:pPr>
      <w:r>
        <w:rPr>
          <w:rFonts w:hint="eastAsia"/>
          <w:color w:val="auto"/>
          <w:sz w:val="24"/>
          <w:szCs w:val="24"/>
          <w:highlight w:val="none"/>
        </w:rPr>
        <w:t>法定代表人（单位负责人）或其委托代理人：</w:t>
      </w:r>
      <w:r>
        <w:rPr>
          <w:rFonts w:hint="eastAsia"/>
          <w:color w:val="auto"/>
          <w:sz w:val="24"/>
          <w:szCs w:val="24"/>
          <w:highlight w:val="none"/>
          <w:u w:val="single"/>
        </w:rPr>
        <w:tab/>
      </w:r>
      <w:r>
        <w:rPr>
          <w:rFonts w:hint="eastAsia"/>
          <w:color w:val="auto"/>
          <w:sz w:val="24"/>
          <w:szCs w:val="24"/>
          <w:highlight w:val="none"/>
        </w:rPr>
        <w:t>（签字）</w:t>
      </w:r>
    </w:p>
    <w:p>
      <w:pPr>
        <w:pStyle w:val="15"/>
        <w:spacing w:line="360" w:lineRule="auto"/>
        <w:ind w:firstLine="480" w:firstLineChars="200"/>
        <w:rPr>
          <w:color w:val="auto"/>
          <w:sz w:val="24"/>
          <w:szCs w:val="24"/>
          <w:highlight w:val="none"/>
        </w:rPr>
      </w:pPr>
    </w:p>
    <w:p>
      <w:pPr>
        <w:pStyle w:val="15"/>
        <w:tabs>
          <w:tab w:val="left" w:pos="7541"/>
        </w:tabs>
        <w:spacing w:line="360" w:lineRule="auto"/>
        <w:ind w:firstLine="480" w:firstLineChars="200"/>
        <w:rPr>
          <w:color w:val="auto"/>
          <w:sz w:val="24"/>
          <w:szCs w:val="24"/>
          <w:highlight w:val="none"/>
        </w:rPr>
      </w:pPr>
      <w:r>
        <w:rPr>
          <w:rFonts w:hint="eastAsia"/>
          <w:color w:val="auto"/>
          <w:sz w:val="24"/>
          <w:szCs w:val="24"/>
          <w:highlight w:val="none"/>
        </w:rPr>
        <w:t>联合体成员名称：</w:t>
      </w:r>
      <w:r>
        <w:rPr>
          <w:rFonts w:hint="eastAsia"/>
          <w:color w:val="auto"/>
          <w:sz w:val="24"/>
          <w:szCs w:val="24"/>
          <w:highlight w:val="none"/>
          <w:u w:val="single"/>
        </w:rPr>
        <w:tab/>
      </w:r>
      <w:r>
        <w:rPr>
          <w:rFonts w:hint="eastAsia"/>
          <w:color w:val="auto"/>
          <w:sz w:val="24"/>
          <w:szCs w:val="24"/>
          <w:highlight w:val="none"/>
        </w:rPr>
        <w:t>（盖单位章）</w:t>
      </w:r>
    </w:p>
    <w:p>
      <w:pPr>
        <w:pStyle w:val="15"/>
        <w:tabs>
          <w:tab w:val="left" w:pos="7958"/>
        </w:tabs>
        <w:spacing w:line="360" w:lineRule="auto"/>
        <w:ind w:firstLine="480" w:firstLineChars="200"/>
        <w:rPr>
          <w:color w:val="auto"/>
          <w:sz w:val="24"/>
          <w:szCs w:val="24"/>
          <w:highlight w:val="none"/>
        </w:rPr>
      </w:pPr>
      <w:r>
        <w:rPr>
          <w:rFonts w:hint="eastAsia"/>
          <w:color w:val="auto"/>
          <w:sz w:val="24"/>
          <w:szCs w:val="24"/>
          <w:highlight w:val="none"/>
        </w:rPr>
        <w:t>法定代表人（单位负责人）或其委托代理人：</w:t>
      </w:r>
      <w:r>
        <w:rPr>
          <w:rFonts w:hint="eastAsia"/>
          <w:color w:val="auto"/>
          <w:sz w:val="24"/>
          <w:szCs w:val="24"/>
          <w:highlight w:val="none"/>
          <w:u w:val="single"/>
        </w:rPr>
        <w:tab/>
      </w:r>
      <w:r>
        <w:rPr>
          <w:rFonts w:hint="eastAsia"/>
          <w:color w:val="auto"/>
          <w:sz w:val="24"/>
          <w:szCs w:val="24"/>
          <w:highlight w:val="none"/>
        </w:rPr>
        <w:t>（签字）</w:t>
      </w:r>
    </w:p>
    <w:p>
      <w:pPr>
        <w:pStyle w:val="15"/>
        <w:spacing w:line="360" w:lineRule="auto"/>
        <w:ind w:firstLine="480" w:firstLineChars="200"/>
        <w:rPr>
          <w:color w:val="auto"/>
          <w:sz w:val="24"/>
          <w:szCs w:val="24"/>
          <w:highlight w:val="none"/>
        </w:rPr>
      </w:pPr>
    </w:p>
    <w:p>
      <w:pPr>
        <w:pStyle w:val="15"/>
        <w:tabs>
          <w:tab w:val="left" w:pos="7541"/>
        </w:tabs>
        <w:spacing w:line="360" w:lineRule="auto"/>
        <w:ind w:firstLine="480" w:firstLineChars="200"/>
        <w:rPr>
          <w:color w:val="auto"/>
          <w:sz w:val="24"/>
          <w:szCs w:val="24"/>
          <w:highlight w:val="none"/>
        </w:rPr>
      </w:pPr>
      <w:r>
        <w:rPr>
          <w:rFonts w:hint="eastAsia"/>
          <w:color w:val="auto"/>
          <w:sz w:val="24"/>
          <w:szCs w:val="24"/>
          <w:highlight w:val="none"/>
        </w:rPr>
        <w:t>联合体成员名称：</w:t>
      </w:r>
      <w:r>
        <w:rPr>
          <w:rFonts w:hint="eastAsia"/>
          <w:color w:val="auto"/>
          <w:sz w:val="24"/>
          <w:szCs w:val="24"/>
          <w:highlight w:val="none"/>
          <w:u w:val="single"/>
        </w:rPr>
        <w:tab/>
      </w:r>
      <w:r>
        <w:rPr>
          <w:rFonts w:hint="eastAsia"/>
          <w:color w:val="auto"/>
          <w:sz w:val="24"/>
          <w:szCs w:val="24"/>
          <w:highlight w:val="none"/>
        </w:rPr>
        <w:t>（盖单位章）</w:t>
      </w:r>
    </w:p>
    <w:p>
      <w:pPr>
        <w:pStyle w:val="15"/>
        <w:tabs>
          <w:tab w:val="left" w:pos="7958"/>
        </w:tabs>
        <w:spacing w:line="360" w:lineRule="auto"/>
        <w:ind w:firstLine="480" w:firstLineChars="200"/>
        <w:rPr>
          <w:color w:val="auto"/>
          <w:sz w:val="24"/>
          <w:szCs w:val="24"/>
          <w:highlight w:val="none"/>
        </w:rPr>
      </w:pPr>
      <w:r>
        <w:rPr>
          <w:rFonts w:hint="eastAsia"/>
          <w:color w:val="auto"/>
          <w:sz w:val="24"/>
          <w:szCs w:val="24"/>
          <w:highlight w:val="none"/>
        </w:rPr>
        <w:t>法定代表人（单位负责人）或其委托代理人：</w:t>
      </w:r>
      <w:r>
        <w:rPr>
          <w:rFonts w:hint="eastAsia"/>
          <w:color w:val="auto"/>
          <w:sz w:val="24"/>
          <w:szCs w:val="24"/>
          <w:highlight w:val="none"/>
          <w:u w:val="single"/>
        </w:rPr>
        <w:tab/>
      </w:r>
      <w:r>
        <w:rPr>
          <w:rFonts w:hint="eastAsia"/>
          <w:color w:val="auto"/>
          <w:sz w:val="24"/>
          <w:szCs w:val="24"/>
          <w:highlight w:val="none"/>
        </w:rPr>
        <w:t>（签字）</w:t>
      </w:r>
    </w:p>
    <w:p>
      <w:pPr>
        <w:spacing w:line="360" w:lineRule="auto"/>
        <w:ind w:firstLine="552" w:firstLineChars="200"/>
        <w:rPr>
          <w:i/>
          <w:color w:val="auto"/>
          <w:sz w:val="24"/>
          <w:szCs w:val="24"/>
          <w:highlight w:val="none"/>
        </w:rPr>
      </w:pPr>
      <w:r>
        <w:rPr>
          <w:rFonts w:hint="eastAsia"/>
          <w:i/>
          <w:color w:val="auto"/>
          <w:w w:val="115"/>
          <w:sz w:val="24"/>
          <w:szCs w:val="24"/>
          <w:highlight w:val="none"/>
        </w:rPr>
        <w:t>……</w:t>
      </w:r>
    </w:p>
    <w:p>
      <w:pPr>
        <w:pStyle w:val="15"/>
        <w:tabs>
          <w:tab w:val="left" w:pos="4838"/>
          <w:tab w:val="left" w:pos="5784"/>
          <w:tab w:val="left" w:pos="6727"/>
        </w:tabs>
        <w:spacing w:line="360" w:lineRule="auto"/>
        <w:ind w:firstLine="4178" w:firstLineChars="1741"/>
        <w:rPr>
          <w:color w:val="auto"/>
          <w:highlight w:val="none"/>
        </w:rPr>
      </w:pPr>
      <w:r>
        <w:rPr>
          <w:rFonts w:hint="eastAsia"/>
          <w:color w:val="auto"/>
          <w:sz w:val="24"/>
          <w:szCs w:val="24"/>
          <w:highlight w:val="none"/>
          <w:u w:val="single"/>
        </w:rPr>
        <w:tab/>
      </w:r>
      <w:r>
        <w:rPr>
          <w:rFonts w:hint="eastAsia"/>
          <w:color w:val="auto"/>
          <w:sz w:val="24"/>
          <w:szCs w:val="24"/>
          <w:highlight w:val="none"/>
        </w:rPr>
        <w:t>年</w:t>
      </w:r>
      <w:r>
        <w:rPr>
          <w:rFonts w:hint="eastAsia"/>
          <w:color w:val="auto"/>
          <w:sz w:val="24"/>
          <w:szCs w:val="24"/>
          <w:highlight w:val="none"/>
          <w:u w:val="single"/>
        </w:rPr>
        <w:tab/>
      </w:r>
      <w:r>
        <w:rPr>
          <w:rFonts w:hint="eastAsia"/>
          <w:color w:val="auto"/>
          <w:sz w:val="24"/>
          <w:szCs w:val="24"/>
          <w:highlight w:val="none"/>
        </w:rPr>
        <w:t>月</w:t>
      </w:r>
      <w:r>
        <w:rPr>
          <w:rFonts w:hint="eastAsia"/>
          <w:color w:val="auto"/>
          <w:sz w:val="24"/>
          <w:szCs w:val="24"/>
          <w:highlight w:val="none"/>
          <w:u w:val="single"/>
        </w:rPr>
        <w:tab/>
      </w:r>
      <w:r>
        <w:rPr>
          <w:rFonts w:hint="eastAsia"/>
          <w:color w:val="auto"/>
          <w:sz w:val="24"/>
          <w:szCs w:val="24"/>
          <w:highlight w:val="none"/>
        </w:rPr>
        <w:t>日</w:t>
      </w:r>
    </w:p>
    <w:p>
      <w:pPr>
        <w:rPr>
          <w:color w:val="auto"/>
          <w:highlight w:val="none"/>
        </w:rPr>
        <w:sectPr>
          <w:type w:val="continuous"/>
          <w:pgSz w:w="11907" w:h="16839"/>
          <w:pgMar w:top="1417" w:right="1701" w:bottom="1417" w:left="1701" w:header="0" w:footer="841" w:gutter="0"/>
          <w:pgNumType w:fmt="decimal"/>
          <w:cols w:space="720" w:num="1"/>
        </w:sectPr>
      </w:pPr>
    </w:p>
    <w:p>
      <w:pPr>
        <w:widowControl/>
        <w:autoSpaceDE/>
        <w:autoSpaceDN/>
        <w:rPr>
          <w:rFonts w:ascii="Microsoft JhengHei" w:hAnsi="Microsoft JhengHei" w:eastAsia="Microsoft JhengHei" w:cs="Microsoft JhengHei"/>
          <w:b/>
          <w:bCs/>
          <w:color w:val="auto"/>
          <w:sz w:val="32"/>
          <w:szCs w:val="32"/>
          <w:highlight w:val="none"/>
        </w:rPr>
      </w:pPr>
      <w:r>
        <w:rPr>
          <w:color w:val="auto"/>
          <w:highlight w:val="none"/>
        </w:rPr>
        <w:br w:type="page"/>
      </w:r>
    </w:p>
    <w:p>
      <w:pPr>
        <w:pStyle w:val="56"/>
        <w:spacing w:line="525" w:lineRule="exact"/>
        <w:ind w:left="3595" w:firstLine="0"/>
        <w:rPr>
          <w:color w:val="auto"/>
          <w:highlight w:val="none"/>
        </w:rPr>
      </w:pPr>
      <w:r>
        <w:rPr>
          <w:rFonts w:hint="eastAsia" w:ascii="宋体" w:hAnsi="宋体" w:eastAsia="宋体" w:cs="宋体"/>
          <w:color w:val="auto"/>
          <w:highlight w:val="none"/>
          <w:lang w:val="en-US"/>
        </w:rPr>
        <w:t>五</w:t>
      </w:r>
      <w:r>
        <w:rPr>
          <w:rFonts w:hint="eastAsia" w:ascii="宋体" w:hAnsi="宋体" w:eastAsia="宋体" w:cs="宋体"/>
          <w:color w:val="auto"/>
          <w:highlight w:val="none"/>
        </w:rPr>
        <w:t>、投标保证金</w:t>
      </w:r>
    </w:p>
    <w:p>
      <w:pPr>
        <w:rPr>
          <w:color w:val="auto"/>
          <w:highlight w:val="none"/>
        </w:rPr>
      </w:pP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若采用银行转账，投标人应在此提供汇款凭证的清晰扫描件；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若采用建设工程投标保证保险，投标人应在此提供建设工程投标保证保险的清晰扫描件；</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如采用银行保函，参考格式如下：</w:t>
      </w:r>
    </w:p>
    <w:p>
      <w:pPr>
        <w:spacing w:line="360" w:lineRule="auto"/>
        <w:ind w:firstLine="480" w:firstLineChars="20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rPr>
        <w:t>保函编号：</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（招标人名称）：</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鉴于（投标人名称）（以下简称</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投标人</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）参加你方（项目名称）投标，（担保人名称）（以下简称</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我方</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）受该投标人委托，在此无条件地、不可撤销地保证：一旦收到你方提出的下述任何一种事实的书面通知，在</w:t>
      </w:r>
      <w:r>
        <w:rPr>
          <w:rFonts w:asciiTheme="minorEastAsia" w:hAnsiTheme="minorEastAsia" w:eastAsiaTheme="minorEastAsia"/>
          <w:color w:val="auto"/>
          <w:sz w:val="24"/>
          <w:szCs w:val="24"/>
          <w:highlight w:val="none"/>
        </w:rPr>
        <w:t xml:space="preserve"> 7 </w:t>
      </w:r>
      <w:r>
        <w:rPr>
          <w:rFonts w:hint="eastAsia" w:asciiTheme="minorEastAsia" w:hAnsiTheme="minorEastAsia" w:eastAsiaTheme="minorEastAsia"/>
          <w:color w:val="auto"/>
          <w:sz w:val="24"/>
          <w:szCs w:val="24"/>
          <w:highlight w:val="none"/>
        </w:rPr>
        <w:t>日内无条件地向你方支付总额不超过（投标保函额度）的任何你方要求的金额：</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．投标人在规定的投标有效期内撤销或者修改其投标文件。</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．投标人在收到中标通知书后无正当理由而未在规定期限内与贵方签署合同。</w:t>
      </w:r>
    </w:p>
    <w:p>
      <w:pPr>
        <w:spacing w:line="360" w:lineRule="auto"/>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．投标人在收到中标通知书后未能在招标文件规定期限内向贵方提交招标文件所要求的履约担保。</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本保函在投标有效期内保持有效，除非你方提前终止或解除本保函。要求我方承担保证责任的通知应在投标有效期内送达我方。保函失效后请将本保函交投标人退回我方注销。</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本保函项下所有权利和义务均受中华人民共和国法律管辖和制约。</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担保人名称：（盖单位章）</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法定代表人或其委托代理人：（签字或盖章）</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地址：</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邮政编码：</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电话：</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传真：</w:t>
      </w:r>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年月日</w:t>
      </w:r>
    </w:p>
    <w:p>
      <w:pPr>
        <w:spacing w:line="360" w:lineRule="auto"/>
        <w:ind w:firstLine="480" w:firstLineChars="200"/>
        <w:rPr>
          <w:color w:val="auto"/>
          <w:highlight w:val="none"/>
        </w:rPr>
      </w:pPr>
      <w:r>
        <w:rPr>
          <w:rFonts w:hint="eastAsia" w:asciiTheme="minorEastAsia" w:hAnsiTheme="minorEastAsia" w:eastAsiaTheme="minorEastAsia"/>
          <w:color w:val="auto"/>
          <w:sz w:val="24"/>
          <w:szCs w:val="24"/>
          <w:highlight w:val="none"/>
        </w:rPr>
        <w:t>备注：投标人可采用其他认可的投标保函格式，但相关内容不得背离招标文件约定的实质性内容。</w:t>
      </w:r>
    </w:p>
    <w:p>
      <w:pPr>
        <w:pStyle w:val="56"/>
        <w:spacing w:line="525" w:lineRule="exact"/>
        <w:ind w:left="3595" w:firstLine="0"/>
        <w:rPr>
          <w:rFonts w:ascii="宋体" w:hAnsi="宋体" w:eastAsia="宋体" w:cs="宋体"/>
          <w:color w:val="auto"/>
          <w:highlight w:val="none"/>
        </w:rPr>
      </w:pPr>
      <w:r>
        <w:rPr>
          <w:rFonts w:ascii="宋体" w:hAnsi="宋体"/>
          <w:b w:val="0"/>
          <w:color w:val="auto"/>
          <w:highlight w:val="none"/>
        </w:rPr>
        <w:br w:type="page"/>
      </w:r>
      <w:r>
        <w:rPr>
          <w:rFonts w:hint="eastAsia" w:ascii="宋体" w:hAnsi="宋体" w:eastAsia="宋体" w:cs="宋体"/>
          <w:color w:val="auto"/>
          <w:highlight w:val="none"/>
          <w:lang w:val="en-US"/>
        </w:rPr>
        <w:t>六</w:t>
      </w:r>
      <w:r>
        <w:rPr>
          <w:rFonts w:hint="eastAsia" w:ascii="宋体" w:hAnsi="宋体" w:eastAsia="宋体" w:cs="宋体"/>
          <w:color w:val="auto"/>
          <w:highlight w:val="none"/>
        </w:rPr>
        <w:t>、技术参数响应表</w:t>
      </w:r>
    </w:p>
    <w:p>
      <w:pPr>
        <w:spacing w:line="360" w:lineRule="auto"/>
        <w:rPr>
          <w:rFonts w:cs="仿宋_GB2312"/>
          <w:color w:val="auto"/>
          <w:sz w:val="24"/>
          <w:highlight w:val="none"/>
        </w:rPr>
      </w:pPr>
    </w:p>
    <w:p>
      <w:pPr>
        <w:spacing w:line="360" w:lineRule="auto"/>
        <w:rPr>
          <w:rFonts w:cs="仿宋_GB2312"/>
          <w:color w:val="auto"/>
          <w:sz w:val="24"/>
          <w:highlight w:val="none"/>
        </w:rPr>
      </w:pPr>
      <w:r>
        <w:rPr>
          <w:rFonts w:hint="eastAsia" w:cs="仿宋_GB2312"/>
          <w:color w:val="auto"/>
          <w:sz w:val="24"/>
          <w:highlight w:val="none"/>
        </w:rPr>
        <w:t>本表编制说明：</w:t>
      </w:r>
    </w:p>
    <w:p>
      <w:pPr>
        <w:spacing w:line="360" w:lineRule="auto"/>
        <w:rPr>
          <w:rFonts w:cs="仿宋_GB2312"/>
          <w:color w:val="auto"/>
          <w:sz w:val="24"/>
          <w:highlight w:val="none"/>
        </w:rPr>
      </w:pPr>
      <w:r>
        <w:rPr>
          <w:rFonts w:hint="eastAsia" w:cs="仿宋_GB2312"/>
          <w:color w:val="auto"/>
          <w:sz w:val="24"/>
          <w:highlight w:val="none"/>
        </w:rPr>
        <w:t>1.投标人须根据“第五章供货要求”的采购清单内所有货物的规格、材质等技术参数需求按顺序列入此表对应逐条应答。</w:t>
      </w:r>
    </w:p>
    <w:p>
      <w:pPr>
        <w:spacing w:line="360" w:lineRule="auto"/>
        <w:rPr>
          <w:rFonts w:cs="仿宋_GB2312"/>
          <w:color w:val="auto"/>
          <w:sz w:val="24"/>
          <w:highlight w:val="none"/>
        </w:rPr>
      </w:pPr>
      <w:r>
        <w:rPr>
          <w:rFonts w:hint="eastAsia" w:cs="仿宋_GB2312"/>
          <w:color w:val="auto"/>
          <w:sz w:val="24"/>
          <w:highlight w:val="none"/>
        </w:rPr>
        <w:t>2．投标人必须据实填写，不得虚假填写，否则将取消其响应或中标资格。</w:t>
      </w:r>
    </w:p>
    <w:p>
      <w:pPr>
        <w:spacing w:line="360" w:lineRule="auto"/>
        <w:rPr>
          <w:rFonts w:cs="仿宋_GB2312"/>
          <w:color w:val="auto"/>
          <w:sz w:val="24"/>
          <w:highlight w:val="none"/>
        </w:rPr>
      </w:pPr>
      <w:r>
        <w:rPr>
          <w:rFonts w:hint="eastAsia" w:cs="仿宋_GB2312"/>
          <w:color w:val="auto"/>
          <w:sz w:val="24"/>
          <w:highlight w:val="none"/>
        </w:rPr>
        <w:t>项目名称：                 项目编号：</w:t>
      </w:r>
    </w:p>
    <w:tbl>
      <w:tblPr>
        <w:tblStyle w:val="29"/>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272"/>
        <w:gridCol w:w="2000"/>
        <w:gridCol w:w="2876"/>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47" w:type="dxa"/>
            <w:vAlign w:val="center"/>
          </w:tcPr>
          <w:p>
            <w:pPr>
              <w:spacing w:line="360" w:lineRule="auto"/>
              <w:jc w:val="center"/>
              <w:rPr>
                <w:rFonts w:cs="仿宋_GB2312"/>
                <w:b/>
                <w:bCs/>
                <w:color w:val="auto"/>
                <w:sz w:val="24"/>
                <w:szCs w:val="24"/>
                <w:highlight w:val="none"/>
              </w:rPr>
            </w:pPr>
            <w:bookmarkStart w:id="227" w:name="_Toc96700198"/>
            <w:r>
              <w:rPr>
                <w:rFonts w:hint="eastAsia" w:cs="仿宋_GB2312"/>
                <w:b/>
                <w:bCs/>
                <w:color w:val="auto"/>
                <w:sz w:val="24"/>
                <w:szCs w:val="24"/>
                <w:highlight w:val="none"/>
              </w:rPr>
              <w:t>序号</w:t>
            </w:r>
            <w:bookmarkEnd w:id="227"/>
          </w:p>
        </w:tc>
        <w:tc>
          <w:tcPr>
            <w:tcW w:w="2272" w:type="dxa"/>
            <w:vAlign w:val="center"/>
          </w:tcPr>
          <w:p>
            <w:pPr>
              <w:spacing w:line="360" w:lineRule="auto"/>
              <w:jc w:val="center"/>
              <w:rPr>
                <w:rFonts w:cs="仿宋_GB2312"/>
                <w:b/>
                <w:bCs/>
                <w:color w:val="auto"/>
                <w:sz w:val="24"/>
                <w:szCs w:val="24"/>
                <w:highlight w:val="none"/>
              </w:rPr>
            </w:pPr>
            <w:bookmarkStart w:id="228" w:name="_Toc96700199"/>
            <w:r>
              <w:rPr>
                <w:rFonts w:hint="eastAsia" w:cs="仿宋_GB2312"/>
                <w:b/>
                <w:bCs/>
                <w:color w:val="auto"/>
                <w:sz w:val="24"/>
                <w:szCs w:val="24"/>
                <w:highlight w:val="none"/>
              </w:rPr>
              <w:t>招标文件</w:t>
            </w:r>
            <w:bookmarkEnd w:id="228"/>
          </w:p>
          <w:p>
            <w:pPr>
              <w:spacing w:line="360" w:lineRule="auto"/>
              <w:jc w:val="center"/>
              <w:rPr>
                <w:rFonts w:cs="仿宋_GB2312"/>
                <w:b/>
                <w:bCs/>
                <w:color w:val="auto"/>
                <w:sz w:val="24"/>
                <w:szCs w:val="24"/>
                <w:highlight w:val="none"/>
              </w:rPr>
            </w:pPr>
            <w:bookmarkStart w:id="229" w:name="_Toc96700200"/>
            <w:r>
              <w:rPr>
                <w:rFonts w:hint="eastAsia" w:cs="仿宋_GB2312"/>
                <w:b/>
                <w:bCs/>
                <w:color w:val="auto"/>
                <w:sz w:val="24"/>
                <w:szCs w:val="24"/>
                <w:highlight w:val="none"/>
              </w:rPr>
              <w:t>技术参数需求</w:t>
            </w:r>
            <w:bookmarkEnd w:id="229"/>
          </w:p>
        </w:tc>
        <w:tc>
          <w:tcPr>
            <w:tcW w:w="2000" w:type="dxa"/>
            <w:vAlign w:val="center"/>
          </w:tcPr>
          <w:p>
            <w:pPr>
              <w:spacing w:line="360" w:lineRule="auto"/>
              <w:jc w:val="center"/>
              <w:rPr>
                <w:rFonts w:cs="仿宋_GB2312"/>
                <w:b/>
                <w:bCs/>
                <w:color w:val="auto"/>
                <w:sz w:val="24"/>
                <w:szCs w:val="24"/>
                <w:highlight w:val="none"/>
              </w:rPr>
            </w:pPr>
            <w:bookmarkStart w:id="230" w:name="_Toc96700201"/>
            <w:r>
              <w:rPr>
                <w:rFonts w:hint="eastAsia" w:cs="仿宋_GB2312"/>
                <w:b/>
                <w:bCs/>
                <w:color w:val="auto"/>
                <w:sz w:val="24"/>
                <w:szCs w:val="24"/>
                <w:highlight w:val="none"/>
              </w:rPr>
              <w:t>投标文件的应答</w:t>
            </w:r>
            <w:bookmarkEnd w:id="230"/>
          </w:p>
        </w:tc>
        <w:tc>
          <w:tcPr>
            <w:tcW w:w="2876" w:type="dxa"/>
            <w:vAlign w:val="center"/>
          </w:tcPr>
          <w:p>
            <w:pPr>
              <w:spacing w:line="360" w:lineRule="auto"/>
              <w:jc w:val="center"/>
              <w:rPr>
                <w:rFonts w:cs="仿宋_GB2312"/>
                <w:b/>
                <w:bCs/>
                <w:color w:val="auto"/>
                <w:sz w:val="24"/>
                <w:szCs w:val="24"/>
                <w:highlight w:val="none"/>
              </w:rPr>
            </w:pPr>
            <w:bookmarkStart w:id="231" w:name="_Toc96700202"/>
            <w:r>
              <w:rPr>
                <w:rFonts w:hint="eastAsia" w:cs="仿宋_GB2312"/>
                <w:b/>
                <w:bCs/>
                <w:color w:val="auto"/>
                <w:sz w:val="24"/>
                <w:szCs w:val="24"/>
                <w:highlight w:val="none"/>
              </w:rPr>
              <w:t>正偏离/负偏离情况说明</w:t>
            </w:r>
            <w:bookmarkEnd w:id="231"/>
          </w:p>
        </w:tc>
        <w:tc>
          <w:tcPr>
            <w:tcW w:w="907" w:type="dxa"/>
            <w:vAlign w:val="center"/>
          </w:tcPr>
          <w:p>
            <w:pPr>
              <w:spacing w:line="360" w:lineRule="auto"/>
              <w:jc w:val="center"/>
              <w:rPr>
                <w:rFonts w:cs="仿宋_GB2312"/>
                <w:b/>
                <w:bCs/>
                <w:color w:val="auto"/>
                <w:sz w:val="24"/>
                <w:szCs w:val="24"/>
                <w:highlight w:val="none"/>
              </w:rPr>
            </w:pPr>
            <w:bookmarkStart w:id="232" w:name="_Toc96700203"/>
            <w:r>
              <w:rPr>
                <w:rFonts w:hint="eastAsia" w:cs="仿宋_GB2312"/>
                <w:b/>
                <w:bCs/>
                <w:color w:val="auto"/>
                <w:sz w:val="24"/>
                <w:szCs w:val="24"/>
                <w:highlight w:val="none"/>
              </w:rPr>
              <w:t>备注</w:t>
            </w:r>
            <w:bookmarkEnd w:id="2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47" w:type="dxa"/>
          </w:tcPr>
          <w:p>
            <w:pPr>
              <w:spacing w:line="360" w:lineRule="auto"/>
              <w:rPr>
                <w:rFonts w:cs="仿宋_GB2312"/>
                <w:color w:val="auto"/>
                <w:sz w:val="24"/>
                <w:highlight w:val="none"/>
              </w:rPr>
            </w:pPr>
          </w:p>
        </w:tc>
        <w:tc>
          <w:tcPr>
            <w:tcW w:w="2272" w:type="dxa"/>
          </w:tcPr>
          <w:p>
            <w:pPr>
              <w:spacing w:line="360" w:lineRule="auto"/>
              <w:rPr>
                <w:rFonts w:cs="仿宋_GB2312"/>
                <w:color w:val="auto"/>
                <w:sz w:val="24"/>
                <w:highlight w:val="none"/>
              </w:rPr>
            </w:pPr>
          </w:p>
        </w:tc>
        <w:tc>
          <w:tcPr>
            <w:tcW w:w="2000" w:type="dxa"/>
          </w:tcPr>
          <w:p>
            <w:pPr>
              <w:spacing w:line="360" w:lineRule="auto"/>
              <w:rPr>
                <w:rFonts w:cs="仿宋_GB2312"/>
                <w:color w:val="auto"/>
                <w:sz w:val="24"/>
                <w:highlight w:val="none"/>
              </w:rPr>
            </w:pPr>
          </w:p>
        </w:tc>
        <w:tc>
          <w:tcPr>
            <w:tcW w:w="2876" w:type="dxa"/>
          </w:tcPr>
          <w:p>
            <w:pPr>
              <w:spacing w:line="360" w:lineRule="auto"/>
              <w:rPr>
                <w:rFonts w:cs="仿宋_GB2312"/>
                <w:color w:val="auto"/>
                <w:sz w:val="24"/>
                <w:highlight w:val="none"/>
              </w:rPr>
            </w:pPr>
          </w:p>
        </w:tc>
        <w:tc>
          <w:tcPr>
            <w:tcW w:w="907" w:type="dxa"/>
          </w:tcPr>
          <w:p>
            <w:pPr>
              <w:spacing w:line="360" w:lineRule="auto"/>
              <w:rPr>
                <w:rFonts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7" w:type="dxa"/>
          </w:tcPr>
          <w:p>
            <w:pPr>
              <w:spacing w:line="360" w:lineRule="auto"/>
              <w:rPr>
                <w:rFonts w:cs="仿宋_GB2312"/>
                <w:color w:val="auto"/>
                <w:sz w:val="24"/>
                <w:highlight w:val="none"/>
              </w:rPr>
            </w:pPr>
          </w:p>
        </w:tc>
        <w:tc>
          <w:tcPr>
            <w:tcW w:w="2272" w:type="dxa"/>
          </w:tcPr>
          <w:p>
            <w:pPr>
              <w:spacing w:line="360" w:lineRule="auto"/>
              <w:rPr>
                <w:rFonts w:cs="仿宋_GB2312"/>
                <w:color w:val="auto"/>
                <w:sz w:val="24"/>
                <w:highlight w:val="none"/>
              </w:rPr>
            </w:pPr>
          </w:p>
        </w:tc>
        <w:tc>
          <w:tcPr>
            <w:tcW w:w="2000" w:type="dxa"/>
          </w:tcPr>
          <w:p>
            <w:pPr>
              <w:spacing w:line="360" w:lineRule="auto"/>
              <w:rPr>
                <w:rFonts w:cs="仿宋_GB2312"/>
                <w:color w:val="auto"/>
                <w:sz w:val="24"/>
                <w:highlight w:val="none"/>
              </w:rPr>
            </w:pPr>
          </w:p>
        </w:tc>
        <w:tc>
          <w:tcPr>
            <w:tcW w:w="2876" w:type="dxa"/>
          </w:tcPr>
          <w:p>
            <w:pPr>
              <w:spacing w:line="360" w:lineRule="auto"/>
              <w:rPr>
                <w:rFonts w:cs="仿宋_GB2312"/>
                <w:color w:val="auto"/>
                <w:sz w:val="24"/>
                <w:highlight w:val="none"/>
              </w:rPr>
            </w:pPr>
          </w:p>
        </w:tc>
        <w:tc>
          <w:tcPr>
            <w:tcW w:w="907" w:type="dxa"/>
          </w:tcPr>
          <w:p>
            <w:pPr>
              <w:spacing w:line="360" w:lineRule="auto"/>
              <w:rPr>
                <w:rFonts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47" w:type="dxa"/>
          </w:tcPr>
          <w:p>
            <w:pPr>
              <w:spacing w:line="360" w:lineRule="auto"/>
              <w:rPr>
                <w:rFonts w:cs="仿宋_GB2312"/>
                <w:color w:val="auto"/>
                <w:sz w:val="24"/>
                <w:highlight w:val="none"/>
              </w:rPr>
            </w:pPr>
          </w:p>
        </w:tc>
        <w:tc>
          <w:tcPr>
            <w:tcW w:w="2272" w:type="dxa"/>
          </w:tcPr>
          <w:p>
            <w:pPr>
              <w:spacing w:line="360" w:lineRule="auto"/>
              <w:rPr>
                <w:rFonts w:cs="仿宋_GB2312"/>
                <w:color w:val="auto"/>
                <w:sz w:val="24"/>
                <w:highlight w:val="none"/>
              </w:rPr>
            </w:pPr>
          </w:p>
        </w:tc>
        <w:tc>
          <w:tcPr>
            <w:tcW w:w="2000" w:type="dxa"/>
          </w:tcPr>
          <w:p>
            <w:pPr>
              <w:spacing w:line="360" w:lineRule="auto"/>
              <w:rPr>
                <w:rFonts w:cs="仿宋_GB2312"/>
                <w:color w:val="auto"/>
                <w:sz w:val="24"/>
                <w:highlight w:val="none"/>
              </w:rPr>
            </w:pPr>
          </w:p>
        </w:tc>
        <w:tc>
          <w:tcPr>
            <w:tcW w:w="2876" w:type="dxa"/>
          </w:tcPr>
          <w:p>
            <w:pPr>
              <w:spacing w:line="360" w:lineRule="auto"/>
              <w:rPr>
                <w:rFonts w:cs="仿宋_GB2312"/>
                <w:color w:val="auto"/>
                <w:sz w:val="24"/>
                <w:highlight w:val="none"/>
              </w:rPr>
            </w:pPr>
          </w:p>
        </w:tc>
        <w:tc>
          <w:tcPr>
            <w:tcW w:w="907" w:type="dxa"/>
          </w:tcPr>
          <w:p>
            <w:pPr>
              <w:spacing w:line="360" w:lineRule="auto"/>
              <w:rPr>
                <w:rFonts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47" w:type="dxa"/>
          </w:tcPr>
          <w:p>
            <w:pPr>
              <w:spacing w:line="360" w:lineRule="auto"/>
              <w:rPr>
                <w:rFonts w:cs="仿宋_GB2312"/>
                <w:color w:val="auto"/>
                <w:sz w:val="24"/>
                <w:highlight w:val="none"/>
              </w:rPr>
            </w:pPr>
          </w:p>
        </w:tc>
        <w:tc>
          <w:tcPr>
            <w:tcW w:w="2272" w:type="dxa"/>
          </w:tcPr>
          <w:p>
            <w:pPr>
              <w:spacing w:line="360" w:lineRule="auto"/>
              <w:rPr>
                <w:rFonts w:cs="仿宋_GB2312"/>
                <w:color w:val="auto"/>
                <w:sz w:val="24"/>
                <w:highlight w:val="none"/>
              </w:rPr>
            </w:pPr>
          </w:p>
        </w:tc>
        <w:tc>
          <w:tcPr>
            <w:tcW w:w="2000" w:type="dxa"/>
          </w:tcPr>
          <w:p>
            <w:pPr>
              <w:spacing w:line="360" w:lineRule="auto"/>
              <w:rPr>
                <w:rFonts w:cs="仿宋_GB2312"/>
                <w:color w:val="auto"/>
                <w:sz w:val="24"/>
                <w:highlight w:val="none"/>
              </w:rPr>
            </w:pPr>
          </w:p>
        </w:tc>
        <w:tc>
          <w:tcPr>
            <w:tcW w:w="2876" w:type="dxa"/>
          </w:tcPr>
          <w:p>
            <w:pPr>
              <w:spacing w:line="360" w:lineRule="auto"/>
              <w:rPr>
                <w:rFonts w:cs="仿宋_GB2312"/>
                <w:color w:val="auto"/>
                <w:sz w:val="24"/>
                <w:highlight w:val="none"/>
              </w:rPr>
            </w:pPr>
          </w:p>
        </w:tc>
        <w:tc>
          <w:tcPr>
            <w:tcW w:w="907" w:type="dxa"/>
          </w:tcPr>
          <w:p>
            <w:pPr>
              <w:spacing w:line="360" w:lineRule="auto"/>
              <w:rPr>
                <w:rFonts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47" w:type="dxa"/>
          </w:tcPr>
          <w:p>
            <w:pPr>
              <w:spacing w:line="360" w:lineRule="auto"/>
              <w:rPr>
                <w:rFonts w:cs="仿宋_GB2312"/>
                <w:color w:val="auto"/>
                <w:sz w:val="24"/>
                <w:highlight w:val="none"/>
              </w:rPr>
            </w:pPr>
          </w:p>
        </w:tc>
        <w:tc>
          <w:tcPr>
            <w:tcW w:w="2272" w:type="dxa"/>
          </w:tcPr>
          <w:p>
            <w:pPr>
              <w:spacing w:line="360" w:lineRule="auto"/>
              <w:rPr>
                <w:rFonts w:cs="仿宋_GB2312"/>
                <w:color w:val="auto"/>
                <w:sz w:val="24"/>
                <w:highlight w:val="none"/>
              </w:rPr>
            </w:pPr>
          </w:p>
        </w:tc>
        <w:tc>
          <w:tcPr>
            <w:tcW w:w="2000" w:type="dxa"/>
          </w:tcPr>
          <w:p>
            <w:pPr>
              <w:spacing w:line="360" w:lineRule="auto"/>
              <w:rPr>
                <w:rFonts w:cs="仿宋_GB2312"/>
                <w:color w:val="auto"/>
                <w:sz w:val="24"/>
                <w:highlight w:val="none"/>
              </w:rPr>
            </w:pPr>
          </w:p>
        </w:tc>
        <w:tc>
          <w:tcPr>
            <w:tcW w:w="2876" w:type="dxa"/>
          </w:tcPr>
          <w:p>
            <w:pPr>
              <w:spacing w:line="360" w:lineRule="auto"/>
              <w:rPr>
                <w:rFonts w:cs="仿宋_GB2312"/>
                <w:color w:val="auto"/>
                <w:sz w:val="24"/>
                <w:highlight w:val="none"/>
              </w:rPr>
            </w:pPr>
          </w:p>
        </w:tc>
        <w:tc>
          <w:tcPr>
            <w:tcW w:w="907" w:type="dxa"/>
          </w:tcPr>
          <w:p>
            <w:pPr>
              <w:spacing w:line="360" w:lineRule="auto"/>
              <w:rPr>
                <w:rFonts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47" w:type="dxa"/>
          </w:tcPr>
          <w:p>
            <w:pPr>
              <w:spacing w:line="360" w:lineRule="auto"/>
              <w:rPr>
                <w:rFonts w:cs="仿宋_GB2312"/>
                <w:color w:val="auto"/>
                <w:sz w:val="24"/>
                <w:highlight w:val="none"/>
              </w:rPr>
            </w:pPr>
          </w:p>
        </w:tc>
        <w:tc>
          <w:tcPr>
            <w:tcW w:w="2272" w:type="dxa"/>
          </w:tcPr>
          <w:p>
            <w:pPr>
              <w:spacing w:line="360" w:lineRule="auto"/>
              <w:rPr>
                <w:rFonts w:cs="仿宋_GB2312"/>
                <w:color w:val="auto"/>
                <w:sz w:val="24"/>
                <w:highlight w:val="none"/>
              </w:rPr>
            </w:pPr>
          </w:p>
        </w:tc>
        <w:tc>
          <w:tcPr>
            <w:tcW w:w="2000" w:type="dxa"/>
          </w:tcPr>
          <w:p>
            <w:pPr>
              <w:spacing w:line="360" w:lineRule="auto"/>
              <w:rPr>
                <w:rFonts w:cs="仿宋_GB2312"/>
                <w:color w:val="auto"/>
                <w:sz w:val="24"/>
                <w:highlight w:val="none"/>
              </w:rPr>
            </w:pPr>
          </w:p>
        </w:tc>
        <w:tc>
          <w:tcPr>
            <w:tcW w:w="2876" w:type="dxa"/>
          </w:tcPr>
          <w:p>
            <w:pPr>
              <w:spacing w:line="360" w:lineRule="auto"/>
              <w:rPr>
                <w:rFonts w:cs="仿宋_GB2312"/>
                <w:color w:val="auto"/>
                <w:sz w:val="24"/>
                <w:highlight w:val="none"/>
              </w:rPr>
            </w:pPr>
          </w:p>
        </w:tc>
        <w:tc>
          <w:tcPr>
            <w:tcW w:w="907" w:type="dxa"/>
          </w:tcPr>
          <w:p>
            <w:pPr>
              <w:spacing w:line="360" w:lineRule="auto"/>
              <w:rPr>
                <w:rFonts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7" w:type="dxa"/>
          </w:tcPr>
          <w:p>
            <w:pPr>
              <w:spacing w:line="360" w:lineRule="auto"/>
              <w:rPr>
                <w:rFonts w:cs="仿宋_GB2312"/>
                <w:color w:val="auto"/>
                <w:sz w:val="24"/>
                <w:highlight w:val="none"/>
              </w:rPr>
            </w:pPr>
          </w:p>
        </w:tc>
        <w:tc>
          <w:tcPr>
            <w:tcW w:w="2272" w:type="dxa"/>
          </w:tcPr>
          <w:p>
            <w:pPr>
              <w:spacing w:line="360" w:lineRule="auto"/>
              <w:rPr>
                <w:rFonts w:cs="仿宋_GB2312"/>
                <w:color w:val="auto"/>
                <w:sz w:val="24"/>
                <w:highlight w:val="none"/>
              </w:rPr>
            </w:pPr>
          </w:p>
        </w:tc>
        <w:tc>
          <w:tcPr>
            <w:tcW w:w="2000" w:type="dxa"/>
          </w:tcPr>
          <w:p>
            <w:pPr>
              <w:spacing w:line="360" w:lineRule="auto"/>
              <w:rPr>
                <w:rFonts w:cs="仿宋_GB2312"/>
                <w:color w:val="auto"/>
                <w:sz w:val="24"/>
                <w:highlight w:val="none"/>
              </w:rPr>
            </w:pPr>
          </w:p>
        </w:tc>
        <w:tc>
          <w:tcPr>
            <w:tcW w:w="2876" w:type="dxa"/>
          </w:tcPr>
          <w:p>
            <w:pPr>
              <w:spacing w:line="360" w:lineRule="auto"/>
              <w:rPr>
                <w:rFonts w:cs="仿宋_GB2312"/>
                <w:color w:val="auto"/>
                <w:sz w:val="24"/>
                <w:highlight w:val="none"/>
              </w:rPr>
            </w:pPr>
          </w:p>
        </w:tc>
        <w:tc>
          <w:tcPr>
            <w:tcW w:w="907" w:type="dxa"/>
          </w:tcPr>
          <w:p>
            <w:pPr>
              <w:spacing w:line="360" w:lineRule="auto"/>
              <w:rPr>
                <w:rFonts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47" w:type="dxa"/>
          </w:tcPr>
          <w:p>
            <w:pPr>
              <w:spacing w:line="360" w:lineRule="auto"/>
              <w:rPr>
                <w:rFonts w:cs="仿宋_GB2312"/>
                <w:color w:val="auto"/>
                <w:sz w:val="24"/>
                <w:highlight w:val="none"/>
              </w:rPr>
            </w:pPr>
          </w:p>
        </w:tc>
        <w:tc>
          <w:tcPr>
            <w:tcW w:w="2272" w:type="dxa"/>
          </w:tcPr>
          <w:p>
            <w:pPr>
              <w:spacing w:line="360" w:lineRule="auto"/>
              <w:rPr>
                <w:rFonts w:cs="仿宋_GB2312"/>
                <w:color w:val="auto"/>
                <w:sz w:val="24"/>
                <w:highlight w:val="none"/>
              </w:rPr>
            </w:pPr>
          </w:p>
        </w:tc>
        <w:tc>
          <w:tcPr>
            <w:tcW w:w="2000" w:type="dxa"/>
          </w:tcPr>
          <w:p>
            <w:pPr>
              <w:spacing w:line="360" w:lineRule="auto"/>
              <w:rPr>
                <w:rFonts w:cs="仿宋_GB2312"/>
                <w:color w:val="auto"/>
                <w:sz w:val="24"/>
                <w:highlight w:val="none"/>
              </w:rPr>
            </w:pPr>
          </w:p>
        </w:tc>
        <w:tc>
          <w:tcPr>
            <w:tcW w:w="2876" w:type="dxa"/>
          </w:tcPr>
          <w:p>
            <w:pPr>
              <w:spacing w:line="360" w:lineRule="auto"/>
              <w:rPr>
                <w:rFonts w:cs="仿宋_GB2312"/>
                <w:color w:val="auto"/>
                <w:sz w:val="24"/>
                <w:highlight w:val="none"/>
              </w:rPr>
            </w:pPr>
          </w:p>
        </w:tc>
        <w:tc>
          <w:tcPr>
            <w:tcW w:w="907" w:type="dxa"/>
          </w:tcPr>
          <w:p>
            <w:pPr>
              <w:spacing w:line="360" w:lineRule="auto"/>
              <w:rPr>
                <w:rFonts w:cs="仿宋_GB2312"/>
                <w:color w:val="auto"/>
                <w:sz w:val="24"/>
                <w:highlight w:val="none"/>
              </w:rPr>
            </w:pPr>
          </w:p>
        </w:tc>
      </w:tr>
    </w:tbl>
    <w:p>
      <w:pPr>
        <w:spacing w:line="360" w:lineRule="auto"/>
        <w:rPr>
          <w:rFonts w:cs="仿宋_GB2312"/>
          <w:color w:val="auto"/>
          <w:sz w:val="24"/>
          <w:highlight w:val="none"/>
        </w:rPr>
      </w:pPr>
    </w:p>
    <w:p>
      <w:pPr>
        <w:spacing w:line="360" w:lineRule="auto"/>
        <w:rPr>
          <w:rFonts w:cs="仿宋_GB2312"/>
          <w:color w:val="auto"/>
          <w:sz w:val="24"/>
          <w:highlight w:val="none"/>
        </w:rPr>
      </w:pPr>
    </w:p>
    <w:p>
      <w:pPr>
        <w:spacing w:line="360" w:lineRule="auto"/>
        <w:rPr>
          <w:rFonts w:cs="仿宋_GB2312"/>
          <w:color w:val="auto"/>
          <w:sz w:val="24"/>
          <w:highlight w:val="none"/>
        </w:rPr>
      </w:pPr>
      <w:r>
        <w:rPr>
          <w:rFonts w:hint="eastAsia" w:cs="仿宋_GB2312"/>
          <w:color w:val="auto"/>
          <w:sz w:val="24"/>
          <w:highlight w:val="none"/>
        </w:rPr>
        <w:t>投标人全称（盖章）：</w:t>
      </w:r>
    </w:p>
    <w:p>
      <w:pPr>
        <w:spacing w:line="360" w:lineRule="auto"/>
        <w:rPr>
          <w:rFonts w:cs="仿宋_GB2312"/>
          <w:color w:val="auto"/>
          <w:sz w:val="24"/>
          <w:highlight w:val="none"/>
        </w:rPr>
      </w:pPr>
    </w:p>
    <w:p>
      <w:pPr>
        <w:spacing w:line="360" w:lineRule="auto"/>
        <w:rPr>
          <w:rFonts w:cs="仿宋_GB2312"/>
          <w:color w:val="auto"/>
          <w:sz w:val="24"/>
          <w:highlight w:val="none"/>
        </w:rPr>
      </w:pPr>
      <w:r>
        <w:rPr>
          <w:rFonts w:hint="eastAsia" w:cs="仿宋_GB2312"/>
          <w:color w:val="auto"/>
          <w:sz w:val="24"/>
          <w:highlight w:val="none"/>
        </w:rPr>
        <w:t>法定代表人或授权代表（签字）：</w:t>
      </w:r>
    </w:p>
    <w:p>
      <w:pPr>
        <w:spacing w:line="360" w:lineRule="auto"/>
        <w:rPr>
          <w:rFonts w:cs="仿宋_GB2312"/>
          <w:color w:val="auto"/>
          <w:sz w:val="24"/>
          <w:highlight w:val="none"/>
        </w:rPr>
      </w:pPr>
    </w:p>
    <w:p>
      <w:pPr>
        <w:spacing w:line="360" w:lineRule="auto"/>
        <w:rPr>
          <w:rFonts w:cs="仿宋_GB2312"/>
          <w:color w:val="auto"/>
          <w:sz w:val="24"/>
          <w:highlight w:val="none"/>
        </w:rPr>
      </w:pPr>
      <w:r>
        <w:rPr>
          <w:rFonts w:cs="仿宋_GB2312"/>
          <w:color w:val="auto"/>
          <w:sz w:val="24"/>
          <w:highlight w:val="none"/>
        </w:rPr>
        <w:t>年月日</w:t>
      </w:r>
    </w:p>
    <w:p>
      <w:pPr>
        <w:widowControl/>
        <w:autoSpaceDE/>
        <w:autoSpaceDN/>
        <w:rPr>
          <w:rFonts w:ascii="Microsoft JhengHei" w:hAnsi="Microsoft JhengHei" w:eastAsia="Microsoft JhengHei" w:cs="Microsoft JhengHei"/>
          <w:b/>
          <w:bCs/>
          <w:color w:val="auto"/>
          <w:sz w:val="32"/>
          <w:szCs w:val="32"/>
          <w:highlight w:val="none"/>
        </w:rPr>
      </w:pPr>
      <w:r>
        <w:rPr>
          <w:color w:val="auto"/>
          <w:highlight w:val="none"/>
        </w:rPr>
        <w:br w:type="page"/>
      </w:r>
    </w:p>
    <w:p>
      <w:pPr>
        <w:pStyle w:val="56"/>
        <w:spacing w:line="525" w:lineRule="exact"/>
        <w:ind w:left="0" w:right="297" w:firstLine="0"/>
        <w:jc w:val="center"/>
        <w:rPr>
          <w:color w:val="auto"/>
          <w:highlight w:val="none"/>
        </w:rPr>
      </w:pPr>
      <w:r>
        <w:rPr>
          <w:rFonts w:hint="eastAsia" w:ascii="宋体" w:hAnsi="宋体" w:eastAsia="宋体" w:cs="宋体"/>
          <w:color w:val="auto"/>
          <w:highlight w:val="none"/>
          <w:lang w:val="en-US"/>
        </w:rPr>
        <w:t>七</w:t>
      </w:r>
      <w:r>
        <w:rPr>
          <w:rFonts w:hint="eastAsia" w:ascii="宋体" w:hAnsi="宋体" w:eastAsia="宋体" w:cs="宋体"/>
          <w:color w:val="auto"/>
          <w:highlight w:val="none"/>
        </w:rPr>
        <w:t>、分项报价表</w:t>
      </w:r>
    </w:p>
    <w:p>
      <w:pPr>
        <w:pStyle w:val="15"/>
        <w:rPr>
          <w:rFonts w:ascii="Microsoft JhengHei"/>
          <w:b/>
          <w:color w:val="auto"/>
          <w:sz w:val="20"/>
          <w:highlight w:val="none"/>
        </w:rPr>
      </w:pPr>
    </w:p>
    <w:p>
      <w:pPr>
        <w:pStyle w:val="15"/>
        <w:rPr>
          <w:rFonts w:ascii="Microsoft JhengHei"/>
          <w:b/>
          <w:color w:val="auto"/>
          <w:sz w:val="10"/>
          <w:highlight w:val="none"/>
        </w:rPr>
      </w:pPr>
    </w:p>
    <w:p>
      <w:pPr>
        <w:pStyle w:val="60"/>
        <w:numPr>
          <w:ilvl w:val="0"/>
          <w:numId w:val="5"/>
        </w:numPr>
        <w:tabs>
          <w:tab w:val="left" w:pos="1085"/>
        </w:tabs>
        <w:spacing w:before="78"/>
        <w:rPr>
          <w:color w:val="auto"/>
          <w:sz w:val="24"/>
          <w:szCs w:val="24"/>
          <w:highlight w:val="none"/>
        </w:rPr>
      </w:pPr>
      <w:r>
        <w:rPr>
          <w:color w:val="auto"/>
          <w:sz w:val="24"/>
          <w:szCs w:val="24"/>
          <w:highlight w:val="none"/>
        </w:rPr>
        <w:t>分项报价表说明（内容自拟）</w:t>
      </w:r>
    </w:p>
    <w:p>
      <w:pPr>
        <w:pStyle w:val="60"/>
        <w:numPr>
          <w:ilvl w:val="0"/>
          <w:numId w:val="5"/>
        </w:numPr>
        <w:tabs>
          <w:tab w:val="left" w:pos="1085"/>
        </w:tabs>
        <w:spacing w:before="173"/>
        <w:rPr>
          <w:color w:val="auto"/>
          <w:sz w:val="24"/>
          <w:szCs w:val="24"/>
          <w:highlight w:val="none"/>
        </w:rPr>
      </w:pPr>
      <w:r>
        <w:rPr>
          <w:color w:val="auto"/>
          <w:sz w:val="24"/>
          <w:szCs w:val="24"/>
          <w:highlight w:val="none"/>
        </w:rPr>
        <w:t>分项报价表</w:t>
      </w:r>
    </w:p>
    <w:p>
      <w:pPr>
        <w:pStyle w:val="15"/>
        <w:spacing w:before="170" w:after="28"/>
        <w:ind w:right="694"/>
        <w:jc w:val="right"/>
        <w:rPr>
          <w:color w:val="auto"/>
          <w:highlight w:val="none"/>
        </w:rPr>
      </w:pPr>
      <w:r>
        <w:rPr>
          <w:color w:val="auto"/>
          <w:sz w:val="24"/>
          <w:szCs w:val="24"/>
          <w:highlight w:val="none"/>
        </w:rPr>
        <w:t>单位：人民币元</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1701"/>
        <w:gridCol w:w="978"/>
        <w:gridCol w:w="864"/>
        <w:gridCol w:w="1276"/>
        <w:gridCol w:w="1418"/>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709" w:type="dxa"/>
            <w:vAlign w:val="center"/>
          </w:tcPr>
          <w:p>
            <w:pPr>
              <w:pStyle w:val="61"/>
              <w:spacing w:line="385" w:lineRule="exact"/>
              <w:ind w:left="115" w:right="108"/>
              <w:jc w:val="center"/>
              <w:rPr>
                <w:b/>
                <w:color w:val="auto"/>
                <w:sz w:val="24"/>
                <w:szCs w:val="24"/>
                <w:highlight w:val="none"/>
              </w:rPr>
            </w:pPr>
            <w:r>
              <w:rPr>
                <w:rFonts w:hint="eastAsia"/>
                <w:b/>
                <w:color w:val="auto"/>
                <w:sz w:val="24"/>
                <w:szCs w:val="24"/>
                <w:highlight w:val="none"/>
              </w:rPr>
              <w:t>序号</w:t>
            </w:r>
          </w:p>
        </w:tc>
        <w:tc>
          <w:tcPr>
            <w:tcW w:w="1701" w:type="dxa"/>
            <w:tcBorders>
              <w:right w:val="single" w:color="000000" w:sz="6" w:space="0"/>
            </w:tcBorders>
            <w:vAlign w:val="center"/>
          </w:tcPr>
          <w:p>
            <w:pPr>
              <w:pStyle w:val="61"/>
              <w:spacing w:line="385" w:lineRule="exact"/>
              <w:ind w:left="339" w:right="328"/>
              <w:jc w:val="center"/>
              <w:rPr>
                <w:b/>
                <w:color w:val="auto"/>
                <w:sz w:val="24"/>
                <w:szCs w:val="24"/>
                <w:highlight w:val="none"/>
              </w:rPr>
            </w:pPr>
            <w:r>
              <w:rPr>
                <w:rFonts w:hint="eastAsia"/>
                <w:b/>
                <w:color w:val="auto"/>
                <w:sz w:val="24"/>
                <w:szCs w:val="24"/>
                <w:highlight w:val="none"/>
              </w:rPr>
              <w:t>分项名称</w:t>
            </w:r>
          </w:p>
        </w:tc>
        <w:tc>
          <w:tcPr>
            <w:tcW w:w="978" w:type="dxa"/>
            <w:tcBorders>
              <w:left w:val="single" w:color="000000" w:sz="6" w:space="0"/>
            </w:tcBorders>
            <w:vAlign w:val="center"/>
          </w:tcPr>
          <w:p>
            <w:pPr>
              <w:pStyle w:val="61"/>
              <w:spacing w:line="385" w:lineRule="exact"/>
              <w:jc w:val="center"/>
              <w:rPr>
                <w:b/>
                <w:color w:val="auto"/>
                <w:sz w:val="24"/>
                <w:szCs w:val="24"/>
                <w:highlight w:val="none"/>
              </w:rPr>
            </w:pPr>
            <w:r>
              <w:rPr>
                <w:rFonts w:hint="eastAsia"/>
                <w:b/>
                <w:color w:val="auto"/>
                <w:sz w:val="24"/>
                <w:szCs w:val="24"/>
                <w:highlight w:val="none"/>
              </w:rPr>
              <w:t>单位</w:t>
            </w:r>
          </w:p>
        </w:tc>
        <w:tc>
          <w:tcPr>
            <w:tcW w:w="864" w:type="dxa"/>
            <w:vAlign w:val="center"/>
          </w:tcPr>
          <w:p>
            <w:pPr>
              <w:pStyle w:val="61"/>
              <w:spacing w:line="385" w:lineRule="exact"/>
              <w:jc w:val="center"/>
              <w:rPr>
                <w:b/>
                <w:color w:val="auto"/>
                <w:sz w:val="24"/>
                <w:szCs w:val="24"/>
                <w:highlight w:val="none"/>
              </w:rPr>
            </w:pPr>
            <w:r>
              <w:rPr>
                <w:rFonts w:hint="eastAsia"/>
                <w:b/>
                <w:color w:val="auto"/>
                <w:sz w:val="24"/>
                <w:szCs w:val="24"/>
                <w:highlight w:val="none"/>
              </w:rPr>
              <w:t>数量</w:t>
            </w:r>
          </w:p>
        </w:tc>
        <w:tc>
          <w:tcPr>
            <w:tcW w:w="1276" w:type="dxa"/>
            <w:vAlign w:val="center"/>
          </w:tcPr>
          <w:p>
            <w:pPr>
              <w:pStyle w:val="61"/>
              <w:spacing w:line="385" w:lineRule="exact"/>
              <w:ind w:left="179"/>
              <w:jc w:val="center"/>
              <w:rPr>
                <w:b/>
                <w:color w:val="auto"/>
                <w:sz w:val="24"/>
                <w:szCs w:val="24"/>
                <w:highlight w:val="none"/>
              </w:rPr>
            </w:pPr>
            <w:r>
              <w:rPr>
                <w:rFonts w:hint="eastAsia"/>
                <w:b/>
                <w:color w:val="auto"/>
                <w:sz w:val="24"/>
                <w:szCs w:val="24"/>
                <w:highlight w:val="none"/>
              </w:rPr>
              <w:t>单价（元）</w:t>
            </w:r>
          </w:p>
        </w:tc>
        <w:tc>
          <w:tcPr>
            <w:tcW w:w="1418" w:type="dxa"/>
            <w:vAlign w:val="center"/>
          </w:tcPr>
          <w:p>
            <w:pPr>
              <w:pStyle w:val="61"/>
              <w:spacing w:line="385" w:lineRule="exact"/>
              <w:ind w:left="323"/>
              <w:jc w:val="center"/>
              <w:rPr>
                <w:b/>
                <w:color w:val="auto"/>
                <w:sz w:val="24"/>
                <w:szCs w:val="24"/>
                <w:highlight w:val="none"/>
              </w:rPr>
            </w:pPr>
            <w:r>
              <w:rPr>
                <w:rFonts w:hint="eastAsia"/>
                <w:b/>
                <w:color w:val="auto"/>
                <w:sz w:val="24"/>
                <w:szCs w:val="24"/>
                <w:highlight w:val="none"/>
              </w:rPr>
              <w:t>总价（元）</w:t>
            </w:r>
          </w:p>
        </w:tc>
        <w:tc>
          <w:tcPr>
            <w:tcW w:w="1134" w:type="dxa"/>
            <w:vAlign w:val="center"/>
          </w:tcPr>
          <w:p>
            <w:pPr>
              <w:pStyle w:val="61"/>
              <w:spacing w:line="385" w:lineRule="exact"/>
              <w:ind w:left="427"/>
              <w:jc w:val="center"/>
              <w:rPr>
                <w:b/>
                <w:color w:val="auto"/>
                <w:sz w:val="24"/>
                <w:szCs w:val="24"/>
                <w:highlight w:val="none"/>
              </w:rPr>
            </w:pPr>
            <w:r>
              <w:rPr>
                <w:rFonts w:hint="eastAsia"/>
                <w:b/>
                <w:color w:val="auto"/>
                <w:sz w:val="24"/>
                <w:szCs w:val="24"/>
                <w:highlight w:val="none"/>
              </w:rPr>
              <w:t>质保期</w:t>
            </w:r>
          </w:p>
        </w:tc>
        <w:tc>
          <w:tcPr>
            <w:tcW w:w="1134" w:type="dxa"/>
            <w:vAlign w:val="center"/>
          </w:tcPr>
          <w:p>
            <w:pPr>
              <w:pStyle w:val="61"/>
              <w:spacing w:line="385" w:lineRule="exact"/>
              <w:ind w:left="427"/>
              <w:jc w:val="center"/>
              <w:rPr>
                <w:b/>
                <w:color w:val="auto"/>
                <w:sz w:val="24"/>
                <w:szCs w:val="24"/>
                <w:highlight w:val="none"/>
              </w:rPr>
            </w:pPr>
            <w:r>
              <w:rPr>
                <w:rFonts w:hint="eastAsia"/>
                <w:b/>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709" w:type="dxa"/>
            <w:vAlign w:val="center"/>
          </w:tcPr>
          <w:p>
            <w:pPr>
              <w:pStyle w:val="61"/>
              <w:spacing w:before="75"/>
              <w:ind w:left="7"/>
              <w:jc w:val="center"/>
              <w:rPr>
                <w:color w:val="auto"/>
                <w:sz w:val="24"/>
                <w:szCs w:val="24"/>
                <w:highlight w:val="none"/>
              </w:rPr>
            </w:pPr>
            <w:r>
              <w:rPr>
                <w:rFonts w:hint="eastAsia"/>
                <w:color w:val="auto"/>
                <w:sz w:val="24"/>
                <w:szCs w:val="24"/>
                <w:highlight w:val="none"/>
              </w:rPr>
              <w:t>1</w:t>
            </w:r>
          </w:p>
        </w:tc>
        <w:tc>
          <w:tcPr>
            <w:tcW w:w="1701" w:type="dxa"/>
            <w:tcBorders>
              <w:right w:val="single" w:color="000000" w:sz="6" w:space="0"/>
            </w:tcBorders>
            <w:vAlign w:val="center"/>
          </w:tcPr>
          <w:p>
            <w:pPr>
              <w:pStyle w:val="61"/>
              <w:jc w:val="center"/>
              <w:rPr>
                <w:color w:val="auto"/>
                <w:sz w:val="24"/>
                <w:szCs w:val="24"/>
                <w:highlight w:val="none"/>
              </w:rPr>
            </w:pPr>
          </w:p>
        </w:tc>
        <w:tc>
          <w:tcPr>
            <w:tcW w:w="978" w:type="dxa"/>
            <w:tcBorders>
              <w:left w:val="single" w:color="000000" w:sz="6" w:space="0"/>
            </w:tcBorders>
            <w:vAlign w:val="center"/>
          </w:tcPr>
          <w:p>
            <w:pPr>
              <w:pStyle w:val="61"/>
              <w:jc w:val="center"/>
              <w:rPr>
                <w:color w:val="auto"/>
                <w:sz w:val="24"/>
                <w:szCs w:val="24"/>
                <w:highlight w:val="none"/>
              </w:rPr>
            </w:pPr>
          </w:p>
        </w:tc>
        <w:tc>
          <w:tcPr>
            <w:tcW w:w="864" w:type="dxa"/>
            <w:vAlign w:val="center"/>
          </w:tcPr>
          <w:p>
            <w:pPr>
              <w:pStyle w:val="61"/>
              <w:jc w:val="center"/>
              <w:rPr>
                <w:color w:val="auto"/>
                <w:sz w:val="24"/>
                <w:szCs w:val="24"/>
                <w:highlight w:val="none"/>
              </w:rPr>
            </w:pPr>
          </w:p>
        </w:tc>
        <w:tc>
          <w:tcPr>
            <w:tcW w:w="1276" w:type="dxa"/>
            <w:vAlign w:val="center"/>
          </w:tcPr>
          <w:p>
            <w:pPr>
              <w:pStyle w:val="61"/>
              <w:jc w:val="center"/>
              <w:rPr>
                <w:color w:val="auto"/>
                <w:sz w:val="24"/>
                <w:szCs w:val="24"/>
                <w:highlight w:val="none"/>
              </w:rPr>
            </w:pPr>
          </w:p>
        </w:tc>
        <w:tc>
          <w:tcPr>
            <w:tcW w:w="1418" w:type="dxa"/>
            <w:vAlign w:val="center"/>
          </w:tcPr>
          <w:p>
            <w:pPr>
              <w:pStyle w:val="61"/>
              <w:jc w:val="center"/>
              <w:rPr>
                <w:b/>
                <w:color w:val="auto"/>
                <w:sz w:val="24"/>
                <w:szCs w:val="24"/>
                <w:highlight w:val="none"/>
              </w:rPr>
            </w:pPr>
          </w:p>
        </w:tc>
        <w:tc>
          <w:tcPr>
            <w:tcW w:w="1134" w:type="dxa"/>
            <w:vAlign w:val="center"/>
          </w:tcPr>
          <w:p>
            <w:pPr>
              <w:pStyle w:val="61"/>
              <w:jc w:val="center"/>
              <w:rPr>
                <w:b/>
                <w:color w:val="auto"/>
                <w:sz w:val="24"/>
                <w:szCs w:val="24"/>
                <w:highlight w:val="none"/>
              </w:rPr>
            </w:pPr>
          </w:p>
        </w:tc>
        <w:tc>
          <w:tcPr>
            <w:tcW w:w="1134" w:type="dxa"/>
            <w:vAlign w:val="center"/>
          </w:tcPr>
          <w:p>
            <w:pPr>
              <w:pStyle w:val="61"/>
              <w:jc w:val="center"/>
              <w:rPr>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709" w:type="dxa"/>
            <w:vAlign w:val="center"/>
          </w:tcPr>
          <w:p>
            <w:pPr>
              <w:pStyle w:val="61"/>
              <w:spacing w:before="75"/>
              <w:ind w:left="7"/>
              <w:jc w:val="center"/>
              <w:rPr>
                <w:color w:val="auto"/>
                <w:sz w:val="24"/>
                <w:szCs w:val="24"/>
                <w:highlight w:val="none"/>
              </w:rPr>
            </w:pPr>
            <w:r>
              <w:rPr>
                <w:rFonts w:hint="eastAsia"/>
                <w:color w:val="auto"/>
                <w:sz w:val="24"/>
                <w:szCs w:val="24"/>
                <w:highlight w:val="none"/>
              </w:rPr>
              <w:t>2</w:t>
            </w:r>
          </w:p>
        </w:tc>
        <w:tc>
          <w:tcPr>
            <w:tcW w:w="1701" w:type="dxa"/>
            <w:tcBorders>
              <w:right w:val="single" w:color="000000" w:sz="6" w:space="0"/>
            </w:tcBorders>
            <w:vAlign w:val="center"/>
          </w:tcPr>
          <w:p>
            <w:pPr>
              <w:pStyle w:val="61"/>
              <w:jc w:val="center"/>
              <w:rPr>
                <w:color w:val="auto"/>
                <w:sz w:val="24"/>
                <w:szCs w:val="24"/>
                <w:highlight w:val="none"/>
              </w:rPr>
            </w:pPr>
          </w:p>
        </w:tc>
        <w:tc>
          <w:tcPr>
            <w:tcW w:w="978" w:type="dxa"/>
            <w:tcBorders>
              <w:left w:val="single" w:color="000000" w:sz="6" w:space="0"/>
            </w:tcBorders>
            <w:vAlign w:val="center"/>
          </w:tcPr>
          <w:p>
            <w:pPr>
              <w:pStyle w:val="61"/>
              <w:jc w:val="center"/>
              <w:rPr>
                <w:color w:val="auto"/>
                <w:sz w:val="24"/>
                <w:szCs w:val="24"/>
                <w:highlight w:val="none"/>
              </w:rPr>
            </w:pPr>
          </w:p>
        </w:tc>
        <w:tc>
          <w:tcPr>
            <w:tcW w:w="864" w:type="dxa"/>
            <w:vAlign w:val="center"/>
          </w:tcPr>
          <w:p>
            <w:pPr>
              <w:pStyle w:val="61"/>
              <w:jc w:val="center"/>
              <w:rPr>
                <w:color w:val="auto"/>
                <w:sz w:val="24"/>
                <w:szCs w:val="24"/>
                <w:highlight w:val="none"/>
              </w:rPr>
            </w:pPr>
          </w:p>
        </w:tc>
        <w:tc>
          <w:tcPr>
            <w:tcW w:w="1276" w:type="dxa"/>
            <w:vAlign w:val="center"/>
          </w:tcPr>
          <w:p>
            <w:pPr>
              <w:pStyle w:val="61"/>
              <w:jc w:val="center"/>
              <w:rPr>
                <w:color w:val="auto"/>
                <w:sz w:val="24"/>
                <w:szCs w:val="24"/>
                <w:highlight w:val="none"/>
              </w:rPr>
            </w:pPr>
          </w:p>
        </w:tc>
        <w:tc>
          <w:tcPr>
            <w:tcW w:w="1418" w:type="dxa"/>
            <w:vAlign w:val="center"/>
          </w:tcPr>
          <w:p>
            <w:pPr>
              <w:pStyle w:val="61"/>
              <w:jc w:val="center"/>
              <w:rPr>
                <w:color w:val="auto"/>
                <w:sz w:val="24"/>
                <w:szCs w:val="24"/>
                <w:highlight w:val="none"/>
              </w:rPr>
            </w:pPr>
          </w:p>
        </w:tc>
        <w:tc>
          <w:tcPr>
            <w:tcW w:w="1134" w:type="dxa"/>
            <w:vAlign w:val="center"/>
          </w:tcPr>
          <w:p>
            <w:pPr>
              <w:pStyle w:val="61"/>
              <w:jc w:val="center"/>
              <w:rPr>
                <w:color w:val="auto"/>
                <w:sz w:val="24"/>
                <w:szCs w:val="24"/>
                <w:highlight w:val="none"/>
              </w:rPr>
            </w:pPr>
          </w:p>
        </w:tc>
        <w:tc>
          <w:tcPr>
            <w:tcW w:w="1134" w:type="dxa"/>
            <w:vAlign w:val="center"/>
          </w:tcPr>
          <w:p>
            <w:pPr>
              <w:pStyle w:val="61"/>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709" w:type="dxa"/>
            <w:vAlign w:val="center"/>
          </w:tcPr>
          <w:p>
            <w:pPr>
              <w:pStyle w:val="61"/>
              <w:spacing w:before="75"/>
              <w:ind w:left="7"/>
              <w:jc w:val="center"/>
              <w:rPr>
                <w:color w:val="auto"/>
                <w:sz w:val="24"/>
                <w:szCs w:val="24"/>
                <w:highlight w:val="none"/>
              </w:rPr>
            </w:pPr>
            <w:r>
              <w:rPr>
                <w:rFonts w:hint="eastAsia"/>
                <w:color w:val="auto"/>
                <w:sz w:val="24"/>
                <w:szCs w:val="24"/>
                <w:highlight w:val="none"/>
              </w:rPr>
              <w:t>3</w:t>
            </w:r>
          </w:p>
        </w:tc>
        <w:tc>
          <w:tcPr>
            <w:tcW w:w="1701" w:type="dxa"/>
            <w:tcBorders>
              <w:right w:val="single" w:color="000000" w:sz="6" w:space="0"/>
            </w:tcBorders>
            <w:vAlign w:val="center"/>
          </w:tcPr>
          <w:p>
            <w:pPr>
              <w:pStyle w:val="61"/>
              <w:jc w:val="center"/>
              <w:rPr>
                <w:color w:val="auto"/>
                <w:sz w:val="24"/>
                <w:szCs w:val="24"/>
                <w:highlight w:val="none"/>
              </w:rPr>
            </w:pPr>
          </w:p>
        </w:tc>
        <w:tc>
          <w:tcPr>
            <w:tcW w:w="978" w:type="dxa"/>
            <w:tcBorders>
              <w:left w:val="single" w:color="000000" w:sz="6" w:space="0"/>
            </w:tcBorders>
            <w:vAlign w:val="center"/>
          </w:tcPr>
          <w:p>
            <w:pPr>
              <w:pStyle w:val="61"/>
              <w:jc w:val="center"/>
              <w:rPr>
                <w:color w:val="auto"/>
                <w:sz w:val="24"/>
                <w:szCs w:val="24"/>
                <w:highlight w:val="none"/>
              </w:rPr>
            </w:pPr>
          </w:p>
        </w:tc>
        <w:tc>
          <w:tcPr>
            <w:tcW w:w="864" w:type="dxa"/>
            <w:vAlign w:val="center"/>
          </w:tcPr>
          <w:p>
            <w:pPr>
              <w:pStyle w:val="61"/>
              <w:jc w:val="center"/>
              <w:rPr>
                <w:color w:val="auto"/>
                <w:sz w:val="24"/>
                <w:szCs w:val="24"/>
                <w:highlight w:val="none"/>
              </w:rPr>
            </w:pPr>
          </w:p>
        </w:tc>
        <w:tc>
          <w:tcPr>
            <w:tcW w:w="1276" w:type="dxa"/>
            <w:vAlign w:val="center"/>
          </w:tcPr>
          <w:p>
            <w:pPr>
              <w:pStyle w:val="61"/>
              <w:jc w:val="center"/>
              <w:rPr>
                <w:color w:val="auto"/>
                <w:sz w:val="24"/>
                <w:szCs w:val="24"/>
                <w:highlight w:val="none"/>
              </w:rPr>
            </w:pPr>
          </w:p>
        </w:tc>
        <w:tc>
          <w:tcPr>
            <w:tcW w:w="1418" w:type="dxa"/>
            <w:vAlign w:val="center"/>
          </w:tcPr>
          <w:p>
            <w:pPr>
              <w:pStyle w:val="61"/>
              <w:jc w:val="center"/>
              <w:rPr>
                <w:color w:val="auto"/>
                <w:sz w:val="24"/>
                <w:szCs w:val="24"/>
                <w:highlight w:val="none"/>
              </w:rPr>
            </w:pPr>
          </w:p>
        </w:tc>
        <w:tc>
          <w:tcPr>
            <w:tcW w:w="1134" w:type="dxa"/>
            <w:vAlign w:val="center"/>
          </w:tcPr>
          <w:p>
            <w:pPr>
              <w:pStyle w:val="61"/>
              <w:jc w:val="center"/>
              <w:rPr>
                <w:color w:val="auto"/>
                <w:sz w:val="24"/>
                <w:szCs w:val="24"/>
                <w:highlight w:val="none"/>
              </w:rPr>
            </w:pPr>
          </w:p>
        </w:tc>
        <w:tc>
          <w:tcPr>
            <w:tcW w:w="1134" w:type="dxa"/>
            <w:vAlign w:val="center"/>
          </w:tcPr>
          <w:p>
            <w:pPr>
              <w:pStyle w:val="61"/>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709" w:type="dxa"/>
            <w:vAlign w:val="center"/>
          </w:tcPr>
          <w:p>
            <w:pPr>
              <w:pStyle w:val="61"/>
              <w:spacing w:before="75"/>
              <w:ind w:left="7"/>
              <w:jc w:val="center"/>
              <w:rPr>
                <w:color w:val="auto"/>
                <w:sz w:val="24"/>
                <w:szCs w:val="24"/>
                <w:highlight w:val="none"/>
              </w:rPr>
            </w:pPr>
            <w:r>
              <w:rPr>
                <w:rFonts w:hint="eastAsia"/>
                <w:color w:val="auto"/>
                <w:sz w:val="24"/>
                <w:szCs w:val="24"/>
                <w:highlight w:val="none"/>
              </w:rPr>
              <w:t>4</w:t>
            </w:r>
          </w:p>
        </w:tc>
        <w:tc>
          <w:tcPr>
            <w:tcW w:w="1701" w:type="dxa"/>
            <w:tcBorders>
              <w:right w:val="single" w:color="000000" w:sz="6" w:space="0"/>
            </w:tcBorders>
            <w:vAlign w:val="center"/>
          </w:tcPr>
          <w:p>
            <w:pPr>
              <w:pStyle w:val="61"/>
              <w:jc w:val="center"/>
              <w:rPr>
                <w:color w:val="auto"/>
                <w:sz w:val="24"/>
                <w:szCs w:val="24"/>
                <w:highlight w:val="none"/>
              </w:rPr>
            </w:pPr>
          </w:p>
        </w:tc>
        <w:tc>
          <w:tcPr>
            <w:tcW w:w="978" w:type="dxa"/>
            <w:tcBorders>
              <w:left w:val="single" w:color="000000" w:sz="6" w:space="0"/>
            </w:tcBorders>
            <w:vAlign w:val="center"/>
          </w:tcPr>
          <w:p>
            <w:pPr>
              <w:pStyle w:val="61"/>
              <w:jc w:val="center"/>
              <w:rPr>
                <w:color w:val="auto"/>
                <w:sz w:val="24"/>
                <w:szCs w:val="24"/>
                <w:highlight w:val="none"/>
              </w:rPr>
            </w:pPr>
          </w:p>
        </w:tc>
        <w:tc>
          <w:tcPr>
            <w:tcW w:w="864" w:type="dxa"/>
            <w:vAlign w:val="center"/>
          </w:tcPr>
          <w:p>
            <w:pPr>
              <w:pStyle w:val="61"/>
              <w:jc w:val="center"/>
              <w:rPr>
                <w:color w:val="auto"/>
                <w:sz w:val="24"/>
                <w:szCs w:val="24"/>
                <w:highlight w:val="none"/>
              </w:rPr>
            </w:pPr>
          </w:p>
        </w:tc>
        <w:tc>
          <w:tcPr>
            <w:tcW w:w="1276" w:type="dxa"/>
            <w:vAlign w:val="center"/>
          </w:tcPr>
          <w:p>
            <w:pPr>
              <w:pStyle w:val="61"/>
              <w:jc w:val="center"/>
              <w:rPr>
                <w:color w:val="auto"/>
                <w:sz w:val="24"/>
                <w:szCs w:val="24"/>
                <w:highlight w:val="none"/>
              </w:rPr>
            </w:pPr>
          </w:p>
        </w:tc>
        <w:tc>
          <w:tcPr>
            <w:tcW w:w="1418" w:type="dxa"/>
            <w:vAlign w:val="center"/>
          </w:tcPr>
          <w:p>
            <w:pPr>
              <w:pStyle w:val="61"/>
              <w:jc w:val="center"/>
              <w:rPr>
                <w:color w:val="auto"/>
                <w:sz w:val="24"/>
                <w:szCs w:val="24"/>
                <w:highlight w:val="none"/>
              </w:rPr>
            </w:pPr>
          </w:p>
        </w:tc>
        <w:tc>
          <w:tcPr>
            <w:tcW w:w="1134" w:type="dxa"/>
            <w:vAlign w:val="center"/>
          </w:tcPr>
          <w:p>
            <w:pPr>
              <w:pStyle w:val="61"/>
              <w:jc w:val="center"/>
              <w:rPr>
                <w:color w:val="auto"/>
                <w:sz w:val="24"/>
                <w:szCs w:val="24"/>
                <w:highlight w:val="none"/>
              </w:rPr>
            </w:pPr>
          </w:p>
        </w:tc>
        <w:tc>
          <w:tcPr>
            <w:tcW w:w="1134" w:type="dxa"/>
            <w:vAlign w:val="center"/>
          </w:tcPr>
          <w:p>
            <w:pPr>
              <w:pStyle w:val="61"/>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709" w:type="dxa"/>
            <w:vAlign w:val="center"/>
          </w:tcPr>
          <w:p>
            <w:pPr>
              <w:pStyle w:val="61"/>
              <w:spacing w:before="75"/>
              <w:ind w:left="7"/>
              <w:jc w:val="center"/>
              <w:rPr>
                <w:color w:val="auto"/>
                <w:sz w:val="24"/>
                <w:szCs w:val="24"/>
                <w:highlight w:val="none"/>
              </w:rPr>
            </w:pPr>
            <w:r>
              <w:rPr>
                <w:rFonts w:hint="eastAsia"/>
                <w:color w:val="auto"/>
                <w:sz w:val="24"/>
                <w:szCs w:val="24"/>
                <w:highlight w:val="none"/>
              </w:rPr>
              <w:t>5</w:t>
            </w:r>
          </w:p>
        </w:tc>
        <w:tc>
          <w:tcPr>
            <w:tcW w:w="1701" w:type="dxa"/>
            <w:tcBorders>
              <w:right w:val="single" w:color="000000" w:sz="6" w:space="0"/>
            </w:tcBorders>
            <w:vAlign w:val="center"/>
          </w:tcPr>
          <w:p>
            <w:pPr>
              <w:pStyle w:val="61"/>
              <w:jc w:val="center"/>
              <w:rPr>
                <w:color w:val="auto"/>
                <w:sz w:val="24"/>
                <w:szCs w:val="24"/>
                <w:highlight w:val="none"/>
              </w:rPr>
            </w:pPr>
          </w:p>
        </w:tc>
        <w:tc>
          <w:tcPr>
            <w:tcW w:w="978" w:type="dxa"/>
            <w:tcBorders>
              <w:left w:val="single" w:color="000000" w:sz="6" w:space="0"/>
            </w:tcBorders>
            <w:vAlign w:val="center"/>
          </w:tcPr>
          <w:p>
            <w:pPr>
              <w:pStyle w:val="61"/>
              <w:jc w:val="center"/>
              <w:rPr>
                <w:color w:val="auto"/>
                <w:sz w:val="24"/>
                <w:szCs w:val="24"/>
                <w:highlight w:val="none"/>
              </w:rPr>
            </w:pPr>
          </w:p>
        </w:tc>
        <w:tc>
          <w:tcPr>
            <w:tcW w:w="864" w:type="dxa"/>
            <w:vAlign w:val="center"/>
          </w:tcPr>
          <w:p>
            <w:pPr>
              <w:pStyle w:val="61"/>
              <w:jc w:val="center"/>
              <w:rPr>
                <w:color w:val="auto"/>
                <w:sz w:val="24"/>
                <w:szCs w:val="24"/>
                <w:highlight w:val="none"/>
              </w:rPr>
            </w:pPr>
          </w:p>
        </w:tc>
        <w:tc>
          <w:tcPr>
            <w:tcW w:w="1276" w:type="dxa"/>
            <w:vAlign w:val="center"/>
          </w:tcPr>
          <w:p>
            <w:pPr>
              <w:pStyle w:val="61"/>
              <w:jc w:val="center"/>
              <w:rPr>
                <w:color w:val="auto"/>
                <w:sz w:val="24"/>
                <w:szCs w:val="24"/>
                <w:highlight w:val="none"/>
              </w:rPr>
            </w:pPr>
          </w:p>
        </w:tc>
        <w:tc>
          <w:tcPr>
            <w:tcW w:w="1418" w:type="dxa"/>
            <w:vAlign w:val="center"/>
          </w:tcPr>
          <w:p>
            <w:pPr>
              <w:pStyle w:val="61"/>
              <w:jc w:val="center"/>
              <w:rPr>
                <w:color w:val="auto"/>
                <w:sz w:val="24"/>
                <w:szCs w:val="24"/>
                <w:highlight w:val="none"/>
              </w:rPr>
            </w:pPr>
          </w:p>
        </w:tc>
        <w:tc>
          <w:tcPr>
            <w:tcW w:w="1134" w:type="dxa"/>
            <w:vAlign w:val="center"/>
          </w:tcPr>
          <w:p>
            <w:pPr>
              <w:pStyle w:val="61"/>
              <w:jc w:val="center"/>
              <w:rPr>
                <w:color w:val="auto"/>
                <w:sz w:val="24"/>
                <w:szCs w:val="24"/>
                <w:highlight w:val="none"/>
              </w:rPr>
            </w:pPr>
          </w:p>
        </w:tc>
        <w:tc>
          <w:tcPr>
            <w:tcW w:w="1134" w:type="dxa"/>
            <w:vAlign w:val="center"/>
          </w:tcPr>
          <w:p>
            <w:pPr>
              <w:pStyle w:val="61"/>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709" w:type="dxa"/>
            <w:vAlign w:val="center"/>
          </w:tcPr>
          <w:p>
            <w:pPr>
              <w:pStyle w:val="61"/>
              <w:spacing w:before="75"/>
              <w:ind w:left="120" w:right="108"/>
              <w:jc w:val="center"/>
              <w:rPr>
                <w:i/>
                <w:color w:val="auto"/>
                <w:sz w:val="24"/>
                <w:szCs w:val="24"/>
                <w:highlight w:val="none"/>
              </w:rPr>
            </w:pPr>
            <w:r>
              <w:rPr>
                <w:rFonts w:hint="eastAsia"/>
                <w:i/>
                <w:color w:val="auto"/>
                <w:w w:val="115"/>
                <w:sz w:val="24"/>
                <w:szCs w:val="24"/>
                <w:highlight w:val="none"/>
              </w:rPr>
              <w:t>……</w:t>
            </w:r>
          </w:p>
        </w:tc>
        <w:tc>
          <w:tcPr>
            <w:tcW w:w="1701" w:type="dxa"/>
            <w:tcBorders>
              <w:right w:val="single" w:color="000000" w:sz="6" w:space="0"/>
            </w:tcBorders>
            <w:vAlign w:val="center"/>
          </w:tcPr>
          <w:p>
            <w:pPr>
              <w:pStyle w:val="61"/>
              <w:spacing w:before="75"/>
              <w:ind w:left="339" w:right="328"/>
              <w:jc w:val="center"/>
              <w:rPr>
                <w:i/>
                <w:color w:val="auto"/>
                <w:sz w:val="24"/>
                <w:szCs w:val="24"/>
                <w:highlight w:val="none"/>
              </w:rPr>
            </w:pPr>
            <w:r>
              <w:rPr>
                <w:rFonts w:hint="eastAsia"/>
                <w:i/>
                <w:color w:val="auto"/>
                <w:w w:val="115"/>
                <w:sz w:val="24"/>
                <w:szCs w:val="24"/>
                <w:highlight w:val="none"/>
              </w:rPr>
              <w:t>……</w:t>
            </w:r>
          </w:p>
        </w:tc>
        <w:tc>
          <w:tcPr>
            <w:tcW w:w="978" w:type="dxa"/>
            <w:tcBorders>
              <w:left w:val="single" w:color="000000" w:sz="6" w:space="0"/>
            </w:tcBorders>
            <w:vAlign w:val="center"/>
          </w:tcPr>
          <w:p>
            <w:pPr>
              <w:pStyle w:val="61"/>
              <w:jc w:val="center"/>
              <w:rPr>
                <w:color w:val="auto"/>
                <w:sz w:val="24"/>
                <w:szCs w:val="24"/>
                <w:highlight w:val="none"/>
              </w:rPr>
            </w:pPr>
          </w:p>
        </w:tc>
        <w:tc>
          <w:tcPr>
            <w:tcW w:w="864" w:type="dxa"/>
            <w:vAlign w:val="center"/>
          </w:tcPr>
          <w:p>
            <w:pPr>
              <w:pStyle w:val="61"/>
              <w:jc w:val="center"/>
              <w:rPr>
                <w:color w:val="auto"/>
                <w:sz w:val="24"/>
                <w:szCs w:val="24"/>
                <w:highlight w:val="none"/>
              </w:rPr>
            </w:pPr>
          </w:p>
        </w:tc>
        <w:tc>
          <w:tcPr>
            <w:tcW w:w="1276" w:type="dxa"/>
            <w:vAlign w:val="center"/>
          </w:tcPr>
          <w:p>
            <w:pPr>
              <w:pStyle w:val="61"/>
              <w:jc w:val="center"/>
              <w:rPr>
                <w:color w:val="auto"/>
                <w:sz w:val="24"/>
                <w:szCs w:val="24"/>
                <w:highlight w:val="none"/>
              </w:rPr>
            </w:pPr>
          </w:p>
        </w:tc>
        <w:tc>
          <w:tcPr>
            <w:tcW w:w="1418" w:type="dxa"/>
            <w:vAlign w:val="center"/>
          </w:tcPr>
          <w:p>
            <w:pPr>
              <w:pStyle w:val="61"/>
              <w:jc w:val="center"/>
              <w:rPr>
                <w:color w:val="auto"/>
                <w:sz w:val="24"/>
                <w:szCs w:val="24"/>
                <w:highlight w:val="none"/>
              </w:rPr>
            </w:pPr>
          </w:p>
        </w:tc>
        <w:tc>
          <w:tcPr>
            <w:tcW w:w="1134" w:type="dxa"/>
            <w:vAlign w:val="center"/>
          </w:tcPr>
          <w:p>
            <w:pPr>
              <w:pStyle w:val="61"/>
              <w:jc w:val="center"/>
              <w:rPr>
                <w:color w:val="auto"/>
                <w:sz w:val="24"/>
                <w:szCs w:val="24"/>
                <w:highlight w:val="none"/>
              </w:rPr>
            </w:pPr>
          </w:p>
        </w:tc>
        <w:tc>
          <w:tcPr>
            <w:tcW w:w="1134" w:type="dxa"/>
            <w:vAlign w:val="center"/>
          </w:tcPr>
          <w:p>
            <w:pPr>
              <w:pStyle w:val="61"/>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5528" w:type="dxa"/>
            <w:gridSpan w:val="5"/>
            <w:vAlign w:val="center"/>
          </w:tcPr>
          <w:p>
            <w:pPr>
              <w:pStyle w:val="61"/>
              <w:spacing w:line="383" w:lineRule="exact"/>
              <w:ind w:left="2466" w:right="2457"/>
              <w:jc w:val="center"/>
              <w:rPr>
                <w:b/>
                <w:color w:val="auto"/>
                <w:sz w:val="24"/>
                <w:szCs w:val="24"/>
                <w:highlight w:val="none"/>
              </w:rPr>
            </w:pPr>
            <w:r>
              <w:rPr>
                <w:rFonts w:hint="eastAsia"/>
                <w:b/>
                <w:color w:val="auto"/>
                <w:sz w:val="24"/>
                <w:szCs w:val="24"/>
                <w:highlight w:val="none"/>
              </w:rPr>
              <w:t>合计报价</w:t>
            </w:r>
          </w:p>
        </w:tc>
        <w:tc>
          <w:tcPr>
            <w:tcW w:w="1418" w:type="dxa"/>
            <w:vAlign w:val="center"/>
          </w:tcPr>
          <w:p>
            <w:pPr>
              <w:pStyle w:val="61"/>
              <w:jc w:val="center"/>
              <w:rPr>
                <w:color w:val="auto"/>
                <w:sz w:val="24"/>
                <w:szCs w:val="24"/>
                <w:highlight w:val="none"/>
              </w:rPr>
            </w:pPr>
          </w:p>
        </w:tc>
        <w:tc>
          <w:tcPr>
            <w:tcW w:w="1134" w:type="dxa"/>
            <w:vAlign w:val="center"/>
          </w:tcPr>
          <w:p>
            <w:pPr>
              <w:pStyle w:val="61"/>
              <w:jc w:val="center"/>
              <w:rPr>
                <w:color w:val="auto"/>
                <w:sz w:val="24"/>
                <w:szCs w:val="24"/>
                <w:highlight w:val="none"/>
              </w:rPr>
            </w:pPr>
          </w:p>
        </w:tc>
        <w:tc>
          <w:tcPr>
            <w:tcW w:w="1134" w:type="dxa"/>
            <w:vAlign w:val="center"/>
          </w:tcPr>
          <w:p>
            <w:pPr>
              <w:pStyle w:val="61"/>
              <w:jc w:val="center"/>
              <w:rPr>
                <w:color w:val="auto"/>
                <w:sz w:val="24"/>
                <w:szCs w:val="24"/>
                <w:highlight w:val="none"/>
              </w:rPr>
            </w:pPr>
          </w:p>
        </w:tc>
      </w:tr>
    </w:tbl>
    <w:p>
      <w:pPr>
        <w:rPr>
          <w:rFonts w:ascii="Times New Roman"/>
          <w:color w:val="auto"/>
          <w:highlight w:val="none"/>
        </w:rPr>
      </w:pPr>
    </w:p>
    <w:p>
      <w:pPr>
        <w:spacing w:line="360" w:lineRule="auto"/>
        <w:ind w:firstLine="480" w:firstLineChars="200"/>
        <w:rPr>
          <w:color w:val="auto"/>
          <w:sz w:val="24"/>
          <w:szCs w:val="24"/>
          <w:highlight w:val="none"/>
        </w:rPr>
      </w:pPr>
      <w:r>
        <w:rPr>
          <w:rFonts w:hint="eastAsia"/>
          <w:color w:val="auto"/>
          <w:sz w:val="24"/>
          <w:szCs w:val="24"/>
          <w:highlight w:val="none"/>
        </w:rPr>
        <w:t>注：</w:t>
      </w:r>
      <w:r>
        <w:rPr>
          <w:color w:val="auto"/>
          <w:sz w:val="24"/>
          <w:szCs w:val="24"/>
          <w:highlight w:val="none"/>
        </w:rPr>
        <w:t>1、本项目分项报价表，投标人根据</w:t>
      </w:r>
      <w:r>
        <w:rPr>
          <w:rFonts w:hint="eastAsia"/>
          <w:color w:val="auto"/>
          <w:sz w:val="24"/>
          <w:szCs w:val="24"/>
          <w:highlight w:val="none"/>
        </w:rPr>
        <w:t>第五章“供货要求”的采购清单内容以及</w:t>
      </w:r>
      <w:r>
        <w:rPr>
          <w:color w:val="auto"/>
          <w:sz w:val="24"/>
          <w:szCs w:val="24"/>
          <w:highlight w:val="none"/>
        </w:rPr>
        <w:t>项目实际情况自己调整分项报价表格式</w:t>
      </w:r>
      <w:r>
        <w:rPr>
          <w:rFonts w:hint="eastAsia"/>
          <w:color w:val="auto"/>
          <w:sz w:val="24"/>
          <w:szCs w:val="24"/>
          <w:highlight w:val="none"/>
        </w:rPr>
        <w:t>；</w:t>
      </w:r>
    </w:p>
    <w:p>
      <w:pPr>
        <w:pStyle w:val="15"/>
        <w:spacing w:line="360" w:lineRule="auto"/>
        <w:ind w:firstLine="480" w:firstLineChars="200"/>
        <w:rPr>
          <w:color w:val="auto"/>
          <w:sz w:val="11"/>
          <w:highlight w:val="none"/>
        </w:rPr>
      </w:pPr>
      <w:r>
        <w:rPr>
          <w:color w:val="auto"/>
          <w:sz w:val="24"/>
          <w:szCs w:val="24"/>
          <w:highlight w:val="none"/>
        </w:rPr>
        <w:t>2、投标报价包含且不限于以下内容：设备费、包装费、运输费、装卸费、吊装费、</w:t>
      </w:r>
      <w:r>
        <w:rPr>
          <w:rFonts w:hint="eastAsia"/>
          <w:color w:val="auto"/>
          <w:sz w:val="24"/>
          <w:szCs w:val="24"/>
          <w:highlight w:val="none"/>
        </w:rPr>
        <w:t>临时储存场地费及二次到运费、管理费、利润、所有税费、保险费、技术培训费、安装费、垃圾清运费、调试费、报验费和维保期内的使用费、安装调试期间临时设施费、质量保修期和维保期间政府相关部门收取的一切费用等（需要在上表中单独填报）。投标报价为以上采购范围内的全部费用及考虑各种风险后进行的报价，投标人应保证投标报价准确无误，如有错漏概由投标人自行负责，招标人不再另行支付其他费用。</w:t>
      </w:r>
    </w:p>
    <w:p>
      <w:pPr>
        <w:widowControl/>
        <w:autoSpaceDE/>
        <w:autoSpaceDN/>
        <w:rPr>
          <w:rFonts w:ascii="Microsoft JhengHei" w:hAnsi="Microsoft JhengHei" w:eastAsia="Microsoft JhengHei" w:cs="Microsoft JhengHei"/>
          <w:b/>
          <w:bCs/>
          <w:color w:val="auto"/>
          <w:sz w:val="32"/>
          <w:szCs w:val="32"/>
          <w:highlight w:val="none"/>
        </w:rPr>
      </w:pPr>
      <w:r>
        <w:rPr>
          <w:color w:val="auto"/>
          <w:highlight w:val="none"/>
        </w:rPr>
        <w:br w:type="page"/>
      </w:r>
    </w:p>
    <w:p>
      <w:pPr>
        <w:pStyle w:val="56"/>
        <w:spacing w:line="538" w:lineRule="exact"/>
        <w:ind w:left="0" w:right="301" w:firstLine="0"/>
        <w:jc w:val="center"/>
        <w:rPr>
          <w:color w:val="auto"/>
          <w:highlight w:val="none"/>
        </w:rPr>
      </w:pPr>
      <w:r>
        <w:rPr>
          <w:rFonts w:hint="eastAsia" w:ascii="宋体" w:hAnsi="宋体" w:eastAsia="宋体" w:cs="宋体"/>
          <w:color w:val="auto"/>
          <w:highlight w:val="none"/>
          <w:lang w:val="en-US"/>
        </w:rPr>
        <w:t>八</w:t>
      </w:r>
      <w:r>
        <w:rPr>
          <w:rFonts w:hint="eastAsia" w:ascii="宋体" w:hAnsi="宋体" w:eastAsia="宋体" w:cs="宋体"/>
          <w:color w:val="auto"/>
          <w:highlight w:val="none"/>
        </w:rPr>
        <w:t>、资格审查资料</w:t>
      </w:r>
    </w:p>
    <w:p>
      <w:pPr>
        <w:pStyle w:val="15"/>
        <w:spacing w:before="5"/>
        <w:rPr>
          <w:rFonts w:ascii="Microsoft JhengHei"/>
          <w:b/>
          <w:color w:val="auto"/>
          <w:sz w:val="10"/>
          <w:highlight w:val="none"/>
        </w:rPr>
      </w:pPr>
    </w:p>
    <w:p>
      <w:pPr>
        <w:pStyle w:val="57"/>
        <w:spacing w:before="62"/>
        <w:ind w:left="537" w:firstLine="0"/>
        <w:rPr>
          <w:color w:val="auto"/>
          <w:highlight w:val="none"/>
        </w:rPr>
      </w:pPr>
      <w:r>
        <w:rPr>
          <w:color w:val="auto"/>
          <w:highlight w:val="none"/>
        </w:rPr>
        <w:t>（一）基本情况表</w:t>
      </w:r>
    </w:p>
    <w:tbl>
      <w:tblPr>
        <w:tblStyle w:val="29"/>
        <w:tblW w:w="91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3"/>
        <w:gridCol w:w="1116"/>
        <w:gridCol w:w="1687"/>
        <w:gridCol w:w="1354"/>
        <w:gridCol w:w="2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723" w:type="dxa"/>
            <w:vAlign w:val="center"/>
          </w:tcPr>
          <w:p>
            <w:pPr>
              <w:pStyle w:val="61"/>
              <w:jc w:val="center"/>
              <w:rPr>
                <w:color w:val="auto"/>
                <w:sz w:val="24"/>
                <w:szCs w:val="24"/>
                <w:highlight w:val="none"/>
              </w:rPr>
            </w:pPr>
            <w:r>
              <w:rPr>
                <w:rFonts w:hint="eastAsia"/>
                <w:color w:val="auto"/>
                <w:sz w:val="24"/>
                <w:szCs w:val="24"/>
                <w:highlight w:val="none"/>
              </w:rPr>
              <w:t>投标人名称</w:t>
            </w:r>
          </w:p>
        </w:tc>
        <w:tc>
          <w:tcPr>
            <w:tcW w:w="6441" w:type="dxa"/>
            <w:gridSpan w:val="4"/>
            <w:vAlign w:val="center"/>
          </w:tcPr>
          <w:p>
            <w:pPr>
              <w:pStyle w:val="61"/>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723" w:type="dxa"/>
            <w:vAlign w:val="center"/>
          </w:tcPr>
          <w:p>
            <w:pPr>
              <w:pStyle w:val="61"/>
              <w:jc w:val="center"/>
              <w:rPr>
                <w:color w:val="auto"/>
                <w:sz w:val="24"/>
                <w:szCs w:val="24"/>
                <w:highlight w:val="none"/>
              </w:rPr>
            </w:pPr>
            <w:r>
              <w:rPr>
                <w:rFonts w:hint="eastAsia"/>
                <w:color w:val="auto"/>
                <w:sz w:val="24"/>
                <w:szCs w:val="24"/>
                <w:highlight w:val="none"/>
              </w:rPr>
              <w:t>注册资金</w:t>
            </w:r>
          </w:p>
        </w:tc>
        <w:tc>
          <w:tcPr>
            <w:tcW w:w="2803" w:type="dxa"/>
            <w:gridSpan w:val="2"/>
            <w:vAlign w:val="center"/>
          </w:tcPr>
          <w:p>
            <w:pPr>
              <w:pStyle w:val="61"/>
              <w:jc w:val="center"/>
              <w:rPr>
                <w:color w:val="auto"/>
                <w:sz w:val="24"/>
                <w:szCs w:val="24"/>
                <w:highlight w:val="none"/>
              </w:rPr>
            </w:pPr>
          </w:p>
        </w:tc>
        <w:tc>
          <w:tcPr>
            <w:tcW w:w="1354" w:type="dxa"/>
            <w:vAlign w:val="center"/>
          </w:tcPr>
          <w:p>
            <w:pPr>
              <w:pStyle w:val="61"/>
              <w:jc w:val="center"/>
              <w:rPr>
                <w:color w:val="auto"/>
                <w:sz w:val="24"/>
                <w:szCs w:val="24"/>
                <w:highlight w:val="none"/>
              </w:rPr>
            </w:pPr>
            <w:r>
              <w:rPr>
                <w:rFonts w:hint="eastAsia"/>
                <w:color w:val="auto"/>
                <w:sz w:val="24"/>
                <w:szCs w:val="24"/>
                <w:highlight w:val="none"/>
              </w:rPr>
              <w:t>成立时间</w:t>
            </w:r>
          </w:p>
        </w:tc>
        <w:tc>
          <w:tcPr>
            <w:tcW w:w="2284" w:type="dxa"/>
            <w:vAlign w:val="center"/>
          </w:tcPr>
          <w:p>
            <w:pPr>
              <w:pStyle w:val="61"/>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723" w:type="dxa"/>
            <w:vAlign w:val="center"/>
          </w:tcPr>
          <w:p>
            <w:pPr>
              <w:pStyle w:val="61"/>
              <w:jc w:val="center"/>
              <w:rPr>
                <w:color w:val="auto"/>
                <w:sz w:val="24"/>
                <w:szCs w:val="24"/>
                <w:highlight w:val="none"/>
              </w:rPr>
            </w:pPr>
            <w:r>
              <w:rPr>
                <w:rFonts w:hint="eastAsia"/>
                <w:color w:val="auto"/>
                <w:sz w:val="24"/>
                <w:szCs w:val="24"/>
                <w:highlight w:val="none"/>
              </w:rPr>
              <w:t>注册地址</w:t>
            </w:r>
          </w:p>
        </w:tc>
        <w:tc>
          <w:tcPr>
            <w:tcW w:w="6441" w:type="dxa"/>
            <w:gridSpan w:val="4"/>
            <w:vAlign w:val="center"/>
          </w:tcPr>
          <w:p>
            <w:pPr>
              <w:pStyle w:val="61"/>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723" w:type="dxa"/>
            <w:vAlign w:val="center"/>
          </w:tcPr>
          <w:p>
            <w:pPr>
              <w:pStyle w:val="61"/>
              <w:jc w:val="center"/>
              <w:rPr>
                <w:color w:val="auto"/>
                <w:sz w:val="24"/>
                <w:szCs w:val="24"/>
                <w:highlight w:val="none"/>
              </w:rPr>
            </w:pPr>
            <w:r>
              <w:rPr>
                <w:rFonts w:hint="eastAsia"/>
                <w:color w:val="auto"/>
                <w:sz w:val="24"/>
                <w:szCs w:val="24"/>
                <w:highlight w:val="none"/>
              </w:rPr>
              <w:t>邮政编码</w:t>
            </w:r>
          </w:p>
        </w:tc>
        <w:tc>
          <w:tcPr>
            <w:tcW w:w="2803" w:type="dxa"/>
            <w:gridSpan w:val="2"/>
            <w:vAlign w:val="center"/>
          </w:tcPr>
          <w:p>
            <w:pPr>
              <w:pStyle w:val="61"/>
              <w:jc w:val="center"/>
              <w:rPr>
                <w:color w:val="auto"/>
                <w:sz w:val="24"/>
                <w:szCs w:val="24"/>
                <w:highlight w:val="none"/>
              </w:rPr>
            </w:pPr>
          </w:p>
        </w:tc>
        <w:tc>
          <w:tcPr>
            <w:tcW w:w="1354" w:type="dxa"/>
            <w:vAlign w:val="center"/>
          </w:tcPr>
          <w:p>
            <w:pPr>
              <w:pStyle w:val="61"/>
              <w:jc w:val="center"/>
              <w:rPr>
                <w:color w:val="auto"/>
                <w:sz w:val="24"/>
                <w:szCs w:val="24"/>
                <w:highlight w:val="none"/>
              </w:rPr>
            </w:pPr>
            <w:r>
              <w:rPr>
                <w:rFonts w:hint="eastAsia"/>
                <w:color w:val="auto"/>
                <w:sz w:val="24"/>
                <w:szCs w:val="24"/>
                <w:highlight w:val="none"/>
              </w:rPr>
              <w:t>员工总数</w:t>
            </w:r>
          </w:p>
        </w:tc>
        <w:tc>
          <w:tcPr>
            <w:tcW w:w="2284" w:type="dxa"/>
            <w:vAlign w:val="center"/>
          </w:tcPr>
          <w:p>
            <w:pPr>
              <w:pStyle w:val="61"/>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723" w:type="dxa"/>
            <w:vMerge w:val="restart"/>
            <w:vAlign w:val="center"/>
          </w:tcPr>
          <w:p>
            <w:pPr>
              <w:pStyle w:val="61"/>
              <w:jc w:val="center"/>
              <w:rPr>
                <w:color w:val="auto"/>
                <w:sz w:val="24"/>
                <w:szCs w:val="24"/>
                <w:highlight w:val="none"/>
              </w:rPr>
            </w:pPr>
          </w:p>
          <w:p>
            <w:pPr>
              <w:pStyle w:val="61"/>
              <w:jc w:val="center"/>
              <w:rPr>
                <w:color w:val="auto"/>
                <w:sz w:val="24"/>
                <w:szCs w:val="24"/>
                <w:highlight w:val="none"/>
              </w:rPr>
            </w:pPr>
            <w:r>
              <w:rPr>
                <w:rFonts w:hint="eastAsia"/>
                <w:color w:val="auto"/>
                <w:sz w:val="24"/>
                <w:szCs w:val="24"/>
                <w:highlight w:val="none"/>
              </w:rPr>
              <w:t>联系方式</w:t>
            </w:r>
          </w:p>
        </w:tc>
        <w:tc>
          <w:tcPr>
            <w:tcW w:w="1116" w:type="dxa"/>
            <w:vAlign w:val="center"/>
          </w:tcPr>
          <w:p>
            <w:pPr>
              <w:pStyle w:val="61"/>
              <w:jc w:val="center"/>
              <w:rPr>
                <w:color w:val="auto"/>
                <w:sz w:val="24"/>
                <w:szCs w:val="24"/>
                <w:highlight w:val="none"/>
              </w:rPr>
            </w:pPr>
            <w:r>
              <w:rPr>
                <w:rFonts w:hint="eastAsia"/>
                <w:color w:val="auto"/>
                <w:sz w:val="24"/>
                <w:szCs w:val="24"/>
                <w:highlight w:val="none"/>
              </w:rPr>
              <w:t>联系人</w:t>
            </w:r>
          </w:p>
        </w:tc>
        <w:tc>
          <w:tcPr>
            <w:tcW w:w="1687" w:type="dxa"/>
            <w:vAlign w:val="center"/>
          </w:tcPr>
          <w:p>
            <w:pPr>
              <w:pStyle w:val="61"/>
              <w:jc w:val="center"/>
              <w:rPr>
                <w:color w:val="auto"/>
                <w:sz w:val="24"/>
                <w:szCs w:val="24"/>
                <w:highlight w:val="none"/>
              </w:rPr>
            </w:pPr>
          </w:p>
        </w:tc>
        <w:tc>
          <w:tcPr>
            <w:tcW w:w="1354" w:type="dxa"/>
            <w:vAlign w:val="center"/>
          </w:tcPr>
          <w:p>
            <w:pPr>
              <w:pStyle w:val="61"/>
              <w:jc w:val="center"/>
              <w:rPr>
                <w:color w:val="auto"/>
                <w:sz w:val="24"/>
                <w:szCs w:val="24"/>
                <w:highlight w:val="none"/>
              </w:rPr>
            </w:pPr>
            <w:r>
              <w:rPr>
                <w:rFonts w:hint="eastAsia"/>
                <w:color w:val="auto"/>
                <w:sz w:val="24"/>
                <w:szCs w:val="24"/>
                <w:highlight w:val="none"/>
              </w:rPr>
              <w:t>电话</w:t>
            </w:r>
          </w:p>
        </w:tc>
        <w:tc>
          <w:tcPr>
            <w:tcW w:w="2284" w:type="dxa"/>
            <w:vAlign w:val="center"/>
          </w:tcPr>
          <w:p>
            <w:pPr>
              <w:pStyle w:val="61"/>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723" w:type="dxa"/>
            <w:vMerge w:val="continue"/>
            <w:tcBorders>
              <w:top w:val="nil"/>
            </w:tcBorders>
            <w:vAlign w:val="center"/>
          </w:tcPr>
          <w:p>
            <w:pPr>
              <w:jc w:val="center"/>
              <w:rPr>
                <w:color w:val="auto"/>
                <w:sz w:val="24"/>
                <w:szCs w:val="24"/>
                <w:highlight w:val="none"/>
              </w:rPr>
            </w:pPr>
          </w:p>
        </w:tc>
        <w:tc>
          <w:tcPr>
            <w:tcW w:w="1116" w:type="dxa"/>
            <w:vAlign w:val="center"/>
          </w:tcPr>
          <w:p>
            <w:pPr>
              <w:pStyle w:val="61"/>
              <w:jc w:val="center"/>
              <w:rPr>
                <w:color w:val="auto"/>
                <w:sz w:val="24"/>
                <w:szCs w:val="24"/>
                <w:highlight w:val="none"/>
              </w:rPr>
            </w:pPr>
            <w:r>
              <w:rPr>
                <w:rFonts w:hint="eastAsia"/>
                <w:color w:val="auto"/>
                <w:sz w:val="24"/>
                <w:szCs w:val="24"/>
                <w:highlight w:val="none"/>
              </w:rPr>
              <w:t>网址</w:t>
            </w:r>
          </w:p>
        </w:tc>
        <w:tc>
          <w:tcPr>
            <w:tcW w:w="1687" w:type="dxa"/>
            <w:vAlign w:val="center"/>
          </w:tcPr>
          <w:p>
            <w:pPr>
              <w:pStyle w:val="61"/>
              <w:jc w:val="center"/>
              <w:rPr>
                <w:color w:val="auto"/>
                <w:sz w:val="24"/>
                <w:szCs w:val="24"/>
                <w:highlight w:val="none"/>
              </w:rPr>
            </w:pPr>
          </w:p>
        </w:tc>
        <w:tc>
          <w:tcPr>
            <w:tcW w:w="1354" w:type="dxa"/>
            <w:vAlign w:val="center"/>
          </w:tcPr>
          <w:p>
            <w:pPr>
              <w:pStyle w:val="61"/>
              <w:jc w:val="center"/>
              <w:rPr>
                <w:color w:val="auto"/>
                <w:sz w:val="24"/>
                <w:szCs w:val="24"/>
                <w:highlight w:val="none"/>
              </w:rPr>
            </w:pPr>
            <w:r>
              <w:rPr>
                <w:rFonts w:hint="eastAsia"/>
                <w:color w:val="auto"/>
                <w:sz w:val="24"/>
                <w:szCs w:val="24"/>
                <w:highlight w:val="none"/>
              </w:rPr>
              <w:t>传真</w:t>
            </w:r>
          </w:p>
        </w:tc>
        <w:tc>
          <w:tcPr>
            <w:tcW w:w="2284" w:type="dxa"/>
            <w:vAlign w:val="center"/>
          </w:tcPr>
          <w:p>
            <w:pPr>
              <w:pStyle w:val="61"/>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723" w:type="dxa"/>
            <w:vAlign w:val="center"/>
          </w:tcPr>
          <w:p>
            <w:pPr>
              <w:pStyle w:val="61"/>
              <w:jc w:val="center"/>
              <w:rPr>
                <w:color w:val="auto"/>
                <w:sz w:val="24"/>
                <w:szCs w:val="24"/>
                <w:highlight w:val="none"/>
              </w:rPr>
            </w:pPr>
            <w:r>
              <w:rPr>
                <w:rFonts w:hint="eastAsia"/>
                <w:color w:val="auto"/>
                <w:sz w:val="24"/>
                <w:szCs w:val="24"/>
                <w:highlight w:val="none"/>
              </w:rPr>
              <w:t>法定代表人</w:t>
            </w:r>
          </w:p>
          <w:p>
            <w:pPr>
              <w:pStyle w:val="61"/>
              <w:jc w:val="center"/>
              <w:rPr>
                <w:color w:val="auto"/>
                <w:sz w:val="24"/>
                <w:szCs w:val="24"/>
                <w:highlight w:val="none"/>
              </w:rPr>
            </w:pPr>
            <w:r>
              <w:rPr>
                <w:rFonts w:hint="eastAsia"/>
                <w:color w:val="auto"/>
                <w:sz w:val="24"/>
                <w:szCs w:val="24"/>
                <w:highlight w:val="none"/>
              </w:rPr>
              <w:t>（单位负责人）</w:t>
            </w:r>
          </w:p>
        </w:tc>
        <w:tc>
          <w:tcPr>
            <w:tcW w:w="1116" w:type="dxa"/>
            <w:vAlign w:val="center"/>
          </w:tcPr>
          <w:p>
            <w:pPr>
              <w:pStyle w:val="61"/>
              <w:jc w:val="center"/>
              <w:rPr>
                <w:color w:val="auto"/>
                <w:sz w:val="24"/>
                <w:szCs w:val="24"/>
                <w:highlight w:val="none"/>
              </w:rPr>
            </w:pPr>
            <w:r>
              <w:rPr>
                <w:rFonts w:hint="eastAsia"/>
                <w:color w:val="auto"/>
                <w:sz w:val="24"/>
                <w:szCs w:val="24"/>
                <w:highlight w:val="none"/>
              </w:rPr>
              <w:t>姓名</w:t>
            </w:r>
          </w:p>
        </w:tc>
        <w:tc>
          <w:tcPr>
            <w:tcW w:w="1687" w:type="dxa"/>
            <w:vAlign w:val="center"/>
          </w:tcPr>
          <w:p>
            <w:pPr>
              <w:pStyle w:val="61"/>
              <w:jc w:val="center"/>
              <w:rPr>
                <w:color w:val="auto"/>
                <w:sz w:val="24"/>
                <w:szCs w:val="24"/>
                <w:highlight w:val="none"/>
              </w:rPr>
            </w:pPr>
          </w:p>
        </w:tc>
        <w:tc>
          <w:tcPr>
            <w:tcW w:w="1354" w:type="dxa"/>
            <w:vAlign w:val="center"/>
          </w:tcPr>
          <w:p>
            <w:pPr>
              <w:pStyle w:val="61"/>
              <w:jc w:val="center"/>
              <w:rPr>
                <w:color w:val="auto"/>
                <w:sz w:val="24"/>
                <w:szCs w:val="24"/>
                <w:highlight w:val="none"/>
              </w:rPr>
            </w:pPr>
            <w:r>
              <w:rPr>
                <w:rFonts w:hint="eastAsia"/>
                <w:color w:val="auto"/>
                <w:sz w:val="24"/>
                <w:szCs w:val="24"/>
                <w:highlight w:val="none"/>
              </w:rPr>
              <w:t>电话</w:t>
            </w:r>
          </w:p>
        </w:tc>
        <w:tc>
          <w:tcPr>
            <w:tcW w:w="2284" w:type="dxa"/>
            <w:vAlign w:val="center"/>
          </w:tcPr>
          <w:p>
            <w:pPr>
              <w:pStyle w:val="61"/>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723" w:type="dxa"/>
            <w:vAlign w:val="center"/>
          </w:tcPr>
          <w:p>
            <w:pPr>
              <w:pStyle w:val="61"/>
              <w:jc w:val="center"/>
              <w:rPr>
                <w:color w:val="auto"/>
                <w:sz w:val="24"/>
                <w:szCs w:val="24"/>
                <w:highlight w:val="none"/>
              </w:rPr>
            </w:pPr>
            <w:r>
              <w:rPr>
                <w:rFonts w:hint="eastAsia"/>
                <w:color w:val="auto"/>
                <w:sz w:val="24"/>
                <w:szCs w:val="24"/>
                <w:highlight w:val="none"/>
              </w:rPr>
              <w:t>基本账户开户银行</w:t>
            </w:r>
          </w:p>
        </w:tc>
        <w:tc>
          <w:tcPr>
            <w:tcW w:w="6441" w:type="dxa"/>
            <w:gridSpan w:val="4"/>
            <w:vAlign w:val="center"/>
          </w:tcPr>
          <w:p>
            <w:pPr>
              <w:pStyle w:val="61"/>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723" w:type="dxa"/>
            <w:vAlign w:val="center"/>
          </w:tcPr>
          <w:p>
            <w:pPr>
              <w:pStyle w:val="61"/>
              <w:jc w:val="center"/>
              <w:rPr>
                <w:color w:val="auto"/>
                <w:sz w:val="24"/>
                <w:szCs w:val="24"/>
                <w:highlight w:val="none"/>
              </w:rPr>
            </w:pPr>
            <w:r>
              <w:rPr>
                <w:rFonts w:hint="eastAsia"/>
                <w:color w:val="auto"/>
                <w:sz w:val="24"/>
                <w:szCs w:val="24"/>
                <w:highlight w:val="none"/>
              </w:rPr>
              <w:t>基本账户银行账号</w:t>
            </w:r>
          </w:p>
        </w:tc>
        <w:tc>
          <w:tcPr>
            <w:tcW w:w="6441" w:type="dxa"/>
            <w:gridSpan w:val="4"/>
            <w:vAlign w:val="center"/>
          </w:tcPr>
          <w:p>
            <w:pPr>
              <w:pStyle w:val="61"/>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723" w:type="dxa"/>
            <w:vAlign w:val="center"/>
          </w:tcPr>
          <w:p>
            <w:pPr>
              <w:pStyle w:val="61"/>
              <w:jc w:val="center"/>
              <w:rPr>
                <w:color w:val="auto"/>
                <w:sz w:val="24"/>
                <w:szCs w:val="24"/>
                <w:highlight w:val="none"/>
              </w:rPr>
            </w:pPr>
            <w:r>
              <w:rPr>
                <w:rFonts w:hint="eastAsia"/>
                <w:color w:val="auto"/>
                <w:sz w:val="24"/>
                <w:szCs w:val="24"/>
                <w:highlight w:val="none"/>
              </w:rPr>
              <w:t>近三年营业额</w:t>
            </w:r>
          </w:p>
        </w:tc>
        <w:tc>
          <w:tcPr>
            <w:tcW w:w="6441" w:type="dxa"/>
            <w:gridSpan w:val="4"/>
            <w:vAlign w:val="center"/>
          </w:tcPr>
          <w:p>
            <w:pPr>
              <w:pStyle w:val="61"/>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723" w:type="dxa"/>
            <w:vAlign w:val="center"/>
          </w:tcPr>
          <w:p>
            <w:pPr>
              <w:pStyle w:val="61"/>
              <w:jc w:val="center"/>
              <w:rPr>
                <w:color w:val="auto"/>
                <w:sz w:val="24"/>
                <w:szCs w:val="24"/>
                <w:highlight w:val="none"/>
              </w:rPr>
            </w:pPr>
            <w:r>
              <w:rPr>
                <w:rFonts w:hint="eastAsia"/>
                <w:color w:val="auto"/>
                <w:sz w:val="24"/>
                <w:szCs w:val="24"/>
                <w:highlight w:val="none"/>
              </w:rPr>
              <w:t>投标人关联企业情况（包括但不限于与投标人法定代表人（单位负责人）为同一人或者存在控股、管理关系的不同单位）</w:t>
            </w:r>
          </w:p>
        </w:tc>
        <w:tc>
          <w:tcPr>
            <w:tcW w:w="6441" w:type="dxa"/>
            <w:gridSpan w:val="4"/>
            <w:vAlign w:val="center"/>
          </w:tcPr>
          <w:p>
            <w:pPr>
              <w:pStyle w:val="61"/>
              <w:jc w:val="center"/>
              <w:rPr>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2723" w:type="dxa"/>
            <w:vAlign w:val="center"/>
          </w:tcPr>
          <w:p>
            <w:pPr>
              <w:pStyle w:val="61"/>
              <w:jc w:val="center"/>
              <w:rPr>
                <w:color w:val="auto"/>
                <w:sz w:val="24"/>
                <w:szCs w:val="24"/>
                <w:highlight w:val="none"/>
              </w:rPr>
            </w:pPr>
            <w:r>
              <w:rPr>
                <w:rFonts w:hint="eastAsia"/>
                <w:color w:val="auto"/>
                <w:sz w:val="24"/>
                <w:szCs w:val="24"/>
                <w:highlight w:val="none"/>
              </w:rPr>
              <w:t>备注</w:t>
            </w:r>
          </w:p>
        </w:tc>
        <w:tc>
          <w:tcPr>
            <w:tcW w:w="6441" w:type="dxa"/>
            <w:gridSpan w:val="4"/>
            <w:vAlign w:val="center"/>
          </w:tcPr>
          <w:p>
            <w:pPr>
              <w:pStyle w:val="61"/>
              <w:jc w:val="center"/>
              <w:rPr>
                <w:color w:val="auto"/>
                <w:sz w:val="24"/>
                <w:szCs w:val="24"/>
                <w:highlight w:val="none"/>
              </w:rPr>
            </w:pPr>
          </w:p>
        </w:tc>
      </w:tr>
    </w:tbl>
    <w:p>
      <w:pPr>
        <w:pStyle w:val="15"/>
        <w:spacing w:before="49" w:line="358" w:lineRule="auto"/>
        <w:ind w:left="403"/>
        <w:rPr>
          <w:color w:val="auto"/>
          <w:sz w:val="24"/>
          <w:szCs w:val="24"/>
          <w:highlight w:val="none"/>
        </w:rPr>
      </w:pPr>
      <w:r>
        <w:rPr>
          <w:rFonts w:hint="eastAsia"/>
          <w:color w:val="auto"/>
          <w:sz w:val="24"/>
          <w:szCs w:val="24"/>
          <w:highlight w:val="none"/>
        </w:rPr>
        <w:t>注：1.投标人应根据投标人须知第3.5.1项的要求在本表后附相关证明材料。境内投标人以现金或者支票形式提交投标保证金的，还应附基本账户开户许可证复印件。</w:t>
      </w:r>
    </w:p>
    <w:p>
      <w:pPr>
        <w:pStyle w:val="15"/>
        <w:spacing w:line="358" w:lineRule="auto"/>
        <w:ind w:left="403" w:firstLine="419"/>
        <w:rPr>
          <w:color w:val="auto"/>
          <w:highlight w:val="none"/>
        </w:rPr>
      </w:pPr>
      <w:r>
        <w:rPr>
          <w:rFonts w:hint="eastAsia"/>
          <w:color w:val="auto"/>
          <w:sz w:val="24"/>
          <w:szCs w:val="24"/>
          <w:highlight w:val="none"/>
        </w:rPr>
        <w:t>2.如果投标人须知第1.4.1项对投标设备制造商的资质提出了要求，投标人应根据投标人须知第3.5.1项的要求在本表后附相关资质证书复印件。</w:t>
      </w:r>
    </w:p>
    <w:p>
      <w:pPr>
        <w:spacing w:line="357" w:lineRule="auto"/>
        <w:rPr>
          <w:color w:val="auto"/>
          <w:highlight w:val="none"/>
        </w:rPr>
        <w:sectPr>
          <w:type w:val="continuous"/>
          <w:pgSz w:w="11907" w:h="16839"/>
          <w:pgMar w:top="1134" w:right="1701" w:bottom="1134" w:left="1701" w:header="0" w:footer="841" w:gutter="0"/>
          <w:pgNumType w:fmt="decimal"/>
          <w:cols w:space="720" w:num="1"/>
        </w:sectPr>
      </w:pPr>
    </w:p>
    <w:p>
      <w:pPr>
        <w:widowControl/>
        <w:autoSpaceDE/>
        <w:autoSpaceDN/>
        <w:rPr>
          <w:color w:val="auto"/>
          <w:sz w:val="28"/>
          <w:szCs w:val="28"/>
          <w:highlight w:val="none"/>
        </w:rPr>
      </w:pPr>
      <w:r>
        <w:rPr>
          <w:color w:val="auto"/>
          <w:highlight w:val="none"/>
        </w:rPr>
        <w:br w:type="page"/>
      </w:r>
    </w:p>
    <w:p>
      <w:pPr>
        <w:pStyle w:val="57"/>
        <w:spacing w:before="43"/>
        <w:ind w:left="537" w:firstLine="0"/>
        <w:rPr>
          <w:color w:val="auto"/>
          <w:highlight w:val="none"/>
        </w:rPr>
      </w:pPr>
      <w:r>
        <w:rPr>
          <w:color w:val="auto"/>
          <w:highlight w:val="none"/>
        </w:rPr>
        <w:t>（二）近年财务状况表</w:t>
      </w:r>
    </w:p>
    <w:p>
      <w:pPr>
        <w:pStyle w:val="15"/>
        <w:rPr>
          <w:color w:val="auto"/>
          <w:sz w:val="28"/>
          <w:highlight w:val="none"/>
        </w:rPr>
      </w:pPr>
    </w:p>
    <w:p>
      <w:pPr>
        <w:pStyle w:val="15"/>
        <w:spacing w:before="11"/>
        <w:rPr>
          <w:color w:val="auto"/>
          <w:sz w:val="23"/>
          <w:highlight w:val="none"/>
        </w:rPr>
      </w:pPr>
    </w:p>
    <w:p>
      <w:pPr>
        <w:widowControl/>
        <w:autoSpaceDE/>
        <w:autoSpaceDN/>
        <w:rPr>
          <w:color w:val="auto"/>
          <w:sz w:val="24"/>
          <w:szCs w:val="24"/>
          <w:highlight w:val="none"/>
        </w:rPr>
      </w:pPr>
      <w:r>
        <w:rPr>
          <w:color w:val="auto"/>
          <w:sz w:val="24"/>
          <w:szCs w:val="24"/>
          <w:highlight w:val="none"/>
        </w:rPr>
        <w:t xml:space="preserve">投标人应根据投标人须知第 </w:t>
      </w:r>
      <w:r>
        <w:rPr>
          <w:rFonts w:ascii="Times New Roman" w:eastAsia="Times New Roman"/>
          <w:color w:val="auto"/>
          <w:sz w:val="24"/>
          <w:szCs w:val="24"/>
          <w:highlight w:val="none"/>
        </w:rPr>
        <w:t>3.5.2</w:t>
      </w:r>
      <w:r>
        <w:rPr>
          <w:color w:val="auto"/>
          <w:sz w:val="24"/>
          <w:szCs w:val="24"/>
          <w:highlight w:val="none"/>
        </w:rPr>
        <w:t>项的要求在本表后附相关证明材料。</w:t>
      </w:r>
    </w:p>
    <w:p>
      <w:pPr>
        <w:widowControl/>
        <w:autoSpaceDE/>
        <w:autoSpaceDN/>
        <w:rPr>
          <w:color w:val="auto"/>
          <w:sz w:val="28"/>
          <w:szCs w:val="28"/>
          <w:highlight w:val="none"/>
        </w:rPr>
      </w:pPr>
      <w:r>
        <w:rPr>
          <w:color w:val="auto"/>
          <w:highlight w:val="none"/>
        </w:rPr>
        <w:br w:type="page"/>
      </w:r>
    </w:p>
    <w:p>
      <w:pPr>
        <w:pStyle w:val="57"/>
        <w:spacing w:before="43"/>
        <w:ind w:left="537" w:firstLine="0"/>
        <w:rPr>
          <w:color w:val="auto"/>
          <w:highlight w:val="none"/>
        </w:rPr>
      </w:pPr>
      <w:r>
        <w:rPr>
          <w:color w:val="auto"/>
          <w:highlight w:val="none"/>
        </w:rPr>
        <w:t>（三）近年完成的类似项目情况表</w:t>
      </w:r>
    </w:p>
    <w:p>
      <w:pPr>
        <w:pStyle w:val="15"/>
        <w:rPr>
          <w:color w:val="auto"/>
          <w:sz w:val="20"/>
          <w:highlight w:val="none"/>
        </w:rPr>
      </w:pPr>
    </w:p>
    <w:p>
      <w:pPr>
        <w:pStyle w:val="15"/>
        <w:spacing w:before="9"/>
        <w:rPr>
          <w:color w:val="auto"/>
          <w:sz w:val="20"/>
          <w:highlight w:val="none"/>
        </w:rPr>
      </w:pP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2269" w:type="dxa"/>
            <w:vAlign w:val="center"/>
          </w:tcPr>
          <w:p>
            <w:pPr>
              <w:pStyle w:val="61"/>
              <w:ind w:left="271" w:right="265"/>
              <w:jc w:val="center"/>
              <w:rPr>
                <w:color w:val="auto"/>
                <w:sz w:val="24"/>
                <w:szCs w:val="24"/>
                <w:highlight w:val="none"/>
              </w:rPr>
            </w:pPr>
            <w:r>
              <w:rPr>
                <w:rFonts w:hint="eastAsia"/>
                <w:color w:val="auto"/>
                <w:sz w:val="24"/>
                <w:szCs w:val="24"/>
                <w:highlight w:val="none"/>
              </w:rPr>
              <w:t>业绩</w:t>
            </w:r>
            <w:r>
              <w:rPr>
                <w:color w:val="auto"/>
                <w:sz w:val="24"/>
                <w:szCs w:val="24"/>
                <w:highlight w:val="none"/>
              </w:rPr>
              <w:t>名称</w:t>
            </w:r>
          </w:p>
        </w:tc>
        <w:tc>
          <w:tcPr>
            <w:tcW w:w="6253"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2269" w:type="dxa"/>
            <w:vAlign w:val="center"/>
          </w:tcPr>
          <w:p>
            <w:pPr>
              <w:pStyle w:val="61"/>
              <w:ind w:left="273" w:right="265"/>
              <w:jc w:val="center"/>
              <w:rPr>
                <w:color w:val="auto"/>
                <w:sz w:val="24"/>
                <w:szCs w:val="24"/>
                <w:highlight w:val="none"/>
              </w:rPr>
            </w:pPr>
            <w:r>
              <w:rPr>
                <w:color w:val="auto"/>
                <w:sz w:val="24"/>
                <w:szCs w:val="24"/>
                <w:highlight w:val="none"/>
              </w:rPr>
              <w:t>规格和型号</w:t>
            </w:r>
          </w:p>
        </w:tc>
        <w:tc>
          <w:tcPr>
            <w:tcW w:w="6253"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2269" w:type="dxa"/>
            <w:vAlign w:val="center"/>
          </w:tcPr>
          <w:p>
            <w:pPr>
              <w:pStyle w:val="61"/>
              <w:ind w:left="273" w:right="265"/>
              <w:jc w:val="center"/>
              <w:rPr>
                <w:color w:val="auto"/>
                <w:sz w:val="24"/>
                <w:szCs w:val="24"/>
                <w:highlight w:val="none"/>
              </w:rPr>
            </w:pPr>
            <w:r>
              <w:rPr>
                <w:color w:val="auto"/>
                <w:sz w:val="24"/>
                <w:szCs w:val="24"/>
                <w:highlight w:val="none"/>
              </w:rPr>
              <w:t>项目名称</w:t>
            </w:r>
          </w:p>
        </w:tc>
        <w:tc>
          <w:tcPr>
            <w:tcW w:w="6253"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2269" w:type="dxa"/>
            <w:vAlign w:val="center"/>
          </w:tcPr>
          <w:p>
            <w:pPr>
              <w:pStyle w:val="61"/>
              <w:ind w:left="273" w:right="265"/>
              <w:jc w:val="center"/>
              <w:rPr>
                <w:color w:val="auto"/>
                <w:sz w:val="24"/>
                <w:szCs w:val="24"/>
                <w:highlight w:val="none"/>
              </w:rPr>
            </w:pPr>
            <w:r>
              <w:rPr>
                <w:color w:val="auto"/>
                <w:sz w:val="24"/>
                <w:szCs w:val="24"/>
                <w:highlight w:val="none"/>
              </w:rPr>
              <w:t>买方名称</w:t>
            </w:r>
          </w:p>
        </w:tc>
        <w:tc>
          <w:tcPr>
            <w:tcW w:w="6253"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jc w:val="center"/>
        </w:trPr>
        <w:tc>
          <w:tcPr>
            <w:tcW w:w="2269" w:type="dxa"/>
            <w:vAlign w:val="center"/>
          </w:tcPr>
          <w:p>
            <w:pPr>
              <w:pStyle w:val="61"/>
              <w:ind w:left="273" w:right="265"/>
              <w:jc w:val="center"/>
              <w:rPr>
                <w:color w:val="auto"/>
                <w:sz w:val="24"/>
                <w:szCs w:val="24"/>
                <w:highlight w:val="none"/>
              </w:rPr>
            </w:pPr>
            <w:r>
              <w:rPr>
                <w:color w:val="auto"/>
                <w:sz w:val="24"/>
                <w:szCs w:val="24"/>
                <w:highlight w:val="none"/>
              </w:rPr>
              <w:t>买方联系人及电话</w:t>
            </w:r>
          </w:p>
        </w:tc>
        <w:tc>
          <w:tcPr>
            <w:tcW w:w="6253"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2269" w:type="dxa"/>
            <w:vAlign w:val="center"/>
          </w:tcPr>
          <w:p>
            <w:pPr>
              <w:pStyle w:val="61"/>
              <w:ind w:left="273" w:right="265"/>
              <w:jc w:val="center"/>
              <w:rPr>
                <w:color w:val="auto"/>
                <w:sz w:val="24"/>
                <w:szCs w:val="24"/>
                <w:highlight w:val="none"/>
              </w:rPr>
            </w:pPr>
            <w:r>
              <w:rPr>
                <w:color w:val="auto"/>
                <w:sz w:val="24"/>
                <w:szCs w:val="24"/>
                <w:highlight w:val="none"/>
              </w:rPr>
              <w:t>合同价格</w:t>
            </w:r>
          </w:p>
        </w:tc>
        <w:tc>
          <w:tcPr>
            <w:tcW w:w="6253"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9" w:hRule="atLeast"/>
          <w:jc w:val="center"/>
        </w:trPr>
        <w:tc>
          <w:tcPr>
            <w:tcW w:w="2269" w:type="dxa"/>
            <w:vAlign w:val="center"/>
          </w:tcPr>
          <w:p>
            <w:pPr>
              <w:pStyle w:val="61"/>
              <w:spacing w:line="393" w:lineRule="auto"/>
              <w:ind w:right="176"/>
              <w:jc w:val="center"/>
              <w:rPr>
                <w:color w:val="auto"/>
                <w:sz w:val="24"/>
                <w:szCs w:val="24"/>
                <w:highlight w:val="none"/>
              </w:rPr>
            </w:pPr>
            <w:r>
              <w:rPr>
                <w:color w:val="auto"/>
                <w:sz w:val="24"/>
                <w:szCs w:val="24"/>
                <w:highlight w:val="none"/>
              </w:rPr>
              <w:t>项目概况及投标人履约情况</w:t>
            </w:r>
          </w:p>
        </w:tc>
        <w:tc>
          <w:tcPr>
            <w:tcW w:w="6253"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2269" w:type="dxa"/>
            <w:vAlign w:val="center"/>
          </w:tcPr>
          <w:p>
            <w:pPr>
              <w:pStyle w:val="61"/>
              <w:ind w:left="273" w:right="263"/>
              <w:jc w:val="center"/>
              <w:rPr>
                <w:color w:val="auto"/>
                <w:sz w:val="24"/>
                <w:szCs w:val="24"/>
                <w:highlight w:val="none"/>
              </w:rPr>
            </w:pPr>
            <w:r>
              <w:rPr>
                <w:color w:val="auto"/>
                <w:sz w:val="24"/>
                <w:szCs w:val="24"/>
                <w:highlight w:val="none"/>
              </w:rPr>
              <w:t>备注</w:t>
            </w:r>
          </w:p>
        </w:tc>
        <w:tc>
          <w:tcPr>
            <w:tcW w:w="6253" w:type="dxa"/>
            <w:vAlign w:val="center"/>
          </w:tcPr>
          <w:p>
            <w:pPr>
              <w:pStyle w:val="61"/>
              <w:jc w:val="center"/>
              <w:rPr>
                <w:rFonts w:ascii="Times New Roman"/>
                <w:color w:val="auto"/>
                <w:sz w:val="24"/>
                <w:szCs w:val="24"/>
                <w:highlight w:val="none"/>
              </w:rPr>
            </w:pPr>
          </w:p>
        </w:tc>
      </w:tr>
    </w:tbl>
    <w:p>
      <w:pPr>
        <w:pStyle w:val="15"/>
        <w:spacing w:line="360" w:lineRule="auto"/>
        <w:ind w:firstLine="480" w:firstLineChars="200"/>
        <w:rPr>
          <w:color w:val="auto"/>
          <w:sz w:val="24"/>
          <w:szCs w:val="24"/>
          <w:highlight w:val="none"/>
        </w:rPr>
      </w:pPr>
    </w:p>
    <w:p>
      <w:pPr>
        <w:pStyle w:val="15"/>
        <w:spacing w:line="360" w:lineRule="auto"/>
        <w:ind w:firstLine="480" w:firstLineChars="200"/>
        <w:rPr>
          <w:color w:val="auto"/>
          <w:sz w:val="24"/>
          <w:szCs w:val="24"/>
          <w:highlight w:val="none"/>
        </w:rPr>
      </w:pPr>
      <w:r>
        <w:rPr>
          <w:color w:val="auto"/>
          <w:sz w:val="24"/>
          <w:szCs w:val="24"/>
          <w:highlight w:val="none"/>
        </w:rPr>
        <w:t>注：</w:t>
      </w:r>
      <w:r>
        <w:rPr>
          <w:rFonts w:ascii="Times New Roman" w:eastAsia="Times New Roman"/>
          <w:color w:val="auto"/>
          <w:sz w:val="24"/>
          <w:szCs w:val="24"/>
          <w:highlight w:val="none"/>
        </w:rPr>
        <w:t>1.</w:t>
      </w:r>
      <w:r>
        <w:rPr>
          <w:color w:val="auto"/>
          <w:sz w:val="24"/>
          <w:szCs w:val="24"/>
          <w:highlight w:val="none"/>
        </w:rPr>
        <w:t xml:space="preserve">投标人应根据投标人须知第 </w:t>
      </w:r>
      <w:r>
        <w:rPr>
          <w:rFonts w:ascii="Times New Roman" w:eastAsia="Times New Roman"/>
          <w:color w:val="auto"/>
          <w:sz w:val="24"/>
          <w:szCs w:val="24"/>
          <w:highlight w:val="none"/>
        </w:rPr>
        <w:t xml:space="preserve">3.5.3 </w:t>
      </w:r>
      <w:r>
        <w:rPr>
          <w:color w:val="auto"/>
          <w:sz w:val="24"/>
          <w:szCs w:val="24"/>
          <w:highlight w:val="none"/>
        </w:rPr>
        <w:t>项的要求在本表后附相关证明材料。</w:t>
      </w:r>
    </w:p>
    <w:p>
      <w:pPr>
        <w:widowControl/>
        <w:autoSpaceDE/>
        <w:autoSpaceDN/>
        <w:spacing w:line="360" w:lineRule="auto"/>
        <w:ind w:firstLine="480" w:firstLineChars="200"/>
        <w:rPr>
          <w:color w:val="auto"/>
          <w:sz w:val="24"/>
          <w:szCs w:val="24"/>
          <w:highlight w:val="none"/>
        </w:rPr>
      </w:pPr>
      <w:r>
        <w:rPr>
          <w:rFonts w:ascii="Times New Roman" w:eastAsia="Times New Roman"/>
          <w:color w:val="auto"/>
          <w:sz w:val="24"/>
          <w:szCs w:val="24"/>
          <w:highlight w:val="none"/>
        </w:rPr>
        <w:t xml:space="preserve">2. </w:t>
      </w:r>
      <w:r>
        <w:rPr>
          <w:color w:val="auto"/>
          <w:sz w:val="24"/>
          <w:szCs w:val="24"/>
          <w:highlight w:val="none"/>
        </w:rPr>
        <w:t xml:space="preserve">投标人为代理经销商的，投标人须知第 </w:t>
      </w:r>
      <w:r>
        <w:rPr>
          <w:rFonts w:ascii="Times New Roman" w:eastAsia="Times New Roman"/>
          <w:color w:val="auto"/>
          <w:sz w:val="24"/>
          <w:szCs w:val="24"/>
          <w:highlight w:val="none"/>
        </w:rPr>
        <w:t>1.4.1</w:t>
      </w:r>
      <w:r>
        <w:rPr>
          <w:color w:val="auto"/>
          <w:sz w:val="24"/>
          <w:szCs w:val="24"/>
          <w:highlight w:val="none"/>
        </w:rPr>
        <w:t>项要求投标人提供投标</w:t>
      </w:r>
      <w:r>
        <w:rPr>
          <w:rFonts w:hint="eastAsia"/>
          <w:color w:val="auto"/>
          <w:sz w:val="24"/>
          <w:szCs w:val="24"/>
          <w:highlight w:val="none"/>
        </w:rPr>
        <w:t>货物</w:t>
      </w:r>
      <w:r>
        <w:rPr>
          <w:color w:val="auto"/>
          <w:sz w:val="24"/>
          <w:szCs w:val="24"/>
          <w:highlight w:val="none"/>
        </w:rPr>
        <w:t xml:space="preserve">的业绩的，投标人应按照上表的格式提供投标设备的业绩情况并根据投标人须知第 </w:t>
      </w:r>
      <w:r>
        <w:rPr>
          <w:rFonts w:ascii="Times New Roman" w:eastAsia="Times New Roman"/>
          <w:color w:val="auto"/>
          <w:sz w:val="24"/>
          <w:szCs w:val="24"/>
          <w:highlight w:val="none"/>
        </w:rPr>
        <w:t xml:space="preserve">3.5.3 </w:t>
      </w:r>
      <w:r>
        <w:rPr>
          <w:color w:val="auto"/>
          <w:sz w:val="24"/>
          <w:szCs w:val="24"/>
          <w:highlight w:val="none"/>
        </w:rPr>
        <w:t>项的要求在本表后附相关证明材料。</w:t>
      </w:r>
    </w:p>
    <w:p>
      <w:pPr>
        <w:widowControl/>
        <w:autoSpaceDE/>
        <w:autoSpaceDN/>
        <w:spacing w:line="360" w:lineRule="auto"/>
        <w:ind w:firstLine="440" w:firstLineChars="200"/>
        <w:rPr>
          <w:color w:val="auto"/>
          <w:sz w:val="28"/>
          <w:szCs w:val="28"/>
          <w:highlight w:val="none"/>
        </w:rPr>
      </w:pPr>
      <w:r>
        <w:rPr>
          <w:color w:val="auto"/>
          <w:highlight w:val="none"/>
        </w:rPr>
        <w:br w:type="page"/>
      </w:r>
    </w:p>
    <w:p>
      <w:pPr>
        <w:pStyle w:val="57"/>
        <w:spacing w:before="43"/>
        <w:ind w:left="537" w:firstLine="0"/>
        <w:rPr>
          <w:color w:val="auto"/>
          <w:highlight w:val="none"/>
        </w:rPr>
      </w:pPr>
      <w:r>
        <w:rPr>
          <w:color w:val="auto"/>
          <w:highlight w:val="none"/>
        </w:rPr>
        <w:t>（四）正在供货和新承接的项目情况表</w:t>
      </w:r>
    </w:p>
    <w:p>
      <w:pPr>
        <w:pStyle w:val="15"/>
        <w:rPr>
          <w:color w:val="auto"/>
          <w:sz w:val="20"/>
          <w:highlight w:val="none"/>
        </w:rPr>
      </w:pPr>
    </w:p>
    <w:tbl>
      <w:tblPr>
        <w:tblStyle w:val="29"/>
        <w:tblW w:w="0" w:type="auto"/>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2269" w:type="dxa"/>
            <w:vAlign w:val="center"/>
          </w:tcPr>
          <w:p>
            <w:pPr>
              <w:pStyle w:val="61"/>
              <w:ind w:left="271" w:right="265"/>
              <w:jc w:val="center"/>
              <w:rPr>
                <w:color w:val="auto"/>
                <w:sz w:val="24"/>
                <w:szCs w:val="24"/>
                <w:highlight w:val="none"/>
              </w:rPr>
            </w:pPr>
            <w:r>
              <w:rPr>
                <w:rFonts w:hint="eastAsia"/>
                <w:color w:val="auto"/>
                <w:sz w:val="24"/>
                <w:szCs w:val="24"/>
                <w:highlight w:val="none"/>
              </w:rPr>
              <w:t>业绩</w:t>
            </w:r>
            <w:r>
              <w:rPr>
                <w:color w:val="auto"/>
                <w:sz w:val="24"/>
                <w:szCs w:val="24"/>
                <w:highlight w:val="none"/>
              </w:rPr>
              <w:t>名称</w:t>
            </w:r>
          </w:p>
        </w:tc>
        <w:tc>
          <w:tcPr>
            <w:tcW w:w="6253"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269" w:type="dxa"/>
            <w:vAlign w:val="center"/>
          </w:tcPr>
          <w:p>
            <w:pPr>
              <w:pStyle w:val="61"/>
              <w:ind w:left="273" w:right="265"/>
              <w:jc w:val="center"/>
              <w:rPr>
                <w:color w:val="auto"/>
                <w:sz w:val="24"/>
                <w:szCs w:val="24"/>
                <w:highlight w:val="none"/>
              </w:rPr>
            </w:pPr>
            <w:r>
              <w:rPr>
                <w:color w:val="auto"/>
                <w:sz w:val="24"/>
                <w:szCs w:val="24"/>
                <w:highlight w:val="none"/>
              </w:rPr>
              <w:t>规格和型号</w:t>
            </w:r>
          </w:p>
        </w:tc>
        <w:tc>
          <w:tcPr>
            <w:tcW w:w="6253"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2269" w:type="dxa"/>
            <w:vAlign w:val="center"/>
          </w:tcPr>
          <w:p>
            <w:pPr>
              <w:pStyle w:val="61"/>
              <w:ind w:left="273" w:right="265"/>
              <w:jc w:val="center"/>
              <w:rPr>
                <w:color w:val="auto"/>
                <w:sz w:val="24"/>
                <w:szCs w:val="24"/>
                <w:highlight w:val="none"/>
              </w:rPr>
            </w:pPr>
            <w:r>
              <w:rPr>
                <w:color w:val="auto"/>
                <w:sz w:val="24"/>
                <w:szCs w:val="24"/>
                <w:highlight w:val="none"/>
              </w:rPr>
              <w:t>项目名称</w:t>
            </w:r>
          </w:p>
        </w:tc>
        <w:tc>
          <w:tcPr>
            <w:tcW w:w="6253"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269" w:type="dxa"/>
            <w:vAlign w:val="center"/>
          </w:tcPr>
          <w:p>
            <w:pPr>
              <w:pStyle w:val="61"/>
              <w:ind w:left="273" w:right="265"/>
              <w:jc w:val="center"/>
              <w:rPr>
                <w:color w:val="auto"/>
                <w:sz w:val="24"/>
                <w:szCs w:val="24"/>
                <w:highlight w:val="none"/>
              </w:rPr>
            </w:pPr>
            <w:r>
              <w:rPr>
                <w:color w:val="auto"/>
                <w:sz w:val="24"/>
                <w:szCs w:val="24"/>
                <w:highlight w:val="none"/>
              </w:rPr>
              <w:t>买方名称</w:t>
            </w:r>
          </w:p>
        </w:tc>
        <w:tc>
          <w:tcPr>
            <w:tcW w:w="6253"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269" w:type="dxa"/>
            <w:vAlign w:val="center"/>
          </w:tcPr>
          <w:p>
            <w:pPr>
              <w:pStyle w:val="61"/>
              <w:ind w:left="273" w:right="265"/>
              <w:jc w:val="center"/>
              <w:rPr>
                <w:color w:val="auto"/>
                <w:sz w:val="24"/>
                <w:szCs w:val="24"/>
                <w:highlight w:val="none"/>
              </w:rPr>
            </w:pPr>
            <w:r>
              <w:rPr>
                <w:color w:val="auto"/>
                <w:sz w:val="24"/>
                <w:szCs w:val="24"/>
                <w:highlight w:val="none"/>
              </w:rPr>
              <w:t>买方联系人及电话</w:t>
            </w:r>
          </w:p>
        </w:tc>
        <w:tc>
          <w:tcPr>
            <w:tcW w:w="6253"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269" w:type="dxa"/>
            <w:vAlign w:val="center"/>
          </w:tcPr>
          <w:p>
            <w:pPr>
              <w:pStyle w:val="61"/>
              <w:ind w:left="273" w:right="265"/>
              <w:jc w:val="center"/>
              <w:rPr>
                <w:color w:val="auto"/>
                <w:sz w:val="24"/>
                <w:szCs w:val="24"/>
                <w:highlight w:val="none"/>
              </w:rPr>
            </w:pPr>
            <w:r>
              <w:rPr>
                <w:color w:val="auto"/>
                <w:sz w:val="24"/>
                <w:szCs w:val="24"/>
                <w:highlight w:val="none"/>
              </w:rPr>
              <w:t>签约合同价</w:t>
            </w:r>
          </w:p>
        </w:tc>
        <w:tc>
          <w:tcPr>
            <w:tcW w:w="6253"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9" w:hRule="atLeast"/>
        </w:trPr>
        <w:tc>
          <w:tcPr>
            <w:tcW w:w="2269" w:type="dxa"/>
            <w:vAlign w:val="center"/>
          </w:tcPr>
          <w:p>
            <w:pPr>
              <w:pStyle w:val="61"/>
              <w:spacing w:line="393" w:lineRule="auto"/>
              <w:ind w:right="176"/>
              <w:jc w:val="center"/>
              <w:rPr>
                <w:color w:val="auto"/>
                <w:sz w:val="24"/>
                <w:szCs w:val="24"/>
                <w:highlight w:val="none"/>
              </w:rPr>
            </w:pPr>
            <w:r>
              <w:rPr>
                <w:color w:val="auto"/>
                <w:sz w:val="24"/>
                <w:szCs w:val="24"/>
                <w:highlight w:val="none"/>
              </w:rPr>
              <w:t>项目概况及投标人履约情况</w:t>
            </w:r>
          </w:p>
        </w:tc>
        <w:tc>
          <w:tcPr>
            <w:tcW w:w="6253" w:type="dxa"/>
            <w:vAlign w:val="center"/>
          </w:tcPr>
          <w:p>
            <w:pPr>
              <w:pStyle w:val="61"/>
              <w:jc w:val="center"/>
              <w:rPr>
                <w:rFonts w:ascii="Times New Roman"/>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269" w:type="dxa"/>
            <w:vAlign w:val="center"/>
          </w:tcPr>
          <w:p>
            <w:pPr>
              <w:pStyle w:val="61"/>
              <w:ind w:left="273" w:right="263"/>
              <w:jc w:val="center"/>
              <w:rPr>
                <w:color w:val="auto"/>
                <w:sz w:val="24"/>
                <w:szCs w:val="24"/>
                <w:highlight w:val="none"/>
              </w:rPr>
            </w:pPr>
            <w:r>
              <w:rPr>
                <w:color w:val="auto"/>
                <w:sz w:val="24"/>
                <w:szCs w:val="24"/>
                <w:highlight w:val="none"/>
              </w:rPr>
              <w:t>备注</w:t>
            </w:r>
          </w:p>
        </w:tc>
        <w:tc>
          <w:tcPr>
            <w:tcW w:w="6253" w:type="dxa"/>
            <w:vAlign w:val="center"/>
          </w:tcPr>
          <w:p>
            <w:pPr>
              <w:pStyle w:val="61"/>
              <w:jc w:val="center"/>
              <w:rPr>
                <w:rFonts w:ascii="Times New Roman"/>
                <w:color w:val="auto"/>
                <w:sz w:val="24"/>
                <w:szCs w:val="24"/>
                <w:highlight w:val="none"/>
              </w:rPr>
            </w:pPr>
          </w:p>
        </w:tc>
      </w:tr>
    </w:tbl>
    <w:p>
      <w:pPr>
        <w:pStyle w:val="15"/>
        <w:spacing w:before="143"/>
        <w:ind w:left="400"/>
        <w:rPr>
          <w:color w:val="auto"/>
          <w:highlight w:val="none"/>
        </w:rPr>
      </w:pPr>
      <w:r>
        <w:rPr>
          <w:rFonts w:hint="eastAsia"/>
          <w:color w:val="auto"/>
          <w:sz w:val="24"/>
          <w:szCs w:val="24"/>
          <w:highlight w:val="none"/>
        </w:rPr>
        <w:t>注：投标人应根据投标人须知第 3.5.4 项的要求在本表后附相关证明材料。</w:t>
      </w:r>
    </w:p>
    <w:p>
      <w:pPr>
        <w:widowControl/>
        <w:autoSpaceDE/>
        <w:autoSpaceDN/>
        <w:rPr>
          <w:color w:val="auto"/>
          <w:sz w:val="28"/>
          <w:szCs w:val="28"/>
          <w:highlight w:val="none"/>
        </w:rPr>
      </w:pPr>
      <w:r>
        <w:rPr>
          <w:color w:val="auto"/>
          <w:highlight w:val="none"/>
        </w:rPr>
        <w:br w:type="page"/>
      </w:r>
    </w:p>
    <w:p>
      <w:pPr>
        <w:pStyle w:val="57"/>
        <w:spacing w:before="35"/>
        <w:ind w:left="537" w:firstLine="0"/>
        <w:rPr>
          <w:color w:val="auto"/>
          <w:highlight w:val="none"/>
        </w:rPr>
      </w:pPr>
      <w:r>
        <w:rPr>
          <w:color w:val="auto"/>
          <w:highlight w:val="none"/>
        </w:rPr>
        <w:t>（五）近年发生的诉讼及仲裁情况</w:t>
      </w:r>
    </w:p>
    <w:p>
      <w:pPr>
        <w:pStyle w:val="15"/>
        <w:rPr>
          <w:color w:val="auto"/>
          <w:sz w:val="32"/>
          <w:highlight w:val="none"/>
        </w:rPr>
      </w:pPr>
    </w:p>
    <w:p>
      <w:pPr>
        <w:pStyle w:val="15"/>
        <w:spacing w:before="8"/>
        <w:rPr>
          <w:color w:val="auto"/>
          <w:sz w:val="16"/>
          <w:highlight w:val="none"/>
        </w:rPr>
      </w:pPr>
      <w:r>
        <w:rPr>
          <w:color w:val="auto"/>
          <w:sz w:val="24"/>
          <w:szCs w:val="24"/>
          <w:highlight w:val="none"/>
        </w:rPr>
        <w:t xml:space="preserve">注：投标人应根据投标人须知第 </w:t>
      </w:r>
      <w:r>
        <w:rPr>
          <w:rFonts w:ascii="Times New Roman" w:eastAsia="Times New Roman"/>
          <w:color w:val="auto"/>
          <w:sz w:val="24"/>
          <w:szCs w:val="24"/>
          <w:highlight w:val="none"/>
        </w:rPr>
        <w:t xml:space="preserve">3.5.5 </w:t>
      </w:r>
      <w:r>
        <w:rPr>
          <w:color w:val="auto"/>
          <w:sz w:val="24"/>
          <w:szCs w:val="24"/>
          <w:highlight w:val="none"/>
        </w:rPr>
        <w:t>项的要求附相关证明材料。</w:t>
      </w:r>
    </w:p>
    <w:p>
      <w:pPr>
        <w:widowControl/>
        <w:autoSpaceDE/>
        <w:autoSpaceDN/>
        <w:rPr>
          <w:color w:val="auto"/>
          <w:sz w:val="28"/>
          <w:szCs w:val="28"/>
          <w:highlight w:val="none"/>
        </w:rPr>
      </w:pPr>
      <w:r>
        <w:rPr>
          <w:color w:val="auto"/>
          <w:highlight w:val="none"/>
        </w:rPr>
        <w:br w:type="page"/>
      </w:r>
    </w:p>
    <w:p>
      <w:pPr>
        <w:pStyle w:val="57"/>
        <w:spacing w:before="61"/>
        <w:ind w:left="537" w:firstLine="0"/>
        <w:rPr>
          <w:color w:val="auto"/>
          <w:highlight w:val="none"/>
        </w:rPr>
      </w:pPr>
      <w:r>
        <w:rPr>
          <w:color w:val="auto"/>
          <w:highlight w:val="none"/>
        </w:rPr>
        <w:t>（六）制造商授权书</w:t>
      </w:r>
    </w:p>
    <w:p>
      <w:pPr>
        <w:pStyle w:val="15"/>
        <w:spacing w:before="12"/>
        <w:rPr>
          <w:color w:val="auto"/>
          <w:sz w:val="27"/>
          <w:highlight w:val="none"/>
        </w:rPr>
      </w:pPr>
    </w:p>
    <w:p>
      <w:pPr>
        <w:spacing w:before="61"/>
        <w:ind w:right="293"/>
        <w:jc w:val="center"/>
        <w:rPr>
          <w:color w:val="auto"/>
          <w:sz w:val="28"/>
          <w:highlight w:val="none"/>
        </w:rPr>
      </w:pPr>
      <w:r>
        <w:rPr>
          <w:color w:val="auto"/>
          <w:sz w:val="28"/>
          <w:highlight w:val="none"/>
        </w:rPr>
        <w:t>制造商授权书</w:t>
      </w:r>
      <w:r>
        <w:rPr>
          <w:rFonts w:hint="eastAsia"/>
          <w:color w:val="auto"/>
          <w:sz w:val="28"/>
          <w:highlight w:val="none"/>
        </w:rPr>
        <w:t>（参考格式）</w:t>
      </w:r>
    </w:p>
    <w:p>
      <w:pPr>
        <w:pStyle w:val="15"/>
        <w:rPr>
          <w:color w:val="auto"/>
          <w:sz w:val="20"/>
          <w:highlight w:val="none"/>
        </w:rPr>
      </w:pPr>
    </w:p>
    <w:p>
      <w:pPr>
        <w:pStyle w:val="15"/>
        <w:spacing w:before="6"/>
        <w:rPr>
          <w:color w:val="auto"/>
          <w:sz w:val="29"/>
          <w:highlight w:val="none"/>
        </w:rPr>
      </w:pPr>
    </w:p>
    <w:p>
      <w:pPr>
        <w:pStyle w:val="15"/>
        <w:tabs>
          <w:tab w:val="left" w:pos="2291"/>
        </w:tabs>
        <w:spacing w:line="560" w:lineRule="exact"/>
        <w:ind w:firstLine="480" w:firstLineChars="200"/>
        <w:jc w:val="both"/>
        <w:rPr>
          <w:color w:val="auto"/>
          <w:sz w:val="24"/>
          <w:szCs w:val="24"/>
          <w:highlight w:val="none"/>
        </w:rPr>
      </w:pPr>
      <w:r>
        <w:rPr>
          <w:color w:val="auto"/>
          <w:sz w:val="24"/>
          <w:szCs w:val="24"/>
          <w:highlight w:val="none"/>
        </w:rPr>
        <w:t>致：</w:t>
      </w:r>
      <w:r>
        <w:rPr>
          <w:color w:val="auto"/>
          <w:sz w:val="24"/>
          <w:szCs w:val="24"/>
          <w:highlight w:val="none"/>
          <w:u w:val="single"/>
        </w:rPr>
        <w:tab/>
      </w:r>
      <w:r>
        <w:rPr>
          <w:color w:val="auto"/>
          <w:sz w:val="24"/>
          <w:szCs w:val="24"/>
          <w:highlight w:val="none"/>
        </w:rPr>
        <w:t>（招标人）</w:t>
      </w:r>
    </w:p>
    <w:p>
      <w:pPr>
        <w:pStyle w:val="15"/>
        <w:tabs>
          <w:tab w:val="left" w:pos="2589"/>
          <w:tab w:val="left" w:pos="5914"/>
        </w:tabs>
        <w:spacing w:line="560" w:lineRule="exact"/>
        <w:ind w:firstLine="480" w:firstLineChars="200"/>
        <w:jc w:val="both"/>
        <w:rPr>
          <w:color w:val="auto"/>
          <w:sz w:val="24"/>
          <w:szCs w:val="24"/>
          <w:highlight w:val="none"/>
        </w:rPr>
      </w:pPr>
      <w:r>
        <w:rPr>
          <w:color w:val="auto"/>
          <w:sz w:val="24"/>
          <w:szCs w:val="24"/>
          <w:highlight w:val="none"/>
        </w:rPr>
        <w:t>我单位</w:t>
      </w:r>
      <w:r>
        <w:rPr>
          <w:color w:val="auto"/>
          <w:sz w:val="24"/>
          <w:szCs w:val="24"/>
          <w:highlight w:val="none"/>
          <w:u w:val="single"/>
        </w:rPr>
        <w:tab/>
      </w:r>
      <w:r>
        <w:rPr>
          <w:color w:val="auto"/>
          <w:sz w:val="24"/>
          <w:szCs w:val="24"/>
          <w:highlight w:val="none"/>
        </w:rPr>
        <w:t>（制造商名称）是按</w:t>
      </w:r>
      <w:r>
        <w:rPr>
          <w:color w:val="auto"/>
          <w:sz w:val="24"/>
          <w:szCs w:val="24"/>
          <w:highlight w:val="none"/>
          <w:u w:val="single"/>
        </w:rPr>
        <w:tab/>
      </w:r>
      <w:r>
        <w:rPr>
          <w:color w:val="auto"/>
          <w:sz w:val="24"/>
          <w:szCs w:val="24"/>
          <w:highlight w:val="none"/>
        </w:rPr>
        <w:t>（国家／地区名称）法律成立的一家制造商，主要营业地点设在</w:t>
      </w:r>
      <w:r>
        <w:rPr>
          <w:color w:val="auto"/>
          <w:sz w:val="24"/>
          <w:szCs w:val="24"/>
          <w:highlight w:val="none"/>
          <w:u w:val="single"/>
        </w:rPr>
        <w:tab/>
      </w:r>
      <w:r>
        <w:rPr>
          <w:color w:val="auto"/>
          <w:sz w:val="24"/>
          <w:szCs w:val="24"/>
          <w:highlight w:val="none"/>
        </w:rPr>
        <w:t>（制造商地址）。兹授权按</w:t>
      </w:r>
      <w:r>
        <w:rPr>
          <w:color w:val="auto"/>
          <w:sz w:val="24"/>
          <w:szCs w:val="24"/>
          <w:highlight w:val="none"/>
          <w:u w:val="single"/>
        </w:rPr>
        <w:tab/>
      </w:r>
      <w:r>
        <w:rPr>
          <w:color w:val="auto"/>
          <w:sz w:val="24"/>
          <w:szCs w:val="24"/>
          <w:highlight w:val="none"/>
        </w:rPr>
        <w:t>（国家／地区名称）的法律正式成立的，主要营业地点设在</w:t>
      </w:r>
      <w:r>
        <w:rPr>
          <w:color w:val="auto"/>
          <w:sz w:val="24"/>
          <w:szCs w:val="24"/>
          <w:highlight w:val="none"/>
          <w:u w:val="single"/>
        </w:rPr>
        <w:tab/>
      </w:r>
      <w:r>
        <w:rPr>
          <w:color w:val="auto"/>
          <w:sz w:val="24"/>
          <w:szCs w:val="24"/>
          <w:highlight w:val="none"/>
          <w:u w:val="single"/>
        </w:rPr>
        <w:t>（</w:t>
      </w:r>
      <w:r>
        <w:rPr>
          <w:color w:val="auto"/>
          <w:sz w:val="24"/>
          <w:szCs w:val="24"/>
          <w:highlight w:val="none"/>
        </w:rPr>
        <w:t>投标人的单位地址）的</w:t>
      </w:r>
      <w:r>
        <w:rPr>
          <w:color w:val="auto"/>
          <w:sz w:val="24"/>
          <w:szCs w:val="24"/>
          <w:highlight w:val="none"/>
          <w:u w:val="single"/>
        </w:rPr>
        <w:tab/>
      </w:r>
      <w:r>
        <w:rPr>
          <w:color w:val="auto"/>
          <w:sz w:val="24"/>
          <w:szCs w:val="24"/>
          <w:highlight w:val="none"/>
          <w:u w:val="single"/>
        </w:rPr>
        <w:t>（</w:t>
      </w:r>
      <w:r>
        <w:rPr>
          <w:color w:val="auto"/>
          <w:sz w:val="24"/>
          <w:szCs w:val="24"/>
          <w:highlight w:val="none"/>
        </w:rPr>
        <w:t>投标人名称）以我单位制造的</w:t>
      </w:r>
      <w:r>
        <w:rPr>
          <w:color w:val="auto"/>
          <w:sz w:val="24"/>
          <w:szCs w:val="24"/>
          <w:highlight w:val="none"/>
          <w:u w:val="single"/>
        </w:rPr>
        <w:tab/>
      </w:r>
      <w:r>
        <w:rPr>
          <w:color w:val="auto"/>
          <w:sz w:val="24"/>
          <w:szCs w:val="24"/>
          <w:highlight w:val="none"/>
        </w:rPr>
        <w:t>（设备名称）进行</w:t>
      </w:r>
      <w:r>
        <w:rPr>
          <w:color w:val="auto"/>
          <w:sz w:val="24"/>
          <w:szCs w:val="24"/>
          <w:highlight w:val="none"/>
          <w:u w:val="single"/>
        </w:rPr>
        <w:tab/>
      </w:r>
      <w:r>
        <w:rPr>
          <w:color w:val="auto"/>
          <w:sz w:val="24"/>
          <w:szCs w:val="24"/>
          <w:highlight w:val="none"/>
        </w:rPr>
        <w:t>（项目名称）</w:t>
      </w:r>
      <w:r>
        <w:rPr>
          <w:rFonts w:hint="eastAsia"/>
          <w:color w:val="auto"/>
          <w:sz w:val="24"/>
          <w:szCs w:val="24"/>
          <w:highlight w:val="none"/>
        </w:rPr>
        <w:t>标段</w:t>
      </w:r>
      <w:r>
        <w:rPr>
          <w:color w:val="auto"/>
          <w:sz w:val="24"/>
          <w:szCs w:val="24"/>
          <w:highlight w:val="none"/>
        </w:rPr>
        <w:t>投标活动。我单位同意按照中标合同供货，并对产品质量承担责任。</w:t>
      </w:r>
    </w:p>
    <w:p>
      <w:pPr>
        <w:pStyle w:val="15"/>
        <w:tabs>
          <w:tab w:val="left" w:pos="4812"/>
        </w:tabs>
        <w:spacing w:line="560" w:lineRule="exact"/>
        <w:ind w:firstLine="480" w:firstLineChars="200"/>
        <w:jc w:val="both"/>
        <w:rPr>
          <w:color w:val="auto"/>
          <w:sz w:val="24"/>
          <w:szCs w:val="24"/>
          <w:highlight w:val="none"/>
        </w:rPr>
      </w:pPr>
      <w:r>
        <w:rPr>
          <w:color w:val="auto"/>
          <w:sz w:val="24"/>
          <w:szCs w:val="24"/>
          <w:highlight w:val="none"/>
        </w:rPr>
        <w:t>授权期限：</w:t>
      </w:r>
      <w:r>
        <w:rPr>
          <w:color w:val="auto"/>
          <w:sz w:val="24"/>
          <w:szCs w:val="24"/>
          <w:highlight w:val="none"/>
          <w:u w:val="single"/>
        </w:rPr>
        <w:tab/>
      </w:r>
      <w:r>
        <w:rPr>
          <w:color w:val="auto"/>
          <w:sz w:val="24"/>
          <w:szCs w:val="24"/>
          <w:highlight w:val="none"/>
        </w:rPr>
        <w:t>。</w:t>
      </w:r>
    </w:p>
    <w:p>
      <w:pPr>
        <w:pStyle w:val="15"/>
        <w:rPr>
          <w:color w:val="auto"/>
          <w:sz w:val="24"/>
          <w:szCs w:val="24"/>
          <w:highlight w:val="none"/>
        </w:rPr>
      </w:pPr>
    </w:p>
    <w:p>
      <w:pPr>
        <w:pStyle w:val="15"/>
        <w:rPr>
          <w:color w:val="auto"/>
          <w:sz w:val="24"/>
          <w:szCs w:val="24"/>
          <w:highlight w:val="none"/>
        </w:rPr>
      </w:pPr>
    </w:p>
    <w:p>
      <w:pPr>
        <w:pStyle w:val="15"/>
        <w:spacing w:before="10"/>
        <w:rPr>
          <w:color w:val="auto"/>
          <w:sz w:val="24"/>
          <w:szCs w:val="24"/>
          <w:highlight w:val="none"/>
        </w:rPr>
      </w:pPr>
    </w:p>
    <w:p>
      <w:pPr>
        <w:pStyle w:val="15"/>
        <w:tabs>
          <w:tab w:val="left" w:pos="3340"/>
          <w:tab w:val="left" w:pos="4812"/>
          <w:tab w:val="left" w:pos="7872"/>
        </w:tabs>
        <w:spacing w:before="78"/>
        <w:rPr>
          <w:color w:val="auto"/>
          <w:sz w:val="24"/>
          <w:szCs w:val="24"/>
          <w:highlight w:val="none"/>
        </w:rPr>
      </w:pPr>
      <w:r>
        <w:rPr>
          <w:color w:val="auto"/>
          <w:sz w:val="24"/>
          <w:szCs w:val="24"/>
          <w:highlight w:val="none"/>
        </w:rPr>
        <w:t>投标人名称：</w:t>
      </w:r>
      <w:r>
        <w:rPr>
          <w:color w:val="auto"/>
          <w:sz w:val="24"/>
          <w:szCs w:val="24"/>
          <w:highlight w:val="none"/>
          <w:u w:val="single"/>
        </w:rPr>
        <w:tab/>
      </w:r>
      <w:r>
        <w:rPr>
          <w:color w:val="auto"/>
          <w:sz w:val="24"/>
          <w:szCs w:val="24"/>
          <w:highlight w:val="none"/>
        </w:rPr>
        <w:t>（盖单位章）</w:t>
      </w:r>
      <w:r>
        <w:rPr>
          <w:color w:val="auto"/>
          <w:sz w:val="24"/>
          <w:szCs w:val="24"/>
          <w:highlight w:val="none"/>
        </w:rPr>
        <w:tab/>
      </w:r>
      <w:r>
        <w:rPr>
          <w:color w:val="auto"/>
          <w:sz w:val="24"/>
          <w:szCs w:val="24"/>
          <w:highlight w:val="none"/>
        </w:rPr>
        <w:t>制造商名称：</w:t>
      </w:r>
      <w:r>
        <w:rPr>
          <w:color w:val="auto"/>
          <w:sz w:val="24"/>
          <w:szCs w:val="24"/>
          <w:highlight w:val="none"/>
          <w:u w:val="single"/>
        </w:rPr>
        <w:tab/>
      </w:r>
      <w:r>
        <w:rPr>
          <w:color w:val="auto"/>
          <w:sz w:val="24"/>
          <w:szCs w:val="24"/>
          <w:highlight w:val="none"/>
        </w:rPr>
        <w:t>（盖单位章）</w:t>
      </w:r>
    </w:p>
    <w:p>
      <w:pPr>
        <w:pStyle w:val="15"/>
        <w:tabs>
          <w:tab w:val="left" w:pos="4650"/>
          <w:tab w:val="left" w:pos="9058"/>
        </w:tabs>
        <w:spacing w:before="170"/>
        <w:rPr>
          <w:rFonts w:ascii="Times New Roman" w:eastAsia="Times New Roman"/>
          <w:color w:val="auto"/>
          <w:sz w:val="24"/>
          <w:szCs w:val="24"/>
          <w:highlight w:val="none"/>
        </w:rPr>
      </w:pPr>
      <w:r>
        <w:rPr>
          <w:color w:val="auto"/>
          <w:sz w:val="24"/>
          <w:szCs w:val="24"/>
          <w:highlight w:val="none"/>
        </w:rPr>
        <w:t>签字人职务：</w:t>
      </w:r>
      <w:r>
        <w:rPr>
          <w:color w:val="auto"/>
          <w:sz w:val="24"/>
          <w:szCs w:val="24"/>
          <w:highlight w:val="none"/>
          <w:u w:val="single"/>
        </w:rPr>
        <w:tab/>
      </w:r>
      <w:r>
        <w:rPr>
          <w:color w:val="auto"/>
          <w:sz w:val="24"/>
          <w:szCs w:val="24"/>
          <w:highlight w:val="none"/>
        </w:rPr>
        <w:t>签字人职务：</w:t>
      </w:r>
      <w:r>
        <w:rPr>
          <w:rFonts w:ascii="Times New Roman" w:eastAsia="Times New Roman"/>
          <w:color w:val="auto"/>
          <w:sz w:val="24"/>
          <w:szCs w:val="24"/>
          <w:highlight w:val="none"/>
          <w:u w:val="single"/>
        </w:rPr>
        <w:tab/>
      </w:r>
    </w:p>
    <w:p>
      <w:pPr>
        <w:pStyle w:val="15"/>
        <w:tabs>
          <w:tab w:val="left" w:pos="4650"/>
          <w:tab w:val="left" w:pos="9058"/>
        </w:tabs>
        <w:spacing w:before="173"/>
        <w:rPr>
          <w:rFonts w:ascii="Times New Roman" w:eastAsia="Times New Roman"/>
          <w:color w:val="auto"/>
          <w:sz w:val="24"/>
          <w:szCs w:val="24"/>
          <w:highlight w:val="none"/>
        </w:rPr>
      </w:pPr>
      <w:r>
        <w:rPr>
          <w:color w:val="auto"/>
          <w:sz w:val="24"/>
          <w:szCs w:val="24"/>
          <w:highlight w:val="none"/>
        </w:rPr>
        <w:t>签字人姓名：</w:t>
      </w:r>
      <w:r>
        <w:rPr>
          <w:color w:val="auto"/>
          <w:sz w:val="24"/>
          <w:szCs w:val="24"/>
          <w:highlight w:val="none"/>
          <w:u w:val="single"/>
        </w:rPr>
        <w:tab/>
      </w:r>
      <w:r>
        <w:rPr>
          <w:color w:val="auto"/>
          <w:sz w:val="24"/>
          <w:szCs w:val="24"/>
          <w:highlight w:val="none"/>
        </w:rPr>
        <w:t>签字人姓名：</w:t>
      </w:r>
      <w:r>
        <w:rPr>
          <w:rFonts w:ascii="Times New Roman" w:eastAsia="Times New Roman"/>
          <w:color w:val="auto"/>
          <w:sz w:val="24"/>
          <w:szCs w:val="24"/>
          <w:highlight w:val="none"/>
          <w:u w:val="single"/>
        </w:rPr>
        <w:tab/>
      </w:r>
    </w:p>
    <w:p>
      <w:pPr>
        <w:pStyle w:val="15"/>
        <w:tabs>
          <w:tab w:val="left" w:pos="4650"/>
          <w:tab w:val="left" w:pos="9058"/>
        </w:tabs>
        <w:spacing w:before="170"/>
        <w:rPr>
          <w:rFonts w:ascii="Times New Roman" w:eastAsia="Times New Roman"/>
          <w:color w:val="auto"/>
          <w:sz w:val="24"/>
          <w:szCs w:val="24"/>
          <w:highlight w:val="none"/>
        </w:rPr>
      </w:pPr>
      <w:r>
        <w:rPr>
          <w:color w:val="auto"/>
          <w:sz w:val="24"/>
          <w:szCs w:val="24"/>
          <w:highlight w:val="none"/>
        </w:rPr>
        <w:t>签字人签名：</w:t>
      </w:r>
      <w:r>
        <w:rPr>
          <w:color w:val="auto"/>
          <w:sz w:val="24"/>
          <w:szCs w:val="24"/>
          <w:highlight w:val="none"/>
          <w:u w:val="single"/>
        </w:rPr>
        <w:tab/>
      </w:r>
      <w:r>
        <w:rPr>
          <w:color w:val="auto"/>
          <w:sz w:val="24"/>
          <w:szCs w:val="24"/>
          <w:highlight w:val="none"/>
        </w:rPr>
        <w:t>签字人签名：</w:t>
      </w:r>
      <w:r>
        <w:rPr>
          <w:rFonts w:ascii="Times New Roman" w:eastAsia="Times New Roman"/>
          <w:color w:val="auto"/>
          <w:sz w:val="24"/>
          <w:szCs w:val="24"/>
          <w:highlight w:val="none"/>
          <w:u w:val="single"/>
        </w:rPr>
        <w:tab/>
      </w:r>
    </w:p>
    <w:p>
      <w:pPr>
        <w:pStyle w:val="15"/>
        <w:tabs>
          <w:tab w:val="left" w:pos="4650"/>
          <w:tab w:val="left" w:pos="9058"/>
        </w:tabs>
        <w:spacing w:before="173"/>
        <w:ind w:left="400"/>
        <w:rPr>
          <w:color w:val="auto"/>
          <w:sz w:val="24"/>
          <w:szCs w:val="24"/>
          <w:highlight w:val="none"/>
        </w:rPr>
      </w:pPr>
    </w:p>
    <w:p>
      <w:pPr>
        <w:pStyle w:val="15"/>
        <w:tabs>
          <w:tab w:val="left" w:pos="4650"/>
          <w:tab w:val="left" w:pos="9058"/>
        </w:tabs>
        <w:spacing w:before="173"/>
        <w:ind w:left="400"/>
        <w:rPr>
          <w:color w:val="auto"/>
          <w:sz w:val="24"/>
          <w:szCs w:val="24"/>
          <w:highlight w:val="none"/>
        </w:rPr>
      </w:pPr>
    </w:p>
    <w:p>
      <w:pPr>
        <w:pStyle w:val="15"/>
        <w:tabs>
          <w:tab w:val="left" w:pos="4650"/>
          <w:tab w:val="left" w:pos="9058"/>
        </w:tabs>
        <w:spacing w:before="173"/>
        <w:ind w:left="400"/>
        <w:rPr>
          <w:b/>
          <w:color w:val="auto"/>
          <w:sz w:val="24"/>
          <w:szCs w:val="24"/>
          <w:highlight w:val="none"/>
        </w:rPr>
      </w:pPr>
      <w:r>
        <w:rPr>
          <w:rFonts w:hint="eastAsia"/>
          <w:b/>
          <w:color w:val="auto"/>
          <w:sz w:val="24"/>
          <w:szCs w:val="24"/>
          <w:highlight w:val="none"/>
        </w:rPr>
        <w:t>注：如为代理商须提供。</w:t>
      </w:r>
    </w:p>
    <w:p>
      <w:pPr>
        <w:pStyle w:val="15"/>
        <w:tabs>
          <w:tab w:val="left" w:pos="4650"/>
          <w:tab w:val="left" w:pos="9058"/>
        </w:tabs>
        <w:spacing w:before="173"/>
        <w:ind w:left="400"/>
        <w:rPr>
          <w:b/>
          <w:color w:val="auto"/>
          <w:highlight w:val="none"/>
        </w:rPr>
        <w:sectPr>
          <w:type w:val="continuous"/>
          <w:pgSz w:w="11907" w:h="16839"/>
          <w:pgMar w:top="1417" w:right="1701" w:bottom="1417" w:left="1701" w:header="0" w:footer="841" w:gutter="0"/>
          <w:pgNumType w:fmt="decimal"/>
          <w:cols w:space="720" w:num="1"/>
        </w:sectPr>
      </w:pPr>
    </w:p>
    <w:p>
      <w:pPr>
        <w:widowControl/>
        <w:autoSpaceDE/>
        <w:autoSpaceDN/>
        <w:rPr>
          <w:rFonts w:ascii="Microsoft JhengHei" w:hAnsi="Microsoft JhengHei" w:eastAsia="Microsoft JhengHei" w:cs="Microsoft JhengHei"/>
          <w:b/>
          <w:bCs/>
          <w:color w:val="auto"/>
          <w:sz w:val="32"/>
          <w:szCs w:val="32"/>
          <w:highlight w:val="none"/>
        </w:rPr>
      </w:pPr>
      <w:r>
        <w:rPr>
          <w:color w:val="auto"/>
          <w:highlight w:val="none"/>
        </w:rPr>
        <w:br w:type="page"/>
      </w:r>
    </w:p>
    <w:p>
      <w:pPr>
        <w:pStyle w:val="56"/>
        <w:spacing w:line="525" w:lineRule="exact"/>
        <w:ind w:left="0" w:firstLine="0"/>
        <w:jc w:val="center"/>
        <w:rPr>
          <w:rFonts w:ascii="宋体" w:hAnsi="宋体" w:eastAsia="宋体" w:cs="宋体"/>
          <w:color w:val="auto"/>
          <w:highlight w:val="none"/>
        </w:rPr>
      </w:pPr>
      <w:r>
        <w:rPr>
          <w:rFonts w:hint="eastAsia" w:ascii="宋体" w:hAnsi="宋体" w:eastAsia="宋体" w:cs="宋体"/>
          <w:color w:val="auto"/>
          <w:highlight w:val="none"/>
          <w:lang w:val="en-US"/>
        </w:rPr>
        <w:t>九</w:t>
      </w:r>
      <w:r>
        <w:rPr>
          <w:rFonts w:hint="eastAsia" w:ascii="宋体" w:hAnsi="宋体" w:eastAsia="宋体" w:cs="宋体"/>
          <w:color w:val="auto"/>
          <w:highlight w:val="none"/>
        </w:rPr>
        <w:t>、技术方案</w:t>
      </w:r>
    </w:p>
    <w:p>
      <w:pPr>
        <w:pStyle w:val="56"/>
        <w:spacing w:line="525" w:lineRule="exact"/>
        <w:ind w:left="0" w:right="297" w:firstLine="0"/>
        <w:jc w:val="center"/>
        <w:rPr>
          <w:rFonts w:eastAsiaTheme="minorEastAsia"/>
          <w:b w:val="0"/>
          <w:color w:val="auto"/>
          <w:highlight w:val="none"/>
          <w:lang w:val="en-US"/>
        </w:rPr>
      </w:pPr>
      <w:r>
        <w:rPr>
          <w:rFonts w:hint="eastAsia" w:ascii="宋体" w:hAnsi="宋体" w:eastAsia="宋体" w:cs="宋体"/>
          <w:b w:val="0"/>
          <w:color w:val="auto"/>
          <w:highlight w:val="none"/>
        </w:rPr>
        <w:t>（格式自拟）</w:t>
      </w:r>
    </w:p>
    <w:p>
      <w:pPr>
        <w:widowControl/>
        <w:autoSpaceDE/>
        <w:autoSpaceDN/>
        <w:rPr>
          <w:rFonts w:ascii="Microsoft JhengHei" w:hAnsi="Microsoft JhengHei" w:cs="Microsoft JhengHei" w:eastAsiaTheme="minorEastAsia"/>
          <w:b/>
          <w:bCs/>
          <w:color w:val="auto"/>
          <w:sz w:val="32"/>
          <w:szCs w:val="32"/>
          <w:highlight w:val="none"/>
        </w:rPr>
      </w:pPr>
      <w:r>
        <w:rPr>
          <w:rFonts w:eastAsiaTheme="minorEastAsia"/>
          <w:color w:val="auto"/>
          <w:highlight w:val="none"/>
        </w:rPr>
        <w:br w:type="page"/>
      </w:r>
    </w:p>
    <w:p>
      <w:pPr>
        <w:pStyle w:val="56"/>
        <w:spacing w:line="525" w:lineRule="exact"/>
        <w:ind w:left="0" w:right="297" w:firstLine="0"/>
        <w:jc w:val="center"/>
        <w:rPr>
          <w:rFonts w:ascii="宋体" w:hAnsi="宋体" w:eastAsia="宋体" w:cs="宋体"/>
          <w:color w:val="auto"/>
          <w:highlight w:val="none"/>
        </w:rPr>
      </w:pPr>
      <w:r>
        <w:rPr>
          <w:rFonts w:hint="eastAsia" w:ascii="宋体" w:hAnsi="宋体" w:eastAsia="宋体" w:cs="宋体"/>
          <w:color w:val="auto"/>
          <w:highlight w:val="none"/>
          <w:lang w:val="en-US"/>
        </w:rPr>
        <w:t>十</w:t>
      </w:r>
      <w:r>
        <w:rPr>
          <w:rFonts w:hint="eastAsia" w:ascii="宋体" w:hAnsi="宋体" w:eastAsia="宋体" w:cs="宋体"/>
          <w:color w:val="auto"/>
          <w:highlight w:val="none"/>
        </w:rPr>
        <w:t>、其他资料</w:t>
      </w:r>
    </w:p>
    <w:p>
      <w:pPr>
        <w:pStyle w:val="56"/>
        <w:spacing w:line="525" w:lineRule="exact"/>
        <w:ind w:left="0" w:right="297" w:firstLine="0"/>
        <w:jc w:val="center"/>
        <w:rPr>
          <w:rFonts w:eastAsiaTheme="minorEastAsia"/>
          <w:b w:val="0"/>
          <w:color w:val="auto"/>
          <w:highlight w:val="none"/>
        </w:rPr>
      </w:pPr>
      <w:r>
        <w:rPr>
          <w:rFonts w:hint="eastAsia" w:ascii="宋体" w:hAnsi="宋体" w:eastAsia="宋体" w:cs="宋体"/>
          <w:b w:val="0"/>
          <w:color w:val="auto"/>
          <w:highlight w:val="none"/>
        </w:rPr>
        <w:t>（格式自拟）</w:t>
      </w:r>
    </w:p>
    <w:p>
      <w:pPr>
        <w:pStyle w:val="56"/>
        <w:spacing w:line="525" w:lineRule="exact"/>
        <w:ind w:left="0" w:right="297" w:firstLine="0"/>
        <w:jc w:val="both"/>
        <w:rPr>
          <w:rFonts w:eastAsiaTheme="minorEastAsia"/>
          <w:b w:val="0"/>
          <w:color w:val="auto"/>
          <w:highlight w:val="none"/>
          <w:lang w:val="en-US"/>
        </w:rPr>
      </w:pPr>
    </w:p>
    <w:sectPr>
      <w:type w:val="continuous"/>
      <w:pgSz w:w="11907" w:h="16839"/>
      <w:pgMar w:top="1134" w:right="1134" w:bottom="1134" w:left="1134" w:header="0" w:footer="841"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等线 Light">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Consolas">
    <w:panose1 w:val="020B0609020204030204"/>
    <w:charset w:val="00"/>
    <w:family w:val="auto"/>
    <w:pitch w:val="default"/>
    <w:sig w:usb0="E10002FF" w:usb1="4000FCFF" w:usb2="00000009" w:usb3="00000000" w:csb0="6000019F" w:csb1="DFD70000"/>
  </w:font>
  <w:font w:name="Microsoft JhengHei">
    <w:panose1 w:val="020B0604030504040204"/>
    <w:charset w:val="88"/>
    <w:family w:val="swiss"/>
    <w:pitch w:val="default"/>
    <w:sig w:usb0="00000087" w:usb1="28AF4000" w:usb2="00000016" w:usb3="00000000" w:csb0="00100009" w:csb1="00000000"/>
  </w:font>
  <w:font w:name="FontAwesome">
    <w:altName w:val="ksdb"/>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86"/>
    <w:family w:val="auto"/>
    <w:pitch w:val="default"/>
    <w:sig w:usb0="00000000" w:usb1="00000000" w:usb2="00000010" w:usb3="00000000" w:csb0="00060000"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ksdb">
    <w:panose1 w:val="02000500000000000000"/>
    <w:charset w:val="00"/>
    <w:family w:val="auto"/>
    <w:pitch w:val="default"/>
    <w:sig w:usb0="00000001"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4" w:lineRule="auto"/>
      <w:rPr>
        <w:sz w:val="12"/>
      </w:rPr>
    </w:pPr>
    <w:r>
      <w:rPr>
        <w:sz w:val="12"/>
      </w:rPr>
      <w:pict>
        <v:shape id="_x0000_s4102" o:spid="_x0000_s410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4" w:lineRule="auto"/>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4" w:lineRule="auto"/>
      <w:rPr>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2228231"/>
                </w:sdtPr>
                <w:sdtContent>
                  <w:p>
                    <w:pPr>
                      <w:pStyle w:val="23"/>
                      <w:jc w:val="center"/>
                    </w:pPr>
                    <w:r>
                      <w:fldChar w:fldCharType="begin"/>
                    </w:r>
                    <w:r>
                      <w:instrText xml:space="preserve"> PAGE   \* MERGEFORMAT </w:instrText>
                    </w:r>
                    <w:r>
                      <w:fldChar w:fldCharType="separate"/>
                    </w:r>
                    <w:r>
                      <w:t>1</w:t>
                    </w:r>
                    <w:r>
                      <w:fldChar w:fldCharType="end"/>
                    </w:r>
                  </w:p>
                </w:sdtContent>
              </w:sdt>
            </w:txbxContent>
          </v:textbox>
        </v:shape>
      </w:pict>
    </w:r>
  </w:p>
  <w:p>
    <w:pPr>
      <w:pStyle w:val="15"/>
      <w:spacing w:line="14" w:lineRule="auto"/>
      <w:rPr>
        <w:sz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2"/>
      </w:rPr>
    </w:pPr>
    <w:r>
      <w:fldChar w:fldCharType="begin"/>
    </w:r>
    <w:r>
      <w:rPr>
        <w:rStyle w:val="32"/>
      </w:rPr>
      <w:instrText xml:space="preserve">PAGE  </w:instrText>
    </w:r>
    <w:r>
      <w:fldChar w:fldCharType="end"/>
    </w:r>
  </w:p>
  <w:p>
    <w:pPr>
      <w:pStyle w:val="2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sz w:val="18"/>
      </w:rPr>
      <w:pict>
        <v:shape id="_x0000_s4103" o:spid="_x0000_s4103"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0</w:t>
                </w:r>
                <w:r>
                  <w:fldChar w:fldCharType="end"/>
                </w:r>
              </w:p>
            </w:txbxContent>
          </v:textbox>
        </v:shape>
      </w:pict>
    </w:r>
  </w:p>
  <w:p>
    <w:pPr>
      <w:pStyle w:val="15"/>
      <w:spacing w:line="14" w:lineRule="auto"/>
      <w:rPr>
        <w:sz w:val="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w:pict>
        <v:shape id="_x0000_s4104" o:spid="_x0000_s4104"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4" w:lineRule="auto"/>
      <w:rPr>
        <w:sz w:val="20"/>
      </w:rPr>
    </w:pPr>
    <w:r>
      <w:rPr>
        <w:sz w:val="20"/>
      </w:rPr>
      <w:pict>
        <v:shape id="_x0000_s4105" o:spid="_x0000_s4105"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20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EC0D0"/>
    <w:multiLevelType w:val="multilevel"/>
    <w:tmpl w:val="23FEC0D0"/>
    <w:lvl w:ilvl="0" w:tentative="0">
      <w:start w:val="1"/>
      <w:numFmt w:val="decimal"/>
      <w:suff w:val="nothing"/>
      <w:lvlText w:val="%1."/>
      <w:lvlJc w:val="left"/>
      <w:pPr>
        <w:ind w:left="400" w:hanging="264"/>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334" w:hanging="264"/>
      </w:pPr>
      <w:rPr>
        <w:rFonts w:hint="default"/>
        <w:lang w:val="zh-CN" w:eastAsia="zh-CN" w:bidi="zh-CN"/>
      </w:rPr>
    </w:lvl>
    <w:lvl w:ilvl="2" w:tentative="0">
      <w:start w:val="0"/>
      <w:numFmt w:val="bullet"/>
      <w:lvlText w:val="•"/>
      <w:lvlJc w:val="left"/>
      <w:pPr>
        <w:ind w:left="2268" w:hanging="264"/>
      </w:pPr>
      <w:rPr>
        <w:rFonts w:hint="default"/>
        <w:lang w:val="zh-CN" w:eastAsia="zh-CN" w:bidi="zh-CN"/>
      </w:rPr>
    </w:lvl>
    <w:lvl w:ilvl="3" w:tentative="0">
      <w:start w:val="0"/>
      <w:numFmt w:val="bullet"/>
      <w:lvlText w:val="•"/>
      <w:lvlJc w:val="left"/>
      <w:pPr>
        <w:ind w:left="3202" w:hanging="264"/>
      </w:pPr>
      <w:rPr>
        <w:rFonts w:hint="default"/>
        <w:lang w:val="zh-CN" w:eastAsia="zh-CN" w:bidi="zh-CN"/>
      </w:rPr>
    </w:lvl>
    <w:lvl w:ilvl="4" w:tentative="0">
      <w:start w:val="0"/>
      <w:numFmt w:val="bullet"/>
      <w:lvlText w:val="•"/>
      <w:lvlJc w:val="left"/>
      <w:pPr>
        <w:ind w:left="4136" w:hanging="264"/>
      </w:pPr>
      <w:rPr>
        <w:rFonts w:hint="default"/>
        <w:lang w:val="zh-CN" w:eastAsia="zh-CN" w:bidi="zh-CN"/>
      </w:rPr>
    </w:lvl>
    <w:lvl w:ilvl="5" w:tentative="0">
      <w:start w:val="0"/>
      <w:numFmt w:val="bullet"/>
      <w:lvlText w:val="•"/>
      <w:lvlJc w:val="left"/>
      <w:pPr>
        <w:ind w:left="5070" w:hanging="264"/>
      </w:pPr>
      <w:rPr>
        <w:rFonts w:hint="default"/>
        <w:lang w:val="zh-CN" w:eastAsia="zh-CN" w:bidi="zh-CN"/>
      </w:rPr>
    </w:lvl>
    <w:lvl w:ilvl="6" w:tentative="0">
      <w:start w:val="0"/>
      <w:numFmt w:val="bullet"/>
      <w:lvlText w:val="•"/>
      <w:lvlJc w:val="left"/>
      <w:pPr>
        <w:ind w:left="6004" w:hanging="264"/>
      </w:pPr>
      <w:rPr>
        <w:rFonts w:hint="default"/>
        <w:lang w:val="zh-CN" w:eastAsia="zh-CN" w:bidi="zh-CN"/>
      </w:rPr>
    </w:lvl>
    <w:lvl w:ilvl="7" w:tentative="0">
      <w:start w:val="0"/>
      <w:numFmt w:val="bullet"/>
      <w:lvlText w:val="•"/>
      <w:lvlJc w:val="left"/>
      <w:pPr>
        <w:ind w:left="6938" w:hanging="264"/>
      </w:pPr>
      <w:rPr>
        <w:rFonts w:hint="default"/>
        <w:lang w:val="zh-CN" w:eastAsia="zh-CN" w:bidi="zh-CN"/>
      </w:rPr>
    </w:lvl>
    <w:lvl w:ilvl="8" w:tentative="0">
      <w:start w:val="0"/>
      <w:numFmt w:val="bullet"/>
      <w:lvlText w:val="•"/>
      <w:lvlJc w:val="left"/>
      <w:pPr>
        <w:ind w:left="7872" w:hanging="264"/>
      </w:pPr>
      <w:rPr>
        <w:rFonts w:hint="default"/>
        <w:lang w:val="zh-CN" w:eastAsia="zh-CN" w:bidi="zh-CN"/>
      </w:rPr>
    </w:lvl>
  </w:abstractNum>
  <w:abstractNum w:abstractNumId="1">
    <w:nsid w:val="4C6171B9"/>
    <w:multiLevelType w:val="multilevel"/>
    <w:tmpl w:val="4C6171B9"/>
    <w:lvl w:ilvl="0" w:tentative="0">
      <w:start w:val="1"/>
      <w:numFmt w:val="decimal"/>
      <w:lvlText w:val="%1."/>
      <w:lvlJc w:val="left"/>
      <w:pPr>
        <w:ind w:left="801" w:hanging="401"/>
      </w:pPr>
      <w:rPr>
        <w:rFonts w:hint="default" w:ascii="Times New Roman" w:hAnsi="Times New Roman" w:eastAsia="Times New Roman" w:cs="Times New Roman"/>
        <w:b/>
        <w:bCs/>
        <w:w w:val="99"/>
        <w:sz w:val="32"/>
        <w:szCs w:val="32"/>
        <w:lang w:val="zh-CN" w:eastAsia="zh-CN" w:bidi="zh-CN"/>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bullet"/>
      <w:lvlText w:val="•"/>
      <w:lvlJc w:val="left"/>
      <w:pPr>
        <w:ind w:left="1340" w:hanging="473"/>
      </w:pPr>
      <w:rPr>
        <w:rFonts w:hint="default"/>
        <w:lang w:val="zh-CN" w:eastAsia="zh-CN" w:bidi="zh-CN"/>
      </w:rPr>
    </w:lvl>
    <w:lvl w:ilvl="4" w:tentative="0">
      <w:start w:val="0"/>
      <w:numFmt w:val="bullet"/>
      <w:lvlText w:val="•"/>
      <w:lvlJc w:val="left"/>
      <w:pPr>
        <w:ind w:left="2540" w:hanging="473"/>
      </w:pPr>
      <w:rPr>
        <w:rFonts w:hint="default"/>
        <w:lang w:val="zh-CN" w:eastAsia="zh-CN" w:bidi="zh-CN"/>
      </w:rPr>
    </w:lvl>
    <w:lvl w:ilvl="5" w:tentative="0">
      <w:start w:val="0"/>
      <w:numFmt w:val="bullet"/>
      <w:lvlText w:val="•"/>
      <w:lvlJc w:val="left"/>
      <w:pPr>
        <w:ind w:left="3740" w:hanging="473"/>
      </w:pPr>
      <w:rPr>
        <w:rFonts w:hint="default"/>
        <w:lang w:val="zh-CN" w:eastAsia="zh-CN" w:bidi="zh-CN"/>
      </w:rPr>
    </w:lvl>
    <w:lvl w:ilvl="6" w:tentative="0">
      <w:start w:val="0"/>
      <w:numFmt w:val="bullet"/>
      <w:lvlText w:val="•"/>
      <w:lvlJc w:val="left"/>
      <w:pPr>
        <w:ind w:left="4940" w:hanging="473"/>
      </w:pPr>
      <w:rPr>
        <w:rFonts w:hint="default"/>
        <w:lang w:val="zh-CN" w:eastAsia="zh-CN" w:bidi="zh-CN"/>
      </w:rPr>
    </w:lvl>
    <w:lvl w:ilvl="7" w:tentative="0">
      <w:start w:val="0"/>
      <w:numFmt w:val="bullet"/>
      <w:lvlText w:val="•"/>
      <w:lvlJc w:val="left"/>
      <w:pPr>
        <w:ind w:left="6140" w:hanging="473"/>
      </w:pPr>
      <w:rPr>
        <w:rFonts w:hint="default"/>
        <w:lang w:val="zh-CN" w:eastAsia="zh-CN" w:bidi="zh-CN"/>
      </w:rPr>
    </w:lvl>
    <w:lvl w:ilvl="8" w:tentative="0">
      <w:start w:val="0"/>
      <w:numFmt w:val="bullet"/>
      <w:lvlText w:val="•"/>
      <w:lvlJc w:val="left"/>
      <w:pPr>
        <w:ind w:left="7340" w:hanging="473"/>
      </w:pPr>
      <w:rPr>
        <w:rFonts w:hint="default"/>
        <w:lang w:val="zh-CN" w:eastAsia="zh-CN" w:bidi="zh-CN"/>
      </w:rPr>
    </w:lvl>
  </w:abstractNum>
  <w:abstractNum w:abstractNumId="2">
    <w:nsid w:val="51A727A7"/>
    <w:multiLevelType w:val="multilevel"/>
    <w:tmpl w:val="51A727A7"/>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pStyle w:val="6"/>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531D576E"/>
    <w:multiLevelType w:val="multilevel"/>
    <w:tmpl w:val="531D576E"/>
    <w:lvl w:ilvl="0" w:tentative="0">
      <w:start w:val="1"/>
      <w:numFmt w:val="decimal"/>
      <w:lvlText w:val="%1."/>
      <w:lvlJc w:val="left"/>
      <w:pPr>
        <w:ind w:left="801" w:hanging="401"/>
      </w:pPr>
      <w:rPr>
        <w:rFonts w:hint="default" w:ascii="Times New Roman" w:hAnsi="Times New Roman" w:eastAsia="Times New Roman" w:cs="Times New Roman"/>
        <w:b/>
        <w:bCs/>
        <w:w w:val="99"/>
        <w:sz w:val="32"/>
        <w:szCs w:val="32"/>
        <w:lang w:val="zh-CN" w:eastAsia="zh-CN" w:bidi="zh-CN"/>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bullet"/>
      <w:lvlText w:val="•"/>
      <w:lvlJc w:val="left"/>
      <w:pPr>
        <w:ind w:left="1340" w:hanging="526"/>
      </w:pPr>
      <w:rPr>
        <w:rFonts w:hint="default"/>
        <w:lang w:val="zh-CN" w:eastAsia="zh-CN" w:bidi="zh-CN"/>
      </w:rPr>
    </w:lvl>
    <w:lvl w:ilvl="4" w:tentative="0">
      <w:start w:val="0"/>
      <w:numFmt w:val="bullet"/>
      <w:lvlText w:val="•"/>
      <w:lvlJc w:val="left"/>
      <w:pPr>
        <w:ind w:left="2540" w:hanging="526"/>
      </w:pPr>
      <w:rPr>
        <w:rFonts w:hint="default"/>
        <w:lang w:val="zh-CN" w:eastAsia="zh-CN" w:bidi="zh-CN"/>
      </w:rPr>
    </w:lvl>
    <w:lvl w:ilvl="5" w:tentative="0">
      <w:start w:val="0"/>
      <w:numFmt w:val="bullet"/>
      <w:lvlText w:val="•"/>
      <w:lvlJc w:val="left"/>
      <w:pPr>
        <w:ind w:left="3740" w:hanging="526"/>
      </w:pPr>
      <w:rPr>
        <w:rFonts w:hint="default"/>
        <w:lang w:val="zh-CN" w:eastAsia="zh-CN" w:bidi="zh-CN"/>
      </w:rPr>
    </w:lvl>
    <w:lvl w:ilvl="6" w:tentative="0">
      <w:start w:val="0"/>
      <w:numFmt w:val="bullet"/>
      <w:lvlText w:val="•"/>
      <w:lvlJc w:val="left"/>
      <w:pPr>
        <w:ind w:left="4940" w:hanging="526"/>
      </w:pPr>
      <w:rPr>
        <w:rFonts w:hint="default"/>
        <w:lang w:val="zh-CN" w:eastAsia="zh-CN" w:bidi="zh-CN"/>
      </w:rPr>
    </w:lvl>
    <w:lvl w:ilvl="7" w:tentative="0">
      <w:start w:val="0"/>
      <w:numFmt w:val="bullet"/>
      <w:lvlText w:val="•"/>
      <w:lvlJc w:val="left"/>
      <w:pPr>
        <w:ind w:left="6140" w:hanging="526"/>
      </w:pPr>
      <w:rPr>
        <w:rFonts w:hint="default"/>
        <w:lang w:val="zh-CN" w:eastAsia="zh-CN" w:bidi="zh-CN"/>
      </w:rPr>
    </w:lvl>
    <w:lvl w:ilvl="8" w:tentative="0">
      <w:start w:val="0"/>
      <w:numFmt w:val="bullet"/>
      <w:lvlText w:val="•"/>
      <w:lvlJc w:val="left"/>
      <w:pPr>
        <w:ind w:left="7340" w:hanging="526"/>
      </w:pPr>
      <w:rPr>
        <w:rFonts w:hint="default"/>
        <w:lang w:val="zh-CN" w:eastAsia="zh-CN" w:bidi="zh-CN"/>
      </w:rPr>
    </w:lvl>
  </w:abstractNum>
  <w:abstractNum w:abstractNumId="4">
    <w:nsid w:val="647B1F1F"/>
    <w:multiLevelType w:val="multilevel"/>
    <w:tmpl w:val="647B1F1F"/>
    <w:lvl w:ilvl="0" w:tentative="0">
      <w:start w:val="1"/>
      <w:numFmt w:val="decimal"/>
      <w:lvlText w:val="%1."/>
      <w:lvlJc w:val="left"/>
      <w:pPr>
        <w:ind w:left="1084" w:hanging="264"/>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946" w:hanging="264"/>
      </w:pPr>
      <w:rPr>
        <w:rFonts w:hint="default"/>
        <w:lang w:val="zh-CN" w:eastAsia="zh-CN" w:bidi="zh-CN"/>
      </w:rPr>
    </w:lvl>
    <w:lvl w:ilvl="2" w:tentative="0">
      <w:start w:val="0"/>
      <w:numFmt w:val="bullet"/>
      <w:lvlText w:val="•"/>
      <w:lvlJc w:val="left"/>
      <w:pPr>
        <w:ind w:left="2812" w:hanging="264"/>
      </w:pPr>
      <w:rPr>
        <w:rFonts w:hint="default"/>
        <w:lang w:val="zh-CN" w:eastAsia="zh-CN" w:bidi="zh-CN"/>
      </w:rPr>
    </w:lvl>
    <w:lvl w:ilvl="3" w:tentative="0">
      <w:start w:val="0"/>
      <w:numFmt w:val="bullet"/>
      <w:lvlText w:val="•"/>
      <w:lvlJc w:val="left"/>
      <w:pPr>
        <w:ind w:left="3678" w:hanging="264"/>
      </w:pPr>
      <w:rPr>
        <w:rFonts w:hint="default"/>
        <w:lang w:val="zh-CN" w:eastAsia="zh-CN" w:bidi="zh-CN"/>
      </w:rPr>
    </w:lvl>
    <w:lvl w:ilvl="4" w:tentative="0">
      <w:start w:val="0"/>
      <w:numFmt w:val="bullet"/>
      <w:lvlText w:val="•"/>
      <w:lvlJc w:val="left"/>
      <w:pPr>
        <w:ind w:left="4544" w:hanging="264"/>
      </w:pPr>
      <w:rPr>
        <w:rFonts w:hint="default"/>
        <w:lang w:val="zh-CN" w:eastAsia="zh-CN" w:bidi="zh-CN"/>
      </w:rPr>
    </w:lvl>
    <w:lvl w:ilvl="5" w:tentative="0">
      <w:start w:val="0"/>
      <w:numFmt w:val="bullet"/>
      <w:lvlText w:val="•"/>
      <w:lvlJc w:val="left"/>
      <w:pPr>
        <w:ind w:left="5410" w:hanging="264"/>
      </w:pPr>
      <w:rPr>
        <w:rFonts w:hint="default"/>
        <w:lang w:val="zh-CN" w:eastAsia="zh-CN" w:bidi="zh-CN"/>
      </w:rPr>
    </w:lvl>
    <w:lvl w:ilvl="6" w:tentative="0">
      <w:start w:val="0"/>
      <w:numFmt w:val="bullet"/>
      <w:lvlText w:val="•"/>
      <w:lvlJc w:val="left"/>
      <w:pPr>
        <w:ind w:left="6276" w:hanging="264"/>
      </w:pPr>
      <w:rPr>
        <w:rFonts w:hint="default"/>
        <w:lang w:val="zh-CN" w:eastAsia="zh-CN" w:bidi="zh-CN"/>
      </w:rPr>
    </w:lvl>
    <w:lvl w:ilvl="7" w:tentative="0">
      <w:start w:val="0"/>
      <w:numFmt w:val="bullet"/>
      <w:lvlText w:val="•"/>
      <w:lvlJc w:val="left"/>
      <w:pPr>
        <w:ind w:left="7142" w:hanging="264"/>
      </w:pPr>
      <w:rPr>
        <w:rFonts w:hint="default"/>
        <w:lang w:val="zh-CN" w:eastAsia="zh-CN" w:bidi="zh-CN"/>
      </w:rPr>
    </w:lvl>
    <w:lvl w:ilvl="8" w:tentative="0">
      <w:start w:val="0"/>
      <w:numFmt w:val="bullet"/>
      <w:lvlText w:val="•"/>
      <w:lvlJc w:val="left"/>
      <w:pPr>
        <w:ind w:left="8008" w:hanging="264"/>
      </w:pPr>
      <w:rPr>
        <w:rFonts w:hint="default"/>
        <w:lang w:val="zh-CN" w:eastAsia="zh-CN" w:bidi="zh-C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hideSpellingErrors/>
  <w:documentProtection w:enforcement="0"/>
  <w:defaultTabStop w:val="720"/>
  <w:drawingGridHorizontalSpacing w:val="110"/>
  <w:drawingGridVerticalSpacing w:val="158"/>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ulTrailSpace/>
    <w:doNotExpandShiftReturn/>
    <w:doNotWrapTextWithPunct/>
    <w:doNotUseEastAsianBreakRules/>
    <w:useFELayout/>
    <w:doNotUseIndentAsNumberingTabStop/>
    <w:compatSetting w:name="compatibilityMode" w:uri="http://schemas.microsoft.com/office/word" w:val="12"/>
  </w:compat>
  <w:docVars>
    <w:docVar w:name="commondata" w:val="eyJoZGlkIjoiY2ZmY2M2NDFjMGQ3NDJkZTMzYWI0NThjZGI0MzUwZmUifQ=="/>
  </w:docVars>
  <w:rsids>
    <w:rsidRoot w:val="000511D2"/>
    <w:rsid w:val="00002E79"/>
    <w:rsid w:val="000070F1"/>
    <w:rsid w:val="00015AA3"/>
    <w:rsid w:val="00020793"/>
    <w:rsid w:val="000212F0"/>
    <w:rsid w:val="00026120"/>
    <w:rsid w:val="00032D11"/>
    <w:rsid w:val="000353CC"/>
    <w:rsid w:val="00041481"/>
    <w:rsid w:val="00042E89"/>
    <w:rsid w:val="00050849"/>
    <w:rsid w:val="000511D2"/>
    <w:rsid w:val="0005306B"/>
    <w:rsid w:val="00054299"/>
    <w:rsid w:val="00056A95"/>
    <w:rsid w:val="0006204D"/>
    <w:rsid w:val="0006614A"/>
    <w:rsid w:val="00066E9E"/>
    <w:rsid w:val="000714E8"/>
    <w:rsid w:val="00072D83"/>
    <w:rsid w:val="00074165"/>
    <w:rsid w:val="00080313"/>
    <w:rsid w:val="00081154"/>
    <w:rsid w:val="00082E00"/>
    <w:rsid w:val="00083FA8"/>
    <w:rsid w:val="000843B5"/>
    <w:rsid w:val="00085075"/>
    <w:rsid w:val="00086740"/>
    <w:rsid w:val="00087FEB"/>
    <w:rsid w:val="00092495"/>
    <w:rsid w:val="000B2BA6"/>
    <w:rsid w:val="000B2BE9"/>
    <w:rsid w:val="000B2D47"/>
    <w:rsid w:val="000B6622"/>
    <w:rsid w:val="000C00C5"/>
    <w:rsid w:val="000C4383"/>
    <w:rsid w:val="000C50B3"/>
    <w:rsid w:val="000C7777"/>
    <w:rsid w:val="000D25B8"/>
    <w:rsid w:val="000D2BCD"/>
    <w:rsid w:val="000D71A6"/>
    <w:rsid w:val="000E01F0"/>
    <w:rsid w:val="000E1C95"/>
    <w:rsid w:val="000E21FE"/>
    <w:rsid w:val="000E6891"/>
    <w:rsid w:val="000F05F3"/>
    <w:rsid w:val="000F45E0"/>
    <w:rsid w:val="000F46C9"/>
    <w:rsid w:val="00103D19"/>
    <w:rsid w:val="00110DA4"/>
    <w:rsid w:val="001128B1"/>
    <w:rsid w:val="00114121"/>
    <w:rsid w:val="001232F2"/>
    <w:rsid w:val="00123842"/>
    <w:rsid w:val="00126252"/>
    <w:rsid w:val="00126926"/>
    <w:rsid w:val="001326CD"/>
    <w:rsid w:val="0013616F"/>
    <w:rsid w:val="001406E6"/>
    <w:rsid w:val="001417E4"/>
    <w:rsid w:val="001426BA"/>
    <w:rsid w:val="00155F52"/>
    <w:rsid w:val="001572EA"/>
    <w:rsid w:val="00157821"/>
    <w:rsid w:val="00161D6B"/>
    <w:rsid w:val="00165B27"/>
    <w:rsid w:val="00166253"/>
    <w:rsid w:val="0017060A"/>
    <w:rsid w:val="0017329C"/>
    <w:rsid w:val="00174D47"/>
    <w:rsid w:val="00180628"/>
    <w:rsid w:val="00190156"/>
    <w:rsid w:val="00190D80"/>
    <w:rsid w:val="00192595"/>
    <w:rsid w:val="00192E85"/>
    <w:rsid w:val="00193C7A"/>
    <w:rsid w:val="001948F6"/>
    <w:rsid w:val="001A0DD0"/>
    <w:rsid w:val="001A191E"/>
    <w:rsid w:val="001A1955"/>
    <w:rsid w:val="001B1F49"/>
    <w:rsid w:val="001B2125"/>
    <w:rsid w:val="001B7962"/>
    <w:rsid w:val="001C1E67"/>
    <w:rsid w:val="001C3A71"/>
    <w:rsid w:val="001C5C70"/>
    <w:rsid w:val="001C5E18"/>
    <w:rsid w:val="001D2A86"/>
    <w:rsid w:val="001D2C99"/>
    <w:rsid w:val="001F0076"/>
    <w:rsid w:val="001F1020"/>
    <w:rsid w:val="001F1EEB"/>
    <w:rsid w:val="001F2FEB"/>
    <w:rsid w:val="001F3240"/>
    <w:rsid w:val="001F5955"/>
    <w:rsid w:val="001F64ED"/>
    <w:rsid w:val="00206369"/>
    <w:rsid w:val="00210472"/>
    <w:rsid w:val="002146F1"/>
    <w:rsid w:val="00214F51"/>
    <w:rsid w:val="00215655"/>
    <w:rsid w:val="00216F26"/>
    <w:rsid w:val="00220A92"/>
    <w:rsid w:val="002217EB"/>
    <w:rsid w:val="002221EF"/>
    <w:rsid w:val="00222B35"/>
    <w:rsid w:val="002232EA"/>
    <w:rsid w:val="00223A4C"/>
    <w:rsid w:val="002248D3"/>
    <w:rsid w:val="002272F9"/>
    <w:rsid w:val="00227EA8"/>
    <w:rsid w:val="0023630A"/>
    <w:rsid w:val="00237520"/>
    <w:rsid w:val="00240614"/>
    <w:rsid w:val="00240AAF"/>
    <w:rsid w:val="00241C08"/>
    <w:rsid w:val="0024656A"/>
    <w:rsid w:val="0026166F"/>
    <w:rsid w:val="0026584B"/>
    <w:rsid w:val="00266A79"/>
    <w:rsid w:val="00266D22"/>
    <w:rsid w:val="002838ED"/>
    <w:rsid w:val="00284020"/>
    <w:rsid w:val="002867C2"/>
    <w:rsid w:val="002922B7"/>
    <w:rsid w:val="002A3582"/>
    <w:rsid w:val="002A474F"/>
    <w:rsid w:val="002A4830"/>
    <w:rsid w:val="002B0CD7"/>
    <w:rsid w:val="002C53EB"/>
    <w:rsid w:val="002D2D2B"/>
    <w:rsid w:val="002D3E3E"/>
    <w:rsid w:val="002D5232"/>
    <w:rsid w:val="002D793A"/>
    <w:rsid w:val="002E45D0"/>
    <w:rsid w:val="002E52C7"/>
    <w:rsid w:val="002F0080"/>
    <w:rsid w:val="002F1899"/>
    <w:rsid w:val="002F3328"/>
    <w:rsid w:val="00304566"/>
    <w:rsid w:val="00310129"/>
    <w:rsid w:val="003118DB"/>
    <w:rsid w:val="00320DA9"/>
    <w:rsid w:val="00324259"/>
    <w:rsid w:val="00331A03"/>
    <w:rsid w:val="00333C10"/>
    <w:rsid w:val="00342657"/>
    <w:rsid w:val="003444ED"/>
    <w:rsid w:val="003450B1"/>
    <w:rsid w:val="00345FDF"/>
    <w:rsid w:val="00365B08"/>
    <w:rsid w:val="0036602D"/>
    <w:rsid w:val="00366FED"/>
    <w:rsid w:val="00376B60"/>
    <w:rsid w:val="00381DE7"/>
    <w:rsid w:val="00384F2D"/>
    <w:rsid w:val="00387E95"/>
    <w:rsid w:val="003902B3"/>
    <w:rsid w:val="00390D96"/>
    <w:rsid w:val="00391458"/>
    <w:rsid w:val="003A2CCB"/>
    <w:rsid w:val="003A2E20"/>
    <w:rsid w:val="003A63F6"/>
    <w:rsid w:val="003A7778"/>
    <w:rsid w:val="003A7C6C"/>
    <w:rsid w:val="003B3136"/>
    <w:rsid w:val="003B3B63"/>
    <w:rsid w:val="003B4954"/>
    <w:rsid w:val="003B5A7F"/>
    <w:rsid w:val="003B67A0"/>
    <w:rsid w:val="003B7421"/>
    <w:rsid w:val="003C4C20"/>
    <w:rsid w:val="003C583F"/>
    <w:rsid w:val="003D14E4"/>
    <w:rsid w:val="003D1A1C"/>
    <w:rsid w:val="003D31D5"/>
    <w:rsid w:val="003D36CC"/>
    <w:rsid w:val="003D50A5"/>
    <w:rsid w:val="003D5663"/>
    <w:rsid w:val="003E2165"/>
    <w:rsid w:val="003E24F4"/>
    <w:rsid w:val="003E4B54"/>
    <w:rsid w:val="003E6B65"/>
    <w:rsid w:val="003F0985"/>
    <w:rsid w:val="003F1B38"/>
    <w:rsid w:val="003F22AE"/>
    <w:rsid w:val="003F2412"/>
    <w:rsid w:val="003F2F50"/>
    <w:rsid w:val="003F4B9C"/>
    <w:rsid w:val="003F64EF"/>
    <w:rsid w:val="003F68B7"/>
    <w:rsid w:val="00422E94"/>
    <w:rsid w:val="00425ED8"/>
    <w:rsid w:val="004323B9"/>
    <w:rsid w:val="0043688C"/>
    <w:rsid w:val="00437D20"/>
    <w:rsid w:val="004408A7"/>
    <w:rsid w:val="00444F32"/>
    <w:rsid w:val="0044578E"/>
    <w:rsid w:val="0045094B"/>
    <w:rsid w:val="004540FD"/>
    <w:rsid w:val="00461D0B"/>
    <w:rsid w:val="00464F14"/>
    <w:rsid w:val="0047127A"/>
    <w:rsid w:val="00475CB1"/>
    <w:rsid w:val="00476B4D"/>
    <w:rsid w:val="00476DA2"/>
    <w:rsid w:val="00477210"/>
    <w:rsid w:val="00477E05"/>
    <w:rsid w:val="00481A78"/>
    <w:rsid w:val="00482A7C"/>
    <w:rsid w:val="00487B9F"/>
    <w:rsid w:val="00490041"/>
    <w:rsid w:val="00490239"/>
    <w:rsid w:val="0049324D"/>
    <w:rsid w:val="00494719"/>
    <w:rsid w:val="00496ACD"/>
    <w:rsid w:val="00497930"/>
    <w:rsid w:val="004A0B5D"/>
    <w:rsid w:val="004A2685"/>
    <w:rsid w:val="004A4DDE"/>
    <w:rsid w:val="004B1106"/>
    <w:rsid w:val="004C0478"/>
    <w:rsid w:val="004C109C"/>
    <w:rsid w:val="004C40E3"/>
    <w:rsid w:val="004C6A72"/>
    <w:rsid w:val="004D0DD0"/>
    <w:rsid w:val="004D10B0"/>
    <w:rsid w:val="004D3D8F"/>
    <w:rsid w:val="004E5158"/>
    <w:rsid w:val="004E7494"/>
    <w:rsid w:val="004E7778"/>
    <w:rsid w:val="004F1EC5"/>
    <w:rsid w:val="004F46E7"/>
    <w:rsid w:val="004F662E"/>
    <w:rsid w:val="0050222E"/>
    <w:rsid w:val="005033B7"/>
    <w:rsid w:val="00505730"/>
    <w:rsid w:val="005114DA"/>
    <w:rsid w:val="00514C9C"/>
    <w:rsid w:val="00515611"/>
    <w:rsid w:val="00531E10"/>
    <w:rsid w:val="0053390C"/>
    <w:rsid w:val="005348F5"/>
    <w:rsid w:val="00537D4E"/>
    <w:rsid w:val="00540702"/>
    <w:rsid w:val="00543145"/>
    <w:rsid w:val="00547E64"/>
    <w:rsid w:val="005577CE"/>
    <w:rsid w:val="005614D0"/>
    <w:rsid w:val="00563180"/>
    <w:rsid w:val="00567F00"/>
    <w:rsid w:val="00573229"/>
    <w:rsid w:val="00576FC7"/>
    <w:rsid w:val="00577E6C"/>
    <w:rsid w:val="00586EE5"/>
    <w:rsid w:val="00587105"/>
    <w:rsid w:val="00587B37"/>
    <w:rsid w:val="0059293D"/>
    <w:rsid w:val="00593DE3"/>
    <w:rsid w:val="005948B0"/>
    <w:rsid w:val="005A1B1C"/>
    <w:rsid w:val="005A5332"/>
    <w:rsid w:val="005B06B9"/>
    <w:rsid w:val="005B1F3F"/>
    <w:rsid w:val="005B3F0D"/>
    <w:rsid w:val="005B6590"/>
    <w:rsid w:val="005C108B"/>
    <w:rsid w:val="005C50D0"/>
    <w:rsid w:val="005D39E0"/>
    <w:rsid w:val="005D5239"/>
    <w:rsid w:val="005E0E40"/>
    <w:rsid w:val="005E1120"/>
    <w:rsid w:val="005E38A6"/>
    <w:rsid w:val="005F00D1"/>
    <w:rsid w:val="005F26E3"/>
    <w:rsid w:val="005F5BC0"/>
    <w:rsid w:val="005F76D8"/>
    <w:rsid w:val="00603DA1"/>
    <w:rsid w:val="0061356C"/>
    <w:rsid w:val="00627DDB"/>
    <w:rsid w:val="00632FD6"/>
    <w:rsid w:val="00634F38"/>
    <w:rsid w:val="0064116B"/>
    <w:rsid w:val="00642FA9"/>
    <w:rsid w:val="00644B67"/>
    <w:rsid w:val="00645F95"/>
    <w:rsid w:val="006514F6"/>
    <w:rsid w:val="00656EE1"/>
    <w:rsid w:val="006602C8"/>
    <w:rsid w:val="0066604B"/>
    <w:rsid w:val="0067396A"/>
    <w:rsid w:val="00681C36"/>
    <w:rsid w:val="00683A69"/>
    <w:rsid w:val="006A2D62"/>
    <w:rsid w:val="006B3CC5"/>
    <w:rsid w:val="006C3DCA"/>
    <w:rsid w:val="006C44CD"/>
    <w:rsid w:val="006C794D"/>
    <w:rsid w:val="006D5B3A"/>
    <w:rsid w:val="006E0C55"/>
    <w:rsid w:val="006E7430"/>
    <w:rsid w:val="006F1E16"/>
    <w:rsid w:val="006F432D"/>
    <w:rsid w:val="00701673"/>
    <w:rsid w:val="007173FD"/>
    <w:rsid w:val="007304CD"/>
    <w:rsid w:val="00731733"/>
    <w:rsid w:val="00731C4B"/>
    <w:rsid w:val="00732B56"/>
    <w:rsid w:val="00741A65"/>
    <w:rsid w:val="00752F18"/>
    <w:rsid w:val="0076127A"/>
    <w:rsid w:val="00765F26"/>
    <w:rsid w:val="00765F53"/>
    <w:rsid w:val="00767391"/>
    <w:rsid w:val="0077004F"/>
    <w:rsid w:val="00770A10"/>
    <w:rsid w:val="00771115"/>
    <w:rsid w:val="007802B3"/>
    <w:rsid w:val="00781429"/>
    <w:rsid w:val="00783176"/>
    <w:rsid w:val="00785B80"/>
    <w:rsid w:val="00790692"/>
    <w:rsid w:val="00791F64"/>
    <w:rsid w:val="00793DDF"/>
    <w:rsid w:val="007955D0"/>
    <w:rsid w:val="007A25F8"/>
    <w:rsid w:val="007B1BFD"/>
    <w:rsid w:val="007B2496"/>
    <w:rsid w:val="007C4949"/>
    <w:rsid w:val="007C5079"/>
    <w:rsid w:val="007C57C9"/>
    <w:rsid w:val="007E02CA"/>
    <w:rsid w:val="007E12AD"/>
    <w:rsid w:val="007F3319"/>
    <w:rsid w:val="007F33DE"/>
    <w:rsid w:val="007F3FD8"/>
    <w:rsid w:val="00801BAD"/>
    <w:rsid w:val="008077B0"/>
    <w:rsid w:val="008114A7"/>
    <w:rsid w:val="008209B9"/>
    <w:rsid w:val="00827A43"/>
    <w:rsid w:val="00827BCD"/>
    <w:rsid w:val="00830AAD"/>
    <w:rsid w:val="00830BC6"/>
    <w:rsid w:val="00831742"/>
    <w:rsid w:val="00832B13"/>
    <w:rsid w:val="00834BAB"/>
    <w:rsid w:val="00840BE8"/>
    <w:rsid w:val="008453E5"/>
    <w:rsid w:val="0085161E"/>
    <w:rsid w:val="0085189F"/>
    <w:rsid w:val="00855274"/>
    <w:rsid w:val="00862A58"/>
    <w:rsid w:val="008728B2"/>
    <w:rsid w:val="00872FB6"/>
    <w:rsid w:val="0087413C"/>
    <w:rsid w:val="00880D77"/>
    <w:rsid w:val="00882581"/>
    <w:rsid w:val="0088409C"/>
    <w:rsid w:val="008922D1"/>
    <w:rsid w:val="00894AEE"/>
    <w:rsid w:val="00895805"/>
    <w:rsid w:val="00896B15"/>
    <w:rsid w:val="008A6DBC"/>
    <w:rsid w:val="008B0662"/>
    <w:rsid w:val="008B2B99"/>
    <w:rsid w:val="008C2407"/>
    <w:rsid w:val="008C2C67"/>
    <w:rsid w:val="008C3E2D"/>
    <w:rsid w:val="008C5F8B"/>
    <w:rsid w:val="008D2FEB"/>
    <w:rsid w:val="008D393E"/>
    <w:rsid w:val="008E2AE5"/>
    <w:rsid w:val="008E59CC"/>
    <w:rsid w:val="008E5E1F"/>
    <w:rsid w:val="008F0D99"/>
    <w:rsid w:val="008F46E8"/>
    <w:rsid w:val="008F4AAC"/>
    <w:rsid w:val="00901CEC"/>
    <w:rsid w:val="00902968"/>
    <w:rsid w:val="009043E4"/>
    <w:rsid w:val="009068DF"/>
    <w:rsid w:val="00906C7A"/>
    <w:rsid w:val="0091003A"/>
    <w:rsid w:val="00917614"/>
    <w:rsid w:val="0092316F"/>
    <w:rsid w:val="00923182"/>
    <w:rsid w:val="00933890"/>
    <w:rsid w:val="009418AB"/>
    <w:rsid w:val="00945652"/>
    <w:rsid w:val="009468C8"/>
    <w:rsid w:val="009470FA"/>
    <w:rsid w:val="009530AE"/>
    <w:rsid w:val="00953578"/>
    <w:rsid w:val="0095612B"/>
    <w:rsid w:val="0095664E"/>
    <w:rsid w:val="00956F17"/>
    <w:rsid w:val="00960A57"/>
    <w:rsid w:val="00961F05"/>
    <w:rsid w:val="00963A55"/>
    <w:rsid w:val="00971E7C"/>
    <w:rsid w:val="00974E40"/>
    <w:rsid w:val="009755FB"/>
    <w:rsid w:val="009761ED"/>
    <w:rsid w:val="00976C4B"/>
    <w:rsid w:val="00983AF4"/>
    <w:rsid w:val="0098533E"/>
    <w:rsid w:val="00986479"/>
    <w:rsid w:val="00993A9D"/>
    <w:rsid w:val="00996ADF"/>
    <w:rsid w:val="00997507"/>
    <w:rsid w:val="009A06E6"/>
    <w:rsid w:val="009A1D89"/>
    <w:rsid w:val="009A63E2"/>
    <w:rsid w:val="009B186B"/>
    <w:rsid w:val="009B3567"/>
    <w:rsid w:val="009C020D"/>
    <w:rsid w:val="009C1B60"/>
    <w:rsid w:val="009C3404"/>
    <w:rsid w:val="009C5645"/>
    <w:rsid w:val="009C5AD1"/>
    <w:rsid w:val="009C5C1E"/>
    <w:rsid w:val="009D6D7B"/>
    <w:rsid w:val="009E486E"/>
    <w:rsid w:val="009E54A4"/>
    <w:rsid w:val="009F06DB"/>
    <w:rsid w:val="009F1B05"/>
    <w:rsid w:val="009F4222"/>
    <w:rsid w:val="00A0172F"/>
    <w:rsid w:val="00A058CB"/>
    <w:rsid w:val="00A063B4"/>
    <w:rsid w:val="00A125DD"/>
    <w:rsid w:val="00A12945"/>
    <w:rsid w:val="00A15368"/>
    <w:rsid w:val="00A169F3"/>
    <w:rsid w:val="00A16BE8"/>
    <w:rsid w:val="00A203B0"/>
    <w:rsid w:val="00A25C0F"/>
    <w:rsid w:val="00A26BF6"/>
    <w:rsid w:val="00A2718E"/>
    <w:rsid w:val="00A275B2"/>
    <w:rsid w:val="00A34AA9"/>
    <w:rsid w:val="00A4048B"/>
    <w:rsid w:val="00A425B4"/>
    <w:rsid w:val="00A425C3"/>
    <w:rsid w:val="00A549BD"/>
    <w:rsid w:val="00A62229"/>
    <w:rsid w:val="00A62CD3"/>
    <w:rsid w:val="00A62D62"/>
    <w:rsid w:val="00A67309"/>
    <w:rsid w:val="00A715ED"/>
    <w:rsid w:val="00A71F8D"/>
    <w:rsid w:val="00A737FB"/>
    <w:rsid w:val="00A74D60"/>
    <w:rsid w:val="00A87455"/>
    <w:rsid w:val="00A910A1"/>
    <w:rsid w:val="00AA0244"/>
    <w:rsid w:val="00AA0AE9"/>
    <w:rsid w:val="00AA2C4F"/>
    <w:rsid w:val="00AA34E5"/>
    <w:rsid w:val="00AA3D55"/>
    <w:rsid w:val="00AA4939"/>
    <w:rsid w:val="00AA67A0"/>
    <w:rsid w:val="00AB2757"/>
    <w:rsid w:val="00AC1026"/>
    <w:rsid w:val="00AC1A21"/>
    <w:rsid w:val="00AC6C7A"/>
    <w:rsid w:val="00AD1E9D"/>
    <w:rsid w:val="00AD5582"/>
    <w:rsid w:val="00AD6512"/>
    <w:rsid w:val="00AE15DB"/>
    <w:rsid w:val="00AE1CF3"/>
    <w:rsid w:val="00AF6D53"/>
    <w:rsid w:val="00B03AF2"/>
    <w:rsid w:val="00B05F56"/>
    <w:rsid w:val="00B20FC9"/>
    <w:rsid w:val="00B2200B"/>
    <w:rsid w:val="00B250A6"/>
    <w:rsid w:val="00B2580D"/>
    <w:rsid w:val="00B26AD6"/>
    <w:rsid w:val="00B33ACB"/>
    <w:rsid w:val="00B42C9B"/>
    <w:rsid w:val="00B4353C"/>
    <w:rsid w:val="00B47BF0"/>
    <w:rsid w:val="00B51057"/>
    <w:rsid w:val="00B54F74"/>
    <w:rsid w:val="00B5564A"/>
    <w:rsid w:val="00B57120"/>
    <w:rsid w:val="00B576E0"/>
    <w:rsid w:val="00B65F79"/>
    <w:rsid w:val="00B66EA7"/>
    <w:rsid w:val="00B67D62"/>
    <w:rsid w:val="00B74191"/>
    <w:rsid w:val="00B87CEF"/>
    <w:rsid w:val="00B90A53"/>
    <w:rsid w:val="00B922B2"/>
    <w:rsid w:val="00B92FC7"/>
    <w:rsid w:val="00B9319B"/>
    <w:rsid w:val="00B96A8E"/>
    <w:rsid w:val="00BA1125"/>
    <w:rsid w:val="00BA45E4"/>
    <w:rsid w:val="00BA6831"/>
    <w:rsid w:val="00BA7309"/>
    <w:rsid w:val="00BB098A"/>
    <w:rsid w:val="00BB210C"/>
    <w:rsid w:val="00BB2117"/>
    <w:rsid w:val="00BB25FA"/>
    <w:rsid w:val="00BC20AF"/>
    <w:rsid w:val="00BC246F"/>
    <w:rsid w:val="00BC75CF"/>
    <w:rsid w:val="00BD20E5"/>
    <w:rsid w:val="00BD2401"/>
    <w:rsid w:val="00BD69A2"/>
    <w:rsid w:val="00BD71CE"/>
    <w:rsid w:val="00BD7D76"/>
    <w:rsid w:val="00BE0E7B"/>
    <w:rsid w:val="00BE2A08"/>
    <w:rsid w:val="00BE372A"/>
    <w:rsid w:val="00BE7302"/>
    <w:rsid w:val="00BF1F1D"/>
    <w:rsid w:val="00BF2D25"/>
    <w:rsid w:val="00BF3970"/>
    <w:rsid w:val="00BF4B36"/>
    <w:rsid w:val="00BF6C01"/>
    <w:rsid w:val="00C021B4"/>
    <w:rsid w:val="00C04B8F"/>
    <w:rsid w:val="00C05986"/>
    <w:rsid w:val="00C148D8"/>
    <w:rsid w:val="00C14E33"/>
    <w:rsid w:val="00C24FA7"/>
    <w:rsid w:val="00C25D59"/>
    <w:rsid w:val="00C448D7"/>
    <w:rsid w:val="00C4501F"/>
    <w:rsid w:val="00C46A7D"/>
    <w:rsid w:val="00C46BEF"/>
    <w:rsid w:val="00C551B8"/>
    <w:rsid w:val="00C56186"/>
    <w:rsid w:val="00C60039"/>
    <w:rsid w:val="00C61CC0"/>
    <w:rsid w:val="00C62BC9"/>
    <w:rsid w:val="00C671F0"/>
    <w:rsid w:val="00C82890"/>
    <w:rsid w:val="00C83E6B"/>
    <w:rsid w:val="00C84464"/>
    <w:rsid w:val="00C874E6"/>
    <w:rsid w:val="00C93848"/>
    <w:rsid w:val="00CA1955"/>
    <w:rsid w:val="00CA4321"/>
    <w:rsid w:val="00CA7BB3"/>
    <w:rsid w:val="00CB5BE0"/>
    <w:rsid w:val="00CB624E"/>
    <w:rsid w:val="00CC3D64"/>
    <w:rsid w:val="00CC5E2B"/>
    <w:rsid w:val="00CC74D8"/>
    <w:rsid w:val="00CD515F"/>
    <w:rsid w:val="00CD7D2B"/>
    <w:rsid w:val="00CE0802"/>
    <w:rsid w:val="00CE4416"/>
    <w:rsid w:val="00D011AC"/>
    <w:rsid w:val="00D0379E"/>
    <w:rsid w:val="00D123E9"/>
    <w:rsid w:val="00D14829"/>
    <w:rsid w:val="00D16914"/>
    <w:rsid w:val="00D17DBC"/>
    <w:rsid w:val="00D22F22"/>
    <w:rsid w:val="00D23971"/>
    <w:rsid w:val="00D30D45"/>
    <w:rsid w:val="00D31D3C"/>
    <w:rsid w:val="00D33C36"/>
    <w:rsid w:val="00D35E6D"/>
    <w:rsid w:val="00D4552B"/>
    <w:rsid w:val="00D46572"/>
    <w:rsid w:val="00D47899"/>
    <w:rsid w:val="00D537D7"/>
    <w:rsid w:val="00D565B8"/>
    <w:rsid w:val="00D62B50"/>
    <w:rsid w:val="00D65725"/>
    <w:rsid w:val="00D65AA1"/>
    <w:rsid w:val="00D749B6"/>
    <w:rsid w:val="00D77E36"/>
    <w:rsid w:val="00D831BF"/>
    <w:rsid w:val="00D83905"/>
    <w:rsid w:val="00DA1BAE"/>
    <w:rsid w:val="00DA2828"/>
    <w:rsid w:val="00DA5E3B"/>
    <w:rsid w:val="00DB1C7E"/>
    <w:rsid w:val="00DB6BA0"/>
    <w:rsid w:val="00DB750F"/>
    <w:rsid w:val="00DC0A7F"/>
    <w:rsid w:val="00DC2157"/>
    <w:rsid w:val="00DC4B4E"/>
    <w:rsid w:val="00DC5F70"/>
    <w:rsid w:val="00DD09FC"/>
    <w:rsid w:val="00DD44DC"/>
    <w:rsid w:val="00DD478B"/>
    <w:rsid w:val="00DD708A"/>
    <w:rsid w:val="00DD793B"/>
    <w:rsid w:val="00DE0B19"/>
    <w:rsid w:val="00DE1CAA"/>
    <w:rsid w:val="00DE238A"/>
    <w:rsid w:val="00DE552F"/>
    <w:rsid w:val="00DF0B49"/>
    <w:rsid w:val="00DF2540"/>
    <w:rsid w:val="00DF5DF5"/>
    <w:rsid w:val="00E00018"/>
    <w:rsid w:val="00E0683C"/>
    <w:rsid w:val="00E1463F"/>
    <w:rsid w:val="00E1495B"/>
    <w:rsid w:val="00E15498"/>
    <w:rsid w:val="00E160B4"/>
    <w:rsid w:val="00E16B7E"/>
    <w:rsid w:val="00E20402"/>
    <w:rsid w:val="00E204E3"/>
    <w:rsid w:val="00E24000"/>
    <w:rsid w:val="00E26075"/>
    <w:rsid w:val="00E30866"/>
    <w:rsid w:val="00E3266F"/>
    <w:rsid w:val="00E4413D"/>
    <w:rsid w:val="00E44D69"/>
    <w:rsid w:val="00E454CA"/>
    <w:rsid w:val="00E46F51"/>
    <w:rsid w:val="00E60FA7"/>
    <w:rsid w:val="00E7258D"/>
    <w:rsid w:val="00E73174"/>
    <w:rsid w:val="00E7337A"/>
    <w:rsid w:val="00E810B4"/>
    <w:rsid w:val="00E8444C"/>
    <w:rsid w:val="00E84639"/>
    <w:rsid w:val="00E862D8"/>
    <w:rsid w:val="00E8685C"/>
    <w:rsid w:val="00EA6858"/>
    <w:rsid w:val="00EA6D4C"/>
    <w:rsid w:val="00EB49D2"/>
    <w:rsid w:val="00EB4BD2"/>
    <w:rsid w:val="00EB570F"/>
    <w:rsid w:val="00EC4209"/>
    <w:rsid w:val="00ED147C"/>
    <w:rsid w:val="00EE2638"/>
    <w:rsid w:val="00EE5F4C"/>
    <w:rsid w:val="00EF447D"/>
    <w:rsid w:val="00EF6E27"/>
    <w:rsid w:val="00EF7835"/>
    <w:rsid w:val="00F049E2"/>
    <w:rsid w:val="00F1083C"/>
    <w:rsid w:val="00F10D7B"/>
    <w:rsid w:val="00F129D4"/>
    <w:rsid w:val="00F16660"/>
    <w:rsid w:val="00F32A46"/>
    <w:rsid w:val="00F33ED1"/>
    <w:rsid w:val="00F37B84"/>
    <w:rsid w:val="00F41023"/>
    <w:rsid w:val="00F4198A"/>
    <w:rsid w:val="00F42A7A"/>
    <w:rsid w:val="00F65B84"/>
    <w:rsid w:val="00F66FCB"/>
    <w:rsid w:val="00F727DD"/>
    <w:rsid w:val="00F7611C"/>
    <w:rsid w:val="00F77615"/>
    <w:rsid w:val="00F77CCB"/>
    <w:rsid w:val="00F80AD9"/>
    <w:rsid w:val="00F81F8D"/>
    <w:rsid w:val="00F826DB"/>
    <w:rsid w:val="00F82A8C"/>
    <w:rsid w:val="00F851BC"/>
    <w:rsid w:val="00F85FC9"/>
    <w:rsid w:val="00F939C5"/>
    <w:rsid w:val="00F95A57"/>
    <w:rsid w:val="00FA1D42"/>
    <w:rsid w:val="00FA392E"/>
    <w:rsid w:val="00FB2A04"/>
    <w:rsid w:val="00FB33FE"/>
    <w:rsid w:val="00FC1600"/>
    <w:rsid w:val="00FC3793"/>
    <w:rsid w:val="00FC3B11"/>
    <w:rsid w:val="00FC73AC"/>
    <w:rsid w:val="00FC77FD"/>
    <w:rsid w:val="00FD29D0"/>
    <w:rsid w:val="00FD571A"/>
    <w:rsid w:val="00FE6652"/>
    <w:rsid w:val="00FF0264"/>
    <w:rsid w:val="00FF50CC"/>
    <w:rsid w:val="00FF6272"/>
    <w:rsid w:val="00FF7551"/>
    <w:rsid w:val="01F90AE9"/>
    <w:rsid w:val="021F6781"/>
    <w:rsid w:val="022D2F01"/>
    <w:rsid w:val="02B00916"/>
    <w:rsid w:val="02D9796E"/>
    <w:rsid w:val="03130130"/>
    <w:rsid w:val="034F5F89"/>
    <w:rsid w:val="03CB0351"/>
    <w:rsid w:val="03F23280"/>
    <w:rsid w:val="04122D21"/>
    <w:rsid w:val="04DA2E6D"/>
    <w:rsid w:val="05336830"/>
    <w:rsid w:val="058A7C48"/>
    <w:rsid w:val="05942874"/>
    <w:rsid w:val="06071298"/>
    <w:rsid w:val="06714E65"/>
    <w:rsid w:val="06D56613"/>
    <w:rsid w:val="074150A9"/>
    <w:rsid w:val="07441D33"/>
    <w:rsid w:val="080F25BA"/>
    <w:rsid w:val="08386081"/>
    <w:rsid w:val="08922C92"/>
    <w:rsid w:val="08D21B08"/>
    <w:rsid w:val="0923288D"/>
    <w:rsid w:val="09703D33"/>
    <w:rsid w:val="09CB4CD3"/>
    <w:rsid w:val="09DD227A"/>
    <w:rsid w:val="0A375180"/>
    <w:rsid w:val="0A466107"/>
    <w:rsid w:val="0AF142C5"/>
    <w:rsid w:val="0B901D30"/>
    <w:rsid w:val="0C6D0CE8"/>
    <w:rsid w:val="0C851852"/>
    <w:rsid w:val="0CEA2C54"/>
    <w:rsid w:val="0E2120E7"/>
    <w:rsid w:val="0EB116D8"/>
    <w:rsid w:val="0ED83762"/>
    <w:rsid w:val="0EF527A3"/>
    <w:rsid w:val="0F3E52C6"/>
    <w:rsid w:val="0F672951"/>
    <w:rsid w:val="0F89671A"/>
    <w:rsid w:val="0FEB68C2"/>
    <w:rsid w:val="103266EB"/>
    <w:rsid w:val="1089330A"/>
    <w:rsid w:val="10E50428"/>
    <w:rsid w:val="11AE08E1"/>
    <w:rsid w:val="120021FC"/>
    <w:rsid w:val="121A4036"/>
    <w:rsid w:val="1258659D"/>
    <w:rsid w:val="128A61D7"/>
    <w:rsid w:val="12922832"/>
    <w:rsid w:val="12987A0B"/>
    <w:rsid w:val="129E1733"/>
    <w:rsid w:val="13B65629"/>
    <w:rsid w:val="13C55815"/>
    <w:rsid w:val="141C6857"/>
    <w:rsid w:val="14501FC4"/>
    <w:rsid w:val="149F5023"/>
    <w:rsid w:val="14E94B55"/>
    <w:rsid w:val="15437E13"/>
    <w:rsid w:val="15717015"/>
    <w:rsid w:val="1573515B"/>
    <w:rsid w:val="157D489C"/>
    <w:rsid w:val="16137F02"/>
    <w:rsid w:val="1700420E"/>
    <w:rsid w:val="177E3384"/>
    <w:rsid w:val="17997007"/>
    <w:rsid w:val="18F338FE"/>
    <w:rsid w:val="196D36B1"/>
    <w:rsid w:val="19703980"/>
    <w:rsid w:val="19AB0C84"/>
    <w:rsid w:val="19B26BFB"/>
    <w:rsid w:val="19D11CC1"/>
    <w:rsid w:val="1A64010A"/>
    <w:rsid w:val="1A77284B"/>
    <w:rsid w:val="1AB66952"/>
    <w:rsid w:val="1B0B0615"/>
    <w:rsid w:val="1B3F2E2B"/>
    <w:rsid w:val="1C6F50DB"/>
    <w:rsid w:val="1C8B6050"/>
    <w:rsid w:val="1DAB2047"/>
    <w:rsid w:val="1DAE2CA1"/>
    <w:rsid w:val="1DDA6D94"/>
    <w:rsid w:val="1E8705EE"/>
    <w:rsid w:val="1EF05E75"/>
    <w:rsid w:val="1F095D51"/>
    <w:rsid w:val="1F5A59CF"/>
    <w:rsid w:val="1FC259F2"/>
    <w:rsid w:val="200A26D8"/>
    <w:rsid w:val="20D52A73"/>
    <w:rsid w:val="211A06CD"/>
    <w:rsid w:val="21390CBA"/>
    <w:rsid w:val="214C2ACE"/>
    <w:rsid w:val="21503F1B"/>
    <w:rsid w:val="221602CC"/>
    <w:rsid w:val="227C0525"/>
    <w:rsid w:val="22885E97"/>
    <w:rsid w:val="22B67E76"/>
    <w:rsid w:val="22DC062A"/>
    <w:rsid w:val="237C650C"/>
    <w:rsid w:val="238B4E5F"/>
    <w:rsid w:val="24196E29"/>
    <w:rsid w:val="24226567"/>
    <w:rsid w:val="24E57F07"/>
    <w:rsid w:val="25172D96"/>
    <w:rsid w:val="25AF5AD6"/>
    <w:rsid w:val="279141CA"/>
    <w:rsid w:val="27B628AD"/>
    <w:rsid w:val="2857225E"/>
    <w:rsid w:val="2AE35581"/>
    <w:rsid w:val="2B3B53BD"/>
    <w:rsid w:val="2B3E0CAB"/>
    <w:rsid w:val="2BEB3586"/>
    <w:rsid w:val="2BEB6DE3"/>
    <w:rsid w:val="2C462EC9"/>
    <w:rsid w:val="2C6B57AC"/>
    <w:rsid w:val="2C7A632A"/>
    <w:rsid w:val="2CBD13C2"/>
    <w:rsid w:val="2D2222DE"/>
    <w:rsid w:val="2D635755"/>
    <w:rsid w:val="2F250B7D"/>
    <w:rsid w:val="2FDD2EE6"/>
    <w:rsid w:val="321150C9"/>
    <w:rsid w:val="325637DB"/>
    <w:rsid w:val="32BD72C7"/>
    <w:rsid w:val="32EC1C81"/>
    <w:rsid w:val="33022A39"/>
    <w:rsid w:val="33263E15"/>
    <w:rsid w:val="34115391"/>
    <w:rsid w:val="352456D6"/>
    <w:rsid w:val="35323659"/>
    <w:rsid w:val="35336C50"/>
    <w:rsid w:val="353E4427"/>
    <w:rsid w:val="35E2093F"/>
    <w:rsid w:val="360D1050"/>
    <w:rsid w:val="36B85E2F"/>
    <w:rsid w:val="370C7FE3"/>
    <w:rsid w:val="372808B3"/>
    <w:rsid w:val="37E20C51"/>
    <w:rsid w:val="382258AB"/>
    <w:rsid w:val="38910D12"/>
    <w:rsid w:val="38DB209E"/>
    <w:rsid w:val="39005F6F"/>
    <w:rsid w:val="391D4265"/>
    <w:rsid w:val="3A033B4A"/>
    <w:rsid w:val="3A223C90"/>
    <w:rsid w:val="3A4F2C33"/>
    <w:rsid w:val="3A6A181A"/>
    <w:rsid w:val="3ACB0142"/>
    <w:rsid w:val="3B000513"/>
    <w:rsid w:val="3BD3570B"/>
    <w:rsid w:val="3C365293"/>
    <w:rsid w:val="3CA926B1"/>
    <w:rsid w:val="3CEC354F"/>
    <w:rsid w:val="3CF14DC8"/>
    <w:rsid w:val="3D0A2E41"/>
    <w:rsid w:val="3D3B41BA"/>
    <w:rsid w:val="3DE84774"/>
    <w:rsid w:val="3F0A2F08"/>
    <w:rsid w:val="3F9149CA"/>
    <w:rsid w:val="404F7443"/>
    <w:rsid w:val="40616D60"/>
    <w:rsid w:val="40EA20BA"/>
    <w:rsid w:val="41DD0B24"/>
    <w:rsid w:val="421B1721"/>
    <w:rsid w:val="429D7A02"/>
    <w:rsid w:val="42CF5462"/>
    <w:rsid w:val="431A091C"/>
    <w:rsid w:val="432F1949"/>
    <w:rsid w:val="439B47C4"/>
    <w:rsid w:val="439F639C"/>
    <w:rsid w:val="43A7548F"/>
    <w:rsid w:val="43ED26FB"/>
    <w:rsid w:val="45161D4D"/>
    <w:rsid w:val="45432676"/>
    <w:rsid w:val="469142F7"/>
    <w:rsid w:val="46A7190D"/>
    <w:rsid w:val="477F06B8"/>
    <w:rsid w:val="47F47092"/>
    <w:rsid w:val="497904F1"/>
    <w:rsid w:val="499F26AF"/>
    <w:rsid w:val="49A33E79"/>
    <w:rsid w:val="49F9081B"/>
    <w:rsid w:val="4A11493A"/>
    <w:rsid w:val="4A24008E"/>
    <w:rsid w:val="4A9F7819"/>
    <w:rsid w:val="4AD71479"/>
    <w:rsid w:val="4AFD2046"/>
    <w:rsid w:val="4B466C9C"/>
    <w:rsid w:val="4B952C62"/>
    <w:rsid w:val="4C1705E5"/>
    <w:rsid w:val="4CA42A33"/>
    <w:rsid w:val="4CB345DD"/>
    <w:rsid w:val="4D384F53"/>
    <w:rsid w:val="4D656937"/>
    <w:rsid w:val="4EC61597"/>
    <w:rsid w:val="4F436805"/>
    <w:rsid w:val="4FD74E04"/>
    <w:rsid w:val="50034F25"/>
    <w:rsid w:val="50ED0470"/>
    <w:rsid w:val="51024103"/>
    <w:rsid w:val="518816AE"/>
    <w:rsid w:val="5200056D"/>
    <w:rsid w:val="52043EAB"/>
    <w:rsid w:val="52674F43"/>
    <w:rsid w:val="534D3B03"/>
    <w:rsid w:val="55036C44"/>
    <w:rsid w:val="55230AEC"/>
    <w:rsid w:val="555A4001"/>
    <w:rsid w:val="562F0AB9"/>
    <w:rsid w:val="56A47A0A"/>
    <w:rsid w:val="57193C9E"/>
    <w:rsid w:val="58055A19"/>
    <w:rsid w:val="580E0C05"/>
    <w:rsid w:val="589C15B9"/>
    <w:rsid w:val="58B17D1B"/>
    <w:rsid w:val="59EF7675"/>
    <w:rsid w:val="5A422AC7"/>
    <w:rsid w:val="5A6E570C"/>
    <w:rsid w:val="5B00709F"/>
    <w:rsid w:val="5B074F27"/>
    <w:rsid w:val="5B5B3767"/>
    <w:rsid w:val="5C085C82"/>
    <w:rsid w:val="5D38043B"/>
    <w:rsid w:val="5D8C2A17"/>
    <w:rsid w:val="5E491607"/>
    <w:rsid w:val="5E693A13"/>
    <w:rsid w:val="5E766250"/>
    <w:rsid w:val="5EA7294A"/>
    <w:rsid w:val="5EE4794F"/>
    <w:rsid w:val="5F3F5D1B"/>
    <w:rsid w:val="5F670842"/>
    <w:rsid w:val="5FA0569B"/>
    <w:rsid w:val="61305C36"/>
    <w:rsid w:val="61374D08"/>
    <w:rsid w:val="62D90A3C"/>
    <w:rsid w:val="63150B09"/>
    <w:rsid w:val="63421B9D"/>
    <w:rsid w:val="638B4EBD"/>
    <w:rsid w:val="63A744C1"/>
    <w:rsid w:val="63D8548A"/>
    <w:rsid w:val="647C1FC7"/>
    <w:rsid w:val="64B13A1E"/>
    <w:rsid w:val="65716EA4"/>
    <w:rsid w:val="65E459CA"/>
    <w:rsid w:val="66B51E22"/>
    <w:rsid w:val="66C07207"/>
    <w:rsid w:val="674961A2"/>
    <w:rsid w:val="6761120F"/>
    <w:rsid w:val="67653329"/>
    <w:rsid w:val="69645159"/>
    <w:rsid w:val="6A4F06D5"/>
    <w:rsid w:val="6A955B1F"/>
    <w:rsid w:val="6B3411FA"/>
    <w:rsid w:val="6B343D59"/>
    <w:rsid w:val="6BDD42B9"/>
    <w:rsid w:val="6C103946"/>
    <w:rsid w:val="6C3E007A"/>
    <w:rsid w:val="6C8D5DD4"/>
    <w:rsid w:val="6D0370DF"/>
    <w:rsid w:val="6D114797"/>
    <w:rsid w:val="6D4B6130"/>
    <w:rsid w:val="6FD94C48"/>
    <w:rsid w:val="702E23C7"/>
    <w:rsid w:val="708B24FA"/>
    <w:rsid w:val="70FF1FB5"/>
    <w:rsid w:val="71632544"/>
    <w:rsid w:val="728A033F"/>
    <w:rsid w:val="72AB7C65"/>
    <w:rsid w:val="72D576C5"/>
    <w:rsid w:val="73337BB9"/>
    <w:rsid w:val="73452630"/>
    <w:rsid w:val="736A144F"/>
    <w:rsid w:val="743261FE"/>
    <w:rsid w:val="74750FB7"/>
    <w:rsid w:val="759058D2"/>
    <w:rsid w:val="765346D0"/>
    <w:rsid w:val="76962A74"/>
    <w:rsid w:val="76A52BBD"/>
    <w:rsid w:val="773D297D"/>
    <w:rsid w:val="77905715"/>
    <w:rsid w:val="77A80CB1"/>
    <w:rsid w:val="78522162"/>
    <w:rsid w:val="790177D1"/>
    <w:rsid w:val="79863274"/>
    <w:rsid w:val="79B43858"/>
    <w:rsid w:val="7B2265D9"/>
    <w:rsid w:val="7B893F18"/>
    <w:rsid w:val="7B8C0F11"/>
    <w:rsid w:val="7CBA4FE2"/>
    <w:rsid w:val="7D31250A"/>
    <w:rsid w:val="7DF2712A"/>
    <w:rsid w:val="7E3A462D"/>
    <w:rsid w:val="7E4D3305"/>
    <w:rsid w:val="7E5D7D7C"/>
    <w:rsid w:val="7EA23B08"/>
    <w:rsid w:val="7F29784B"/>
    <w:rsid w:val="7FAC51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9" w:semiHidden="0" w:name="heading 1"/>
    <w:lsdException w:qFormat="1" w:unhideWhenUsed="0" w:uiPriority="9"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1" w:semiHidden="0" w:name="toc 3"/>
    <w:lsdException w:uiPriority="39" w:name="toc 4"/>
    <w:lsdException w:uiPriority="39" w:name="toc 5"/>
    <w:lsdException w:uiPriority="39" w:name="toc 6"/>
    <w:lsdException w:uiPriority="39" w:name="toc 7"/>
    <w:lsdException w:qFormat="1"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99" w:semiHidden="0"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uiPriority="99" w:name="Normal (Web)"/>
    <w:lsdException w:uiPriority="99" w:name="HTML Acronym"/>
    <w:lsdException w:uiPriority="99" w:name="HTML Address"/>
    <w:lsdException w:qFormat="1" w:uiPriority="99" w:name="HTML Cite"/>
    <w:lsdException w:uiPriority="99" w:name="HTML Code"/>
    <w:lsdException w:qFormat="1" w:uiPriority="99" w:name="HTML Definition"/>
    <w:lsdException w:qFormat="1"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autoRedefine/>
    <w:qFormat/>
    <w:uiPriority w:val="99"/>
    <w:pPr>
      <w:keepNext/>
      <w:keepLines/>
      <w:autoSpaceDE/>
      <w:autoSpaceDN/>
      <w:spacing w:before="340" w:after="330" w:line="578" w:lineRule="auto"/>
      <w:jc w:val="both"/>
      <w:outlineLvl w:val="0"/>
    </w:pPr>
    <w:rPr>
      <w:rFonts w:ascii="仿宋_GB2312" w:hAnsi="Times New Roman" w:cs="Times New Roman"/>
      <w:b/>
      <w:bCs/>
      <w:color w:val="000000"/>
      <w:kern w:val="44"/>
      <w:sz w:val="44"/>
      <w:szCs w:val="44"/>
      <w:lang w:val="en-US" w:bidi="ar-SA"/>
    </w:rPr>
  </w:style>
  <w:style w:type="paragraph" w:styleId="5">
    <w:name w:val="heading 2"/>
    <w:basedOn w:val="1"/>
    <w:next w:val="1"/>
    <w:autoRedefine/>
    <w:qFormat/>
    <w:uiPriority w:val="9"/>
    <w:pPr>
      <w:keepNext/>
      <w:keepLines/>
      <w:spacing w:line="416" w:lineRule="auto"/>
      <w:outlineLvl w:val="1"/>
    </w:pPr>
    <w:rPr>
      <w:rFonts w:ascii="等线 Light" w:hAnsi="等线 Light" w:eastAsia="微软雅黑"/>
      <w:b/>
      <w:bCs/>
      <w:sz w:val="28"/>
      <w:szCs w:val="32"/>
    </w:rPr>
  </w:style>
  <w:style w:type="paragraph" w:styleId="6">
    <w:name w:val="heading 3"/>
    <w:basedOn w:val="1"/>
    <w:next w:val="1"/>
    <w:autoRedefine/>
    <w:qFormat/>
    <w:uiPriority w:val="0"/>
    <w:pPr>
      <w:keepNext/>
      <w:keepLines/>
      <w:widowControl/>
      <w:numPr>
        <w:ilvl w:val="2"/>
        <w:numId w:val="1"/>
      </w:numPr>
      <w:spacing w:before="260" w:after="260" w:line="416" w:lineRule="auto"/>
      <w:outlineLvl w:val="2"/>
    </w:pPr>
    <w:rPr>
      <w:b/>
      <w:sz w:val="32"/>
      <w:szCs w:val="20"/>
    </w:rPr>
  </w:style>
  <w:style w:type="paragraph" w:styleId="7">
    <w:name w:val="heading 4"/>
    <w:basedOn w:val="1"/>
    <w:next w:val="1"/>
    <w:link w:val="43"/>
    <w:autoRedefine/>
    <w:qFormat/>
    <w:uiPriority w:val="99"/>
    <w:pPr>
      <w:spacing w:before="35"/>
      <w:ind w:left="2" w:right="160"/>
      <w:jc w:val="center"/>
      <w:outlineLvl w:val="3"/>
    </w:pPr>
    <w:rPr>
      <w:rFonts w:ascii="Cambria" w:hAnsi="Cambria" w:cs="Times New Roman"/>
      <w:b/>
      <w:sz w:val="28"/>
      <w:szCs w:val="20"/>
      <w:lang w:bidi="ar-SA"/>
    </w:rPr>
  </w:style>
  <w:style w:type="paragraph" w:styleId="8">
    <w:name w:val="heading 5"/>
    <w:basedOn w:val="1"/>
    <w:next w:val="1"/>
    <w:link w:val="88"/>
    <w:autoRedefine/>
    <w:qFormat/>
    <w:uiPriority w:val="99"/>
    <w:pPr>
      <w:keepNext/>
      <w:keepLines/>
      <w:autoSpaceDE/>
      <w:autoSpaceDN/>
      <w:spacing w:before="280" w:after="290" w:line="376" w:lineRule="auto"/>
      <w:jc w:val="both"/>
      <w:outlineLvl w:val="4"/>
    </w:pPr>
    <w:rPr>
      <w:rFonts w:ascii="Times New Roman" w:hAnsi="Times New Roman" w:cs="Times New Roman"/>
      <w:b/>
      <w:bCs/>
      <w:kern w:val="2"/>
      <w:sz w:val="28"/>
      <w:szCs w:val="28"/>
      <w:lang w:val="en-US" w:bidi="ar-SA"/>
    </w:rPr>
  </w:style>
  <w:style w:type="paragraph" w:styleId="9">
    <w:name w:val="heading 6"/>
    <w:basedOn w:val="1"/>
    <w:next w:val="1"/>
    <w:link w:val="44"/>
    <w:autoRedefine/>
    <w:qFormat/>
    <w:uiPriority w:val="99"/>
    <w:pPr>
      <w:spacing w:before="50"/>
      <w:outlineLvl w:val="5"/>
    </w:pPr>
    <w:rPr>
      <w:rFonts w:ascii="Cambria" w:hAnsi="Cambria" w:cs="Times New Roman"/>
      <w:b/>
      <w:sz w:val="24"/>
      <w:szCs w:val="20"/>
      <w:lang w:bidi="ar-SA"/>
    </w:rPr>
  </w:style>
  <w:style w:type="character" w:default="1" w:styleId="30">
    <w:name w:val="Default Paragraph Font"/>
    <w:autoRedefine/>
    <w:semiHidden/>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link w:val="87"/>
    <w:autoRedefine/>
    <w:qFormat/>
    <w:uiPriority w:val="0"/>
    <w:pPr>
      <w:autoSpaceDE/>
      <w:autoSpaceDN/>
      <w:ind w:firstLine="420" w:firstLineChars="200"/>
      <w:jc w:val="both"/>
    </w:pPr>
    <w:rPr>
      <w:rFonts w:ascii="Times New Roman" w:hAnsi="Times New Roman" w:cs="Times New Roman"/>
      <w:kern w:val="2"/>
      <w:sz w:val="21"/>
      <w:szCs w:val="24"/>
      <w:lang w:val="en-US" w:bidi="ar-SA"/>
    </w:rPr>
  </w:style>
  <w:style w:type="paragraph" w:styleId="3">
    <w:name w:val="macro"/>
    <w:link w:val="42"/>
    <w:autoRedefine/>
    <w:qFormat/>
    <w:uiPriority w:val="99"/>
    <w:pPr>
      <w:widowControl w:val="0"/>
      <w:tabs>
        <w:tab w:val="left" w:pos="0"/>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lang w:val="en-US" w:eastAsia="zh-CN" w:bidi="ar-SA"/>
    </w:rPr>
  </w:style>
  <w:style w:type="paragraph" w:styleId="10">
    <w:name w:val="E-mail Signature"/>
    <w:basedOn w:val="1"/>
    <w:link w:val="65"/>
    <w:autoRedefine/>
    <w:qFormat/>
    <w:uiPriority w:val="0"/>
    <w:pPr>
      <w:autoSpaceDE/>
      <w:autoSpaceDN/>
      <w:spacing w:after="240"/>
      <w:jc w:val="both"/>
    </w:pPr>
    <w:rPr>
      <w:rFonts w:ascii="等线" w:hAnsi="Times New Roman" w:cs="等线"/>
      <w:sz w:val="20"/>
      <w:szCs w:val="24"/>
      <w:lang w:val="en-US" w:bidi="ar-SA"/>
    </w:rPr>
  </w:style>
  <w:style w:type="paragraph" w:styleId="11">
    <w:name w:val="caption"/>
    <w:basedOn w:val="1"/>
    <w:next w:val="1"/>
    <w:autoRedefine/>
    <w:qFormat/>
    <w:uiPriority w:val="0"/>
    <w:rPr>
      <w:rFonts w:ascii="Cambria" w:hAnsi="Cambria" w:eastAsia="黑体"/>
      <w:sz w:val="20"/>
      <w:szCs w:val="20"/>
    </w:rPr>
  </w:style>
  <w:style w:type="paragraph" w:styleId="12">
    <w:name w:val="Document Map"/>
    <w:basedOn w:val="1"/>
    <w:link w:val="45"/>
    <w:autoRedefine/>
    <w:unhideWhenUsed/>
    <w:qFormat/>
    <w:uiPriority w:val="0"/>
    <w:rPr>
      <w:sz w:val="18"/>
      <w:szCs w:val="18"/>
    </w:rPr>
  </w:style>
  <w:style w:type="paragraph" w:styleId="13">
    <w:name w:val="annotation text"/>
    <w:basedOn w:val="1"/>
    <w:link w:val="46"/>
    <w:autoRedefine/>
    <w:unhideWhenUsed/>
    <w:qFormat/>
    <w:uiPriority w:val="99"/>
  </w:style>
  <w:style w:type="paragraph" w:styleId="14">
    <w:name w:val="Body Text 3"/>
    <w:basedOn w:val="1"/>
    <w:link w:val="89"/>
    <w:autoRedefine/>
    <w:semiHidden/>
    <w:unhideWhenUsed/>
    <w:qFormat/>
    <w:uiPriority w:val="99"/>
    <w:pPr>
      <w:spacing w:after="120"/>
    </w:pPr>
    <w:rPr>
      <w:sz w:val="16"/>
      <w:szCs w:val="16"/>
    </w:rPr>
  </w:style>
  <w:style w:type="paragraph" w:styleId="15">
    <w:name w:val="Body Text"/>
    <w:basedOn w:val="1"/>
    <w:next w:val="16"/>
    <w:link w:val="66"/>
    <w:autoRedefine/>
    <w:qFormat/>
    <w:uiPriority w:val="0"/>
    <w:rPr>
      <w:sz w:val="21"/>
      <w:szCs w:val="21"/>
    </w:rPr>
  </w:style>
  <w:style w:type="paragraph" w:styleId="16">
    <w:name w:val="Plain Text"/>
    <w:basedOn w:val="1"/>
    <w:link w:val="94"/>
    <w:autoRedefine/>
    <w:qFormat/>
    <w:uiPriority w:val="0"/>
    <w:pPr>
      <w:autoSpaceDE/>
      <w:autoSpaceDN/>
      <w:jc w:val="both"/>
    </w:pPr>
    <w:rPr>
      <w:rFonts w:hAnsi="Courier New" w:cs="Times New Roman"/>
      <w:kern w:val="2"/>
      <w:sz w:val="21"/>
      <w:szCs w:val="24"/>
      <w:lang w:val="en-US" w:bidi="ar-SA"/>
    </w:rPr>
  </w:style>
  <w:style w:type="paragraph" w:styleId="17">
    <w:name w:val="Body Text Indent"/>
    <w:basedOn w:val="1"/>
    <w:link w:val="92"/>
    <w:autoRedefine/>
    <w:semiHidden/>
    <w:unhideWhenUsed/>
    <w:qFormat/>
    <w:uiPriority w:val="99"/>
    <w:pPr>
      <w:spacing w:after="120"/>
      <w:ind w:left="420" w:leftChars="200"/>
    </w:pPr>
  </w:style>
  <w:style w:type="paragraph" w:styleId="18">
    <w:name w:val="List Bullet 2"/>
    <w:basedOn w:val="1"/>
    <w:autoRedefine/>
    <w:qFormat/>
    <w:uiPriority w:val="0"/>
    <w:pPr>
      <w:tabs>
        <w:tab w:val="left" w:pos="780"/>
      </w:tabs>
      <w:autoSpaceDE/>
      <w:autoSpaceDN/>
      <w:ind w:left="780" w:hanging="360"/>
      <w:jc w:val="both"/>
    </w:pPr>
    <w:rPr>
      <w:rFonts w:ascii="等线" w:hAnsi="Times New Roman" w:cs="等线"/>
      <w:kern w:val="2"/>
      <w:sz w:val="21"/>
      <w:szCs w:val="21"/>
      <w:lang w:val="en-US" w:bidi="ar-SA"/>
    </w:rPr>
  </w:style>
  <w:style w:type="paragraph" w:styleId="19">
    <w:name w:val="toc 3"/>
    <w:basedOn w:val="1"/>
    <w:next w:val="1"/>
    <w:autoRedefine/>
    <w:qFormat/>
    <w:uiPriority w:val="1"/>
    <w:pPr>
      <w:spacing w:before="2"/>
      <w:ind w:left="1610" w:hanging="370"/>
    </w:pPr>
    <w:rPr>
      <w:sz w:val="21"/>
      <w:szCs w:val="21"/>
    </w:rPr>
  </w:style>
  <w:style w:type="paragraph" w:styleId="20">
    <w:name w:val="toc 8"/>
    <w:basedOn w:val="1"/>
    <w:next w:val="1"/>
    <w:autoRedefine/>
    <w:semiHidden/>
    <w:unhideWhenUsed/>
    <w:qFormat/>
    <w:uiPriority w:val="39"/>
    <w:pPr>
      <w:ind w:left="2940" w:leftChars="1400"/>
    </w:pPr>
  </w:style>
  <w:style w:type="paragraph" w:styleId="21">
    <w:name w:val="Date"/>
    <w:basedOn w:val="1"/>
    <w:next w:val="1"/>
    <w:link w:val="86"/>
    <w:autoRedefine/>
    <w:unhideWhenUsed/>
    <w:qFormat/>
    <w:uiPriority w:val="99"/>
    <w:pPr>
      <w:ind w:left="100" w:leftChars="2500"/>
    </w:pPr>
  </w:style>
  <w:style w:type="paragraph" w:styleId="22">
    <w:name w:val="Balloon Text"/>
    <w:basedOn w:val="1"/>
    <w:link w:val="47"/>
    <w:autoRedefine/>
    <w:unhideWhenUsed/>
    <w:qFormat/>
    <w:uiPriority w:val="99"/>
    <w:rPr>
      <w:sz w:val="18"/>
      <w:szCs w:val="18"/>
    </w:rPr>
  </w:style>
  <w:style w:type="paragraph" w:styleId="23">
    <w:name w:val="footer"/>
    <w:basedOn w:val="1"/>
    <w:link w:val="48"/>
    <w:autoRedefine/>
    <w:unhideWhenUsed/>
    <w:qFormat/>
    <w:uiPriority w:val="99"/>
    <w:pPr>
      <w:tabs>
        <w:tab w:val="center" w:pos="4153"/>
        <w:tab w:val="right" w:pos="8306"/>
      </w:tabs>
      <w:snapToGrid w:val="0"/>
    </w:pPr>
    <w:rPr>
      <w:sz w:val="18"/>
      <w:szCs w:val="18"/>
    </w:rPr>
  </w:style>
  <w:style w:type="paragraph" w:styleId="24">
    <w:name w:val="header"/>
    <w:basedOn w:val="1"/>
    <w:link w:val="4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39"/>
    <w:pPr>
      <w:spacing w:before="2"/>
      <w:ind w:left="400"/>
    </w:pPr>
    <w:rPr>
      <w:sz w:val="21"/>
      <w:szCs w:val="21"/>
    </w:rPr>
  </w:style>
  <w:style w:type="paragraph" w:styleId="26">
    <w:name w:val="toc 2"/>
    <w:basedOn w:val="1"/>
    <w:next w:val="1"/>
    <w:autoRedefine/>
    <w:unhideWhenUsed/>
    <w:qFormat/>
    <w:uiPriority w:val="39"/>
    <w:pPr>
      <w:ind w:left="420" w:leftChars="200"/>
    </w:pPr>
  </w:style>
  <w:style w:type="paragraph" w:styleId="27">
    <w:name w:val="annotation subject"/>
    <w:basedOn w:val="13"/>
    <w:next w:val="13"/>
    <w:link w:val="50"/>
    <w:autoRedefine/>
    <w:unhideWhenUsed/>
    <w:qFormat/>
    <w:uiPriority w:val="99"/>
    <w:rPr>
      <w:b/>
      <w:bCs/>
    </w:rPr>
  </w:style>
  <w:style w:type="paragraph" w:styleId="28">
    <w:name w:val="Body Text First Indent 2"/>
    <w:basedOn w:val="17"/>
    <w:link w:val="93"/>
    <w:autoRedefine/>
    <w:semiHidden/>
    <w:unhideWhenUsed/>
    <w:qFormat/>
    <w:uiPriority w:val="99"/>
    <w:pPr>
      <w:ind w:firstLine="420" w:firstLineChars="200"/>
    </w:pPr>
  </w:style>
  <w:style w:type="character" w:styleId="31">
    <w:name w:val="Strong"/>
    <w:basedOn w:val="30"/>
    <w:qFormat/>
    <w:uiPriority w:val="22"/>
    <w:rPr>
      <w:b/>
      <w:bCs/>
    </w:rPr>
  </w:style>
  <w:style w:type="character" w:styleId="32">
    <w:name w:val="page number"/>
    <w:autoRedefine/>
    <w:qFormat/>
    <w:uiPriority w:val="0"/>
  </w:style>
  <w:style w:type="character" w:styleId="33">
    <w:name w:val="FollowedHyperlink"/>
    <w:basedOn w:val="30"/>
    <w:autoRedefine/>
    <w:semiHidden/>
    <w:unhideWhenUsed/>
    <w:qFormat/>
    <w:uiPriority w:val="99"/>
    <w:rPr>
      <w:color w:val="333333"/>
      <w:sz w:val="18"/>
      <w:szCs w:val="18"/>
      <w:u w:val="none"/>
    </w:rPr>
  </w:style>
  <w:style w:type="character" w:styleId="34">
    <w:name w:val="Emphasis"/>
    <w:basedOn w:val="30"/>
    <w:autoRedefine/>
    <w:qFormat/>
    <w:uiPriority w:val="0"/>
  </w:style>
  <w:style w:type="character" w:styleId="35">
    <w:name w:val="HTML Definition"/>
    <w:basedOn w:val="30"/>
    <w:autoRedefine/>
    <w:semiHidden/>
    <w:unhideWhenUsed/>
    <w:qFormat/>
    <w:uiPriority w:val="99"/>
    <w:rPr>
      <w:i/>
      <w:iCs/>
    </w:rPr>
  </w:style>
  <w:style w:type="character" w:styleId="36">
    <w:name w:val="Hyperlink"/>
    <w:basedOn w:val="30"/>
    <w:autoRedefine/>
    <w:unhideWhenUsed/>
    <w:qFormat/>
    <w:uiPriority w:val="99"/>
    <w:rPr>
      <w:color w:val="428BCA"/>
      <w:u w:val="single"/>
    </w:rPr>
  </w:style>
  <w:style w:type="character" w:styleId="37">
    <w:name w:val="HTML Code"/>
    <w:basedOn w:val="30"/>
    <w:semiHidden/>
    <w:unhideWhenUsed/>
    <w:uiPriority w:val="99"/>
    <w:rPr>
      <w:rFonts w:hint="default" w:ascii="Consolas" w:hAnsi="Consolas" w:eastAsia="Consolas" w:cs="Consolas"/>
      <w:color w:val="C7254E"/>
      <w:sz w:val="21"/>
      <w:szCs w:val="21"/>
      <w:shd w:val="clear" w:fill="F9F2F4"/>
    </w:rPr>
  </w:style>
  <w:style w:type="character" w:styleId="38">
    <w:name w:val="annotation reference"/>
    <w:basedOn w:val="30"/>
    <w:autoRedefine/>
    <w:unhideWhenUsed/>
    <w:qFormat/>
    <w:uiPriority w:val="99"/>
    <w:rPr>
      <w:sz w:val="21"/>
      <w:szCs w:val="21"/>
    </w:rPr>
  </w:style>
  <w:style w:type="character" w:styleId="39">
    <w:name w:val="HTML Cite"/>
    <w:basedOn w:val="30"/>
    <w:autoRedefine/>
    <w:semiHidden/>
    <w:unhideWhenUsed/>
    <w:qFormat/>
    <w:uiPriority w:val="99"/>
  </w:style>
  <w:style w:type="character" w:styleId="40">
    <w:name w:val="HTML Keyboard"/>
    <w:basedOn w:val="30"/>
    <w:autoRedefine/>
    <w:semiHidden/>
    <w:unhideWhenUsed/>
    <w:qFormat/>
    <w:uiPriority w:val="99"/>
    <w:rPr>
      <w:rFonts w:ascii="Consolas" w:hAnsi="Consolas" w:eastAsia="Consolas" w:cs="Consolas"/>
      <w:color w:val="FFFFFF"/>
      <w:sz w:val="21"/>
      <w:szCs w:val="21"/>
      <w:shd w:val="clear" w:fill="333333"/>
    </w:rPr>
  </w:style>
  <w:style w:type="character" w:styleId="41">
    <w:name w:val="HTML Sample"/>
    <w:basedOn w:val="30"/>
    <w:autoRedefine/>
    <w:semiHidden/>
    <w:unhideWhenUsed/>
    <w:uiPriority w:val="99"/>
    <w:rPr>
      <w:rFonts w:hint="default" w:ascii="Consolas" w:hAnsi="Consolas" w:eastAsia="Consolas" w:cs="Consolas"/>
      <w:sz w:val="21"/>
      <w:szCs w:val="21"/>
    </w:rPr>
  </w:style>
  <w:style w:type="character" w:customStyle="1" w:styleId="42">
    <w:name w:val="宏文本 Char"/>
    <w:basedOn w:val="30"/>
    <w:link w:val="3"/>
    <w:autoRedefine/>
    <w:qFormat/>
    <w:uiPriority w:val="99"/>
    <w:rPr>
      <w:rFonts w:ascii="Courier New" w:hAnsi="Courier New"/>
      <w:kern w:val="2"/>
      <w:sz w:val="24"/>
    </w:rPr>
  </w:style>
  <w:style w:type="character" w:customStyle="1" w:styleId="43">
    <w:name w:val="标题 4 Char"/>
    <w:basedOn w:val="30"/>
    <w:link w:val="7"/>
    <w:autoRedefine/>
    <w:qFormat/>
    <w:uiPriority w:val="99"/>
    <w:rPr>
      <w:rFonts w:ascii="Cambria" w:hAnsi="Cambria" w:eastAsia="宋体" w:cs="Times New Roman"/>
      <w:b/>
      <w:sz w:val="28"/>
      <w:szCs w:val="20"/>
      <w:lang w:val="zh-CN" w:eastAsia="zh-CN"/>
    </w:rPr>
  </w:style>
  <w:style w:type="character" w:customStyle="1" w:styleId="44">
    <w:name w:val="标题 6 Char"/>
    <w:basedOn w:val="30"/>
    <w:link w:val="9"/>
    <w:autoRedefine/>
    <w:qFormat/>
    <w:uiPriority w:val="99"/>
    <w:rPr>
      <w:rFonts w:ascii="Cambria" w:hAnsi="Cambria" w:eastAsia="宋体" w:cs="Times New Roman"/>
      <w:b/>
      <w:sz w:val="24"/>
      <w:szCs w:val="20"/>
      <w:lang w:val="zh-CN" w:eastAsia="zh-CN"/>
    </w:rPr>
  </w:style>
  <w:style w:type="character" w:customStyle="1" w:styleId="45">
    <w:name w:val="文档结构图 Char"/>
    <w:basedOn w:val="30"/>
    <w:link w:val="12"/>
    <w:autoRedefine/>
    <w:qFormat/>
    <w:uiPriority w:val="0"/>
    <w:rPr>
      <w:rFonts w:ascii="宋体" w:hAnsi="宋体" w:eastAsia="宋体" w:cs="宋体"/>
      <w:sz w:val="18"/>
      <w:szCs w:val="18"/>
      <w:lang w:val="zh-CN" w:eastAsia="zh-CN" w:bidi="zh-CN"/>
    </w:rPr>
  </w:style>
  <w:style w:type="character" w:customStyle="1" w:styleId="46">
    <w:name w:val="批注文字 Char"/>
    <w:basedOn w:val="30"/>
    <w:link w:val="13"/>
    <w:autoRedefine/>
    <w:semiHidden/>
    <w:qFormat/>
    <w:uiPriority w:val="99"/>
    <w:rPr>
      <w:rFonts w:ascii="宋体" w:hAnsi="宋体" w:eastAsia="宋体" w:cs="宋体"/>
      <w:lang w:val="zh-CN" w:eastAsia="zh-CN" w:bidi="zh-CN"/>
    </w:rPr>
  </w:style>
  <w:style w:type="character" w:customStyle="1" w:styleId="47">
    <w:name w:val="批注框文本 Char"/>
    <w:basedOn w:val="30"/>
    <w:link w:val="22"/>
    <w:autoRedefine/>
    <w:semiHidden/>
    <w:qFormat/>
    <w:uiPriority w:val="99"/>
    <w:rPr>
      <w:rFonts w:ascii="宋体" w:hAnsi="宋体" w:eastAsia="宋体" w:cs="宋体"/>
      <w:sz w:val="18"/>
      <w:szCs w:val="18"/>
      <w:lang w:val="zh-CN" w:eastAsia="zh-CN" w:bidi="zh-CN"/>
    </w:rPr>
  </w:style>
  <w:style w:type="character" w:customStyle="1" w:styleId="48">
    <w:name w:val="页脚 Char"/>
    <w:basedOn w:val="30"/>
    <w:link w:val="23"/>
    <w:autoRedefine/>
    <w:qFormat/>
    <w:uiPriority w:val="99"/>
    <w:rPr>
      <w:rFonts w:ascii="宋体" w:hAnsi="宋体" w:eastAsia="宋体" w:cs="宋体"/>
      <w:sz w:val="18"/>
      <w:szCs w:val="18"/>
      <w:lang w:val="zh-CN" w:eastAsia="zh-CN" w:bidi="zh-CN"/>
    </w:rPr>
  </w:style>
  <w:style w:type="character" w:customStyle="1" w:styleId="49">
    <w:name w:val="页眉 Char"/>
    <w:basedOn w:val="30"/>
    <w:link w:val="24"/>
    <w:autoRedefine/>
    <w:qFormat/>
    <w:uiPriority w:val="99"/>
    <w:rPr>
      <w:rFonts w:ascii="宋体" w:hAnsi="宋体" w:cs="宋体"/>
      <w:sz w:val="18"/>
      <w:szCs w:val="18"/>
      <w:lang w:val="zh-CN" w:bidi="zh-CN"/>
    </w:rPr>
  </w:style>
  <w:style w:type="character" w:customStyle="1" w:styleId="50">
    <w:name w:val="批注主题 Char"/>
    <w:basedOn w:val="46"/>
    <w:link w:val="27"/>
    <w:autoRedefine/>
    <w:semiHidden/>
    <w:qFormat/>
    <w:uiPriority w:val="99"/>
    <w:rPr>
      <w:rFonts w:ascii="宋体" w:hAnsi="宋体" w:eastAsia="宋体" w:cs="宋体"/>
      <w:b/>
      <w:bCs/>
      <w:lang w:val="zh-CN" w:eastAsia="zh-CN" w:bidi="zh-CN"/>
    </w:rPr>
  </w:style>
  <w:style w:type="table" w:customStyle="1" w:styleId="51">
    <w:name w:val="Table Normal"/>
    <w:autoRedefine/>
    <w:unhideWhenUsed/>
    <w:qFormat/>
    <w:uiPriority w:val="2"/>
    <w:tblPr>
      <w:tblCellMar>
        <w:top w:w="0" w:type="dxa"/>
        <w:left w:w="0" w:type="dxa"/>
        <w:bottom w:w="0" w:type="dxa"/>
        <w:right w:w="0" w:type="dxa"/>
      </w:tblCellMar>
    </w:tblPr>
  </w:style>
  <w:style w:type="paragraph" w:customStyle="1" w:styleId="52">
    <w:name w:val="TOC 11"/>
    <w:basedOn w:val="1"/>
    <w:autoRedefine/>
    <w:qFormat/>
    <w:uiPriority w:val="1"/>
    <w:pPr>
      <w:spacing w:before="2"/>
      <w:ind w:left="400"/>
    </w:pPr>
    <w:rPr>
      <w:sz w:val="21"/>
      <w:szCs w:val="21"/>
    </w:rPr>
  </w:style>
  <w:style w:type="paragraph" w:customStyle="1" w:styleId="53">
    <w:name w:val="TOC 21"/>
    <w:basedOn w:val="1"/>
    <w:autoRedefine/>
    <w:qFormat/>
    <w:uiPriority w:val="1"/>
    <w:pPr>
      <w:spacing w:before="2"/>
      <w:ind w:left="820"/>
    </w:pPr>
    <w:rPr>
      <w:sz w:val="21"/>
      <w:szCs w:val="21"/>
    </w:rPr>
  </w:style>
  <w:style w:type="paragraph" w:customStyle="1" w:styleId="54">
    <w:name w:val="TOC 31"/>
    <w:basedOn w:val="1"/>
    <w:autoRedefine/>
    <w:qFormat/>
    <w:uiPriority w:val="1"/>
    <w:pPr>
      <w:spacing w:before="2"/>
      <w:ind w:left="1610" w:hanging="370"/>
    </w:pPr>
    <w:rPr>
      <w:sz w:val="21"/>
      <w:szCs w:val="21"/>
    </w:rPr>
  </w:style>
  <w:style w:type="paragraph" w:customStyle="1" w:styleId="55">
    <w:name w:val="标题 11"/>
    <w:basedOn w:val="1"/>
    <w:autoRedefine/>
    <w:qFormat/>
    <w:uiPriority w:val="1"/>
    <w:pPr>
      <w:spacing w:line="702" w:lineRule="exact"/>
      <w:outlineLvl w:val="1"/>
    </w:pPr>
    <w:rPr>
      <w:rFonts w:ascii="Microsoft JhengHei" w:hAnsi="Microsoft JhengHei" w:eastAsia="Microsoft JhengHei" w:cs="Microsoft JhengHei"/>
      <w:b/>
      <w:bCs/>
      <w:sz w:val="44"/>
      <w:szCs w:val="44"/>
    </w:rPr>
  </w:style>
  <w:style w:type="paragraph" w:customStyle="1" w:styleId="56">
    <w:name w:val="标题 21"/>
    <w:basedOn w:val="1"/>
    <w:autoRedefine/>
    <w:qFormat/>
    <w:uiPriority w:val="1"/>
    <w:pPr>
      <w:ind w:left="801" w:hanging="401"/>
      <w:outlineLvl w:val="2"/>
    </w:pPr>
    <w:rPr>
      <w:rFonts w:ascii="Microsoft JhengHei" w:hAnsi="Microsoft JhengHei" w:eastAsia="Microsoft JhengHei" w:cs="Microsoft JhengHei"/>
      <w:b/>
      <w:bCs/>
      <w:sz w:val="32"/>
      <w:szCs w:val="32"/>
    </w:rPr>
  </w:style>
  <w:style w:type="paragraph" w:customStyle="1" w:styleId="57">
    <w:name w:val="标题 31"/>
    <w:basedOn w:val="1"/>
    <w:autoRedefine/>
    <w:qFormat/>
    <w:uiPriority w:val="1"/>
    <w:pPr>
      <w:ind w:left="1026" w:hanging="489"/>
      <w:outlineLvl w:val="3"/>
    </w:pPr>
    <w:rPr>
      <w:sz w:val="28"/>
      <w:szCs w:val="28"/>
    </w:rPr>
  </w:style>
  <w:style w:type="paragraph" w:customStyle="1" w:styleId="58">
    <w:name w:val="标题 41"/>
    <w:basedOn w:val="1"/>
    <w:autoRedefine/>
    <w:qFormat/>
    <w:uiPriority w:val="1"/>
    <w:pPr>
      <w:ind w:left="400" w:firstLine="479"/>
      <w:jc w:val="both"/>
      <w:outlineLvl w:val="4"/>
    </w:pPr>
    <w:rPr>
      <w:sz w:val="24"/>
      <w:szCs w:val="24"/>
    </w:rPr>
  </w:style>
  <w:style w:type="paragraph" w:customStyle="1" w:styleId="59">
    <w:name w:val="标题 51"/>
    <w:basedOn w:val="1"/>
    <w:autoRedefine/>
    <w:qFormat/>
    <w:uiPriority w:val="1"/>
    <w:pPr>
      <w:ind w:left="1348" w:hanging="526"/>
      <w:outlineLvl w:val="5"/>
    </w:pPr>
    <w:rPr>
      <w:rFonts w:ascii="Microsoft JhengHei" w:hAnsi="Microsoft JhengHei" w:eastAsia="Microsoft JhengHei" w:cs="Microsoft JhengHei"/>
      <w:b/>
      <w:bCs/>
      <w:sz w:val="21"/>
      <w:szCs w:val="21"/>
    </w:rPr>
  </w:style>
  <w:style w:type="paragraph" w:styleId="60">
    <w:name w:val="List Paragraph"/>
    <w:basedOn w:val="1"/>
    <w:autoRedefine/>
    <w:qFormat/>
    <w:uiPriority w:val="99"/>
    <w:pPr>
      <w:ind w:left="400" w:firstLine="420"/>
    </w:pPr>
  </w:style>
  <w:style w:type="paragraph" w:customStyle="1" w:styleId="61">
    <w:name w:val="Table Paragraph"/>
    <w:basedOn w:val="1"/>
    <w:autoRedefine/>
    <w:qFormat/>
    <w:uiPriority w:val="1"/>
  </w:style>
  <w:style w:type="paragraph" w:customStyle="1" w:styleId="62">
    <w:name w:val="Default"/>
    <w:autoRedefine/>
    <w:qFormat/>
    <w:uiPriority w:val="0"/>
    <w:pPr>
      <w:widowControl w:val="0"/>
      <w:autoSpaceDE w:val="0"/>
      <w:autoSpaceDN w:val="0"/>
      <w:adjustRightInd w:val="0"/>
    </w:pPr>
    <w:rPr>
      <w:rFonts w:ascii="仿宋_GB2312" w:hAnsi="Times New Roman" w:eastAsia="宋体" w:cs="仿宋_GB2312"/>
      <w:color w:val="000000"/>
      <w:sz w:val="24"/>
      <w:szCs w:val="24"/>
      <w:lang w:val="en-US" w:eastAsia="zh-CN" w:bidi="ar-SA"/>
    </w:rPr>
  </w:style>
  <w:style w:type="paragraph" w:customStyle="1" w:styleId="63">
    <w:name w:val="CM91"/>
    <w:basedOn w:val="62"/>
    <w:next w:val="62"/>
    <w:autoRedefine/>
    <w:qFormat/>
    <w:uiPriority w:val="0"/>
    <w:pPr>
      <w:spacing w:after="160"/>
    </w:pPr>
    <w:rPr>
      <w:color w:val="auto"/>
    </w:rPr>
  </w:style>
  <w:style w:type="character" w:customStyle="1" w:styleId="64">
    <w:name w:val="NormalCharacter"/>
    <w:autoRedefine/>
    <w:qFormat/>
    <w:uiPriority w:val="0"/>
  </w:style>
  <w:style w:type="character" w:customStyle="1" w:styleId="65">
    <w:name w:val="电子邮件签名 Char"/>
    <w:basedOn w:val="30"/>
    <w:link w:val="10"/>
    <w:autoRedefine/>
    <w:qFormat/>
    <w:uiPriority w:val="0"/>
    <w:rPr>
      <w:rFonts w:ascii="等线" w:cs="等线"/>
      <w:szCs w:val="24"/>
    </w:rPr>
  </w:style>
  <w:style w:type="character" w:customStyle="1" w:styleId="66">
    <w:name w:val="正文文本 Char"/>
    <w:basedOn w:val="30"/>
    <w:link w:val="15"/>
    <w:autoRedefine/>
    <w:qFormat/>
    <w:uiPriority w:val="0"/>
    <w:rPr>
      <w:rFonts w:ascii="宋体" w:hAnsi="宋体" w:cs="宋体"/>
      <w:sz w:val="21"/>
      <w:szCs w:val="21"/>
      <w:lang w:val="zh-CN" w:bidi="zh-CN"/>
    </w:rPr>
  </w:style>
  <w:style w:type="paragraph" w:customStyle="1" w:styleId="67">
    <w:name w:val="修订1"/>
    <w:autoRedefine/>
    <w:hidden/>
    <w:semiHidden/>
    <w:qFormat/>
    <w:uiPriority w:val="99"/>
    <w:rPr>
      <w:rFonts w:ascii="宋体" w:hAnsi="宋体" w:eastAsia="宋体" w:cs="宋体"/>
      <w:sz w:val="22"/>
      <w:szCs w:val="22"/>
      <w:lang w:val="zh-CN" w:eastAsia="zh-CN" w:bidi="zh-CN"/>
    </w:rPr>
  </w:style>
  <w:style w:type="paragraph" w:customStyle="1" w:styleId="68">
    <w:name w:val="TOC 12"/>
    <w:basedOn w:val="1"/>
    <w:autoRedefine/>
    <w:qFormat/>
    <w:uiPriority w:val="1"/>
    <w:pPr>
      <w:spacing w:before="2"/>
      <w:ind w:left="400"/>
    </w:pPr>
    <w:rPr>
      <w:sz w:val="21"/>
      <w:szCs w:val="21"/>
    </w:rPr>
  </w:style>
  <w:style w:type="paragraph" w:customStyle="1" w:styleId="69">
    <w:name w:val="TOC 22"/>
    <w:basedOn w:val="1"/>
    <w:autoRedefine/>
    <w:qFormat/>
    <w:uiPriority w:val="1"/>
    <w:pPr>
      <w:spacing w:before="2"/>
      <w:ind w:left="820"/>
    </w:pPr>
    <w:rPr>
      <w:sz w:val="21"/>
      <w:szCs w:val="21"/>
    </w:rPr>
  </w:style>
  <w:style w:type="paragraph" w:customStyle="1" w:styleId="70">
    <w:name w:val="TOC 32"/>
    <w:basedOn w:val="1"/>
    <w:autoRedefine/>
    <w:qFormat/>
    <w:uiPriority w:val="1"/>
    <w:pPr>
      <w:spacing w:before="2"/>
      <w:ind w:left="1610" w:hanging="370"/>
    </w:pPr>
    <w:rPr>
      <w:sz w:val="21"/>
      <w:szCs w:val="21"/>
    </w:rPr>
  </w:style>
  <w:style w:type="paragraph" w:customStyle="1" w:styleId="71">
    <w:name w:val="标题 12"/>
    <w:basedOn w:val="1"/>
    <w:autoRedefine/>
    <w:qFormat/>
    <w:uiPriority w:val="1"/>
    <w:pPr>
      <w:spacing w:line="702" w:lineRule="exact"/>
      <w:outlineLvl w:val="1"/>
    </w:pPr>
    <w:rPr>
      <w:rFonts w:ascii="Microsoft JhengHei" w:hAnsi="Microsoft JhengHei" w:eastAsia="Microsoft JhengHei" w:cs="Microsoft JhengHei"/>
      <w:b/>
      <w:bCs/>
      <w:sz w:val="44"/>
      <w:szCs w:val="44"/>
    </w:rPr>
  </w:style>
  <w:style w:type="paragraph" w:customStyle="1" w:styleId="72">
    <w:name w:val="标题 22"/>
    <w:basedOn w:val="1"/>
    <w:autoRedefine/>
    <w:qFormat/>
    <w:uiPriority w:val="1"/>
    <w:pPr>
      <w:ind w:left="801" w:hanging="401"/>
      <w:outlineLvl w:val="2"/>
    </w:pPr>
    <w:rPr>
      <w:rFonts w:ascii="Microsoft JhengHei" w:hAnsi="Microsoft JhengHei" w:eastAsia="Microsoft JhengHei" w:cs="Microsoft JhengHei"/>
      <w:b/>
      <w:bCs/>
      <w:sz w:val="32"/>
      <w:szCs w:val="32"/>
    </w:rPr>
  </w:style>
  <w:style w:type="paragraph" w:customStyle="1" w:styleId="73">
    <w:name w:val="标题 32"/>
    <w:basedOn w:val="1"/>
    <w:autoRedefine/>
    <w:qFormat/>
    <w:uiPriority w:val="1"/>
    <w:pPr>
      <w:ind w:left="1026" w:hanging="489"/>
      <w:outlineLvl w:val="3"/>
    </w:pPr>
    <w:rPr>
      <w:sz w:val="28"/>
      <w:szCs w:val="28"/>
    </w:rPr>
  </w:style>
  <w:style w:type="paragraph" w:customStyle="1" w:styleId="74">
    <w:name w:val="标题 42"/>
    <w:basedOn w:val="1"/>
    <w:autoRedefine/>
    <w:qFormat/>
    <w:uiPriority w:val="1"/>
    <w:pPr>
      <w:ind w:left="400" w:firstLine="479"/>
      <w:jc w:val="both"/>
      <w:outlineLvl w:val="4"/>
    </w:pPr>
    <w:rPr>
      <w:sz w:val="24"/>
      <w:szCs w:val="24"/>
    </w:rPr>
  </w:style>
  <w:style w:type="paragraph" w:customStyle="1" w:styleId="75">
    <w:name w:val="标题 52"/>
    <w:basedOn w:val="1"/>
    <w:autoRedefine/>
    <w:qFormat/>
    <w:uiPriority w:val="1"/>
    <w:pPr>
      <w:ind w:left="1348" w:hanging="526"/>
      <w:outlineLvl w:val="5"/>
    </w:pPr>
    <w:rPr>
      <w:rFonts w:ascii="Microsoft JhengHei" w:hAnsi="Microsoft JhengHei" w:eastAsia="Microsoft JhengHei" w:cs="Microsoft JhengHei"/>
      <w:b/>
      <w:bCs/>
      <w:sz w:val="21"/>
      <w:szCs w:val="21"/>
    </w:rPr>
  </w:style>
  <w:style w:type="paragraph" w:customStyle="1" w:styleId="76">
    <w:name w:val="目录 21"/>
    <w:basedOn w:val="1"/>
    <w:autoRedefine/>
    <w:qFormat/>
    <w:uiPriority w:val="1"/>
    <w:pPr>
      <w:spacing w:before="2"/>
      <w:ind w:left="820"/>
    </w:pPr>
    <w:rPr>
      <w:sz w:val="21"/>
      <w:szCs w:val="21"/>
    </w:rPr>
  </w:style>
  <w:style w:type="paragraph" w:customStyle="1" w:styleId="77">
    <w:name w:val="修订2"/>
    <w:autoRedefine/>
    <w:hidden/>
    <w:semiHidden/>
    <w:qFormat/>
    <w:uiPriority w:val="99"/>
    <w:rPr>
      <w:rFonts w:ascii="宋体" w:hAnsi="宋体" w:eastAsia="宋体" w:cs="宋体"/>
      <w:sz w:val="22"/>
      <w:szCs w:val="22"/>
      <w:lang w:val="zh-CN" w:eastAsia="zh-CN" w:bidi="zh-CN"/>
    </w:rPr>
  </w:style>
  <w:style w:type="paragraph" w:customStyle="1" w:styleId="78">
    <w:name w:val="WPSOffice手动目录 1"/>
    <w:autoRedefine/>
    <w:qFormat/>
    <w:uiPriority w:val="0"/>
    <w:rPr>
      <w:rFonts w:ascii="Times New Roman" w:hAnsi="Times New Roman" w:eastAsia="宋体" w:cs="Times New Roman"/>
      <w:lang w:val="en-US" w:eastAsia="zh-CN" w:bidi="ar-SA"/>
    </w:rPr>
  </w:style>
  <w:style w:type="character" w:customStyle="1" w:styleId="79">
    <w:name w:val="english"/>
    <w:basedOn w:val="30"/>
    <w:autoRedefine/>
    <w:qFormat/>
    <w:uiPriority w:val="0"/>
    <w:rPr>
      <w:rFonts w:ascii="微软雅黑" w:hAnsi="微软雅黑" w:eastAsia="微软雅黑" w:cs="微软雅黑"/>
      <w:i/>
      <w:iCs/>
      <w:caps/>
      <w:color w:val="9E9E9E"/>
      <w:sz w:val="21"/>
      <w:szCs w:val="21"/>
    </w:rPr>
  </w:style>
  <w:style w:type="character" w:customStyle="1" w:styleId="80">
    <w:name w:val="english1"/>
    <w:basedOn w:val="30"/>
    <w:autoRedefine/>
    <w:qFormat/>
    <w:uiPriority w:val="0"/>
    <w:rPr>
      <w:rFonts w:hint="eastAsia" w:ascii="微软雅黑" w:hAnsi="微软雅黑" w:eastAsia="微软雅黑" w:cs="微软雅黑"/>
      <w:color w:val="000000"/>
      <w:sz w:val="12"/>
      <w:szCs w:val="12"/>
    </w:rPr>
  </w:style>
  <w:style w:type="character" w:customStyle="1" w:styleId="81">
    <w:name w:val="english2"/>
    <w:basedOn w:val="30"/>
    <w:autoRedefine/>
    <w:qFormat/>
    <w:uiPriority w:val="0"/>
    <w:rPr>
      <w:rFonts w:hint="eastAsia" w:ascii="微软雅黑" w:hAnsi="微软雅黑" w:eastAsia="微软雅黑" w:cs="微软雅黑"/>
      <w:i/>
      <w:iCs/>
      <w:caps/>
      <w:color w:val="9E9E9E"/>
      <w:sz w:val="21"/>
      <w:szCs w:val="21"/>
    </w:rPr>
  </w:style>
  <w:style w:type="character" w:customStyle="1" w:styleId="82">
    <w:name w:val="time"/>
    <w:basedOn w:val="30"/>
    <w:autoRedefine/>
    <w:qFormat/>
    <w:uiPriority w:val="0"/>
  </w:style>
  <w:style w:type="character" w:customStyle="1" w:styleId="83">
    <w:name w:val="time1"/>
    <w:basedOn w:val="30"/>
    <w:autoRedefine/>
    <w:qFormat/>
    <w:uiPriority w:val="0"/>
  </w:style>
  <w:style w:type="character" w:customStyle="1" w:styleId="84">
    <w:name w:val="time2"/>
    <w:basedOn w:val="30"/>
    <w:autoRedefine/>
    <w:qFormat/>
    <w:uiPriority w:val="0"/>
  </w:style>
  <w:style w:type="character" w:customStyle="1" w:styleId="85">
    <w:name w:val="content-right_8zs401"/>
    <w:basedOn w:val="30"/>
    <w:autoRedefine/>
    <w:qFormat/>
    <w:uiPriority w:val="0"/>
  </w:style>
  <w:style w:type="character" w:customStyle="1" w:styleId="86">
    <w:name w:val="日期 Char"/>
    <w:basedOn w:val="30"/>
    <w:link w:val="21"/>
    <w:autoRedefine/>
    <w:semiHidden/>
    <w:qFormat/>
    <w:uiPriority w:val="99"/>
    <w:rPr>
      <w:rFonts w:ascii="宋体" w:hAnsi="宋体" w:cs="宋体"/>
      <w:sz w:val="22"/>
      <w:szCs w:val="22"/>
      <w:lang w:val="zh-CN" w:bidi="zh-CN"/>
    </w:rPr>
  </w:style>
  <w:style w:type="character" w:customStyle="1" w:styleId="87">
    <w:name w:val="正文缩进 Char"/>
    <w:link w:val="2"/>
    <w:autoRedefine/>
    <w:qFormat/>
    <w:locked/>
    <w:uiPriority w:val="99"/>
    <w:rPr>
      <w:kern w:val="2"/>
      <w:sz w:val="21"/>
      <w:szCs w:val="24"/>
    </w:rPr>
  </w:style>
  <w:style w:type="character" w:customStyle="1" w:styleId="88">
    <w:name w:val="标题 5 Char"/>
    <w:basedOn w:val="30"/>
    <w:link w:val="8"/>
    <w:autoRedefine/>
    <w:qFormat/>
    <w:uiPriority w:val="99"/>
    <w:rPr>
      <w:b/>
      <w:bCs/>
      <w:kern w:val="2"/>
      <w:sz w:val="28"/>
      <w:szCs w:val="28"/>
    </w:rPr>
  </w:style>
  <w:style w:type="character" w:customStyle="1" w:styleId="89">
    <w:name w:val="正文文本 3 Char"/>
    <w:basedOn w:val="30"/>
    <w:link w:val="14"/>
    <w:autoRedefine/>
    <w:semiHidden/>
    <w:qFormat/>
    <w:uiPriority w:val="99"/>
    <w:rPr>
      <w:rFonts w:ascii="宋体" w:hAnsi="宋体" w:cs="宋体"/>
      <w:sz w:val="16"/>
      <w:szCs w:val="16"/>
      <w:lang w:val="zh-CN" w:bidi="zh-CN"/>
    </w:rPr>
  </w:style>
  <w:style w:type="character" w:customStyle="1" w:styleId="90">
    <w:name w:val="日期 Char4"/>
    <w:autoRedefine/>
    <w:qFormat/>
    <w:locked/>
    <w:uiPriority w:val="99"/>
    <w:rPr>
      <w:rFonts w:ascii="Calibri" w:hAnsi="Calibri" w:eastAsia="宋体" w:cs="Times New Roman"/>
      <w:szCs w:val="24"/>
    </w:rPr>
  </w:style>
  <w:style w:type="paragraph" w:customStyle="1" w:styleId="91">
    <w:name w:val="表内"/>
    <w:basedOn w:val="1"/>
    <w:autoRedefine/>
    <w:qFormat/>
    <w:uiPriority w:val="0"/>
    <w:pPr>
      <w:autoSpaceDE/>
      <w:autoSpaceDN/>
      <w:spacing w:line="300" w:lineRule="auto"/>
      <w:jc w:val="both"/>
    </w:pPr>
    <w:rPr>
      <w:rFonts w:ascii="Calibri" w:hAnsi="Calibri" w:cs="Times New Roman"/>
      <w:bCs/>
      <w:sz w:val="21"/>
      <w:szCs w:val="21"/>
      <w:lang w:val="en-US" w:eastAsia="zh-TW" w:bidi="ar-SA"/>
    </w:rPr>
  </w:style>
  <w:style w:type="character" w:customStyle="1" w:styleId="92">
    <w:name w:val="正文文本缩进 Char"/>
    <w:basedOn w:val="30"/>
    <w:link w:val="17"/>
    <w:autoRedefine/>
    <w:semiHidden/>
    <w:qFormat/>
    <w:uiPriority w:val="99"/>
    <w:rPr>
      <w:rFonts w:ascii="宋体" w:hAnsi="宋体" w:cs="宋体"/>
      <w:sz w:val="22"/>
      <w:szCs w:val="22"/>
      <w:lang w:val="zh-CN" w:bidi="zh-CN"/>
    </w:rPr>
  </w:style>
  <w:style w:type="character" w:customStyle="1" w:styleId="93">
    <w:name w:val="正文首行缩进 2 Char"/>
    <w:basedOn w:val="92"/>
    <w:link w:val="28"/>
    <w:autoRedefine/>
    <w:semiHidden/>
    <w:qFormat/>
    <w:uiPriority w:val="99"/>
  </w:style>
  <w:style w:type="character" w:customStyle="1" w:styleId="94">
    <w:name w:val="纯文本 Char"/>
    <w:basedOn w:val="30"/>
    <w:link w:val="16"/>
    <w:autoRedefine/>
    <w:qFormat/>
    <w:uiPriority w:val="0"/>
    <w:rPr>
      <w:rFonts w:ascii="宋体" w:hAnsi="Courier New"/>
      <w:kern w:val="2"/>
      <w:sz w:val="21"/>
      <w:szCs w:val="24"/>
    </w:rPr>
  </w:style>
  <w:style w:type="paragraph" w:customStyle="1" w:styleId="95">
    <w:name w:val="列出段落3"/>
    <w:basedOn w:val="1"/>
    <w:autoRedefine/>
    <w:qFormat/>
    <w:uiPriority w:val="99"/>
    <w:pPr>
      <w:autoSpaceDE/>
      <w:autoSpaceDN/>
      <w:ind w:firstLine="420" w:firstLineChars="200"/>
      <w:jc w:val="both"/>
    </w:pPr>
    <w:rPr>
      <w:rFonts w:ascii="Calibri" w:hAnsi="Calibri" w:cs="Times New Roman"/>
      <w:kern w:val="2"/>
      <w:sz w:val="21"/>
      <w:lang w:val="en-US" w:bidi="ar-SA"/>
    </w:rPr>
  </w:style>
  <w:style w:type="paragraph" w:customStyle="1" w:styleId="96">
    <w:name w:val="无间隔1"/>
    <w:autoRedefine/>
    <w:qFormat/>
    <w:uiPriority w:val="0"/>
    <w:pPr>
      <w:widowControl w:val="0"/>
      <w:spacing w:line="360" w:lineRule="auto"/>
      <w:ind w:left="17" w:leftChars="17"/>
    </w:pPr>
    <w:rPr>
      <w:rFonts w:ascii="Calibri" w:hAnsi="Calibri" w:eastAsia="宋体" w:cs="Times New Roman"/>
      <w:kern w:val="2"/>
      <w:sz w:val="21"/>
      <w:szCs w:val="22"/>
      <w:lang w:val="en-US" w:eastAsia="zh-CN" w:bidi="ar-SA"/>
    </w:rPr>
  </w:style>
  <w:style w:type="paragraph" w:customStyle="1" w:styleId="97">
    <w:name w:val="！正文"/>
    <w:basedOn w:val="1"/>
    <w:autoRedefine/>
    <w:qFormat/>
    <w:uiPriority w:val="0"/>
    <w:pPr>
      <w:spacing w:line="360" w:lineRule="auto"/>
      <w:ind w:firstLine="480"/>
    </w:pPr>
    <w:rPr>
      <w:rFonts w:ascii="Arial" w:hAnsi="Arial"/>
      <w:sz w:val="24"/>
      <w:szCs w:val="24"/>
    </w:rPr>
  </w:style>
  <w:style w:type="paragraph" w:customStyle="1" w:styleId="98">
    <w:name w:val="无间隔2"/>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99">
    <w:name w:val="input-icon"/>
    <w:basedOn w:val="30"/>
    <w:autoRedefine/>
    <w:qFormat/>
    <w:uiPriority w:val="0"/>
  </w:style>
  <w:style w:type="character" w:customStyle="1" w:styleId="100">
    <w:name w:val="before"/>
    <w:basedOn w:val="30"/>
    <w:autoRedefine/>
    <w:qFormat/>
    <w:uiPriority w:val="0"/>
    <w:rPr>
      <w:rFonts w:hint="default" w:ascii="FontAwesome" w:hAnsi="FontAwesome" w:eastAsia="FontAwesome" w:cs="FontAwesome"/>
      <w:color w:val="888888"/>
    </w:rPr>
  </w:style>
  <w:style w:type="character" w:customStyle="1" w:styleId="101">
    <w:name w:val="before1"/>
    <w:basedOn w:val="30"/>
    <w:autoRedefine/>
    <w:qFormat/>
    <w:uiPriority w:val="0"/>
    <w:rPr>
      <w:rFonts w:hint="default" w:ascii="FontAwesome" w:hAnsi="FontAwesome" w:eastAsia="FontAwesome" w:cs="FontAwesome"/>
      <w:color w:val="88888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102" textRotate="1"/>
    <customShpInfo spid="_x0000_s4098"/>
    <customShpInfo spid="_x0000_s4103" textRotate="1"/>
    <customShpInfo spid="_x0000_s4104" textRotate="1"/>
    <customShpInfo spid="_x0000_s410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320845-2ABD-4EF8-A9F3-38A1BC5BF64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96</Pages>
  <Words>43242</Words>
  <Characters>45985</Characters>
  <Lines>56</Lines>
  <Paragraphs>99</Paragraphs>
  <TotalTime>14</TotalTime>
  <ScaleCrop>false</ScaleCrop>
  <LinksUpToDate>false</LinksUpToDate>
  <CharactersWithSpaces>47554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2023-03-09T08:08:00Z</dcterms:created>
  <dc:creator>袁静</dc:creator>
  <cp:lastModifiedBy>━═☆ジ明日</cp:lastModifiedBy>
  <cp:lastPrinted>2023-03-10T02:02:00Z</cp:lastPrinted>
  <dcterms:modified xsi:type="dcterms:W3CDTF">2024-04-25T10:31:28Z</dcterms:modified>
  <dc:title>中华人民共和国</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2017-09-04T16:00:00Z</vt:filetime>
  </property>
  <property fmtid="{D5CDD505-2E9C-101B-9397-08002B2CF9AE}" pid="3" name="Creator">
    <vt:lpwstr>Microsoft® Word 2013</vt:lpwstr>
  </property>
  <property fmtid="{D5CDD505-2E9C-101B-9397-08002B2CF9AE}" pid="4" name="LastSaved">
    <vt:filetime>2022-08-13T16:00:00Z</vt:filetime>
  </property>
  <property fmtid="{D5CDD505-2E9C-101B-9397-08002B2CF9AE}" pid="5" name="KSOProductBuildVer">
    <vt:lpwstr>2052-12.1.0.16729</vt:lpwstr>
  </property>
  <property fmtid="{D5CDD505-2E9C-101B-9397-08002B2CF9AE}" pid="6" name="ICV">
    <vt:lpwstr>E38D5193A5C14C57B144E2F80F63E129</vt:lpwstr>
  </property>
</Properties>
</file>